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C010C" w14:textId="77777777" w:rsidR="00ED2F87" w:rsidRPr="00AD2A55" w:rsidRDefault="00ED2F87" w:rsidP="00ED2F8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1A1B97">
        <w:rPr>
          <w:rFonts w:ascii="Palatino Linotype" w:eastAsia="Times New Roman" w:hAnsi="Palatino Linotype" w:cs="Arial"/>
          <w:color w:val="000000"/>
          <w:sz w:val="24"/>
          <w:szCs w:val="24"/>
          <w:lang w:eastAsia="es-MX"/>
        </w:rPr>
        <w:t>nueve</w:t>
      </w:r>
      <w:r w:rsidRPr="00BA195C">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diciembre de dos mil veinte</w:t>
      </w:r>
      <w:r w:rsidRPr="00CC3652">
        <w:rPr>
          <w:rFonts w:ascii="Palatino Linotype" w:eastAsia="Times New Roman" w:hAnsi="Palatino Linotype" w:cs="Arial"/>
          <w:color w:val="000000"/>
          <w:sz w:val="24"/>
          <w:szCs w:val="24"/>
          <w:lang w:eastAsia="es-MX"/>
        </w:rPr>
        <w:t>.</w:t>
      </w:r>
    </w:p>
    <w:p w14:paraId="7BB1224A" w14:textId="77777777" w:rsidR="00ED2F87" w:rsidRPr="00AD2A55" w:rsidRDefault="00ED2F87" w:rsidP="00ED2F8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57D7787" w14:textId="77777777" w:rsidR="00ED2F87" w:rsidRPr="00AD2A55" w:rsidRDefault="00ED2F87" w:rsidP="00ED2F8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4640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E3057">
        <w:rPr>
          <w:rFonts w:ascii="Palatino Linotype" w:hAnsi="Palatino Linotype" w:cs="Arial"/>
          <w:b/>
          <w:sz w:val="24"/>
          <w:szCs w:val="24"/>
        </w:rPr>
        <w:t>Ayuntamiento de Teoloyucan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 xml:space="preserve">se procede a dictar la presente </w:t>
      </w:r>
      <w:bookmarkStart w:id="0" w:name="_GoBack"/>
      <w:bookmarkEnd w:id="0"/>
      <w:r w:rsidRPr="00AD2A55">
        <w:rPr>
          <w:rFonts w:ascii="Palatino Linotype" w:hAnsi="Palatino Linotype" w:cs="Arial"/>
          <w:sz w:val="24"/>
          <w:szCs w:val="24"/>
        </w:rPr>
        <w:t>resolución.</w:t>
      </w:r>
    </w:p>
    <w:p w14:paraId="495F5F9E" w14:textId="77777777" w:rsidR="00ED2F87" w:rsidRPr="00AD2A55" w:rsidRDefault="00ED2F87" w:rsidP="00ED2F87">
      <w:pPr>
        <w:tabs>
          <w:tab w:val="left" w:pos="6960"/>
        </w:tabs>
        <w:spacing w:after="0" w:line="360" w:lineRule="auto"/>
        <w:jc w:val="both"/>
        <w:rPr>
          <w:rFonts w:ascii="Palatino Linotype" w:hAnsi="Palatino Linotype" w:cs="Arial"/>
          <w:sz w:val="24"/>
          <w:szCs w:val="24"/>
        </w:rPr>
      </w:pPr>
    </w:p>
    <w:p w14:paraId="6AE4079D" w14:textId="77777777" w:rsidR="00ED2F87" w:rsidRPr="007763F3" w:rsidRDefault="00ED2F87" w:rsidP="00ED2F8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4904FC5C" w14:textId="77777777" w:rsidR="00ED2F87" w:rsidRPr="00D23436" w:rsidRDefault="00ED2F87" w:rsidP="00ED2F87">
      <w:pPr>
        <w:spacing w:after="0" w:line="360" w:lineRule="auto"/>
        <w:rPr>
          <w:rFonts w:ascii="Palatino Linotype" w:hAnsi="Palatino Linotype" w:cs="Arial"/>
          <w:b/>
          <w:sz w:val="24"/>
          <w:szCs w:val="24"/>
        </w:rPr>
      </w:pPr>
    </w:p>
    <w:p w14:paraId="5F5225AB" w14:textId="77777777" w:rsidR="00ED2F87" w:rsidRPr="004C083E" w:rsidRDefault="00ED2F87" w:rsidP="00ED2F8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6D7BFF90" w14:textId="77777777" w:rsidR="00ED2F87" w:rsidRDefault="00ED2F87" w:rsidP="00ED2F8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C75793">
        <w:rPr>
          <w:rFonts w:ascii="Palatino Linotype" w:hAnsi="Palatino Linotype" w:cs="Arial"/>
          <w:b/>
          <w:sz w:val="24"/>
          <w:szCs w:val="24"/>
        </w:rPr>
        <w:t>00245/TEOLOYU/IP/2020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49082D79" w14:textId="77777777" w:rsidR="00ED2F87" w:rsidRDefault="00ED2F87" w:rsidP="00ED2F87">
      <w:pPr>
        <w:spacing w:after="0" w:line="360" w:lineRule="auto"/>
        <w:jc w:val="both"/>
        <w:rPr>
          <w:rFonts w:ascii="Palatino Linotype" w:hAnsi="Palatino Linotype" w:cs="Arial"/>
          <w:sz w:val="24"/>
          <w:szCs w:val="24"/>
        </w:rPr>
      </w:pPr>
    </w:p>
    <w:p w14:paraId="59C56607" w14:textId="77777777" w:rsidR="00ED2F87" w:rsidRPr="00161BD6" w:rsidRDefault="00ED2F87" w:rsidP="00ED2F8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75793">
        <w:rPr>
          <w:rFonts w:ascii="Palatino Linotype" w:eastAsia="Times New Roman" w:hAnsi="Palatino Linotype" w:cs="Times New Roman"/>
          <w:i/>
          <w:szCs w:val="24"/>
          <w:lang w:val="es-ES_tradnl" w:eastAsia="es-ES"/>
        </w:rPr>
        <w:t xml:space="preserve">EN PDF, EJERCICIO DE EGRESOS PRESUPUESTARIOS DE LA ADMINISTRACIÓN CENTRAL Y DE LOS ORGANISMOS DESCENTRALIZADOS DIF, OPDAPAST E IMCUFIDE DE LOS AÑOS 2019 Y LO QUE VA DE </w:t>
      </w:r>
      <w:proofErr w:type="gramStart"/>
      <w:r w:rsidRPr="00C75793">
        <w:rPr>
          <w:rFonts w:ascii="Palatino Linotype" w:eastAsia="Times New Roman" w:hAnsi="Palatino Linotype" w:cs="Times New Roman"/>
          <w:i/>
          <w:szCs w:val="24"/>
          <w:lang w:val="es-ES_tradnl" w:eastAsia="es-ES"/>
        </w:rPr>
        <w:t>2020 ,</w:t>
      </w:r>
      <w:proofErr w:type="gramEnd"/>
      <w:r w:rsidRPr="00C75793">
        <w:rPr>
          <w:rFonts w:ascii="Palatino Linotype" w:eastAsia="Times New Roman" w:hAnsi="Palatino Linotype" w:cs="Times New Roman"/>
          <w:i/>
          <w:szCs w:val="24"/>
          <w:lang w:val="es-ES_tradnl" w:eastAsia="es-ES"/>
        </w:rPr>
        <w:t xml:space="preserve"> DONDE SE ADVIERTA NOMBRE Y FIRMA DE LOS SERVIDORES PUBLICOS. </w:t>
      </w:r>
      <w:r w:rsidRPr="00C75793">
        <w:rPr>
          <w:rFonts w:ascii="Palatino Linotype" w:eastAsia="Times New Roman" w:hAnsi="Palatino Linotype" w:cs="Times New Roman"/>
          <w:i/>
          <w:szCs w:val="24"/>
          <w:lang w:val="es-ES_tradnl" w:eastAsia="es-ES"/>
        </w:rPr>
        <w:lastRenderedPageBreak/>
        <w:t>CABE ACLARA QUE ESOS DATOS ESTAN INCOMPLETOS EN EL PORTAL IPOMEX PARA QUE SE EVITE REMITIRME AHÍ</w:t>
      </w:r>
      <w:r>
        <w:rPr>
          <w:rFonts w:ascii="Palatino Linotype" w:eastAsia="Times New Roman" w:hAnsi="Palatino Linotype" w:cs="Times New Roman"/>
          <w:i/>
          <w:szCs w:val="24"/>
          <w:lang w:val="es-ES_tradnl" w:eastAsia="es-ES"/>
        </w:rPr>
        <w:t>”</w:t>
      </w:r>
    </w:p>
    <w:p w14:paraId="04E80A0A" w14:textId="77777777" w:rsidR="00ED2F87" w:rsidRDefault="00ED2F87" w:rsidP="00ED2F8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4D5DFE6" w14:textId="77777777" w:rsidR="00ED2F87" w:rsidRDefault="00ED2F87" w:rsidP="00ED2F8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2BFB5239" w14:textId="77777777" w:rsidR="00ED2F87" w:rsidRDefault="00ED2F87" w:rsidP="00ED2F87">
      <w:pPr>
        <w:tabs>
          <w:tab w:val="left" w:pos="5647"/>
        </w:tabs>
        <w:spacing w:after="0" w:line="360" w:lineRule="auto"/>
        <w:ind w:right="850"/>
        <w:jc w:val="both"/>
        <w:rPr>
          <w:rFonts w:ascii="Palatino Linotype" w:hAnsi="Palatino Linotype"/>
          <w:color w:val="000000"/>
          <w:sz w:val="24"/>
          <w:szCs w:val="24"/>
        </w:rPr>
      </w:pPr>
    </w:p>
    <w:p w14:paraId="638E1C1D" w14:textId="77777777" w:rsidR="00ED2F87" w:rsidRDefault="00ED2F87" w:rsidP="00ED2F87">
      <w:pPr>
        <w:tabs>
          <w:tab w:val="left" w:pos="5647"/>
        </w:tabs>
        <w:spacing w:after="0" w:line="360" w:lineRule="auto"/>
        <w:ind w:right="850"/>
        <w:jc w:val="both"/>
        <w:rPr>
          <w:rFonts w:ascii="Palatino Linotype" w:hAnsi="Palatino Linotype"/>
          <w:color w:val="000000"/>
          <w:sz w:val="24"/>
          <w:szCs w:val="24"/>
        </w:rPr>
      </w:pPr>
    </w:p>
    <w:p w14:paraId="5DD96258" w14:textId="77777777" w:rsidR="00ED2F87" w:rsidRPr="004C083E" w:rsidRDefault="00ED2F87" w:rsidP="00ED2F8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14:paraId="779EB3B1" w14:textId="77777777" w:rsidR="00ED2F87" w:rsidRDefault="00ED2F87" w:rsidP="00ED2F8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dos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14:paraId="1E607275" w14:textId="77777777" w:rsidR="00ED2F87" w:rsidRDefault="00ED2F87" w:rsidP="00ED2F87">
      <w:pPr>
        <w:spacing w:after="0" w:line="360" w:lineRule="auto"/>
        <w:jc w:val="both"/>
        <w:rPr>
          <w:rFonts w:ascii="Palatino Linotype" w:hAnsi="Palatino Linotype" w:cs="Arial"/>
          <w:sz w:val="24"/>
          <w:szCs w:val="24"/>
        </w:rPr>
      </w:pPr>
    </w:p>
    <w:p w14:paraId="7513AE5E" w14:textId="77777777" w:rsidR="00ED2F87" w:rsidRDefault="00ED2F87" w:rsidP="00ED2F8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D6D2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155160" w14:textId="77777777" w:rsidR="00ED2F87" w:rsidRPr="00BD6D2D" w:rsidRDefault="00ED2F87" w:rsidP="00ED2F87">
      <w:pPr>
        <w:spacing w:after="0" w:line="240" w:lineRule="auto"/>
        <w:ind w:left="567" w:right="567"/>
        <w:jc w:val="both"/>
        <w:rPr>
          <w:rFonts w:ascii="Palatino Linotype" w:hAnsi="Palatino Linotype" w:cs="Arial"/>
          <w:i/>
          <w:szCs w:val="24"/>
        </w:rPr>
      </w:pPr>
    </w:p>
    <w:p w14:paraId="3FDF81DA" w14:textId="77777777" w:rsidR="00ED2F87" w:rsidRDefault="00ED2F87" w:rsidP="00ED2F87">
      <w:pPr>
        <w:spacing w:after="0" w:line="240" w:lineRule="auto"/>
        <w:ind w:left="567" w:right="567"/>
        <w:jc w:val="both"/>
        <w:rPr>
          <w:rFonts w:ascii="Palatino Linotype" w:hAnsi="Palatino Linotype" w:cs="Arial"/>
          <w:i/>
          <w:szCs w:val="24"/>
        </w:rPr>
      </w:pPr>
      <w:r w:rsidRPr="00BD6D2D">
        <w:rPr>
          <w:rFonts w:ascii="Palatino Linotype" w:hAnsi="Palatino Linotype" w:cs="Arial"/>
          <w:i/>
          <w:szCs w:val="24"/>
        </w:rPr>
        <w:t xml:space="preserve">Estimado solicitante reciba un cordial saludo, así mismo de conformidad con los artículos 1, 2, 3, fracción XLIV, 4, 12, 16, 23, fracción V, 24, fracción, XI y último párrafo, 50, 51, 53, fracciones, II, IV, V, y </w:t>
      </w:r>
      <w:proofErr w:type="gramStart"/>
      <w:r w:rsidRPr="00BD6D2D">
        <w:rPr>
          <w:rFonts w:ascii="Palatino Linotype" w:hAnsi="Palatino Linotype" w:cs="Arial"/>
          <w:i/>
          <w:szCs w:val="24"/>
        </w:rPr>
        <w:t>VI ,</w:t>
      </w:r>
      <w:proofErr w:type="gramEnd"/>
      <w:r w:rsidRPr="00BD6D2D">
        <w:rPr>
          <w:rFonts w:ascii="Palatino Linotype" w:hAnsi="Palatino Linotype" w:cs="Arial"/>
          <w:i/>
          <w:szCs w:val="24"/>
        </w:rPr>
        <w:t xml:space="preserve"> 176,177 y 178 de la Ley de Transparencia y Acceso a la Información Pública del Estado de México y </w:t>
      </w:r>
      <w:proofErr w:type="spellStart"/>
      <w:r w:rsidRPr="00BD6D2D">
        <w:rPr>
          <w:rFonts w:ascii="Palatino Linotype" w:hAnsi="Palatino Linotype" w:cs="Arial"/>
          <w:i/>
          <w:szCs w:val="24"/>
        </w:rPr>
        <w:t>Municipios;le</w:t>
      </w:r>
      <w:proofErr w:type="spellEnd"/>
      <w:r w:rsidRPr="00BD6D2D">
        <w:rPr>
          <w:rFonts w:ascii="Palatino Linotype" w:hAnsi="Palatino Linotype" w:cs="Arial"/>
          <w:i/>
          <w:szCs w:val="24"/>
        </w:rPr>
        <w:t xml:space="preserve"> anexo oficio del área correspondiente. Sin más por el momento me despido de usted.</w:t>
      </w:r>
      <w:r>
        <w:rPr>
          <w:rFonts w:ascii="Palatino Linotype" w:hAnsi="Palatino Linotype" w:cs="Arial"/>
          <w:i/>
          <w:szCs w:val="24"/>
        </w:rPr>
        <w:t>” (</w:t>
      </w:r>
      <w:proofErr w:type="gramStart"/>
      <w:r>
        <w:rPr>
          <w:rFonts w:ascii="Palatino Linotype" w:hAnsi="Palatino Linotype" w:cs="Arial"/>
          <w:i/>
          <w:szCs w:val="24"/>
        </w:rPr>
        <w:t>sic</w:t>
      </w:r>
      <w:proofErr w:type="gramEnd"/>
      <w:r>
        <w:rPr>
          <w:rFonts w:ascii="Palatino Linotype" w:hAnsi="Palatino Linotype" w:cs="Arial"/>
          <w:i/>
          <w:szCs w:val="24"/>
        </w:rPr>
        <w:t>)”</w:t>
      </w:r>
    </w:p>
    <w:p w14:paraId="7C8567F3" w14:textId="77777777" w:rsidR="00ED2F87" w:rsidRDefault="00ED2F87" w:rsidP="00ED2F87">
      <w:pPr>
        <w:spacing w:after="0" w:line="360" w:lineRule="auto"/>
        <w:jc w:val="both"/>
        <w:rPr>
          <w:rFonts w:ascii="Palatino Linotype" w:hAnsi="Palatino Linotype" w:cs="Arial"/>
          <w:sz w:val="24"/>
          <w:szCs w:val="24"/>
        </w:rPr>
      </w:pPr>
    </w:p>
    <w:p w14:paraId="24F1DABA" w14:textId="77777777" w:rsidR="00ED2F87" w:rsidRPr="00DF6CCA"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r w:rsidRPr="00BD6D2D">
        <w:rPr>
          <w:rFonts w:ascii="Palatino Linotype" w:hAnsi="Palatino Linotype" w:cs="Arial"/>
          <w:sz w:val="24"/>
          <w:szCs w:val="24"/>
        </w:rPr>
        <w:t>Oficio Tesorería.pdf</w:t>
      </w:r>
      <w:r>
        <w:rPr>
          <w:rFonts w:ascii="Palatino Linotype" w:hAnsi="Palatino Linotype" w:cs="Arial"/>
          <w:sz w:val="24"/>
          <w:szCs w:val="24"/>
        </w:rPr>
        <w:t xml:space="preserve">, </w:t>
      </w:r>
      <w:r w:rsidRPr="00BD6D2D">
        <w:rPr>
          <w:rFonts w:ascii="Palatino Linotype" w:hAnsi="Palatino Linotype" w:cs="Arial"/>
          <w:sz w:val="24"/>
          <w:szCs w:val="24"/>
        </w:rPr>
        <w:t>oficio opdapast.pdf</w:t>
      </w:r>
      <w:r>
        <w:rPr>
          <w:rFonts w:ascii="Palatino Linotype" w:hAnsi="Palatino Linotype" w:cs="Arial"/>
          <w:sz w:val="24"/>
          <w:szCs w:val="24"/>
        </w:rPr>
        <w:t xml:space="preserve">, </w:t>
      </w:r>
      <w:r w:rsidRPr="00BD6D2D">
        <w:rPr>
          <w:rFonts w:ascii="Palatino Linotype" w:hAnsi="Palatino Linotype" w:cs="Arial"/>
          <w:sz w:val="24"/>
          <w:szCs w:val="24"/>
        </w:rPr>
        <w:t>Oficio DIF.pdf</w:t>
      </w:r>
      <w:r>
        <w:rPr>
          <w:rFonts w:ascii="Palatino Linotype" w:hAnsi="Palatino Linotype" w:cs="Arial"/>
          <w:sz w:val="24"/>
          <w:szCs w:val="24"/>
        </w:rPr>
        <w:t xml:space="preserve">, </w:t>
      </w:r>
      <w:r w:rsidRPr="00BD6D2D">
        <w:rPr>
          <w:rFonts w:ascii="Palatino Linotype" w:hAnsi="Palatino Linotype" w:cs="Arial"/>
          <w:sz w:val="24"/>
          <w:szCs w:val="24"/>
        </w:rPr>
        <w:t>OFICIO DIF-TEO-TES-069-2020 OFICIO dIF.pdf</w:t>
      </w:r>
      <w:r>
        <w:rPr>
          <w:rFonts w:ascii="Palatino Linotype" w:hAnsi="Palatino Linotype" w:cs="Arial"/>
          <w:sz w:val="24"/>
          <w:szCs w:val="24"/>
        </w:rPr>
        <w:t xml:space="preserve"> y </w:t>
      </w:r>
      <w:r w:rsidRPr="00BD6D2D">
        <w:rPr>
          <w:rFonts w:ascii="Palatino Linotype" w:hAnsi="Palatino Linotype" w:cs="Arial"/>
          <w:sz w:val="24"/>
          <w:szCs w:val="24"/>
        </w:rPr>
        <w:t>Oficio Icufide.pdf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14:paraId="6D60D860" w14:textId="77777777" w:rsidR="00ED2F87" w:rsidRDefault="00ED2F87" w:rsidP="00ED2F87">
      <w:pPr>
        <w:spacing w:after="0" w:line="360" w:lineRule="auto"/>
        <w:jc w:val="both"/>
        <w:rPr>
          <w:rFonts w:ascii="Palatino Linotype" w:hAnsi="Palatino Linotype" w:cs="Arial"/>
          <w:sz w:val="24"/>
          <w:szCs w:val="24"/>
        </w:rPr>
      </w:pPr>
    </w:p>
    <w:p w14:paraId="3759CDAA" w14:textId="77777777" w:rsidR="00ED2F87" w:rsidRDefault="00ED2F87" w:rsidP="00ED2F87">
      <w:pPr>
        <w:spacing w:after="0" w:line="360" w:lineRule="auto"/>
        <w:jc w:val="both"/>
        <w:rPr>
          <w:rFonts w:ascii="Palatino Linotype" w:hAnsi="Palatino Linotype" w:cs="Arial"/>
          <w:sz w:val="24"/>
          <w:szCs w:val="24"/>
        </w:rPr>
      </w:pPr>
    </w:p>
    <w:p w14:paraId="0B33D717" w14:textId="77777777" w:rsidR="00ED2F87" w:rsidRPr="004C083E" w:rsidRDefault="00ED2F87" w:rsidP="00ED2F8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TERCERO. Del recurso de revisión.</w:t>
      </w:r>
    </w:p>
    <w:p w14:paraId="5ECF4926" w14:textId="77777777" w:rsidR="00ED2F87" w:rsidRDefault="00ED2F87" w:rsidP="00ED2F8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veintidós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4640/INFOEM/IP/RR/2020,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51360EB2" w14:textId="77777777" w:rsidR="00ED2F87" w:rsidRDefault="00ED2F87" w:rsidP="00ED2F87">
      <w:pPr>
        <w:spacing w:after="0" w:line="360" w:lineRule="auto"/>
        <w:jc w:val="both"/>
        <w:rPr>
          <w:rFonts w:ascii="Palatino Linotype" w:hAnsi="Palatino Linotype" w:cs="Arial"/>
          <w:b/>
          <w:sz w:val="24"/>
          <w:szCs w:val="24"/>
        </w:rPr>
      </w:pPr>
    </w:p>
    <w:p w14:paraId="21DE9EFA" w14:textId="77777777" w:rsidR="00ED2F87" w:rsidRDefault="00ED2F87" w:rsidP="00ED2F87">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14:paraId="7485AE44" w14:textId="77777777" w:rsidR="00ED2F87" w:rsidRPr="00775155" w:rsidRDefault="00ED2F87" w:rsidP="00ED2F87">
      <w:pPr>
        <w:pStyle w:val="Prrafodelista"/>
        <w:ind w:left="0"/>
        <w:jc w:val="both"/>
        <w:rPr>
          <w:rFonts w:ascii="Palatino Linotype" w:hAnsi="Palatino Linotype" w:cs="Arial"/>
        </w:rPr>
      </w:pPr>
    </w:p>
    <w:p w14:paraId="477B518D" w14:textId="77777777" w:rsidR="00ED2F87" w:rsidRPr="00775155" w:rsidRDefault="00ED2F87" w:rsidP="00ED2F87">
      <w:pPr>
        <w:pStyle w:val="Prrafodelista"/>
        <w:ind w:left="567" w:right="567"/>
        <w:jc w:val="both"/>
        <w:rPr>
          <w:rFonts w:ascii="Palatino Linotype" w:hAnsi="Palatino Linotype" w:cs="Arial"/>
          <w:i/>
          <w:sz w:val="22"/>
        </w:rPr>
      </w:pPr>
      <w:r>
        <w:rPr>
          <w:rFonts w:ascii="Palatino Linotype" w:hAnsi="Palatino Linotype" w:cs="Arial"/>
          <w:i/>
          <w:sz w:val="22"/>
        </w:rPr>
        <w:t>“</w:t>
      </w:r>
      <w:r w:rsidRPr="00BD6D2D">
        <w:rPr>
          <w:rFonts w:ascii="Palatino Linotype" w:hAnsi="Palatino Linotype" w:cs="Arial"/>
          <w:i/>
          <w:sz w:val="22"/>
        </w:rPr>
        <w:t>LA RESPUESTA DADA A LA SOLICITUD 00245/TEOLOYU/IP/2020</w:t>
      </w:r>
      <w:r>
        <w:rPr>
          <w:rFonts w:ascii="Palatino Linotype" w:hAnsi="Palatino Linotype" w:cs="Arial"/>
          <w:i/>
          <w:sz w:val="22"/>
        </w:rPr>
        <w:t>”</w:t>
      </w:r>
    </w:p>
    <w:p w14:paraId="60F468F6" w14:textId="77777777" w:rsidR="00ED2F87" w:rsidRPr="00775155" w:rsidRDefault="00ED2F87" w:rsidP="00ED2F87">
      <w:pPr>
        <w:pStyle w:val="Prrafodelista"/>
        <w:spacing w:line="360" w:lineRule="auto"/>
        <w:ind w:left="0"/>
        <w:jc w:val="both"/>
        <w:rPr>
          <w:rFonts w:ascii="Palatino Linotype" w:hAnsi="Palatino Linotype" w:cs="Arial"/>
        </w:rPr>
      </w:pPr>
    </w:p>
    <w:p w14:paraId="1B6B7DEF" w14:textId="77777777" w:rsidR="00ED2F87" w:rsidRDefault="00ED2F87" w:rsidP="00ED2F87">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14:paraId="05CB0821" w14:textId="77777777" w:rsidR="00ED2F87" w:rsidRPr="004E2FF4" w:rsidRDefault="00ED2F87" w:rsidP="00ED2F87">
      <w:pPr>
        <w:pStyle w:val="Prrafodelista"/>
        <w:spacing w:line="360" w:lineRule="auto"/>
        <w:ind w:left="0"/>
        <w:jc w:val="both"/>
        <w:rPr>
          <w:rFonts w:ascii="Palatino Linotype" w:hAnsi="Palatino Linotype" w:cs="Arial"/>
        </w:rPr>
      </w:pPr>
    </w:p>
    <w:p w14:paraId="59038658" w14:textId="77777777" w:rsidR="00ED2F87" w:rsidRDefault="00ED2F87" w:rsidP="00ED2F8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BD6D2D">
        <w:rPr>
          <w:rFonts w:ascii="Palatino Linotype" w:hAnsi="Palatino Linotype"/>
          <w:i/>
          <w:color w:val="000000"/>
        </w:rPr>
        <w:t xml:space="preserve">PRIMER AGRAVIO DE INCONFORMIDAD: EN RELACIÓN AL OFICIO TES/OE/247/09/2020 QUE SE ME DIO POR RESPUESTA EL SUJETO OBLIGADO SUSCRITO POR LA TESORERA MUNICIPAL. El oficio de mérito me causa perjuicio en virtud de que del listado de solicitudes de información que describe, se advierte que no aparece la que fue realizada con registro 0245/TEOLOYU/IP/2020, resultando que por ese solo hecho se acredita la omisión de no dar contestación a lo solicitado dentro del término que tenía para hacerlo. No obstante lo anterior, si la autoridad revisora estima que con el texto que contiene el oficio de la Tesorera municipal se satisface una respuesta al solicitante de la información, sobre dicha circunstancia expongo que de igual forma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w:t>
      </w:r>
      <w:r w:rsidRPr="00BD6D2D">
        <w:rPr>
          <w:rFonts w:ascii="Palatino Linotype" w:hAnsi="Palatino Linotype"/>
          <w:i/>
          <w:color w:val="000000"/>
        </w:rPr>
        <w:lastRenderedPageBreak/>
        <w:t xml:space="preserve">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DIF/TEO/TES/069/2020 QUE SE ME DIO POR RESPUESTA EL SUJETO OBLIGADO SUSCRITO POR EL TESORERO DEL DIF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w:t>
      </w:r>
      <w:r w:rsidRPr="00BD6D2D">
        <w:rPr>
          <w:rFonts w:ascii="Palatino Linotype" w:hAnsi="Palatino Linotype"/>
          <w:i/>
          <w:color w:val="000000"/>
        </w:rPr>
        <w:lastRenderedPageBreak/>
        <w:t xml:space="preserve">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AL OFICIO OPDAPAS/DIRGRAL/OMA/099/2020 QUE SE ME DIO POR RESPUESTA EL SUJETO OBLIGADO SUSCRITO POR EL DIRECTOR GENERAL DE OPDAPAS. El citado director general argumenta en esencia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anterior, se </w:t>
      </w:r>
      <w:r w:rsidRPr="00BD6D2D">
        <w:rPr>
          <w:rFonts w:ascii="Palatino Linotype" w:hAnsi="Palatino Linotype"/>
          <w:i/>
          <w:color w:val="000000"/>
        </w:rPr>
        <w:lastRenderedPageBreak/>
        <w:t xml:space="preserve">traduce en un acto que provoca la deficiencia en la atención de las solicitudes de información así como el incumplimiento en los plazos de atención previstos por la ley en términos del artículo 222 fracciones II y VIII de la Ley de Transparencia Local, por tanto se actualiza una causa de responsabilidad administrativa imputable a la 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obligado. CUARTO AGRAVIO DE INCONFORMIDAD: EN RELACIÓN AL OFICIO </w:t>
      </w:r>
      <w:proofErr w:type="spellStart"/>
      <w:r w:rsidRPr="00BD6D2D">
        <w:rPr>
          <w:rFonts w:ascii="Palatino Linotype" w:hAnsi="Palatino Linotype"/>
          <w:i/>
          <w:color w:val="000000"/>
        </w:rPr>
        <w:t>DFyA</w:t>
      </w:r>
      <w:proofErr w:type="spellEnd"/>
      <w:r w:rsidRPr="00BD6D2D">
        <w:rPr>
          <w:rFonts w:ascii="Palatino Linotype" w:hAnsi="Palatino Linotype"/>
          <w:i/>
          <w:color w:val="000000"/>
        </w:rPr>
        <w:t>/</w:t>
      </w:r>
      <w:proofErr w:type="spellStart"/>
      <w:r w:rsidRPr="00BD6D2D">
        <w:rPr>
          <w:rFonts w:ascii="Palatino Linotype" w:hAnsi="Palatino Linotype"/>
          <w:i/>
          <w:color w:val="000000"/>
        </w:rPr>
        <w:t>Imcufidete</w:t>
      </w:r>
      <w:proofErr w:type="spellEnd"/>
      <w:r w:rsidRPr="00BD6D2D">
        <w:rPr>
          <w:rFonts w:ascii="Palatino Linotype" w:hAnsi="Palatino Linotype"/>
          <w:i/>
          <w:color w:val="000000"/>
        </w:rPr>
        <w:t xml:space="preserve">/042/2020 QUE SE ME DIO POR RESPUESTA EL SUJETO OBLIGADO CUYA AUTORIA SE PRESUME AL C. ARTURO CERRATOS ALCARAZ COMO DIRECTOR GENERAL. En principio dicho oficio debe ser considerado como una omisión a proporcionarme información solicitada en tanto que el mismo no contiene firma ni sello de la persona que ahí aparece como “ARTURO CERRATOS ALCARAZ DIRECTOR GENERAL” presuntamente autor del mismo, de quien cabe agregar tampoco menciona su puesto o cargo dentro de la administración. En términos jurídicos y administrativos debe considerarse como la nada jurídica y por ende una omisión sistemática a darme información. No obstante lo anterior, del contenido del oficio referido se advierte un galimatías y cantinfleo argumentativo pues primero menciona que informa en relación a las solicitudes de información –sin especificar a cuales se refiere y sin informar nada-, y a continuación se transcribe el artículo 140 fracción V de la Ley de Transparencia Local, y por último agrega que los sujetos obligados solo proporcionaran información pública que se les requiera y que obre en sus archivos y estado en que se encuentre, todo ello se reitera, sin una coherencia y congruencia en su respuesta. Por tanto se actualiza varias causas de responsabilidad administrativa imputables al titular de la Unidad de Transparencia así como al responsable Director del IMCUFIDETE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información cuando el sujeto obligado deba generarla, derivado del ejercicio de sus facultades, competencias o funciones. QUINTO AGRAVIO DE INCONFORMIDAD: EN RELACIÓN A LOS OFICIOS TES/OE/247/09/2020 (TESORERIA); DIF/TEO/TES/069/2020 (TESORERIA DIF); OPDAPAS/DIRGRAL/OMA/099/2020 (DIRECCION OPDAPAS); y </w:t>
      </w:r>
      <w:proofErr w:type="spellStart"/>
      <w:r w:rsidRPr="00BD6D2D">
        <w:rPr>
          <w:rFonts w:ascii="Palatino Linotype" w:hAnsi="Palatino Linotype"/>
          <w:i/>
          <w:color w:val="000000"/>
        </w:rPr>
        <w:lastRenderedPageBreak/>
        <w:t>DFyA</w:t>
      </w:r>
      <w:proofErr w:type="spellEnd"/>
      <w:r w:rsidRPr="00BD6D2D">
        <w:rPr>
          <w:rFonts w:ascii="Palatino Linotype" w:hAnsi="Palatino Linotype"/>
          <w:i/>
          <w:color w:val="000000"/>
        </w:rPr>
        <w:t>/</w:t>
      </w:r>
      <w:proofErr w:type="spellStart"/>
      <w:r w:rsidRPr="00BD6D2D">
        <w:rPr>
          <w:rFonts w:ascii="Palatino Linotype" w:hAnsi="Palatino Linotype"/>
          <w:i/>
          <w:color w:val="000000"/>
        </w:rPr>
        <w:t>Imcufidete</w:t>
      </w:r>
      <w:proofErr w:type="spellEnd"/>
      <w:r w:rsidRPr="00BD6D2D">
        <w:rPr>
          <w:rFonts w:ascii="Palatino Linotype" w:hAnsi="Palatino Linotype"/>
          <w:i/>
          <w:color w:val="000000"/>
        </w:rPr>
        <w:t xml:space="preserve">/042/2020 (PRESUNTAMENTE ELABORADO POR EL IMCUFIDETE).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por tratarse de los EJERCICIOS DE EGRESOS PRESUPUESTARIOS y que están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En ese orden de ideas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w:t>
      </w:r>
      <w:proofErr w:type="spellStart"/>
      <w:r w:rsidRPr="00BD6D2D">
        <w:rPr>
          <w:rFonts w:ascii="Palatino Linotype" w:hAnsi="Palatino Linotype"/>
          <w:i/>
          <w:color w:val="000000"/>
        </w:rPr>
        <w:t>pro</w:t>
      </w:r>
      <w:proofErr w:type="spellEnd"/>
      <w:r w:rsidRPr="00BD6D2D">
        <w:rPr>
          <w:rFonts w:ascii="Palatino Linotype" w:hAnsi="Palatino Linotype"/>
          <w:i/>
          <w:color w:val="000000"/>
        </w:rPr>
        <w:t xml:space="preserve"> persona en beneficio de la protección </w:t>
      </w:r>
      <w:r w:rsidRPr="00BD6D2D">
        <w:rPr>
          <w:rFonts w:ascii="Palatino Linotype" w:hAnsi="Palatino Linotype"/>
          <w:i/>
          <w:color w:val="000000"/>
        </w:rPr>
        <w:lastRenderedPageBreak/>
        <w:t xml:space="preserve">más amplia del hoy impugnante y el de máxima publicidad, establecidos en el artículo 1 de la Constitución Federal, así como el 4 y 8 de la Ley de Transparencia Local, respectivamente, de ahí el agravio ocasionado ante la negativa de exhibirme la información solicitada. SEXTO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TES/OE/247/09/2020 (TESORERIA); DIF/TEO/TES/069/2020 (TESORERIA DIF); OPDAPAS/DIRGRAL/OMA/099/2020 (DIRECCION OPDAPAS); y </w:t>
      </w:r>
      <w:proofErr w:type="spellStart"/>
      <w:r w:rsidRPr="00BD6D2D">
        <w:rPr>
          <w:rFonts w:ascii="Palatino Linotype" w:hAnsi="Palatino Linotype"/>
          <w:i/>
          <w:color w:val="000000"/>
        </w:rPr>
        <w:t>DFyA</w:t>
      </w:r>
      <w:proofErr w:type="spellEnd"/>
      <w:r w:rsidRPr="00BD6D2D">
        <w:rPr>
          <w:rFonts w:ascii="Palatino Linotype" w:hAnsi="Palatino Linotype"/>
          <w:i/>
          <w:color w:val="000000"/>
        </w:rPr>
        <w:t>/</w:t>
      </w:r>
      <w:proofErr w:type="spellStart"/>
      <w:r w:rsidRPr="00BD6D2D">
        <w:rPr>
          <w:rFonts w:ascii="Palatino Linotype" w:hAnsi="Palatino Linotype"/>
          <w:i/>
          <w:color w:val="000000"/>
        </w:rPr>
        <w:t>Imcufidete</w:t>
      </w:r>
      <w:proofErr w:type="spellEnd"/>
      <w:r w:rsidRPr="00BD6D2D">
        <w:rPr>
          <w:rFonts w:ascii="Palatino Linotype" w:hAnsi="Palatino Linotype"/>
          <w:i/>
          <w:color w:val="000000"/>
        </w:rPr>
        <w:t>/042/2020 (PRESUNTAMENTE ELABORADO POR EL IMCUFIDETE)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14:paraId="7745CC2F" w14:textId="77777777" w:rsidR="00ED2F87" w:rsidRDefault="00ED2F87" w:rsidP="00ED2F87">
      <w:pPr>
        <w:spacing w:after="0" w:line="360" w:lineRule="auto"/>
        <w:jc w:val="both"/>
        <w:rPr>
          <w:rFonts w:ascii="Palatino Linotype" w:hAnsi="Palatino Linotype" w:cs="Arial"/>
          <w:sz w:val="24"/>
          <w:szCs w:val="24"/>
        </w:rPr>
      </w:pPr>
    </w:p>
    <w:p w14:paraId="4BB72EB2" w14:textId="77777777" w:rsidR="00ED2F87" w:rsidRDefault="00ED2F87" w:rsidP="00ED2F87">
      <w:pPr>
        <w:spacing w:after="0" w:line="360" w:lineRule="auto"/>
        <w:jc w:val="both"/>
        <w:rPr>
          <w:rFonts w:ascii="Palatino Linotype" w:hAnsi="Palatino Linotype" w:cs="Arial"/>
          <w:sz w:val="24"/>
          <w:szCs w:val="24"/>
        </w:rPr>
      </w:pPr>
    </w:p>
    <w:p w14:paraId="4D8733D0" w14:textId="77777777" w:rsidR="00ED2F87" w:rsidRDefault="00ED2F87" w:rsidP="00ED2F8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14:paraId="56DB8189" w14:textId="77777777" w:rsidR="00ED2F87" w:rsidRPr="00567822" w:rsidRDefault="00ED2F87" w:rsidP="00ED2F8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veintidós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14:paraId="3E054FD8" w14:textId="77777777" w:rsidR="00ED2F87" w:rsidRDefault="00ED2F87" w:rsidP="00ED2F87">
      <w:pPr>
        <w:spacing w:after="0" w:line="360" w:lineRule="auto"/>
        <w:ind w:right="49"/>
        <w:jc w:val="both"/>
        <w:rPr>
          <w:rFonts w:ascii="Palatino Linotype" w:eastAsia="Times New Roman" w:hAnsi="Palatino Linotype" w:cs="Arial"/>
          <w:sz w:val="24"/>
          <w:szCs w:val="24"/>
          <w:lang w:val="es-ES_tradnl" w:eastAsia="es-ES"/>
        </w:rPr>
      </w:pPr>
    </w:p>
    <w:p w14:paraId="6CD4DA99" w14:textId="77777777" w:rsidR="00ED2F87" w:rsidRDefault="00ED2F87" w:rsidP="00ED2F8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lastRenderedPageBreak/>
        <w:t xml:space="preserve">QUINTO. </w:t>
      </w:r>
      <w:r>
        <w:rPr>
          <w:rFonts w:ascii="Palatino Linotype" w:eastAsia="Times New Roman" w:hAnsi="Palatino Linotype" w:cs="Arial"/>
          <w:b/>
          <w:sz w:val="28"/>
          <w:szCs w:val="28"/>
          <w:lang w:val="es-ES_tradnl" w:eastAsia="es-ES"/>
        </w:rPr>
        <w:t>De la admisión del recursos</w:t>
      </w:r>
    </w:p>
    <w:p w14:paraId="3CD30436" w14:textId="77777777" w:rsidR="00ED2F87" w:rsidRPr="00567822" w:rsidRDefault="00ED2F87" w:rsidP="00ED2F8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veintiocho de octubre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0655635D" w14:textId="77777777" w:rsidR="00ED2F87" w:rsidRDefault="00ED2F87" w:rsidP="00ED2F87">
      <w:pPr>
        <w:spacing w:after="0" w:line="360" w:lineRule="auto"/>
        <w:ind w:right="49"/>
        <w:jc w:val="both"/>
        <w:rPr>
          <w:rFonts w:ascii="Palatino Linotype" w:eastAsia="Times New Roman" w:hAnsi="Palatino Linotype" w:cs="Arial"/>
          <w:sz w:val="24"/>
          <w:szCs w:val="24"/>
          <w:lang w:val="es-ES" w:eastAsia="es-ES"/>
        </w:rPr>
      </w:pPr>
    </w:p>
    <w:p w14:paraId="14D18ECD" w14:textId="77777777" w:rsidR="00ED2F87" w:rsidRPr="00567822" w:rsidRDefault="00ED2F87" w:rsidP="00ED2F87">
      <w:pPr>
        <w:spacing w:after="0" w:line="360" w:lineRule="auto"/>
        <w:ind w:right="49"/>
        <w:jc w:val="both"/>
        <w:rPr>
          <w:rFonts w:ascii="Palatino Linotype" w:eastAsia="Times New Roman" w:hAnsi="Palatino Linotype" w:cs="Arial"/>
          <w:sz w:val="24"/>
          <w:szCs w:val="24"/>
          <w:lang w:val="es-ES" w:eastAsia="es-ES"/>
        </w:rPr>
      </w:pPr>
    </w:p>
    <w:p w14:paraId="466001CC" w14:textId="77777777" w:rsidR="00ED2F87" w:rsidRPr="004C083E" w:rsidRDefault="00ED2F87" w:rsidP="00ED2F8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6C31D935"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Pr="009D46DE">
        <w:rPr>
          <w:rFonts w:ascii="Palatino Linotype" w:hAnsi="Palatino Linotype" w:cs="Arial"/>
          <w:sz w:val="24"/>
          <w:szCs w:val="24"/>
        </w:rPr>
        <w:t>Oficio enviado sol 245-2020.pdf</w:t>
      </w:r>
      <w:r>
        <w:rPr>
          <w:rFonts w:ascii="Palatino Linotype" w:hAnsi="Palatino Linotype" w:cs="Arial"/>
          <w:sz w:val="24"/>
          <w:szCs w:val="24"/>
        </w:rPr>
        <w:t xml:space="preserve">”, mediante el cual la Titular de la Unidad de Transparencia informó a las distintas áreas, que fue interpuesto el recurso de revisión 004640/INFOEM/IP/RR/2020, documento el cual se puso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14:paraId="4F66A7E3" w14:textId="77777777" w:rsidR="00ED2F87" w:rsidRPr="004E2FF4" w:rsidRDefault="00ED2F87" w:rsidP="00ED2F87">
      <w:pPr>
        <w:spacing w:after="0" w:line="360" w:lineRule="auto"/>
        <w:jc w:val="both"/>
        <w:rPr>
          <w:rFonts w:ascii="Palatino Linotype" w:hAnsi="Palatino Linotype" w:cs="Arial"/>
          <w:sz w:val="24"/>
          <w:szCs w:val="24"/>
        </w:rPr>
      </w:pPr>
    </w:p>
    <w:p w14:paraId="30437D04"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81FDC38" w14:textId="77777777" w:rsidR="00ED2F87" w:rsidRDefault="00ED2F87" w:rsidP="00ED2F87">
      <w:pPr>
        <w:spacing w:after="0" w:line="360" w:lineRule="auto"/>
        <w:jc w:val="both"/>
        <w:rPr>
          <w:rFonts w:ascii="Palatino Linotype" w:hAnsi="Palatino Linotype" w:cs="Arial"/>
          <w:sz w:val="24"/>
          <w:szCs w:val="24"/>
        </w:rPr>
      </w:pPr>
    </w:p>
    <w:p w14:paraId="69501B0C" w14:textId="77777777" w:rsidR="00ED2F87" w:rsidRDefault="00ED2F87" w:rsidP="00ED2F87">
      <w:pPr>
        <w:spacing w:after="0" w:line="360" w:lineRule="auto"/>
        <w:jc w:val="both"/>
        <w:rPr>
          <w:rFonts w:ascii="Palatino Linotype" w:hAnsi="Palatino Linotype" w:cs="Arial"/>
          <w:sz w:val="24"/>
          <w:szCs w:val="24"/>
        </w:rPr>
      </w:pPr>
    </w:p>
    <w:p w14:paraId="412A78DF" w14:textId="77777777" w:rsidR="00ED2F87" w:rsidRPr="004C083E" w:rsidRDefault="00ED2F87" w:rsidP="00ED2F8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SÉPTIMO. Del cierre de instrucción.</w:t>
      </w:r>
    </w:p>
    <w:p w14:paraId="156BD0DD" w14:textId="77777777" w:rsidR="00ED2F87" w:rsidRDefault="00ED2F87" w:rsidP="00ED2F8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diez de noviembre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64387D8F" w14:textId="77777777" w:rsidR="00ED2F87" w:rsidRDefault="00ED2F87" w:rsidP="00ED2F87">
      <w:pPr>
        <w:spacing w:after="0" w:line="360" w:lineRule="auto"/>
        <w:jc w:val="both"/>
        <w:rPr>
          <w:rFonts w:ascii="Palatino Linotype" w:hAnsi="Palatino Linotype" w:cs="Arial"/>
          <w:sz w:val="24"/>
          <w:szCs w:val="24"/>
        </w:rPr>
      </w:pPr>
    </w:p>
    <w:p w14:paraId="6635B788" w14:textId="77777777" w:rsidR="00ED2F87" w:rsidRPr="004C7D4A" w:rsidRDefault="00ED2F87" w:rsidP="00ED2F87">
      <w:pPr>
        <w:spacing w:after="0" w:line="360" w:lineRule="auto"/>
        <w:jc w:val="center"/>
        <w:rPr>
          <w:rFonts w:ascii="Palatino Linotype" w:hAnsi="Palatino Linotype" w:cs="Arial"/>
          <w:b/>
          <w:sz w:val="24"/>
          <w:szCs w:val="24"/>
        </w:rPr>
      </w:pPr>
    </w:p>
    <w:p w14:paraId="35CEBB6B" w14:textId="77777777" w:rsidR="00ED2F87" w:rsidRPr="008B6600" w:rsidRDefault="00ED2F87" w:rsidP="00ED2F8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56F8B7A2" w14:textId="77777777" w:rsidR="00ED2F87" w:rsidRPr="00AD2A55" w:rsidRDefault="00ED2F87" w:rsidP="00ED2F87">
      <w:pPr>
        <w:spacing w:after="0" w:line="360" w:lineRule="auto"/>
        <w:jc w:val="center"/>
        <w:rPr>
          <w:rFonts w:ascii="Palatino Linotype" w:hAnsi="Palatino Linotype" w:cs="Arial"/>
          <w:b/>
          <w:sz w:val="24"/>
          <w:szCs w:val="24"/>
        </w:rPr>
      </w:pPr>
    </w:p>
    <w:p w14:paraId="1EA9B1CC" w14:textId="77777777" w:rsidR="00ED2F87" w:rsidRPr="00600F1D" w:rsidRDefault="00ED2F87" w:rsidP="00ED2F8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6F16A0D2" w14:textId="77777777" w:rsidR="00ED2F87" w:rsidRDefault="00ED2F87" w:rsidP="00ED2F8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52247D97" w14:textId="77777777" w:rsidR="00ED2F87" w:rsidRPr="00600F1D" w:rsidRDefault="00ED2F87" w:rsidP="00ED2F8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14:paraId="5CF2F9DF"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68CF0E"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7FDC2D44"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CC17A2C"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6578B62F"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180</w:t>
      </w:r>
      <w:r w:rsidRPr="009D46DE">
        <w:rPr>
          <w:rFonts w:ascii="Palatino Linotype" w:hAnsi="Palatino Linotype" w:cs="Arial"/>
          <w:i/>
          <w:szCs w:val="24"/>
        </w:rPr>
        <w:t xml:space="preserve">. El recurso de revisión contendrá: </w:t>
      </w:r>
    </w:p>
    <w:p w14:paraId="62F21EDC"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xml:space="preserve">. El sujeto obligado ante la cual se presentó la solicitud; </w:t>
      </w:r>
    </w:p>
    <w:p w14:paraId="7D96CC70"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w:t>
      </w:r>
      <w:r w:rsidRPr="009D46DE">
        <w:rPr>
          <w:rFonts w:ascii="Palatino Linotype" w:hAnsi="Palatino Linotype" w:cs="Arial"/>
          <w:i/>
          <w:szCs w:val="24"/>
        </w:rPr>
        <w:t xml:space="preserve">. </w:t>
      </w:r>
      <w:r w:rsidRPr="009D46DE">
        <w:rPr>
          <w:rFonts w:ascii="Palatino Linotype" w:hAnsi="Palatino Linotype" w:cs="Arial"/>
          <w:i/>
          <w:szCs w:val="24"/>
          <w:u w:val="single"/>
        </w:rPr>
        <w:t>El nombre del solicitante</w:t>
      </w:r>
      <w:r w:rsidRPr="009D46DE">
        <w:rPr>
          <w:rFonts w:ascii="Palatino Linotype" w:hAnsi="Palatino Linotype" w:cs="Arial"/>
          <w:i/>
          <w:szCs w:val="24"/>
        </w:rPr>
        <w:t xml:space="preserve"> que recurre o de su representante y, en su caso, del tercero interesado, así como la dirección o medio que señale para recibir notificaciones; </w:t>
      </w:r>
    </w:p>
    <w:p w14:paraId="1D2DE1D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El número de folio de respuesta de la solicitud de acceso; </w:t>
      </w:r>
    </w:p>
    <w:p w14:paraId="043CF5F5"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IV</w:t>
      </w:r>
      <w:r w:rsidRPr="009D46D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31B4621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xml:space="preserve">. El acto que se recurre; </w:t>
      </w:r>
    </w:p>
    <w:p w14:paraId="7024CF85"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w:t>
      </w:r>
      <w:r w:rsidRPr="009D46DE">
        <w:rPr>
          <w:rFonts w:ascii="Palatino Linotype" w:hAnsi="Palatino Linotype" w:cs="Arial"/>
          <w:i/>
          <w:szCs w:val="24"/>
        </w:rPr>
        <w:t xml:space="preserve">. Las razones o motivos de inconformidad; </w:t>
      </w:r>
    </w:p>
    <w:p w14:paraId="4F3A0B1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w:t>
      </w:r>
      <w:r w:rsidRPr="009D46DE">
        <w:rPr>
          <w:rFonts w:ascii="Palatino Linotype" w:hAnsi="Palatino Linotype" w:cs="Arial"/>
          <w:i/>
          <w:szCs w:val="24"/>
        </w:rPr>
        <w:t xml:space="preserve">. La copia de la respuesta que se impugna y, en su caso, de la notificación correspondiente, en el caso de respuesta de la solicitud; y </w:t>
      </w:r>
    </w:p>
    <w:p w14:paraId="00C943A9"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VIII</w:t>
      </w:r>
      <w:r w:rsidRPr="009D46DE">
        <w:rPr>
          <w:rFonts w:ascii="Palatino Linotype" w:hAnsi="Palatino Linotype" w:cs="Arial"/>
          <w:i/>
          <w:szCs w:val="24"/>
        </w:rPr>
        <w:t xml:space="preserve">. Firma del recurrente, en su caso, cuando se presente por escrito, requisito sin el cual se dará trámite al recurso. </w:t>
      </w:r>
    </w:p>
    <w:p w14:paraId="443561FE"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Adicionalmente, se podrán anexar las pruebas y demás elementos que considere procedentes someter a juicio del Instituto. </w:t>
      </w:r>
    </w:p>
    <w:p w14:paraId="4EFD1E9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 xml:space="preserve">En ningún caso será necesario que el particular ratifique el recurso de revisión interpuesto. </w:t>
      </w:r>
    </w:p>
    <w:p w14:paraId="5F8AAF6A"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u w:val="single"/>
        </w:rPr>
      </w:pPr>
      <w:r w:rsidRPr="009D46DE">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14:paraId="6678505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p>
    <w:p w14:paraId="30AE3953" w14:textId="77777777" w:rsidR="00ED2F87" w:rsidRPr="009D46DE" w:rsidRDefault="00ED2F87" w:rsidP="00ED2F87">
      <w:pPr>
        <w:autoSpaceDE w:val="0"/>
        <w:autoSpaceDN w:val="0"/>
        <w:adjustRightInd w:val="0"/>
        <w:spacing w:after="0" w:line="240" w:lineRule="auto"/>
        <w:ind w:left="567" w:right="567"/>
        <w:jc w:val="right"/>
        <w:rPr>
          <w:rFonts w:ascii="Palatino Linotype" w:hAnsi="Palatino Linotype" w:cs="Arial"/>
          <w:szCs w:val="24"/>
        </w:rPr>
      </w:pPr>
      <w:r w:rsidRPr="009D46DE">
        <w:rPr>
          <w:rFonts w:ascii="Palatino Linotype" w:hAnsi="Palatino Linotype" w:cs="Arial"/>
          <w:szCs w:val="24"/>
        </w:rPr>
        <w:t>(Énfasis añadido)</w:t>
      </w:r>
    </w:p>
    <w:p w14:paraId="26D9EF55"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11BF62FA"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14:paraId="7644D527"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49B22C2F"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D46DE">
        <w:rPr>
          <w:rFonts w:ascii="Palatino Linotype" w:hAnsi="Palatino Linotype" w:cs="Arial"/>
          <w:i/>
          <w:sz w:val="24"/>
          <w:szCs w:val="24"/>
        </w:rPr>
        <w:t>sine qua non</w:t>
      </w:r>
      <w:r w:rsidRPr="009D46DE">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355DA05"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1F99CE94"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9D46DE">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6A96D8A8"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38029D84" w14:textId="77777777" w:rsidR="00ED2F87" w:rsidRPr="009D46DE" w:rsidRDefault="00ED2F87" w:rsidP="00ED2F87">
      <w:pPr>
        <w:autoSpaceDE w:val="0"/>
        <w:autoSpaceDN w:val="0"/>
        <w:adjustRightInd w:val="0"/>
        <w:spacing w:after="0" w:line="240" w:lineRule="auto"/>
        <w:jc w:val="center"/>
        <w:rPr>
          <w:rFonts w:ascii="Palatino Linotype" w:hAnsi="Palatino Linotype" w:cs="Arial"/>
          <w:b/>
          <w:i/>
        </w:rPr>
      </w:pPr>
      <w:r w:rsidRPr="009D46DE">
        <w:rPr>
          <w:rFonts w:ascii="Palatino Linotype" w:hAnsi="Palatino Linotype" w:cs="Arial"/>
          <w:b/>
          <w:i/>
        </w:rPr>
        <w:t>Constitución Política de los Estados Unidos Mexicanos</w:t>
      </w:r>
    </w:p>
    <w:p w14:paraId="5761ADCA" w14:textId="77777777" w:rsidR="00ED2F87" w:rsidRPr="009D46DE" w:rsidRDefault="00ED2F87" w:rsidP="00ED2F87">
      <w:pPr>
        <w:autoSpaceDE w:val="0"/>
        <w:autoSpaceDN w:val="0"/>
        <w:adjustRightInd w:val="0"/>
        <w:spacing w:after="0" w:line="240" w:lineRule="auto"/>
        <w:jc w:val="both"/>
        <w:rPr>
          <w:rFonts w:ascii="Palatino Linotype" w:hAnsi="Palatino Linotype" w:cs="Arial"/>
        </w:rPr>
      </w:pPr>
    </w:p>
    <w:p w14:paraId="5954FA3E"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rPr>
      </w:pPr>
      <w:r w:rsidRPr="009D46DE">
        <w:rPr>
          <w:rFonts w:ascii="Palatino Linotype" w:hAnsi="Palatino Linotype" w:cs="Arial"/>
          <w:i/>
        </w:rPr>
        <w:t>“</w:t>
      </w:r>
      <w:r w:rsidRPr="009D46DE">
        <w:rPr>
          <w:rFonts w:ascii="Palatino Linotype" w:hAnsi="Palatino Linotype" w:cs="Arial"/>
          <w:b/>
          <w:i/>
        </w:rPr>
        <w:t>Artículo 6o</w:t>
      </w:r>
      <w:r w:rsidRPr="009D46D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C1110E3"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5C1B1A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efectos de lo dispuesto en el presente artículo se observará lo siguiente:</w:t>
      </w:r>
    </w:p>
    <w:p w14:paraId="12CA1231"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A</w:t>
      </w:r>
      <w:r w:rsidRPr="009D46D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D289B3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D6AC3F"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14:paraId="4B9ADA0F"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C3DE1"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14:paraId="00CE9EB5"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w:t>
      </w:r>
      <w:r w:rsidRPr="009D46DE">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AB418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VI.</w:t>
      </w:r>
      <w:r w:rsidRPr="009D46D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1FE6FC0"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14:paraId="49120090"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lastRenderedPageBreak/>
        <w:t>La ley establecerá aquella información que se considere reservada o confidencial.</w:t>
      </w:r>
    </w:p>
    <w:p w14:paraId="52AC747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p>
    <w:p w14:paraId="3CFC14FA"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p>
    <w:p w14:paraId="2DBD9350" w14:textId="77777777" w:rsidR="00ED2F87" w:rsidRPr="009D46DE" w:rsidRDefault="00ED2F87" w:rsidP="00ED2F87">
      <w:pPr>
        <w:autoSpaceDE w:val="0"/>
        <w:autoSpaceDN w:val="0"/>
        <w:adjustRightInd w:val="0"/>
        <w:spacing w:after="0" w:line="240" w:lineRule="auto"/>
        <w:ind w:left="567" w:right="567"/>
        <w:jc w:val="center"/>
        <w:rPr>
          <w:rFonts w:ascii="Palatino Linotype" w:hAnsi="Palatino Linotype" w:cs="Arial"/>
          <w:b/>
          <w:i/>
          <w:szCs w:val="24"/>
        </w:rPr>
      </w:pPr>
      <w:r w:rsidRPr="009D46DE">
        <w:rPr>
          <w:rFonts w:ascii="Palatino Linotype" w:hAnsi="Palatino Linotype" w:cs="Arial"/>
          <w:b/>
          <w:i/>
          <w:szCs w:val="24"/>
        </w:rPr>
        <w:t>Constitución Política del Estado Libre y Soberano de México</w:t>
      </w:r>
    </w:p>
    <w:p w14:paraId="5CC92B65"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p>
    <w:p w14:paraId="2C929889"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5</w:t>
      </w:r>
      <w:r w:rsidRPr="009D46DE">
        <w:rPr>
          <w:rFonts w:ascii="Palatino Linotype" w:hAnsi="Palatino Linotype" w:cs="Arial"/>
          <w:i/>
          <w:szCs w:val="24"/>
        </w:rPr>
        <w:t xml:space="preserve">. … </w:t>
      </w:r>
    </w:p>
    <w:p w14:paraId="0EF28741"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14:paraId="093B8708"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BB7FD25"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7759F8"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Este derecho se regirá por los principios y bases siguientes:</w:t>
      </w:r>
    </w:p>
    <w:p w14:paraId="39C35DA7"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w:t>
      </w:r>
      <w:r w:rsidRPr="009D46DE">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ECB280"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p>
    <w:p w14:paraId="1188A262"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b/>
          <w:i/>
          <w:szCs w:val="24"/>
        </w:rPr>
        <w:t>III</w:t>
      </w:r>
      <w:r w:rsidRPr="009D46DE">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1CA40D3" w14:textId="77777777" w:rsidR="00ED2F87" w:rsidRPr="009D46DE" w:rsidRDefault="00ED2F87" w:rsidP="00ED2F87">
      <w:pPr>
        <w:autoSpaceDE w:val="0"/>
        <w:autoSpaceDN w:val="0"/>
        <w:adjustRightInd w:val="0"/>
        <w:spacing w:after="0" w:line="240" w:lineRule="auto"/>
        <w:ind w:left="567" w:right="567"/>
        <w:jc w:val="right"/>
        <w:rPr>
          <w:rFonts w:ascii="Palatino Linotype" w:hAnsi="Palatino Linotype" w:cs="Arial"/>
          <w:i/>
          <w:szCs w:val="24"/>
        </w:rPr>
      </w:pPr>
      <w:r w:rsidRPr="009D46DE">
        <w:rPr>
          <w:rFonts w:ascii="Palatino Linotype" w:hAnsi="Palatino Linotype" w:cs="Arial"/>
          <w:i/>
          <w:szCs w:val="24"/>
        </w:rPr>
        <w:t>(Énfasis añadido)</w:t>
      </w:r>
    </w:p>
    <w:p w14:paraId="0725B37A"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4C62F41C"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Por otra parte, del contenido del artículo 1 de la Constitución Política de los Estados Unidos Mexicanos, se destaca lo siguiente:</w:t>
      </w:r>
    </w:p>
    <w:p w14:paraId="0B3BB722"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0CED487B"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Artículo 1o.</w:t>
      </w:r>
      <w:r w:rsidRPr="009D46D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9D46DE">
        <w:rPr>
          <w:rFonts w:ascii="Palatino Linotype" w:hAnsi="Palatino Linotype" w:cs="Arial"/>
          <w:i/>
          <w:szCs w:val="24"/>
        </w:rPr>
        <w:lastRenderedPageBreak/>
        <w:t>podrá restringirse ni suspenderse, salvo en los casos y bajo las condiciones que esta Constitución establece.</w:t>
      </w:r>
    </w:p>
    <w:p w14:paraId="060241D9"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1FA4C6E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702234"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5BDCEFE4"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5EBF736"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0877B65A"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39B451A"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26B6EF4E"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r w:rsidRPr="009D46DE">
        <w:rPr>
          <w:rFonts w:ascii="Palatino Linotype" w:hAnsi="Palatino Linotype" w:cs="Arial"/>
          <w:i/>
          <w:szCs w:val="24"/>
        </w:rPr>
        <w:t>“</w:t>
      </w:r>
      <w:r w:rsidRPr="009D46DE">
        <w:rPr>
          <w:rFonts w:ascii="Palatino Linotype" w:hAnsi="Palatino Linotype" w:cs="Arial"/>
          <w:b/>
          <w:i/>
          <w:szCs w:val="24"/>
        </w:rPr>
        <w:t>Acceso a información gubernamental. No debe condicionarse a que el solicitante acredite su personalidad, demuestre interés alguno o justifique su utilización.</w:t>
      </w:r>
      <w:r w:rsidRPr="009D46DE">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w:t>
      </w:r>
      <w:r w:rsidRPr="009D46DE">
        <w:rPr>
          <w:rFonts w:ascii="Palatino Linotype" w:hAnsi="Palatino Linotype" w:cs="Arial"/>
          <w:i/>
          <w:szCs w:val="24"/>
        </w:rPr>
        <w:lastRenderedPageBreak/>
        <w:t>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075CB9"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Cs w:val="24"/>
        </w:rPr>
      </w:pPr>
    </w:p>
    <w:p w14:paraId="5C7D19CB"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Resoluciones</w:t>
      </w:r>
    </w:p>
    <w:p w14:paraId="465372DD"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5275/13. Interpuesto en contra de la Secretaría de la Defensa Nacional. Comisionado Ponente Ángel Trinidad Zaldívar.</w:t>
      </w:r>
    </w:p>
    <w:p w14:paraId="0A6A5444"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xml:space="preserve">• RDA 2937/13. Interpuesto en contra de LICONSA, S.A. de C.V. Comisionado. Ponente Gerardo </w:t>
      </w:r>
      <w:proofErr w:type="spellStart"/>
      <w:r w:rsidRPr="009D46DE">
        <w:rPr>
          <w:rFonts w:ascii="Palatino Linotype" w:hAnsi="Palatino Linotype" w:cs="Arial"/>
          <w:i/>
          <w:sz w:val="20"/>
          <w:szCs w:val="24"/>
        </w:rPr>
        <w:t>Laveaga</w:t>
      </w:r>
      <w:proofErr w:type="spellEnd"/>
      <w:r w:rsidRPr="009D46DE">
        <w:rPr>
          <w:rFonts w:ascii="Palatino Linotype" w:hAnsi="Palatino Linotype" w:cs="Arial"/>
          <w:i/>
          <w:sz w:val="20"/>
          <w:szCs w:val="24"/>
        </w:rPr>
        <w:t xml:space="preserve"> Rendón.</w:t>
      </w:r>
    </w:p>
    <w:p w14:paraId="2C2F6F39"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xml:space="preserve">• RDA 3609/12. Interpuesto en contra de la Secretaría de Educación Pública. Comisionada Ponente Sigrid </w:t>
      </w:r>
      <w:proofErr w:type="spellStart"/>
      <w:r w:rsidRPr="009D46DE">
        <w:rPr>
          <w:rFonts w:ascii="Palatino Linotype" w:hAnsi="Palatino Linotype" w:cs="Arial"/>
          <w:i/>
          <w:sz w:val="20"/>
          <w:szCs w:val="24"/>
        </w:rPr>
        <w:t>Arzt</w:t>
      </w:r>
      <w:proofErr w:type="spellEnd"/>
      <w:r w:rsidRPr="009D46DE">
        <w:rPr>
          <w:rFonts w:ascii="Palatino Linotype" w:hAnsi="Palatino Linotype" w:cs="Arial"/>
          <w:i/>
          <w:sz w:val="20"/>
          <w:szCs w:val="24"/>
        </w:rPr>
        <w:t xml:space="preserve"> Colunga.</w:t>
      </w:r>
    </w:p>
    <w:p w14:paraId="32CAB23A"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RDA 3361/12. Interpuesto en contra del Servicio de Administración Tributaria. Comisionada Ponente María Elena Pérez-Jaén Zermeño.</w:t>
      </w:r>
    </w:p>
    <w:p w14:paraId="252430B7" w14:textId="77777777" w:rsidR="00ED2F87" w:rsidRPr="009D46DE" w:rsidRDefault="00ED2F87" w:rsidP="00ED2F87">
      <w:pPr>
        <w:autoSpaceDE w:val="0"/>
        <w:autoSpaceDN w:val="0"/>
        <w:adjustRightInd w:val="0"/>
        <w:spacing w:after="0" w:line="240" w:lineRule="auto"/>
        <w:ind w:left="567" w:right="567"/>
        <w:jc w:val="both"/>
        <w:rPr>
          <w:rFonts w:ascii="Palatino Linotype" w:hAnsi="Palatino Linotype" w:cs="Arial"/>
          <w:i/>
          <w:sz w:val="20"/>
          <w:szCs w:val="24"/>
        </w:rPr>
      </w:pPr>
      <w:r w:rsidRPr="009D46DE">
        <w:rPr>
          <w:rFonts w:ascii="Palatino Linotype" w:hAnsi="Palatino Linotype" w:cs="Arial"/>
          <w:i/>
          <w:sz w:val="20"/>
          <w:szCs w:val="24"/>
        </w:rPr>
        <w:t xml:space="preserve">• RDA 0563/12. Interpuesto en contra de la Secretaría de la Función Pública. Comisionada Ponente Jacqueline </w:t>
      </w:r>
      <w:proofErr w:type="spellStart"/>
      <w:r w:rsidRPr="009D46DE">
        <w:rPr>
          <w:rFonts w:ascii="Palatino Linotype" w:hAnsi="Palatino Linotype" w:cs="Arial"/>
          <w:i/>
          <w:sz w:val="20"/>
          <w:szCs w:val="24"/>
        </w:rPr>
        <w:t>Peschard</w:t>
      </w:r>
      <w:proofErr w:type="spellEnd"/>
      <w:r w:rsidRPr="009D46DE">
        <w:rPr>
          <w:rFonts w:ascii="Palatino Linotype" w:hAnsi="Palatino Linotype" w:cs="Arial"/>
          <w:i/>
          <w:sz w:val="20"/>
          <w:szCs w:val="24"/>
        </w:rPr>
        <w:t xml:space="preserve"> Mariscal.”</w:t>
      </w:r>
    </w:p>
    <w:p w14:paraId="786DA78E"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21C1F2F1"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2891C0DF"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7AA10320"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9D46DE">
        <w:rPr>
          <w:rFonts w:ascii="Palatino Linotype" w:hAnsi="Palatino Linotype" w:cs="Arial"/>
          <w:sz w:val="24"/>
          <w:szCs w:val="24"/>
        </w:rPr>
        <w:lastRenderedPageBreak/>
        <w:t>limitar un derecho humano, como lo es el derecho de acceso a la información pública, por una cuestión procedimental.</w:t>
      </w:r>
    </w:p>
    <w:p w14:paraId="0E01D3D8"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7728CAA0"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2F24F10"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p>
    <w:p w14:paraId="54D00B3A" w14:textId="77777777" w:rsidR="00ED2F87" w:rsidRPr="009D46DE" w:rsidRDefault="00ED2F87" w:rsidP="00ED2F87">
      <w:pPr>
        <w:autoSpaceDE w:val="0"/>
        <w:autoSpaceDN w:val="0"/>
        <w:adjustRightInd w:val="0"/>
        <w:spacing w:after="0" w:line="360" w:lineRule="auto"/>
        <w:jc w:val="both"/>
        <w:rPr>
          <w:rFonts w:ascii="Palatino Linotype" w:hAnsi="Palatino Linotype" w:cs="Arial"/>
          <w:sz w:val="24"/>
          <w:szCs w:val="24"/>
        </w:rPr>
      </w:pPr>
      <w:r w:rsidRPr="009D46DE">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C4B97FF"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0B12E902"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6F819D42" w14:textId="77777777" w:rsidR="00ED2F87" w:rsidRPr="006608BD" w:rsidRDefault="00ED2F87" w:rsidP="00ED2F8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14:paraId="5A7ADB45"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63ACE4B"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0908E020" w14:textId="77777777" w:rsidR="00ED2F87" w:rsidRPr="006608BD" w:rsidRDefault="00ED2F87" w:rsidP="00ED2F8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48AED0A" w14:textId="77777777" w:rsidR="00ED2F87" w:rsidRPr="006608BD" w:rsidRDefault="00ED2F87" w:rsidP="00ED2F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B46210" w14:textId="77777777" w:rsidR="00ED2F87" w:rsidRPr="006608BD" w:rsidRDefault="00ED2F87" w:rsidP="00ED2F8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3322D9F4" w14:textId="77777777" w:rsidR="00ED2F87" w:rsidRPr="006608BD" w:rsidRDefault="00ED2F87" w:rsidP="00ED2F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102CD2"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14:paraId="1694638F"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5BC34AC"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03D8E84"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14:paraId="4491243C"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14:paraId="0F27FA2D"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14:paraId="0BB544CD"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14:paraId="441D25A5" w14:textId="77777777" w:rsidR="00ED2F87" w:rsidRPr="006608BD" w:rsidRDefault="00ED2F87" w:rsidP="00ED2F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14:paraId="2D39F51F" w14:textId="77777777" w:rsidR="00ED2F87" w:rsidRPr="006608BD" w:rsidRDefault="00ED2F87" w:rsidP="00ED2F87">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237D795C" w14:textId="77777777" w:rsidR="00ED2F87" w:rsidRPr="006608BD" w:rsidRDefault="00ED2F87" w:rsidP="00ED2F8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FA582C2"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2B961921" w14:textId="77777777" w:rsidR="00ED2F87" w:rsidRDefault="00ED2F87" w:rsidP="00ED2F87">
      <w:pPr>
        <w:autoSpaceDE w:val="0"/>
        <w:autoSpaceDN w:val="0"/>
        <w:adjustRightInd w:val="0"/>
        <w:spacing w:after="0" w:line="360" w:lineRule="auto"/>
        <w:jc w:val="both"/>
        <w:rPr>
          <w:rFonts w:ascii="Palatino Linotype" w:hAnsi="Palatino Linotype" w:cs="Arial"/>
          <w:sz w:val="24"/>
          <w:szCs w:val="24"/>
        </w:rPr>
      </w:pPr>
    </w:p>
    <w:p w14:paraId="384ED9DC" w14:textId="77777777" w:rsidR="00ED2F87" w:rsidRPr="006608BD" w:rsidRDefault="00ED2F87" w:rsidP="00ED2F8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14:paraId="4408A2B7" w14:textId="77777777" w:rsidR="00ED2F87" w:rsidRPr="006608BD" w:rsidRDefault="00ED2F87" w:rsidP="00ED2F8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6608BD">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1A571F7F" w14:textId="77777777" w:rsidR="00ED2F87" w:rsidRPr="006608BD" w:rsidRDefault="00ED2F87" w:rsidP="00ED2F87">
      <w:pPr>
        <w:autoSpaceDE w:val="0"/>
        <w:autoSpaceDN w:val="0"/>
        <w:adjustRightInd w:val="0"/>
        <w:spacing w:after="0" w:line="360" w:lineRule="auto"/>
        <w:jc w:val="both"/>
        <w:rPr>
          <w:rFonts w:ascii="Palatino Linotype" w:hAnsi="Palatino Linotype" w:cs="Arial"/>
          <w:sz w:val="24"/>
          <w:szCs w:val="24"/>
        </w:rPr>
      </w:pPr>
    </w:p>
    <w:p w14:paraId="1B601CE3" w14:textId="77777777" w:rsidR="00ED2F87" w:rsidRPr="006608BD" w:rsidRDefault="00ED2F87" w:rsidP="00ED2F87">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14:paraId="5140EA75" w14:textId="77777777" w:rsidR="00ED2F87" w:rsidRPr="00227456" w:rsidRDefault="00ED2F87" w:rsidP="00ED2F8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426F7AF9" w14:textId="77777777" w:rsidR="00ED2F87" w:rsidRDefault="00ED2F87" w:rsidP="00ED2F8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w:t>
      </w:r>
      <w:r>
        <w:rPr>
          <w:rFonts w:ascii="Palatino Linotype" w:hAnsi="Palatino Linotype"/>
          <w:sz w:val="24"/>
          <w:szCs w:val="24"/>
        </w:rPr>
        <w:t xml:space="preserve"> la lectura de</w:t>
      </w:r>
      <w:r w:rsidRPr="0053687A">
        <w:rPr>
          <w:rFonts w:ascii="Palatino Linotype" w:hAnsi="Palatino Linotype"/>
          <w:sz w:val="24"/>
          <w:szCs w:val="24"/>
        </w:rPr>
        <w:t xml:space="preserve">l texto de la solicitud de información, </w:t>
      </w:r>
      <w:r>
        <w:rPr>
          <w:rFonts w:ascii="Palatino Linotype" w:hAnsi="Palatino Linotype"/>
          <w:sz w:val="24"/>
          <w:szCs w:val="24"/>
        </w:rPr>
        <w:t xml:space="preserve">que el </w:t>
      </w:r>
      <w:r w:rsidRPr="00D7744C">
        <w:rPr>
          <w:rFonts w:ascii="Palatino Linotype" w:hAnsi="Palatino Linotype"/>
          <w:b/>
          <w:sz w:val="24"/>
          <w:szCs w:val="24"/>
        </w:rPr>
        <w:t>recurrente</w:t>
      </w:r>
      <w:r w:rsidRPr="0053687A">
        <w:rPr>
          <w:rFonts w:ascii="Palatino Linotype" w:hAnsi="Palatino Linotype"/>
          <w:sz w:val="24"/>
          <w:szCs w:val="24"/>
        </w:rPr>
        <w:t>,</w:t>
      </w:r>
      <w:r>
        <w:rPr>
          <w:rFonts w:ascii="Palatino Linotype" w:hAnsi="Palatino Linotype"/>
          <w:sz w:val="24"/>
          <w:szCs w:val="24"/>
        </w:rPr>
        <w:t xml:space="preserve"> peticiona le sea entregado en archivo tipo PDF</w:t>
      </w:r>
      <w:r>
        <w:rPr>
          <w:rStyle w:val="Refdenotaalpie"/>
          <w:rFonts w:ascii="Palatino Linotype" w:hAnsi="Palatino Linotype"/>
          <w:sz w:val="24"/>
          <w:szCs w:val="24"/>
        </w:rPr>
        <w:footnoteReference w:id="1"/>
      </w:r>
      <w:r>
        <w:rPr>
          <w:rFonts w:ascii="Palatino Linotype" w:hAnsi="Palatino Linotype"/>
          <w:sz w:val="24"/>
          <w:szCs w:val="24"/>
        </w:rPr>
        <w:t>, lo siguiente:</w:t>
      </w:r>
    </w:p>
    <w:p w14:paraId="49CD6E95"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691838F2" w14:textId="77777777" w:rsidR="00ED2F87" w:rsidRDefault="00ED2F87" w:rsidP="00ED2F87">
      <w:pPr>
        <w:pStyle w:val="Prrafodelista"/>
        <w:numPr>
          <w:ilvl w:val="0"/>
          <w:numId w:val="3"/>
        </w:numPr>
        <w:spacing w:line="360" w:lineRule="auto"/>
        <w:ind w:left="993" w:right="567"/>
        <w:jc w:val="both"/>
        <w:rPr>
          <w:rFonts w:ascii="Palatino Linotype" w:eastAsia="Calibri" w:hAnsi="Palatino Linotype"/>
          <w:lang w:val="es-ES_tradnl"/>
        </w:rPr>
      </w:pPr>
      <w:r>
        <w:rPr>
          <w:rFonts w:ascii="Palatino Linotype" w:eastAsia="Calibri" w:hAnsi="Palatino Linotype"/>
          <w:lang w:val="es-ES_tradnl"/>
        </w:rPr>
        <w:t>Ejercicio de egresos presupuestarios de los años 2019 y transcurrido del 2020:</w:t>
      </w:r>
    </w:p>
    <w:p w14:paraId="614D8E8D" w14:textId="77777777" w:rsidR="00ED2F87" w:rsidRDefault="00ED2F87" w:rsidP="00ED2F87">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Administración central;</w:t>
      </w:r>
    </w:p>
    <w:p w14:paraId="7762B3FA" w14:textId="77777777" w:rsidR="00ED2F87" w:rsidRDefault="00ED2F87" w:rsidP="00ED2F87">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Organismos descentralizados;</w:t>
      </w:r>
    </w:p>
    <w:p w14:paraId="209F6839" w14:textId="77777777" w:rsidR="00ED2F87" w:rsidRDefault="00ED2F87" w:rsidP="00ED2F87">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DIF Municipal;</w:t>
      </w:r>
    </w:p>
    <w:p w14:paraId="1E6E037D" w14:textId="77777777" w:rsidR="00ED2F87" w:rsidRDefault="00ED2F87" w:rsidP="00ED2F87">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Organismo Público del Agua;</w:t>
      </w:r>
    </w:p>
    <w:p w14:paraId="7D888F66" w14:textId="77777777" w:rsidR="00ED2F87" w:rsidRPr="0028031E" w:rsidRDefault="00ED2F87" w:rsidP="00ED2F87">
      <w:pPr>
        <w:pStyle w:val="Prrafodelista"/>
        <w:numPr>
          <w:ilvl w:val="0"/>
          <w:numId w:val="4"/>
        </w:numPr>
        <w:spacing w:line="360" w:lineRule="auto"/>
        <w:ind w:left="1276" w:right="567"/>
        <w:jc w:val="both"/>
        <w:rPr>
          <w:rFonts w:ascii="Palatino Linotype" w:eastAsia="Calibri" w:hAnsi="Palatino Linotype"/>
          <w:lang w:val="es-ES_tradnl"/>
        </w:rPr>
      </w:pPr>
      <w:r>
        <w:rPr>
          <w:rFonts w:ascii="Palatino Linotype" w:eastAsia="Calibri" w:hAnsi="Palatino Linotype"/>
          <w:lang w:val="es-ES_tradnl"/>
        </w:rPr>
        <w:t>IMCUFIDE</w:t>
      </w:r>
    </w:p>
    <w:p w14:paraId="7AF236B6"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3929CB4B"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Como quedó precisado en el apartado de antecedentes,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adjunto los archivos electrónicos “</w:t>
      </w:r>
      <w:r w:rsidRPr="0028031E">
        <w:rPr>
          <w:rFonts w:ascii="Palatino Linotype" w:eastAsia="Calibri" w:hAnsi="Palatino Linotype" w:cs="Times New Roman"/>
          <w:sz w:val="24"/>
          <w:szCs w:val="24"/>
          <w:lang w:val="es-ES_tradnl" w:eastAsia="es-ES"/>
        </w:rPr>
        <w:t>Oficio Tesorería.pdf, oficio opdapast.pdf, Oficio DIF.pdf, OFICIO DIF-TEO-TES-069-2020 OFICIO dIF.pdf y Oficio Icufide.pdf</w:t>
      </w:r>
      <w:r>
        <w:rPr>
          <w:rFonts w:ascii="Palatino Linotype" w:eastAsia="Calibri" w:hAnsi="Palatino Linotype" w:cs="Times New Roman"/>
          <w:sz w:val="24"/>
          <w:szCs w:val="24"/>
          <w:lang w:val="es-ES_tradnl" w:eastAsia="es-ES"/>
        </w:rPr>
        <w:t>”, de los que se advierte el contenido siguiente:</w:t>
      </w:r>
    </w:p>
    <w:p w14:paraId="1368DABC"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389C13A6" w14:textId="77777777" w:rsidR="00ED2F87" w:rsidRPr="00AD2F75" w:rsidRDefault="00ED2F87" w:rsidP="00ED2F87">
      <w:pPr>
        <w:pStyle w:val="Prrafodelista"/>
        <w:numPr>
          <w:ilvl w:val="0"/>
          <w:numId w:val="2"/>
        </w:numPr>
        <w:spacing w:line="360" w:lineRule="auto"/>
        <w:jc w:val="both"/>
        <w:rPr>
          <w:rFonts w:ascii="Palatino Linotype" w:eastAsia="Calibri" w:hAnsi="Palatino Linotype"/>
          <w:lang w:val="es-ES_tradnl"/>
        </w:rPr>
      </w:pPr>
      <w:r w:rsidRPr="0028031E">
        <w:rPr>
          <w:rFonts w:ascii="Palatino Linotype" w:hAnsi="Palatino Linotype" w:cs="Arial"/>
          <w:b/>
        </w:rPr>
        <w:t>Oficio Tesorería.pdf</w:t>
      </w:r>
      <w:r w:rsidRPr="000C200E">
        <w:rPr>
          <w:rFonts w:ascii="Palatino Linotype" w:hAnsi="Palatino Linotype" w:cs="Arial"/>
          <w:b/>
        </w:rPr>
        <w:t>:</w:t>
      </w:r>
      <w:r>
        <w:rPr>
          <w:rFonts w:ascii="Palatino Linotype" w:hAnsi="Palatino Linotype" w:cs="Arial"/>
        </w:rPr>
        <w:t xml:space="preserve"> consistente en el oficio TES/OE/247/09/2020 de fecha veintiocho de septiembre de dos mil veinte, mediante el cual la Tesorera Municipal informa a la Titular de la Unidad de Transparencia, ambos del </w:t>
      </w:r>
      <w:r>
        <w:rPr>
          <w:rFonts w:ascii="Palatino Linotype" w:hAnsi="Palatino Linotype" w:cs="Arial"/>
          <w:b/>
        </w:rPr>
        <w:t>sujeto obligado,</w:t>
      </w:r>
      <w:r>
        <w:rPr>
          <w:rFonts w:ascii="Palatino Linotype" w:hAnsi="Palatino Linotype" w:cs="Arial"/>
        </w:rPr>
        <w:t xml:space="preserve"> en los términos siguientes:</w:t>
      </w:r>
    </w:p>
    <w:p w14:paraId="56AA875E" w14:textId="77777777" w:rsidR="00ED2F87" w:rsidRDefault="00ED2F87" w:rsidP="00ED2F87">
      <w:pPr>
        <w:pStyle w:val="Prrafodelista"/>
        <w:spacing w:line="360" w:lineRule="auto"/>
        <w:ind w:left="720"/>
        <w:jc w:val="both"/>
        <w:rPr>
          <w:rFonts w:ascii="Palatino Linotype" w:hAnsi="Palatino Linotype" w:cs="Arial"/>
          <w:b/>
          <w:lang w:val="es-ES_tradnl"/>
        </w:rPr>
      </w:pPr>
    </w:p>
    <w:p w14:paraId="67180699" w14:textId="77777777" w:rsidR="00ED2F87" w:rsidRDefault="00ED2F87" w:rsidP="00ED2F87">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Pr>
          <w:rFonts w:ascii="Palatino Linotype" w:hAnsi="Palatino Linotype" w:cs="Arial"/>
          <w:b/>
          <w:i/>
          <w:sz w:val="22"/>
          <w:szCs w:val="22"/>
          <w:lang w:val="es-ES_tradnl"/>
        </w:rPr>
        <w:t>En base a que esta tesorería se encuentra en proceso de Auditoria ordenada por el Órgano Superior de Fiscalización del Estado de México bajo la orden de Auditoria OSFEM/AED/666/20202 de fecha 23 de septiembre del presente año me es imposible proporcionar la información solicitada ya que la misma se encuentra  en proceso de revisión, la petición podrá ser solventada hasta contar con la liberación de la auditoria.</w:t>
      </w:r>
    </w:p>
    <w:p w14:paraId="1FC2198A"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745A8391" w14:textId="77777777" w:rsidR="00ED2F87" w:rsidRDefault="00ED2F87" w:rsidP="00ED2F87">
      <w:pPr>
        <w:pStyle w:val="Prrafodelista"/>
        <w:ind w:left="851"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Lo anterior de acuerdo al artículo 140 fracción V de la Ley de Transparencia y Acceso a la Información Pública del Estado de México y Municipios que a la letra dice “</w:t>
      </w:r>
      <w:r>
        <w:rPr>
          <w:rFonts w:ascii="Palatino Linotype" w:hAnsi="Palatino Linotype" w:cs="Arial"/>
          <w:b/>
          <w:i/>
          <w:sz w:val="22"/>
          <w:szCs w:val="22"/>
          <w:lang w:val="es-ES_tradnl"/>
        </w:rPr>
        <w:t>el acceso a la información pública será restringido excepcionalmente, cuando por razones de interés público, esta sea clasificada como reservada, conforme a los criterios siguientes:</w:t>
      </w:r>
    </w:p>
    <w:p w14:paraId="4F7659F8"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0A666885" w14:textId="77777777" w:rsidR="00ED2F87" w:rsidRDefault="00ED2F87" w:rsidP="00ED2F87">
      <w:pPr>
        <w:pStyle w:val="Prrafodelista"/>
        <w:ind w:left="851"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Fracción V. aquella cuya divulgación obstruya o pueda causar un perjuicio a:</w:t>
      </w:r>
    </w:p>
    <w:p w14:paraId="15C47F99"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2E5FDCC9" w14:textId="77777777" w:rsidR="00ED2F87" w:rsidRDefault="00ED2F87" w:rsidP="00ED2F87">
      <w:pPr>
        <w:pStyle w:val="Prrafodelista"/>
        <w:numPr>
          <w:ilvl w:val="6"/>
          <w:numId w:val="4"/>
        </w:numPr>
        <w:ind w:left="1276" w:right="850"/>
        <w:jc w:val="both"/>
        <w:rPr>
          <w:rFonts w:ascii="Palatino Linotype" w:hAnsi="Palatino Linotype" w:cs="Arial"/>
          <w:i/>
          <w:sz w:val="22"/>
          <w:szCs w:val="22"/>
          <w:lang w:val="es-ES_tradnl"/>
        </w:rPr>
      </w:pPr>
      <w:r>
        <w:rPr>
          <w:rFonts w:ascii="Palatino Linotype" w:hAnsi="Palatino Linotype" w:cs="Arial"/>
          <w:b/>
          <w:i/>
          <w:sz w:val="22"/>
          <w:szCs w:val="22"/>
          <w:u w:val="single"/>
          <w:lang w:val="es-ES_tradnl"/>
        </w:rPr>
        <w:t>Las actividades de fiscalización,</w:t>
      </w:r>
      <w:r>
        <w:rPr>
          <w:rFonts w:ascii="Palatino Linotype" w:hAnsi="Palatino Linotype" w:cs="Arial"/>
          <w:i/>
          <w:sz w:val="22"/>
          <w:szCs w:val="22"/>
          <w:lang w:val="es-ES_tradnl"/>
        </w:rPr>
        <w:t xml:space="preserve"> verificación, inspección, comprobación y auditoría sobre el cumplimiento de las leyes; o</w:t>
      </w:r>
    </w:p>
    <w:p w14:paraId="2EA5DA72" w14:textId="77777777" w:rsidR="00ED2F87" w:rsidRPr="00130C79" w:rsidRDefault="00ED2F87" w:rsidP="00ED2F87">
      <w:pPr>
        <w:pStyle w:val="Prrafodelista"/>
        <w:numPr>
          <w:ilvl w:val="6"/>
          <w:numId w:val="4"/>
        </w:numPr>
        <w:ind w:left="1276"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La recaudación de las contribuciones.</w:t>
      </w:r>
    </w:p>
    <w:p w14:paraId="2BBA0F92" w14:textId="77777777" w:rsidR="00ED2F87" w:rsidRDefault="00ED2F87" w:rsidP="00ED2F87">
      <w:pPr>
        <w:pStyle w:val="Prrafodelista"/>
        <w:ind w:left="567" w:right="567"/>
        <w:jc w:val="both"/>
        <w:rPr>
          <w:rFonts w:ascii="Palatino Linotype" w:hAnsi="Palatino Linotype" w:cs="Arial"/>
          <w:i/>
          <w:sz w:val="22"/>
          <w:szCs w:val="22"/>
          <w:lang w:val="es-ES_tradnl"/>
        </w:rPr>
      </w:pPr>
    </w:p>
    <w:p w14:paraId="1BF42ACF" w14:textId="77777777" w:rsidR="00ED2F87" w:rsidRDefault="00ED2F87" w:rsidP="00ED2F87">
      <w:pPr>
        <w:pStyle w:val="Prrafodelista"/>
        <w:ind w:left="851" w:right="567"/>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Artículo 143 fracción I, II y III de la Ley de </w:t>
      </w:r>
      <w:r w:rsidRPr="008E2184">
        <w:rPr>
          <w:rFonts w:ascii="Palatino Linotype" w:hAnsi="Palatino Linotype" w:cs="Arial"/>
          <w:i/>
          <w:sz w:val="22"/>
          <w:szCs w:val="22"/>
          <w:lang w:val="es-ES_tradnl"/>
        </w:rPr>
        <w:t xml:space="preserve">Transparencia y Acceso a la Información Pública del Estado de México y Municipios, </w:t>
      </w:r>
      <w:r>
        <w:rPr>
          <w:rFonts w:ascii="Palatino Linotype" w:hAnsi="Palatino Linotype" w:cs="Arial"/>
          <w:i/>
          <w:sz w:val="22"/>
          <w:szCs w:val="22"/>
          <w:lang w:val="es-ES_tradnl"/>
        </w:rPr>
        <w:t>que a la letra dice “</w:t>
      </w:r>
      <w:r w:rsidRPr="00130C79">
        <w:rPr>
          <w:rFonts w:ascii="Palatino Linotype" w:hAnsi="Palatino Linotype" w:cs="Arial"/>
          <w:b/>
          <w:i/>
          <w:sz w:val="22"/>
          <w:szCs w:val="22"/>
          <w:lang w:val="es-ES_tradnl"/>
        </w:rPr>
        <w:t>P</w:t>
      </w:r>
      <w:r>
        <w:rPr>
          <w:rFonts w:ascii="Palatino Linotype" w:hAnsi="Palatino Linotype" w:cs="Arial"/>
          <w:b/>
          <w:i/>
          <w:sz w:val="22"/>
          <w:szCs w:val="22"/>
          <w:lang w:val="es-ES_tradnl"/>
        </w:rPr>
        <w:t>ara efectos de esta ley se considera información confidencial, la clasificada como tal, de manera permanente, por su naturaleza, cuando:</w:t>
      </w:r>
    </w:p>
    <w:p w14:paraId="011B07B7" w14:textId="77777777" w:rsidR="00ED2F87" w:rsidRDefault="00ED2F87" w:rsidP="00ED2F87">
      <w:pPr>
        <w:pStyle w:val="Prrafodelista"/>
        <w:ind w:left="851" w:right="567"/>
        <w:jc w:val="both"/>
        <w:rPr>
          <w:rFonts w:ascii="Palatino Linotype" w:hAnsi="Palatino Linotype" w:cs="Arial"/>
          <w:i/>
          <w:sz w:val="22"/>
          <w:szCs w:val="22"/>
          <w:lang w:val="es-ES_tradnl"/>
        </w:rPr>
      </w:pPr>
    </w:p>
    <w:p w14:paraId="0503BA05" w14:textId="77777777" w:rsidR="00ED2F87" w:rsidRPr="00130C79" w:rsidRDefault="00ED2F87" w:rsidP="00ED2F87">
      <w:pPr>
        <w:pStyle w:val="Prrafodelista"/>
        <w:numPr>
          <w:ilvl w:val="0"/>
          <w:numId w:val="5"/>
        </w:numPr>
        <w:ind w:left="1843" w:right="567"/>
        <w:jc w:val="both"/>
        <w:rPr>
          <w:rFonts w:ascii="Palatino Linotype" w:hAnsi="Palatino Linotype" w:cs="Arial"/>
          <w:i/>
          <w:sz w:val="22"/>
          <w:szCs w:val="22"/>
          <w:lang w:val="es-ES_tradnl"/>
        </w:rPr>
      </w:pPr>
      <w:r w:rsidRPr="00130C79">
        <w:rPr>
          <w:rFonts w:ascii="Palatino Linotype" w:hAnsi="Palatino Linotype" w:cs="Arial"/>
          <w:i/>
          <w:sz w:val="22"/>
          <w:szCs w:val="22"/>
          <w:lang w:val="es-ES_tradnl"/>
        </w:rPr>
        <w:lastRenderedPageBreak/>
        <w:t>Se refiera a la información privada y los datos personales concernientes a una persona física o jurídico colectiva identificada o identificable;</w:t>
      </w:r>
    </w:p>
    <w:p w14:paraId="7B0410AE" w14:textId="77777777" w:rsidR="00ED2F87" w:rsidRPr="00E6565E" w:rsidRDefault="00ED2F87" w:rsidP="00ED2F87">
      <w:pPr>
        <w:pStyle w:val="Prrafodelista"/>
        <w:numPr>
          <w:ilvl w:val="0"/>
          <w:numId w:val="5"/>
        </w:numPr>
        <w:ind w:left="1843" w:right="567"/>
        <w:jc w:val="both"/>
        <w:rPr>
          <w:rFonts w:ascii="Palatino Linotype" w:hAnsi="Palatino Linotype" w:cs="Arial"/>
          <w:i/>
          <w:sz w:val="22"/>
          <w:szCs w:val="22"/>
          <w:lang w:val="es-ES_tradnl"/>
        </w:rPr>
      </w:pPr>
      <w:r w:rsidRPr="00E6565E">
        <w:rPr>
          <w:rFonts w:ascii="Palatino Linotype" w:hAnsi="Palatino Linotype" w:cs="Arial"/>
          <w:i/>
          <w:sz w:val="22"/>
          <w:szCs w:val="22"/>
          <w:lang w:val="es-ES_tradnl"/>
        </w:rPr>
        <w:t>Los secretos bancario, fiduciario, industrial, comercial, fiscal, bursátil y postal, cuya titularidad corresponda a particulares, sujetos de derecho internacional o a sujetos obligados cuando no involucren el ejercicio de recursos públicos; y</w:t>
      </w:r>
    </w:p>
    <w:p w14:paraId="6600D7C1" w14:textId="77777777" w:rsidR="00ED2F87" w:rsidRPr="00E6565E" w:rsidRDefault="00ED2F87" w:rsidP="00ED2F87">
      <w:pPr>
        <w:pStyle w:val="Prrafodelista"/>
        <w:numPr>
          <w:ilvl w:val="0"/>
          <w:numId w:val="5"/>
        </w:numPr>
        <w:ind w:left="1843" w:right="567"/>
        <w:jc w:val="both"/>
        <w:rPr>
          <w:rFonts w:ascii="Palatino Linotype" w:hAnsi="Palatino Linotype" w:cs="Arial"/>
          <w:i/>
          <w:sz w:val="22"/>
          <w:szCs w:val="22"/>
          <w:lang w:val="es-ES_tradnl"/>
        </w:rPr>
      </w:pPr>
      <w:r w:rsidRPr="00E6565E">
        <w:rPr>
          <w:rFonts w:ascii="Palatino Linotype" w:hAnsi="Palatino Linotype" w:cs="Arial"/>
          <w:i/>
          <w:sz w:val="22"/>
          <w:szCs w:val="22"/>
          <w:lang w:val="es-ES_tradnl"/>
        </w:rPr>
        <w:t>La que presenten los particulares a los sujetos obligados, de conformidad con lo dispuesto por las leyes o los tratados internacionales.</w:t>
      </w:r>
    </w:p>
    <w:p w14:paraId="49620152" w14:textId="77777777" w:rsidR="00ED2F87" w:rsidRDefault="00ED2F87" w:rsidP="00ED2F87">
      <w:pPr>
        <w:spacing w:after="0"/>
        <w:ind w:left="851" w:right="567"/>
        <w:jc w:val="both"/>
        <w:rPr>
          <w:rFonts w:ascii="Palatino Linotype" w:hAnsi="Palatino Linotype" w:cs="Arial"/>
          <w:i/>
          <w:lang w:val="es-ES_tradnl"/>
        </w:rPr>
      </w:pPr>
    </w:p>
    <w:p w14:paraId="4FD98A71" w14:textId="77777777" w:rsidR="00ED2F87" w:rsidRDefault="00ED2F87" w:rsidP="00ED2F87">
      <w:pPr>
        <w:spacing w:after="0"/>
        <w:ind w:left="1134" w:right="567"/>
        <w:jc w:val="both"/>
        <w:rPr>
          <w:rFonts w:ascii="Palatino Linotype" w:hAnsi="Palatino Linotype" w:cs="Arial"/>
          <w:i/>
          <w:lang w:val="es-ES_tradnl"/>
        </w:rPr>
      </w:pPr>
      <w:r w:rsidRPr="00E6565E">
        <w:rPr>
          <w:rFonts w:ascii="Palatino Linotype" w:hAnsi="Palatino Linotype" w:cs="Arial"/>
          <w:i/>
          <w:lang w:val="es-ES_tradnl"/>
        </w:rPr>
        <w:t>La información confidencial no estará sujeta a temporalidad alguna y sólo podrán tener acceso a ella</w:t>
      </w:r>
      <w:r>
        <w:rPr>
          <w:rFonts w:ascii="Palatino Linotype" w:hAnsi="Palatino Linotype" w:cs="Arial"/>
          <w:i/>
          <w:lang w:val="es-ES_tradnl"/>
        </w:rPr>
        <w:t xml:space="preserve"> </w:t>
      </w:r>
      <w:r w:rsidRPr="00130C79">
        <w:rPr>
          <w:rFonts w:ascii="Palatino Linotype" w:hAnsi="Palatino Linotype" w:cs="Arial"/>
          <w:i/>
          <w:lang w:val="es-ES_tradnl"/>
        </w:rPr>
        <w:t>los titulares de la misma, sus representantes y los servidores públicos facultados para ello.</w:t>
      </w:r>
    </w:p>
    <w:p w14:paraId="67A10137" w14:textId="77777777" w:rsidR="00ED2F87" w:rsidRDefault="00ED2F87" w:rsidP="00ED2F87">
      <w:pPr>
        <w:pStyle w:val="Prrafodelista"/>
        <w:ind w:left="567" w:right="567"/>
        <w:jc w:val="both"/>
        <w:rPr>
          <w:rFonts w:ascii="Palatino Linotype" w:hAnsi="Palatino Linotype" w:cs="Arial"/>
          <w:i/>
          <w:sz w:val="22"/>
          <w:szCs w:val="22"/>
          <w:lang w:val="es-ES_tradnl"/>
        </w:rPr>
      </w:pPr>
    </w:p>
    <w:p w14:paraId="26B897F6" w14:textId="77777777" w:rsidR="00ED2F87" w:rsidRDefault="00ED2F87" w:rsidP="00ED2F87">
      <w:pPr>
        <w:pStyle w:val="Prrafodelista"/>
        <w:ind w:left="567" w:right="567"/>
        <w:jc w:val="both"/>
        <w:rPr>
          <w:rFonts w:ascii="Palatino Linotype" w:hAnsi="Palatino Linotype" w:cs="Arial"/>
          <w:b/>
          <w:i/>
          <w:sz w:val="22"/>
          <w:szCs w:val="22"/>
          <w:lang w:val="es-ES_tradnl"/>
        </w:rPr>
      </w:pPr>
      <w:r>
        <w:rPr>
          <w:rFonts w:ascii="Palatino Linotype" w:hAnsi="Palatino Linotype" w:cs="Arial"/>
          <w:b/>
          <w:i/>
          <w:sz w:val="22"/>
          <w:szCs w:val="22"/>
          <w:lang w:val="es-ES_tradnl"/>
        </w:rPr>
        <w:t>Se anexa a la presente copia del Acta de inicio de Auditoria</w:t>
      </w:r>
    </w:p>
    <w:p w14:paraId="12AA914F" w14:textId="77777777" w:rsidR="00ED2F87" w:rsidRPr="00E6565E" w:rsidRDefault="00ED2F87" w:rsidP="00ED2F87">
      <w:pPr>
        <w:pStyle w:val="Prrafodelista"/>
        <w:ind w:left="567" w:right="567"/>
        <w:jc w:val="both"/>
        <w:rPr>
          <w:rFonts w:ascii="Palatino Linotype" w:hAnsi="Palatino Linotype" w:cs="Arial"/>
          <w:i/>
          <w:sz w:val="22"/>
          <w:szCs w:val="22"/>
          <w:lang w:val="es-ES_tradnl"/>
        </w:rPr>
      </w:pPr>
    </w:p>
    <w:p w14:paraId="34954E7B" w14:textId="77777777" w:rsidR="00ED2F87" w:rsidRPr="00E6565E" w:rsidRDefault="00ED2F87" w:rsidP="00ED2F87">
      <w:pPr>
        <w:pStyle w:val="Prrafodelista"/>
        <w:ind w:left="567" w:right="567"/>
        <w:jc w:val="both"/>
        <w:rPr>
          <w:rFonts w:ascii="Palatino Linotype" w:hAnsi="Palatino Linotype" w:cs="Arial"/>
          <w:i/>
          <w:sz w:val="22"/>
          <w:szCs w:val="22"/>
          <w:lang w:val="es-ES_tradnl"/>
        </w:rPr>
      </w:pPr>
      <w:r>
        <w:rPr>
          <w:rFonts w:ascii="Palatino Linotype" w:hAnsi="Palatino Linotype" w:cs="Arial"/>
          <w:b/>
          <w:i/>
          <w:sz w:val="22"/>
          <w:szCs w:val="22"/>
          <w:lang w:val="es-ES_tradnl"/>
        </w:rPr>
        <w:t xml:space="preserve">Los sujetos obligados solo proporcionaran la información pública que se le requiera y obre en sus archivos y en estado en que se encuentre. La obligación de proporcionar la información no compromete el procesamiento de la misma, ni presentarla conforme al interés del solicitante, no </w:t>
      </w:r>
      <w:r w:rsidRPr="00625B86">
        <w:rPr>
          <w:rFonts w:ascii="Palatino Linotype" w:hAnsi="Palatino Linotype" w:cs="Arial"/>
          <w:b/>
          <w:i/>
          <w:sz w:val="22"/>
          <w:szCs w:val="22"/>
          <w:lang w:val="es-ES_tradnl"/>
        </w:rPr>
        <w:t>estarán obligados a generarla, resumirla, efectuar cálculos o practicar investigaciones”.</w:t>
      </w:r>
    </w:p>
    <w:p w14:paraId="5EF082CC" w14:textId="77777777" w:rsidR="00ED2F87" w:rsidRDefault="00ED2F87" w:rsidP="00ED2F87">
      <w:pPr>
        <w:pStyle w:val="Prrafodelista"/>
        <w:ind w:left="567" w:right="567"/>
        <w:jc w:val="both"/>
        <w:rPr>
          <w:rFonts w:ascii="Palatino Linotype" w:hAnsi="Palatino Linotype" w:cs="Arial"/>
          <w:i/>
          <w:sz w:val="22"/>
          <w:szCs w:val="22"/>
          <w:lang w:val="es-ES_tradnl"/>
        </w:rPr>
      </w:pPr>
    </w:p>
    <w:p w14:paraId="4BD6BC34" w14:textId="77777777" w:rsidR="00ED2F87" w:rsidRDefault="00ED2F87" w:rsidP="00ED2F87">
      <w:pPr>
        <w:pStyle w:val="Prrafodelista"/>
        <w:spacing w:line="360" w:lineRule="auto"/>
        <w:ind w:left="567"/>
        <w:jc w:val="both"/>
        <w:rPr>
          <w:rFonts w:ascii="Palatino Linotype" w:eastAsia="Calibri" w:hAnsi="Palatino Linotype"/>
          <w:lang w:val="es-ES_tradnl"/>
        </w:rPr>
      </w:pPr>
    </w:p>
    <w:p w14:paraId="07FEE68B" w14:textId="77777777" w:rsidR="00ED2F87" w:rsidRDefault="00ED2F87" w:rsidP="00ED2F87">
      <w:pPr>
        <w:pStyle w:val="Prrafodelista"/>
        <w:spacing w:line="360" w:lineRule="auto"/>
        <w:ind w:left="567"/>
        <w:jc w:val="both"/>
        <w:rPr>
          <w:rFonts w:ascii="Palatino Linotype" w:eastAsia="Calibri" w:hAnsi="Palatino Linotype"/>
          <w:lang w:val="es-ES_tradnl"/>
        </w:rPr>
      </w:pPr>
      <w:r>
        <w:rPr>
          <w:rFonts w:ascii="Palatino Linotype" w:eastAsia="Calibri" w:hAnsi="Palatino Linotype"/>
          <w:lang w:val="es-ES_tradnl"/>
        </w:rPr>
        <w:t xml:space="preserve">Se advierte que el </w:t>
      </w:r>
      <w:r>
        <w:rPr>
          <w:rFonts w:ascii="Palatino Linotype" w:eastAsia="Calibri" w:hAnsi="Palatino Linotype"/>
          <w:b/>
          <w:lang w:val="es-ES_tradnl"/>
        </w:rPr>
        <w:t>sujeto obligado</w:t>
      </w:r>
      <w:r>
        <w:rPr>
          <w:rFonts w:ascii="Palatino Linotype" w:eastAsia="Calibri" w:hAnsi="Palatino Linotype"/>
          <w:lang w:val="es-ES_tradnl"/>
        </w:rPr>
        <w:t xml:space="preserve"> adjunto el Acta de inicio de Auditoría de Desempeño Acta/005/CP201, de fecha veintitrés de septiembre de dos mil diecinueve, por parte del Órgano Superior de Fiscalización del Estado de México.</w:t>
      </w:r>
    </w:p>
    <w:p w14:paraId="58DF1931" w14:textId="77777777" w:rsidR="00ED2F87" w:rsidRPr="00B15396" w:rsidRDefault="00ED2F87" w:rsidP="00ED2F87">
      <w:pPr>
        <w:pStyle w:val="Prrafodelista"/>
        <w:spacing w:line="360" w:lineRule="auto"/>
        <w:ind w:left="567"/>
        <w:jc w:val="both"/>
        <w:rPr>
          <w:rFonts w:ascii="Palatino Linotype" w:eastAsia="Calibri" w:hAnsi="Palatino Linotype"/>
          <w:lang w:val="es-ES_tradnl"/>
        </w:rPr>
      </w:pPr>
    </w:p>
    <w:p w14:paraId="01D65D92" w14:textId="77777777" w:rsidR="00ED2F87" w:rsidRDefault="00ED2F87" w:rsidP="00ED2F87">
      <w:pPr>
        <w:pStyle w:val="Prrafodelista"/>
        <w:numPr>
          <w:ilvl w:val="0"/>
          <w:numId w:val="2"/>
        </w:numPr>
        <w:spacing w:line="360" w:lineRule="auto"/>
        <w:jc w:val="both"/>
        <w:rPr>
          <w:rFonts w:ascii="Palatino Linotype" w:eastAsia="Calibri" w:hAnsi="Palatino Linotype"/>
          <w:lang w:val="es-ES_tradnl"/>
        </w:rPr>
      </w:pPr>
      <w:r w:rsidRPr="00B15396">
        <w:rPr>
          <w:rFonts w:ascii="Palatino Linotype" w:eastAsia="Calibri" w:hAnsi="Palatino Linotype"/>
          <w:b/>
          <w:lang w:val="es-ES_tradnl"/>
        </w:rPr>
        <w:t>oficio opdapast.pdf</w:t>
      </w:r>
      <w:r w:rsidRPr="000C200E">
        <w:rPr>
          <w:rFonts w:ascii="Palatino Linotype" w:eastAsia="Calibri" w:hAnsi="Palatino Linotype"/>
          <w:b/>
          <w:lang w:val="es-ES_tradnl"/>
        </w:rPr>
        <w:t>:</w:t>
      </w:r>
      <w:r>
        <w:rPr>
          <w:rFonts w:ascii="Palatino Linotype" w:eastAsia="Calibri" w:hAnsi="Palatino Linotype"/>
          <w:lang w:val="es-ES_tradnl"/>
        </w:rPr>
        <w:t xml:space="preserve"> consistente en el oficio OPDAPAS/DIRGRAL/OMA/099/2020 de fecha veintinueve de septiembre de dos mil veinte, mediante el cual el Director General del Organismo Público Descentralizado para la Prestación de los Servicios de Agua Potable, Alcantarillado y Saneamiento, informa a la Titular de la Unidad de Transparencia, ambos del sujeto obligado, lo siguiente:</w:t>
      </w:r>
    </w:p>
    <w:p w14:paraId="17D06BAE" w14:textId="77777777" w:rsidR="00ED2F87" w:rsidRDefault="00ED2F87" w:rsidP="00ED2F87">
      <w:pPr>
        <w:pStyle w:val="Prrafodelista"/>
        <w:spacing w:line="360" w:lineRule="auto"/>
        <w:ind w:left="720"/>
        <w:jc w:val="both"/>
        <w:rPr>
          <w:rFonts w:ascii="Palatino Linotype" w:eastAsia="Calibri" w:hAnsi="Palatino Linotype"/>
          <w:lang w:val="es-ES_tradnl"/>
        </w:rPr>
      </w:pPr>
    </w:p>
    <w:p w14:paraId="31BFAA30" w14:textId="77777777" w:rsidR="00ED2F87" w:rsidRDefault="00ED2F87" w:rsidP="00ED2F87">
      <w:pPr>
        <w:pStyle w:val="Prrafodelista"/>
        <w:ind w:left="567" w:right="567"/>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lastRenderedPageBreak/>
        <w:t>“...hago de su conocimiento que la información solicitada, está siendo procesada por la Dirección de Administración y Finanzas, y dada la naturaleza y cantidad, en cuanto termine de reunir, se la haremos llegar, en este mismo sentido es de suma importancia señalar que este Organismo Público “OPDAPAS”, como ente fiscalizable está atendiendo de la misma forma requerimientos de información y documentos ya que nos encontramos en auditoría y fiscalización por parte de la Unidad Especial de Desempeño del Órgano Superior de Fiscalización del Estado de México “OSFEM”…”</w:t>
      </w:r>
    </w:p>
    <w:p w14:paraId="20F0B1DB" w14:textId="77777777" w:rsidR="00ED2F87" w:rsidRPr="004605AD" w:rsidRDefault="00ED2F87" w:rsidP="00ED2F87">
      <w:pPr>
        <w:pStyle w:val="Prrafodelista"/>
        <w:ind w:left="567" w:right="567"/>
        <w:jc w:val="both"/>
        <w:rPr>
          <w:rFonts w:ascii="Palatino Linotype" w:eastAsia="Calibri" w:hAnsi="Palatino Linotype"/>
          <w:i/>
          <w:sz w:val="22"/>
          <w:szCs w:val="22"/>
          <w:lang w:val="es-ES_tradnl"/>
        </w:rPr>
      </w:pPr>
    </w:p>
    <w:p w14:paraId="4CE3DDCC"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5CC0C0A3" w14:textId="77777777" w:rsidR="00ED2F87" w:rsidRPr="0009795E" w:rsidRDefault="00ED2F87" w:rsidP="00ED2F87">
      <w:pPr>
        <w:pStyle w:val="Prrafodelista"/>
        <w:numPr>
          <w:ilvl w:val="0"/>
          <w:numId w:val="2"/>
        </w:numPr>
        <w:spacing w:line="360" w:lineRule="auto"/>
        <w:jc w:val="both"/>
        <w:rPr>
          <w:rFonts w:ascii="Palatino Linotype" w:eastAsia="Calibri" w:hAnsi="Palatino Linotype"/>
          <w:b/>
          <w:lang w:val="es-ES_tradnl"/>
        </w:rPr>
      </w:pPr>
      <w:r w:rsidRPr="004605AD">
        <w:rPr>
          <w:rFonts w:ascii="Palatino Linotype" w:eastAsia="Calibri" w:hAnsi="Palatino Linotype"/>
          <w:b/>
          <w:lang w:val="es-ES_tradnl"/>
        </w:rPr>
        <w:t>Oficio DIF.pdf:</w:t>
      </w:r>
      <w:r>
        <w:rPr>
          <w:rFonts w:ascii="Palatino Linotype" w:eastAsia="Calibri" w:hAnsi="Palatino Linotype"/>
          <w:lang w:val="es-ES_tradnl"/>
        </w:rPr>
        <w:t xml:space="preserve"> Relativo al oficio OSFEM/AED/667/2020 de fecha veinte de septiembre de dos mil veinte, remitido por el Auditor Especial de Desempeño del Órgano Superior de Fiscalización del Estado de México “OSFEM”, informa al Presidente del Sistema Municipal para el Desarrollo Integral de la Familia de Teoloyucan, so siguiente:</w:t>
      </w:r>
    </w:p>
    <w:p w14:paraId="69AB0BC6" w14:textId="77777777" w:rsidR="00ED2F87" w:rsidRDefault="00ED2F87" w:rsidP="00ED2F87">
      <w:pPr>
        <w:pStyle w:val="Prrafodelista"/>
        <w:spacing w:line="360" w:lineRule="auto"/>
        <w:ind w:left="720"/>
        <w:jc w:val="both"/>
        <w:rPr>
          <w:rFonts w:ascii="Palatino Linotype" w:eastAsia="Calibri" w:hAnsi="Palatino Linotype"/>
          <w:lang w:val="es-ES_tradnl"/>
        </w:rPr>
      </w:pPr>
    </w:p>
    <w:p w14:paraId="61EF8D9C" w14:textId="77777777" w:rsidR="00ED2F87" w:rsidRPr="0009795E" w:rsidRDefault="00ED2F87" w:rsidP="00ED2F87">
      <w:pPr>
        <w:pStyle w:val="Prrafodelista"/>
        <w:ind w:left="720"/>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t xml:space="preserve">“…este Órgano Técnico de la Legislatura de Estado de México, en ejercicio de las atribuciones de fiscalización, emite la presente </w:t>
      </w:r>
      <w:r>
        <w:rPr>
          <w:rFonts w:ascii="Palatino Linotype" w:eastAsia="Calibri" w:hAnsi="Palatino Linotype"/>
          <w:b/>
          <w:i/>
          <w:sz w:val="22"/>
          <w:szCs w:val="22"/>
          <w:lang w:val="es-ES_tradnl"/>
        </w:rPr>
        <w:t>Orden de Auditoría de Desempeño establecida por el Programa Anual de Auditorias 2020 con el numeral 10 del apartado de Auditorías de Desempeño Municipales,</w:t>
      </w:r>
      <w:r>
        <w:rPr>
          <w:rFonts w:ascii="Palatino Linotype" w:eastAsia="Calibri" w:hAnsi="Palatino Linotype"/>
          <w:i/>
          <w:sz w:val="22"/>
          <w:szCs w:val="22"/>
          <w:lang w:val="es-ES_tradnl"/>
        </w:rPr>
        <w:t xml:space="preserve"> denominada Auditoría de Desempeño al Sistema Municipal DIF de Teoloyucan, correspondiente al ejercicio presupuestal 2019…”</w:t>
      </w:r>
    </w:p>
    <w:p w14:paraId="3E187BFA"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4C590BA6" w14:textId="77777777" w:rsidR="00ED2F87" w:rsidRPr="00AD2F75" w:rsidRDefault="00ED2F87" w:rsidP="00ED2F87">
      <w:pPr>
        <w:pStyle w:val="Prrafodelista"/>
        <w:numPr>
          <w:ilvl w:val="0"/>
          <w:numId w:val="2"/>
        </w:numPr>
        <w:spacing w:line="360" w:lineRule="auto"/>
        <w:jc w:val="both"/>
        <w:rPr>
          <w:rFonts w:ascii="Palatino Linotype" w:eastAsia="Calibri" w:hAnsi="Palatino Linotype"/>
          <w:lang w:val="es-ES_tradnl"/>
        </w:rPr>
      </w:pPr>
      <w:r w:rsidRPr="00783584">
        <w:rPr>
          <w:rFonts w:ascii="Palatino Linotype" w:eastAsia="Calibri" w:hAnsi="Palatino Linotype"/>
          <w:b/>
          <w:lang w:val="es-ES_tradnl"/>
        </w:rPr>
        <w:t>OFICIO DIF-TEO-TES-069-2020 OFICIO dIF.pdf:</w:t>
      </w:r>
      <w:r>
        <w:rPr>
          <w:rFonts w:ascii="Palatino Linotype" w:eastAsia="Calibri" w:hAnsi="Palatino Linotype"/>
          <w:lang w:val="es-ES_tradnl"/>
        </w:rPr>
        <w:t xml:space="preserve"> consistente en el oficio DIF/TEO/TES/069/2020 de fecha veintinueve de septiembre de dos mil veinte, remitido por el Tesorero Municipal del Sistema Municipal para el Desarrollo Integral de la Familia, </w:t>
      </w:r>
      <w:r>
        <w:rPr>
          <w:rFonts w:ascii="Palatino Linotype" w:hAnsi="Palatino Linotype" w:cs="Arial"/>
        </w:rPr>
        <w:t xml:space="preserve">informa a la Titular de la Unidad de Transparencia, ambos del </w:t>
      </w:r>
      <w:r>
        <w:rPr>
          <w:rFonts w:ascii="Palatino Linotype" w:hAnsi="Palatino Linotype" w:cs="Arial"/>
          <w:b/>
        </w:rPr>
        <w:t>sujeto obligado,</w:t>
      </w:r>
      <w:r>
        <w:rPr>
          <w:rFonts w:ascii="Palatino Linotype" w:hAnsi="Palatino Linotype" w:cs="Arial"/>
        </w:rPr>
        <w:t xml:space="preserve"> en los términos siguientes:</w:t>
      </w:r>
    </w:p>
    <w:p w14:paraId="0F20B361" w14:textId="77777777" w:rsidR="00ED2F87" w:rsidRDefault="00ED2F87" w:rsidP="00ED2F87">
      <w:pPr>
        <w:pStyle w:val="Prrafodelista"/>
        <w:spacing w:line="360" w:lineRule="auto"/>
        <w:ind w:left="720"/>
        <w:jc w:val="both"/>
        <w:rPr>
          <w:rFonts w:ascii="Palatino Linotype" w:hAnsi="Palatino Linotype" w:cs="Arial"/>
          <w:b/>
          <w:lang w:val="es-ES_tradnl"/>
        </w:rPr>
      </w:pPr>
    </w:p>
    <w:p w14:paraId="748E3C12" w14:textId="77777777" w:rsidR="00ED2F87" w:rsidRDefault="00ED2F87" w:rsidP="00ED2F87">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Pr>
          <w:rFonts w:ascii="Palatino Linotype" w:hAnsi="Palatino Linotype" w:cs="Arial"/>
          <w:b/>
          <w:i/>
          <w:sz w:val="22"/>
          <w:szCs w:val="22"/>
          <w:lang w:val="es-ES_tradnl"/>
        </w:rPr>
        <w:t xml:space="preserve">En base a que esta tesorería se encuentra en proceso de Auditoria ordenada por el Órgano Superior de Fiscalización del Estado de México bajo la orden de Auditoria OSFEM/AED/666/20202 de fecha 23 de septiembre del presente año me es imposible proporcionar la información solicitada ya que la misma </w:t>
      </w:r>
      <w:r>
        <w:rPr>
          <w:rFonts w:ascii="Palatino Linotype" w:hAnsi="Palatino Linotype" w:cs="Arial"/>
          <w:b/>
          <w:i/>
          <w:sz w:val="22"/>
          <w:szCs w:val="22"/>
          <w:lang w:val="es-ES_tradnl"/>
        </w:rPr>
        <w:lastRenderedPageBreak/>
        <w:t>se encuentra  en proceso de revisión, la petición podrá ser solventada hasta contar con la liberación de la auditoria.</w:t>
      </w:r>
    </w:p>
    <w:p w14:paraId="0FA36259"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0A00A1B7" w14:textId="77777777" w:rsidR="00ED2F87" w:rsidRDefault="00ED2F87" w:rsidP="00ED2F87">
      <w:pPr>
        <w:pStyle w:val="Prrafodelista"/>
        <w:ind w:left="851"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Lo anterior de acuerdo al artículo 140 fracción V de la Ley de Transparencia y Acceso a la Información Pública del Estado de México y Municipios que a la letra dice “</w:t>
      </w:r>
      <w:r>
        <w:rPr>
          <w:rFonts w:ascii="Palatino Linotype" w:hAnsi="Palatino Linotype" w:cs="Arial"/>
          <w:b/>
          <w:i/>
          <w:sz w:val="22"/>
          <w:szCs w:val="22"/>
          <w:lang w:val="es-ES_tradnl"/>
        </w:rPr>
        <w:t>el acceso a la información pública será restringido excepcionalmente, cuando por razones de interés público, esta sea clasificada como reservada, conforme a los criterios siguientes:</w:t>
      </w:r>
    </w:p>
    <w:p w14:paraId="5548917E"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5C026876" w14:textId="77777777" w:rsidR="00ED2F87" w:rsidRDefault="00ED2F87" w:rsidP="00ED2F87">
      <w:pPr>
        <w:pStyle w:val="Prrafodelista"/>
        <w:ind w:left="851"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Fracción V. aquella cuya divulgación obstruya o pueda causar un perjuicio a:</w:t>
      </w:r>
    </w:p>
    <w:p w14:paraId="636E60F7" w14:textId="77777777" w:rsidR="00ED2F87" w:rsidRDefault="00ED2F87" w:rsidP="00ED2F87">
      <w:pPr>
        <w:pStyle w:val="Prrafodelista"/>
        <w:ind w:left="851" w:right="850"/>
        <w:jc w:val="both"/>
        <w:rPr>
          <w:rFonts w:ascii="Palatino Linotype" w:hAnsi="Palatino Linotype" w:cs="Arial"/>
          <w:i/>
          <w:sz w:val="22"/>
          <w:szCs w:val="22"/>
          <w:lang w:val="es-ES_tradnl"/>
        </w:rPr>
      </w:pPr>
    </w:p>
    <w:p w14:paraId="1C8AC55D" w14:textId="77777777" w:rsidR="00ED2F87" w:rsidRDefault="00ED2F87" w:rsidP="00ED2F87">
      <w:pPr>
        <w:pStyle w:val="Prrafodelista"/>
        <w:numPr>
          <w:ilvl w:val="6"/>
          <w:numId w:val="7"/>
        </w:numPr>
        <w:ind w:left="1276" w:right="850"/>
        <w:jc w:val="both"/>
        <w:rPr>
          <w:rFonts w:ascii="Palatino Linotype" w:hAnsi="Palatino Linotype" w:cs="Arial"/>
          <w:i/>
          <w:sz w:val="22"/>
          <w:szCs w:val="22"/>
          <w:lang w:val="es-ES_tradnl"/>
        </w:rPr>
      </w:pPr>
      <w:r>
        <w:rPr>
          <w:rFonts w:ascii="Palatino Linotype" w:hAnsi="Palatino Linotype" w:cs="Arial"/>
          <w:b/>
          <w:i/>
          <w:sz w:val="22"/>
          <w:szCs w:val="22"/>
          <w:u w:val="single"/>
          <w:lang w:val="es-ES_tradnl"/>
        </w:rPr>
        <w:t>Las actividades de fiscalización,</w:t>
      </w:r>
      <w:r>
        <w:rPr>
          <w:rFonts w:ascii="Palatino Linotype" w:hAnsi="Palatino Linotype" w:cs="Arial"/>
          <w:i/>
          <w:sz w:val="22"/>
          <w:szCs w:val="22"/>
          <w:lang w:val="es-ES_tradnl"/>
        </w:rPr>
        <w:t xml:space="preserve"> verificación, inspección, comprobación y auditoría sobre el cumplimiento de las leyes; o</w:t>
      </w:r>
    </w:p>
    <w:p w14:paraId="12C24E44" w14:textId="77777777" w:rsidR="00ED2F87" w:rsidRPr="00130C79" w:rsidRDefault="00ED2F87" w:rsidP="00ED2F87">
      <w:pPr>
        <w:pStyle w:val="Prrafodelista"/>
        <w:numPr>
          <w:ilvl w:val="6"/>
          <w:numId w:val="7"/>
        </w:numPr>
        <w:ind w:left="1276" w:right="850"/>
        <w:jc w:val="both"/>
        <w:rPr>
          <w:rFonts w:ascii="Palatino Linotype" w:hAnsi="Palatino Linotype" w:cs="Arial"/>
          <w:i/>
          <w:sz w:val="22"/>
          <w:szCs w:val="22"/>
          <w:lang w:val="es-ES_tradnl"/>
        </w:rPr>
      </w:pPr>
      <w:r>
        <w:rPr>
          <w:rFonts w:ascii="Palatino Linotype" w:hAnsi="Palatino Linotype" w:cs="Arial"/>
          <w:i/>
          <w:sz w:val="22"/>
          <w:szCs w:val="22"/>
          <w:lang w:val="es-ES_tradnl"/>
        </w:rPr>
        <w:t>La recaudación de las contribuciones.</w:t>
      </w:r>
    </w:p>
    <w:p w14:paraId="43413323" w14:textId="77777777" w:rsidR="00ED2F87" w:rsidRDefault="00ED2F87" w:rsidP="00ED2F87">
      <w:pPr>
        <w:pStyle w:val="Prrafodelista"/>
        <w:ind w:left="567" w:right="567"/>
        <w:jc w:val="both"/>
        <w:rPr>
          <w:rFonts w:ascii="Palatino Linotype" w:hAnsi="Palatino Linotype" w:cs="Arial"/>
          <w:i/>
          <w:sz w:val="22"/>
          <w:szCs w:val="22"/>
          <w:lang w:val="es-ES_tradnl"/>
        </w:rPr>
      </w:pPr>
    </w:p>
    <w:p w14:paraId="3753948A" w14:textId="77777777" w:rsidR="00ED2F87" w:rsidRDefault="00ED2F87" w:rsidP="00ED2F87">
      <w:pPr>
        <w:pStyle w:val="Prrafodelista"/>
        <w:ind w:left="851" w:right="567"/>
        <w:jc w:val="both"/>
        <w:rPr>
          <w:rFonts w:ascii="Palatino Linotype" w:hAnsi="Palatino Linotype" w:cs="Arial"/>
          <w:i/>
          <w:sz w:val="22"/>
          <w:szCs w:val="22"/>
          <w:lang w:val="es-ES_tradnl"/>
        </w:rPr>
      </w:pPr>
      <w:r>
        <w:rPr>
          <w:rFonts w:ascii="Palatino Linotype" w:hAnsi="Palatino Linotype" w:cs="Arial"/>
          <w:i/>
          <w:sz w:val="22"/>
          <w:szCs w:val="22"/>
          <w:lang w:val="es-ES_tradnl"/>
        </w:rPr>
        <w:t xml:space="preserve">Artículo 143 fracción I, II y III de la Ley de </w:t>
      </w:r>
      <w:r w:rsidRPr="008E2184">
        <w:rPr>
          <w:rFonts w:ascii="Palatino Linotype" w:hAnsi="Palatino Linotype" w:cs="Arial"/>
          <w:i/>
          <w:sz w:val="22"/>
          <w:szCs w:val="22"/>
          <w:lang w:val="es-ES_tradnl"/>
        </w:rPr>
        <w:t xml:space="preserve">Transparencia y Acceso a la Información Pública del Estado de México y Municipios, </w:t>
      </w:r>
      <w:r>
        <w:rPr>
          <w:rFonts w:ascii="Palatino Linotype" w:hAnsi="Palatino Linotype" w:cs="Arial"/>
          <w:i/>
          <w:sz w:val="22"/>
          <w:szCs w:val="22"/>
          <w:lang w:val="es-ES_tradnl"/>
        </w:rPr>
        <w:t>que a la letra dice “</w:t>
      </w:r>
      <w:r w:rsidRPr="00130C79">
        <w:rPr>
          <w:rFonts w:ascii="Palatino Linotype" w:hAnsi="Palatino Linotype" w:cs="Arial"/>
          <w:b/>
          <w:i/>
          <w:sz w:val="22"/>
          <w:szCs w:val="22"/>
          <w:lang w:val="es-ES_tradnl"/>
        </w:rPr>
        <w:t>P</w:t>
      </w:r>
      <w:r>
        <w:rPr>
          <w:rFonts w:ascii="Palatino Linotype" w:hAnsi="Palatino Linotype" w:cs="Arial"/>
          <w:b/>
          <w:i/>
          <w:sz w:val="22"/>
          <w:szCs w:val="22"/>
          <w:lang w:val="es-ES_tradnl"/>
        </w:rPr>
        <w:t>ara efectos de esta ley se considera información confidencial, la clasificada como tal, de manera permanente, por su naturaleza, cuando:</w:t>
      </w:r>
    </w:p>
    <w:p w14:paraId="1C764F45" w14:textId="77777777" w:rsidR="00ED2F87" w:rsidRDefault="00ED2F87" w:rsidP="00ED2F87">
      <w:pPr>
        <w:pStyle w:val="Prrafodelista"/>
        <w:ind w:left="851" w:right="567"/>
        <w:jc w:val="both"/>
        <w:rPr>
          <w:rFonts w:ascii="Palatino Linotype" w:hAnsi="Palatino Linotype" w:cs="Arial"/>
          <w:i/>
          <w:sz w:val="22"/>
          <w:szCs w:val="22"/>
          <w:lang w:val="es-ES_tradnl"/>
        </w:rPr>
      </w:pPr>
    </w:p>
    <w:p w14:paraId="01CBDB71" w14:textId="77777777" w:rsidR="00ED2F87" w:rsidRPr="00130C79" w:rsidRDefault="00ED2F87" w:rsidP="00ED2F87">
      <w:pPr>
        <w:pStyle w:val="Prrafodelista"/>
        <w:numPr>
          <w:ilvl w:val="0"/>
          <w:numId w:val="6"/>
        </w:numPr>
        <w:ind w:left="1843" w:right="567"/>
        <w:jc w:val="both"/>
        <w:rPr>
          <w:rFonts w:ascii="Palatino Linotype" w:hAnsi="Palatino Linotype" w:cs="Arial"/>
          <w:i/>
          <w:sz w:val="22"/>
          <w:szCs w:val="22"/>
          <w:lang w:val="es-ES_tradnl"/>
        </w:rPr>
      </w:pPr>
      <w:r w:rsidRPr="00130C79">
        <w:rPr>
          <w:rFonts w:ascii="Palatino Linotype" w:hAnsi="Palatino Linotype" w:cs="Arial"/>
          <w:i/>
          <w:sz w:val="22"/>
          <w:szCs w:val="22"/>
          <w:lang w:val="es-ES_tradnl"/>
        </w:rPr>
        <w:t>Se refiera a la información privada y los datos personales concernientes a una persona física o jurídico colectiva identificada o identificable;</w:t>
      </w:r>
    </w:p>
    <w:p w14:paraId="04AE3B92" w14:textId="77777777" w:rsidR="00ED2F87" w:rsidRPr="00E6565E" w:rsidRDefault="00ED2F87" w:rsidP="00ED2F87">
      <w:pPr>
        <w:pStyle w:val="Prrafodelista"/>
        <w:numPr>
          <w:ilvl w:val="0"/>
          <w:numId w:val="6"/>
        </w:numPr>
        <w:ind w:left="1843" w:right="567"/>
        <w:jc w:val="both"/>
        <w:rPr>
          <w:rFonts w:ascii="Palatino Linotype" w:hAnsi="Palatino Linotype" w:cs="Arial"/>
          <w:i/>
          <w:sz w:val="22"/>
          <w:szCs w:val="22"/>
          <w:lang w:val="es-ES_tradnl"/>
        </w:rPr>
      </w:pPr>
      <w:r w:rsidRPr="00E6565E">
        <w:rPr>
          <w:rFonts w:ascii="Palatino Linotype" w:hAnsi="Palatino Linotype" w:cs="Arial"/>
          <w:i/>
          <w:sz w:val="22"/>
          <w:szCs w:val="22"/>
          <w:lang w:val="es-ES_tradnl"/>
        </w:rPr>
        <w:t>Los secretos bancario, fiduciario, industrial, comercial, fiscal, bursátil y postal, cuya titularidad corresponda a particulares, sujetos de derecho internacional o a sujetos obligados cuando no involucren el ejercicio de recursos públicos; y</w:t>
      </w:r>
    </w:p>
    <w:p w14:paraId="2B300864" w14:textId="77777777" w:rsidR="00ED2F87" w:rsidRPr="00E6565E" w:rsidRDefault="00ED2F87" w:rsidP="00ED2F87">
      <w:pPr>
        <w:pStyle w:val="Prrafodelista"/>
        <w:numPr>
          <w:ilvl w:val="0"/>
          <w:numId w:val="6"/>
        </w:numPr>
        <w:ind w:left="1843" w:right="567"/>
        <w:jc w:val="both"/>
        <w:rPr>
          <w:rFonts w:ascii="Palatino Linotype" w:hAnsi="Palatino Linotype" w:cs="Arial"/>
          <w:i/>
          <w:sz w:val="22"/>
          <w:szCs w:val="22"/>
          <w:lang w:val="es-ES_tradnl"/>
        </w:rPr>
      </w:pPr>
      <w:r w:rsidRPr="00E6565E">
        <w:rPr>
          <w:rFonts w:ascii="Palatino Linotype" w:hAnsi="Palatino Linotype" w:cs="Arial"/>
          <w:i/>
          <w:sz w:val="22"/>
          <w:szCs w:val="22"/>
          <w:lang w:val="es-ES_tradnl"/>
        </w:rPr>
        <w:t>La que presenten los particulares a los sujetos obligados, de conformidad con lo dispuesto por las leyes o los tratados internacionales.</w:t>
      </w:r>
    </w:p>
    <w:p w14:paraId="6CBE9F36" w14:textId="77777777" w:rsidR="00ED2F87" w:rsidRDefault="00ED2F87" w:rsidP="00ED2F87">
      <w:pPr>
        <w:spacing w:after="0"/>
        <w:ind w:left="851" w:right="567"/>
        <w:jc w:val="both"/>
        <w:rPr>
          <w:rFonts w:ascii="Palatino Linotype" w:hAnsi="Palatino Linotype" w:cs="Arial"/>
          <w:i/>
          <w:lang w:val="es-ES_tradnl"/>
        </w:rPr>
      </w:pPr>
    </w:p>
    <w:p w14:paraId="67EEC2BA" w14:textId="77777777" w:rsidR="00ED2F87" w:rsidRDefault="00ED2F87" w:rsidP="00ED2F87">
      <w:pPr>
        <w:spacing w:after="0"/>
        <w:ind w:left="1134" w:right="567"/>
        <w:jc w:val="both"/>
        <w:rPr>
          <w:rFonts w:ascii="Palatino Linotype" w:hAnsi="Palatino Linotype" w:cs="Arial"/>
          <w:i/>
          <w:lang w:val="es-ES_tradnl"/>
        </w:rPr>
      </w:pPr>
      <w:r w:rsidRPr="00E6565E">
        <w:rPr>
          <w:rFonts w:ascii="Palatino Linotype" w:hAnsi="Palatino Linotype" w:cs="Arial"/>
          <w:i/>
          <w:lang w:val="es-ES_tradnl"/>
        </w:rPr>
        <w:t>La información confidencial no estará sujeta a temporalidad alguna y sólo podrán tener acceso a ella</w:t>
      </w:r>
      <w:r>
        <w:rPr>
          <w:rFonts w:ascii="Palatino Linotype" w:hAnsi="Palatino Linotype" w:cs="Arial"/>
          <w:i/>
          <w:lang w:val="es-ES_tradnl"/>
        </w:rPr>
        <w:t xml:space="preserve"> </w:t>
      </w:r>
      <w:r w:rsidRPr="00130C79">
        <w:rPr>
          <w:rFonts w:ascii="Palatino Linotype" w:hAnsi="Palatino Linotype" w:cs="Arial"/>
          <w:i/>
          <w:lang w:val="es-ES_tradnl"/>
        </w:rPr>
        <w:t>los titulares de la misma, sus representantes y los servidores públicos facultados para ello.</w:t>
      </w:r>
    </w:p>
    <w:p w14:paraId="4DB15593" w14:textId="77777777" w:rsidR="00ED2F87" w:rsidRDefault="00ED2F87" w:rsidP="00ED2F87">
      <w:pPr>
        <w:pStyle w:val="Prrafodelista"/>
        <w:ind w:left="567" w:right="567"/>
        <w:jc w:val="both"/>
        <w:rPr>
          <w:rFonts w:ascii="Palatino Linotype" w:hAnsi="Palatino Linotype" w:cs="Arial"/>
          <w:i/>
          <w:sz w:val="22"/>
          <w:szCs w:val="22"/>
          <w:lang w:val="es-ES_tradnl"/>
        </w:rPr>
      </w:pPr>
    </w:p>
    <w:p w14:paraId="272CD9D8" w14:textId="77777777" w:rsidR="00ED2F87" w:rsidRDefault="00ED2F87" w:rsidP="00ED2F87">
      <w:pPr>
        <w:pStyle w:val="Prrafodelista"/>
        <w:ind w:left="567" w:right="567"/>
        <w:jc w:val="both"/>
        <w:rPr>
          <w:rFonts w:ascii="Palatino Linotype" w:hAnsi="Palatino Linotype" w:cs="Arial"/>
          <w:b/>
          <w:i/>
          <w:sz w:val="22"/>
          <w:szCs w:val="22"/>
          <w:lang w:val="es-ES_tradnl"/>
        </w:rPr>
      </w:pPr>
      <w:r>
        <w:rPr>
          <w:rFonts w:ascii="Palatino Linotype" w:hAnsi="Palatino Linotype" w:cs="Arial"/>
          <w:b/>
          <w:i/>
          <w:sz w:val="22"/>
          <w:szCs w:val="22"/>
          <w:lang w:val="es-ES_tradnl"/>
        </w:rPr>
        <w:t>Se anexa a la presente copia del Acta de inicio de Auditoria</w:t>
      </w:r>
    </w:p>
    <w:p w14:paraId="7EAE0D74" w14:textId="77777777" w:rsidR="00ED2F87" w:rsidRPr="00E6565E" w:rsidRDefault="00ED2F87" w:rsidP="00ED2F87">
      <w:pPr>
        <w:pStyle w:val="Prrafodelista"/>
        <w:ind w:left="567" w:right="567"/>
        <w:jc w:val="both"/>
        <w:rPr>
          <w:rFonts w:ascii="Palatino Linotype" w:hAnsi="Palatino Linotype" w:cs="Arial"/>
          <w:i/>
          <w:sz w:val="22"/>
          <w:szCs w:val="22"/>
          <w:lang w:val="es-ES_tradnl"/>
        </w:rPr>
      </w:pPr>
    </w:p>
    <w:p w14:paraId="7647211C" w14:textId="77777777" w:rsidR="00ED2F87" w:rsidRPr="00E6565E" w:rsidRDefault="00ED2F87" w:rsidP="00ED2F87">
      <w:pPr>
        <w:pStyle w:val="Prrafodelista"/>
        <w:ind w:left="567" w:right="567"/>
        <w:jc w:val="both"/>
        <w:rPr>
          <w:rFonts w:ascii="Palatino Linotype" w:hAnsi="Palatino Linotype" w:cs="Arial"/>
          <w:i/>
          <w:sz w:val="22"/>
          <w:szCs w:val="22"/>
          <w:lang w:val="es-ES_tradnl"/>
        </w:rPr>
      </w:pPr>
      <w:r>
        <w:rPr>
          <w:rFonts w:ascii="Palatino Linotype" w:hAnsi="Palatino Linotype" w:cs="Arial"/>
          <w:b/>
          <w:i/>
          <w:sz w:val="22"/>
          <w:szCs w:val="22"/>
          <w:lang w:val="es-ES_tradnl"/>
        </w:rPr>
        <w:t xml:space="preserve">Los sujetos obligados solo proporcionaran la información pública que se le requiera y obre en sus archivos y en estado en que se encuentre. La obligación de proporcionar la información no compromete el procesamiento de la misma, ni presentarla conforme al interés del solicitante, no </w:t>
      </w:r>
      <w:r w:rsidRPr="00625B86">
        <w:rPr>
          <w:rFonts w:ascii="Palatino Linotype" w:hAnsi="Palatino Linotype" w:cs="Arial"/>
          <w:b/>
          <w:i/>
          <w:sz w:val="22"/>
          <w:szCs w:val="22"/>
          <w:lang w:val="es-ES_tradnl"/>
        </w:rPr>
        <w:t>estarán obligados a generarla, resumirla, efectuar cálculos o practicar investigaciones”.</w:t>
      </w:r>
    </w:p>
    <w:p w14:paraId="21CE26AF" w14:textId="77777777" w:rsidR="00ED2F87" w:rsidRDefault="00ED2F87" w:rsidP="00ED2F87">
      <w:pPr>
        <w:pStyle w:val="Prrafodelista"/>
        <w:spacing w:line="360" w:lineRule="auto"/>
        <w:ind w:left="567"/>
        <w:jc w:val="both"/>
        <w:rPr>
          <w:rFonts w:ascii="Palatino Linotype" w:eastAsia="Calibri" w:hAnsi="Palatino Linotype"/>
          <w:lang w:val="es-ES_tradnl"/>
        </w:rPr>
      </w:pPr>
      <w:r>
        <w:rPr>
          <w:rFonts w:ascii="Palatino Linotype" w:eastAsia="Calibri" w:hAnsi="Palatino Linotype"/>
          <w:lang w:val="es-ES_tradnl"/>
        </w:rPr>
        <w:lastRenderedPageBreak/>
        <w:t xml:space="preserve">Se advierte que el </w:t>
      </w:r>
      <w:r>
        <w:rPr>
          <w:rFonts w:ascii="Palatino Linotype" w:eastAsia="Calibri" w:hAnsi="Palatino Linotype"/>
          <w:b/>
          <w:lang w:val="es-ES_tradnl"/>
        </w:rPr>
        <w:t>sujeto obligado</w:t>
      </w:r>
      <w:r>
        <w:rPr>
          <w:rFonts w:ascii="Palatino Linotype" w:eastAsia="Calibri" w:hAnsi="Palatino Linotype"/>
          <w:lang w:val="es-ES_tradnl"/>
        </w:rPr>
        <w:t xml:space="preserve"> refiere adjuntar el Acta de inicio de Auditoría de Desempeño, sin embargo, no se encuentra anexo documento alguno.</w:t>
      </w:r>
    </w:p>
    <w:p w14:paraId="7CAED69F" w14:textId="77777777" w:rsidR="00ED2F87" w:rsidRPr="00BC1DD1" w:rsidRDefault="00ED2F87" w:rsidP="00ED2F87">
      <w:pPr>
        <w:pStyle w:val="Prrafodelista"/>
        <w:spacing w:line="360" w:lineRule="auto"/>
        <w:ind w:left="720"/>
        <w:jc w:val="both"/>
        <w:rPr>
          <w:rFonts w:ascii="Palatino Linotype" w:eastAsia="Calibri" w:hAnsi="Palatino Linotype"/>
          <w:lang w:val="es-ES_tradnl"/>
        </w:rPr>
      </w:pPr>
    </w:p>
    <w:p w14:paraId="5A6C83CD" w14:textId="77777777" w:rsidR="00ED2F87" w:rsidRDefault="00ED2F87" w:rsidP="00ED2F87">
      <w:pPr>
        <w:pStyle w:val="Prrafodelista"/>
        <w:numPr>
          <w:ilvl w:val="0"/>
          <w:numId w:val="2"/>
        </w:numPr>
        <w:spacing w:line="360" w:lineRule="auto"/>
        <w:jc w:val="both"/>
        <w:rPr>
          <w:rFonts w:ascii="Palatino Linotype" w:eastAsia="Calibri" w:hAnsi="Palatino Linotype"/>
          <w:lang w:val="es-ES_tradnl"/>
        </w:rPr>
      </w:pPr>
      <w:r w:rsidRPr="00CB14B0">
        <w:rPr>
          <w:rFonts w:ascii="Palatino Linotype" w:eastAsia="Calibri" w:hAnsi="Palatino Linotype"/>
          <w:b/>
          <w:lang w:val="es-ES_tradnl"/>
        </w:rPr>
        <w:t>Oficio Icufide.pdf:</w:t>
      </w:r>
      <w:r>
        <w:rPr>
          <w:rFonts w:ascii="Palatino Linotype" w:eastAsia="Calibri" w:hAnsi="Palatino Linotype"/>
          <w:lang w:val="es-ES_tradnl"/>
        </w:rPr>
        <w:t xml:space="preserve"> oficio </w:t>
      </w:r>
      <w:proofErr w:type="spellStart"/>
      <w:r>
        <w:rPr>
          <w:rFonts w:ascii="Palatino Linotype" w:eastAsia="Calibri" w:hAnsi="Palatino Linotype"/>
          <w:lang w:val="es-ES_tradnl"/>
        </w:rPr>
        <w:t>DFyA</w:t>
      </w:r>
      <w:proofErr w:type="spellEnd"/>
      <w:r>
        <w:rPr>
          <w:rFonts w:ascii="Palatino Linotype" w:eastAsia="Calibri" w:hAnsi="Palatino Linotype"/>
          <w:lang w:val="es-ES_tradnl"/>
        </w:rPr>
        <w:t>/</w:t>
      </w:r>
      <w:proofErr w:type="spellStart"/>
      <w:r>
        <w:rPr>
          <w:rFonts w:ascii="Palatino Linotype" w:eastAsia="Calibri" w:hAnsi="Palatino Linotype"/>
          <w:lang w:val="es-ES_tradnl"/>
        </w:rPr>
        <w:t>Imcufidete</w:t>
      </w:r>
      <w:proofErr w:type="spellEnd"/>
      <w:r>
        <w:rPr>
          <w:rFonts w:ascii="Palatino Linotype" w:eastAsia="Calibri" w:hAnsi="Palatino Linotype"/>
          <w:lang w:val="es-ES_tradnl"/>
        </w:rPr>
        <w:t>/042/2020 de fecha dos de octubre de dos mil veinte, remitido por el Director General del Instituto Municipal de Cultura Física y Deporte de Teoloyucan, a la Titular de la Unidad de Transparencia del Municipio de Teoloyucan, mediante el cual señala:</w:t>
      </w:r>
    </w:p>
    <w:p w14:paraId="10093AFF" w14:textId="77777777" w:rsidR="00ED2F87" w:rsidRDefault="00ED2F87" w:rsidP="00ED2F87">
      <w:pPr>
        <w:spacing w:after="0" w:line="240" w:lineRule="auto"/>
        <w:ind w:left="360"/>
        <w:jc w:val="both"/>
        <w:rPr>
          <w:rFonts w:ascii="Palatino Linotype" w:eastAsia="Calibri" w:hAnsi="Palatino Linotype"/>
          <w:i/>
          <w:lang w:val="es-ES_tradnl"/>
        </w:rPr>
      </w:pPr>
    </w:p>
    <w:p w14:paraId="4D291537" w14:textId="77777777" w:rsidR="00ED2F87" w:rsidRPr="005C473C" w:rsidRDefault="00ED2F87" w:rsidP="00ED2F87">
      <w:pPr>
        <w:spacing w:after="0" w:line="240" w:lineRule="auto"/>
        <w:ind w:left="360"/>
        <w:jc w:val="both"/>
        <w:rPr>
          <w:rFonts w:ascii="Palatino Linotype" w:eastAsia="Calibri" w:hAnsi="Palatino Linotype"/>
          <w:i/>
          <w:lang w:val="es-ES_tradnl"/>
        </w:rPr>
      </w:pPr>
      <w:r>
        <w:rPr>
          <w:rFonts w:ascii="Palatino Linotype" w:eastAsia="Calibri" w:hAnsi="Palatino Linotype"/>
          <w:i/>
          <w:lang w:val="es-ES_tradnl"/>
        </w:rPr>
        <w:t>“</w:t>
      </w:r>
      <w:r w:rsidRPr="005C473C">
        <w:rPr>
          <w:rFonts w:ascii="Palatino Linotype" w:eastAsia="Calibri" w:hAnsi="Palatino Linotype"/>
          <w:b/>
          <w:i/>
          <w:lang w:val="es-ES_tradnl"/>
        </w:rPr>
        <w:t>el acceso a la información pública será restringido excepcionalmente, cuando por razones de interés público, esta sea clasificada como reservada, conforme a los criterios siguientes:</w:t>
      </w:r>
    </w:p>
    <w:p w14:paraId="3C1FAAE2" w14:textId="77777777" w:rsidR="00ED2F87" w:rsidRPr="005C473C" w:rsidRDefault="00ED2F87" w:rsidP="00ED2F87">
      <w:pPr>
        <w:spacing w:after="0" w:line="240" w:lineRule="auto"/>
        <w:ind w:left="360"/>
        <w:jc w:val="both"/>
        <w:rPr>
          <w:rFonts w:ascii="Palatino Linotype" w:eastAsia="Calibri" w:hAnsi="Palatino Linotype"/>
          <w:i/>
          <w:lang w:val="es-ES_tradnl"/>
        </w:rPr>
      </w:pPr>
    </w:p>
    <w:p w14:paraId="25EB7A04" w14:textId="77777777" w:rsidR="00ED2F87" w:rsidRDefault="00ED2F87" w:rsidP="00ED2F87">
      <w:pPr>
        <w:spacing w:after="0" w:line="240" w:lineRule="auto"/>
        <w:ind w:left="360"/>
        <w:jc w:val="both"/>
        <w:rPr>
          <w:rFonts w:ascii="Palatino Linotype" w:eastAsia="Calibri" w:hAnsi="Palatino Linotype"/>
          <w:i/>
          <w:lang w:val="es-ES_tradnl"/>
        </w:rPr>
      </w:pPr>
      <w:r w:rsidRPr="005C473C">
        <w:rPr>
          <w:rFonts w:ascii="Palatino Linotype" w:eastAsia="Calibri" w:hAnsi="Palatino Linotype"/>
          <w:i/>
          <w:lang w:val="es-ES_tradnl"/>
        </w:rPr>
        <w:t>Fracción V. Aquella cuya divulgación obstruya o pueda causar un serio perjuicio a: 1.-</w:t>
      </w:r>
      <w:r w:rsidRPr="005C473C">
        <w:rPr>
          <w:rFonts w:ascii="Palatino Linotype" w:eastAsia="Calibri" w:hAnsi="Palatino Linotype"/>
          <w:i/>
          <w:u w:val="single"/>
          <w:lang w:val="es-ES_tradnl"/>
        </w:rPr>
        <w:t>Las actividades de fiscalización</w:t>
      </w:r>
      <w:r w:rsidRPr="005C473C">
        <w:rPr>
          <w:rFonts w:ascii="Palatino Linotype" w:eastAsia="Calibri" w:hAnsi="Palatino Linotype"/>
          <w:i/>
          <w:lang w:val="es-ES_tradnl"/>
        </w:rPr>
        <w:t>, verificación, inspección, comprobación y auditoria sobre el</w:t>
      </w:r>
      <w:r>
        <w:rPr>
          <w:rFonts w:ascii="Palatino Linotype" w:eastAsia="Calibri" w:hAnsi="Palatino Linotype"/>
          <w:i/>
          <w:lang w:val="es-ES_tradnl"/>
        </w:rPr>
        <w:t xml:space="preserve"> </w:t>
      </w:r>
      <w:r w:rsidRPr="005C473C">
        <w:rPr>
          <w:rFonts w:ascii="Palatino Linotype" w:eastAsia="Calibri" w:hAnsi="Palatino Linotype"/>
          <w:i/>
          <w:lang w:val="es-ES_tradnl"/>
        </w:rPr>
        <w:t>cumplimiento de las leyes; o</w:t>
      </w:r>
      <w:r>
        <w:rPr>
          <w:rFonts w:ascii="Palatino Linotype" w:eastAsia="Calibri" w:hAnsi="Palatino Linotype"/>
          <w:i/>
          <w:lang w:val="es-ES_tradnl"/>
        </w:rPr>
        <w:t xml:space="preserve"> </w:t>
      </w:r>
    </w:p>
    <w:p w14:paraId="55B4C418" w14:textId="77777777" w:rsidR="00ED2F87" w:rsidRPr="005C473C" w:rsidRDefault="00ED2F87" w:rsidP="00ED2F87">
      <w:pPr>
        <w:spacing w:after="0" w:line="240" w:lineRule="auto"/>
        <w:ind w:left="360"/>
        <w:jc w:val="both"/>
        <w:rPr>
          <w:rFonts w:ascii="Palatino Linotype" w:eastAsia="Calibri" w:hAnsi="Palatino Linotype"/>
          <w:i/>
          <w:lang w:val="es-ES_tradnl"/>
        </w:rPr>
      </w:pPr>
      <w:r w:rsidRPr="005C473C">
        <w:rPr>
          <w:rFonts w:ascii="Palatino Linotype" w:eastAsia="Calibri" w:hAnsi="Palatino Linotype"/>
          <w:i/>
          <w:lang w:val="es-ES_tradnl"/>
        </w:rPr>
        <w:t>2.- La recaudación de las contribuciones.</w:t>
      </w:r>
    </w:p>
    <w:p w14:paraId="12D3A1FD" w14:textId="77777777" w:rsidR="00ED2F87" w:rsidRPr="005C473C" w:rsidRDefault="00ED2F87" w:rsidP="00ED2F87">
      <w:pPr>
        <w:spacing w:after="0" w:line="240" w:lineRule="auto"/>
        <w:ind w:left="360"/>
        <w:jc w:val="both"/>
        <w:rPr>
          <w:rFonts w:ascii="Palatino Linotype" w:eastAsia="Calibri" w:hAnsi="Palatino Linotype"/>
          <w:i/>
          <w:lang w:val="es-ES_tradnl"/>
        </w:rPr>
      </w:pPr>
    </w:p>
    <w:p w14:paraId="5BFA3582" w14:textId="77777777" w:rsidR="00ED2F87" w:rsidRPr="00736ACD" w:rsidRDefault="00ED2F87" w:rsidP="00ED2F87">
      <w:pPr>
        <w:spacing w:after="0" w:line="240" w:lineRule="auto"/>
        <w:ind w:left="360"/>
        <w:jc w:val="both"/>
        <w:rPr>
          <w:rFonts w:ascii="Palatino Linotype" w:eastAsia="Calibri" w:hAnsi="Palatino Linotype"/>
          <w:i/>
          <w:lang w:val="es-ES_tradnl"/>
        </w:rPr>
      </w:pPr>
      <w:r w:rsidRPr="005C473C">
        <w:rPr>
          <w:rFonts w:ascii="Palatino Linotype" w:eastAsia="Calibri" w:hAnsi="Palatino Linotype"/>
          <w:i/>
          <w:lang w:val="es-ES_tradnl"/>
        </w:rPr>
        <w:t>Los sujetos obligados solo proporcionaran la información pública que se le requiera y</w:t>
      </w:r>
      <w:r>
        <w:rPr>
          <w:rFonts w:ascii="Palatino Linotype" w:eastAsia="Calibri" w:hAnsi="Palatino Linotype"/>
          <w:i/>
          <w:lang w:val="es-ES_tradnl"/>
        </w:rPr>
        <w:t xml:space="preserve"> </w:t>
      </w:r>
      <w:r w:rsidRPr="005C473C">
        <w:rPr>
          <w:rFonts w:ascii="Palatino Linotype" w:eastAsia="Calibri" w:hAnsi="Palatino Linotype"/>
          <w:i/>
          <w:lang w:val="es-ES_tradnl"/>
        </w:rPr>
        <w:t>que obre en sus archivos y en estado en que se encuentre. La obligación de</w:t>
      </w:r>
      <w:r>
        <w:rPr>
          <w:rFonts w:ascii="Palatino Linotype" w:eastAsia="Calibri" w:hAnsi="Palatino Linotype"/>
          <w:i/>
          <w:lang w:val="es-ES_tradnl"/>
        </w:rPr>
        <w:t xml:space="preserve"> </w:t>
      </w:r>
      <w:r w:rsidRPr="005C473C">
        <w:rPr>
          <w:rFonts w:ascii="Palatino Linotype" w:eastAsia="Calibri" w:hAnsi="Palatino Linotype"/>
          <w:i/>
          <w:lang w:val="es-ES_tradnl"/>
        </w:rPr>
        <w:t>proporcionar información no comprende el procesamiento de la misma, ni presentarla</w:t>
      </w:r>
      <w:r>
        <w:rPr>
          <w:rFonts w:ascii="Palatino Linotype" w:eastAsia="Calibri" w:hAnsi="Palatino Linotype"/>
          <w:i/>
          <w:lang w:val="es-ES_tradnl"/>
        </w:rPr>
        <w:t xml:space="preserve"> </w:t>
      </w:r>
      <w:r w:rsidRPr="005C473C">
        <w:rPr>
          <w:rFonts w:ascii="Palatino Linotype" w:eastAsia="Calibri" w:hAnsi="Palatino Linotype"/>
          <w:i/>
          <w:lang w:val="es-ES_tradnl"/>
        </w:rPr>
        <w:t xml:space="preserve">conformé al interés del solicitante, no estarán obligados a generarla, resumirla, </w:t>
      </w:r>
      <w:r>
        <w:rPr>
          <w:rFonts w:ascii="Palatino Linotype" w:eastAsia="Calibri" w:hAnsi="Palatino Linotype"/>
          <w:i/>
          <w:lang w:val="es-ES_tradnl"/>
        </w:rPr>
        <w:t xml:space="preserve"> </w:t>
      </w:r>
      <w:r w:rsidRPr="005C473C">
        <w:rPr>
          <w:rFonts w:ascii="Palatino Linotype" w:eastAsia="Calibri" w:hAnsi="Palatino Linotype"/>
          <w:i/>
          <w:lang w:val="es-ES_tradnl"/>
        </w:rPr>
        <w:t>efectuar cálculos o practicar investigaciones’’.</w:t>
      </w:r>
    </w:p>
    <w:p w14:paraId="28E3AAD3"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411D1806" w14:textId="77777777" w:rsidR="00ED2F87" w:rsidRPr="00D6681D" w:rsidRDefault="00ED2F87" w:rsidP="00ED2F8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Atentos a la r</w:t>
      </w:r>
      <w:r w:rsidRPr="00D6681D">
        <w:rPr>
          <w:rFonts w:ascii="Palatino Linotype" w:eastAsia="Times New Roman" w:hAnsi="Palatino Linotype" w:cs="Arial"/>
          <w:color w:val="000000" w:themeColor="text1"/>
          <w:sz w:val="24"/>
          <w:szCs w:val="24"/>
          <w:lang w:val="es-ES" w:eastAsia="es-ES"/>
        </w:rPr>
        <w:t xml:space="preserve">espuesta del </w:t>
      </w:r>
      <w:r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w:t>
      </w:r>
      <w:r>
        <w:rPr>
          <w:rFonts w:ascii="Palatino Linotype" w:eastAsia="Times New Roman" w:hAnsi="Palatino Linotype" w:cs="Arial"/>
          <w:sz w:val="24"/>
          <w:szCs w:val="24"/>
          <w:lang w:val="es-ES" w:eastAsia="es-ES"/>
        </w:rPr>
        <w:t xml:space="preserve"> y pretender reservarla.</w:t>
      </w:r>
    </w:p>
    <w:p w14:paraId="142F80F0" w14:textId="77777777" w:rsidR="00ED2F87" w:rsidRDefault="00ED2F87" w:rsidP="00ED2F87">
      <w:pPr>
        <w:spacing w:after="0" w:line="360" w:lineRule="auto"/>
        <w:jc w:val="both"/>
        <w:rPr>
          <w:rFonts w:ascii="Palatino Linotype" w:hAnsi="Palatino Linotype" w:cs="Arial"/>
          <w:sz w:val="24"/>
          <w:szCs w:val="24"/>
        </w:rPr>
      </w:pPr>
    </w:p>
    <w:p w14:paraId="7D723A18"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w:t>
      </w:r>
      <w:r>
        <w:rPr>
          <w:rFonts w:ascii="Palatino Linotype" w:hAnsi="Palatino Linotype" w:cs="Arial"/>
          <w:sz w:val="24"/>
          <w:szCs w:val="24"/>
        </w:rPr>
        <w:lastRenderedPageBreak/>
        <w:t>razones o motivos de inconformidad, que l</w:t>
      </w:r>
      <w:r w:rsidRPr="009B6B17">
        <w:rPr>
          <w:rFonts w:ascii="Palatino Linotype" w:hAnsi="Palatino Linotype" w:cs="Arial"/>
          <w:sz w:val="24"/>
          <w:szCs w:val="24"/>
        </w:rPr>
        <w:t>a respue</w:t>
      </w:r>
      <w:r>
        <w:rPr>
          <w:rFonts w:ascii="Palatino Linotype" w:hAnsi="Palatino Linotype" w:cs="Arial"/>
          <w:sz w:val="24"/>
          <w:szCs w:val="24"/>
        </w:rPr>
        <w:t>sta no se encuentra debidamente fundada, ni motivada, toda vez que únicamente señalan que la información no se puede entregar en virtud de que existe en curso una auditoría, sin acreditar dicha reserva mediante la correspondiente prueba de daño.</w:t>
      </w:r>
    </w:p>
    <w:p w14:paraId="222BB2CA" w14:textId="77777777" w:rsidR="00ED2F87" w:rsidRDefault="00ED2F87" w:rsidP="00ED2F87">
      <w:pPr>
        <w:spacing w:after="0" w:line="360" w:lineRule="auto"/>
        <w:jc w:val="both"/>
        <w:rPr>
          <w:rFonts w:ascii="Palatino Linotype" w:hAnsi="Palatino Linotype" w:cs="Arial"/>
          <w:sz w:val="24"/>
          <w:szCs w:val="24"/>
        </w:rPr>
      </w:pPr>
    </w:p>
    <w:p w14:paraId="0176C3D5" w14:textId="77777777" w:rsidR="00ED2F87" w:rsidRDefault="00ED2F87" w:rsidP="00ED2F87">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Hechas 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Pr>
          <w:rFonts w:ascii="Palatino Linotype" w:hAnsi="Palatino Linotype" w:cs="Arial"/>
          <w:sz w:val="24"/>
          <w:szCs w:val="24"/>
        </w:rPr>
        <w:t xml:space="preserve">, relativa a la clasificación de la información como reservada, </w:t>
      </w:r>
      <w:r w:rsidRPr="00EA4CB0">
        <w:rPr>
          <w:rFonts w:ascii="Palatino Linotype" w:hAnsi="Palatino Linotype" w:cs="Arial"/>
          <w:sz w:val="24"/>
          <w:szCs w:val="24"/>
        </w:rPr>
        <w:t>colma o no la pr</w:t>
      </w:r>
      <w:r>
        <w:rPr>
          <w:rFonts w:ascii="Palatino Linotype" w:hAnsi="Palatino Linotype" w:cs="Arial"/>
          <w:sz w:val="24"/>
          <w:szCs w:val="24"/>
        </w:rPr>
        <w:t>etensión del particular.</w:t>
      </w:r>
    </w:p>
    <w:p w14:paraId="44436AB1" w14:textId="77777777" w:rsidR="00ED2F87" w:rsidRDefault="00ED2F87" w:rsidP="00ED2F87">
      <w:pPr>
        <w:spacing w:after="0" w:line="360" w:lineRule="auto"/>
        <w:jc w:val="both"/>
        <w:rPr>
          <w:rFonts w:ascii="Palatino Linotype" w:hAnsi="Palatino Linotype" w:cs="Arial"/>
          <w:sz w:val="24"/>
          <w:szCs w:val="24"/>
        </w:rPr>
      </w:pPr>
    </w:p>
    <w:p w14:paraId="6960D780" w14:textId="77777777" w:rsidR="00ED2F87" w:rsidRPr="00DD3442" w:rsidRDefault="00ED2F87" w:rsidP="00ED2F87">
      <w:pPr>
        <w:spacing w:after="0" w:line="360" w:lineRule="auto"/>
        <w:jc w:val="both"/>
        <w:rPr>
          <w:rFonts w:ascii="Palatino Linotype" w:eastAsia="Calibri" w:hAnsi="Palatino Linotype" w:cs="Times New Roman"/>
          <w:sz w:val="24"/>
          <w:szCs w:val="24"/>
          <w:lang w:val="es-ES_tradnl" w:eastAsia="es-ES"/>
        </w:rPr>
      </w:pPr>
      <w:r w:rsidRPr="00DD3442">
        <w:rPr>
          <w:rFonts w:ascii="Palatino Linotype" w:eastAsia="Calibri" w:hAnsi="Palatino Linotype" w:cs="Times New Roman"/>
          <w:sz w:val="24"/>
          <w:szCs w:val="24"/>
          <w:lang w:val="es-ES_tradnl" w:eastAsia="es-ES"/>
        </w:rPr>
        <w:t xml:space="preserve">En ese sentido, el </w:t>
      </w:r>
      <w:r w:rsidRPr="00DD3442">
        <w:rPr>
          <w:rFonts w:ascii="Palatino Linotype" w:eastAsia="Calibri" w:hAnsi="Palatino Linotype" w:cs="Times New Roman"/>
          <w:b/>
          <w:sz w:val="24"/>
          <w:szCs w:val="24"/>
          <w:lang w:val="es-ES_tradnl" w:eastAsia="es-ES"/>
        </w:rPr>
        <w:t>sujeto obligado</w:t>
      </w:r>
      <w:r w:rsidRPr="00DD3442">
        <w:rPr>
          <w:rFonts w:ascii="Palatino Linotype" w:eastAsia="Calibri" w:hAnsi="Palatino Linotype" w:cs="Times New Roman"/>
          <w:sz w:val="24"/>
          <w:szCs w:val="24"/>
          <w:lang w:val="es-ES_tradnl" w:eastAsia="es-ES"/>
        </w:rPr>
        <w:t xml:space="preserve"> mediante respuesta primigenia manifiesta que atendiendo que la información peticionada, actualiza lo previsto en</w:t>
      </w:r>
      <w:r>
        <w:rPr>
          <w:rFonts w:ascii="Palatino Linotype" w:eastAsia="Calibri" w:hAnsi="Palatino Linotype" w:cs="Times New Roman"/>
          <w:sz w:val="24"/>
          <w:szCs w:val="24"/>
          <w:lang w:val="es-ES_tradnl" w:eastAsia="es-ES"/>
        </w:rPr>
        <w:t xml:space="preserve"> la fracción V del artículo 140 </w:t>
      </w:r>
      <w:r w:rsidRPr="00DD3442">
        <w:rPr>
          <w:rFonts w:ascii="Palatino Linotype" w:eastAsia="Calibri" w:hAnsi="Palatino Linotype" w:cs="Times New Roman"/>
          <w:sz w:val="24"/>
          <w:szCs w:val="24"/>
          <w:lang w:val="es-ES_tradnl" w:eastAsia="es-ES"/>
        </w:rPr>
        <w:t>de la Ley de Transparencia Estatal</w:t>
      </w:r>
      <w:r>
        <w:rPr>
          <w:rFonts w:ascii="Palatino Linotype" w:eastAsia="Calibri" w:hAnsi="Palatino Linotype" w:cs="Times New Roman"/>
          <w:sz w:val="24"/>
          <w:szCs w:val="24"/>
          <w:lang w:val="es-ES_tradnl" w:eastAsia="es-ES"/>
        </w:rPr>
        <w:t xml:space="preserve"> y </w:t>
      </w:r>
      <w:r w:rsidRPr="0069241F">
        <w:rPr>
          <w:rFonts w:ascii="Palatino Linotype" w:eastAsia="Calibri" w:hAnsi="Palatino Linotype" w:cs="Times New Roman"/>
          <w:sz w:val="24"/>
          <w:szCs w:val="24"/>
          <w:lang w:val="es-ES_tradnl" w:eastAsia="es-ES"/>
        </w:rPr>
        <w:t>Acceso a la Información</w:t>
      </w:r>
      <w:r>
        <w:rPr>
          <w:rFonts w:ascii="Palatino Linotype" w:eastAsia="Calibri" w:hAnsi="Palatino Linotype" w:cs="Times New Roman"/>
          <w:sz w:val="24"/>
          <w:szCs w:val="24"/>
          <w:lang w:val="es-ES_tradnl" w:eastAsia="es-ES"/>
        </w:rPr>
        <w:t xml:space="preserve"> </w:t>
      </w:r>
      <w:r w:rsidRPr="0069241F">
        <w:rPr>
          <w:rFonts w:ascii="Palatino Linotype" w:eastAsia="Calibri" w:hAnsi="Palatino Linotype" w:cs="Times New Roman"/>
          <w:sz w:val="24"/>
          <w:szCs w:val="24"/>
          <w:lang w:val="es-ES_tradnl" w:eastAsia="es-ES"/>
        </w:rPr>
        <w:t>Pública del Estado de México y Municipios</w:t>
      </w:r>
      <w:r w:rsidRPr="0069241F">
        <w:rPr>
          <w:rFonts w:ascii="Palatino Linotype" w:eastAsia="Calibri" w:hAnsi="Palatino Linotype" w:cs="Times New Roman"/>
          <w:sz w:val="24"/>
          <w:szCs w:val="24"/>
          <w:vertAlign w:val="superscript"/>
          <w:lang w:val="es-ES_tradnl" w:eastAsia="es-ES"/>
        </w:rPr>
        <w:t xml:space="preserve"> </w:t>
      </w:r>
      <w:r w:rsidRPr="00DD3442">
        <w:rPr>
          <w:rFonts w:ascii="Palatino Linotype" w:eastAsia="Calibri" w:hAnsi="Palatino Linotype" w:cs="Times New Roman"/>
          <w:sz w:val="24"/>
          <w:szCs w:val="24"/>
          <w:vertAlign w:val="superscript"/>
          <w:lang w:val="es-ES_tradnl" w:eastAsia="es-ES"/>
        </w:rPr>
        <w:footnoteReference w:id="2"/>
      </w:r>
      <w:r w:rsidRPr="00DD3442">
        <w:rPr>
          <w:rFonts w:ascii="Palatino Linotype" w:eastAsia="Calibri" w:hAnsi="Palatino Linotype" w:cs="Times New Roman"/>
          <w:sz w:val="24"/>
          <w:szCs w:val="24"/>
          <w:lang w:val="es-ES_tradnl" w:eastAsia="es-ES"/>
        </w:rPr>
        <w:t xml:space="preserve">, por lo </w:t>
      </w:r>
      <w:r>
        <w:rPr>
          <w:rFonts w:ascii="Palatino Linotype" w:eastAsia="Calibri" w:hAnsi="Palatino Linotype" w:cs="Times New Roman"/>
          <w:sz w:val="24"/>
          <w:szCs w:val="24"/>
          <w:lang w:val="es-ES_tradnl" w:eastAsia="es-ES"/>
        </w:rPr>
        <w:t>que se encuentra como reservada.</w:t>
      </w:r>
    </w:p>
    <w:p w14:paraId="43382E94" w14:textId="77777777" w:rsidR="00ED2F87" w:rsidRDefault="00ED2F87" w:rsidP="00ED2F87">
      <w:pPr>
        <w:spacing w:after="0" w:line="360" w:lineRule="auto"/>
        <w:jc w:val="both"/>
        <w:rPr>
          <w:rFonts w:ascii="Palatino Linotype" w:eastAsia="Calibri" w:hAnsi="Palatino Linotype" w:cs="Times New Roman"/>
          <w:sz w:val="24"/>
          <w:szCs w:val="24"/>
          <w:lang w:val="es-ES_tradnl" w:eastAsia="es-ES"/>
        </w:rPr>
      </w:pPr>
    </w:p>
    <w:p w14:paraId="5D5FBEE1"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Calibri" w:hAnsi="Palatino Linotype" w:cs="Times New Roman"/>
          <w:sz w:val="24"/>
          <w:szCs w:val="24"/>
          <w:lang w:val="es-ES_tradnl" w:eastAsia="es-ES"/>
        </w:rPr>
        <w:t xml:space="preserve">No obstante, si bien el </w:t>
      </w:r>
      <w:r w:rsidRPr="00C34A49">
        <w:rPr>
          <w:rFonts w:ascii="Palatino Linotype" w:eastAsia="Calibri" w:hAnsi="Palatino Linotype" w:cs="Times New Roman"/>
          <w:b/>
          <w:sz w:val="24"/>
          <w:szCs w:val="24"/>
          <w:lang w:val="es-ES_tradnl" w:eastAsia="es-ES"/>
        </w:rPr>
        <w:t>sujeto obligado</w:t>
      </w:r>
      <w:r w:rsidRPr="00C34A49">
        <w:rPr>
          <w:rFonts w:ascii="Palatino Linotype" w:eastAsia="Calibri" w:hAnsi="Palatino Linotype" w:cs="Times New Roman"/>
          <w:sz w:val="24"/>
          <w:szCs w:val="24"/>
          <w:lang w:val="es-ES_tradnl" w:eastAsia="es-ES"/>
        </w:rPr>
        <w:t xml:space="preserve"> refiere la existencia de una auditoría por parte del órgano Superior de Fiscalización, lo cual acredita con el </w:t>
      </w:r>
      <w:r w:rsidRPr="00C34A49">
        <w:rPr>
          <w:rFonts w:ascii="Palatino Linotype" w:eastAsia="Calibri" w:hAnsi="Palatino Linotype"/>
          <w:sz w:val="24"/>
          <w:szCs w:val="24"/>
          <w:lang w:val="es-ES_tradnl"/>
        </w:rPr>
        <w:t>Acta de inicio de Auditoría de Desempeño Acta/005/CP201, de fecha veintitrés de septiembre de dos mil diecinueve</w:t>
      </w:r>
      <w:r w:rsidRPr="00C34A49">
        <w:rPr>
          <w:rFonts w:ascii="Palatino Linotype" w:eastAsia="Calibri" w:hAnsi="Palatino Linotype" w:cs="Times New Roman"/>
          <w:sz w:val="24"/>
          <w:szCs w:val="24"/>
          <w:lang w:val="es-ES_tradnl" w:eastAsia="es-ES"/>
        </w:rPr>
        <w:t>, también lo es que no basta con la acreditación</w:t>
      </w:r>
      <w:r>
        <w:rPr>
          <w:rFonts w:ascii="Palatino Linotype" w:eastAsia="Calibri" w:hAnsi="Palatino Linotype" w:cs="Times New Roman"/>
          <w:sz w:val="24"/>
          <w:szCs w:val="24"/>
          <w:lang w:val="es-ES_tradnl" w:eastAsia="es-ES"/>
        </w:rPr>
        <w:t xml:space="preserve"> de la existencia de la auditoría. Toda vez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deja de observar lo establecido en los </w:t>
      </w:r>
      <w:r>
        <w:rPr>
          <w:rFonts w:ascii="Palatino Linotype" w:eastAsia="Calibri" w:hAnsi="Palatino Linotype" w:cs="Times New Roman"/>
          <w:sz w:val="24"/>
          <w:szCs w:val="24"/>
          <w:lang w:val="es-ES_tradnl" w:eastAsia="es-ES"/>
        </w:rPr>
        <w:lastRenderedPageBreak/>
        <w:t xml:space="preserve">artículos 49, fracción VIII, </w:t>
      </w:r>
      <w:r w:rsidRPr="00C34A49">
        <w:rPr>
          <w:rFonts w:ascii="Palatino Linotype" w:eastAsia="Times New Roman" w:hAnsi="Palatino Linotype" w:cs="Times New Roman"/>
          <w:sz w:val="24"/>
          <w:szCs w:val="24"/>
          <w:lang w:eastAsia="es-ES"/>
        </w:rPr>
        <w:t>122, 131, 132, 133, 134 y 135 de la Ley de Transparencia Estatal, que a la letra estipulan lo siguiente:</w:t>
      </w:r>
    </w:p>
    <w:p w14:paraId="3D2A92C8"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254DE2B7" w14:textId="77777777" w:rsidR="00ED2F87" w:rsidRDefault="00ED2F87" w:rsidP="00ED2F87">
      <w:pPr>
        <w:spacing w:after="0" w:line="240" w:lineRule="auto"/>
        <w:ind w:left="567" w:right="567"/>
        <w:jc w:val="both"/>
        <w:rPr>
          <w:rFonts w:ascii="Palatino Linotype" w:eastAsia="Times New Roman" w:hAnsi="Palatino Linotype" w:cs="Times New Roman"/>
          <w:bCs/>
          <w:i/>
          <w:lang w:eastAsia="es-ES"/>
        </w:rPr>
      </w:pPr>
      <w:r w:rsidRPr="00C34A49">
        <w:rPr>
          <w:rFonts w:ascii="Palatino Linotype" w:eastAsia="Times New Roman" w:hAnsi="Palatino Linotype" w:cs="Times New Roman"/>
          <w:b/>
          <w:bCs/>
          <w:i/>
          <w:lang w:eastAsia="es-ES"/>
        </w:rPr>
        <w:t>“</w:t>
      </w:r>
      <w:r w:rsidRPr="00D2646E">
        <w:rPr>
          <w:rFonts w:ascii="Palatino Linotype" w:eastAsia="Times New Roman" w:hAnsi="Palatino Linotype" w:cs="Times New Roman"/>
          <w:b/>
          <w:bCs/>
          <w:i/>
          <w:lang w:eastAsia="es-ES"/>
        </w:rPr>
        <w:t xml:space="preserve">Artículo 49. </w:t>
      </w:r>
      <w:r w:rsidRPr="00D2646E">
        <w:rPr>
          <w:rFonts w:ascii="Palatino Linotype" w:eastAsia="Times New Roman" w:hAnsi="Palatino Linotype" w:cs="Times New Roman"/>
          <w:bCs/>
          <w:i/>
          <w:lang w:eastAsia="es-ES"/>
        </w:rPr>
        <w:t>Los Comités de Transparencia tendrán las siguientes atribuciones:</w:t>
      </w:r>
    </w:p>
    <w:p w14:paraId="37FF5B13" w14:textId="77777777" w:rsidR="00ED2F87" w:rsidRDefault="00ED2F87" w:rsidP="00ED2F87">
      <w:pPr>
        <w:spacing w:after="0" w:line="240" w:lineRule="auto"/>
        <w:ind w:left="567" w:right="567"/>
        <w:jc w:val="both"/>
        <w:rPr>
          <w:rFonts w:ascii="Palatino Linotype" w:eastAsia="Times New Roman" w:hAnsi="Palatino Linotype" w:cs="Times New Roman"/>
          <w:bCs/>
          <w:i/>
          <w:lang w:eastAsia="es-ES"/>
        </w:rPr>
      </w:pPr>
      <w:r>
        <w:rPr>
          <w:rFonts w:ascii="Palatino Linotype" w:eastAsia="Times New Roman" w:hAnsi="Palatino Linotype" w:cs="Times New Roman"/>
          <w:bCs/>
          <w:i/>
          <w:lang w:eastAsia="es-ES"/>
        </w:rPr>
        <w:t>(…)</w:t>
      </w:r>
    </w:p>
    <w:p w14:paraId="5A55C483" w14:textId="77777777" w:rsidR="00ED2F87" w:rsidRPr="00D2646E" w:rsidRDefault="00ED2F87" w:rsidP="00ED2F87">
      <w:pPr>
        <w:spacing w:after="0" w:line="240" w:lineRule="auto"/>
        <w:ind w:left="567" w:right="567"/>
        <w:jc w:val="both"/>
        <w:rPr>
          <w:rFonts w:ascii="Palatino Linotype" w:eastAsia="Times New Roman" w:hAnsi="Palatino Linotype" w:cs="Times New Roman"/>
          <w:bCs/>
          <w:i/>
          <w:lang w:eastAsia="es-ES"/>
        </w:rPr>
      </w:pPr>
      <w:r w:rsidRPr="00D2646E">
        <w:rPr>
          <w:rFonts w:ascii="Palatino Linotype" w:eastAsia="Times New Roman" w:hAnsi="Palatino Linotype" w:cs="Times New Roman"/>
          <w:bCs/>
          <w:i/>
          <w:lang w:eastAsia="es-ES"/>
        </w:rPr>
        <w:t>VIII. Aprobar, modificar o revocar la clasificación de la información;</w:t>
      </w:r>
      <w:r w:rsidRPr="00D2646E">
        <w:rPr>
          <w:rFonts w:ascii="Palatino Linotype" w:eastAsia="Times New Roman" w:hAnsi="Palatino Linotype" w:cs="Times New Roman"/>
          <w:bCs/>
          <w:i/>
          <w:lang w:eastAsia="es-ES"/>
        </w:rPr>
        <w:cr/>
      </w:r>
    </w:p>
    <w:p w14:paraId="2760C2E9"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b/>
          <w:bCs/>
          <w:i/>
          <w:lang w:eastAsia="es-ES"/>
        </w:rPr>
        <w:t xml:space="preserve">Artículo 122. </w:t>
      </w:r>
      <w:r w:rsidRPr="00C34A49">
        <w:rPr>
          <w:rFonts w:ascii="Palatino Linotype" w:eastAsia="Times New Roman" w:hAnsi="Palatino Linotype" w:cs="Times New Roman"/>
          <w:i/>
          <w:lang w:eastAsia="es-ES"/>
        </w:rPr>
        <w:t xml:space="preserve">La clasificación es el proceso mediante el cual el sujeto obligado determina que la información en su poder </w:t>
      </w:r>
      <w:proofErr w:type="spellStart"/>
      <w:r w:rsidRPr="00C34A49">
        <w:rPr>
          <w:rFonts w:ascii="Palatino Linotype" w:eastAsia="Times New Roman" w:hAnsi="Palatino Linotype" w:cs="Times New Roman"/>
          <w:i/>
          <w:lang w:eastAsia="es-ES"/>
        </w:rPr>
        <w:t>actualiza</w:t>
      </w:r>
      <w:proofErr w:type="spellEnd"/>
      <w:r w:rsidRPr="00C34A49">
        <w:rPr>
          <w:rFonts w:ascii="Palatino Linotype" w:eastAsia="Times New Roman" w:hAnsi="Palatino Linotype" w:cs="Times New Roman"/>
          <w:i/>
          <w:lang w:eastAsia="es-ES"/>
        </w:rPr>
        <w:t xml:space="preserve"> alguno de los supuestos de reserva o </w:t>
      </w:r>
      <w:r w:rsidRPr="00C34A49">
        <w:rPr>
          <w:rFonts w:ascii="Palatino Linotype" w:eastAsia="Times New Roman" w:hAnsi="Palatino Linotype" w:cs="Times New Roman"/>
          <w:i/>
          <w:u w:val="single"/>
          <w:lang w:eastAsia="es-ES"/>
        </w:rPr>
        <w:t>confidencialidad</w:t>
      </w:r>
      <w:r w:rsidRPr="00C34A49">
        <w:rPr>
          <w:rFonts w:ascii="Palatino Linotype" w:eastAsia="Times New Roman" w:hAnsi="Palatino Linotype" w:cs="Times New Roman"/>
          <w:i/>
          <w:lang w:eastAsia="es-ES"/>
        </w:rPr>
        <w:t>, de conformidad con lo dispuesto en el presente título.</w:t>
      </w:r>
    </w:p>
    <w:p w14:paraId="46223F02"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 xml:space="preserve"> </w:t>
      </w:r>
    </w:p>
    <w:p w14:paraId="2AD80BD1"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14:paraId="3D4A0D78"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p>
    <w:p w14:paraId="5CF38571"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r w:rsidRPr="00C34A49">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14:paraId="05531985" w14:textId="77777777" w:rsidR="00ED2F87" w:rsidRPr="00C34A49" w:rsidRDefault="00ED2F87" w:rsidP="00ED2F87">
      <w:pPr>
        <w:spacing w:after="0" w:line="240" w:lineRule="auto"/>
        <w:ind w:left="567" w:right="567"/>
        <w:jc w:val="both"/>
        <w:rPr>
          <w:rFonts w:ascii="Palatino Linotype" w:eastAsia="Times New Roman" w:hAnsi="Palatino Linotype" w:cs="Times New Roman"/>
          <w:i/>
          <w:lang w:eastAsia="es-ES"/>
        </w:rPr>
      </w:pPr>
    </w:p>
    <w:p w14:paraId="6006B225"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131. </w:t>
      </w:r>
      <w:r w:rsidRPr="00C34A4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C34A49">
        <w:rPr>
          <w:rFonts w:ascii="Palatino Linotype" w:eastAsia="Calibri" w:hAnsi="Palatino Linotype" w:cs="Times New Roman"/>
          <w:i/>
        </w:rPr>
        <w:t xml:space="preserve">; en tal caso deberá fundar y motivar debidamente la clasificación de la información, de conformidad con lo previsto en la presente Ley. </w:t>
      </w:r>
    </w:p>
    <w:p w14:paraId="7BED236F"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53754C0A"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132. </w:t>
      </w:r>
      <w:r w:rsidRPr="00C34A49">
        <w:rPr>
          <w:rFonts w:ascii="Palatino Linotype" w:eastAsia="Calibri" w:hAnsi="Palatino Linotype" w:cs="Times New Roman"/>
          <w:b/>
          <w:i/>
          <w:u w:val="single"/>
        </w:rPr>
        <w:t>La clasificación de la información se llevará a cabo en el momento en que</w:t>
      </w:r>
      <w:r w:rsidRPr="00C34A49">
        <w:rPr>
          <w:rFonts w:ascii="Palatino Linotype" w:eastAsia="Calibri" w:hAnsi="Palatino Linotype" w:cs="Times New Roman"/>
          <w:i/>
        </w:rPr>
        <w:t xml:space="preserve">: </w:t>
      </w:r>
    </w:p>
    <w:p w14:paraId="55F2F911"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 </w:t>
      </w:r>
      <w:r w:rsidRPr="00C34A49">
        <w:rPr>
          <w:rFonts w:ascii="Palatino Linotype" w:eastAsia="Calibri" w:hAnsi="Palatino Linotype" w:cs="Times New Roman"/>
          <w:i/>
        </w:rPr>
        <w:t xml:space="preserve">Se reciba una solicitud de acceso a la información; </w:t>
      </w:r>
    </w:p>
    <w:p w14:paraId="6549EE6B"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II. </w:t>
      </w:r>
      <w:r w:rsidRPr="00C34A49">
        <w:rPr>
          <w:rFonts w:ascii="Palatino Linotype" w:eastAsia="Calibri" w:hAnsi="Palatino Linotype" w:cs="Times New Roman"/>
          <w:b/>
          <w:i/>
          <w:u w:val="single"/>
        </w:rPr>
        <w:t>Se determine mediante resolución de autoridad competente</w:t>
      </w:r>
      <w:r w:rsidRPr="00C34A49">
        <w:rPr>
          <w:rFonts w:ascii="Palatino Linotype" w:eastAsia="Calibri" w:hAnsi="Palatino Linotype" w:cs="Times New Roman"/>
          <w:i/>
        </w:rPr>
        <w:t xml:space="preserve">; o </w:t>
      </w:r>
    </w:p>
    <w:p w14:paraId="604C78A1"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III. </w:t>
      </w:r>
      <w:r w:rsidRPr="00C34A49">
        <w:rPr>
          <w:rFonts w:ascii="Palatino Linotype" w:eastAsia="Calibri" w:hAnsi="Palatino Linotype" w:cs="Times New Roman"/>
          <w:i/>
        </w:rPr>
        <w:t xml:space="preserve">Se generen versiones públicas para dar cumplimiento a las obligaciones de transparencia previstas en esta Ley. </w:t>
      </w:r>
    </w:p>
    <w:p w14:paraId="70BC98B2"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0E3AC733"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C34A49">
        <w:rPr>
          <w:rFonts w:ascii="Palatino Linotype" w:eastAsia="Calibri" w:hAnsi="Palatino Linotype" w:cs="Times New Roman"/>
          <w:i/>
        </w:rPr>
        <w:t xml:space="preserve">. </w:t>
      </w:r>
    </w:p>
    <w:p w14:paraId="7FF89D9B"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7FC33858"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133. </w:t>
      </w:r>
      <w:r w:rsidRPr="00C34A4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14:paraId="7F557DAD"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lastRenderedPageBreak/>
        <w:t xml:space="preserve">Artículo 134. </w:t>
      </w:r>
      <w:r w:rsidRPr="00C34A4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0DC363D7"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1BD9EAAD"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i/>
        </w:rPr>
        <w:t>En ningún caso se podrán clasificar documentos antes de que se genere la información.</w:t>
      </w:r>
    </w:p>
    <w:p w14:paraId="120CB1D6"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i/>
        </w:rPr>
        <w:t xml:space="preserve"> </w:t>
      </w:r>
    </w:p>
    <w:p w14:paraId="0C0F210F"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i/>
          <w:u w:val="single"/>
        </w:rPr>
        <w:t>La clasificación de información se realizará conforme a un análisis caso por caso, mediante la aplicación de la prueba de daño</w:t>
      </w:r>
      <w:r w:rsidRPr="00C34A49">
        <w:rPr>
          <w:rFonts w:ascii="Palatino Linotype" w:eastAsia="Calibri" w:hAnsi="Palatino Linotype" w:cs="Times New Roman"/>
          <w:i/>
        </w:rPr>
        <w:t xml:space="preserve">. </w:t>
      </w:r>
    </w:p>
    <w:p w14:paraId="3B73E669"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685B1931"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r w:rsidRPr="00C34A49">
        <w:rPr>
          <w:rFonts w:ascii="Palatino Linotype" w:eastAsia="Calibri" w:hAnsi="Palatino Linotype" w:cs="Times New Roman"/>
          <w:b/>
          <w:bCs/>
          <w:i/>
        </w:rPr>
        <w:t xml:space="preserve">Artículo 135. </w:t>
      </w:r>
      <w:r w:rsidRPr="00C34A49">
        <w:rPr>
          <w:rFonts w:ascii="Palatino Linotype" w:eastAsia="Calibri" w:hAnsi="Palatino Linotype" w:cs="Times New Roman"/>
          <w:i/>
        </w:rPr>
        <w:t xml:space="preserve">Los lineamientos generales que se emitan al respecto en materia de clasificación de la información </w:t>
      </w:r>
      <w:r w:rsidRPr="00C34A49">
        <w:rPr>
          <w:rFonts w:ascii="Palatino Linotype" w:eastAsia="Calibri" w:hAnsi="Palatino Linotype" w:cs="Times New Roman"/>
          <w:b/>
          <w:i/>
        </w:rPr>
        <w:t>reservada</w:t>
      </w:r>
      <w:r w:rsidRPr="00C34A49">
        <w:rPr>
          <w:rFonts w:ascii="Palatino Linotype" w:eastAsia="Calibri" w:hAnsi="Palatino Linotype" w:cs="Times New Roman"/>
          <w:i/>
        </w:rPr>
        <w:t xml:space="preserve"> y confidencial y, para la elaboración de versiones públicas, serán de observancia obligatoria para los sujetos obligados.</w:t>
      </w:r>
    </w:p>
    <w:p w14:paraId="09E25ED8" w14:textId="77777777" w:rsidR="00ED2F87" w:rsidRPr="00C34A49" w:rsidRDefault="00ED2F87" w:rsidP="00ED2F87">
      <w:pPr>
        <w:spacing w:after="0" w:line="240" w:lineRule="auto"/>
        <w:ind w:left="567" w:right="567"/>
        <w:jc w:val="both"/>
        <w:rPr>
          <w:rFonts w:ascii="Palatino Linotype" w:eastAsia="Calibri" w:hAnsi="Palatino Linotype" w:cs="Times New Roman"/>
          <w:i/>
        </w:rPr>
      </w:pPr>
    </w:p>
    <w:p w14:paraId="4C5D497A" w14:textId="77777777" w:rsidR="00ED2F87" w:rsidRPr="00C34A49" w:rsidRDefault="00ED2F87" w:rsidP="00ED2F87">
      <w:pPr>
        <w:spacing w:after="0" w:line="240" w:lineRule="auto"/>
        <w:ind w:left="709" w:right="567" w:hanging="142"/>
        <w:jc w:val="right"/>
        <w:rPr>
          <w:rFonts w:ascii="Palatino Linotype" w:eastAsia="Times New Roman" w:hAnsi="Palatino Linotype" w:cs="Times New Roman"/>
          <w:lang w:eastAsia="es-ES"/>
        </w:rPr>
      </w:pPr>
      <w:r w:rsidRPr="00C34A49">
        <w:rPr>
          <w:rFonts w:ascii="Palatino Linotype" w:eastAsia="Times New Roman" w:hAnsi="Palatino Linotype" w:cs="Times New Roman"/>
          <w:bCs/>
          <w:lang w:eastAsia="es-ES"/>
        </w:rPr>
        <w:t>(Énfasis añadido)</w:t>
      </w:r>
    </w:p>
    <w:p w14:paraId="31D8B253"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613DEE4C"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1FEBB2C7"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3036359D"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w:t>
      </w:r>
      <w:r w:rsidRPr="00C34A49">
        <w:rPr>
          <w:rFonts w:ascii="Palatino Linotype" w:eastAsia="Times New Roman" w:hAnsi="Palatino Linotype" w:cs="Times New Roman"/>
          <w:sz w:val="24"/>
          <w:szCs w:val="24"/>
          <w:lang w:eastAsia="es-ES"/>
        </w:rPr>
        <w:t>e observa que la Ley de Transparencia local establece en los ordenamientos jurídicos transcritos, que no toda la información en posesión de lo</w:t>
      </w:r>
      <w:r>
        <w:rPr>
          <w:rFonts w:ascii="Palatino Linotype" w:eastAsia="Times New Roman" w:hAnsi="Palatino Linotype" w:cs="Times New Roman"/>
          <w:sz w:val="24"/>
          <w:szCs w:val="24"/>
          <w:lang w:eastAsia="es-ES"/>
        </w:rPr>
        <w:t>s sujetos obligados, es pública. T</w:t>
      </w:r>
      <w:r w:rsidRPr="00C34A49">
        <w:rPr>
          <w:rFonts w:ascii="Palatino Linotype" w:eastAsia="Times New Roman" w:hAnsi="Palatino Linotype" w:cs="Times New Roman"/>
          <w:sz w:val="24"/>
          <w:szCs w:val="24"/>
          <w:lang w:eastAsia="es-ES"/>
        </w:rPr>
        <w:t xml:space="preserve">oda vez que la misma puede contener </w:t>
      </w:r>
      <w:r>
        <w:rPr>
          <w:rFonts w:ascii="Palatino Linotype" w:eastAsia="Times New Roman" w:hAnsi="Palatino Linotype" w:cs="Times New Roman"/>
          <w:sz w:val="24"/>
          <w:szCs w:val="24"/>
          <w:lang w:eastAsia="es-ES"/>
        </w:rPr>
        <w:t>información susceptible de reservar</w:t>
      </w:r>
      <w:r w:rsidRPr="00C34A49">
        <w:rPr>
          <w:rFonts w:ascii="Palatino Linotype" w:eastAsia="Times New Roman" w:hAnsi="Palatino Linotype" w:cs="Times New Roman"/>
          <w:sz w:val="24"/>
          <w:szCs w:val="24"/>
          <w:lang w:eastAsia="es-ES"/>
        </w:rPr>
        <w:t>, por lo que es posible delimitar el derecho de acceso a la información de los particulares, sin embargo, dicha delimitación deberá estar debidamente fundada y motivada por parte de los sujetos obligados.</w:t>
      </w:r>
    </w:p>
    <w:p w14:paraId="2AB3A027"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lastRenderedPageBreak/>
        <w:t>Para la fundamentación y motivación del Acuerdo respectivo se debe atender a lo señalado por el máximo tribunal del país, que ha establecido jurisprudencia respecto a qué debe entenderse por fundamentación y motivación en los siguientes términos:</w:t>
      </w:r>
    </w:p>
    <w:p w14:paraId="4813C305"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392D8244" w14:textId="77777777" w:rsidR="00ED2F87" w:rsidRPr="00C34A49" w:rsidRDefault="00ED2F87" w:rsidP="00ED2F87">
      <w:pPr>
        <w:spacing w:after="0" w:line="240" w:lineRule="auto"/>
        <w:ind w:left="567" w:right="567"/>
        <w:jc w:val="both"/>
        <w:rPr>
          <w:rFonts w:ascii="Palatino Linotype" w:eastAsia="Times New Roman" w:hAnsi="Palatino Linotype" w:cs="Times New Roman"/>
          <w:i/>
          <w:szCs w:val="24"/>
          <w:lang w:eastAsia="es-ES"/>
        </w:rPr>
      </w:pPr>
      <w:r w:rsidRPr="00C34A49">
        <w:rPr>
          <w:rFonts w:ascii="Palatino Linotype" w:eastAsia="Times New Roman" w:hAnsi="Palatino Linotype" w:cs="Times New Roman"/>
          <w:i/>
          <w:szCs w:val="24"/>
          <w:lang w:eastAsia="es-ES"/>
        </w:rPr>
        <w:t>“</w:t>
      </w:r>
      <w:r w:rsidRPr="00C34A49">
        <w:rPr>
          <w:rFonts w:ascii="Palatino Linotype" w:eastAsia="Times New Roman" w:hAnsi="Palatino Linotype" w:cs="Times New Roman"/>
          <w:b/>
          <w:i/>
          <w:szCs w:val="24"/>
          <w:lang w:eastAsia="es-ES"/>
        </w:rPr>
        <w:t>FUNDAMENTACIÓN Y MOTIVACIÓN.</w:t>
      </w:r>
      <w:r w:rsidRPr="00C34A49">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21EB3050"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56A93D16"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5994E88" w14:textId="77777777" w:rsidR="00ED2F87" w:rsidRPr="00C34A49" w:rsidRDefault="00ED2F87" w:rsidP="00ED2F87">
      <w:pPr>
        <w:spacing w:after="0" w:line="360" w:lineRule="auto"/>
        <w:jc w:val="both"/>
        <w:rPr>
          <w:rFonts w:ascii="Palatino Linotype" w:eastAsia="Times New Roman" w:hAnsi="Palatino Linotype" w:cs="Times New Roman"/>
          <w:sz w:val="24"/>
          <w:szCs w:val="24"/>
          <w:lang w:eastAsia="es-ES"/>
        </w:rPr>
      </w:pPr>
    </w:p>
    <w:p w14:paraId="55669391"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sidRPr="00C34A49">
        <w:rPr>
          <w:rFonts w:ascii="Palatino Linotype" w:eastAsia="Times New Roman" w:hAnsi="Palatino Linotype" w:cs="Times New Roman"/>
          <w:sz w:val="24"/>
          <w:szCs w:val="24"/>
          <w:lang w:eastAsia="es-ES"/>
        </w:rPr>
        <w:t xml:space="preserve">Es decir, el </w:t>
      </w:r>
      <w:r w:rsidRPr="00C34A49">
        <w:rPr>
          <w:rFonts w:ascii="Palatino Linotype" w:eastAsia="Times New Roman" w:hAnsi="Palatino Linotype" w:cs="Times New Roman"/>
          <w:b/>
          <w:sz w:val="24"/>
          <w:szCs w:val="24"/>
          <w:lang w:eastAsia="es-ES"/>
        </w:rPr>
        <w:t>sujeto obligado</w:t>
      </w:r>
      <w:r w:rsidRPr="00C34A49">
        <w:rPr>
          <w:rFonts w:ascii="Palatino Linotype" w:eastAsia="Times New Roman" w:hAnsi="Palatino Linotype" w:cs="Times New Roman"/>
          <w:sz w:val="24"/>
          <w:szCs w:val="24"/>
          <w:lang w:eastAsia="es-ES"/>
        </w:rPr>
        <w:t xml:space="preserve"> debió emitir y hacer entrega del acuerdo mediante el cual se le hacen del conocimiento al </w:t>
      </w:r>
      <w:r w:rsidRPr="00C34A49">
        <w:rPr>
          <w:rFonts w:ascii="Palatino Linotype" w:eastAsia="Times New Roman" w:hAnsi="Palatino Linotype" w:cs="Times New Roman"/>
          <w:b/>
          <w:sz w:val="24"/>
          <w:szCs w:val="24"/>
          <w:lang w:eastAsia="es-ES"/>
        </w:rPr>
        <w:t>recurrente</w:t>
      </w:r>
      <w:r w:rsidRPr="00C34A49">
        <w:rPr>
          <w:rFonts w:ascii="Palatino Linotype" w:eastAsia="Times New Roman" w:hAnsi="Palatino Linotype" w:cs="Times New Roman"/>
          <w:sz w:val="24"/>
          <w:szCs w:val="24"/>
          <w:lang w:eastAsia="es-ES"/>
        </w:rPr>
        <w:t xml:space="preserve">, las circunstancias y justificaciones con las que se acredita que </w:t>
      </w:r>
      <w:r>
        <w:rPr>
          <w:rFonts w:ascii="Palatino Linotype" w:eastAsia="Times New Roman" w:hAnsi="Palatino Linotype" w:cs="Times New Roman"/>
          <w:sz w:val="24"/>
          <w:szCs w:val="24"/>
          <w:lang w:eastAsia="es-ES"/>
        </w:rPr>
        <w:t>no es posible la entrega de los ejercicios de egresos presupuestarios</w:t>
      </w:r>
      <w:r w:rsidRPr="00C34A4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al encuentra en la hipótesis jurídica referida</w:t>
      </w:r>
      <w:r w:rsidRPr="00C34A49">
        <w:rPr>
          <w:rFonts w:ascii="Palatino Linotype" w:eastAsia="Times New Roman" w:hAnsi="Palatino Linotype" w:cs="Times New Roman"/>
          <w:sz w:val="24"/>
          <w:szCs w:val="24"/>
          <w:lang w:eastAsia="es-ES"/>
        </w:rPr>
        <w:t>, en consecuencia al no haber hecho entrega del acuerdo referido, es dable ordenar su entrega.</w:t>
      </w:r>
    </w:p>
    <w:p w14:paraId="5B380B8C"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En este apartado resulta necesario realizar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en el caso particular,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peticiona los documentos relativos a los ejercicios de egresos presupuestarios del periodo del uno de enero de dos mil diecinueve al veinte de septiembre de dos mil veinte.</w:t>
      </w:r>
    </w:p>
    <w:p w14:paraId="101FECF4" w14:textId="77777777" w:rsidR="00ED2F87" w:rsidRPr="0080465B" w:rsidRDefault="00ED2F87" w:rsidP="00ED2F87">
      <w:pPr>
        <w:spacing w:after="0" w:line="360" w:lineRule="auto"/>
        <w:jc w:val="both"/>
        <w:rPr>
          <w:rFonts w:ascii="Palatino Linotype" w:eastAsia="Times New Roman" w:hAnsi="Palatino Linotype" w:cs="Times New Roman"/>
          <w:sz w:val="24"/>
          <w:szCs w:val="24"/>
          <w:lang w:eastAsia="es-ES"/>
        </w:rPr>
      </w:pPr>
    </w:p>
    <w:p w14:paraId="33D2001E"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Documentación que ya fue elaborada en su temporalidad específica, considerándoles como </w:t>
      </w:r>
      <w:r w:rsidRPr="00286D9C">
        <w:rPr>
          <w:rFonts w:ascii="Palatino Linotype" w:eastAsia="Times New Roman" w:hAnsi="Palatino Linotype" w:cs="Times New Roman"/>
          <w:b/>
          <w:sz w:val="24"/>
          <w:szCs w:val="24"/>
          <w:lang w:eastAsia="es-ES"/>
        </w:rPr>
        <w:t>documentos definitivos</w:t>
      </w:r>
      <w:r>
        <w:rPr>
          <w:rFonts w:ascii="Palatino Linotype" w:eastAsia="Times New Roman" w:hAnsi="Palatino Linotype" w:cs="Times New Roman"/>
          <w:sz w:val="24"/>
          <w:szCs w:val="24"/>
          <w:lang w:eastAsia="es-ES"/>
        </w:rPr>
        <w:t xml:space="preserve"> que no habrán de sufrir modificación alguna, derivada de la auditoría por parte del Órgano Superior de Fiscalización del Estado de México; por el contrario, servirán de base para la debida rendición de cuentas en la fiscalización.</w:t>
      </w:r>
    </w:p>
    <w:p w14:paraId="1A5B5093"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C2ECA6E"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Ejercicios de egresos presupuestarios que ya fueron elaborados en su momento temporal respectivo, es decir en el año 2019 (dos mil diecinueve) y 2020 (dos mil veinte), y que fueron enviados al Órgano Superior de Fiscalización del Estado de México, de conformidad con los </w:t>
      </w:r>
      <w:r w:rsidRPr="00EC46FE">
        <w:rPr>
          <w:rFonts w:ascii="Palatino Linotype" w:eastAsia="Times New Roman" w:hAnsi="Palatino Linotype" w:cs="Times New Roman"/>
          <w:sz w:val="24"/>
          <w:szCs w:val="24"/>
          <w:lang w:eastAsia="es-ES"/>
        </w:rPr>
        <w:t>Lineamientos</w:t>
      </w:r>
      <w:r>
        <w:rPr>
          <w:rFonts w:ascii="Palatino Linotype" w:eastAsia="Times New Roman" w:hAnsi="Palatino Linotype" w:cs="Times New Roman"/>
          <w:sz w:val="24"/>
          <w:szCs w:val="24"/>
          <w:lang w:eastAsia="es-ES"/>
        </w:rPr>
        <w:t xml:space="preserve"> </w:t>
      </w:r>
      <w:r w:rsidRPr="00EC46FE">
        <w:rPr>
          <w:rFonts w:ascii="Palatino Linotype" w:eastAsia="Times New Roman" w:hAnsi="Palatino Linotype" w:cs="Times New Roman"/>
          <w:sz w:val="24"/>
          <w:szCs w:val="24"/>
          <w:lang w:eastAsia="es-ES"/>
        </w:rPr>
        <w:t>para la Elaboración y</w:t>
      </w:r>
      <w:r>
        <w:rPr>
          <w:rFonts w:ascii="Palatino Linotype" w:eastAsia="Times New Roman" w:hAnsi="Palatino Linotype" w:cs="Times New Roman"/>
          <w:sz w:val="24"/>
          <w:szCs w:val="24"/>
          <w:lang w:eastAsia="es-ES"/>
        </w:rPr>
        <w:t xml:space="preserve"> </w:t>
      </w:r>
      <w:r w:rsidRPr="00EC46FE">
        <w:rPr>
          <w:rFonts w:ascii="Palatino Linotype" w:eastAsia="Times New Roman" w:hAnsi="Palatino Linotype" w:cs="Times New Roman"/>
          <w:sz w:val="24"/>
          <w:szCs w:val="24"/>
          <w:lang w:eastAsia="es-ES"/>
        </w:rPr>
        <w:t>Presentación de la</w:t>
      </w:r>
      <w:r>
        <w:rPr>
          <w:rFonts w:ascii="Palatino Linotype" w:eastAsia="Times New Roman" w:hAnsi="Palatino Linotype" w:cs="Times New Roman"/>
          <w:sz w:val="24"/>
          <w:szCs w:val="24"/>
          <w:lang w:eastAsia="es-ES"/>
        </w:rPr>
        <w:t xml:space="preserve"> </w:t>
      </w:r>
      <w:r w:rsidRPr="00EC46FE">
        <w:rPr>
          <w:rFonts w:ascii="Palatino Linotype" w:eastAsia="Times New Roman" w:hAnsi="Palatino Linotype" w:cs="Times New Roman"/>
          <w:sz w:val="24"/>
          <w:szCs w:val="24"/>
          <w:lang w:eastAsia="es-ES"/>
        </w:rPr>
        <w:t>Cuenta Pública Municipal</w:t>
      </w:r>
      <w:r>
        <w:rPr>
          <w:rFonts w:ascii="Palatino Linotype" w:eastAsia="Times New Roman" w:hAnsi="Palatino Linotype" w:cs="Times New Roman"/>
          <w:sz w:val="24"/>
          <w:szCs w:val="24"/>
          <w:lang w:eastAsia="es-ES"/>
        </w:rPr>
        <w:t xml:space="preserve"> </w:t>
      </w:r>
      <w:r w:rsidRPr="00EC46FE">
        <w:rPr>
          <w:rFonts w:ascii="Palatino Linotype" w:eastAsia="Times New Roman" w:hAnsi="Palatino Linotype" w:cs="Times New Roman"/>
          <w:sz w:val="24"/>
          <w:szCs w:val="24"/>
          <w:lang w:eastAsia="es-ES"/>
        </w:rPr>
        <w:t>2019</w:t>
      </w:r>
      <w:r>
        <w:rPr>
          <w:rStyle w:val="Refdenotaalpie"/>
          <w:rFonts w:ascii="Palatino Linotype" w:eastAsia="Times New Roman" w:hAnsi="Palatino Linotype" w:cs="Times New Roman"/>
          <w:sz w:val="24"/>
          <w:szCs w:val="24"/>
          <w:lang w:eastAsia="es-ES"/>
        </w:rPr>
        <w:footnoteReference w:id="3"/>
      </w:r>
      <w:r>
        <w:rPr>
          <w:rFonts w:ascii="Palatino Linotype" w:eastAsia="Times New Roman" w:hAnsi="Palatino Linotype" w:cs="Times New Roman"/>
          <w:sz w:val="24"/>
          <w:szCs w:val="24"/>
          <w:lang w:eastAsia="es-ES"/>
        </w:rPr>
        <w:t>, respectivamente.</w:t>
      </w:r>
    </w:p>
    <w:p w14:paraId="6A18AC2F"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F927930" w14:textId="77777777" w:rsidR="00ED2F87" w:rsidRPr="00640A54" w:rsidRDefault="00ED2F87" w:rsidP="00ED2F87">
      <w:pPr>
        <w:pStyle w:val="Sinespaciado"/>
        <w:spacing w:line="360" w:lineRule="auto"/>
        <w:jc w:val="both"/>
        <w:rPr>
          <w:rFonts w:ascii="Palatino Linotype" w:hAnsi="Palatino Linotype"/>
        </w:rPr>
      </w:pPr>
      <w:r>
        <w:rPr>
          <w:rFonts w:ascii="Palatino Linotype" w:hAnsi="Palatino Linotype"/>
        </w:rPr>
        <w:t xml:space="preserve">En esa virtud, </w:t>
      </w:r>
      <w:r w:rsidRPr="00640A54">
        <w:rPr>
          <w:rFonts w:ascii="Palatino Linotype" w:hAnsi="Palatino Linotype"/>
        </w:rPr>
        <w:t xml:space="preserve">por lo que concluye que es procedente proporcionar la información de los documentos que no sufran modificación, pues su entrega no modifica el resultado del informe final de las auditorías realizadas, argumentos reforzados con el Criterio </w:t>
      </w:r>
      <w:r w:rsidRPr="00640A54">
        <w:rPr>
          <w:rFonts w:ascii="Palatino Linotype" w:hAnsi="Palatino Linotype"/>
        </w:rPr>
        <w:lastRenderedPageBreak/>
        <w:t>09/2004 emitido por la Suprema Corte de Justicia de la Nación el cual establece lo siguiente:</w:t>
      </w:r>
    </w:p>
    <w:p w14:paraId="414018C7" w14:textId="77777777" w:rsidR="00ED2F87" w:rsidRPr="00640A54" w:rsidRDefault="00ED2F87" w:rsidP="00ED2F87">
      <w:pPr>
        <w:spacing w:after="0" w:line="360" w:lineRule="auto"/>
        <w:jc w:val="both"/>
        <w:rPr>
          <w:rFonts w:ascii="Palatino Linotype" w:hAnsi="Palatino Linotype"/>
          <w:sz w:val="24"/>
          <w:szCs w:val="24"/>
        </w:rPr>
      </w:pPr>
    </w:p>
    <w:p w14:paraId="53036B2D" w14:textId="77777777" w:rsidR="00ED2F87" w:rsidRPr="00640A54" w:rsidRDefault="00ED2F87" w:rsidP="00ED2F87">
      <w:pPr>
        <w:spacing w:after="0" w:line="240" w:lineRule="auto"/>
        <w:ind w:left="567" w:right="615"/>
        <w:jc w:val="both"/>
        <w:rPr>
          <w:rFonts w:ascii="Palatino Linotype" w:hAnsi="Palatino Linotype"/>
          <w:i/>
          <w:iCs/>
          <w:lang w:val="es-ES"/>
        </w:rPr>
      </w:pPr>
      <w:r w:rsidRPr="00640A54">
        <w:rPr>
          <w:rFonts w:ascii="Palatino Linotype" w:hAnsi="Palatino Linotype"/>
          <w:b/>
          <w:i/>
          <w:iCs/>
          <w:lang w:val="es-ES"/>
        </w:rPr>
        <w:t>INFORMACIÓN SUJETA A REVISIÓN. SI YA CONSTA EN UN DOCUMENTO DEFINITIVO, DEBE PERMITIRSE EL ACCESO A ÉSTE</w:t>
      </w:r>
      <w:r w:rsidRPr="00640A54">
        <w:rPr>
          <w:rFonts w:ascii="Palatino Linotype" w:hAnsi="Palatino Linotype"/>
          <w:i/>
          <w:iCs/>
          <w:lang w:val="es-E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453371DE" w14:textId="77777777" w:rsidR="00ED2F87" w:rsidRPr="00640A54" w:rsidRDefault="00ED2F87" w:rsidP="00ED2F87">
      <w:pPr>
        <w:spacing w:after="0" w:line="240" w:lineRule="auto"/>
        <w:ind w:left="567" w:right="615"/>
        <w:jc w:val="both"/>
        <w:rPr>
          <w:rFonts w:ascii="Palatino Linotype" w:hAnsi="Palatino Linotype"/>
          <w:i/>
          <w:iCs/>
          <w:lang w:val="es-ES"/>
        </w:rPr>
      </w:pPr>
    </w:p>
    <w:p w14:paraId="61A4274A" w14:textId="77777777" w:rsidR="00ED2F87" w:rsidRPr="00640A54" w:rsidRDefault="00ED2F87" w:rsidP="00ED2F87">
      <w:pPr>
        <w:spacing w:after="0" w:line="240" w:lineRule="auto"/>
        <w:ind w:left="567" w:right="615"/>
        <w:jc w:val="both"/>
        <w:rPr>
          <w:rFonts w:ascii="Palatino Linotype" w:hAnsi="Palatino Linotype"/>
          <w:i/>
          <w:iCs/>
          <w:lang w:val="es-ES"/>
        </w:rPr>
      </w:pPr>
      <w:r w:rsidRPr="00640A54">
        <w:rPr>
          <w:rFonts w:ascii="Palatino Linotype" w:hAnsi="Palatino Linotype"/>
          <w:i/>
          <w:iCs/>
          <w:lang w:val="es-ES"/>
        </w:rPr>
        <w:t>Clasificación de la información 10/2004-J, 19 de mayo de 2004.</w:t>
      </w:r>
    </w:p>
    <w:p w14:paraId="71843352" w14:textId="77777777" w:rsidR="00ED2F87" w:rsidRPr="00640A54" w:rsidRDefault="00ED2F87" w:rsidP="00ED2F87">
      <w:pPr>
        <w:spacing w:after="0" w:line="360" w:lineRule="auto"/>
        <w:ind w:left="567" w:right="615"/>
        <w:jc w:val="both"/>
        <w:rPr>
          <w:rFonts w:ascii="Palatino Linotype" w:hAnsi="Palatino Linotype"/>
        </w:rPr>
      </w:pPr>
      <w:r w:rsidRPr="00640A54">
        <w:rPr>
          <w:rFonts w:ascii="Palatino Linotype" w:hAnsi="Palatino Linotype"/>
          <w:i/>
          <w:iCs/>
          <w:lang w:val="es-ES"/>
        </w:rPr>
        <w:t>Unanimidad de votos</w:t>
      </w:r>
    </w:p>
    <w:p w14:paraId="77B1D123" w14:textId="77777777" w:rsidR="00ED2F87" w:rsidRPr="00640A54" w:rsidRDefault="00ED2F87" w:rsidP="00ED2F87">
      <w:pPr>
        <w:spacing w:after="0" w:line="360" w:lineRule="auto"/>
        <w:jc w:val="both"/>
        <w:rPr>
          <w:rFonts w:ascii="Palatino Linotype" w:hAnsi="Palatino Linotype"/>
          <w:sz w:val="24"/>
          <w:szCs w:val="24"/>
        </w:rPr>
      </w:pPr>
    </w:p>
    <w:p w14:paraId="7BB131C2" w14:textId="77777777" w:rsidR="00ED2F87" w:rsidRPr="007132C0" w:rsidRDefault="00ED2F87" w:rsidP="00ED2F87">
      <w:pPr>
        <w:spacing w:after="0" w:line="360" w:lineRule="auto"/>
        <w:jc w:val="both"/>
        <w:rPr>
          <w:rFonts w:ascii="Palatino Linotype" w:eastAsia="Times New Roman" w:hAnsi="Palatino Linotype" w:cs="Times New Roman"/>
          <w:sz w:val="24"/>
          <w:szCs w:val="24"/>
          <w:lang w:eastAsia="es-ES"/>
        </w:rPr>
      </w:pPr>
      <w:r w:rsidRPr="007132C0">
        <w:rPr>
          <w:rFonts w:ascii="Palatino Linotype" w:eastAsia="Times New Roman" w:hAnsi="Palatino Linotype" w:cs="Times New Roman"/>
          <w:sz w:val="24"/>
          <w:szCs w:val="24"/>
          <w:lang w:eastAsia="es-ES"/>
        </w:rPr>
        <w:t>Es necesario señalar que no se conoce el contenido de los documentos ordenados, pues si bien los Comisionados están facultados para tener acceso a la información clasificada para determinar su naturaleza, en apego a lo establecido por el artículo 182 de la Ley de Transparencia estatal, en el caso en concreto, esta Ponencia no tuvo acceso a dicho documentos, por lo que no se tiene certeza absoluta de la imposibilidad de que los documentos referidos afecten o no el procedimiento del que son parte.</w:t>
      </w:r>
    </w:p>
    <w:p w14:paraId="57CEDE08" w14:textId="77777777" w:rsidR="00ED2F87" w:rsidRPr="007132C0" w:rsidRDefault="00ED2F87" w:rsidP="00ED2F87">
      <w:pPr>
        <w:spacing w:after="0" w:line="360" w:lineRule="auto"/>
        <w:jc w:val="both"/>
        <w:rPr>
          <w:rFonts w:ascii="Palatino Linotype" w:eastAsia="Times New Roman" w:hAnsi="Palatino Linotype" w:cs="Times New Roman"/>
          <w:sz w:val="24"/>
          <w:szCs w:val="24"/>
          <w:lang w:eastAsia="es-ES"/>
        </w:rPr>
      </w:pPr>
    </w:p>
    <w:p w14:paraId="3628AACE"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sidRPr="007132C0">
        <w:rPr>
          <w:rFonts w:ascii="Palatino Linotype" w:eastAsia="Times New Roman" w:hAnsi="Palatino Linotype" w:cs="Times New Roman"/>
          <w:sz w:val="24"/>
          <w:szCs w:val="24"/>
          <w:lang w:eastAsia="es-ES"/>
        </w:rPr>
        <w:t>Asimismo, se debe considerar que el hecho de desconocer el contenido de esos documentos, así como el resultado de la auditoría, puede ocasionar que quien tenga acceso a los mismos, pueda llegar a una conclusión errónea; pues, al no tener conocimiento del contexto completo del proceso, se dejan de considerar aspectos que pueden ser trascendentales en el resultado.</w:t>
      </w:r>
    </w:p>
    <w:p w14:paraId="512D68C4" w14:textId="77777777" w:rsidR="00ED2F87" w:rsidRPr="007132C0" w:rsidRDefault="00ED2F87" w:rsidP="00ED2F87">
      <w:pPr>
        <w:spacing w:after="0" w:line="360" w:lineRule="auto"/>
        <w:jc w:val="both"/>
        <w:rPr>
          <w:rFonts w:ascii="Palatino Linotype" w:hAnsi="Palatino Linotype"/>
          <w:sz w:val="24"/>
          <w:szCs w:val="24"/>
        </w:rPr>
      </w:pPr>
      <w:r w:rsidRPr="007132C0">
        <w:rPr>
          <w:rFonts w:ascii="Palatino Linotype" w:hAnsi="Palatino Linotype"/>
          <w:sz w:val="24"/>
          <w:szCs w:val="24"/>
        </w:rPr>
        <w:lastRenderedPageBreak/>
        <w:t xml:space="preserve">Y si bien </w:t>
      </w:r>
      <w:r>
        <w:rPr>
          <w:rFonts w:ascii="Palatino Linotype" w:hAnsi="Palatino Linotype"/>
          <w:sz w:val="24"/>
          <w:szCs w:val="24"/>
        </w:rPr>
        <w:t>se considera</w:t>
      </w:r>
      <w:r w:rsidRPr="007132C0">
        <w:rPr>
          <w:rFonts w:ascii="Palatino Linotype" w:hAnsi="Palatino Linotype"/>
          <w:sz w:val="24"/>
          <w:szCs w:val="24"/>
        </w:rPr>
        <w:t xml:space="preserve"> que los documentos definitivos no afectan la conclusión de un proceso de auditoría, se debe tomar en cuenta que en dicho proceso se toman en cuenta otros factores que, al</w:t>
      </w:r>
      <w:r>
        <w:rPr>
          <w:rFonts w:ascii="Palatino Linotype" w:hAnsi="Palatino Linotype"/>
          <w:sz w:val="24"/>
          <w:szCs w:val="24"/>
        </w:rPr>
        <w:t xml:space="preserve"> des</w:t>
      </w:r>
      <w:r w:rsidRPr="007132C0">
        <w:rPr>
          <w:rFonts w:ascii="Palatino Linotype" w:hAnsi="Palatino Linotype"/>
          <w:sz w:val="24"/>
          <w:szCs w:val="24"/>
        </w:rPr>
        <w:t xml:space="preserve">conocerse, descontextualizan y sesgan la percepción de quien tenga acceso parcial a dichos documentos. Por lo que quien suscribe considera que la fragmentación de la información conlleva un perjuicio en contra del </w:t>
      </w:r>
      <w:r w:rsidRPr="007132C0">
        <w:rPr>
          <w:rFonts w:ascii="Palatino Linotype" w:hAnsi="Palatino Linotype"/>
          <w:b/>
          <w:sz w:val="24"/>
          <w:szCs w:val="24"/>
        </w:rPr>
        <w:t>sujeto obligado</w:t>
      </w:r>
      <w:r w:rsidRPr="007132C0">
        <w:rPr>
          <w:rFonts w:ascii="Palatino Linotype" w:hAnsi="Palatino Linotype"/>
          <w:sz w:val="24"/>
          <w:szCs w:val="24"/>
        </w:rPr>
        <w:t xml:space="preserve"> y de quien tenga el acceso parcial a la misma, debido a que existe la posibilidad de que se llegue a una conclusión distinta a la que emita la autoridad fiscalizadora. Asimismo, dado que no se conoce el contenido de los documentos que se están ordenando entregar, no se tiene la certeza de que estos no vulneren la presunción de inocencia de alguna persona que esté involucrada en las auditorías que siguen en trámite.</w:t>
      </w:r>
    </w:p>
    <w:p w14:paraId="56190F6D" w14:textId="77777777" w:rsidR="00ED2F87" w:rsidRPr="007132C0" w:rsidRDefault="00ED2F87" w:rsidP="00ED2F87">
      <w:pPr>
        <w:spacing w:after="0" w:line="360" w:lineRule="auto"/>
        <w:jc w:val="both"/>
        <w:rPr>
          <w:rFonts w:ascii="Palatino Linotype" w:hAnsi="Palatino Linotype"/>
          <w:sz w:val="24"/>
          <w:szCs w:val="24"/>
        </w:rPr>
      </w:pPr>
    </w:p>
    <w:p w14:paraId="1A71BBD7" w14:textId="77777777" w:rsidR="00ED2F87" w:rsidRDefault="00ED2F87" w:rsidP="00ED2F87">
      <w:pPr>
        <w:spacing w:after="0" w:line="360" w:lineRule="auto"/>
        <w:jc w:val="both"/>
        <w:rPr>
          <w:rFonts w:ascii="Palatino Linotype" w:hAnsi="Palatino Linotype"/>
          <w:sz w:val="24"/>
          <w:szCs w:val="24"/>
        </w:rPr>
      </w:pPr>
      <w:r w:rsidRPr="007132C0">
        <w:rPr>
          <w:rFonts w:ascii="Palatino Linotype" w:hAnsi="Palatino Linotype"/>
          <w:sz w:val="24"/>
          <w:szCs w:val="24"/>
        </w:rPr>
        <w:t xml:space="preserve">Al respecto, se debe tomar en cuenta que uno de los posibles resultados de las auditorías es que se acrediten o no responsabilidades administrativas a los servidores públicos adscritos a las unidades que están siendo auditadas, por lo que hacer entrega de información parcial relativa a los procesos de auditoría, pudiese causar que se dé información relacionada con algunos servidores públicos violentando así su derecho a la presunción de inocencia en tanto no se emita un dictamen definitivo. Al respecto, es </w:t>
      </w:r>
      <w:r>
        <w:rPr>
          <w:rFonts w:ascii="Palatino Linotype" w:hAnsi="Palatino Linotype"/>
          <w:sz w:val="24"/>
          <w:szCs w:val="24"/>
        </w:rPr>
        <w:t>de observación</w:t>
      </w:r>
      <w:r w:rsidRPr="007132C0">
        <w:rPr>
          <w:rFonts w:ascii="Palatino Linotype" w:hAnsi="Palatino Linotype"/>
          <w:sz w:val="24"/>
          <w:szCs w:val="24"/>
        </w:rPr>
        <w:t xml:space="preserve"> la tesis jurisprudencial emitida por la Segunda Sala de máximo tribunal del país, con número de registro 172433, que a la letra establece lo siguiente:</w:t>
      </w:r>
    </w:p>
    <w:p w14:paraId="183FE885" w14:textId="77777777" w:rsidR="00ED2F87" w:rsidRDefault="00ED2F87" w:rsidP="00ED2F87">
      <w:pPr>
        <w:spacing w:after="0" w:line="360" w:lineRule="auto"/>
        <w:jc w:val="both"/>
        <w:rPr>
          <w:rFonts w:ascii="Palatino Linotype" w:hAnsi="Palatino Linotype"/>
          <w:sz w:val="24"/>
          <w:szCs w:val="24"/>
        </w:rPr>
      </w:pPr>
    </w:p>
    <w:p w14:paraId="66C7FFBE" w14:textId="77777777" w:rsidR="00ED2F87" w:rsidRPr="007132C0" w:rsidRDefault="00ED2F87" w:rsidP="00ED2F87">
      <w:pPr>
        <w:spacing w:after="0" w:line="240" w:lineRule="auto"/>
        <w:ind w:left="567" w:right="757"/>
        <w:jc w:val="both"/>
        <w:rPr>
          <w:rFonts w:ascii="Palatino Linotype" w:hAnsi="Palatino Linotype"/>
          <w:b/>
          <w:i/>
        </w:rPr>
      </w:pPr>
      <w:r w:rsidRPr="007132C0">
        <w:rPr>
          <w:rFonts w:ascii="Palatino Linotype" w:hAnsi="Palatino Linotype"/>
          <w:b/>
          <w:i/>
        </w:rPr>
        <w:t>PRESUNCIÓN DE INOCENCIA. ALCANCES DE ESE PRINCIPIO CONSTITUCIONAL.</w:t>
      </w:r>
    </w:p>
    <w:p w14:paraId="21AB1C87" w14:textId="77777777" w:rsidR="00ED2F87" w:rsidRPr="007132C0" w:rsidRDefault="00ED2F87" w:rsidP="00ED2F87">
      <w:pPr>
        <w:spacing w:after="0" w:line="240" w:lineRule="auto"/>
        <w:ind w:left="567" w:right="567"/>
        <w:jc w:val="both"/>
        <w:rPr>
          <w:rFonts w:ascii="Palatino Linotype" w:hAnsi="Palatino Linotype"/>
          <w:i/>
        </w:rPr>
      </w:pPr>
      <w:r w:rsidRPr="007132C0">
        <w:rPr>
          <w:rFonts w:ascii="Palatino Linotype" w:hAnsi="Palatino Linotype"/>
          <w:b/>
          <w:i/>
          <w:u w:val="single"/>
        </w:rPr>
        <w:t>El principio de presunción de inocencia</w:t>
      </w:r>
      <w:r w:rsidRPr="007132C0">
        <w:rPr>
          <w:rFonts w:ascii="Palatino Linotype" w:hAnsi="Palatino Linotype"/>
          <w:i/>
        </w:rPr>
        <w:t xml:space="preserve"> que en materia procesal penal impone la obligación de arrojar la carga de la prueba al acusador, </w:t>
      </w:r>
      <w:r w:rsidRPr="007132C0">
        <w:rPr>
          <w:rFonts w:ascii="Palatino Linotype" w:hAnsi="Palatino Linotype"/>
          <w:b/>
          <w:i/>
          <w:u w:val="single"/>
        </w:rPr>
        <w:t>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w:t>
      </w:r>
      <w:r w:rsidRPr="007132C0">
        <w:rPr>
          <w:rFonts w:ascii="Palatino Linotype" w:hAnsi="Palatino Linotype"/>
          <w:i/>
        </w:rPr>
        <w:t xml:space="preserve">, que podrían resultar </w:t>
      </w:r>
      <w:r w:rsidRPr="007132C0">
        <w:rPr>
          <w:rFonts w:ascii="Palatino Linotype" w:hAnsi="Palatino Linotype"/>
          <w:i/>
        </w:rPr>
        <w:lastRenderedPageBreak/>
        <w:t>vulnerados por actuaciones penales o disciplinarias irregulares. En consecuencia</w:t>
      </w:r>
      <w:r w:rsidRPr="007132C0">
        <w:rPr>
          <w:rFonts w:ascii="Palatino Linotype" w:hAnsi="Palatino Linotype"/>
          <w:b/>
          <w:i/>
          <w:u w:val="single"/>
        </w:rPr>
        <w:t>, este principio opera también en las situaciones extraprocesales y constituye el derecho a recibir la consideración y el trato de "no autor o no partícipe" en un hecho de carácter delictivo o en otro tipo de infracciones mientras no se demuestre la culpabilidad</w:t>
      </w:r>
      <w:r w:rsidRPr="007132C0">
        <w:rPr>
          <w:rFonts w:ascii="Palatino Linotype" w:hAnsi="Palatino Linotype"/>
          <w:i/>
        </w:rPr>
        <w:t>; por ende, otorga el derecho a que no se apliquen las consecuencias a los efectos jurídicos privativos vinculados a tales hechos, en cualquier materia.</w:t>
      </w:r>
      <w:r w:rsidRPr="007132C0">
        <w:rPr>
          <w:rFonts w:ascii="Palatino Linotype" w:hAnsi="Palatino Linotype"/>
          <w:i/>
          <w:vertAlign w:val="superscript"/>
        </w:rPr>
        <w:footnoteReference w:id="4"/>
      </w:r>
    </w:p>
    <w:p w14:paraId="3C722E3A" w14:textId="77777777" w:rsidR="00ED2F87" w:rsidRDefault="00ED2F87" w:rsidP="00ED2F87">
      <w:pPr>
        <w:spacing w:after="0" w:line="240" w:lineRule="auto"/>
        <w:ind w:left="567" w:right="757"/>
        <w:jc w:val="both"/>
        <w:rPr>
          <w:rFonts w:ascii="Palatino Linotype" w:hAnsi="Palatino Linotype"/>
        </w:rPr>
      </w:pPr>
    </w:p>
    <w:p w14:paraId="03642FFB" w14:textId="77777777" w:rsidR="00ED2F87" w:rsidRPr="007132C0" w:rsidRDefault="00ED2F87" w:rsidP="00ED2F87">
      <w:pPr>
        <w:spacing w:after="0" w:line="240" w:lineRule="auto"/>
        <w:ind w:left="567" w:right="757"/>
        <w:jc w:val="right"/>
        <w:rPr>
          <w:rFonts w:ascii="Palatino Linotype" w:hAnsi="Palatino Linotype"/>
        </w:rPr>
      </w:pPr>
      <w:r>
        <w:rPr>
          <w:rFonts w:ascii="Palatino Linotype" w:hAnsi="Palatino Linotype"/>
        </w:rPr>
        <w:t>(Énfasis añadido)</w:t>
      </w:r>
    </w:p>
    <w:p w14:paraId="3591598C" w14:textId="77777777" w:rsidR="00ED2F87" w:rsidRPr="007132C0" w:rsidRDefault="00ED2F87" w:rsidP="00ED2F87">
      <w:pPr>
        <w:spacing w:after="0" w:line="360" w:lineRule="auto"/>
        <w:jc w:val="both"/>
        <w:rPr>
          <w:rFonts w:ascii="Palatino Linotype" w:hAnsi="Palatino Linotype"/>
          <w:sz w:val="24"/>
          <w:szCs w:val="24"/>
        </w:rPr>
      </w:pPr>
    </w:p>
    <w:p w14:paraId="24250D87" w14:textId="77777777" w:rsidR="00ED2F87" w:rsidRPr="007132C0" w:rsidRDefault="00ED2F87" w:rsidP="00ED2F87">
      <w:pPr>
        <w:spacing w:after="0" w:line="360" w:lineRule="auto"/>
        <w:jc w:val="both"/>
        <w:rPr>
          <w:rFonts w:ascii="Palatino Linotype" w:hAnsi="Palatino Linotype"/>
          <w:sz w:val="24"/>
          <w:szCs w:val="24"/>
        </w:rPr>
      </w:pPr>
      <w:r w:rsidRPr="007132C0">
        <w:rPr>
          <w:rFonts w:ascii="Palatino Linotype" w:hAnsi="Palatino Linotype"/>
          <w:sz w:val="24"/>
          <w:szCs w:val="24"/>
        </w:rPr>
        <w:t>Derivado del criterio anterior, resulta evidente que es necesario concluir los procesos a fin de demostrar de manera indubitable la culpabilidad de alguien antes de emitir cualquier pronunciamiento al respecto, pues de no ser así se podría estar violando el derecho a la presunción de inocencia de las personas aludidas. Consecuentemente, en procesos fiscalizadores o de auditoría, deben ser concluidos con el propósito de que las responsabilidades administrativas que puedan arrojar estos procesos estén debidamente acreditadas sin violentar los derechos fundamentales de los servidores públicos.</w:t>
      </w:r>
    </w:p>
    <w:p w14:paraId="3C84BA54"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AECEA87" w14:textId="77777777" w:rsidR="00ED2F87" w:rsidRDefault="00ED2F87" w:rsidP="00ED2F87">
      <w:pPr>
        <w:spacing w:after="0" w:line="360" w:lineRule="auto"/>
        <w:jc w:val="both"/>
        <w:rPr>
          <w:rFonts w:ascii="Palatino Linotype" w:hAnsi="Palatino Linotype" w:cs="Arial"/>
          <w:sz w:val="24"/>
        </w:rPr>
      </w:pPr>
      <w:r>
        <w:rPr>
          <w:rFonts w:ascii="Palatino Linotype" w:eastAsia="Times New Roman" w:hAnsi="Palatino Linotype" w:cs="Times New Roman"/>
          <w:sz w:val="24"/>
          <w:szCs w:val="24"/>
          <w:lang w:eastAsia="es-ES"/>
        </w:rPr>
        <w:t xml:space="preserve">No pasa desapercibido para este Órgano Garante, que el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peticionó la entrega de los documentos firmados, en ese orden de ideas, de conformidad con los </w:t>
      </w:r>
      <w:r w:rsidRPr="009325AB">
        <w:rPr>
          <w:rFonts w:ascii="Palatino Linotype" w:eastAsia="Times New Roman" w:hAnsi="Palatino Linotype" w:cs="Times New Roman"/>
          <w:sz w:val="24"/>
          <w:szCs w:val="24"/>
          <w:lang w:eastAsia="es-ES"/>
        </w:rPr>
        <w:t>Lineamientos para la Presentación del Presupuesto de Egresos Municipal 2019</w:t>
      </w:r>
      <w:r>
        <w:rPr>
          <w:rFonts w:ascii="Palatino Linotype" w:eastAsia="Times New Roman" w:hAnsi="Palatino Linotype" w:cs="Times New Roman"/>
          <w:sz w:val="24"/>
          <w:szCs w:val="24"/>
          <w:lang w:eastAsia="es-ES"/>
        </w:rPr>
        <w:t xml:space="preserve"> y 2020, respectivamente, se establece que los Ayuntamientos harán envío de dichos informes, los cuales deberán contener firma autógrafa </w:t>
      </w:r>
      <w:r>
        <w:rPr>
          <w:rFonts w:ascii="Palatino Linotype" w:hAnsi="Palatino Linotype" w:cs="Arial"/>
          <w:sz w:val="24"/>
        </w:rPr>
        <w:t xml:space="preserve">así como los sellos correspondientes, robustece lo anterior las siguientes imágenes ilustrativas: </w:t>
      </w:r>
    </w:p>
    <w:p w14:paraId="7DEE17DA" w14:textId="77777777" w:rsidR="00ED2F87" w:rsidRPr="00ED2F87" w:rsidRDefault="00ED2F87" w:rsidP="00ED2F87">
      <w:pPr>
        <w:spacing w:after="0" w:line="360" w:lineRule="auto"/>
        <w:jc w:val="both"/>
        <w:rPr>
          <w:rFonts w:ascii="Palatino Linotype" w:eastAsia="Times New Roman" w:hAnsi="Palatino Linotype"/>
          <w:bCs/>
          <w:spacing w:val="60"/>
          <w:sz w:val="24"/>
          <w:szCs w:val="24"/>
          <w:lang w:val="es-ES_tradnl"/>
        </w:rPr>
      </w:pPr>
    </w:p>
    <w:p w14:paraId="32160C18" w14:textId="77777777" w:rsidR="00ED2F87" w:rsidRDefault="00ED2F87" w:rsidP="00ED2F8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w:lastRenderedPageBreak/>
        <w:drawing>
          <wp:anchor distT="0" distB="0" distL="114300" distR="114300" simplePos="0" relativeHeight="251660288" behindDoc="0" locked="0" layoutInCell="1" allowOverlap="1" wp14:anchorId="20D75629" wp14:editId="00113399">
            <wp:simplePos x="0" y="0"/>
            <wp:positionH relativeFrom="page">
              <wp:posOffset>1483995</wp:posOffset>
            </wp:positionH>
            <wp:positionV relativeFrom="paragraph">
              <wp:posOffset>493395</wp:posOffset>
            </wp:positionV>
            <wp:extent cx="4816475" cy="6091555"/>
            <wp:effectExtent l="19050" t="19050" r="22225" b="23495"/>
            <wp:wrapThrough wrapText="bothSides">
              <wp:wrapPolygon edited="0">
                <wp:start x="-85" y="-68"/>
                <wp:lineTo x="-85" y="21616"/>
                <wp:lineTo x="21614" y="21616"/>
                <wp:lineTo x="21614" y="-68"/>
                <wp:lineTo x="-85" y="-6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6475" cy="60915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b/>
          <w:bCs/>
          <w:spacing w:val="60"/>
          <w:sz w:val="28"/>
          <w:lang w:val="es-ES_tradnl"/>
        </w:rPr>
        <w:br w:type="page"/>
      </w:r>
    </w:p>
    <w:p w14:paraId="12DABEFA" w14:textId="77777777" w:rsidR="00ED2F87" w:rsidRDefault="00ED2F87" w:rsidP="00ED2F8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w:lastRenderedPageBreak/>
        <w:drawing>
          <wp:anchor distT="0" distB="0" distL="114300" distR="114300" simplePos="0" relativeHeight="251659264" behindDoc="0" locked="0" layoutInCell="1" allowOverlap="1" wp14:anchorId="2EF519BF" wp14:editId="0BE991D4">
            <wp:simplePos x="0" y="0"/>
            <wp:positionH relativeFrom="margin">
              <wp:posOffset>474980</wp:posOffset>
            </wp:positionH>
            <wp:positionV relativeFrom="paragraph">
              <wp:posOffset>267970</wp:posOffset>
            </wp:positionV>
            <wp:extent cx="4785360" cy="6091555"/>
            <wp:effectExtent l="19050" t="19050" r="15240" b="23495"/>
            <wp:wrapThrough wrapText="bothSides">
              <wp:wrapPolygon edited="0">
                <wp:start x="-86" y="-68"/>
                <wp:lineTo x="-86" y="21616"/>
                <wp:lineTo x="21583" y="21616"/>
                <wp:lineTo x="21583" y="-68"/>
                <wp:lineTo x="-86" y="-6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5360" cy="60915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DD3085" w14:textId="77777777" w:rsidR="00ED2F87" w:rsidRDefault="00ED2F87" w:rsidP="00ED2F87">
      <w:pPr>
        <w:spacing w:after="0" w:line="360" w:lineRule="auto"/>
        <w:jc w:val="both"/>
        <w:rPr>
          <w:rFonts w:ascii="Palatino Linotype" w:hAnsi="Palatino Linotype" w:cs="Arial"/>
          <w:sz w:val="24"/>
        </w:rPr>
      </w:pPr>
    </w:p>
    <w:p w14:paraId="7C9B44E4" w14:textId="77777777" w:rsidR="00ED2F87" w:rsidRDefault="00ED2F87" w:rsidP="00ED2F87">
      <w:pPr>
        <w:spacing w:after="0" w:line="360" w:lineRule="auto"/>
        <w:jc w:val="both"/>
        <w:rPr>
          <w:rFonts w:ascii="Palatino Linotype" w:hAnsi="Palatino Linotype" w:cs="Arial"/>
          <w:sz w:val="24"/>
        </w:rPr>
      </w:pPr>
    </w:p>
    <w:p w14:paraId="6BAED24A" w14:textId="77777777" w:rsidR="00ED2F87" w:rsidRDefault="00ED2F87" w:rsidP="00ED2F87">
      <w:pPr>
        <w:spacing w:after="0" w:line="360" w:lineRule="auto"/>
        <w:jc w:val="both"/>
        <w:rPr>
          <w:rFonts w:ascii="Palatino Linotype" w:hAnsi="Palatino Linotype" w:cs="Arial"/>
          <w:sz w:val="24"/>
        </w:rPr>
      </w:pPr>
    </w:p>
    <w:p w14:paraId="2CC65DA4" w14:textId="77777777" w:rsidR="00ED2F87" w:rsidRDefault="00ED2F87" w:rsidP="00ED2F87">
      <w:pPr>
        <w:spacing w:after="0" w:line="360" w:lineRule="auto"/>
        <w:jc w:val="both"/>
        <w:rPr>
          <w:rFonts w:ascii="Palatino Linotype" w:hAnsi="Palatino Linotype" w:cs="Arial"/>
          <w:sz w:val="24"/>
        </w:rPr>
      </w:pPr>
    </w:p>
    <w:p w14:paraId="510320B0" w14:textId="77777777" w:rsidR="00ED2F87" w:rsidRDefault="00ED2F87" w:rsidP="00ED2F87">
      <w:pPr>
        <w:spacing w:after="0" w:line="360" w:lineRule="auto"/>
        <w:jc w:val="both"/>
        <w:rPr>
          <w:rFonts w:ascii="Palatino Linotype" w:hAnsi="Palatino Linotype" w:cs="Arial"/>
          <w:sz w:val="24"/>
        </w:rPr>
      </w:pPr>
    </w:p>
    <w:p w14:paraId="0009DE0D" w14:textId="77777777" w:rsidR="00ED2F87" w:rsidRDefault="00ED2F87" w:rsidP="00ED2F87">
      <w:pPr>
        <w:spacing w:after="0" w:line="360" w:lineRule="auto"/>
        <w:jc w:val="both"/>
        <w:rPr>
          <w:rFonts w:ascii="Palatino Linotype" w:hAnsi="Palatino Linotype" w:cs="Arial"/>
          <w:sz w:val="24"/>
        </w:rPr>
      </w:pPr>
    </w:p>
    <w:p w14:paraId="15985199" w14:textId="77777777" w:rsidR="00ED2F87" w:rsidRDefault="00ED2F87" w:rsidP="00ED2F87">
      <w:pPr>
        <w:spacing w:after="0" w:line="360" w:lineRule="auto"/>
        <w:jc w:val="both"/>
        <w:rPr>
          <w:rFonts w:ascii="Palatino Linotype" w:hAnsi="Palatino Linotype" w:cs="Arial"/>
          <w:sz w:val="24"/>
        </w:rPr>
      </w:pPr>
    </w:p>
    <w:p w14:paraId="0F7F08E4" w14:textId="77777777" w:rsidR="00ED2F87" w:rsidRDefault="00ED2F87" w:rsidP="00ED2F87">
      <w:pPr>
        <w:spacing w:after="0" w:line="360" w:lineRule="auto"/>
        <w:jc w:val="both"/>
        <w:rPr>
          <w:rFonts w:ascii="Palatino Linotype" w:hAnsi="Palatino Linotype" w:cs="Arial"/>
          <w:sz w:val="24"/>
        </w:rPr>
      </w:pPr>
    </w:p>
    <w:p w14:paraId="1784DDB4" w14:textId="77777777" w:rsidR="00ED2F87" w:rsidRDefault="00ED2F87" w:rsidP="00ED2F87">
      <w:pPr>
        <w:spacing w:after="0" w:line="360" w:lineRule="auto"/>
        <w:jc w:val="both"/>
        <w:rPr>
          <w:rFonts w:ascii="Palatino Linotype" w:hAnsi="Palatino Linotype" w:cs="Arial"/>
          <w:sz w:val="24"/>
        </w:rPr>
      </w:pPr>
    </w:p>
    <w:p w14:paraId="5F39FFA0" w14:textId="77777777" w:rsidR="00ED2F87" w:rsidRPr="002E1DCD" w:rsidRDefault="00ED2F87" w:rsidP="00ED2F87">
      <w:pPr>
        <w:spacing w:after="0" w:line="360" w:lineRule="auto"/>
        <w:jc w:val="both"/>
        <w:rPr>
          <w:rFonts w:ascii="Palatino Linotype" w:eastAsia="Times New Roman" w:hAnsi="Palatino Linotype" w:cs="Times New Roman"/>
          <w:sz w:val="24"/>
          <w:szCs w:val="24"/>
          <w:lang w:eastAsia="es-ES"/>
        </w:rPr>
      </w:pPr>
    </w:p>
    <w:p w14:paraId="4F107E7A"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6D0DE6B"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55F18F61"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2F165448"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06AC120C"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123CF934"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8310520"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1B9E702C"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28420FC4"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0963AC7F"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FDD32E4"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73F63BDA"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noProof/>
          <w:sz w:val="24"/>
          <w:lang w:eastAsia="es-MX"/>
        </w:rPr>
        <w:lastRenderedPageBreak/>
        <w:drawing>
          <wp:anchor distT="0" distB="0" distL="114300" distR="114300" simplePos="0" relativeHeight="251661312" behindDoc="0" locked="0" layoutInCell="1" allowOverlap="1" wp14:anchorId="1A8C202D" wp14:editId="0CBB0DA2">
            <wp:simplePos x="0" y="0"/>
            <wp:positionH relativeFrom="page">
              <wp:posOffset>1599952</wp:posOffset>
            </wp:positionH>
            <wp:positionV relativeFrom="paragraph">
              <wp:posOffset>18489</wp:posOffset>
            </wp:positionV>
            <wp:extent cx="4761865" cy="6077585"/>
            <wp:effectExtent l="19050" t="19050" r="19685" b="18415"/>
            <wp:wrapThrough wrapText="bothSides">
              <wp:wrapPolygon edited="0">
                <wp:start x="-86" y="-68"/>
                <wp:lineTo x="-86" y="21598"/>
                <wp:lineTo x="21603" y="21598"/>
                <wp:lineTo x="21603" y="-68"/>
                <wp:lineTo x="-86" y="-68"/>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6077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631108"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1B913D0B"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2DDFA05F"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77181A06"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72AB5D40"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32550DE"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99C2ECA"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7BBC291"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923FD95"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4C40CDB"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602DEB39"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5CA5D65A"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611D2312"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5D7445A"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1E66103B"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C89719D"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4FD86721"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BF947B0"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653FF796"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620A2EB9"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3BAF6B5D"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r w:rsidRPr="00936B40">
        <w:rPr>
          <w:rFonts w:ascii="Palatino Linotype" w:eastAsia="Times New Roman" w:hAnsi="Palatino Linotype" w:cs="Times New Roman"/>
          <w:sz w:val="24"/>
          <w:szCs w:val="24"/>
          <w:lang w:eastAsia="es-ES"/>
        </w:rPr>
        <w:t xml:space="preserve">Bajo estas líneas argumentativas, este Órgano Garante insiste que de conformidad con las consideraciones para la integración y entrega del informe mensual municipal contenidas en los Lineamientos para la Integración del Informe Mensual Municipal dos mil dieciséis y dos mil diecisiete, la información digitalizada </w:t>
      </w:r>
      <w:r w:rsidRPr="00936B40">
        <w:rPr>
          <w:rFonts w:ascii="Palatino Linotype" w:eastAsia="Times New Roman" w:hAnsi="Palatino Linotype" w:cs="Times New Roman"/>
          <w:sz w:val="24"/>
          <w:szCs w:val="24"/>
          <w:lang w:eastAsia="es-ES"/>
        </w:rPr>
        <w:tab/>
        <w:t xml:space="preserve">que envíen las </w:t>
      </w:r>
      <w:r w:rsidRPr="00936B40">
        <w:rPr>
          <w:rFonts w:ascii="Palatino Linotype" w:eastAsia="Times New Roman" w:hAnsi="Palatino Linotype" w:cs="Times New Roman"/>
          <w:sz w:val="24"/>
          <w:szCs w:val="24"/>
          <w:lang w:eastAsia="es-ES"/>
        </w:rPr>
        <w:lastRenderedPageBreak/>
        <w:t xml:space="preserve">entidades fiscalizables deberá contar con las firmas correspondientes, así como los sellos respectivos.  </w:t>
      </w:r>
    </w:p>
    <w:p w14:paraId="53B6A7CD" w14:textId="77777777" w:rsidR="00ED2F87" w:rsidRDefault="00ED2F87" w:rsidP="00ED2F87">
      <w:pPr>
        <w:spacing w:after="0" w:line="360" w:lineRule="auto"/>
        <w:jc w:val="both"/>
        <w:rPr>
          <w:rFonts w:ascii="Palatino Linotype" w:eastAsia="Times New Roman" w:hAnsi="Palatino Linotype" w:cs="Times New Roman"/>
          <w:sz w:val="24"/>
          <w:szCs w:val="24"/>
          <w:lang w:eastAsia="es-ES"/>
        </w:rPr>
      </w:pPr>
    </w:p>
    <w:p w14:paraId="21503539" w14:textId="77777777" w:rsidR="00ED2F87" w:rsidRPr="00A529F3" w:rsidRDefault="00ED2F87" w:rsidP="00ED2F87">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14:paraId="1D1685B4"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04141480" w14:textId="77777777" w:rsidR="00ED2F87"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1631844"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21A6B129"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2E73E2D"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C48F460"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A529F3">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25D3F146"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EDBE192"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14:paraId="64698164"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3E95D3FC"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F251A7"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2F3324BF"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8158C40"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DB25D6C"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 xml:space="preserve">se </w:t>
      </w:r>
      <w:r w:rsidRPr="00A529F3">
        <w:rPr>
          <w:rFonts w:ascii="Palatino Linotype" w:hAnsi="Palatino Linotype" w:cs="Arial"/>
          <w:i/>
          <w:u w:val="single"/>
        </w:rPr>
        <w:lastRenderedPageBreak/>
        <w:t>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 xml:space="preserve">edad de la persona, así como su </w:t>
      </w:r>
      <w:proofErr w:type="spellStart"/>
      <w:r w:rsidRPr="00A529F3">
        <w:rPr>
          <w:rFonts w:ascii="Palatino Linotype" w:hAnsi="Palatino Linotype" w:cs="Arial"/>
          <w:i/>
        </w:rPr>
        <w:t>homoclave</w:t>
      </w:r>
      <w:proofErr w:type="spellEnd"/>
      <w:r w:rsidRPr="00A529F3">
        <w:rPr>
          <w:rFonts w:ascii="Palatino Linotype" w:hAnsi="Palatino Linotype" w:cs="Arial"/>
          <w:i/>
        </w:rPr>
        <w:t>,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14:paraId="4EB6E0D5"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p>
    <w:p w14:paraId="58DC3B19" w14:textId="77777777" w:rsidR="00ED2F87" w:rsidRPr="00A529F3" w:rsidRDefault="00ED2F87" w:rsidP="00ED2F87">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14:paraId="13D40141"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740E5EB"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529F3">
        <w:rPr>
          <w:rFonts w:ascii="Palatino Linotype" w:hAnsi="Palatino Linotype" w:cs="Arial"/>
          <w:sz w:val="24"/>
          <w:szCs w:val="24"/>
        </w:rPr>
        <w:t>homoclave</w:t>
      </w:r>
      <w:proofErr w:type="spellEnd"/>
      <w:r w:rsidRPr="00A529F3">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FC130E7"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517DE12A" w14:textId="77777777" w:rsidR="00ED2F87"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533DA87"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14:paraId="115357D2"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55CC08C" w14:textId="77777777" w:rsidR="00ED2F87" w:rsidRPr="00A529F3" w:rsidRDefault="00ED2F87" w:rsidP="00ED2F87">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14:paraId="1253899D" w14:textId="77777777" w:rsidR="00ED2F87" w:rsidRPr="00A529F3" w:rsidRDefault="00ED2F87" w:rsidP="00ED2F8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9D2FBD7" w14:textId="77777777" w:rsidR="00ED2F87" w:rsidRPr="00A529F3" w:rsidRDefault="00ED2F87" w:rsidP="00ED2F8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E143C9A" w14:textId="77777777" w:rsidR="00ED2F87" w:rsidRPr="00A529F3" w:rsidRDefault="00ED2F87" w:rsidP="00ED2F8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9659D17"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14:paraId="1A48373A"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5F7B6491"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1BCDE6DE"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51EA478"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39876EC"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4B1701B8" w14:textId="77777777" w:rsidR="00ED2F87" w:rsidRPr="00A529F3" w:rsidRDefault="00ED2F87" w:rsidP="00ED2F87">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A9BC58"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14:paraId="26AB6745"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14:paraId="18A579BE"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14:paraId="1F3C1FEE"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p>
    <w:p w14:paraId="60A19FE3"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14:paraId="337FAAAC"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3C34ED8"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14:paraId="36B47D73"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14:paraId="453D7B78"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14:paraId="62B68A80" w14:textId="77777777" w:rsidR="00ED2F87" w:rsidRPr="00A529F3" w:rsidRDefault="00ED2F87" w:rsidP="00ED2F87">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14:paraId="0FEC3D86"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500FC2B"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proofErr w:type="gramStart"/>
      <w:r w:rsidRPr="00A529F3">
        <w:rPr>
          <w:rFonts w:ascii="Palatino Linotype" w:hAnsi="Palatino Linotype" w:cs="Arial"/>
          <w:bCs/>
          <w:i/>
        </w:rPr>
        <w:t>III …</w:t>
      </w:r>
      <w:proofErr w:type="gramEnd"/>
    </w:p>
    <w:p w14:paraId="41D6EA31" w14:textId="77777777" w:rsidR="00ED2F87" w:rsidRPr="00A529F3" w:rsidRDefault="00ED2F87" w:rsidP="00ED2F8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CE33B48" w14:textId="77777777" w:rsidR="00ED2F87" w:rsidRPr="00A529F3" w:rsidRDefault="00ED2F87" w:rsidP="00ED2F87">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14:paraId="64661F0F"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3CC25D7D" w14:textId="77777777" w:rsidR="00ED2F87"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789527D"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3A2E433A"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D5DC4B" w14:textId="77777777" w:rsidR="00ED2F87" w:rsidRPr="00A529F3" w:rsidRDefault="00ED2F87" w:rsidP="00ED2F87">
      <w:pPr>
        <w:tabs>
          <w:tab w:val="left" w:pos="8647"/>
        </w:tabs>
        <w:spacing w:after="0" w:line="360" w:lineRule="auto"/>
        <w:ind w:right="51"/>
        <w:jc w:val="both"/>
        <w:rPr>
          <w:rFonts w:ascii="Palatino Linotype" w:hAnsi="Palatino Linotype" w:cs="Arial"/>
          <w:sz w:val="24"/>
          <w:szCs w:val="24"/>
        </w:rPr>
      </w:pPr>
    </w:p>
    <w:p w14:paraId="7670E303" w14:textId="77777777" w:rsidR="00ED2F87" w:rsidRDefault="00ED2F87" w:rsidP="00ED2F87">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14:paraId="63C1EC03" w14:textId="77777777" w:rsidR="00ED2F87" w:rsidRPr="005404C0" w:rsidRDefault="00ED2F87" w:rsidP="00ED2F87">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21882E18" w14:textId="77777777" w:rsidR="00ED2F87" w:rsidRPr="002B46ED" w:rsidRDefault="00ED2F87" w:rsidP="00ED2F87">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265D44">
        <w:rPr>
          <w:rFonts w:ascii="Palatino Linotype" w:hAnsi="Palatino Linotype" w:cs="Arial"/>
          <w:b/>
          <w:sz w:val="24"/>
          <w:szCs w:val="24"/>
        </w:rPr>
        <w:t>00245/TEOLOYU/IP/2020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14:paraId="005D23FE" w14:textId="77777777" w:rsidR="00ED2F87" w:rsidRPr="00DC0F04" w:rsidRDefault="00ED2F87" w:rsidP="00ED2F87">
      <w:pPr>
        <w:spacing w:after="0" w:line="360" w:lineRule="auto"/>
        <w:jc w:val="both"/>
        <w:rPr>
          <w:rFonts w:ascii="Palatino Linotype" w:eastAsia="Times New Roman" w:hAnsi="Palatino Linotype" w:cs="Times New Roman"/>
          <w:sz w:val="24"/>
          <w:szCs w:val="24"/>
          <w:lang w:eastAsia="es-ES"/>
        </w:rPr>
      </w:pPr>
    </w:p>
    <w:p w14:paraId="103A6F83" w14:textId="77777777" w:rsidR="00ED2F87" w:rsidRPr="00DC0F04" w:rsidRDefault="00ED2F87" w:rsidP="00ED2F87">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14:paraId="2CD4BCD3" w14:textId="77777777" w:rsidR="00ED2F87" w:rsidRPr="00DC0F04" w:rsidRDefault="00ED2F87" w:rsidP="00ED2F87">
      <w:pPr>
        <w:spacing w:after="0" w:line="360" w:lineRule="auto"/>
        <w:jc w:val="both"/>
        <w:rPr>
          <w:rFonts w:ascii="Palatino Linotype" w:eastAsia="Times New Roman" w:hAnsi="Palatino Linotype" w:cs="Times New Roman"/>
          <w:sz w:val="24"/>
          <w:szCs w:val="24"/>
          <w:lang w:eastAsia="es-ES"/>
        </w:rPr>
      </w:pPr>
    </w:p>
    <w:p w14:paraId="785CB064" w14:textId="77777777" w:rsidR="00ED2F87" w:rsidRPr="00DC0F04" w:rsidRDefault="00ED2F87" w:rsidP="00ED2F87">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14:paraId="16E7D229" w14:textId="77777777" w:rsidR="00ED2F87" w:rsidRDefault="00ED2F87" w:rsidP="00ED2F87">
      <w:pPr>
        <w:autoSpaceDE w:val="0"/>
        <w:autoSpaceDN w:val="0"/>
        <w:adjustRightInd w:val="0"/>
        <w:spacing w:after="0" w:line="360" w:lineRule="auto"/>
        <w:ind w:right="49"/>
        <w:jc w:val="both"/>
        <w:rPr>
          <w:rFonts w:ascii="Palatino Linotype" w:hAnsi="Palatino Linotype" w:cs="Arial"/>
          <w:sz w:val="24"/>
          <w:szCs w:val="24"/>
          <w:lang w:val="es-ES_tradnl"/>
        </w:rPr>
      </w:pPr>
    </w:p>
    <w:p w14:paraId="56761CAD" w14:textId="77777777" w:rsidR="00ED2F87" w:rsidRDefault="00ED2F87" w:rsidP="00ED2F8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265D44">
        <w:rPr>
          <w:rFonts w:ascii="Palatino Linotype" w:hAnsi="Palatino Linotype" w:cs="Arial"/>
          <w:b/>
          <w:sz w:val="24"/>
          <w:szCs w:val="24"/>
        </w:rPr>
        <w:t>00245/TEOLOYU/IP/2020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14:paraId="0C36F204" w14:textId="77777777" w:rsidR="00ED2F87" w:rsidRDefault="00ED2F87" w:rsidP="00ED2F8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en su caso en versión pública lo siguiente:</w:t>
      </w:r>
    </w:p>
    <w:p w14:paraId="32EF3CC6" w14:textId="77777777" w:rsidR="00ED2F87" w:rsidRPr="002B46ED" w:rsidRDefault="00ED2F87" w:rsidP="00ED2F87">
      <w:pPr>
        <w:autoSpaceDE w:val="0"/>
        <w:autoSpaceDN w:val="0"/>
        <w:adjustRightInd w:val="0"/>
        <w:spacing w:after="0" w:line="360" w:lineRule="auto"/>
        <w:ind w:right="49"/>
        <w:jc w:val="both"/>
        <w:rPr>
          <w:rFonts w:ascii="Palatino Linotype" w:hAnsi="Palatino Linotype" w:cs="Arial"/>
          <w:sz w:val="24"/>
          <w:szCs w:val="24"/>
        </w:rPr>
      </w:pPr>
    </w:p>
    <w:p w14:paraId="1EFB500C" w14:textId="77777777" w:rsidR="00ED2F87" w:rsidRPr="007132C0" w:rsidRDefault="00ED2F87" w:rsidP="00ED2F87">
      <w:pPr>
        <w:pStyle w:val="Prrafodelista"/>
        <w:numPr>
          <w:ilvl w:val="0"/>
          <w:numId w:val="8"/>
        </w:numPr>
        <w:ind w:left="567" w:right="567"/>
        <w:jc w:val="both"/>
        <w:rPr>
          <w:rFonts w:ascii="Palatino Linotype" w:eastAsia="Calibri" w:hAnsi="Palatino Linotype"/>
          <w:i/>
          <w:lang w:val="es-ES_tradnl"/>
        </w:rPr>
      </w:pPr>
      <w:r>
        <w:rPr>
          <w:rFonts w:ascii="Palatino Linotype" w:eastAsia="Calibri" w:hAnsi="Palatino Linotype"/>
          <w:i/>
          <w:lang w:val="es-MX"/>
        </w:rPr>
        <w:t xml:space="preserve">Los documentos definitivos de los </w:t>
      </w:r>
      <w:r w:rsidRPr="007132C0">
        <w:rPr>
          <w:rFonts w:ascii="Palatino Linotype" w:eastAsia="Calibri" w:hAnsi="Palatino Linotype"/>
          <w:i/>
          <w:lang w:val="es-ES_tradnl"/>
        </w:rPr>
        <w:t>Ejercicio</w:t>
      </w:r>
      <w:r>
        <w:rPr>
          <w:rFonts w:ascii="Palatino Linotype" w:eastAsia="Calibri" w:hAnsi="Palatino Linotype"/>
          <w:i/>
          <w:lang w:val="es-ES_tradnl"/>
        </w:rPr>
        <w:t>s</w:t>
      </w:r>
      <w:r w:rsidRPr="007132C0">
        <w:rPr>
          <w:rFonts w:ascii="Palatino Linotype" w:eastAsia="Calibri" w:hAnsi="Palatino Linotype"/>
          <w:i/>
          <w:lang w:val="es-ES_tradnl"/>
        </w:rPr>
        <w:t xml:space="preserve"> de egresos presupuestarios del periodo del uno de enero de dos mil diecinueve al veinte de septiembre de dos mil veinte, de las áreas siguientes:</w:t>
      </w:r>
    </w:p>
    <w:p w14:paraId="2A3AA737" w14:textId="77777777" w:rsidR="00ED2F87" w:rsidRPr="007132C0" w:rsidRDefault="00ED2F87" w:rsidP="00ED2F87">
      <w:pPr>
        <w:pStyle w:val="Prrafodelista"/>
        <w:ind w:left="567" w:right="567"/>
        <w:jc w:val="both"/>
        <w:rPr>
          <w:rFonts w:ascii="Palatino Linotype" w:eastAsia="Calibri" w:hAnsi="Palatino Linotype"/>
          <w:i/>
          <w:lang w:val="es-ES_tradnl"/>
        </w:rPr>
      </w:pPr>
    </w:p>
    <w:p w14:paraId="272DAE11" w14:textId="77777777" w:rsidR="00ED2F87" w:rsidRPr="007132C0" w:rsidRDefault="00ED2F87" w:rsidP="00ED2F87">
      <w:pPr>
        <w:pStyle w:val="Prrafodelista"/>
        <w:numPr>
          <w:ilvl w:val="0"/>
          <w:numId w:val="9"/>
        </w:numPr>
        <w:ind w:left="1276" w:right="567"/>
        <w:jc w:val="both"/>
        <w:rPr>
          <w:rFonts w:ascii="Palatino Linotype" w:eastAsia="Calibri" w:hAnsi="Palatino Linotype"/>
          <w:i/>
          <w:lang w:val="es-ES_tradnl"/>
        </w:rPr>
      </w:pPr>
      <w:r w:rsidRPr="007132C0">
        <w:rPr>
          <w:rFonts w:ascii="Palatino Linotype" w:eastAsia="Calibri" w:hAnsi="Palatino Linotype"/>
          <w:i/>
          <w:lang w:val="es-ES_tradnl"/>
        </w:rPr>
        <w:t>Administración central</w:t>
      </w:r>
      <w:r>
        <w:rPr>
          <w:rFonts w:ascii="Palatino Linotype" w:eastAsia="Calibri" w:hAnsi="Palatino Linotype"/>
          <w:i/>
          <w:lang w:val="es-ES_tradnl"/>
        </w:rPr>
        <w:t xml:space="preserve"> Municipal</w:t>
      </w:r>
      <w:r w:rsidRPr="007132C0">
        <w:rPr>
          <w:rFonts w:ascii="Palatino Linotype" w:eastAsia="Calibri" w:hAnsi="Palatino Linotype"/>
          <w:i/>
          <w:lang w:val="es-ES_tradnl"/>
        </w:rPr>
        <w:t>;</w:t>
      </w:r>
    </w:p>
    <w:p w14:paraId="1E7B87C9" w14:textId="77777777" w:rsidR="00ED2F87" w:rsidRPr="007132C0" w:rsidRDefault="00ED2F87" w:rsidP="00ED2F87">
      <w:pPr>
        <w:pStyle w:val="Prrafodelista"/>
        <w:numPr>
          <w:ilvl w:val="0"/>
          <w:numId w:val="9"/>
        </w:numPr>
        <w:ind w:left="1276" w:right="567"/>
        <w:jc w:val="both"/>
        <w:rPr>
          <w:rFonts w:ascii="Palatino Linotype" w:eastAsia="Calibri" w:hAnsi="Palatino Linotype"/>
          <w:i/>
          <w:lang w:val="es-ES_tradnl"/>
        </w:rPr>
      </w:pPr>
      <w:r w:rsidRPr="007132C0">
        <w:rPr>
          <w:rFonts w:ascii="Palatino Linotype" w:eastAsia="Calibri" w:hAnsi="Palatino Linotype"/>
          <w:i/>
          <w:lang w:val="es-ES_tradnl"/>
        </w:rPr>
        <w:t>Los fideicomisos en los que el municipio sea fideicomitente;</w:t>
      </w:r>
    </w:p>
    <w:p w14:paraId="0414FA0C" w14:textId="77777777" w:rsidR="00ED2F87" w:rsidRPr="007132C0" w:rsidRDefault="00ED2F87" w:rsidP="00ED2F87">
      <w:pPr>
        <w:pStyle w:val="Prrafodelista"/>
        <w:numPr>
          <w:ilvl w:val="0"/>
          <w:numId w:val="9"/>
        </w:numPr>
        <w:ind w:left="1276" w:right="567"/>
        <w:jc w:val="both"/>
        <w:rPr>
          <w:rFonts w:ascii="Palatino Linotype" w:eastAsia="Calibri" w:hAnsi="Palatino Linotype"/>
          <w:i/>
          <w:lang w:val="es-ES_tradnl"/>
        </w:rPr>
      </w:pPr>
      <w:r w:rsidRPr="007132C0">
        <w:rPr>
          <w:rFonts w:ascii="Palatino Linotype" w:eastAsia="Calibri" w:hAnsi="Palatino Linotype"/>
          <w:i/>
          <w:lang w:val="es-ES_tradnl"/>
        </w:rPr>
        <w:t>Sistema Municipal para el Desarrollo Integral de la Familia;</w:t>
      </w:r>
    </w:p>
    <w:p w14:paraId="33C95189" w14:textId="77777777" w:rsidR="00ED2F87" w:rsidRPr="007132C0" w:rsidRDefault="00ED2F87" w:rsidP="00ED2F87">
      <w:pPr>
        <w:pStyle w:val="Prrafodelista"/>
        <w:numPr>
          <w:ilvl w:val="0"/>
          <w:numId w:val="9"/>
        </w:numPr>
        <w:ind w:left="1276" w:right="567"/>
        <w:jc w:val="both"/>
        <w:rPr>
          <w:rFonts w:ascii="Palatino Linotype" w:eastAsia="Calibri" w:hAnsi="Palatino Linotype"/>
          <w:i/>
          <w:lang w:val="es-ES_tradnl"/>
        </w:rPr>
      </w:pPr>
      <w:r w:rsidRPr="007132C0">
        <w:rPr>
          <w:rFonts w:ascii="Palatino Linotype" w:eastAsia="Calibri" w:hAnsi="Palatino Linotype"/>
          <w:i/>
          <w:lang w:val="es-ES_tradnl"/>
        </w:rPr>
        <w:t>Organismo Público Descentralizado para la Prestación de los Servicios de Agua Potable, Alcantarillado y Saneamiento;</w:t>
      </w:r>
    </w:p>
    <w:p w14:paraId="4D49D0EE" w14:textId="77777777" w:rsidR="00ED2F87" w:rsidRPr="007132C0" w:rsidRDefault="00ED2F87" w:rsidP="00ED2F87">
      <w:pPr>
        <w:pStyle w:val="Prrafodelista"/>
        <w:numPr>
          <w:ilvl w:val="0"/>
          <w:numId w:val="9"/>
        </w:numPr>
        <w:ind w:left="1276" w:right="567"/>
        <w:jc w:val="both"/>
        <w:rPr>
          <w:rFonts w:ascii="Palatino Linotype" w:eastAsia="Calibri" w:hAnsi="Palatino Linotype"/>
          <w:i/>
          <w:lang w:val="es-ES_tradnl"/>
        </w:rPr>
      </w:pPr>
      <w:r w:rsidRPr="007132C0">
        <w:rPr>
          <w:rFonts w:ascii="Palatino Linotype" w:eastAsia="Calibri" w:hAnsi="Palatino Linotype"/>
          <w:i/>
          <w:lang w:val="es-ES_tradnl"/>
        </w:rPr>
        <w:t>Instituto Municipal de Cultura Física y Deporte de Teoloyucan</w:t>
      </w:r>
    </w:p>
    <w:p w14:paraId="23E12456" w14:textId="77777777" w:rsidR="00ED2F87" w:rsidRPr="008220BE" w:rsidRDefault="00ED2F87" w:rsidP="00ED2F87">
      <w:pPr>
        <w:pStyle w:val="Prrafodelista"/>
        <w:spacing w:line="360" w:lineRule="auto"/>
        <w:ind w:left="720"/>
        <w:jc w:val="both"/>
        <w:rPr>
          <w:rFonts w:ascii="Palatino Linotype" w:hAnsi="Palatino Linotype" w:cs="Arial"/>
        </w:rPr>
      </w:pPr>
    </w:p>
    <w:p w14:paraId="0F3BC3F9"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De ser procedente la versión pública, deberá 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14:paraId="02D9DAF0" w14:textId="77777777" w:rsidR="00ED2F87" w:rsidRDefault="00ED2F87" w:rsidP="00ED2F87">
      <w:pPr>
        <w:spacing w:after="0" w:line="360" w:lineRule="auto"/>
        <w:jc w:val="both"/>
        <w:rPr>
          <w:rFonts w:ascii="Palatino Linotype" w:hAnsi="Palatino Linotype" w:cs="Arial"/>
          <w:sz w:val="24"/>
          <w:szCs w:val="24"/>
        </w:rPr>
      </w:pPr>
    </w:p>
    <w:p w14:paraId="7AB0D47E" w14:textId="77777777" w:rsidR="00ED2F87" w:rsidRDefault="00ED2F87" w:rsidP="00ED2F8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D4E587" w14:textId="77777777" w:rsidR="00ED2F87" w:rsidRPr="00972D15" w:rsidRDefault="00ED2F87" w:rsidP="00ED2F87">
      <w:pPr>
        <w:autoSpaceDE w:val="0"/>
        <w:autoSpaceDN w:val="0"/>
        <w:adjustRightInd w:val="0"/>
        <w:spacing w:after="0" w:line="360" w:lineRule="auto"/>
        <w:ind w:right="49"/>
        <w:jc w:val="both"/>
        <w:rPr>
          <w:rFonts w:ascii="Palatino Linotype" w:hAnsi="Palatino Linotype" w:cs="Arial"/>
          <w:sz w:val="24"/>
          <w:szCs w:val="28"/>
        </w:rPr>
      </w:pPr>
    </w:p>
    <w:p w14:paraId="3E765146" w14:textId="77777777" w:rsidR="00ED2F87" w:rsidRPr="002B46ED" w:rsidRDefault="00ED2F87" w:rsidP="00ED2F8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 SAIMEX</w:t>
      </w:r>
      <w:r w:rsidRPr="002B46ED">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14:paraId="5C18AD30" w14:textId="77777777" w:rsidR="00ED2F87" w:rsidRDefault="00ED2F87" w:rsidP="00ED2F87">
      <w:pPr>
        <w:spacing w:after="0" w:line="360" w:lineRule="auto"/>
        <w:jc w:val="both"/>
        <w:rPr>
          <w:rFonts w:ascii="Palatino Linotype" w:eastAsia="Times New Roman" w:hAnsi="Palatino Linotype" w:cs="Arial"/>
          <w:sz w:val="24"/>
          <w:szCs w:val="24"/>
          <w:lang w:val="es-ES" w:eastAsia="es-ES"/>
        </w:rPr>
      </w:pPr>
    </w:p>
    <w:p w14:paraId="39B90492" w14:textId="62307124" w:rsidR="00ED2F87" w:rsidRDefault="00ED2F87" w:rsidP="00ED2F8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A4212">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TRIGÉSIMA </w:t>
      </w:r>
      <w:r w:rsidRPr="00A9231F">
        <w:rPr>
          <w:rFonts w:ascii="Palatino Linotype" w:hAnsi="Palatino Linotype" w:cs="Arial"/>
          <w:sz w:val="24"/>
          <w:szCs w:val="24"/>
        </w:rPr>
        <w:t xml:space="preserve">SESIÓN ORDINARIA CELEBRADA EL </w:t>
      </w:r>
      <w:r>
        <w:rPr>
          <w:rFonts w:ascii="Palatino Linotype" w:hAnsi="Palatino Linotype" w:cs="Arial"/>
          <w:sz w:val="24"/>
          <w:szCs w:val="24"/>
        </w:rPr>
        <w:t>NUEVE DE DICIEMBRE DE DOS MIL VEINTE, ANTE EL SECRETARIO TÉCNICO DEL PLENO, ALEXIS TAPIA RAMÍREZ. ---------------------------------------------------------------------------------------------------------------------------------------------------------------------------</w:t>
      </w:r>
      <w:r w:rsidR="001A1B97">
        <w:rPr>
          <w:rFonts w:ascii="Palatino Linotype" w:hAnsi="Palatino Linotype" w:cs="Arial"/>
          <w:sz w:val="24"/>
          <w:szCs w:val="24"/>
        </w:rPr>
        <w:t>---------------------------------</w:t>
      </w:r>
      <w:r>
        <w:rPr>
          <w:rFonts w:ascii="Palatino Linotype" w:hAnsi="Palatino Linotype" w:cs="Arial"/>
          <w:sz w:val="24"/>
          <w:szCs w:val="24"/>
        </w:rPr>
        <w:t>-------</w:t>
      </w:r>
    </w:p>
    <w:p w14:paraId="09F131BB"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50D7A80"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1213060"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149D5B4"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8981390"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D33457D"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2FDC5DE"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C9CC06C"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48EC2DA"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3D61A4F" w14:textId="77777777" w:rsidR="00ED2F87" w:rsidRDefault="00ED2F87" w:rsidP="00ED2F8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D2F87" w14:paraId="6D53C87C" w14:textId="77777777" w:rsidTr="00ED7732">
        <w:trPr>
          <w:jc w:val="center"/>
        </w:trPr>
        <w:tc>
          <w:tcPr>
            <w:tcW w:w="9062" w:type="dxa"/>
            <w:gridSpan w:val="2"/>
          </w:tcPr>
          <w:p w14:paraId="57BC1EDE" w14:textId="77777777" w:rsidR="00ED2F87" w:rsidRDefault="00ED2F87" w:rsidP="00ED7732">
            <w:pPr>
              <w:pStyle w:val="Sinespaciado"/>
              <w:jc w:val="center"/>
              <w:rPr>
                <w:rFonts w:ascii="Palatino Linotype" w:hAnsi="Palatino Linotype"/>
                <w:b/>
              </w:rPr>
            </w:pPr>
          </w:p>
          <w:p w14:paraId="66F90024" w14:textId="77777777" w:rsidR="00ED2F87" w:rsidRDefault="00ED2F87" w:rsidP="00ED7732">
            <w:pPr>
              <w:pStyle w:val="Sinespaciado"/>
              <w:jc w:val="center"/>
              <w:rPr>
                <w:rFonts w:ascii="Palatino Linotype" w:hAnsi="Palatino Linotype"/>
                <w:b/>
              </w:rPr>
            </w:pPr>
          </w:p>
          <w:p w14:paraId="79874894" w14:textId="77777777" w:rsidR="00ED2F87" w:rsidRDefault="00ED2F87" w:rsidP="00ED7732">
            <w:pPr>
              <w:pStyle w:val="Sinespaciado"/>
              <w:jc w:val="center"/>
              <w:rPr>
                <w:rFonts w:ascii="Palatino Linotype" w:hAnsi="Palatino Linotype"/>
                <w:b/>
              </w:rPr>
            </w:pPr>
          </w:p>
          <w:p w14:paraId="55F85E5C" w14:textId="77777777" w:rsidR="00ED2F87" w:rsidRDefault="00ED2F87" w:rsidP="00ED7732">
            <w:pPr>
              <w:pStyle w:val="Sinespaciado"/>
              <w:jc w:val="center"/>
              <w:rPr>
                <w:rFonts w:ascii="Palatino Linotype" w:hAnsi="Palatino Linotype"/>
                <w:b/>
              </w:rPr>
            </w:pPr>
          </w:p>
          <w:p w14:paraId="3448CE5B" w14:textId="77777777" w:rsidR="00ED2F87" w:rsidRDefault="00ED2F87" w:rsidP="00ED7732">
            <w:pPr>
              <w:pStyle w:val="Sinespaciado"/>
              <w:jc w:val="center"/>
              <w:rPr>
                <w:rFonts w:ascii="Palatino Linotype" w:hAnsi="Palatino Linotype"/>
                <w:b/>
              </w:rPr>
            </w:pPr>
          </w:p>
          <w:p w14:paraId="68215837" w14:textId="77777777" w:rsidR="00ED2F87" w:rsidRDefault="00ED2F87" w:rsidP="00ED7732">
            <w:pPr>
              <w:pStyle w:val="Sinespaciado"/>
              <w:jc w:val="center"/>
              <w:rPr>
                <w:rFonts w:ascii="Palatino Linotype" w:hAnsi="Palatino Linotype"/>
                <w:b/>
              </w:rPr>
            </w:pPr>
            <w:r>
              <w:rPr>
                <w:rFonts w:ascii="Palatino Linotype" w:hAnsi="Palatino Linotype"/>
                <w:b/>
              </w:rPr>
              <w:t>Zulema Martínez Sánchez</w:t>
            </w:r>
          </w:p>
          <w:p w14:paraId="62422A0B" w14:textId="77777777" w:rsidR="00ED2F87" w:rsidRDefault="00ED2F87" w:rsidP="00ED7732">
            <w:pPr>
              <w:pStyle w:val="Sinespaciado"/>
              <w:jc w:val="center"/>
              <w:rPr>
                <w:rFonts w:ascii="Palatino Linotype" w:hAnsi="Palatino Linotype"/>
              </w:rPr>
            </w:pPr>
            <w:r>
              <w:rPr>
                <w:rFonts w:ascii="Palatino Linotype" w:hAnsi="Palatino Linotype"/>
              </w:rPr>
              <w:t>Comisionada Presidenta</w:t>
            </w:r>
          </w:p>
          <w:p w14:paraId="1F53CFB3" w14:textId="77777777" w:rsidR="00ED2F87" w:rsidRDefault="00ED2F87" w:rsidP="00ED7732">
            <w:pPr>
              <w:pStyle w:val="Sinespaciado"/>
              <w:jc w:val="center"/>
              <w:rPr>
                <w:rFonts w:ascii="Palatino Linotype" w:hAnsi="Palatino Linotype"/>
              </w:rPr>
            </w:pPr>
            <w:r>
              <w:rPr>
                <w:rFonts w:ascii="Palatino Linotype" w:hAnsi="Palatino Linotype"/>
              </w:rPr>
              <w:t>(Rúbrica)</w:t>
            </w:r>
          </w:p>
        </w:tc>
      </w:tr>
      <w:tr w:rsidR="00ED2F87" w14:paraId="27A11E3C" w14:textId="77777777" w:rsidTr="00ED7732">
        <w:trPr>
          <w:jc w:val="center"/>
        </w:trPr>
        <w:tc>
          <w:tcPr>
            <w:tcW w:w="4531" w:type="dxa"/>
          </w:tcPr>
          <w:p w14:paraId="423F41AC" w14:textId="77777777" w:rsidR="00ED2F87" w:rsidRDefault="00ED2F87" w:rsidP="00ED7732">
            <w:pPr>
              <w:pStyle w:val="Sinespaciado"/>
              <w:jc w:val="center"/>
              <w:rPr>
                <w:rFonts w:ascii="Palatino Linotype" w:hAnsi="Palatino Linotype"/>
                <w:b/>
              </w:rPr>
            </w:pPr>
          </w:p>
          <w:p w14:paraId="0FC72A72" w14:textId="77777777" w:rsidR="00ED2F87" w:rsidRDefault="00ED2F87" w:rsidP="00ED7732">
            <w:pPr>
              <w:pStyle w:val="Sinespaciado"/>
              <w:jc w:val="center"/>
              <w:rPr>
                <w:rFonts w:ascii="Palatino Linotype" w:hAnsi="Palatino Linotype"/>
                <w:b/>
              </w:rPr>
            </w:pPr>
          </w:p>
          <w:p w14:paraId="66B40B6A" w14:textId="77777777" w:rsidR="00ED2F87" w:rsidRDefault="00ED2F87" w:rsidP="00ED7732">
            <w:pPr>
              <w:pStyle w:val="Sinespaciado"/>
              <w:jc w:val="center"/>
              <w:rPr>
                <w:rFonts w:ascii="Palatino Linotype" w:hAnsi="Palatino Linotype"/>
                <w:b/>
              </w:rPr>
            </w:pPr>
          </w:p>
          <w:p w14:paraId="2426BD99" w14:textId="77777777" w:rsidR="00ED2F87" w:rsidRDefault="00ED2F87" w:rsidP="00ED7732">
            <w:pPr>
              <w:pStyle w:val="Sinespaciado"/>
              <w:jc w:val="center"/>
              <w:rPr>
                <w:rFonts w:ascii="Palatino Linotype" w:hAnsi="Palatino Linotype"/>
                <w:b/>
              </w:rPr>
            </w:pPr>
          </w:p>
          <w:p w14:paraId="7D44531F" w14:textId="77777777" w:rsidR="00ED2F87" w:rsidRDefault="00ED2F87" w:rsidP="00ED7732">
            <w:pPr>
              <w:pStyle w:val="Sinespaciado"/>
              <w:jc w:val="center"/>
              <w:rPr>
                <w:rFonts w:ascii="Palatino Linotype" w:hAnsi="Palatino Linotype"/>
                <w:b/>
              </w:rPr>
            </w:pPr>
          </w:p>
          <w:p w14:paraId="4135C379" w14:textId="77777777" w:rsidR="00ED2F87" w:rsidRDefault="00ED2F87" w:rsidP="00ED7732">
            <w:pPr>
              <w:pStyle w:val="Sinespaciado"/>
              <w:jc w:val="center"/>
              <w:rPr>
                <w:rFonts w:ascii="Palatino Linotype" w:hAnsi="Palatino Linotype"/>
                <w:b/>
              </w:rPr>
            </w:pPr>
          </w:p>
          <w:p w14:paraId="4698D27F" w14:textId="77777777" w:rsidR="00ED2F87" w:rsidRDefault="00ED2F87" w:rsidP="00ED7732">
            <w:pPr>
              <w:pStyle w:val="Sinespaciado"/>
              <w:jc w:val="center"/>
              <w:rPr>
                <w:rFonts w:ascii="Palatino Linotype" w:hAnsi="Palatino Linotype"/>
                <w:b/>
              </w:rPr>
            </w:pPr>
            <w:r>
              <w:rPr>
                <w:rFonts w:ascii="Palatino Linotype" w:hAnsi="Palatino Linotype"/>
                <w:b/>
              </w:rPr>
              <w:t>Eva Abaid Yapur</w:t>
            </w:r>
          </w:p>
          <w:p w14:paraId="6FD02E4C" w14:textId="77777777" w:rsidR="00ED2F87" w:rsidRDefault="00ED2F87" w:rsidP="00ED7732">
            <w:pPr>
              <w:pStyle w:val="Sinespaciado"/>
              <w:jc w:val="center"/>
              <w:rPr>
                <w:rFonts w:ascii="Palatino Linotype" w:hAnsi="Palatino Linotype"/>
              </w:rPr>
            </w:pPr>
            <w:r>
              <w:rPr>
                <w:rFonts w:ascii="Palatino Linotype" w:hAnsi="Palatino Linotype"/>
              </w:rPr>
              <w:t>Comisionada</w:t>
            </w:r>
          </w:p>
          <w:p w14:paraId="208D037C" w14:textId="77777777" w:rsidR="00ED2F87" w:rsidRDefault="00ED2F87" w:rsidP="00ED7732">
            <w:pPr>
              <w:pStyle w:val="Sinespaciado"/>
              <w:jc w:val="center"/>
              <w:rPr>
                <w:rFonts w:ascii="Palatino Linotype" w:hAnsi="Palatino Linotype"/>
              </w:rPr>
            </w:pPr>
            <w:r>
              <w:rPr>
                <w:rFonts w:ascii="Palatino Linotype" w:hAnsi="Palatino Linotype"/>
              </w:rPr>
              <w:t>(Rúbrica)</w:t>
            </w:r>
          </w:p>
          <w:p w14:paraId="5CCB78D9" w14:textId="77777777" w:rsidR="00ED2F87" w:rsidRDefault="00ED2F87" w:rsidP="00ED7732">
            <w:pPr>
              <w:pStyle w:val="Sinespaciado"/>
              <w:spacing w:line="276" w:lineRule="auto"/>
              <w:jc w:val="center"/>
              <w:rPr>
                <w:rFonts w:ascii="Palatino Linotype" w:hAnsi="Palatino Linotype"/>
              </w:rPr>
            </w:pPr>
          </w:p>
          <w:p w14:paraId="04E7FDA5" w14:textId="77777777" w:rsidR="00ED2F87" w:rsidRDefault="00ED2F87" w:rsidP="00ED7732">
            <w:pPr>
              <w:pStyle w:val="Sinespaciado"/>
              <w:spacing w:line="276" w:lineRule="auto"/>
              <w:jc w:val="center"/>
              <w:rPr>
                <w:rFonts w:ascii="Palatino Linotype" w:hAnsi="Palatino Linotype"/>
              </w:rPr>
            </w:pPr>
          </w:p>
          <w:p w14:paraId="52FA4A21" w14:textId="77777777" w:rsidR="00ED2F87" w:rsidRDefault="00ED2F87" w:rsidP="00ED7732">
            <w:pPr>
              <w:pStyle w:val="Sinespaciado"/>
              <w:spacing w:line="276" w:lineRule="auto"/>
              <w:jc w:val="center"/>
              <w:rPr>
                <w:rFonts w:ascii="Palatino Linotype" w:hAnsi="Palatino Linotype"/>
              </w:rPr>
            </w:pPr>
          </w:p>
          <w:p w14:paraId="66FAADC0" w14:textId="77777777" w:rsidR="00ED2F87" w:rsidRDefault="00ED2F87" w:rsidP="00ED7732">
            <w:pPr>
              <w:pStyle w:val="Sinespaciado"/>
              <w:spacing w:line="276" w:lineRule="auto"/>
              <w:jc w:val="center"/>
              <w:rPr>
                <w:rFonts w:ascii="Palatino Linotype" w:hAnsi="Palatino Linotype"/>
              </w:rPr>
            </w:pPr>
          </w:p>
          <w:p w14:paraId="39E88FD1" w14:textId="77777777" w:rsidR="00ED2F87" w:rsidRDefault="00ED2F87" w:rsidP="00ED7732">
            <w:pPr>
              <w:pStyle w:val="Sinespaciado"/>
              <w:spacing w:line="276" w:lineRule="auto"/>
              <w:jc w:val="center"/>
              <w:rPr>
                <w:rFonts w:ascii="Palatino Linotype" w:hAnsi="Palatino Linotype"/>
              </w:rPr>
            </w:pPr>
          </w:p>
          <w:p w14:paraId="29E22270" w14:textId="77777777" w:rsidR="00ED2F87" w:rsidRDefault="00ED2F87" w:rsidP="00ED7732">
            <w:pPr>
              <w:pStyle w:val="Sinespaciado"/>
              <w:spacing w:line="276" w:lineRule="auto"/>
              <w:jc w:val="center"/>
              <w:rPr>
                <w:rFonts w:ascii="Palatino Linotype" w:hAnsi="Palatino Linotype"/>
              </w:rPr>
            </w:pPr>
          </w:p>
          <w:p w14:paraId="634FF089" w14:textId="77777777" w:rsidR="00ED2F87" w:rsidRDefault="00ED2F87" w:rsidP="00ED7732">
            <w:pPr>
              <w:pStyle w:val="Sinespaciado"/>
              <w:spacing w:line="276" w:lineRule="auto"/>
              <w:jc w:val="center"/>
              <w:rPr>
                <w:rFonts w:ascii="Palatino Linotype" w:hAnsi="Palatino Linotype"/>
                <w:b/>
              </w:rPr>
            </w:pPr>
            <w:r>
              <w:rPr>
                <w:rFonts w:ascii="Palatino Linotype" w:hAnsi="Palatino Linotype"/>
                <w:b/>
              </w:rPr>
              <w:t>Javier Martínez Cruz</w:t>
            </w:r>
          </w:p>
          <w:p w14:paraId="0CCBAD69" w14:textId="77777777" w:rsidR="00ED2F87" w:rsidRDefault="00ED2F87" w:rsidP="00ED7732">
            <w:pPr>
              <w:pStyle w:val="Sinespaciado"/>
              <w:spacing w:line="276" w:lineRule="auto"/>
              <w:jc w:val="center"/>
              <w:rPr>
                <w:rFonts w:ascii="Palatino Linotype" w:hAnsi="Palatino Linotype"/>
              </w:rPr>
            </w:pPr>
            <w:r>
              <w:rPr>
                <w:rFonts w:ascii="Palatino Linotype" w:hAnsi="Palatino Linotype"/>
              </w:rPr>
              <w:t>Comisionado</w:t>
            </w:r>
          </w:p>
          <w:p w14:paraId="7CC84F5C" w14:textId="77777777" w:rsidR="00ED2F87" w:rsidRDefault="00ED2F87" w:rsidP="00ED7732">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14:paraId="2B9981CC" w14:textId="77777777" w:rsidR="00ED2F87" w:rsidRDefault="00ED2F87" w:rsidP="00ED7732">
            <w:pPr>
              <w:pStyle w:val="Sinespaciado"/>
              <w:jc w:val="center"/>
              <w:rPr>
                <w:rFonts w:ascii="Palatino Linotype" w:hAnsi="Palatino Linotype"/>
                <w:b/>
              </w:rPr>
            </w:pPr>
          </w:p>
          <w:p w14:paraId="3B152EE0" w14:textId="77777777" w:rsidR="00ED2F87" w:rsidRDefault="00ED2F87" w:rsidP="00ED7732">
            <w:pPr>
              <w:pStyle w:val="Sinespaciado"/>
              <w:jc w:val="center"/>
              <w:rPr>
                <w:rFonts w:ascii="Palatino Linotype" w:hAnsi="Palatino Linotype"/>
                <w:b/>
              </w:rPr>
            </w:pPr>
          </w:p>
          <w:p w14:paraId="36B410F5" w14:textId="77777777" w:rsidR="00ED2F87" w:rsidRDefault="00ED2F87" w:rsidP="00ED7732">
            <w:pPr>
              <w:pStyle w:val="Sinespaciado"/>
              <w:jc w:val="center"/>
              <w:rPr>
                <w:rFonts w:ascii="Palatino Linotype" w:hAnsi="Palatino Linotype"/>
                <w:b/>
              </w:rPr>
            </w:pPr>
          </w:p>
          <w:p w14:paraId="34FB48B8" w14:textId="77777777" w:rsidR="00ED2F87" w:rsidRDefault="00ED2F87" w:rsidP="00ED7732">
            <w:pPr>
              <w:pStyle w:val="Sinespaciado"/>
              <w:jc w:val="center"/>
              <w:rPr>
                <w:rFonts w:ascii="Palatino Linotype" w:hAnsi="Palatino Linotype"/>
                <w:b/>
              </w:rPr>
            </w:pPr>
          </w:p>
          <w:p w14:paraId="272179C9" w14:textId="77777777" w:rsidR="00ED2F87" w:rsidRDefault="00ED2F87" w:rsidP="00ED7732">
            <w:pPr>
              <w:pStyle w:val="Sinespaciado"/>
              <w:jc w:val="center"/>
              <w:rPr>
                <w:rFonts w:ascii="Palatino Linotype" w:hAnsi="Palatino Linotype"/>
                <w:b/>
              </w:rPr>
            </w:pPr>
          </w:p>
          <w:p w14:paraId="4A49DDAC" w14:textId="77777777" w:rsidR="00ED2F87" w:rsidRDefault="00ED2F87" w:rsidP="00ED7732">
            <w:pPr>
              <w:pStyle w:val="Sinespaciado"/>
              <w:jc w:val="center"/>
              <w:rPr>
                <w:rFonts w:ascii="Palatino Linotype" w:hAnsi="Palatino Linotype"/>
                <w:b/>
              </w:rPr>
            </w:pPr>
          </w:p>
          <w:p w14:paraId="0EC9FE88" w14:textId="77777777" w:rsidR="00ED2F87" w:rsidRDefault="00ED2F87" w:rsidP="00ED7732">
            <w:pPr>
              <w:pStyle w:val="Sinespaciado"/>
              <w:jc w:val="center"/>
              <w:rPr>
                <w:rFonts w:ascii="Palatino Linotype" w:hAnsi="Palatino Linotype"/>
                <w:b/>
              </w:rPr>
            </w:pPr>
            <w:r>
              <w:rPr>
                <w:rFonts w:ascii="Palatino Linotype" w:hAnsi="Palatino Linotype"/>
                <w:b/>
              </w:rPr>
              <w:t>José Guadalupe Luna Hernández</w:t>
            </w:r>
          </w:p>
          <w:p w14:paraId="76366239" w14:textId="77777777" w:rsidR="00ED2F87" w:rsidRDefault="00ED2F87" w:rsidP="00ED7732">
            <w:pPr>
              <w:pStyle w:val="Sinespaciado"/>
              <w:jc w:val="center"/>
              <w:rPr>
                <w:rFonts w:ascii="Palatino Linotype" w:hAnsi="Palatino Linotype"/>
              </w:rPr>
            </w:pPr>
            <w:r>
              <w:rPr>
                <w:rFonts w:ascii="Palatino Linotype" w:hAnsi="Palatino Linotype"/>
              </w:rPr>
              <w:t>Comisionado</w:t>
            </w:r>
          </w:p>
          <w:p w14:paraId="1F63151A" w14:textId="77777777" w:rsidR="00ED2F87" w:rsidRDefault="00ED2F87" w:rsidP="00ED7732">
            <w:pPr>
              <w:pStyle w:val="Sinespaciado"/>
              <w:jc w:val="center"/>
              <w:rPr>
                <w:rFonts w:ascii="Palatino Linotype" w:hAnsi="Palatino Linotype"/>
              </w:rPr>
            </w:pPr>
            <w:r>
              <w:rPr>
                <w:rFonts w:ascii="Palatino Linotype" w:hAnsi="Palatino Linotype"/>
              </w:rPr>
              <w:t>(Rúbrica)</w:t>
            </w:r>
          </w:p>
          <w:p w14:paraId="372D4B9B" w14:textId="77777777" w:rsidR="00ED2F87" w:rsidRDefault="00ED2F87" w:rsidP="00ED7732">
            <w:pPr>
              <w:pStyle w:val="Sinespaciado"/>
              <w:jc w:val="center"/>
              <w:rPr>
                <w:rFonts w:ascii="Palatino Linotype" w:hAnsi="Palatino Linotype"/>
              </w:rPr>
            </w:pPr>
          </w:p>
          <w:p w14:paraId="5FBA45E2" w14:textId="77777777" w:rsidR="00ED2F87" w:rsidRDefault="00ED2F87" w:rsidP="00ED7732">
            <w:pPr>
              <w:pStyle w:val="Sinespaciado"/>
              <w:jc w:val="center"/>
              <w:rPr>
                <w:rFonts w:ascii="Palatino Linotype" w:hAnsi="Palatino Linotype"/>
              </w:rPr>
            </w:pPr>
          </w:p>
          <w:p w14:paraId="0817E15F" w14:textId="77777777" w:rsidR="00ED2F87" w:rsidRDefault="00ED2F87" w:rsidP="00ED7732">
            <w:pPr>
              <w:pStyle w:val="Sinespaciado"/>
              <w:jc w:val="center"/>
              <w:rPr>
                <w:rFonts w:ascii="Palatino Linotype" w:hAnsi="Palatino Linotype"/>
              </w:rPr>
            </w:pPr>
          </w:p>
          <w:p w14:paraId="172DAD11" w14:textId="77777777" w:rsidR="00ED2F87" w:rsidRDefault="00ED2F87" w:rsidP="00ED7732">
            <w:pPr>
              <w:pStyle w:val="Sinespaciado"/>
              <w:jc w:val="center"/>
              <w:rPr>
                <w:rFonts w:ascii="Palatino Linotype" w:hAnsi="Palatino Linotype"/>
              </w:rPr>
            </w:pPr>
          </w:p>
          <w:p w14:paraId="4E551774" w14:textId="77777777" w:rsidR="00ED2F87" w:rsidRDefault="00ED2F87" w:rsidP="00ED7732">
            <w:pPr>
              <w:pStyle w:val="Sinespaciado"/>
              <w:jc w:val="center"/>
              <w:rPr>
                <w:rFonts w:ascii="Palatino Linotype" w:hAnsi="Palatino Linotype"/>
              </w:rPr>
            </w:pPr>
          </w:p>
          <w:p w14:paraId="31719269" w14:textId="77777777" w:rsidR="00ED2F87" w:rsidRDefault="00ED2F87" w:rsidP="00ED7732">
            <w:pPr>
              <w:pStyle w:val="Sinespaciado"/>
              <w:jc w:val="center"/>
              <w:rPr>
                <w:rFonts w:ascii="Palatino Linotype" w:hAnsi="Palatino Linotype"/>
              </w:rPr>
            </w:pPr>
          </w:p>
          <w:p w14:paraId="6D0A94BE" w14:textId="77777777" w:rsidR="00ED2F87" w:rsidRDefault="00ED2F87" w:rsidP="00ED7732">
            <w:pPr>
              <w:pStyle w:val="Sinespaciado"/>
              <w:jc w:val="center"/>
              <w:rPr>
                <w:rFonts w:ascii="Palatino Linotype" w:hAnsi="Palatino Linotype"/>
              </w:rPr>
            </w:pPr>
          </w:p>
          <w:p w14:paraId="49F92B9E" w14:textId="77777777" w:rsidR="00ED2F87" w:rsidRDefault="00ED2F87" w:rsidP="00ED7732">
            <w:pPr>
              <w:pStyle w:val="Sinespaciado"/>
              <w:spacing w:line="276" w:lineRule="auto"/>
              <w:jc w:val="center"/>
              <w:rPr>
                <w:rFonts w:ascii="Palatino Linotype" w:hAnsi="Palatino Linotype"/>
                <w:b/>
              </w:rPr>
            </w:pPr>
            <w:r>
              <w:rPr>
                <w:rFonts w:ascii="Palatino Linotype" w:hAnsi="Palatino Linotype"/>
                <w:b/>
              </w:rPr>
              <w:t>Luis Gustavo Parra Noriega</w:t>
            </w:r>
          </w:p>
          <w:p w14:paraId="563DA4DC" w14:textId="77777777" w:rsidR="00DA4212" w:rsidRDefault="00ED2F87" w:rsidP="00ED7732">
            <w:pPr>
              <w:pStyle w:val="Sinespaciado"/>
              <w:spacing w:line="276" w:lineRule="auto"/>
              <w:jc w:val="center"/>
              <w:rPr>
                <w:rFonts w:ascii="Palatino Linotype" w:hAnsi="Palatino Linotype"/>
              </w:rPr>
            </w:pPr>
            <w:r>
              <w:rPr>
                <w:rFonts w:ascii="Palatino Linotype" w:hAnsi="Palatino Linotype"/>
              </w:rPr>
              <w:t xml:space="preserve">Comisionado </w:t>
            </w:r>
          </w:p>
          <w:p w14:paraId="025C3D1C" w14:textId="2E45FC3B" w:rsidR="00ED2F87" w:rsidRDefault="00DA4212" w:rsidP="00DA4212">
            <w:pPr>
              <w:pStyle w:val="Sinespaciado"/>
              <w:spacing w:line="276" w:lineRule="auto"/>
              <w:jc w:val="center"/>
              <w:rPr>
                <w:rFonts w:ascii="Palatino Linotype" w:hAnsi="Palatino Linotype"/>
              </w:rPr>
            </w:pPr>
            <w:r>
              <w:rPr>
                <w:rFonts w:ascii="Palatino Linotype" w:hAnsi="Palatino Linotype"/>
              </w:rPr>
              <w:t>(Rúbrica)</w:t>
            </w:r>
          </w:p>
        </w:tc>
      </w:tr>
      <w:tr w:rsidR="00ED2F87" w14:paraId="6FBB3CBE" w14:textId="77777777" w:rsidTr="00ED7732">
        <w:trPr>
          <w:jc w:val="center"/>
        </w:trPr>
        <w:tc>
          <w:tcPr>
            <w:tcW w:w="9062" w:type="dxa"/>
            <w:gridSpan w:val="2"/>
          </w:tcPr>
          <w:p w14:paraId="6B11AD14" w14:textId="77777777" w:rsidR="00ED2F87" w:rsidRDefault="00ED2F87" w:rsidP="00ED7732">
            <w:pPr>
              <w:pStyle w:val="Sinespaciado"/>
              <w:jc w:val="center"/>
              <w:rPr>
                <w:rFonts w:ascii="Palatino Linotype" w:hAnsi="Palatino Linotype"/>
                <w:b/>
              </w:rPr>
            </w:pPr>
          </w:p>
          <w:p w14:paraId="2029BB79" w14:textId="77777777" w:rsidR="00ED2F87" w:rsidRDefault="00ED2F87" w:rsidP="00ED7732">
            <w:pPr>
              <w:pStyle w:val="Sinespaciado"/>
              <w:jc w:val="center"/>
              <w:rPr>
                <w:rFonts w:ascii="Palatino Linotype" w:hAnsi="Palatino Linotype"/>
                <w:b/>
              </w:rPr>
            </w:pPr>
          </w:p>
          <w:p w14:paraId="7C09D750" w14:textId="77777777" w:rsidR="00ED2F87" w:rsidRDefault="00ED2F87" w:rsidP="00ED7732">
            <w:pPr>
              <w:pStyle w:val="Sinespaciado"/>
              <w:jc w:val="center"/>
              <w:rPr>
                <w:rFonts w:ascii="Palatino Linotype" w:hAnsi="Palatino Linotype"/>
                <w:b/>
              </w:rPr>
            </w:pPr>
          </w:p>
          <w:p w14:paraId="20960768" w14:textId="77777777" w:rsidR="00ED2F87" w:rsidRDefault="00ED2F87" w:rsidP="00ED7732">
            <w:pPr>
              <w:pStyle w:val="Sinespaciado"/>
              <w:jc w:val="center"/>
              <w:rPr>
                <w:rFonts w:ascii="Palatino Linotype" w:hAnsi="Palatino Linotype"/>
                <w:b/>
              </w:rPr>
            </w:pPr>
          </w:p>
          <w:p w14:paraId="36A6F7A0" w14:textId="77777777" w:rsidR="00ED2F87" w:rsidRDefault="00ED2F87" w:rsidP="00ED7732">
            <w:pPr>
              <w:pStyle w:val="Sinespaciado"/>
              <w:jc w:val="center"/>
              <w:rPr>
                <w:rFonts w:ascii="Palatino Linotype" w:hAnsi="Palatino Linotype"/>
                <w:b/>
              </w:rPr>
            </w:pPr>
          </w:p>
          <w:p w14:paraId="3E767C9B" w14:textId="77777777" w:rsidR="00ED2F87" w:rsidRDefault="00ED2F87" w:rsidP="00ED7732">
            <w:pPr>
              <w:pStyle w:val="Sinespaciado"/>
              <w:jc w:val="center"/>
              <w:rPr>
                <w:rFonts w:ascii="Palatino Linotype" w:hAnsi="Palatino Linotype"/>
                <w:b/>
              </w:rPr>
            </w:pPr>
            <w:r>
              <w:rPr>
                <w:rFonts w:ascii="Palatino Linotype" w:hAnsi="Palatino Linotype"/>
                <w:b/>
              </w:rPr>
              <w:t>Alexis Tapia Ramírez</w:t>
            </w:r>
          </w:p>
          <w:p w14:paraId="62972B16" w14:textId="77777777" w:rsidR="00ED2F87" w:rsidRDefault="00ED2F87" w:rsidP="00ED7732">
            <w:pPr>
              <w:pStyle w:val="Sinespaciado"/>
              <w:jc w:val="center"/>
              <w:rPr>
                <w:rFonts w:ascii="Palatino Linotype" w:hAnsi="Palatino Linotype"/>
              </w:rPr>
            </w:pPr>
            <w:r>
              <w:rPr>
                <w:rFonts w:ascii="Palatino Linotype" w:hAnsi="Palatino Linotype"/>
              </w:rPr>
              <w:t>Secretario Técnico del Pleno</w:t>
            </w:r>
          </w:p>
          <w:p w14:paraId="5C5CD098" w14:textId="77777777" w:rsidR="00ED2F87" w:rsidRPr="00B52ED2" w:rsidRDefault="00ED2F87" w:rsidP="00ED7732">
            <w:pPr>
              <w:pStyle w:val="Sinespaciado"/>
              <w:jc w:val="center"/>
              <w:rPr>
                <w:rFonts w:ascii="Palatino Linotype" w:hAnsi="Palatino Linotype"/>
              </w:rPr>
            </w:pPr>
            <w:r>
              <w:rPr>
                <w:rFonts w:ascii="Palatino Linotype" w:hAnsi="Palatino Linotype"/>
              </w:rPr>
              <w:t>(Rúbrica)</w:t>
            </w:r>
          </w:p>
        </w:tc>
      </w:tr>
    </w:tbl>
    <w:p w14:paraId="7D1649F1" w14:textId="77777777" w:rsidR="00ED2F87" w:rsidRPr="00B36966" w:rsidRDefault="00ED2F87" w:rsidP="00ED2F87">
      <w:pPr>
        <w:spacing w:after="0" w:line="240" w:lineRule="auto"/>
        <w:jc w:val="both"/>
        <w:rPr>
          <w:rFonts w:ascii="Palatino Linotype" w:hAnsi="Palatino Linotype" w:cs="Arial"/>
          <w:sz w:val="2"/>
          <w:szCs w:val="20"/>
        </w:rPr>
      </w:pPr>
    </w:p>
    <w:p w14:paraId="5B1FABBE" w14:textId="77777777" w:rsidR="00ED2F87" w:rsidRPr="0055560B" w:rsidRDefault="00ED2F87" w:rsidP="00ED2F87">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nueve de diciembre </w:t>
      </w:r>
      <w:r w:rsidRPr="00A9231F">
        <w:rPr>
          <w:rFonts w:ascii="Palatino Linotype" w:hAnsi="Palatino Linotype" w:cs="Arial"/>
          <w:sz w:val="16"/>
          <w:szCs w:val="18"/>
        </w:rPr>
        <w:t>de dos mil veinte</w:t>
      </w:r>
      <w:r>
        <w:rPr>
          <w:rFonts w:ascii="Palatino Linotype" w:hAnsi="Palatino Linotype" w:cs="Arial"/>
          <w:sz w:val="16"/>
          <w:szCs w:val="18"/>
        </w:rPr>
        <w:t xml:space="preserv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4640/INFOEM/IP/RR/2020.</w:t>
      </w:r>
    </w:p>
    <w:p w14:paraId="690C8857" w14:textId="77777777" w:rsidR="00EF5006" w:rsidRDefault="00ED2F87" w:rsidP="00ED2F87">
      <w:pPr>
        <w:spacing w:after="0"/>
      </w:pPr>
      <w:r w:rsidRPr="0055560B">
        <w:rPr>
          <w:rFonts w:ascii="Palatino Linotype" w:hAnsi="Palatino Linotype"/>
          <w:sz w:val="16"/>
          <w:szCs w:val="18"/>
        </w:rPr>
        <w:t>OSAM/HAP</w:t>
      </w:r>
    </w:p>
    <w:sectPr w:rsidR="00EF5006" w:rsidSect="00C75793">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198E" w14:textId="77777777" w:rsidR="0051698E" w:rsidRDefault="0051698E" w:rsidP="00ED2F87">
      <w:pPr>
        <w:spacing w:after="0" w:line="240" w:lineRule="auto"/>
      </w:pPr>
      <w:r>
        <w:separator/>
      </w:r>
    </w:p>
  </w:endnote>
  <w:endnote w:type="continuationSeparator" w:id="0">
    <w:p w14:paraId="7C8B8800" w14:textId="77777777" w:rsidR="0051698E" w:rsidRDefault="0051698E" w:rsidP="00ED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BB3F3D7" w14:textId="77777777" w:rsidR="007132C0" w:rsidRPr="002D6DD8" w:rsidRDefault="00B1038F" w:rsidP="00C757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6209">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86209">
              <w:rPr>
                <w:rFonts w:ascii="Palatino Linotype" w:hAnsi="Palatino Linotype"/>
                <w:bCs/>
                <w:noProof/>
                <w:sz w:val="20"/>
              </w:rPr>
              <w:t>46</w:t>
            </w:r>
            <w:r>
              <w:rPr>
                <w:rFonts w:ascii="Palatino Linotype" w:hAnsi="Palatino Linotype"/>
                <w:bCs/>
                <w:noProof/>
                <w:sz w:val="20"/>
              </w:rPr>
              <w:fldChar w:fldCharType="end"/>
            </w:r>
          </w:p>
        </w:sdtContent>
      </w:sdt>
    </w:sdtContent>
  </w:sdt>
  <w:p w14:paraId="619E51D3" w14:textId="77777777" w:rsidR="007132C0" w:rsidRDefault="005169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BF350" w14:textId="77777777" w:rsidR="007132C0" w:rsidRPr="000B69FA" w:rsidRDefault="00B1038F" w:rsidP="00C7579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62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86209">
      <w:rPr>
        <w:rFonts w:ascii="Palatino Linotype" w:hAnsi="Palatino Linotype"/>
        <w:bCs/>
        <w:noProof/>
        <w:sz w:val="20"/>
      </w:rPr>
      <w:t>46</w:t>
    </w:r>
    <w:r>
      <w:rPr>
        <w:rFonts w:ascii="Palatino Linotype" w:hAnsi="Palatino Linotype"/>
        <w:bCs/>
        <w:noProof/>
        <w:sz w:val="20"/>
      </w:rPr>
      <w:fldChar w:fldCharType="end"/>
    </w:r>
  </w:p>
  <w:p w14:paraId="24722C37" w14:textId="77777777" w:rsidR="007132C0" w:rsidRDefault="005169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3EC78" w14:textId="77777777" w:rsidR="0051698E" w:rsidRDefault="0051698E" w:rsidP="00ED2F87">
      <w:pPr>
        <w:spacing w:after="0" w:line="240" w:lineRule="auto"/>
      </w:pPr>
      <w:r>
        <w:separator/>
      </w:r>
    </w:p>
  </w:footnote>
  <w:footnote w:type="continuationSeparator" w:id="0">
    <w:p w14:paraId="34E46A83" w14:textId="77777777" w:rsidR="0051698E" w:rsidRDefault="0051698E" w:rsidP="00ED2F87">
      <w:pPr>
        <w:spacing w:after="0" w:line="240" w:lineRule="auto"/>
      </w:pPr>
      <w:r>
        <w:continuationSeparator/>
      </w:r>
    </w:p>
  </w:footnote>
  <w:footnote w:id="1">
    <w:p w14:paraId="758E871E" w14:textId="77777777" w:rsidR="00ED2F87" w:rsidRPr="00B549BB" w:rsidRDefault="00ED2F87" w:rsidP="00ED2F87">
      <w:pPr>
        <w:pStyle w:val="Textonotapie"/>
        <w:jc w:val="both"/>
        <w:rPr>
          <w:rFonts w:ascii="Palatino Linotype" w:hAnsi="Palatino Linotype"/>
          <w:i/>
        </w:rPr>
      </w:pPr>
      <w:r>
        <w:rPr>
          <w:rStyle w:val="Refdenotaalpie"/>
        </w:rPr>
        <w:footnoteRef/>
      </w:r>
      <w:r>
        <w:t xml:space="preserve"> </w:t>
      </w:r>
      <w:r w:rsidRPr="00B549BB">
        <w:rPr>
          <w:rFonts w:ascii="Palatino Linotype" w:hAnsi="Palatino Linotype" w:cs="Arial"/>
          <w:b/>
          <w:bCs/>
          <w:i/>
          <w:color w:val="202122"/>
          <w:shd w:val="clear" w:color="auto" w:fill="FFFFFF"/>
        </w:rPr>
        <w:t>PDF</w:t>
      </w:r>
      <w:r>
        <w:rPr>
          <w:rFonts w:ascii="Palatino Linotype" w:hAnsi="Palatino Linotype" w:cs="Arial"/>
          <w:i/>
          <w:color w:val="202122"/>
          <w:shd w:val="clear" w:color="auto" w:fill="FFFFFF"/>
        </w:rPr>
        <w:t xml:space="preserve"> </w:t>
      </w:r>
      <w:r w:rsidRPr="00B549BB">
        <w:rPr>
          <w:rFonts w:ascii="Palatino Linotype" w:hAnsi="Palatino Linotype" w:cs="Arial"/>
          <w:i/>
          <w:color w:val="202122"/>
          <w:shd w:val="clear" w:color="auto" w:fill="FFFFFF"/>
        </w:rPr>
        <w:t>(</w:t>
      </w:r>
      <w:hyperlink r:id="rId1" w:tooltip="Sigla" w:history="1">
        <w:r w:rsidRPr="00B549BB">
          <w:rPr>
            <w:rStyle w:val="Hipervnculo"/>
            <w:rFonts w:ascii="Palatino Linotype" w:hAnsi="Palatino Linotype" w:cs="Arial"/>
            <w:i/>
            <w:color w:val="0B0080"/>
            <w:shd w:val="clear" w:color="auto" w:fill="FFFFFF"/>
          </w:rPr>
          <w:t>siglas</w:t>
        </w:r>
      </w:hyperlink>
      <w:r>
        <w:rPr>
          <w:rFonts w:ascii="Palatino Linotype" w:hAnsi="Palatino Linotype"/>
          <w:i/>
        </w:rPr>
        <w:t xml:space="preserve"> </w:t>
      </w:r>
      <w:r w:rsidRPr="00B549BB">
        <w:rPr>
          <w:rFonts w:ascii="Palatino Linotype" w:hAnsi="Palatino Linotype" w:cs="Arial"/>
          <w:i/>
          <w:color w:val="202122"/>
          <w:shd w:val="clear" w:color="auto" w:fill="FFFFFF"/>
        </w:rPr>
        <w:t>en</w:t>
      </w:r>
      <w:r>
        <w:rPr>
          <w:rFonts w:ascii="Palatino Linotype" w:hAnsi="Palatino Linotype" w:cs="Arial"/>
          <w:i/>
          <w:color w:val="202122"/>
          <w:shd w:val="clear" w:color="auto" w:fill="FFFFFF"/>
        </w:rPr>
        <w:t xml:space="preserve"> </w:t>
      </w:r>
      <w:hyperlink r:id="rId2" w:tooltip="Idioma inglés" w:history="1">
        <w:r w:rsidRPr="00B549BB">
          <w:rPr>
            <w:rStyle w:val="Hipervnculo"/>
            <w:rFonts w:ascii="Palatino Linotype" w:hAnsi="Palatino Linotype" w:cs="Arial"/>
            <w:i/>
            <w:color w:val="0B0080"/>
            <w:shd w:val="clear" w:color="auto" w:fill="FFFFFF"/>
          </w:rPr>
          <w:t>inglés</w:t>
        </w:r>
      </w:hyperlink>
      <w:r>
        <w:rPr>
          <w:rFonts w:ascii="Palatino Linotype" w:hAnsi="Palatino Linotype"/>
          <w:i/>
        </w:rPr>
        <w:t xml:space="preserve"> </w:t>
      </w:r>
      <w:r w:rsidRPr="00B549BB">
        <w:rPr>
          <w:rFonts w:ascii="Palatino Linotype" w:hAnsi="Palatino Linotype" w:cs="Arial"/>
          <w:i/>
          <w:color w:val="202122"/>
          <w:shd w:val="clear" w:color="auto" w:fill="FFFFFF"/>
        </w:rPr>
        <w:t>de</w:t>
      </w:r>
      <w:r>
        <w:rPr>
          <w:rFonts w:ascii="Palatino Linotype" w:hAnsi="Palatino Linotype" w:cs="Arial"/>
          <w:i/>
          <w:color w:val="202122"/>
          <w:shd w:val="clear" w:color="auto" w:fill="FFFFFF"/>
        </w:rPr>
        <w:t xml:space="preserve"> </w:t>
      </w:r>
      <w:r w:rsidRPr="00B549BB">
        <w:rPr>
          <w:rFonts w:ascii="Palatino Linotype" w:hAnsi="Palatino Linotype" w:cs="Arial"/>
          <w:i/>
          <w:iCs/>
          <w:color w:val="202122"/>
          <w:shd w:val="clear" w:color="auto" w:fill="FFFFFF"/>
        </w:rPr>
        <w:t xml:space="preserve">Portable </w:t>
      </w:r>
      <w:proofErr w:type="spellStart"/>
      <w:r w:rsidRPr="00B549BB">
        <w:rPr>
          <w:rFonts w:ascii="Palatino Linotype" w:hAnsi="Palatino Linotype" w:cs="Arial"/>
          <w:i/>
          <w:iCs/>
          <w:color w:val="202122"/>
          <w:shd w:val="clear" w:color="auto" w:fill="FFFFFF"/>
        </w:rPr>
        <w:t>Document</w:t>
      </w:r>
      <w:proofErr w:type="spellEnd"/>
      <w:r w:rsidRPr="00B549BB">
        <w:rPr>
          <w:rFonts w:ascii="Palatino Linotype" w:hAnsi="Palatino Linotype" w:cs="Arial"/>
          <w:i/>
          <w:iCs/>
          <w:color w:val="202122"/>
          <w:shd w:val="clear" w:color="auto" w:fill="FFFFFF"/>
        </w:rPr>
        <w:t xml:space="preserve"> </w:t>
      </w:r>
      <w:proofErr w:type="spellStart"/>
      <w:r w:rsidRPr="00B549BB">
        <w:rPr>
          <w:rFonts w:ascii="Palatino Linotype" w:hAnsi="Palatino Linotype" w:cs="Arial"/>
          <w:i/>
          <w:iCs/>
          <w:color w:val="202122"/>
          <w:shd w:val="clear" w:color="auto" w:fill="FFFFFF"/>
        </w:rPr>
        <w:t>Format</w:t>
      </w:r>
      <w:proofErr w:type="spellEnd"/>
      <w:r w:rsidRPr="00B549BB">
        <w:rPr>
          <w:rFonts w:ascii="Palatino Linotype" w:hAnsi="Palatino Linotype" w:cs="Arial"/>
          <w:i/>
          <w:color w:val="202122"/>
          <w:shd w:val="clear" w:color="auto" w:fill="FFFFFF"/>
        </w:rPr>
        <w:t>, «formato de documento portátil») es un</w:t>
      </w:r>
      <w:r>
        <w:rPr>
          <w:rFonts w:ascii="Palatino Linotype" w:hAnsi="Palatino Linotype" w:cs="Arial"/>
          <w:i/>
          <w:color w:val="202122"/>
          <w:shd w:val="clear" w:color="auto" w:fill="FFFFFF"/>
        </w:rPr>
        <w:t xml:space="preserve"> </w:t>
      </w:r>
      <w:hyperlink r:id="rId3" w:tooltip="Formato de almacenamiento" w:history="1">
        <w:r w:rsidRPr="00B549BB">
          <w:rPr>
            <w:rStyle w:val="Hipervnculo"/>
            <w:rFonts w:ascii="Palatino Linotype" w:hAnsi="Palatino Linotype" w:cs="Arial"/>
            <w:i/>
            <w:color w:val="0B0080"/>
            <w:shd w:val="clear" w:color="auto" w:fill="FFFFFF"/>
          </w:rPr>
          <w:t>formato de almacenamiento</w:t>
        </w:r>
      </w:hyperlink>
      <w:r>
        <w:rPr>
          <w:rFonts w:ascii="Palatino Linotype" w:hAnsi="Palatino Linotype" w:cs="Arial"/>
          <w:i/>
          <w:color w:val="202122"/>
          <w:shd w:val="clear" w:color="auto" w:fill="FFFFFF"/>
        </w:rPr>
        <w:t xml:space="preserve"> </w:t>
      </w:r>
      <w:r w:rsidRPr="00B549BB">
        <w:rPr>
          <w:rFonts w:ascii="Palatino Linotype" w:hAnsi="Palatino Linotype" w:cs="Arial"/>
          <w:i/>
          <w:color w:val="202122"/>
          <w:shd w:val="clear" w:color="auto" w:fill="FFFFFF"/>
        </w:rPr>
        <w:t>para documentos digitales independiente de plataformas de</w:t>
      </w:r>
      <w:r>
        <w:rPr>
          <w:rFonts w:ascii="Palatino Linotype" w:hAnsi="Palatino Linotype" w:cs="Arial"/>
          <w:i/>
          <w:color w:val="202122"/>
          <w:shd w:val="clear" w:color="auto" w:fill="FFFFFF"/>
        </w:rPr>
        <w:t xml:space="preserve"> </w:t>
      </w:r>
      <w:hyperlink r:id="rId4" w:tooltip="Software" w:history="1">
        <w:r w:rsidRPr="00B549BB">
          <w:rPr>
            <w:rStyle w:val="Hipervnculo"/>
            <w:rFonts w:ascii="Palatino Linotype" w:hAnsi="Palatino Linotype" w:cs="Arial"/>
            <w:i/>
            <w:color w:val="0B0080"/>
            <w:shd w:val="clear" w:color="auto" w:fill="FFFFFF"/>
          </w:rPr>
          <w:t>software</w:t>
        </w:r>
      </w:hyperlink>
      <w:r>
        <w:rPr>
          <w:rFonts w:ascii="Palatino Linotype" w:hAnsi="Palatino Linotype"/>
          <w:i/>
        </w:rPr>
        <w:t xml:space="preserve"> </w:t>
      </w:r>
      <w:r w:rsidRPr="00B549BB">
        <w:rPr>
          <w:rFonts w:ascii="Palatino Linotype" w:hAnsi="Palatino Linotype" w:cs="Arial"/>
          <w:i/>
          <w:color w:val="202122"/>
          <w:shd w:val="clear" w:color="auto" w:fill="FFFFFF"/>
        </w:rPr>
        <w:t>o</w:t>
      </w:r>
      <w:r>
        <w:rPr>
          <w:rFonts w:ascii="Palatino Linotype" w:hAnsi="Palatino Linotype" w:cs="Arial"/>
          <w:i/>
          <w:color w:val="202122"/>
          <w:shd w:val="clear" w:color="auto" w:fill="FFFFFF"/>
        </w:rPr>
        <w:t xml:space="preserve"> </w:t>
      </w:r>
      <w:hyperlink r:id="rId5" w:tooltip="Hardware" w:history="1">
        <w:r w:rsidRPr="00B549BB">
          <w:rPr>
            <w:rStyle w:val="Hipervnculo"/>
            <w:rFonts w:ascii="Palatino Linotype" w:hAnsi="Palatino Linotype" w:cs="Arial"/>
            <w:i/>
            <w:color w:val="0B0080"/>
            <w:shd w:val="clear" w:color="auto" w:fill="FFFFFF"/>
          </w:rPr>
          <w:t>hardware</w:t>
        </w:r>
      </w:hyperlink>
      <w:r w:rsidRPr="00B549BB">
        <w:rPr>
          <w:rFonts w:ascii="Palatino Linotype" w:hAnsi="Palatino Linotype" w:cs="Arial"/>
          <w:i/>
          <w:color w:val="202122"/>
          <w:shd w:val="clear" w:color="auto" w:fill="FFFFFF"/>
        </w:rPr>
        <w:t>. Este formato es de tipo compuesto (</w:t>
      </w:r>
      <w:hyperlink r:id="rId6" w:tooltip="Imagen vectorial" w:history="1">
        <w:r w:rsidRPr="00B549BB">
          <w:rPr>
            <w:rStyle w:val="Hipervnculo"/>
            <w:rFonts w:ascii="Palatino Linotype" w:hAnsi="Palatino Linotype" w:cs="Arial"/>
            <w:i/>
            <w:color w:val="0B0080"/>
            <w:shd w:val="clear" w:color="auto" w:fill="FFFFFF"/>
          </w:rPr>
          <w:t>imagen vectorial</w:t>
        </w:r>
      </w:hyperlink>
      <w:r w:rsidRPr="00B549BB">
        <w:rPr>
          <w:rFonts w:ascii="Palatino Linotype" w:hAnsi="Palatino Linotype" w:cs="Arial"/>
          <w:i/>
          <w:color w:val="202122"/>
          <w:shd w:val="clear" w:color="auto" w:fill="FFFFFF"/>
        </w:rPr>
        <w:t>,</w:t>
      </w:r>
      <w:r>
        <w:rPr>
          <w:rFonts w:ascii="Palatino Linotype" w:hAnsi="Palatino Linotype" w:cs="Arial"/>
          <w:i/>
          <w:color w:val="202122"/>
          <w:shd w:val="clear" w:color="auto" w:fill="FFFFFF"/>
        </w:rPr>
        <w:t xml:space="preserve"> </w:t>
      </w:r>
      <w:hyperlink r:id="rId7" w:tooltip="Mapa de bits" w:history="1">
        <w:r w:rsidRPr="00B549BB">
          <w:rPr>
            <w:rStyle w:val="Hipervnculo"/>
            <w:rFonts w:ascii="Palatino Linotype" w:hAnsi="Palatino Linotype" w:cs="Arial"/>
            <w:i/>
            <w:color w:val="0B0080"/>
            <w:shd w:val="clear" w:color="auto" w:fill="FFFFFF"/>
          </w:rPr>
          <w:t>mapa de bits</w:t>
        </w:r>
      </w:hyperlink>
      <w:r>
        <w:rPr>
          <w:rFonts w:ascii="Palatino Linotype" w:hAnsi="Palatino Linotype"/>
          <w:i/>
        </w:rPr>
        <w:t xml:space="preserve"> </w:t>
      </w:r>
      <w:r w:rsidRPr="00B549BB">
        <w:rPr>
          <w:rFonts w:ascii="Palatino Linotype" w:hAnsi="Palatino Linotype" w:cs="Arial"/>
          <w:i/>
          <w:color w:val="202122"/>
          <w:shd w:val="clear" w:color="auto" w:fill="FFFFFF"/>
        </w:rPr>
        <w:t>y</w:t>
      </w:r>
      <w:r>
        <w:rPr>
          <w:rFonts w:ascii="Palatino Linotype" w:hAnsi="Palatino Linotype" w:cs="Arial"/>
          <w:i/>
          <w:color w:val="202122"/>
          <w:shd w:val="clear" w:color="auto" w:fill="FFFFFF"/>
        </w:rPr>
        <w:t xml:space="preserve"> </w:t>
      </w:r>
      <w:hyperlink r:id="rId8" w:tooltip="Documento de texto" w:history="1">
        <w:r w:rsidRPr="00B549BB">
          <w:rPr>
            <w:rStyle w:val="Hipervnculo"/>
            <w:rFonts w:ascii="Palatino Linotype" w:hAnsi="Palatino Linotype" w:cs="Arial"/>
            <w:i/>
            <w:color w:val="0B0080"/>
            <w:shd w:val="clear" w:color="auto" w:fill="FFFFFF"/>
          </w:rPr>
          <w:t>texto</w:t>
        </w:r>
      </w:hyperlink>
      <w:r w:rsidRPr="00B549BB">
        <w:rPr>
          <w:rFonts w:ascii="Palatino Linotype" w:hAnsi="Palatino Linotype" w:cs="Arial"/>
          <w:i/>
          <w:color w:val="202122"/>
          <w:shd w:val="clear" w:color="auto" w:fill="FFFFFF"/>
        </w:rPr>
        <w:t>).</w:t>
      </w:r>
    </w:p>
  </w:footnote>
  <w:footnote w:id="2">
    <w:p w14:paraId="77E26F20" w14:textId="77777777" w:rsidR="00ED2F87" w:rsidRPr="009D681B" w:rsidRDefault="00ED2F87" w:rsidP="00ED2F87">
      <w:pPr>
        <w:pStyle w:val="Textonotapie"/>
        <w:jc w:val="both"/>
        <w:rPr>
          <w:rFonts w:ascii="Palatino Linotype" w:hAnsi="Palatino Linotype"/>
          <w:i/>
        </w:rPr>
      </w:pPr>
      <w:r w:rsidRPr="009D681B">
        <w:rPr>
          <w:rStyle w:val="Refdenotaalpie"/>
          <w:rFonts w:ascii="Palatino Linotype" w:hAnsi="Palatino Linotype"/>
          <w:i/>
        </w:rPr>
        <w:footnoteRef/>
      </w:r>
      <w:r w:rsidRPr="009D681B">
        <w:rPr>
          <w:rFonts w:ascii="Palatino Linotype" w:hAnsi="Palatino Linotype"/>
          <w:i/>
        </w:rPr>
        <w:t xml:space="preserve"> “</w:t>
      </w:r>
      <w:r w:rsidRPr="009D681B">
        <w:rPr>
          <w:rFonts w:ascii="Palatino Linotype" w:hAnsi="Palatino Linotype"/>
          <w:b/>
          <w:i/>
        </w:rPr>
        <w:t>Artículo 140</w:t>
      </w:r>
      <w:r w:rsidRPr="009D681B">
        <w:rPr>
          <w:rFonts w:ascii="Palatino Linotype" w:hAnsi="Palatino Linotype"/>
          <w:i/>
        </w:rPr>
        <w:t>. El acceso a la información pública será restringido excepcionalmente, cuando por razones de interés público, ésta sea clasificada como reservada, conforme a los criterios siguientes:</w:t>
      </w:r>
    </w:p>
    <w:p w14:paraId="44CE07C0" w14:textId="77777777" w:rsidR="00ED2F87" w:rsidRPr="009D681B" w:rsidRDefault="00ED2F87" w:rsidP="00ED2F87">
      <w:pPr>
        <w:pStyle w:val="Textonotapie"/>
        <w:jc w:val="both"/>
        <w:rPr>
          <w:rFonts w:ascii="Palatino Linotype" w:hAnsi="Palatino Linotype"/>
          <w:i/>
        </w:rPr>
      </w:pPr>
      <w:r w:rsidRPr="009D681B">
        <w:rPr>
          <w:rFonts w:ascii="Palatino Linotype" w:hAnsi="Palatino Linotype"/>
          <w:i/>
        </w:rPr>
        <w:t>(…)</w:t>
      </w:r>
    </w:p>
    <w:p w14:paraId="2F0C2499" w14:textId="77777777" w:rsidR="00ED2F87" w:rsidRPr="00C02FAB" w:rsidRDefault="00ED2F87" w:rsidP="00ED2F87">
      <w:pPr>
        <w:pStyle w:val="Textonotapie"/>
        <w:jc w:val="both"/>
        <w:rPr>
          <w:rFonts w:ascii="Palatino Linotype" w:hAnsi="Palatino Linotype"/>
          <w:i/>
        </w:rPr>
      </w:pPr>
      <w:r w:rsidRPr="009D681B">
        <w:rPr>
          <w:rFonts w:ascii="Palatino Linotype" w:hAnsi="Palatino Linotype"/>
          <w:b/>
          <w:i/>
        </w:rPr>
        <w:t>V</w:t>
      </w:r>
      <w:r w:rsidRPr="00C02FAB">
        <w:rPr>
          <w:rFonts w:ascii="Palatino Linotype" w:hAnsi="Palatino Linotype"/>
          <w:i/>
        </w:rPr>
        <w:t>. Aquella cuya divulgación obstruya o pueda causar un serio perjuicio a:</w:t>
      </w:r>
    </w:p>
    <w:p w14:paraId="7FE4BEDF" w14:textId="77777777" w:rsidR="00ED2F87" w:rsidRPr="00C02FAB" w:rsidRDefault="00ED2F87" w:rsidP="00ED2F87">
      <w:pPr>
        <w:pStyle w:val="Textonotapie"/>
        <w:ind w:left="284"/>
        <w:jc w:val="both"/>
        <w:rPr>
          <w:rFonts w:ascii="Palatino Linotype" w:hAnsi="Palatino Linotype"/>
          <w:i/>
        </w:rPr>
      </w:pPr>
      <w:r w:rsidRPr="00C02FAB">
        <w:rPr>
          <w:rFonts w:ascii="Palatino Linotype" w:hAnsi="Palatino Linotype"/>
          <w:i/>
        </w:rPr>
        <w:t>1. Las actividades de fiscalización, verificación, inspección, comprobación y auditoría</w:t>
      </w:r>
    </w:p>
    <w:p w14:paraId="057B612F" w14:textId="77777777" w:rsidR="00ED2F87" w:rsidRPr="00C02FAB" w:rsidRDefault="00ED2F87" w:rsidP="00ED2F87">
      <w:pPr>
        <w:pStyle w:val="Textonotapie"/>
        <w:ind w:left="284"/>
        <w:jc w:val="both"/>
        <w:rPr>
          <w:rFonts w:ascii="Palatino Linotype" w:hAnsi="Palatino Linotype"/>
          <w:i/>
        </w:rPr>
      </w:pPr>
      <w:r w:rsidRPr="00C02FAB">
        <w:rPr>
          <w:rFonts w:ascii="Palatino Linotype" w:hAnsi="Palatino Linotype"/>
          <w:i/>
        </w:rPr>
        <w:t>sobre el cumplimiento de las Leyes; o</w:t>
      </w:r>
    </w:p>
    <w:p w14:paraId="694BF867" w14:textId="77777777" w:rsidR="00ED2F87" w:rsidRPr="0069241F" w:rsidRDefault="00ED2F87" w:rsidP="00ED2F87">
      <w:pPr>
        <w:pStyle w:val="Textonotapie"/>
        <w:ind w:left="284"/>
        <w:jc w:val="both"/>
        <w:rPr>
          <w:rFonts w:ascii="Palatino Linotype" w:hAnsi="Palatino Linotype"/>
          <w:i/>
        </w:rPr>
      </w:pPr>
      <w:r w:rsidRPr="00C02FAB">
        <w:rPr>
          <w:rFonts w:ascii="Palatino Linotype" w:hAnsi="Palatino Linotype"/>
          <w:b/>
          <w:i/>
        </w:rPr>
        <w:t>2</w:t>
      </w:r>
      <w:r w:rsidRPr="00C02FAB">
        <w:rPr>
          <w:rFonts w:ascii="Palatino Linotype" w:hAnsi="Palatino Linotype"/>
          <w:i/>
        </w:rPr>
        <w:t>. La recaudación de las contribuciones.</w:t>
      </w:r>
      <w:r>
        <w:rPr>
          <w:rFonts w:ascii="Palatino Linotype" w:hAnsi="Palatino Linotype"/>
          <w:i/>
        </w:rPr>
        <w:t>; (…)</w:t>
      </w:r>
    </w:p>
  </w:footnote>
  <w:footnote w:id="3">
    <w:p w14:paraId="22856754" w14:textId="77777777" w:rsidR="00ED2F87" w:rsidRDefault="00ED2F87">
      <w:pPr>
        <w:pStyle w:val="Textonotapie"/>
      </w:pPr>
      <w:r>
        <w:rPr>
          <w:rStyle w:val="Refdenotaalpie"/>
        </w:rPr>
        <w:footnoteRef/>
      </w:r>
      <w:r>
        <w:t xml:space="preserve"> Consultables en la página electrónica </w:t>
      </w:r>
      <w:hyperlink r:id="rId9" w:history="1">
        <w:r w:rsidRPr="00B03F81">
          <w:rPr>
            <w:rStyle w:val="Hipervnculo"/>
          </w:rPr>
          <w:t>https://www.osfem.gob.mx/04_Normatividad/doc/Normatividad/2019/07_LinElaPreCtaPubMpal2019.pdf</w:t>
        </w:r>
      </w:hyperlink>
      <w:r>
        <w:t xml:space="preserve"> </w:t>
      </w:r>
    </w:p>
  </w:footnote>
  <w:footnote w:id="4">
    <w:p w14:paraId="72D9C82C" w14:textId="77777777" w:rsidR="00ED2F87" w:rsidRPr="0060614D" w:rsidRDefault="00ED2F87" w:rsidP="00ED2F87">
      <w:pPr>
        <w:pStyle w:val="Textonotapie"/>
        <w:rPr>
          <w:rFonts w:ascii="Palatino Linotype" w:hAnsi="Palatino Linotype"/>
          <w:sz w:val="18"/>
          <w:szCs w:val="18"/>
        </w:rPr>
      </w:pPr>
      <w:r w:rsidRPr="0060614D">
        <w:rPr>
          <w:rStyle w:val="Refdenotaalpie"/>
          <w:rFonts w:ascii="Palatino Linotype" w:hAnsi="Palatino Linotype"/>
          <w:sz w:val="18"/>
          <w:szCs w:val="18"/>
        </w:rPr>
        <w:footnoteRef/>
      </w:r>
      <w:r w:rsidRPr="0060614D">
        <w:rPr>
          <w:rFonts w:ascii="Palatino Linotype" w:hAnsi="Palatino Linotype"/>
          <w:sz w:val="18"/>
          <w:szCs w:val="18"/>
        </w:rPr>
        <w:t xml:space="preserve"> Tesis 2ª. XXXV/2007, </w:t>
      </w:r>
      <w:r w:rsidRPr="0060614D">
        <w:rPr>
          <w:rFonts w:ascii="Palatino Linotype" w:hAnsi="Palatino Linotype"/>
          <w:i/>
          <w:sz w:val="18"/>
          <w:szCs w:val="18"/>
        </w:rPr>
        <w:t>Semanario Judicial de la Federación y su Gaceta</w:t>
      </w:r>
      <w:r w:rsidRPr="0060614D">
        <w:rPr>
          <w:rFonts w:ascii="Palatino Linotype" w:hAnsi="Palatino Linotype"/>
          <w:sz w:val="18"/>
          <w:szCs w:val="18"/>
        </w:rPr>
        <w:t>, t. XXV, mayo de 2007, p. 1186.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0646" w14:textId="77777777" w:rsidR="00943BA2" w:rsidRDefault="0051698E">
    <w:pPr>
      <w:pStyle w:val="Encabezado"/>
    </w:pPr>
    <w:r>
      <w:rPr>
        <w:noProof/>
        <w:lang w:val="es-MX" w:eastAsia="es-MX"/>
      </w:rPr>
      <w:pict w14:anchorId="7FA5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35253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7132C0" w14:paraId="5F5DDE51" w14:textId="77777777" w:rsidTr="00943BA2">
      <w:trPr>
        <w:trHeight w:val="227"/>
      </w:trPr>
      <w:tc>
        <w:tcPr>
          <w:tcW w:w="5813" w:type="dxa"/>
          <w:hideMark/>
        </w:tcPr>
        <w:p w14:paraId="30670DEA" w14:textId="77777777" w:rsidR="007132C0" w:rsidRDefault="00B1038F" w:rsidP="00C7579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7C8D9A1A" w14:textId="77777777" w:rsidR="007132C0" w:rsidRDefault="00B1038F" w:rsidP="004E3057">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4640/INFOEM/IP/RR/2020</w:t>
          </w:r>
        </w:p>
      </w:tc>
    </w:tr>
    <w:tr w:rsidR="007132C0" w14:paraId="2ED603E4" w14:textId="77777777" w:rsidTr="00943BA2">
      <w:trPr>
        <w:trHeight w:val="242"/>
      </w:trPr>
      <w:tc>
        <w:tcPr>
          <w:tcW w:w="5813" w:type="dxa"/>
          <w:hideMark/>
        </w:tcPr>
        <w:p w14:paraId="2F26A178" w14:textId="77777777" w:rsidR="007132C0" w:rsidRDefault="00B1038F" w:rsidP="00C7579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780D3C7A" w14:textId="77777777" w:rsidR="007132C0" w:rsidRDefault="00B1038F" w:rsidP="00C75793">
          <w:pPr>
            <w:spacing w:after="120" w:line="256" w:lineRule="auto"/>
            <w:ind w:left="-486" w:right="214" w:firstLine="284"/>
            <w:jc w:val="right"/>
            <w:rPr>
              <w:rFonts w:ascii="Palatino Linotype" w:hAnsi="Palatino Linotype" w:cs="Arial"/>
              <w:szCs w:val="20"/>
            </w:rPr>
          </w:pPr>
          <w:r w:rsidRPr="004E3057">
            <w:rPr>
              <w:rFonts w:ascii="Palatino Linotype" w:hAnsi="Palatino Linotype" w:cs="Arial"/>
              <w:szCs w:val="20"/>
            </w:rPr>
            <w:t>Ayuntamiento de Teoloyucan</w:t>
          </w:r>
        </w:p>
      </w:tc>
    </w:tr>
    <w:tr w:rsidR="007132C0" w14:paraId="44EF2F18" w14:textId="77777777" w:rsidTr="00943BA2">
      <w:trPr>
        <w:trHeight w:val="342"/>
      </w:trPr>
      <w:tc>
        <w:tcPr>
          <w:tcW w:w="5813" w:type="dxa"/>
          <w:hideMark/>
        </w:tcPr>
        <w:p w14:paraId="63600723" w14:textId="77777777" w:rsidR="007132C0" w:rsidRDefault="00B1038F" w:rsidP="00C7579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14:paraId="75FEA43A" w14:textId="77777777" w:rsidR="007132C0" w:rsidRDefault="00B1038F" w:rsidP="00C7579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EE8675" w14:textId="77777777" w:rsidR="007132C0" w:rsidRPr="00AE046A" w:rsidRDefault="0051698E" w:rsidP="00C75793">
    <w:pPr>
      <w:pStyle w:val="Encabezado"/>
      <w:tabs>
        <w:tab w:val="clear" w:pos="4419"/>
        <w:tab w:val="clear" w:pos="8838"/>
        <w:tab w:val="left" w:pos="6005"/>
      </w:tabs>
      <w:rPr>
        <w:sz w:val="14"/>
      </w:rPr>
    </w:pPr>
    <w:r>
      <w:rPr>
        <w:noProof/>
        <w:sz w:val="14"/>
        <w:lang w:val="es-MX" w:eastAsia="es-MX"/>
      </w:rPr>
      <w:pict w14:anchorId="1C7FF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352534" o:spid="_x0000_s2051" type="#_x0000_t75" style="position:absolute;margin-left:-84.85pt;margin-top:-112.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7132C0" w14:paraId="59F45E36" w14:textId="77777777" w:rsidTr="00943BA2">
      <w:trPr>
        <w:trHeight w:val="227"/>
      </w:trPr>
      <w:tc>
        <w:tcPr>
          <w:tcW w:w="5813" w:type="dxa"/>
          <w:hideMark/>
        </w:tcPr>
        <w:p w14:paraId="0D3FC146" w14:textId="77777777" w:rsidR="007132C0" w:rsidRDefault="00B1038F" w:rsidP="00C7579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14:paraId="61E64510" w14:textId="77777777" w:rsidR="007132C0" w:rsidRDefault="00B1038F" w:rsidP="00315922">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4640/INFOEM/IP/RR/2020</w:t>
          </w:r>
        </w:p>
      </w:tc>
    </w:tr>
    <w:tr w:rsidR="007132C0" w14:paraId="198EFB91" w14:textId="77777777" w:rsidTr="00943BA2">
      <w:trPr>
        <w:trHeight w:val="242"/>
      </w:trPr>
      <w:tc>
        <w:tcPr>
          <w:tcW w:w="5813" w:type="dxa"/>
          <w:hideMark/>
        </w:tcPr>
        <w:p w14:paraId="0ECF30EF" w14:textId="77777777" w:rsidR="007132C0" w:rsidRDefault="00B1038F" w:rsidP="00C7579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3D950935" w14:textId="77777777" w:rsidR="007132C0" w:rsidRDefault="00B1038F" w:rsidP="00C75793">
          <w:pPr>
            <w:spacing w:after="120" w:line="256" w:lineRule="auto"/>
            <w:ind w:left="-486" w:right="214" w:firstLine="284"/>
            <w:jc w:val="right"/>
            <w:rPr>
              <w:rFonts w:ascii="Palatino Linotype" w:hAnsi="Palatino Linotype" w:cs="Arial"/>
              <w:szCs w:val="20"/>
            </w:rPr>
          </w:pPr>
          <w:r w:rsidRPr="004E3057">
            <w:rPr>
              <w:rFonts w:ascii="Palatino Linotype" w:hAnsi="Palatino Linotype" w:cs="Arial"/>
              <w:szCs w:val="20"/>
            </w:rPr>
            <w:t>Ayuntamiento de Teoloyucan</w:t>
          </w:r>
        </w:p>
      </w:tc>
    </w:tr>
    <w:tr w:rsidR="007132C0" w14:paraId="76A57482" w14:textId="77777777" w:rsidTr="00943BA2">
      <w:trPr>
        <w:trHeight w:val="342"/>
      </w:trPr>
      <w:tc>
        <w:tcPr>
          <w:tcW w:w="5813" w:type="dxa"/>
        </w:tcPr>
        <w:p w14:paraId="1D559DD4" w14:textId="77777777" w:rsidR="007132C0" w:rsidRDefault="00B1038F" w:rsidP="00C7579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tcPr>
        <w:p w14:paraId="789491AC" w14:textId="5FAA4BFB" w:rsidR="007132C0" w:rsidRPr="003D23D7" w:rsidRDefault="00386209" w:rsidP="00C75793">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7132C0" w14:paraId="04B123ED" w14:textId="77777777" w:rsidTr="00943BA2">
      <w:trPr>
        <w:trHeight w:val="342"/>
      </w:trPr>
      <w:tc>
        <w:tcPr>
          <w:tcW w:w="5813" w:type="dxa"/>
        </w:tcPr>
        <w:p w14:paraId="44739756" w14:textId="77777777" w:rsidR="007132C0" w:rsidRDefault="00B1038F" w:rsidP="00C7579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tcPr>
        <w:p w14:paraId="21819EAD" w14:textId="77777777" w:rsidR="007132C0" w:rsidRDefault="00B1038F" w:rsidP="00C7579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ABBDCBE" w14:textId="77777777" w:rsidR="007132C0" w:rsidRPr="00C222C0" w:rsidRDefault="0051698E">
    <w:pPr>
      <w:pStyle w:val="Encabezado"/>
      <w:rPr>
        <w:sz w:val="16"/>
      </w:rPr>
    </w:pPr>
    <w:r>
      <w:rPr>
        <w:noProof/>
        <w:sz w:val="16"/>
        <w:lang w:val="es-MX" w:eastAsia="es-MX"/>
      </w:rPr>
      <w:pict w14:anchorId="7486E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352532" o:spid="_x0000_s2049" type="#_x0000_t75" style="position:absolute;margin-left:-84.85pt;margin-top:-132.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305CE"/>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3B597A85"/>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312112C"/>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EA657AA"/>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3F33C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0"/>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87"/>
    <w:rsid w:val="00036F8B"/>
    <w:rsid w:val="00123996"/>
    <w:rsid w:val="001A1B97"/>
    <w:rsid w:val="00386209"/>
    <w:rsid w:val="0051698E"/>
    <w:rsid w:val="006969F4"/>
    <w:rsid w:val="007B4F13"/>
    <w:rsid w:val="008807F2"/>
    <w:rsid w:val="00943BA2"/>
    <w:rsid w:val="00B1038F"/>
    <w:rsid w:val="00C82DC1"/>
    <w:rsid w:val="00D53BE7"/>
    <w:rsid w:val="00DA4212"/>
    <w:rsid w:val="00ED2F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42837"/>
  <w15:chartTrackingRefBased/>
  <w15:docId w15:val="{126697ED-DFFB-473F-91AB-7A93D977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2F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2F8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2F8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2F8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2F8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2F8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ED2F8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ED2F8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D2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D2F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2F8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D2F87"/>
    <w:rPr>
      <w:vertAlign w:val="superscript"/>
    </w:rPr>
  </w:style>
  <w:style w:type="character" w:styleId="Hipervnculo">
    <w:name w:val="Hyperlink"/>
    <w:basedOn w:val="Fuentedeprrafopredeter"/>
    <w:uiPriority w:val="99"/>
    <w:unhideWhenUsed/>
    <w:rsid w:val="00ED2F87"/>
    <w:rPr>
      <w:color w:val="0563C1" w:themeColor="hyperlink"/>
      <w:u w:val="single"/>
    </w:rPr>
  </w:style>
  <w:style w:type="character" w:styleId="Refdecomentario">
    <w:name w:val="annotation reference"/>
    <w:basedOn w:val="Fuentedeprrafopredeter"/>
    <w:uiPriority w:val="99"/>
    <w:semiHidden/>
    <w:unhideWhenUsed/>
    <w:rsid w:val="00D53BE7"/>
    <w:rPr>
      <w:sz w:val="16"/>
      <w:szCs w:val="16"/>
    </w:rPr>
  </w:style>
  <w:style w:type="paragraph" w:styleId="Textocomentario">
    <w:name w:val="annotation text"/>
    <w:basedOn w:val="Normal"/>
    <w:link w:val="TextocomentarioCar"/>
    <w:uiPriority w:val="99"/>
    <w:semiHidden/>
    <w:unhideWhenUsed/>
    <w:rsid w:val="00D53B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3BE7"/>
    <w:rPr>
      <w:sz w:val="20"/>
      <w:szCs w:val="20"/>
    </w:rPr>
  </w:style>
  <w:style w:type="paragraph" w:styleId="Asuntodelcomentario">
    <w:name w:val="annotation subject"/>
    <w:basedOn w:val="Textocomentario"/>
    <w:next w:val="Textocomentario"/>
    <w:link w:val="AsuntodelcomentarioCar"/>
    <w:uiPriority w:val="99"/>
    <w:semiHidden/>
    <w:unhideWhenUsed/>
    <w:rsid w:val="00D53BE7"/>
    <w:rPr>
      <w:b/>
      <w:bCs/>
    </w:rPr>
  </w:style>
  <w:style w:type="character" w:customStyle="1" w:styleId="AsuntodelcomentarioCar">
    <w:name w:val="Asunto del comentario Car"/>
    <w:basedOn w:val="TextocomentarioCar"/>
    <w:link w:val="Asuntodelcomentario"/>
    <w:uiPriority w:val="99"/>
    <w:semiHidden/>
    <w:rsid w:val="00D53BE7"/>
    <w:rPr>
      <w:b/>
      <w:bCs/>
      <w:sz w:val="20"/>
      <w:szCs w:val="20"/>
    </w:rPr>
  </w:style>
  <w:style w:type="paragraph" w:styleId="Textodeglobo">
    <w:name w:val="Balloon Text"/>
    <w:basedOn w:val="Normal"/>
    <w:link w:val="TextodegloboCar"/>
    <w:uiPriority w:val="99"/>
    <w:semiHidden/>
    <w:unhideWhenUsed/>
    <w:rsid w:val="00D53B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s.wikipedia.org/wiki/Documento_de_texto" TargetMode="External"/><Relationship Id="rId3" Type="http://schemas.openxmlformats.org/officeDocument/2006/relationships/hyperlink" Target="https://es.wikipedia.org/wiki/Formato_de_almacenamiento" TargetMode="External"/><Relationship Id="rId7" Type="http://schemas.openxmlformats.org/officeDocument/2006/relationships/hyperlink" Target="https://es.wikipedia.org/wiki/Mapa_de_bits" TargetMode="External"/><Relationship Id="rId2" Type="http://schemas.openxmlformats.org/officeDocument/2006/relationships/hyperlink" Target="https://es.wikipedia.org/wiki/Idioma_ingl%C3%A9s" TargetMode="External"/><Relationship Id="rId1" Type="http://schemas.openxmlformats.org/officeDocument/2006/relationships/hyperlink" Target="https://es.wikipedia.org/wiki/Sigla" TargetMode="External"/><Relationship Id="rId6" Type="http://schemas.openxmlformats.org/officeDocument/2006/relationships/hyperlink" Target="https://es.wikipedia.org/wiki/Imagen_vectorial" TargetMode="External"/><Relationship Id="rId5" Type="http://schemas.openxmlformats.org/officeDocument/2006/relationships/hyperlink" Target="https://es.wikipedia.org/wiki/Hardware" TargetMode="External"/><Relationship Id="rId4" Type="http://schemas.openxmlformats.org/officeDocument/2006/relationships/hyperlink" Target="https://es.wikipedia.org/wiki/Software" TargetMode="External"/><Relationship Id="rId9" Type="http://schemas.openxmlformats.org/officeDocument/2006/relationships/hyperlink" Target="https://www.osfem.gob.mx/04_Normatividad/doc/Normatividad/2019/07_LinElaPreCtaPubMpal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46</Pages>
  <Words>13134</Words>
  <Characters>72240</Characters>
  <Application>Microsoft Office Word</Application>
  <DocSecurity>0</DocSecurity>
  <Lines>602</Lines>
  <Paragraphs>170</Paragraphs>
  <ScaleCrop>false</ScaleCrop>
  <Company/>
  <LinksUpToDate>false</LinksUpToDate>
  <CharactersWithSpaces>85204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2020-12-04T23:01:00Z</dcterms:created>
  <dcterms:modified xsi:type="dcterms:W3CDTF">2021-02-16T17:44:00Z</dcterms:modified>
</cp:coreProperties>
</file>