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9642C" w:rsidRPr="00D167AA" w:rsidRDefault="0089642C" w:rsidP="0089642C">
      <w:pPr>
        <w:spacing w:before="100" w:beforeAutospacing="1" w:after="100" w:afterAutospacing="1" w:line="360" w:lineRule="auto"/>
        <w:jc w:val="both"/>
        <w:rPr>
          <w:rFonts w:ascii="Palatino Linotype" w:hAnsi="Palatino Linotype"/>
        </w:rPr>
      </w:pPr>
      <w:r w:rsidRPr="00D167AA">
        <w:rPr>
          <w:rFonts w:ascii="Palatino Linotype" w:hAnsi="Palatino Linotype"/>
        </w:rPr>
        <w:t>Resolución del Pleno del Instituto de Transparencia, Acceso a la Información Pública y Protección de Datos Personales del Estado de México y Municipios, con domicilio en Metepec, Estado de México, de fecha nueve de septiembre de dos mil veinte.</w:t>
      </w:r>
    </w:p>
    <w:p w:rsidR="0089642C" w:rsidRPr="00D167AA" w:rsidRDefault="0089642C" w:rsidP="0089642C">
      <w:pPr>
        <w:spacing w:before="100" w:beforeAutospacing="1" w:after="100" w:afterAutospacing="1" w:line="360" w:lineRule="auto"/>
        <w:jc w:val="both"/>
        <w:rPr>
          <w:rFonts w:ascii="Palatino Linotype" w:hAnsi="Palatino Linotype"/>
        </w:rPr>
      </w:pPr>
      <w:r w:rsidRPr="00D167AA">
        <w:rPr>
          <w:rFonts w:ascii="Palatino Linotype" w:hAnsi="Palatino Linotype"/>
          <w:b/>
        </w:rPr>
        <w:t>VISTO</w:t>
      </w:r>
      <w:r w:rsidRPr="00D167AA">
        <w:rPr>
          <w:rFonts w:ascii="Palatino Linotype" w:hAnsi="Palatino Linotype"/>
        </w:rPr>
        <w:t xml:space="preserve"> el expediente formado con motivo del recurso de revisión </w:t>
      </w:r>
      <w:r w:rsidRPr="00D167AA">
        <w:rPr>
          <w:rFonts w:ascii="Palatino Linotype" w:hAnsi="Palatino Linotype"/>
          <w:b/>
        </w:rPr>
        <w:t>01257/INFOEM/IP/RR/2020</w:t>
      </w:r>
      <w:r w:rsidRPr="00D167AA">
        <w:rPr>
          <w:rFonts w:ascii="Palatino Linotype" w:hAnsi="Palatino Linotype"/>
        </w:rPr>
        <w:t>, promovido por una persona de manera anónima</w:t>
      </w:r>
      <w:r w:rsidRPr="00D167AA">
        <w:rPr>
          <w:rFonts w:ascii="Palatino Linotype" w:hAnsi="Palatino Linotype" w:cs="Arial"/>
        </w:rPr>
        <w:t xml:space="preserve"> en lo sucesivo</w:t>
      </w:r>
      <w:r w:rsidRPr="00D167AA">
        <w:rPr>
          <w:rFonts w:ascii="Palatino Linotype" w:hAnsi="Palatino Linotype" w:cs="Arial"/>
          <w:b/>
        </w:rPr>
        <w:t xml:space="preserve"> EL RECURRENTE</w:t>
      </w:r>
      <w:r w:rsidRPr="00D167AA">
        <w:rPr>
          <w:rFonts w:ascii="Palatino Linotype" w:hAnsi="Palatino Linotype"/>
        </w:rPr>
        <w:t xml:space="preserve">, en contra de la respuesta emitida por el </w:t>
      </w:r>
      <w:r w:rsidRPr="00D167AA">
        <w:rPr>
          <w:rFonts w:ascii="Palatino Linotype" w:hAnsi="Palatino Linotype"/>
          <w:b/>
        </w:rPr>
        <w:t>Poder Legislativo,</w:t>
      </w:r>
      <w:r w:rsidRPr="00D167AA">
        <w:rPr>
          <w:rFonts w:ascii="Palatino Linotype" w:hAnsi="Palatino Linotype"/>
        </w:rPr>
        <w:t xml:space="preserve"> en lo sucesivo </w:t>
      </w:r>
      <w:r w:rsidRPr="00D167AA">
        <w:rPr>
          <w:rFonts w:ascii="Palatino Linotype" w:hAnsi="Palatino Linotype"/>
          <w:b/>
        </w:rPr>
        <w:t>EL SUJETO OBLIGADO</w:t>
      </w:r>
      <w:r w:rsidRPr="00D167AA">
        <w:rPr>
          <w:rFonts w:ascii="Palatino Linotype" w:hAnsi="Palatino Linotype"/>
        </w:rPr>
        <w:t xml:space="preserve">, se procede a dictar la presente resolución con base en lo siguiente: </w:t>
      </w:r>
    </w:p>
    <w:p w:rsidR="0089642C" w:rsidRPr="00D167AA" w:rsidRDefault="0089642C" w:rsidP="0089642C">
      <w:pPr>
        <w:spacing w:before="100" w:beforeAutospacing="1" w:after="100" w:afterAutospacing="1" w:line="360" w:lineRule="auto"/>
        <w:jc w:val="center"/>
        <w:rPr>
          <w:rFonts w:ascii="Palatino Linotype" w:hAnsi="Palatino Linotype"/>
          <w:b/>
          <w:bCs/>
          <w:spacing w:val="60"/>
          <w:sz w:val="28"/>
        </w:rPr>
      </w:pPr>
      <w:r w:rsidRPr="00D167AA">
        <w:rPr>
          <w:rFonts w:ascii="Palatino Linotype" w:hAnsi="Palatino Linotype"/>
          <w:b/>
          <w:bCs/>
          <w:spacing w:val="60"/>
          <w:sz w:val="28"/>
        </w:rPr>
        <w:t>RESULTANDO</w:t>
      </w:r>
    </w:p>
    <w:p w:rsidR="0089642C" w:rsidRPr="00D167AA" w:rsidRDefault="0089642C" w:rsidP="008D671B">
      <w:pPr>
        <w:pStyle w:val="Prrafodelista"/>
        <w:numPr>
          <w:ilvl w:val="0"/>
          <w:numId w:val="3"/>
        </w:numPr>
        <w:tabs>
          <w:tab w:val="left" w:pos="709"/>
        </w:tabs>
        <w:spacing w:before="100" w:beforeAutospacing="1" w:after="100" w:afterAutospacing="1" w:line="360" w:lineRule="auto"/>
        <w:ind w:left="0" w:firstLine="0"/>
        <w:jc w:val="both"/>
        <w:rPr>
          <w:rFonts w:ascii="Palatino Linotype" w:hAnsi="Palatino Linotype" w:cs="Arial"/>
        </w:rPr>
      </w:pPr>
      <w:r w:rsidRPr="00D167AA">
        <w:rPr>
          <w:rFonts w:ascii="Palatino Linotype" w:hAnsi="Palatino Linotype"/>
        </w:rPr>
        <w:t xml:space="preserve">En </w:t>
      </w:r>
      <w:r w:rsidRPr="00D167AA">
        <w:rPr>
          <w:rFonts w:ascii="Palatino Linotype" w:hAnsi="Palatino Linotype" w:cs="Arial"/>
        </w:rPr>
        <w:t>fecha</w:t>
      </w:r>
      <w:r w:rsidRPr="00D167AA">
        <w:rPr>
          <w:rFonts w:ascii="Palatino Linotype" w:hAnsi="Palatino Linotype"/>
        </w:rPr>
        <w:t xml:space="preserve"> veinte de enero de dos mil veinte, </w:t>
      </w:r>
      <w:r w:rsidRPr="00D167AA">
        <w:rPr>
          <w:rFonts w:ascii="Palatino Linotype" w:hAnsi="Palatino Linotype" w:cs="Arial"/>
          <w:b/>
        </w:rPr>
        <w:t>EL RECURRENTE</w:t>
      </w:r>
      <w:r w:rsidRPr="00D167AA">
        <w:rPr>
          <w:rFonts w:ascii="Palatino Linotype" w:hAnsi="Palatino Linotype"/>
        </w:rPr>
        <w:t xml:space="preserve"> presentó </w:t>
      </w:r>
      <w:r w:rsidRPr="00D167AA">
        <w:rPr>
          <w:rFonts w:ascii="Palatino Linotype" w:hAnsi="Palatino Linotype" w:cs="Arial"/>
        </w:rPr>
        <w:t xml:space="preserve">a través del Sistema de Acceso a la Información Mexiquense, en lo subsecuente </w:t>
      </w:r>
      <w:r w:rsidRPr="00D167AA">
        <w:rPr>
          <w:rFonts w:ascii="Palatino Linotype" w:hAnsi="Palatino Linotype" w:cs="Arial"/>
          <w:b/>
        </w:rPr>
        <w:t>EL SAIMEX,</w:t>
      </w:r>
      <w:r w:rsidRPr="00D167AA">
        <w:rPr>
          <w:rFonts w:ascii="Palatino Linotype" w:hAnsi="Palatino Linotype"/>
        </w:rPr>
        <w:t xml:space="preserve"> ante </w:t>
      </w:r>
      <w:r w:rsidRPr="00D167AA">
        <w:rPr>
          <w:rFonts w:ascii="Palatino Linotype" w:hAnsi="Palatino Linotype"/>
          <w:b/>
        </w:rPr>
        <w:t>EL SUJETO OBLIGADO</w:t>
      </w:r>
      <w:r w:rsidRPr="00D167AA">
        <w:rPr>
          <w:rFonts w:ascii="Palatino Linotype" w:hAnsi="Palatino Linotype"/>
        </w:rPr>
        <w:t xml:space="preserve">, la solicitud de acceso a la información pública, a la que se le asignó el número </w:t>
      </w:r>
      <w:r w:rsidRPr="00D167AA">
        <w:rPr>
          <w:rFonts w:ascii="Palatino Linotype" w:hAnsi="Palatino Linotype"/>
          <w:b/>
          <w:bCs/>
        </w:rPr>
        <w:t>00027/PLEGISLA/IP/2020</w:t>
      </w:r>
      <w:r w:rsidRPr="00D167AA">
        <w:rPr>
          <w:rFonts w:ascii="Palatino Linotype" w:hAnsi="Palatino Linotype"/>
        </w:rPr>
        <w:t>, mediante la cual requirió por dicha vía, lo siguiente:</w:t>
      </w:r>
    </w:p>
    <w:p w:rsidR="0089642C" w:rsidRPr="00D167AA" w:rsidRDefault="0089642C" w:rsidP="0089642C">
      <w:pPr>
        <w:spacing w:before="100" w:beforeAutospacing="1" w:after="100" w:afterAutospacing="1"/>
        <w:ind w:left="709" w:right="709"/>
        <w:jc w:val="both"/>
        <w:rPr>
          <w:rFonts w:ascii="Palatino Linotype" w:hAnsi="Palatino Linotype"/>
          <w:sz w:val="22"/>
          <w:szCs w:val="22"/>
        </w:rPr>
      </w:pPr>
      <w:r w:rsidRPr="00D167AA">
        <w:rPr>
          <w:rFonts w:ascii="Palatino Linotype" w:hAnsi="Palatino Linotype" w:cs="Arial"/>
          <w:i/>
          <w:sz w:val="22"/>
          <w:szCs w:val="22"/>
        </w:rPr>
        <w:t xml:space="preserve">“1. quiénes son los diputados de la comisión legislativa de vigilancia del órgano superior de fiscalización en la actual legislatura del estado de méxico 2. de los diputados que integran la comisión legislativa de vigilancia solicito currículo y comprobante de estudios, en caso de contar con licenciatura solicito título profesional y cédula profesional 3. de los diputados que integran la comisión legislativa de vigilancia solicito documento oficial que acredite su preparación académica, capacidad o experiencia en materia de fiscalización, transparencia, rendición de cuentas, anti corrupción, control, auditoria financiera y evaluación 4. solicito el resultado de la entrevista y evaluación integral realizada a los diputados de la comisión legislativa de vigilancia para ser integrantes de la misma, deseo conocer la instancia que lo emite 5. de los diputados que integran la comisión legislativa de vigilancia solicito documento oficial que compruebe sus conocimientos, habilidades y aptitudes para realizar entrevistas y evaluar a los aspirantes respecto a la integración de la terna en orden de prelación para designar auditor superior en términos de las bases publicadas en gaceta del gobierno el 13 del mes y año que transcurre 6. solicito documento oficial con los criterios de valoración que aplicará la comisión legislativa de vigilancia a los aspirantes, es decir sí será binario o porcentual el valor que se asigne a cada documento, entrevista y evaluación integral, deseo conocer el documento y la instancia que lo autoriza 7. solicito documento oficial con los derechos que tiene un diputado asociado a una comisión o comité legislativo, y documento que constate que se hizo de conocimiento a los 75 diputados para su aplicación 8. quiénes son los aspirantes registrados para la designación de auditor superior y quiénes son los aspirantes que se presentaron y no fueron registrados al no cumplir con los requisitos 9. solicito copia del sobre (o similar) sellado y firmado por los aspirantes registrados que contenga la documentación entregada, que de constancia que se encuentran resguardados hasta su apertura en presencia de la comisión legislativa de vigilancia 10. solicito copia de los documentos entregado por los aspirantes registrados para la designación de auditor superior y de los documentos que conste la evaluación realizada por parte de la comisión legislativa de vigilancia.” </w:t>
      </w:r>
      <w:r w:rsidRPr="00D167AA">
        <w:rPr>
          <w:rFonts w:ascii="Palatino Linotype" w:hAnsi="Palatino Linotype"/>
          <w:sz w:val="22"/>
          <w:szCs w:val="22"/>
        </w:rPr>
        <w:t>(Sic)</w:t>
      </w:r>
      <w:bookmarkStart w:id="0" w:name="_Ref516764469"/>
      <w:bookmarkStart w:id="1" w:name="_Ref531692384"/>
    </w:p>
    <w:p w:rsidR="0089642C" w:rsidRPr="00D167AA" w:rsidRDefault="0089642C" w:rsidP="008D671B">
      <w:pPr>
        <w:pStyle w:val="Prrafodelista"/>
        <w:numPr>
          <w:ilvl w:val="0"/>
          <w:numId w:val="3"/>
        </w:numPr>
        <w:tabs>
          <w:tab w:val="left" w:pos="709"/>
        </w:tabs>
        <w:spacing w:before="100" w:beforeAutospacing="1" w:after="100" w:afterAutospacing="1" w:line="360" w:lineRule="auto"/>
        <w:ind w:left="0" w:firstLine="0"/>
        <w:jc w:val="both"/>
        <w:rPr>
          <w:rFonts w:ascii="Palatino Linotype" w:hAnsi="Palatino Linotype" w:cs="Arial"/>
        </w:rPr>
      </w:pPr>
      <w:r w:rsidRPr="00D167AA">
        <w:rPr>
          <w:rFonts w:ascii="Palatino Linotype" w:hAnsi="Palatino Linotype" w:cs="Arial"/>
        </w:rPr>
        <w:t xml:space="preserve"> </w:t>
      </w:r>
      <w:r w:rsidRPr="00D167AA">
        <w:rPr>
          <w:rFonts w:ascii="Palatino Linotype" w:hAnsi="Palatino Linotype" w:cs="Arial"/>
          <w:szCs w:val="20"/>
        </w:rPr>
        <w:t xml:space="preserve">De las constancias que obran en el expediente electrónico del </w:t>
      </w:r>
      <w:r w:rsidRPr="00D167AA">
        <w:rPr>
          <w:rFonts w:ascii="Palatino Linotype" w:hAnsi="Palatino Linotype" w:cs="Arial"/>
          <w:b/>
          <w:szCs w:val="20"/>
        </w:rPr>
        <w:t>SAIMEX</w:t>
      </w:r>
      <w:r w:rsidRPr="00D167AA">
        <w:rPr>
          <w:rFonts w:ascii="Palatino Linotype" w:hAnsi="Palatino Linotype" w:cs="Arial"/>
          <w:szCs w:val="20"/>
        </w:rPr>
        <w:t>, en fecha veintiuno de enero de dos mil veinte, el Titular de la Unidad de Transparencia del</w:t>
      </w:r>
      <w:r w:rsidRPr="00D167AA">
        <w:rPr>
          <w:rFonts w:ascii="Palatino Linotype" w:hAnsi="Palatino Linotype" w:cs="Arial"/>
          <w:b/>
          <w:szCs w:val="20"/>
        </w:rPr>
        <w:t xml:space="preserve"> SUJETO OBLIGADO,</w:t>
      </w:r>
      <w:r w:rsidRPr="00D167AA">
        <w:rPr>
          <w:rFonts w:ascii="Palatino Linotype" w:hAnsi="Palatino Linotype" w:cs="Arial"/>
          <w:szCs w:val="20"/>
        </w:rPr>
        <w:t xml:space="preserve"> mediante los folios números </w:t>
      </w:r>
      <w:r w:rsidRPr="00D167AA">
        <w:rPr>
          <w:rFonts w:ascii="Palatino Linotype" w:hAnsi="Palatino Linotype"/>
          <w:b/>
          <w:bCs/>
        </w:rPr>
        <w:t xml:space="preserve">00027/PLEGISLA/IP/2020/TSP0001 </w:t>
      </w:r>
      <w:r w:rsidRPr="00D167AA">
        <w:rPr>
          <w:rFonts w:ascii="Palatino Linotype" w:hAnsi="Palatino Linotype"/>
          <w:bCs/>
        </w:rPr>
        <w:t xml:space="preserve">y </w:t>
      </w:r>
      <w:r w:rsidRPr="00D167AA">
        <w:rPr>
          <w:rFonts w:ascii="Palatino Linotype" w:hAnsi="Palatino Linotype"/>
          <w:b/>
          <w:bCs/>
        </w:rPr>
        <w:t>00027/PLEGISLA/IP/2020/TSP/0002</w:t>
      </w:r>
      <w:r w:rsidRPr="00D167AA">
        <w:rPr>
          <w:rFonts w:ascii="Palatino Linotype" w:hAnsi="Palatino Linotype" w:cs="Arial"/>
          <w:szCs w:val="20"/>
        </w:rPr>
        <w:t>, turnó los requerimientos de información al Abogado Dictaminador de la Secretaria de Asuntos Parlamentarios y al Secretario Técnico, en su calidad de Servidores Públicos Habilitados</w:t>
      </w:r>
      <w:r w:rsidRPr="00D167AA">
        <w:rPr>
          <w:rStyle w:val="Refdenotaalpie"/>
          <w:rFonts w:ascii="Palatino Linotype" w:hAnsi="Palatino Linotype" w:cs="Arial"/>
          <w:szCs w:val="20"/>
        </w:rPr>
        <w:footnoteReference w:id="2"/>
      </w:r>
      <w:r w:rsidRPr="00D167AA">
        <w:rPr>
          <w:rFonts w:ascii="Palatino Linotype" w:hAnsi="Palatino Linotype" w:cs="Arial"/>
          <w:szCs w:val="20"/>
        </w:rPr>
        <w:t>, a fin de colmar la solicitud de acceso a la información; tal y como, se aprecia en la siguiente imagen:</w:t>
      </w:r>
    </w:p>
    <w:p w:rsidR="0089642C" w:rsidRPr="00D167AA" w:rsidRDefault="00531402" w:rsidP="0089642C">
      <w:pPr>
        <w:pStyle w:val="Prrafodelista"/>
        <w:tabs>
          <w:tab w:val="left" w:pos="709"/>
        </w:tabs>
        <w:spacing w:before="100" w:beforeAutospacing="1" w:after="100" w:afterAutospacing="1" w:line="360" w:lineRule="auto"/>
        <w:ind w:left="0"/>
        <w:jc w:val="both"/>
        <w:rPr>
          <w:rFonts w:ascii="Palatino Linotype" w:hAnsi="Palatino Linotype" w:cs="Arial"/>
        </w:rPr>
      </w:pPr>
      <w:r w:rsidRPr="00531402">
        <w:rPr>
          <w:rFonts w:ascii="Palatino Linotype" w:hAnsi="Palatino Linotype" w:cs="Arial"/>
          <w:noProof/>
          <w:lang w:eastAsia="es-MX"/>
        </w:rPr>
        <w:pict>
          <v:line id="Conector recto 3"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0.95pt,6.05pt" to="423.4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" strokecolor="#4f81bd [3204]" strokeweight="2pt">
            <v:shadow on="t" opacity="24903f" origin=",.5" offset="0,20000emu"/>
          </v:line>
        </w:pict>
      </w:r>
    </w:p>
    <w:p w:rsidR="0089642C" w:rsidRPr="00D167AA" w:rsidRDefault="0089642C" w:rsidP="0089642C">
      <w:pPr>
        <w:pStyle w:val="Prrafodelista"/>
        <w:tabs>
          <w:tab w:val="left" w:pos="709"/>
        </w:tabs>
        <w:spacing w:before="100" w:beforeAutospacing="1" w:after="100" w:afterAutospacing="1" w:line="360" w:lineRule="auto"/>
        <w:ind w:left="0"/>
        <w:jc w:val="both"/>
        <w:rPr>
          <w:rFonts w:ascii="Palatino Linotype" w:hAnsi="Palatino Linotype" w:cs="Arial"/>
        </w:rPr>
      </w:pPr>
      <w:r w:rsidRPr="00D167AA">
        <w:rPr>
          <w:noProof/>
          <w:lang w:val="es-ES_tradnl" w:eastAsia="es-ES_tradnl"/>
        </w:rPr>
        <w:drawing>
          <wp:inline distT="0" distB="0" distL="0" distR="0">
            <wp:extent cx="5734050" cy="1314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486" t="31299" r="13332" b="49980"/>
                    <a:stretch/>
                  </pic:blipFill>
                  <pic:spPr bwMode="auto">
                    <a:xfrm>
                      <a:off x="0" y="0"/>
                      <a:ext cx="5734050" cy="13144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inline>
        </w:drawing>
      </w:r>
    </w:p>
    <w:p w:rsidR="0089642C" w:rsidRPr="00D167AA" w:rsidRDefault="0089642C" w:rsidP="008D671B">
      <w:pPr>
        <w:pStyle w:val="Prrafodelista"/>
        <w:numPr>
          <w:ilvl w:val="0"/>
          <w:numId w:val="3"/>
        </w:numPr>
        <w:tabs>
          <w:tab w:val="left" w:pos="709"/>
        </w:tabs>
        <w:spacing w:before="100" w:beforeAutospacing="1" w:after="100" w:afterAutospacing="1" w:line="360" w:lineRule="auto"/>
        <w:ind w:left="0" w:firstLine="0"/>
        <w:jc w:val="both"/>
        <w:rPr>
          <w:rFonts w:ascii="Palatino Linotype" w:hAnsi="Palatino Linotype" w:cs="Arial"/>
        </w:rPr>
      </w:pPr>
      <w:r w:rsidRPr="00D167AA">
        <w:rPr>
          <w:rFonts w:ascii="Palatino Linotype" w:eastAsia="Calibri" w:hAnsi="Palatino Linotype"/>
          <w:szCs w:val="22"/>
          <w:lang w:eastAsia="en-US"/>
        </w:rPr>
        <w:t xml:space="preserve">Posteriormente, con fecha once de febrero de dos mil veinte, </w:t>
      </w:r>
      <w:r w:rsidRPr="00D167AA">
        <w:rPr>
          <w:rFonts w:ascii="Palatino Linotype" w:eastAsia="Calibri" w:hAnsi="Palatino Linotype"/>
          <w:b/>
          <w:szCs w:val="22"/>
          <w:lang w:eastAsia="en-US"/>
        </w:rPr>
        <w:t>EL SUJETO OBLIGADO</w:t>
      </w:r>
      <w:r w:rsidRPr="00D167AA">
        <w:rPr>
          <w:rFonts w:ascii="Palatino Linotype" w:eastAsia="Calibri" w:hAnsi="Palatino Linotype"/>
          <w:szCs w:val="22"/>
          <w:lang w:eastAsia="en-US"/>
        </w:rPr>
        <w:t xml:space="preserve"> prorrogó el plazo para atender la solicitud de acceso a la información pública por siete días hábiles adicionales, en los términos siguientes:</w:t>
      </w:r>
    </w:p>
    <w:p w:rsidR="0089642C" w:rsidRPr="00D167AA" w:rsidRDefault="0089642C" w:rsidP="0089642C">
      <w:pPr>
        <w:pStyle w:val="Prrafodelista"/>
        <w:tabs>
          <w:tab w:val="left" w:pos="709"/>
        </w:tabs>
        <w:ind w:left="851" w:right="902"/>
        <w:jc w:val="both"/>
        <w:rPr>
          <w:rFonts w:ascii="Palatino Linotype" w:hAnsi="Palatino Linotype" w:cs="Arial"/>
          <w:i/>
          <w:sz w:val="22"/>
        </w:rPr>
      </w:pPr>
      <w:r w:rsidRPr="00D167AA">
        <w:rPr>
          <w:rFonts w:ascii="Palatino Linotype" w:eastAsia="Calibri" w:hAnsi="Palatino Linotype"/>
          <w:i/>
          <w:sz w:val="22"/>
          <w:szCs w:val="22"/>
          <w:lang w:eastAsia="en-US"/>
        </w:rPr>
        <w:t>“Con fundamento en el artículo 46 de la Ley de Transparencia y Acceso a la Información Pública del Estado de México y Municipios, se le hace de su conocimiento que el plazo de 15 días hábiles para atender su solicitud de información ha sido prorrogado por 7 días en virtud de las siguientes razones: El servidor público habilitado de la Secretaria de Asuntos Parlamentarios del Poder Legislativo, con fundamento en lo dispuesto por el párrafo segundo del artículo 163 de la Ley de la Materia, ha solicitado la ampliación del plazo de respuesta hasta por siete días, con la finalidad de continuar con la búsqueda y localización de la información. En virtud de lo anterior se hace de su conocimiento que el Comité de Transparencia en la Primera Sesión Extraordinaria de 2017, mediante Acuerdo PLEGISLA/LIX/CI/01ªext/2017/TERCERO, ha tenido a bien aprobar la ampliación del plazo en aquellos casos en los que sea necesario y justificable, en términos del artículo 49 fracción II de la Ley de Transparencia y Acceso a la Información Pública del Estado de México. En ese sentido, una vez que haya concluido la búsqueda de los documentos requeridos, este Sujeto Obligado lo hará de su conocimiento dentro de los plazos establecidos en la Ley.” (Sic)</w:t>
      </w:r>
    </w:p>
    <w:p w:rsidR="0089642C" w:rsidRPr="00D167AA" w:rsidRDefault="0089642C" w:rsidP="0089642C">
      <w:pPr>
        <w:spacing w:before="100" w:beforeAutospacing="1" w:after="100" w:afterAutospacing="1" w:line="360" w:lineRule="auto"/>
        <w:jc w:val="both"/>
        <w:rPr>
          <w:rFonts w:ascii="Palatino Linotype" w:eastAsia="Calibri" w:hAnsi="Palatino Linotype"/>
          <w:szCs w:val="22"/>
          <w:lang w:eastAsia="en-US"/>
        </w:rPr>
      </w:pPr>
      <w:r w:rsidRPr="00D167AA">
        <w:rPr>
          <w:rFonts w:ascii="Palatino Linotype" w:eastAsia="Calibri" w:hAnsi="Palatino Linotype"/>
          <w:szCs w:val="22"/>
          <w:lang w:eastAsia="en-US"/>
        </w:rPr>
        <w:t>Asimismo, no pasa desapercibido para la Ponencia Resolutora que dicho Acuerdo de ampliación de plazo para dar respuesta no cumplió con lo establecido en el artículo 163 de la Ley de Transparencia y Acceso a la Información Pública del Estado de México y Municipios, toda vez que si bien se refirió un Acuerdo mediante el cual se aprobó la ampliación de plazo, el mismo no fue remitido.</w:t>
      </w:r>
    </w:p>
    <w:p w:rsidR="0089642C" w:rsidRPr="00D167AA" w:rsidRDefault="0089642C" w:rsidP="008D671B">
      <w:pPr>
        <w:pStyle w:val="Prrafodelista"/>
        <w:numPr>
          <w:ilvl w:val="0"/>
          <w:numId w:val="3"/>
        </w:numPr>
        <w:tabs>
          <w:tab w:val="left" w:pos="709"/>
        </w:tabs>
        <w:spacing w:before="100" w:beforeAutospacing="1" w:after="100" w:afterAutospacing="1" w:line="360" w:lineRule="auto"/>
        <w:ind w:left="0" w:firstLine="0"/>
        <w:jc w:val="both"/>
        <w:rPr>
          <w:rFonts w:ascii="Palatino Linotype" w:hAnsi="Palatino Linotype" w:cs="Arial"/>
        </w:rPr>
      </w:pPr>
      <w:r w:rsidRPr="00D167AA">
        <w:rPr>
          <w:rFonts w:ascii="Palatino Linotype" w:hAnsi="Palatino Linotype" w:cs="Arial"/>
        </w:rPr>
        <w:t xml:space="preserve">Hecho lo anterior, el día veinte de febrero de dos mil veinte, </w:t>
      </w:r>
      <w:r w:rsidRPr="00D167AA">
        <w:rPr>
          <w:rFonts w:ascii="Palatino Linotype" w:hAnsi="Palatino Linotype" w:cs="Arial"/>
          <w:b/>
        </w:rPr>
        <w:t>EL SUJETO OBLIGADO</w:t>
      </w:r>
      <w:r w:rsidRPr="00D167AA">
        <w:rPr>
          <w:rFonts w:ascii="Palatino Linotype" w:hAnsi="Palatino Linotype" w:cs="Arial"/>
        </w:rPr>
        <w:t xml:space="preserve"> dio respuesta a la </w:t>
      </w:r>
      <w:r w:rsidRPr="00D167AA">
        <w:rPr>
          <w:rFonts w:ascii="Palatino Linotype" w:hAnsi="Palatino Linotype"/>
        </w:rPr>
        <w:t>solicitud</w:t>
      </w:r>
      <w:r w:rsidRPr="00D167AA">
        <w:rPr>
          <w:rFonts w:ascii="Palatino Linotype" w:hAnsi="Palatino Linotype" w:cs="Arial"/>
        </w:rPr>
        <w:t xml:space="preserve"> de </w:t>
      </w:r>
      <w:r w:rsidRPr="00D167AA">
        <w:rPr>
          <w:rFonts w:ascii="Palatino Linotype" w:hAnsi="Palatino Linotype"/>
        </w:rPr>
        <w:t>acceso</w:t>
      </w:r>
      <w:r w:rsidRPr="00D167AA">
        <w:rPr>
          <w:rFonts w:ascii="Palatino Linotype" w:hAnsi="Palatino Linotype" w:cs="Arial"/>
        </w:rPr>
        <w:t xml:space="preserve"> a la información pública requerida por </w:t>
      </w:r>
      <w:r w:rsidRPr="00D167AA">
        <w:rPr>
          <w:rFonts w:ascii="Palatino Linotype" w:hAnsi="Palatino Linotype" w:cs="Arial"/>
          <w:b/>
        </w:rPr>
        <w:t>EL RECURRENTE</w:t>
      </w:r>
      <w:r w:rsidRPr="00D167AA">
        <w:rPr>
          <w:rFonts w:ascii="Palatino Linotype" w:hAnsi="Palatino Linotype" w:cs="Arial"/>
        </w:rPr>
        <w:t>, en los siguientes términos:</w:t>
      </w:r>
      <w:bookmarkEnd w:id="0"/>
      <w:bookmarkEnd w:id="1"/>
    </w:p>
    <w:p w:rsidR="0089642C" w:rsidRPr="00D167AA" w:rsidRDefault="0089642C" w:rsidP="0089642C">
      <w:pPr>
        <w:ind w:left="709" w:right="709"/>
        <w:jc w:val="both"/>
        <w:rPr>
          <w:rFonts w:ascii="Palatino Linotype" w:hAnsi="Palatino Linotype" w:cs="Arial"/>
          <w:i/>
          <w:sz w:val="22"/>
        </w:rPr>
      </w:pPr>
      <w:r w:rsidRPr="00D167AA">
        <w:rPr>
          <w:rFonts w:ascii="Palatino Linotype" w:hAnsi="Palatino Linotype" w:cs="Arial"/>
          <w:i/>
          <w:sz w:val="22"/>
        </w:rPr>
        <w:t>“Comisión Legislativa de Vigilancia del Órgano Superior de Fiscalización Presidente Dip. Tanech Sánchez Ángeles Secretario Dip. Edgar Armando Olvera Higuera Prosecretario Dip. Francisco Rodolfo Solorza Luna Miembro Dip. Valentín González Bautista Miembro Dip. Miguel Sámano Peralta Miembro Dip. Karina Labastida Sotelo Miembro Dip. Araceli Casasola Salazar Miembro Dip. Gerardo Ulloa Pérez Miembro Dip. Adrián Manuel Galicia Salceda Miembro Dip. Juan Carlos Soto Ibarra Miembro Dip. Karla Leticia Fiesco García Miembro Dip. Jorge García Sánchez Miembro Dip. Lilia Urbina Salazar Miembro Dip. Azucena Cisneros Coss Miembro Dip. Iveth Bernal Casique • Se remite versión pública de la información que obra en los expedientes de la Dirección de Administración y Desarrollo de Personal, relativa a comprobantes académicos y documentos curriculares, de los diputados que integran la Comisión Legislativa de Vigilancia del Órgano Superior de Fiscalización Envío respuesta e información en archivos adjuntos.”</w:t>
      </w:r>
    </w:p>
    <w:p w:rsidR="0089642C" w:rsidRPr="00D167AA" w:rsidRDefault="0089642C" w:rsidP="0089642C">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sidRPr="00D167AA">
        <w:rPr>
          <w:rFonts w:ascii="Palatino Linotype" w:hAnsi="Palatino Linotype" w:cs="Arial"/>
        </w:rPr>
        <w:t xml:space="preserve">Asimismo, </w:t>
      </w:r>
      <w:r w:rsidRPr="00D167AA">
        <w:rPr>
          <w:rFonts w:ascii="Palatino Linotype" w:hAnsi="Palatino Linotype" w:cs="Arial"/>
          <w:b/>
        </w:rPr>
        <w:t>EL SUJETO OBLIGADO</w:t>
      </w:r>
      <w:r w:rsidRPr="00D167AA">
        <w:rPr>
          <w:rFonts w:ascii="Palatino Linotype" w:hAnsi="Palatino Linotype" w:cs="Arial"/>
        </w:rPr>
        <w:t xml:space="preserve"> adjuntó a su respuesta los siguientes archivos electrónicos:</w:t>
      </w:r>
    </w:p>
    <w:p w:rsidR="0089642C" w:rsidRPr="00D167AA" w:rsidRDefault="00531402" w:rsidP="0089642C">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531402">
        <w:rPr>
          <w:rFonts w:ascii="Palatino Linotype" w:hAnsi="Palatino Linotype" w:cs="Arial"/>
          <w:noProof/>
          <w:lang w:eastAsia="es-MX"/>
        </w:rPr>
        <w:pict>
          <v:line id="Conector recto 4" o:spid="_x0000_s1028"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2pt,8.15pt" to="434.7pt,2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" strokecolor="#4f81bd [3204]" strokeweight="2pt">
            <v:shadow on="t" opacity="24903f" origin=",.5" offset="0,20000emu"/>
          </v:line>
        </w:pict>
      </w:r>
    </w:p>
    <w:p w:rsidR="0089642C" w:rsidRPr="00D167AA" w:rsidRDefault="0089642C" w:rsidP="0089642C">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D167AA">
        <w:rPr>
          <w:noProof/>
          <w:lang w:val="es-ES_tradnl" w:eastAsia="es-ES_tradnl"/>
        </w:rPr>
        <w:drawing>
          <wp:inline distT="0" distB="0" distL="0" distR="0">
            <wp:extent cx="5715000" cy="74104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371" t="19598" r="35698" b="11954"/>
                    <a:stretch/>
                  </pic:blipFill>
                  <pic:spPr bwMode="auto">
                    <a:xfrm>
                      <a:off x="0" y="0"/>
                      <a:ext cx="5715000" cy="74104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inline>
        </w:drawing>
      </w:r>
    </w:p>
    <w:p w:rsidR="0089642C" w:rsidRPr="00D167AA" w:rsidRDefault="0089642C" w:rsidP="008D671B">
      <w:pPr>
        <w:pStyle w:val="Prrafodelista"/>
        <w:widowControl w:val="0"/>
        <w:numPr>
          <w:ilvl w:val="0"/>
          <w:numId w:val="7"/>
        </w:numPr>
        <w:tabs>
          <w:tab w:val="left" w:pos="0"/>
        </w:tabs>
        <w:autoSpaceDE w:val="0"/>
        <w:autoSpaceDN w:val="0"/>
        <w:adjustRightInd w:val="0"/>
        <w:spacing w:before="100" w:beforeAutospacing="1" w:after="100" w:afterAutospacing="1" w:line="360" w:lineRule="auto"/>
        <w:ind w:firstLine="131"/>
        <w:jc w:val="both"/>
        <w:rPr>
          <w:rFonts w:ascii="Palatino Linotype" w:hAnsi="Palatino Linotype" w:cs="Arial"/>
        </w:rPr>
      </w:pPr>
      <w:r w:rsidRPr="00D167AA">
        <w:rPr>
          <w:rFonts w:ascii="Palatino Linotype" w:hAnsi="Palatino Linotype" w:cs="Arial"/>
          <w:i/>
        </w:rPr>
        <w:t>Oficio 00027.pdf</w:t>
      </w:r>
      <w:r w:rsidRPr="00D167AA">
        <w:rPr>
          <w:rFonts w:ascii="Palatino Linotype" w:hAnsi="Palatino Linotype" w:cs="Arial"/>
        </w:rPr>
        <w:t xml:space="preserve"> consistente en el oficio sin número, de fecha 11 de febrero de 2020, constante de 2 fojas útiles, mediante el cual el Servidor Público Habilitado de la Secretaría de Administración y Finanzas remite el listado de los miembros de la Comisión Legislativa de Vigilancia del Órgano Superior de Fiscalización; así como, los comprobantes académicos y documentos curriculares de dichos legisladores.</w:t>
      </w:r>
    </w:p>
    <w:p w:rsidR="0089642C" w:rsidRPr="00D167AA" w:rsidRDefault="0089642C" w:rsidP="008D671B">
      <w:pPr>
        <w:pStyle w:val="Prrafodelista"/>
        <w:widowControl w:val="0"/>
        <w:numPr>
          <w:ilvl w:val="0"/>
          <w:numId w:val="7"/>
        </w:numPr>
        <w:tabs>
          <w:tab w:val="left" w:pos="0"/>
        </w:tabs>
        <w:autoSpaceDE w:val="0"/>
        <w:autoSpaceDN w:val="0"/>
        <w:adjustRightInd w:val="0"/>
        <w:spacing w:before="100" w:beforeAutospacing="1" w:after="100" w:afterAutospacing="1" w:line="360" w:lineRule="auto"/>
        <w:ind w:firstLine="131"/>
        <w:jc w:val="both"/>
        <w:rPr>
          <w:rFonts w:ascii="Palatino Linotype" w:hAnsi="Palatino Linotype" w:cs="Arial"/>
        </w:rPr>
      </w:pPr>
      <w:r w:rsidRPr="00D167AA">
        <w:rPr>
          <w:rFonts w:ascii="Palatino Linotype" w:hAnsi="Palatino Linotype" w:cs="Arial"/>
          <w:i/>
        </w:rPr>
        <w:t>Fichas y comprobantes - 027.rar</w:t>
      </w:r>
      <w:r w:rsidRPr="00D167AA">
        <w:rPr>
          <w:rFonts w:ascii="Palatino Linotype" w:hAnsi="Palatino Linotype" w:cs="Arial"/>
        </w:rPr>
        <w:t xml:space="preserve"> consistente en diversas cédulas profesionales, títulos universitarios, una constancia de estudios y un certificado de estudios, todos ellos en versión pública, correspondientes a 10 legisladores integrantes de la Comisión Legislativa de Vigilancia del Órgano Superior de Fiscalización; así como, 13 fichas curriculares y 1 Currículo de dichos integrantes.</w:t>
      </w:r>
    </w:p>
    <w:p w:rsidR="0089642C" w:rsidRPr="00D167AA" w:rsidRDefault="0089642C" w:rsidP="008D671B">
      <w:pPr>
        <w:pStyle w:val="Prrafodelista"/>
        <w:widowControl w:val="0"/>
        <w:numPr>
          <w:ilvl w:val="0"/>
          <w:numId w:val="7"/>
        </w:numPr>
        <w:tabs>
          <w:tab w:val="left" w:pos="0"/>
        </w:tabs>
        <w:autoSpaceDE w:val="0"/>
        <w:autoSpaceDN w:val="0"/>
        <w:adjustRightInd w:val="0"/>
        <w:spacing w:before="100" w:beforeAutospacing="1" w:after="100" w:afterAutospacing="1" w:line="360" w:lineRule="auto"/>
        <w:ind w:firstLine="131"/>
        <w:jc w:val="both"/>
        <w:rPr>
          <w:rFonts w:ascii="Palatino Linotype" w:hAnsi="Palatino Linotype" w:cs="Arial"/>
        </w:rPr>
      </w:pPr>
      <w:r w:rsidRPr="00D167AA">
        <w:rPr>
          <w:rFonts w:ascii="Palatino Linotype" w:hAnsi="Palatino Linotype" w:cs="Arial"/>
          <w:i/>
        </w:rPr>
        <w:t>Acta de la 6a. Sesión extraordinaria del CT 2020.pdf</w:t>
      </w:r>
      <w:r w:rsidRPr="00D167AA">
        <w:rPr>
          <w:rFonts w:ascii="Palatino Linotype" w:hAnsi="Palatino Linotype" w:cs="Arial"/>
        </w:rPr>
        <w:t xml:space="preserve"> consistente en el Acta número PLEGISLA/LX/CT/06ªext/2020, de fecha 7 de febrero de 2020, mediante la cual, en lo que interesa, se aprueba la versión pública de los comprobantes académicos y currículos de diversos legisladores, constante de 16 fojas útiles.</w:t>
      </w:r>
    </w:p>
    <w:p w:rsidR="0089642C" w:rsidRPr="00D167AA" w:rsidRDefault="0089642C" w:rsidP="008D671B">
      <w:pPr>
        <w:pStyle w:val="Prrafodelista"/>
        <w:widowControl w:val="0"/>
        <w:numPr>
          <w:ilvl w:val="0"/>
          <w:numId w:val="7"/>
        </w:numPr>
        <w:tabs>
          <w:tab w:val="left" w:pos="0"/>
        </w:tabs>
        <w:autoSpaceDE w:val="0"/>
        <w:autoSpaceDN w:val="0"/>
        <w:adjustRightInd w:val="0"/>
        <w:spacing w:before="100" w:beforeAutospacing="1" w:after="100" w:afterAutospacing="1" w:line="360" w:lineRule="auto"/>
        <w:ind w:left="709" w:firstLine="273"/>
        <w:jc w:val="both"/>
        <w:rPr>
          <w:rFonts w:ascii="Palatino Linotype" w:hAnsi="Palatino Linotype" w:cs="Arial"/>
        </w:rPr>
      </w:pPr>
      <w:r w:rsidRPr="00D167AA">
        <w:rPr>
          <w:rFonts w:ascii="Palatino Linotype" w:hAnsi="Palatino Linotype" w:cs="Arial"/>
          <w:i/>
        </w:rPr>
        <w:t>27 RESPUESTA (SOBRES).pdf</w:t>
      </w:r>
      <w:r w:rsidRPr="00D167AA">
        <w:rPr>
          <w:rFonts w:ascii="Palatino Linotype" w:hAnsi="Palatino Linotype" w:cs="Arial"/>
        </w:rPr>
        <w:t xml:space="preserve"> consistente en 35 carátulas de documentación remitida por los aspirantes a participar en el proceso de selección de la terna de la que habrá que designarse al Auditor Superior de Fiscalización del Estado de México, en supuesta versión pública.</w:t>
      </w:r>
    </w:p>
    <w:p w:rsidR="0089642C" w:rsidRPr="00D167AA" w:rsidRDefault="0089642C" w:rsidP="008D671B">
      <w:pPr>
        <w:pStyle w:val="Prrafodelista"/>
        <w:widowControl w:val="0"/>
        <w:numPr>
          <w:ilvl w:val="0"/>
          <w:numId w:val="7"/>
        </w:numPr>
        <w:autoSpaceDE w:val="0"/>
        <w:autoSpaceDN w:val="0"/>
        <w:adjustRightInd w:val="0"/>
        <w:spacing w:before="100" w:beforeAutospacing="1" w:after="100" w:afterAutospacing="1" w:line="360" w:lineRule="auto"/>
        <w:ind w:left="709" w:firstLine="142"/>
        <w:jc w:val="both"/>
        <w:rPr>
          <w:rFonts w:ascii="Palatino Linotype" w:hAnsi="Palatino Linotype" w:cs="Arial"/>
        </w:rPr>
      </w:pPr>
      <w:r w:rsidRPr="00D167AA">
        <w:rPr>
          <w:rFonts w:ascii="Palatino Linotype" w:hAnsi="Palatino Linotype" w:cs="Arial"/>
          <w:i/>
        </w:rPr>
        <w:t>0027 RESPUESTA.pdf</w:t>
      </w:r>
      <w:r w:rsidRPr="00D167AA">
        <w:rPr>
          <w:rFonts w:ascii="Palatino Linotype" w:hAnsi="Palatino Linotype" w:cs="Arial"/>
        </w:rPr>
        <w:t xml:space="preserve"> consistente en el oficio sin número, de fecha 20 de febrero de 2020, mediante el cual el Servidor Público Habilitado de la Secretaría de Administración y Finanzas remite la integración de la Comisión Legislativa de Vigilancia del Órgano Superior de Fiscalización; informa que no cuenta con documentación alguna que atienda a las solicitudes de acceso a la información marcadas con los numerales 2, 3, 4, 5 y 6, puesto que no existe disposición expresa que obligue a contar con ella; remite el fundamento legal que otorga los derechos de los diputados a integrar comisiones; así como, la liga electrónica correspondiente; manifiesta que el listado de aspirantes registrados se encuentra plasmado en el acuerdo presentado a la consideración de la </w:t>
      </w:r>
      <w:r w:rsidRPr="00D167AA">
        <w:rPr>
          <w:rFonts w:ascii="Palatino Linotype" w:hAnsi="Palatino Linotype" w:cs="Arial"/>
          <w:i/>
        </w:rPr>
        <w:t>“LX Legislatura por la Comisión de Vigilancia del Órgano Superior de Fiscalización, de conformidad con lo establecido en los artículos 61 fracción XXXII de la Constitución Política del Estado Libre y Soberano de México y 10, 11, 12 y 16 de la Ley de Fiscalización Superior del Estado de México”;</w:t>
      </w:r>
      <w:r w:rsidRPr="00D167AA">
        <w:rPr>
          <w:rFonts w:ascii="Palatino Linotype" w:hAnsi="Palatino Linotype" w:cs="Arial"/>
        </w:rPr>
        <w:t xml:space="preserve"> así como, la liga electrónica correspondiente; remite </w:t>
      </w:r>
      <w:r w:rsidRPr="00D167AA">
        <w:rPr>
          <w:rFonts w:ascii="Palatino Linotype" w:hAnsi="Palatino Linotype"/>
        </w:rPr>
        <w:t>la parte frontal de los sobres en los que se fijó el formato, con firma y sello, que da cuenta de la recepción de cada uno de los documentos exigidos por la convocatoria para los aspirantes; omite la entrega de los documentos que fueron proporcionados por los aspirantes ya que considera que esta información es considerada como confidencial, en apego al acuerdo PLEGISLA/LX/CT/07ªext/2020/OCTAVO emitido por el Comité de Transparencia del Poder Legislativo, en sesión de fecha 20 de febrero de 2020; y, finalmente, informa que no obra en sus archivos, documento donde conste la evaluación realizada por parte de la Comisión Legislativa de Vigilancia del Órgano Superior de Fiscalización, en virtud de que no existe disposición, en la legislación aplicable, que obligue a su existencia,</w:t>
      </w:r>
      <w:r w:rsidRPr="00D167AA">
        <w:rPr>
          <w:rFonts w:ascii="Palatino Linotype" w:hAnsi="Palatino Linotype" w:cs="Arial"/>
        </w:rPr>
        <w:t xml:space="preserve"> constate de 5 fojas útiles.</w:t>
      </w:r>
    </w:p>
    <w:p w:rsidR="0089642C" w:rsidRPr="00D167AA" w:rsidRDefault="0089642C" w:rsidP="008D671B">
      <w:pPr>
        <w:pStyle w:val="Prrafodelista"/>
        <w:widowControl w:val="0"/>
        <w:numPr>
          <w:ilvl w:val="0"/>
          <w:numId w:val="7"/>
        </w:numPr>
        <w:tabs>
          <w:tab w:val="left" w:pos="709"/>
        </w:tabs>
        <w:autoSpaceDE w:val="0"/>
        <w:autoSpaceDN w:val="0"/>
        <w:adjustRightInd w:val="0"/>
        <w:spacing w:before="100" w:beforeAutospacing="1" w:after="100" w:afterAutospacing="1" w:line="360" w:lineRule="auto"/>
        <w:ind w:left="709" w:firstLine="142"/>
        <w:jc w:val="both"/>
        <w:rPr>
          <w:rFonts w:ascii="Palatino Linotype" w:hAnsi="Palatino Linotype" w:cs="Arial"/>
        </w:rPr>
      </w:pPr>
      <w:r w:rsidRPr="00D167AA">
        <w:rPr>
          <w:rFonts w:ascii="Palatino Linotype" w:hAnsi="Palatino Linotype" w:cs="Arial"/>
          <w:i/>
        </w:rPr>
        <w:t>Acta de la 7a. Sesión extraordinaria del CT 2020.pdf</w:t>
      </w:r>
      <w:r w:rsidRPr="00D167AA">
        <w:rPr>
          <w:rFonts w:ascii="Palatino Linotype" w:hAnsi="Palatino Linotype" w:cs="Arial"/>
        </w:rPr>
        <w:t xml:space="preserve"> consistente en el Acta número PLEGISLA/LX/CT/07ªext/2020, de fecha 20 de febrero de 2020, mediante la cual, en lo que interesa, se aprueba la clasificación como confidencial de los documentos que remitieron los aspirantes a participar en el proceso de selección de la terna de la que habrá que designarse al Auditor Superior de Fiscalización del Estado de México, constante de 18 fojas útiles.</w:t>
      </w:r>
    </w:p>
    <w:p w:rsidR="0089642C" w:rsidRPr="00D167AA" w:rsidRDefault="0089642C" w:rsidP="008D671B">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D167AA">
        <w:rPr>
          <w:rFonts w:ascii="Palatino Linotype" w:hAnsi="Palatino Linotype"/>
        </w:rPr>
        <w:t xml:space="preserve">Inconforme con la respuesta del </w:t>
      </w:r>
      <w:r w:rsidRPr="00D167AA">
        <w:rPr>
          <w:rFonts w:ascii="Palatino Linotype" w:hAnsi="Palatino Linotype"/>
          <w:b/>
        </w:rPr>
        <w:t>SUJETO OBLIGADO</w:t>
      </w:r>
      <w:r w:rsidRPr="00D167AA">
        <w:rPr>
          <w:rFonts w:ascii="Palatino Linotype" w:hAnsi="Palatino Linotype"/>
        </w:rPr>
        <w:t xml:space="preserve">, en fecha veintisiete de febrero de dos mil veinte, </w:t>
      </w:r>
      <w:r w:rsidRPr="00D167AA">
        <w:rPr>
          <w:rFonts w:ascii="Palatino Linotype" w:hAnsi="Palatino Linotype" w:cs="Arial"/>
          <w:b/>
        </w:rPr>
        <w:t>EL RECURRENTE</w:t>
      </w:r>
      <w:r w:rsidRPr="00D167AA">
        <w:rPr>
          <w:rFonts w:ascii="Palatino Linotype" w:hAnsi="Palatino Linotype"/>
        </w:rPr>
        <w:t>, a través del</w:t>
      </w:r>
      <w:r w:rsidRPr="00D167AA">
        <w:rPr>
          <w:rFonts w:ascii="Palatino Linotype" w:hAnsi="Palatino Linotype"/>
          <w:b/>
        </w:rPr>
        <w:t xml:space="preserve"> SAIMEX, </w:t>
      </w:r>
      <w:r w:rsidRPr="00D167AA">
        <w:rPr>
          <w:rFonts w:ascii="Palatino Linotype" w:hAnsi="Palatino Linotype"/>
        </w:rPr>
        <w:t xml:space="preserve">interpuso el recurso de revisión objeto del </w:t>
      </w:r>
      <w:r w:rsidRPr="00D167AA">
        <w:rPr>
          <w:rFonts w:ascii="Palatino Linotype" w:hAnsi="Palatino Linotype" w:cs="Arial"/>
        </w:rPr>
        <w:t>presente</w:t>
      </w:r>
      <w:r w:rsidRPr="00D167AA">
        <w:rPr>
          <w:rFonts w:ascii="Palatino Linotype" w:hAnsi="Palatino Linotype"/>
        </w:rPr>
        <w:t xml:space="preserve"> estudio, al que se le asignó el </w:t>
      </w:r>
      <w:r w:rsidRPr="00D167AA">
        <w:rPr>
          <w:rFonts w:ascii="Palatino Linotype" w:hAnsi="Palatino Linotype" w:cs="Arial"/>
        </w:rPr>
        <w:t>número al rubro citado, en el que señaló como acto impugnado, lo siguiente:</w:t>
      </w:r>
      <w:bookmarkEnd w:id="2"/>
    </w:p>
    <w:p w:rsidR="0089642C" w:rsidRPr="00D167AA" w:rsidRDefault="0089642C" w:rsidP="0089642C">
      <w:pPr>
        <w:spacing w:before="100" w:beforeAutospacing="1" w:after="100" w:afterAutospacing="1"/>
        <w:ind w:left="709" w:right="709"/>
        <w:jc w:val="both"/>
        <w:rPr>
          <w:rFonts w:ascii="Palatino Linotype" w:hAnsi="Palatino Linotype" w:cs="Arial"/>
          <w:sz w:val="22"/>
          <w:szCs w:val="22"/>
          <w:lang w:eastAsia="es-MX"/>
        </w:rPr>
      </w:pPr>
      <w:r w:rsidRPr="00D167AA">
        <w:rPr>
          <w:rFonts w:ascii="Palatino Linotype" w:hAnsi="Palatino Linotype" w:cs="Arial"/>
          <w:i/>
          <w:sz w:val="22"/>
          <w:szCs w:val="22"/>
          <w:lang w:eastAsia="es-MX"/>
        </w:rPr>
        <w:t>“</w:t>
      </w:r>
      <w:r w:rsidRPr="00D167AA">
        <w:rPr>
          <w:rFonts w:ascii="Palatino Linotype" w:hAnsi="Palatino Linotype" w:cs="Arial"/>
          <w:i/>
          <w:sz w:val="22"/>
          <w:szCs w:val="22"/>
        </w:rPr>
        <w:t>los datos que adjuntan no atienden la solicitud de información en su totalidad.</w:t>
      </w:r>
      <w:r w:rsidRPr="00D167AA">
        <w:rPr>
          <w:rFonts w:ascii="Palatino Linotype" w:hAnsi="Palatino Linotype" w:cs="Arial"/>
          <w:i/>
          <w:sz w:val="22"/>
          <w:szCs w:val="22"/>
          <w:lang w:eastAsia="es-MX"/>
        </w:rPr>
        <w:t xml:space="preserve">” </w:t>
      </w:r>
      <w:r w:rsidRPr="00D167AA">
        <w:rPr>
          <w:rFonts w:ascii="Palatino Linotype" w:hAnsi="Palatino Linotype" w:cs="Arial"/>
          <w:sz w:val="22"/>
          <w:szCs w:val="22"/>
          <w:lang w:eastAsia="es-MX"/>
        </w:rPr>
        <w:t>(Sic)</w:t>
      </w:r>
    </w:p>
    <w:p w:rsidR="0089642C" w:rsidRPr="00D167AA" w:rsidRDefault="0089642C" w:rsidP="0089642C">
      <w:pPr>
        <w:pStyle w:val="Prrafodelista"/>
        <w:spacing w:before="100" w:beforeAutospacing="1" w:after="100" w:afterAutospacing="1" w:line="360" w:lineRule="auto"/>
        <w:ind w:left="0"/>
        <w:jc w:val="both"/>
        <w:rPr>
          <w:rFonts w:ascii="Palatino Linotype" w:hAnsi="Palatino Linotype"/>
        </w:rPr>
      </w:pPr>
      <w:r w:rsidRPr="00D167AA">
        <w:rPr>
          <w:rFonts w:ascii="Palatino Linotype" w:hAnsi="Palatino Linotype" w:cs="Arial"/>
        </w:rPr>
        <w:t>Asimismo</w:t>
      </w:r>
      <w:r w:rsidRPr="00D167AA">
        <w:rPr>
          <w:rFonts w:ascii="Palatino Linotype" w:hAnsi="Palatino Linotype"/>
        </w:rPr>
        <w:t xml:space="preserve">, </w:t>
      </w:r>
      <w:r w:rsidRPr="00D167AA">
        <w:rPr>
          <w:rFonts w:ascii="Palatino Linotype" w:hAnsi="Palatino Linotype" w:cs="Arial"/>
          <w:b/>
        </w:rPr>
        <w:t xml:space="preserve">EL RECURRENTE </w:t>
      </w:r>
      <w:r w:rsidRPr="00D167AA">
        <w:rPr>
          <w:rFonts w:ascii="Palatino Linotype" w:hAnsi="Palatino Linotype"/>
        </w:rPr>
        <w:t>indicó como razones o motivos de inconformidad:</w:t>
      </w:r>
    </w:p>
    <w:p w:rsidR="0089642C" w:rsidRPr="00D167AA" w:rsidRDefault="0089642C" w:rsidP="0089642C">
      <w:pPr>
        <w:spacing w:before="100" w:beforeAutospacing="1" w:after="100" w:afterAutospacing="1"/>
        <w:ind w:left="709" w:right="709"/>
        <w:jc w:val="both"/>
        <w:rPr>
          <w:rFonts w:ascii="Palatino Linotype" w:hAnsi="Palatino Linotype" w:cs="Arial"/>
          <w:sz w:val="22"/>
          <w:szCs w:val="22"/>
          <w:lang w:eastAsia="es-MX"/>
        </w:rPr>
      </w:pPr>
      <w:r w:rsidRPr="00D167AA">
        <w:rPr>
          <w:rFonts w:ascii="Palatino Linotype" w:hAnsi="Palatino Linotype" w:cs="Arial"/>
          <w:i/>
          <w:sz w:val="22"/>
          <w:szCs w:val="22"/>
          <w:lang w:eastAsia="es-MX"/>
        </w:rPr>
        <w:t xml:space="preserve">“los datos que adjuntan no atienden la solicitud de información en su totalidad.” </w:t>
      </w:r>
      <w:r w:rsidRPr="00D167AA">
        <w:rPr>
          <w:rFonts w:ascii="Palatino Linotype" w:hAnsi="Palatino Linotype" w:cs="Arial"/>
          <w:sz w:val="22"/>
          <w:szCs w:val="22"/>
          <w:lang w:eastAsia="es-MX"/>
        </w:rPr>
        <w:t>(Sic)</w:t>
      </w:r>
    </w:p>
    <w:p w:rsidR="0089642C" w:rsidRPr="00D167AA" w:rsidRDefault="0089642C" w:rsidP="008D671B">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D167AA">
        <w:rPr>
          <w:rFonts w:ascii="Palatino Linotype" w:hAnsi="Palatino Linotype" w:cs="Arial"/>
        </w:rPr>
        <w:t xml:space="preserve">En fecha </w:t>
      </w:r>
      <w:r w:rsidRPr="00D167AA">
        <w:rPr>
          <w:rFonts w:ascii="Palatino Linotype" w:hAnsi="Palatino Linotype"/>
        </w:rPr>
        <w:t>veintisiete de febrero de dos mil veinte</w:t>
      </w:r>
      <w:r w:rsidRPr="00D167AA">
        <w:rPr>
          <w:rFonts w:ascii="Palatino Linotype" w:hAnsi="Palatino Linotype" w:cs="Arial"/>
        </w:rPr>
        <w:t>, el recurso de que se trata se envió electrónicamente al Instituto de Transparencia, Acceso a la Información Pública</w:t>
      </w:r>
      <w:r w:rsidRPr="00D167AA">
        <w:rPr>
          <w:rFonts w:ascii="Palatino Linotype" w:hAnsi="Palatino Linotype" w:cs="Arial"/>
          <w:lang w:val="es-ES_tradnl"/>
        </w:rPr>
        <w:t xml:space="preserve"> y </w:t>
      </w:r>
      <w:r w:rsidRPr="00D167AA">
        <w:rPr>
          <w:rFonts w:ascii="Palatino Linotype" w:hAnsi="Palatino Linotype" w:cs="Arial"/>
        </w:rPr>
        <w:t>Protección</w:t>
      </w:r>
      <w:r w:rsidRPr="00D167AA">
        <w:rPr>
          <w:rFonts w:ascii="Palatino Linotype" w:hAnsi="Palatino Linotype" w:cs="Arial"/>
          <w:lang w:val="es-ES_tradnl"/>
        </w:rPr>
        <w:t xml:space="preserve"> </w:t>
      </w:r>
      <w:r w:rsidRPr="00D167AA">
        <w:rPr>
          <w:rFonts w:ascii="Palatino Linotype" w:hAnsi="Palatino Linotype" w:cs="Arial"/>
        </w:rPr>
        <w:t>de</w:t>
      </w:r>
      <w:r w:rsidRPr="00D167AA">
        <w:rPr>
          <w:rFonts w:ascii="Palatino Linotype" w:hAnsi="Palatino Linotype" w:cs="Arial"/>
          <w:lang w:val="es-ES_tradnl"/>
        </w:rPr>
        <w:t xml:space="preserve"> </w:t>
      </w:r>
      <w:r w:rsidRPr="00D167AA">
        <w:rPr>
          <w:rFonts w:ascii="Palatino Linotype" w:hAnsi="Palatino Linotype"/>
        </w:rPr>
        <w:t>Datos</w:t>
      </w:r>
      <w:r w:rsidRPr="00D167AA">
        <w:rPr>
          <w:rFonts w:ascii="Palatino Linotype" w:hAnsi="Palatino Linotype" w:cs="Arial"/>
          <w:lang w:val="es-ES_tradnl"/>
        </w:rPr>
        <w:t xml:space="preserve"> </w:t>
      </w:r>
      <w:r w:rsidRPr="00D167AA">
        <w:rPr>
          <w:rFonts w:ascii="Palatino Linotype" w:hAnsi="Palatino Linotype" w:cs="Arial"/>
        </w:rPr>
        <w:t>Personales</w:t>
      </w:r>
      <w:r w:rsidRPr="00D167AA">
        <w:rPr>
          <w:rFonts w:ascii="Palatino Linotype" w:hAnsi="Palatino Linotype" w:cs="Arial"/>
          <w:lang w:val="es-ES_tradnl"/>
        </w:rPr>
        <w:t xml:space="preserve"> </w:t>
      </w:r>
      <w:r w:rsidRPr="00D167AA">
        <w:rPr>
          <w:rFonts w:ascii="Palatino Linotype" w:hAnsi="Palatino Linotype" w:cs="Arial"/>
        </w:rPr>
        <w:t>del</w:t>
      </w:r>
      <w:r w:rsidRPr="00D167AA">
        <w:rPr>
          <w:rFonts w:ascii="Palatino Linotype" w:hAnsi="Palatino Linotype" w:cs="Arial"/>
          <w:lang w:val="es-ES_tradnl"/>
        </w:rPr>
        <w:t xml:space="preserve"> </w:t>
      </w:r>
      <w:r w:rsidRPr="00D167AA">
        <w:rPr>
          <w:rFonts w:ascii="Palatino Linotype" w:hAnsi="Palatino Linotype"/>
        </w:rPr>
        <w:t>Estado</w:t>
      </w:r>
      <w:r w:rsidRPr="00D167AA">
        <w:rPr>
          <w:rFonts w:ascii="Palatino Linotype" w:hAnsi="Palatino Linotype" w:cs="Arial"/>
          <w:lang w:val="es-ES_tradnl"/>
        </w:rPr>
        <w:t xml:space="preserve"> de México y Municipios y con fundamento en el </w:t>
      </w:r>
      <w:r w:rsidRPr="00D167AA">
        <w:rPr>
          <w:rFonts w:ascii="Palatino Linotype" w:hAnsi="Palatino Linotype" w:cs="Arial"/>
        </w:rPr>
        <w:t>artículo</w:t>
      </w:r>
      <w:r w:rsidRPr="00D167AA">
        <w:rPr>
          <w:rFonts w:ascii="Palatino Linotype" w:hAnsi="Palatino Linotype" w:cs="Arial"/>
          <w:lang w:val="es-ES_tradnl"/>
        </w:rPr>
        <w:t xml:space="preserve"> 185, </w:t>
      </w:r>
      <w:r w:rsidRPr="00D167AA">
        <w:rPr>
          <w:rFonts w:ascii="Palatino Linotype" w:hAnsi="Palatino Linotype" w:cs="Arial"/>
        </w:rPr>
        <w:t>fracción</w:t>
      </w:r>
      <w:r w:rsidRPr="00D167AA">
        <w:rPr>
          <w:rFonts w:ascii="Palatino Linotype" w:hAnsi="Palatino Linotype" w:cs="Arial"/>
          <w:lang w:val="es-ES_tradnl"/>
        </w:rPr>
        <w:t xml:space="preserve"> I de la </w:t>
      </w:r>
      <w:r w:rsidRPr="00D167AA">
        <w:rPr>
          <w:rFonts w:ascii="Palatino Linotype" w:hAnsi="Palatino Linotype"/>
        </w:rPr>
        <w:t>Ley de Transparencia y Acceso a la Información Pública del Estado de México y Municipios</w:t>
      </w:r>
      <w:r w:rsidRPr="00D167AA">
        <w:rPr>
          <w:rFonts w:ascii="Palatino Linotype" w:hAnsi="Palatino Linotype" w:cs="Arial"/>
          <w:lang w:val="es-ES_tradnl"/>
        </w:rPr>
        <w:t>, se turnó, a través del</w:t>
      </w:r>
      <w:r w:rsidRPr="00D167AA">
        <w:rPr>
          <w:rFonts w:ascii="Palatino Linotype" w:eastAsia="Arial Unicode MS" w:hAnsi="Palatino Linotype" w:cs="Arial"/>
          <w:lang w:val="es-ES_tradnl"/>
        </w:rPr>
        <w:t xml:space="preserve"> </w:t>
      </w:r>
      <w:r w:rsidRPr="00D167AA">
        <w:rPr>
          <w:rFonts w:ascii="Palatino Linotype" w:eastAsia="Arial Unicode MS" w:hAnsi="Palatino Linotype" w:cs="Arial"/>
          <w:b/>
          <w:lang w:val="es-ES_tradnl"/>
        </w:rPr>
        <w:t>SAIMEX</w:t>
      </w:r>
      <w:r w:rsidRPr="00D167AA">
        <w:rPr>
          <w:rFonts w:ascii="Palatino Linotype" w:hAnsi="Palatino Linotype"/>
        </w:rPr>
        <w:t xml:space="preserve">, a la </w:t>
      </w:r>
      <w:r w:rsidRPr="00D167AA">
        <w:rPr>
          <w:rFonts w:ascii="Palatino Linotype" w:hAnsi="Palatino Linotype" w:cs="Arial"/>
          <w:lang w:val="es-ES_tradnl"/>
        </w:rPr>
        <w:t xml:space="preserve">Comisionada </w:t>
      </w:r>
      <w:r w:rsidRPr="00D167AA">
        <w:rPr>
          <w:rFonts w:ascii="Palatino Linotype" w:hAnsi="Palatino Linotype" w:cs="Arial"/>
          <w:b/>
          <w:lang w:val="es-ES_tradnl"/>
        </w:rPr>
        <w:t>EVA ABAID YAPUR</w:t>
      </w:r>
      <w:r w:rsidRPr="00D167AA">
        <w:rPr>
          <w:rFonts w:ascii="Palatino Linotype" w:hAnsi="Palatino Linotype" w:cs="Arial"/>
          <w:lang w:val="es-ES_tradnl"/>
        </w:rPr>
        <w:t>, a efecto de que decretara su admisión o desechamiento.</w:t>
      </w:r>
    </w:p>
    <w:p w:rsidR="0089642C" w:rsidRPr="00D167AA" w:rsidRDefault="0089642C" w:rsidP="008D671B">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D167AA">
        <w:rPr>
          <w:rFonts w:ascii="Palatino Linotype" w:hAnsi="Palatino Linotype" w:cs="Arial"/>
        </w:rPr>
        <w:t xml:space="preserve">En fecha </w:t>
      </w:r>
      <w:r w:rsidRPr="00D167AA">
        <w:rPr>
          <w:rFonts w:ascii="Palatino Linotype" w:hAnsi="Palatino Linotype"/>
        </w:rPr>
        <w:t>cinco de marzo de dos mil veinte</w:t>
      </w:r>
      <w:r w:rsidRPr="00D167AA">
        <w:rPr>
          <w:rFonts w:ascii="Palatino Linotype" w:hAnsi="Palatino Linotype" w:cs="Arial"/>
        </w:rPr>
        <w:t xml:space="preserve">, atento a lo dispuesto en el artículo 185, fracciones I, II y IV, de la </w:t>
      </w:r>
      <w:r w:rsidRPr="00D167AA">
        <w:rPr>
          <w:rFonts w:ascii="Palatino Linotype" w:hAnsi="Palatino Linotype"/>
        </w:rPr>
        <w:t xml:space="preserve">Ley de Transparencia y Acceso a la Información Pública del </w:t>
      </w:r>
      <w:r w:rsidRPr="00D167AA">
        <w:rPr>
          <w:rFonts w:ascii="Palatino Linotype" w:hAnsi="Palatino Linotype" w:cs="Arial"/>
        </w:rPr>
        <w:t>Estado</w:t>
      </w:r>
      <w:r w:rsidRPr="00D167AA">
        <w:rPr>
          <w:rFonts w:ascii="Palatino Linotype" w:hAnsi="Palatino Linotype"/>
        </w:rPr>
        <w:t xml:space="preserve"> de México y </w:t>
      </w:r>
      <w:r w:rsidRPr="00D167AA">
        <w:rPr>
          <w:rFonts w:ascii="Palatino Linotype" w:hAnsi="Palatino Linotype" w:cs="Arial"/>
          <w:lang w:val="es-ES_tradnl"/>
        </w:rPr>
        <w:t>Municipios</w:t>
      </w:r>
      <w:r w:rsidRPr="00D167AA">
        <w:rPr>
          <w:rFonts w:ascii="Palatino Linotype" w:hAnsi="Palatino Linotype"/>
        </w:rPr>
        <w:t>, se a</w:t>
      </w:r>
      <w:r w:rsidRPr="00D167AA">
        <w:rPr>
          <w:rFonts w:ascii="Palatino Linotype" w:hAnsi="Palatino Linotype" w:cs="Arial"/>
        </w:rPr>
        <w:t xml:space="preserve">cordó la admisión a trámite del referido recurso de </w:t>
      </w:r>
      <w:r w:rsidRPr="00D167AA">
        <w:rPr>
          <w:rFonts w:ascii="Palatino Linotype" w:hAnsi="Palatino Linotype" w:cs="Arial"/>
          <w:lang w:val="es-ES_tradnl"/>
        </w:rPr>
        <w:t>revisión;</w:t>
      </w:r>
      <w:r w:rsidRPr="00D167AA">
        <w:rPr>
          <w:rFonts w:ascii="Palatino Linotype" w:hAnsi="Palatino Linotype" w:cs="Arial"/>
        </w:rPr>
        <w:t xml:space="preserve"> así como, la </w:t>
      </w:r>
      <w:r w:rsidRPr="00D167AA">
        <w:rPr>
          <w:rFonts w:ascii="Palatino Linotype" w:hAnsi="Palatino Linotype" w:cs="Arial"/>
          <w:lang w:val="es-ES_tradnl"/>
        </w:rPr>
        <w:t>integración</w:t>
      </w:r>
      <w:r w:rsidRPr="00D167AA">
        <w:rPr>
          <w:rFonts w:ascii="Palatino Linotype" w:hAnsi="Palatino Linotype" w:cs="Arial"/>
        </w:rPr>
        <w:t xml:space="preserve"> del expediente respectivo, mismo que se puso a disposición de las partes, para que en el plazo máximo de siete días hábiles, </w:t>
      </w:r>
      <w:r w:rsidRPr="00D167AA">
        <w:rPr>
          <w:rFonts w:ascii="Palatino Linotype" w:hAnsi="Palatino Linotype" w:cs="Arial"/>
          <w:b/>
        </w:rPr>
        <w:t>EL RECURRENTE</w:t>
      </w:r>
      <w:r w:rsidRPr="00D167AA">
        <w:rPr>
          <w:rFonts w:ascii="Palatino Linotype" w:hAnsi="Palatino Linotype" w:cs="Arial"/>
        </w:rPr>
        <w:t xml:space="preserve"> realizara manifestaciones, alegatos y ofreciera las pruebas que a su derecho </w:t>
      </w:r>
      <w:r w:rsidRPr="00D167AA">
        <w:rPr>
          <w:rFonts w:ascii="Palatino Linotype" w:hAnsi="Palatino Linotype" w:cs="Arial"/>
          <w:lang w:val="es-ES_tradnl"/>
        </w:rPr>
        <w:t>conviniera</w:t>
      </w:r>
      <w:r w:rsidRPr="00D167AA">
        <w:rPr>
          <w:rFonts w:ascii="Palatino Linotype" w:hAnsi="Palatino Linotype" w:cs="Arial"/>
        </w:rPr>
        <w:t xml:space="preserve"> y, en el caso del</w:t>
      </w:r>
      <w:r w:rsidRPr="00D167AA">
        <w:rPr>
          <w:rFonts w:ascii="Palatino Linotype" w:hAnsi="Palatino Linotype" w:cs="Arial"/>
          <w:b/>
        </w:rPr>
        <w:t xml:space="preserve"> SUJETO OBLIGADO</w:t>
      </w:r>
      <w:r w:rsidRPr="00D167AA">
        <w:rPr>
          <w:rFonts w:ascii="Palatino Linotype" w:hAnsi="Palatino Linotype" w:cs="Arial"/>
        </w:rPr>
        <w:t>, para que exhibiera el Informe Justificado correspondiente.</w:t>
      </w:r>
    </w:p>
    <w:p w:rsidR="0089642C" w:rsidRPr="00D167AA" w:rsidRDefault="0089642C" w:rsidP="008D671B">
      <w:pPr>
        <w:pStyle w:val="Prrafodelista"/>
        <w:numPr>
          <w:ilvl w:val="0"/>
          <w:numId w:val="6"/>
        </w:numPr>
        <w:spacing w:before="240" w:after="240" w:line="360" w:lineRule="auto"/>
        <w:ind w:left="0" w:firstLine="0"/>
        <w:jc w:val="both"/>
        <w:rPr>
          <w:rFonts w:ascii="Palatino Linotype" w:hAnsi="Palatino Linotype" w:cs="Arial"/>
        </w:rPr>
      </w:pPr>
      <w:r w:rsidRPr="00D167AA">
        <w:rPr>
          <w:rFonts w:ascii="Palatino Linotype" w:hAnsi="Palatino Linotype" w:cs="Arial"/>
        </w:rPr>
        <w:t xml:space="preserve">De las constancias que obran en el </w:t>
      </w:r>
      <w:r w:rsidRPr="00D167AA">
        <w:rPr>
          <w:rFonts w:ascii="Palatino Linotype" w:hAnsi="Palatino Linotype" w:cs="Arial"/>
          <w:b/>
        </w:rPr>
        <w:t>SAIMEX</w:t>
      </w:r>
      <w:r w:rsidRPr="00D167AA">
        <w:rPr>
          <w:rFonts w:ascii="Palatino Linotype" w:hAnsi="Palatino Linotype" w:cs="Arial"/>
        </w:rPr>
        <w:t xml:space="preserve">, se desprende que, </w:t>
      </w:r>
      <w:r w:rsidRPr="00D167AA">
        <w:rPr>
          <w:rFonts w:ascii="Palatino Linotype" w:hAnsi="Palatino Linotype" w:cs="Arial"/>
          <w:b/>
        </w:rPr>
        <w:t>EL SUJETO OBLIGADO</w:t>
      </w:r>
      <w:r w:rsidRPr="00D167AA">
        <w:rPr>
          <w:rFonts w:ascii="Palatino Linotype" w:hAnsi="Palatino Linotype" w:cs="Arial"/>
        </w:rPr>
        <w:t>, en fecha dieciocho de marzo de dos mil veinte, rindió su Informe Justificado en los siguientes términos:</w:t>
      </w:r>
    </w:p>
    <w:p w:rsidR="0089642C" w:rsidRPr="00D167AA" w:rsidRDefault="00531402" w:rsidP="0089642C">
      <w:pPr>
        <w:pStyle w:val="Prrafodelista"/>
        <w:spacing w:before="240" w:after="240" w:line="360" w:lineRule="auto"/>
        <w:ind w:left="0"/>
        <w:jc w:val="both"/>
        <w:rPr>
          <w:rFonts w:ascii="Palatino Linotype" w:hAnsi="Palatino Linotype" w:cs="Arial"/>
        </w:rPr>
      </w:pPr>
      <w:r w:rsidRPr="00531402">
        <w:rPr>
          <w:rFonts w:ascii="Palatino Linotype" w:hAnsi="Palatino Linotype" w:cs="Arial"/>
          <w:noProof/>
          <w:lang w:eastAsia="es-MX"/>
        </w:rPr>
        <w:pict>
          <v:line id="Conector recto 5" o:spid="_x0000_s1027" style="position:absolute;left:0;text-align:left;z-index:251659264;visibility:visible;mso-wrap-style:square;mso-wrap-distance-left:9pt;mso-wrap-distance-top:0;mso-wrap-distance-right:9pt;mso-wrap-distance-bottom:0;mso-position-horizontal:absolute;mso-position-horizontal-relative:margin;mso-position-vertical:absolute;mso-position-vertical-relative:text;mso-width-relative:margin;mso-height-relative:margin" from="7.35pt,11.4pt" to="450pt,3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" strokecolor="#4f81bd [3204]" strokeweight="2pt">
            <v:shadow on="t" opacity="24903f" origin=",.5" offset="0,20000emu"/>
            <w10:wrap anchorx="margin"/>
          </v:line>
        </w:pict>
      </w:r>
    </w:p>
    <w:p w:rsidR="0089642C" w:rsidRPr="00D167AA" w:rsidRDefault="0089642C" w:rsidP="0089642C">
      <w:pPr>
        <w:pStyle w:val="Prrafodelista"/>
        <w:spacing w:before="240" w:after="240" w:line="360" w:lineRule="auto"/>
        <w:ind w:left="0"/>
        <w:jc w:val="both"/>
        <w:rPr>
          <w:rFonts w:ascii="Palatino Linotype" w:hAnsi="Palatino Linotype" w:cs="Arial"/>
        </w:rPr>
      </w:pPr>
      <w:r w:rsidRPr="00D167AA">
        <w:rPr>
          <w:noProof/>
          <w:lang w:val="es-ES_tradnl" w:eastAsia="es-ES_tradnl"/>
        </w:rPr>
        <w:drawing>
          <wp:inline distT="0" distB="0" distL="0" distR="0">
            <wp:extent cx="5753457" cy="7349706"/>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704" t="19604" r="35652" b="12566"/>
                    <a:stretch/>
                  </pic:blipFill>
                  <pic:spPr bwMode="auto">
                    <a:xfrm>
                      <a:off x="0" y="0"/>
                      <a:ext cx="5769015" cy="73695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inline>
        </w:drawing>
      </w:r>
      <w:r w:rsidRPr="00D167AA">
        <w:rPr>
          <w:noProof/>
          <w:lang w:eastAsia="es-MX"/>
        </w:rPr>
        <w:t xml:space="preserve"> </w:t>
      </w:r>
      <w:r w:rsidRPr="00D167AA">
        <w:rPr>
          <w:noProof/>
          <w:lang w:val="es-ES_tradnl" w:eastAsia="es-ES_tradnl"/>
        </w:rPr>
        <w:drawing>
          <wp:inline distT="0" distB="0" distL="0" distR="0">
            <wp:extent cx="5791165" cy="7272068"/>
            <wp:effectExtent l="0" t="0" r="63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704" t="19604" r="35652" b="15745"/>
                    <a:stretch/>
                  </pic:blipFill>
                  <pic:spPr bwMode="auto">
                    <a:xfrm>
                      <a:off x="0" y="0"/>
                      <a:ext cx="5808452" cy="72937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inline>
        </w:drawing>
      </w:r>
      <w:r w:rsidRPr="00D167AA">
        <w:rPr>
          <w:noProof/>
          <w:lang w:eastAsia="es-MX"/>
        </w:rPr>
        <w:t xml:space="preserve"> </w:t>
      </w:r>
      <w:r w:rsidRPr="00D167AA">
        <w:rPr>
          <w:noProof/>
          <w:lang w:val="es-ES_tradnl" w:eastAsia="es-ES_tradnl"/>
        </w:rPr>
        <w:drawing>
          <wp:inline distT="0" distB="0" distL="0" distR="0">
            <wp:extent cx="5761511" cy="743597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554" t="16690" r="35805" b="15488"/>
                    <a:stretch/>
                  </pic:blipFill>
                  <pic:spPr bwMode="auto">
                    <a:xfrm>
                      <a:off x="0" y="0"/>
                      <a:ext cx="5771268" cy="744856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inline>
        </w:drawing>
      </w:r>
      <w:r w:rsidRPr="00D167AA">
        <w:rPr>
          <w:noProof/>
          <w:lang w:eastAsia="es-MX"/>
        </w:rPr>
        <w:t xml:space="preserve"> </w:t>
      </w:r>
      <w:r w:rsidRPr="00D167AA">
        <w:rPr>
          <w:noProof/>
          <w:lang w:val="es-ES_tradnl" w:eastAsia="es-ES_tradnl"/>
        </w:rPr>
        <w:drawing>
          <wp:inline distT="0" distB="0" distL="0" distR="0">
            <wp:extent cx="5769319" cy="7116793"/>
            <wp:effectExtent l="0" t="0" r="317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04" t="19604" r="35801" b="12566"/>
                    <a:stretch/>
                  </pic:blipFill>
                  <pic:spPr bwMode="auto">
                    <a:xfrm>
                      <a:off x="0" y="0"/>
                      <a:ext cx="5787934" cy="713975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inline>
        </w:drawing>
      </w:r>
      <w:r w:rsidRPr="00D167AA">
        <w:rPr>
          <w:noProof/>
          <w:lang w:eastAsia="es-MX"/>
        </w:rPr>
        <w:t xml:space="preserve"> </w:t>
      </w:r>
      <w:r w:rsidRPr="00D167AA">
        <w:rPr>
          <w:noProof/>
          <w:lang w:val="es-ES_tradnl" w:eastAsia="es-ES_tradnl"/>
        </w:rPr>
        <w:drawing>
          <wp:inline distT="0" distB="0" distL="0" distR="0">
            <wp:extent cx="5761355" cy="7177177"/>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554" t="15895" r="35651" b="15742"/>
                    <a:stretch/>
                  </pic:blipFill>
                  <pic:spPr bwMode="auto">
                    <a:xfrm>
                      <a:off x="0" y="0"/>
                      <a:ext cx="5786085" cy="720798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inline>
        </w:drawing>
      </w:r>
      <w:r w:rsidRPr="00D167AA">
        <w:rPr>
          <w:noProof/>
          <w:lang w:eastAsia="es-MX"/>
        </w:rPr>
        <w:t xml:space="preserve"> </w:t>
      </w:r>
      <w:r w:rsidRPr="00D167AA">
        <w:rPr>
          <w:noProof/>
          <w:lang w:val="es-ES_tradnl" w:eastAsia="es-ES_tradnl"/>
        </w:rPr>
        <w:drawing>
          <wp:inline distT="0" distB="0" distL="0" distR="0">
            <wp:extent cx="5735527" cy="6909759"/>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852" t="19074" r="35800" b="12298"/>
                    <a:stretch/>
                  </pic:blipFill>
                  <pic:spPr bwMode="auto">
                    <a:xfrm>
                      <a:off x="0" y="0"/>
                      <a:ext cx="5746374" cy="692282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inline>
        </w:drawing>
      </w:r>
      <w:r w:rsidRPr="00D167AA">
        <w:rPr>
          <w:noProof/>
          <w:lang w:eastAsia="es-MX"/>
        </w:rPr>
        <w:t xml:space="preserve"> </w:t>
      </w:r>
      <w:r w:rsidRPr="00D167AA">
        <w:rPr>
          <w:noProof/>
          <w:lang w:val="es-ES_tradnl" w:eastAsia="es-ES_tradnl"/>
        </w:rPr>
        <w:drawing>
          <wp:inline distT="0" distB="0" distL="0" distR="0">
            <wp:extent cx="5718688" cy="7116793"/>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554" t="19604" r="35801" b="13891"/>
                    <a:stretch/>
                  </pic:blipFill>
                  <pic:spPr bwMode="auto">
                    <a:xfrm>
                      <a:off x="0" y="0"/>
                      <a:ext cx="5731917" cy="713325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inline>
        </w:drawing>
      </w:r>
      <w:r w:rsidRPr="00D167AA">
        <w:rPr>
          <w:noProof/>
          <w:lang w:eastAsia="es-MX"/>
        </w:rPr>
        <w:t xml:space="preserve"> </w:t>
      </w:r>
      <w:r w:rsidRPr="00D167AA">
        <w:rPr>
          <w:noProof/>
          <w:lang w:val="es-ES_tradnl" w:eastAsia="es-ES_tradnl"/>
        </w:rPr>
        <w:drawing>
          <wp:inline distT="0" distB="0" distL="0" distR="0">
            <wp:extent cx="5718767" cy="7315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405" t="16690" r="35802" b="14687"/>
                    <a:stretch/>
                  </pic:blipFill>
                  <pic:spPr bwMode="auto">
                    <a:xfrm>
                      <a:off x="0" y="0"/>
                      <a:ext cx="5733721" cy="73343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inline>
        </w:drawing>
      </w:r>
      <w:r w:rsidRPr="00D167AA">
        <w:rPr>
          <w:noProof/>
          <w:lang w:eastAsia="es-MX"/>
        </w:rPr>
        <w:t xml:space="preserve"> </w:t>
      </w:r>
      <w:r w:rsidRPr="00D167AA">
        <w:rPr>
          <w:noProof/>
          <w:lang w:val="es-ES_tradnl" w:eastAsia="es-ES_tradnl"/>
        </w:rPr>
        <w:drawing>
          <wp:inline distT="0" distB="0" distL="0" distR="0">
            <wp:extent cx="5683022" cy="709954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554" t="20929" r="35801" b="12300"/>
                    <a:stretch/>
                  </pic:blipFill>
                  <pic:spPr bwMode="auto">
                    <a:xfrm>
                      <a:off x="0" y="0"/>
                      <a:ext cx="5709693" cy="713285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inline>
        </w:drawing>
      </w:r>
      <w:r w:rsidRPr="00D167AA">
        <w:rPr>
          <w:noProof/>
          <w:lang w:eastAsia="es-MX"/>
        </w:rPr>
        <w:t xml:space="preserve"> </w:t>
      </w:r>
      <w:r w:rsidRPr="00D167AA">
        <w:rPr>
          <w:noProof/>
          <w:lang w:val="es-ES_tradnl" w:eastAsia="es-ES_tradnl"/>
        </w:rPr>
        <w:drawing>
          <wp:inline distT="0" distB="0" distL="0" distR="0">
            <wp:extent cx="5744288" cy="7090913"/>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554" t="19339" r="35953" b="13102"/>
                    <a:stretch/>
                  </pic:blipFill>
                  <pic:spPr bwMode="auto">
                    <a:xfrm>
                      <a:off x="0" y="0"/>
                      <a:ext cx="5761032" cy="711158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inline>
        </w:drawing>
      </w:r>
      <w:r w:rsidRPr="00D167AA">
        <w:rPr>
          <w:noProof/>
          <w:lang w:eastAsia="es-MX"/>
        </w:rPr>
        <w:t xml:space="preserve"> </w:t>
      </w:r>
      <w:r w:rsidRPr="00D167AA">
        <w:rPr>
          <w:noProof/>
          <w:lang w:val="es-ES_tradnl" w:eastAsia="es-ES_tradnl"/>
        </w:rPr>
        <w:drawing>
          <wp:inline distT="0" distB="0" distL="0" distR="0">
            <wp:extent cx="5821045" cy="7151298"/>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554" t="18545" r="35805" b="13369"/>
                    <a:stretch/>
                  </pic:blipFill>
                  <pic:spPr bwMode="auto">
                    <a:xfrm>
                      <a:off x="0" y="0"/>
                      <a:ext cx="5855276" cy="719335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inline>
        </w:drawing>
      </w:r>
      <w:r w:rsidRPr="00D167AA">
        <w:rPr>
          <w:noProof/>
          <w:lang w:eastAsia="es-MX"/>
        </w:rPr>
        <w:t xml:space="preserve"> </w:t>
      </w:r>
      <w:r w:rsidRPr="00D167AA">
        <w:rPr>
          <w:noProof/>
          <w:lang w:val="es-ES_tradnl" w:eastAsia="es-ES_tradnl"/>
        </w:rPr>
        <w:drawing>
          <wp:inline distT="0" distB="0" distL="0" distR="0">
            <wp:extent cx="5769610" cy="7384211"/>
            <wp:effectExtent l="0" t="0" r="254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554" t="15365" r="35954" b="16548"/>
                    <a:stretch/>
                  </pic:blipFill>
                  <pic:spPr bwMode="auto">
                    <a:xfrm>
                      <a:off x="0" y="0"/>
                      <a:ext cx="5784125" cy="740278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inline>
        </w:drawing>
      </w:r>
      <w:r w:rsidRPr="00D167AA">
        <w:rPr>
          <w:noProof/>
          <w:lang w:eastAsia="es-MX"/>
        </w:rPr>
        <w:t xml:space="preserve"> </w:t>
      </w:r>
      <w:r w:rsidRPr="00D167AA">
        <w:rPr>
          <w:noProof/>
          <w:lang w:val="es-ES_tradnl" w:eastAsia="es-ES_tradnl"/>
        </w:rPr>
        <w:drawing>
          <wp:inline distT="0" distB="0" distL="0" distR="0">
            <wp:extent cx="5709041" cy="7116793"/>
            <wp:effectExtent l="0" t="0" r="635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405" t="19074" r="35652" b="12298"/>
                    <a:stretch/>
                  </pic:blipFill>
                  <pic:spPr bwMode="auto">
                    <a:xfrm>
                      <a:off x="0" y="0"/>
                      <a:ext cx="5737540" cy="715231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inline>
        </w:drawing>
      </w:r>
    </w:p>
    <w:p w:rsidR="0089642C" w:rsidRPr="00D167AA" w:rsidRDefault="0089642C" w:rsidP="0089642C">
      <w:pPr>
        <w:pStyle w:val="Prrafodelista"/>
        <w:spacing w:before="240" w:after="240" w:line="360" w:lineRule="auto"/>
        <w:ind w:left="0"/>
        <w:jc w:val="both"/>
        <w:rPr>
          <w:rFonts w:ascii="Palatino Linotype" w:hAnsi="Palatino Linotype" w:cs="Arial"/>
        </w:rPr>
      </w:pPr>
      <w:r w:rsidRPr="00D167AA">
        <w:rPr>
          <w:rFonts w:ascii="Palatino Linotype" w:hAnsi="Palatino Linotype" w:cs="Arial"/>
        </w:rPr>
        <w:t>Cabe destacarse que no se hizo del conocimiento del particular el Informe Justificado y sus anexos, máxime que esta Ponencia consideró que no se actualizó lo dispuesto por el artículo 185, fracción III de la Ley de Transparencia y Acceso a la Información Pública del Estado de México y Municipios.</w:t>
      </w:r>
    </w:p>
    <w:p w:rsidR="0089642C" w:rsidRPr="00D167AA" w:rsidRDefault="0089642C" w:rsidP="008D671B">
      <w:pPr>
        <w:pStyle w:val="Prrafodelista"/>
        <w:numPr>
          <w:ilvl w:val="0"/>
          <w:numId w:val="3"/>
        </w:numPr>
        <w:spacing w:before="240" w:after="240" w:line="360" w:lineRule="auto"/>
        <w:ind w:left="0" w:firstLine="0"/>
        <w:jc w:val="both"/>
        <w:rPr>
          <w:rFonts w:ascii="Palatino Linotype" w:hAnsi="Palatino Linotype"/>
        </w:rPr>
      </w:pPr>
      <w:r w:rsidRPr="00D167AA">
        <w:rPr>
          <w:rFonts w:ascii="Palatino Linotype" w:hAnsi="Palatino Linotype"/>
        </w:rPr>
        <w:t xml:space="preserve">Por su parte, </w:t>
      </w:r>
      <w:r w:rsidRPr="00D167AA">
        <w:rPr>
          <w:rFonts w:ascii="Palatino Linotype" w:hAnsi="Palatino Linotype"/>
          <w:b/>
        </w:rPr>
        <w:t>EL RECURRENTE</w:t>
      </w:r>
      <w:r w:rsidRPr="00D167AA">
        <w:rPr>
          <w:rFonts w:ascii="Palatino Linotype" w:hAnsi="Palatino Linotype"/>
        </w:rPr>
        <w:t xml:space="preserve"> no presentó manifestaciones, alegatos ni ofreció los medios de prueba que a su derecho convinieran.</w:t>
      </w:r>
    </w:p>
    <w:p w:rsidR="0089642C" w:rsidRPr="00D167AA" w:rsidRDefault="0089642C" w:rsidP="008D671B">
      <w:pPr>
        <w:pStyle w:val="Prrafodelista"/>
        <w:numPr>
          <w:ilvl w:val="0"/>
          <w:numId w:val="3"/>
        </w:numPr>
        <w:spacing w:before="240" w:after="240" w:line="360" w:lineRule="auto"/>
        <w:ind w:left="0" w:firstLine="0"/>
        <w:jc w:val="both"/>
        <w:rPr>
          <w:rFonts w:ascii="Palatino Linotype" w:hAnsi="Palatino Linotype"/>
        </w:rPr>
      </w:pPr>
      <w:r w:rsidRPr="00D167AA">
        <w:rPr>
          <w:rFonts w:ascii="Palatino Linotype" w:hAnsi="Palatino Linotype" w:cs="Arial"/>
        </w:rPr>
        <w:t xml:space="preserve">Una vez </w:t>
      </w:r>
      <w:r w:rsidRPr="00D167AA">
        <w:rPr>
          <w:rFonts w:ascii="Palatino Linotype" w:hAnsi="Palatino Linotype" w:cs="Arial"/>
          <w:color w:val="000000" w:themeColor="text1"/>
        </w:rPr>
        <w:t>analizado</w:t>
      </w:r>
      <w:r w:rsidRPr="00D167AA">
        <w:rPr>
          <w:rFonts w:ascii="Palatino Linotype" w:hAnsi="Palatino Linotype" w:cs="Arial"/>
        </w:rPr>
        <w:t xml:space="preserve"> el estado procesal que guardaba el expediente, en fecha diecinueve de marzo de dos mil veinte, la Comisionada Ponente acordó el cierre de instrucción; así </w:t>
      </w:r>
      <w:r w:rsidRPr="00D167AA">
        <w:rPr>
          <w:rFonts w:ascii="Palatino Linotype" w:hAnsi="Palatino Linotype" w:cs="Arial"/>
          <w:lang w:val="es-ES_tradnl"/>
        </w:rPr>
        <w:t>como,</w:t>
      </w:r>
      <w:r w:rsidRPr="00D167AA">
        <w:rPr>
          <w:rFonts w:ascii="Palatino Linotype" w:hAnsi="Palatino Linotype" w:cs="Arial"/>
        </w:rPr>
        <w:t xml:space="preserve"> la remisión del mismo a efecto </w:t>
      </w:r>
      <w:r w:rsidRPr="00D167AA">
        <w:rPr>
          <w:rFonts w:ascii="Palatino Linotype" w:hAnsi="Palatino Linotype" w:cs="Arial"/>
          <w:lang w:val="es-ES_tradnl"/>
        </w:rPr>
        <w:t>de</w:t>
      </w:r>
      <w:r w:rsidRPr="00D167AA">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89642C" w:rsidRPr="00D167AA" w:rsidRDefault="0089642C" w:rsidP="008D671B">
      <w:pPr>
        <w:pStyle w:val="Prrafodelista"/>
        <w:numPr>
          <w:ilvl w:val="0"/>
          <w:numId w:val="3"/>
        </w:numPr>
        <w:spacing w:before="240" w:after="240" w:line="360" w:lineRule="auto"/>
        <w:ind w:left="0" w:firstLine="0"/>
        <w:jc w:val="both"/>
        <w:rPr>
          <w:rFonts w:ascii="Palatino Linotype" w:hAnsi="Palatino Linotype"/>
        </w:rPr>
      </w:pPr>
      <w:r w:rsidRPr="00D167AA">
        <w:rPr>
          <w:rFonts w:ascii="Palatino Linotype" w:eastAsia="Calibri" w:hAnsi="Palatino Linotype"/>
          <w:szCs w:val="22"/>
          <w:lang w:eastAsia="en-US"/>
        </w:rPr>
        <w:t>En fecha veinticuatro de agosto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89642C" w:rsidRPr="00D167AA" w:rsidRDefault="0089642C" w:rsidP="0089642C">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D167AA">
        <w:rPr>
          <w:rFonts w:ascii="Palatino Linotype" w:hAnsi="Palatino Linotype"/>
          <w:b/>
          <w:bCs/>
          <w:spacing w:val="60"/>
          <w:sz w:val="28"/>
        </w:rPr>
        <w:t>CONSIDERANDO</w:t>
      </w:r>
    </w:p>
    <w:p w:rsidR="0089642C" w:rsidRPr="00D167AA" w:rsidRDefault="0089642C" w:rsidP="008D671B">
      <w:pPr>
        <w:pStyle w:val="Prrafodelista"/>
        <w:widowControl w:val="0"/>
        <w:numPr>
          <w:ilvl w:val="0"/>
          <w:numId w:val="4"/>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D167AA">
        <w:rPr>
          <w:rFonts w:ascii="Palatino Linotype" w:hAnsi="Palatino Linotype"/>
          <w:b/>
        </w:rPr>
        <w:t>Competencia</w:t>
      </w:r>
      <w:r w:rsidRPr="00D167AA">
        <w:rPr>
          <w:rFonts w:ascii="Palatino Linotype" w:hAnsi="Palatino Linotype"/>
        </w:rPr>
        <w:t>.</w:t>
      </w:r>
      <w:r w:rsidRPr="00D167AA">
        <w:rPr>
          <w:rFonts w:ascii="Palatino Linotype" w:hAnsi="Palatino Linotype"/>
          <w:b/>
        </w:rPr>
        <w:t xml:space="preserve"> </w:t>
      </w:r>
      <w:r w:rsidRPr="00D167AA">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D167AA">
        <w:rPr>
          <w:rFonts w:ascii="Palatino Linotype" w:hAnsi="Palatino Linotype" w:cs="Arial"/>
        </w:rPr>
        <w:t>.</w:t>
      </w:r>
    </w:p>
    <w:p w:rsidR="0089642C" w:rsidRPr="00D167AA" w:rsidRDefault="0089642C" w:rsidP="008D671B">
      <w:pPr>
        <w:pStyle w:val="Prrafodelista"/>
        <w:widowControl w:val="0"/>
        <w:numPr>
          <w:ilvl w:val="0"/>
          <w:numId w:val="4"/>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D167AA">
        <w:rPr>
          <w:rFonts w:ascii="Palatino Linotype" w:hAnsi="Palatino Linotype" w:cs="Arial"/>
          <w:b/>
        </w:rPr>
        <w:t xml:space="preserve"> Interés.</w:t>
      </w:r>
      <w:r w:rsidRPr="00D167AA">
        <w:rPr>
          <w:rFonts w:ascii="Palatino Linotype" w:hAnsi="Palatino Linotype" w:cs="Arial"/>
        </w:rPr>
        <w:t xml:space="preserve"> El </w:t>
      </w:r>
      <w:r w:rsidRPr="00D167AA">
        <w:rPr>
          <w:rFonts w:ascii="Palatino Linotype" w:hAnsi="Palatino Linotype"/>
        </w:rPr>
        <w:t>recurso</w:t>
      </w:r>
      <w:r w:rsidRPr="00D167AA">
        <w:rPr>
          <w:rFonts w:ascii="Palatino Linotype" w:hAnsi="Palatino Linotype" w:cs="Arial"/>
        </w:rPr>
        <w:t xml:space="preserve"> de revisión fue </w:t>
      </w:r>
      <w:r w:rsidRPr="00D167AA">
        <w:rPr>
          <w:rFonts w:ascii="Palatino Linotype" w:hAnsi="Palatino Linotype"/>
        </w:rPr>
        <w:t>interpuesto</w:t>
      </w:r>
      <w:r w:rsidRPr="00D167AA">
        <w:rPr>
          <w:rFonts w:ascii="Palatino Linotype" w:hAnsi="Palatino Linotype" w:cs="Arial"/>
        </w:rPr>
        <w:t xml:space="preserve"> por parte legítima en atención a que fue </w:t>
      </w:r>
      <w:r w:rsidRPr="00D167AA">
        <w:rPr>
          <w:rFonts w:ascii="Palatino Linotype" w:hAnsi="Palatino Linotype"/>
        </w:rPr>
        <w:t>presentado</w:t>
      </w:r>
      <w:r w:rsidRPr="00D167AA">
        <w:rPr>
          <w:rFonts w:ascii="Palatino Linotype" w:hAnsi="Palatino Linotype" w:cs="Arial"/>
        </w:rPr>
        <w:t xml:space="preserve"> por </w:t>
      </w:r>
      <w:r w:rsidRPr="00D167AA">
        <w:rPr>
          <w:rFonts w:ascii="Palatino Linotype" w:hAnsi="Palatino Linotype" w:cs="Arial"/>
          <w:b/>
        </w:rPr>
        <w:t>EL RECURRENTE</w:t>
      </w:r>
      <w:r w:rsidRPr="00D167AA">
        <w:rPr>
          <w:rFonts w:ascii="Palatino Linotype" w:hAnsi="Palatino Linotype" w:cs="Arial"/>
          <w:snapToGrid w:val="0"/>
        </w:rPr>
        <w:t xml:space="preserve">, </w:t>
      </w:r>
      <w:r w:rsidRPr="00D167AA">
        <w:rPr>
          <w:rFonts w:ascii="Palatino Linotype" w:hAnsi="Palatino Linotype" w:cs="Arial"/>
        </w:rPr>
        <w:t>quien</w:t>
      </w:r>
      <w:r w:rsidRPr="00D167AA">
        <w:rPr>
          <w:rFonts w:ascii="Palatino Linotype" w:hAnsi="Palatino Linotype" w:cs="Arial"/>
          <w:snapToGrid w:val="0"/>
        </w:rPr>
        <w:t xml:space="preserve"> </w:t>
      </w:r>
      <w:r w:rsidRPr="00D167AA">
        <w:rPr>
          <w:rFonts w:ascii="Palatino Linotype" w:hAnsi="Palatino Linotype"/>
        </w:rPr>
        <w:t>formuló</w:t>
      </w:r>
      <w:r w:rsidRPr="00D167AA">
        <w:rPr>
          <w:rFonts w:ascii="Palatino Linotype" w:hAnsi="Palatino Linotype" w:cs="Arial"/>
          <w:snapToGrid w:val="0"/>
        </w:rPr>
        <w:t xml:space="preserve"> la </w:t>
      </w:r>
      <w:r w:rsidRPr="00D167AA">
        <w:rPr>
          <w:rFonts w:ascii="Palatino Linotype" w:hAnsi="Palatino Linotype" w:cs="Arial"/>
        </w:rPr>
        <w:t>solicitud</w:t>
      </w:r>
      <w:r w:rsidRPr="00D167AA">
        <w:rPr>
          <w:rFonts w:ascii="Palatino Linotype" w:hAnsi="Palatino Linotype" w:cs="Arial"/>
          <w:snapToGrid w:val="0"/>
        </w:rPr>
        <w:t xml:space="preserve"> de información pública </w:t>
      </w:r>
      <w:r w:rsidRPr="00D167AA">
        <w:rPr>
          <w:rFonts w:ascii="Palatino Linotype" w:hAnsi="Palatino Linotype"/>
        </w:rPr>
        <w:t>número</w:t>
      </w:r>
      <w:r w:rsidRPr="00D167AA">
        <w:rPr>
          <w:rFonts w:ascii="Palatino Linotype" w:hAnsi="Palatino Linotype" w:cs="Arial"/>
          <w:snapToGrid w:val="0"/>
        </w:rPr>
        <w:t xml:space="preserve"> </w:t>
      </w:r>
      <w:r w:rsidRPr="00D167AA">
        <w:rPr>
          <w:rFonts w:ascii="Palatino Linotype" w:hAnsi="Palatino Linotype"/>
          <w:b/>
          <w:bCs/>
        </w:rPr>
        <w:t>00027/PLEGISLA/IP/2020</w:t>
      </w:r>
      <w:r w:rsidRPr="00D167AA">
        <w:rPr>
          <w:rFonts w:ascii="Palatino Linotype" w:hAnsi="Palatino Linotype" w:cs="Arial"/>
          <w:lang w:val="es-ES_tradnl"/>
        </w:rPr>
        <w:t>.</w:t>
      </w:r>
    </w:p>
    <w:p w:rsidR="0089642C" w:rsidRPr="00D167AA" w:rsidRDefault="0089642C" w:rsidP="008D671B">
      <w:pPr>
        <w:pStyle w:val="Prrafodelista"/>
        <w:widowControl w:val="0"/>
        <w:numPr>
          <w:ilvl w:val="0"/>
          <w:numId w:val="4"/>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D167AA">
        <w:rPr>
          <w:rFonts w:ascii="Palatino Linotype" w:hAnsi="Palatino Linotype" w:cs="Arial"/>
          <w:b/>
        </w:rPr>
        <w:t xml:space="preserve">Oportunidad. </w:t>
      </w:r>
      <w:r w:rsidRPr="00D167AA">
        <w:rPr>
          <w:rFonts w:ascii="Palatino Linotype" w:hAnsi="Palatino Linotype" w:cs="Arial"/>
        </w:rPr>
        <w:t xml:space="preserve">El recurso de revisión fue interpuesto dentro del plazo de quince días hábiles, contados a partir del día siguiente al en que </w:t>
      </w:r>
      <w:r w:rsidRPr="00D167AA">
        <w:rPr>
          <w:rFonts w:ascii="Palatino Linotype" w:hAnsi="Palatino Linotype" w:cs="Arial"/>
          <w:b/>
        </w:rPr>
        <w:t xml:space="preserve">EL RECURRENTE </w:t>
      </w:r>
      <w:r w:rsidRPr="00D167A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89642C" w:rsidRPr="00D167AA" w:rsidRDefault="0089642C" w:rsidP="0089642C">
      <w:pPr>
        <w:spacing w:before="100" w:beforeAutospacing="1" w:after="100" w:afterAutospacing="1"/>
        <w:ind w:left="720" w:right="709"/>
        <w:contextualSpacing/>
        <w:jc w:val="both"/>
        <w:rPr>
          <w:rFonts w:ascii="Palatino Linotype" w:hAnsi="Palatino Linotype" w:cs="Arial"/>
          <w:i/>
          <w:sz w:val="22"/>
        </w:rPr>
      </w:pPr>
      <w:r w:rsidRPr="00D167AA">
        <w:rPr>
          <w:rFonts w:ascii="Palatino Linotype" w:hAnsi="Palatino Linotype" w:cs="Arial"/>
          <w:i/>
          <w:sz w:val="22"/>
        </w:rPr>
        <w:t>“</w:t>
      </w:r>
      <w:r w:rsidRPr="00D167AA">
        <w:rPr>
          <w:rFonts w:ascii="Palatino Linotype" w:hAnsi="Palatino Linotype" w:cs="Arial"/>
          <w:b/>
          <w:i/>
          <w:sz w:val="22"/>
        </w:rPr>
        <w:t>Artículo 178.</w:t>
      </w:r>
      <w:r w:rsidRPr="00D167A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9642C" w:rsidRPr="00D167AA" w:rsidRDefault="0089642C" w:rsidP="0089642C">
      <w:pPr>
        <w:spacing w:before="100" w:beforeAutospacing="1" w:after="100" w:afterAutospacing="1"/>
        <w:ind w:left="720" w:right="709"/>
        <w:contextualSpacing/>
        <w:jc w:val="both"/>
        <w:rPr>
          <w:rFonts w:ascii="Palatino Linotype" w:hAnsi="Palatino Linotype" w:cs="Arial"/>
          <w:i/>
          <w:sz w:val="22"/>
        </w:rPr>
      </w:pPr>
      <w:r w:rsidRPr="00D167A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9642C" w:rsidRPr="00D167AA" w:rsidRDefault="0089642C" w:rsidP="0089642C">
      <w:pPr>
        <w:spacing w:before="240" w:after="100" w:afterAutospacing="1"/>
        <w:ind w:left="720" w:right="709"/>
        <w:jc w:val="both"/>
        <w:rPr>
          <w:rFonts w:ascii="Palatino Linotype" w:hAnsi="Palatino Linotype" w:cs="Arial"/>
          <w:i/>
          <w:sz w:val="22"/>
        </w:rPr>
      </w:pPr>
      <w:r w:rsidRPr="00D167AA">
        <w:rPr>
          <w:rFonts w:ascii="Palatino Linotype" w:hAnsi="Palatino Linotype" w:cs="Arial"/>
          <w:i/>
          <w:sz w:val="22"/>
        </w:rPr>
        <w:t xml:space="preserve">En el caso de que se interponga ante la Unidad de Transparencia, ésta deberá remitir el recurso de revisión al Instituto a más tardar al día </w:t>
      </w:r>
      <w:r w:rsidRPr="00D167AA">
        <w:rPr>
          <w:rFonts w:ascii="Palatino Linotype" w:hAnsi="Palatino Linotype" w:cs="Arial"/>
          <w:i/>
          <w:sz w:val="22"/>
          <w:lang w:eastAsia="es-MX"/>
        </w:rPr>
        <w:t>siguiente</w:t>
      </w:r>
      <w:r w:rsidRPr="00D167AA">
        <w:rPr>
          <w:rFonts w:ascii="Palatino Linotype" w:hAnsi="Palatino Linotype" w:cs="Arial"/>
          <w:i/>
          <w:sz w:val="22"/>
        </w:rPr>
        <w:t xml:space="preserve"> de haberlo recibido.”</w:t>
      </w:r>
    </w:p>
    <w:p w:rsidR="0089642C" w:rsidRPr="00D167AA" w:rsidRDefault="0089642C" w:rsidP="0089642C">
      <w:pPr>
        <w:spacing w:before="240" w:after="100" w:afterAutospacing="1" w:line="360" w:lineRule="auto"/>
        <w:jc w:val="both"/>
        <w:rPr>
          <w:rFonts w:ascii="Palatino Linotype" w:hAnsi="Palatino Linotype"/>
        </w:rPr>
      </w:pPr>
      <w:r w:rsidRPr="00D167AA">
        <w:rPr>
          <w:rFonts w:ascii="Palatino Linotype" w:hAnsi="Palatino Linotype" w:cs="Arial"/>
        </w:rPr>
        <w:t xml:space="preserve">En esa tesitura, atendiendo a que </w:t>
      </w:r>
      <w:r w:rsidRPr="00D167AA">
        <w:rPr>
          <w:rFonts w:ascii="Palatino Linotype" w:hAnsi="Palatino Linotype" w:cs="Arial"/>
          <w:b/>
        </w:rPr>
        <w:t>EL SUJETO OBLIGADO</w:t>
      </w:r>
      <w:r w:rsidRPr="00D167AA">
        <w:rPr>
          <w:rFonts w:ascii="Palatino Linotype" w:hAnsi="Palatino Linotype" w:cs="Arial"/>
        </w:rPr>
        <w:t xml:space="preserve"> notificó la respuesta a la solicitud de acceso a la información pública el día</w:t>
      </w:r>
      <w:r w:rsidRPr="00D167AA">
        <w:rPr>
          <w:rFonts w:ascii="Palatino Linotype" w:hAnsi="Palatino Linotype" w:cs="Arial"/>
          <w:b/>
        </w:rPr>
        <w:t xml:space="preserve"> veinte de febrero de dos mil veinte</w:t>
      </w:r>
      <w:r w:rsidRPr="00D167AA">
        <w:rPr>
          <w:rFonts w:ascii="Palatino Linotype" w:hAnsi="Palatino Linotype" w:cs="Arial"/>
        </w:rPr>
        <w:t xml:space="preserve">; así, el plazo de quince días hábiles que el artículo 178 de la Ley de la materia otorga a </w:t>
      </w:r>
      <w:r w:rsidRPr="00D167AA">
        <w:rPr>
          <w:rFonts w:ascii="Palatino Linotype" w:hAnsi="Palatino Linotype" w:cs="Arial"/>
          <w:b/>
        </w:rPr>
        <w:t>EL RECURRENTE</w:t>
      </w:r>
      <w:r w:rsidRPr="00D167AA">
        <w:rPr>
          <w:rFonts w:ascii="Palatino Linotype" w:hAnsi="Palatino Linotype" w:cs="Arial"/>
        </w:rPr>
        <w:t xml:space="preserve"> para presentar el respectivo recurso de revisión, transcurrió del </w:t>
      </w:r>
      <w:r w:rsidRPr="00D167AA">
        <w:rPr>
          <w:rFonts w:ascii="Palatino Linotype" w:hAnsi="Palatino Linotype" w:cs="Arial"/>
          <w:b/>
        </w:rPr>
        <w:t>veintiuno de febrero al diecisiete de marzo de dos mil veinte</w:t>
      </w:r>
      <w:r w:rsidRPr="00D167AA">
        <w:rPr>
          <w:rFonts w:ascii="Palatino Linotype" w:hAnsi="Palatino Linotype" w:cs="Arial"/>
        </w:rPr>
        <w:t xml:space="preserve">, sin contemplar en el cómputo los días veintidós, veintitrés y veintinueve de febrero, uno, siete, ocho, catorce y quince de marzo de dos mil veinte, por corresponder a sábados y domingos, considerados como días inhábiles, en términos del artículo 3, fracción X de la </w:t>
      </w:r>
      <w:r w:rsidRPr="00D167AA">
        <w:rPr>
          <w:rFonts w:ascii="Palatino Linotype" w:hAnsi="Palatino Linotype"/>
        </w:rPr>
        <w:t>Ley de Transparencia y Acceso a la Información Pública del Estado de México y Municipios; así como, los días dos, nueve y dieciséis de marzo de dos mil veinte, por ser considerados como suspensión de labores, de conformidad con el Calendario Oficial en Materia de Transparencia, Acceso a la Información Pública y Protección de Datos Personales para el año dos mil veinte y enero dos mil veintiuno, aprobado por el Pleno de este Instituto, el diecinueve de diciembre de dos mil diecinueve y en términos del Acuerdo de Pleno, de fecha cinco de marzo de dos mil veinte, por el que se acordó que el día nueve de marzo de dos mil veinte no corrieran los términos para el trámite y desahogo de los procedimientos en materia de acceso a la información pública y protección de datos personales.</w:t>
      </w:r>
    </w:p>
    <w:p w:rsidR="0089642C" w:rsidRPr="00D167AA" w:rsidRDefault="0089642C" w:rsidP="0089642C">
      <w:pPr>
        <w:spacing w:before="240" w:after="100" w:afterAutospacing="1" w:line="360" w:lineRule="auto"/>
        <w:jc w:val="both"/>
        <w:rPr>
          <w:rFonts w:ascii="Palatino Linotype" w:hAnsi="Palatino Linotype" w:cs="Arial"/>
        </w:rPr>
      </w:pPr>
      <w:r w:rsidRPr="00D167AA">
        <w:rPr>
          <w:rFonts w:ascii="Palatino Linotype" w:hAnsi="Palatino Linotype" w:cs="Arial"/>
        </w:rPr>
        <w:t>En ese tenor, si el recurso de revisión que nos ocupa, se interpuso el</w:t>
      </w:r>
      <w:r w:rsidRPr="00D167AA">
        <w:rPr>
          <w:rFonts w:ascii="Palatino Linotype" w:hAnsi="Palatino Linotype" w:cs="Arial"/>
          <w:b/>
        </w:rPr>
        <w:t xml:space="preserve"> </w:t>
      </w:r>
      <w:r w:rsidRPr="00D167AA">
        <w:rPr>
          <w:rFonts w:ascii="Palatino Linotype" w:hAnsi="Palatino Linotype" w:cs="Arial"/>
          <w:b/>
          <w:u w:val="single"/>
        </w:rPr>
        <w:t>veintisiete de febrero de dos mil veinte</w:t>
      </w:r>
      <w:r w:rsidRPr="00D167AA">
        <w:rPr>
          <w:rFonts w:ascii="Palatino Linotype" w:hAnsi="Palatino Linotype" w:cs="Arial"/>
        </w:rPr>
        <w:t>, éste se encuentra dentro de los márgenes temporales previstos en el precepto legal citado en el párrafo anterior y, por tanto, su interposición se considera oportuna.</w:t>
      </w:r>
    </w:p>
    <w:p w:rsidR="0089642C" w:rsidRPr="00D167AA" w:rsidRDefault="0089642C" w:rsidP="008D671B">
      <w:pPr>
        <w:pStyle w:val="Prrafodelista"/>
        <w:widowControl w:val="0"/>
        <w:numPr>
          <w:ilvl w:val="0"/>
          <w:numId w:val="4"/>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b/>
          <w:lang w:val="es-ES"/>
        </w:rPr>
      </w:pPr>
      <w:r w:rsidRPr="00D167AA">
        <w:rPr>
          <w:rFonts w:ascii="Palatino Linotype" w:hAnsi="Palatino Linotype" w:cs="Arial"/>
          <w:b/>
          <w:lang w:val="es-ES"/>
        </w:rPr>
        <w:t>Procedibilidad.</w:t>
      </w:r>
      <w:r w:rsidRPr="00D167AA">
        <w:rPr>
          <w:rFonts w:ascii="Palatino Linotype" w:hAnsi="Palatino Linotype" w:cs="Arial"/>
          <w:lang w:val="es-ES"/>
        </w:rPr>
        <w:t xml:space="preserve"> Se considera importante abordar el análisis de los requisitos de procedibilidad del Recurso de Revisión; así, tenemos que el artículo 180 de la </w:t>
      </w:r>
      <w:r w:rsidRPr="00D167AA">
        <w:rPr>
          <w:rFonts w:ascii="Palatino Linotype" w:hAnsi="Palatino Linotype" w:cs="Arial"/>
          <w:lang w:val="es-ES" w:eastAsia="es-MX"/>
        </w:rPr>
        <w:t xml:space="preserve">Ley de Transparencia y Acceso a la Información Pública del Estado de México y Municipios, </w:t>
      </w:r>
      <w:r w:rsidRPr="00D167AA">
        <w:rPr>
          <w:rFonts w:ascii="Palatino Linotype" w:hAnsi="Palatino Linotype" w:cs="Arial"/>
          <w:lang w:val="es-ES"/>
        </w:rPr>
        <w:t>establece lo siguiente:</w:t>
      </w:r>
    </w:p>
    <w:p w:rsidR="0089642C" w:rsidRPr="00D167AA" w:rsidRDefault="0089642C" w:rsidP="0089642C">
      <w:pPr>
        <w:spacing w:line="276" w:lineRule="auto"/>
        <w:ind w:left="851" w:right="992"/>
        <w:jc w:val="both"/>
        <w:rPr>
          <w:rFonts w:ascii="Palatino Linotype" w:hAnsi="Palatino Linotype"/>
          <w:b/>
          <w:i/>
          <w:sz w:val="22"/>
          <w:szCs w:val="22"/>
          <w:lang w:val="es-ES"/>
        </w:rPr>
      </w:pPr>
      <w:r w:rsidRPr="00D167AA">
        <w:rPr>
          <w:rFonts w:ascii="Palatino Linotype" w:hAnsi="Palatino Linotype"/>
          <w:b/>
          <w:i/>
          <w:sz w:val="22"/>
          <w:szCs w:val="22"/>
          <w:lang w:val="es-ES"/>
        </w:rPr>
        <w:t xml:space="preserve">“Artículo 180. </w:t>
      </w:r>
      <w:r w:rsidRPr="00D167AA">
        <w:rPr>
          <w:rFonts w:ascii="Palatino Linotype" w:hAnsi="Palatino Linotype"/>
          <w:i/>
          <w:sz w:val="22"/>
          <w:szCs w:val="22"/>
          <w:lang w:val="es-ES"/>
        </w:rPr>
        <w:t xml:space="preserve">El </w:t>
      </w:r>
      <w:r w:rsidRPr="00D167AA">
        <w:rPr>
          <w:rFonts w:ascii="Palatino Linotype" w:hAnsi="Palatino Linotype" w:cs="Arial"/>
          <w:i/>
          <w:sz w:val="22"/>
          <w:szCs w:val="22"/>
          <w:lang w:val="es-ES"/>
        </w:rPr>
        <w:t>recurso</w:t>
      </w:r>
      <w:r w:rsidRPr="00D167AA">
        <w:rPr>
          <w:rFonts w:ascii="Palatino Linotype" w:hAnsi="Palatino Linotype"/>
          <w:i/>
          <w:sz w:val="22"/>
          <w:szCs w:val="22"/>
          <w:lang w:val="es-ES"/>
        </w:rPr>
        <w:t xml:space="preserve"> </w:t>
      </w:r>
      <w:r w:rsidRPr="00D167AA">
        <w:rPr>
          <w:rFonts w:ascii="Palatino Linotype" w:hAnsi="Palatino Linotype" w:cs="Arial"/>
          <w:i/>
          <w:color w:val="222222"/>
          <w:sz w:val="22"/>
          <w:szCs w:val="22"/>
          <w:lang w:val="es-ES" w:eastAsia="es-MX"/>
        </w:rPr>
        <w:t>de</w:t>
      </w:r>
      <w:r w:rsidRPr="00D167AA">
        <w:rPr>
          <w:rFonts w:ascii="Palatino Linotype" w:hAnsi="Palatino Linotype"/>
          <w:i/>
          <w:sz w:val="22"/>
          <w:szCs w:val="22"/>
          <w:lang w:val="es-ES"/>
        </w:rPr>
        <w:t xml:space="preserve"> revisión contendrá:</w:t>
      </w:r>
      <w:r w:rsidRPr="00D167AA">
        <w:rPr>
          <w:rFonts w:ascii="Palatino Linotype" w:hAnsi="Palatino Linotype"/>
          <w:b/>
          <w:i/>
          <w:sz w:val="22"/>
          <w:szCs w:val="22"/>
          <w:lang w:val="es-ES"/>
        </w:rPr>
        <w:t xml:space="preserve"> </w:t>
      </w:r>
    </w:p>
    <w:p w:rsidR="0089642C" w:rsidRPr="00D167AA" w:rsidRDefault="0089642C" w:rsidP="0089642C">
      <w:pPr>
        <w:spacing w:line="276" w:lineRule="auto"/>
        <w:ind w:left="851" w:right="992"/>
        <w:jc w:val="both"/>
        <w:rPr>
          <w:rFonts w:ascii="Palatino Linotype" w:hAnsi="Palatino Linotype"/>
          <w:b/>
          <w:i/>
          <w:sz w:val="22"/>
          <w:szCs w:val="22"/>
          <w:lang w:val="es-ES"/>
        </w:rPr>
      </w:pPr>
      <w:r w:rsidRPr="00D167AA">
        <w:rPr>
          <w:rFonts w:ascii="Palatino Linotype" w:hAnsi="Palatino Linotype"/>
          <w:b/>
          <w:i/>
          <w:sz w:val="22"/>
          <w:szCs w:val="22"/>
          <w:lang w:val="es-ES"/>
        </w:rPr>
        <w:t xml:space="preserve">I. </w:t>
      </w:r>
      <w:r w:rsidRPr="00D167AA">
        <w:rPr>
          <w:rFonts w:ascii="Palatino Linotype" w:hAnsi="Palatino Linotype"/>
          <w:i/>
          <w:sz w:val="22"/>
          <w:szCs w:val="22"/>
          <w:lang w:val="es-ES"/>
        </w:rPr>
        <w:t xml:space="preserve">El sujeto obligado ante </w:t>
      </w:r>
      <w:r w:rsidRPr="00D167AA">
        <w:rPr>
          <w:rFonts w:ascii="Palatino Linotype" w:hAnsi="Palatino Linotype" w:cs="Arial"/>
          <w:i/>
          <w:sz w:val="22"/>
          <w:szCs w:val="22"/>
          <w:lang w:val="es-ES"/>
        </w:rPr>
        <w:t>la</w:t>
      </w:r>
      <w:r w:rsidRPr="00D167AA">
        <w:rPr>
          <w:rFonts w:ascii="Palatino Linotype" w:hAnsi="Palatino Linotype"/>
          <w:i/>
          <w:sz w:val="22"/>
          <w:szCs w:val="22"/>
          <w:lang w:val="es-ES"/>
        </w:rPr>
        <w:t xml:space="preserve"> cual </w:t>
      </w:r>
      <w:r w:rsidRPr="00D167AA">
        <w:rPr>
          <w:rFonts w:ascii="Palatino Linotype" w:hAnsi="Palatino Linotype" w:cs="Arial"/>
          <w:i/>
          <w:color w:val="222222"/>
          <w:sz w:val="22"/>
          <w:szCs w:val="22"/>
          <w:lang w:val="es-ES" w:eastAsia="es-MX"/>
        </w:rPr>
        <w:t>se</w:t>
      </w:r>
      <w:r w:rsidRPr="00D167AA">
        <w:rPr>
          <w:rFonts w:ascii="Palatino Linotype" w:hAnsi="Palatino Linotype"/>
          <w:i/>
          <w:sz w:val="22"/>
          <w:szCs w:val="22"/>
          <w:lang w:val="es-ES"/>
        </w:rPr>
        <w:t xml:space="preserve"> presentó la solicitud;</w:t>
      </w:r>
      <w:r w:rsidRPr="00D167AA">
        <w:rPr>
          <w:rFonts w:ascii="Palatino Linotype" w:hAnsi="Palatino Linotype"/>
          <w:b/>
          <w:i/>
          <w:sz w:val="22"/>
          <w:szCs w:val="22"/>
          <w:lang w:val="es-ES"/>
        </w:rPr>
        <w:t xml:space="preserve"> </w:t>
      </w:r>
    </w:p>
    <w:p w:rsidR="0089642C" w:rsidRPr="00D167AA" w:rsidRDefault="0089642C" w:rsidP="0089642C">
      <w:pPr>
        <w:spacing w:line="276" w:lineRule="auto"/>
        <w:ind w:left="851" w:right="992"/>
        <w:jc w:val="both"/>
        <w:rPr>
          <w:rFonts w:ascii="Palatino Linotype" w:hAnsi="Palatino Linotype"/>
          <w:b/>
          <w:i/>
          <w:sz w:val="22"/>
          <w:szCs w:val="22"/>
          <w:lang w:val="es-ES"/>
        </w:rPr>
      </w:pPr>
      <w:r w:rsidRPr="00D167AA">
        <w:rPr>
          <w:rFonts w:ascii="Palatino Linotype" w:hAnsi="Palatino Linotype"/>
          <w:b/>
          <w:i/>
          <w:sz w:val="22"/>
          <w:szCs w:val="22"/>
          <w:lang w:val="es-ES"/>
        </w:rPr>
        <w:t xml:space="preserve">II. </w:t>
      </w:r>
      <w:r w:rsidRPr="00D167AA">
        <w:rPr>
          <w:rFonts w:ascii="Palatino Linotype" w:hAnsi="Palatino Linotype"/>
          <w:b/>
          <w:i/>
          <w:sz w:val="22"/>
          <w:szCs w:val="22"/>
          <w:u w:val="single"/>
          <w:lang w:val="es-ES"/>
        </w:rPr>
        <w:t xml:space="preserve">El nombre del solicitante </w:t>
      </w:r>
      <w:r w:rsidRPr="00D167AA">
        <w:rPr>
          <w:rFonts w:ascii="Palatino Linotype" w:hAnsi="Palatino Linotype" w:cs="Arial"/>
          <w:b/>
          <w:i/>
          <w:color w:val="222222"/>
          <w:sz w:val="22"/>
          <w:szCs w:val="22"/>
          <w:u w:val="single"/>
          <w:lang w:val="es-ES" w:eastAsia="es-MX"/>
        </w:rPr>
        <w:t>que</w:t>
      </w:r>
      <w:r w:rsidRPr="00D167AA">
        <w:rPr>
          <w:rFonts w:ascii="Palatino Linotype" w:hAnsi="Palatino Linotype"/>
          <w:b/>
          <w:i/>
          <w:sz w:val="22"/>
          <w:szCs w:val="22"/>
          <w:u w:val="single"/>
          <w:lang w:val="es-ES"/>
        </w:rPr>
        <w:t xml:space="preserve"> recurre </w:t>
      </w:r>
      <w:r w:rsidRPr="00D167AA">
        <w:rPr>
          <w:rFonts w:ascii="Palatino Linotype" w:hAnsi="Palatino Linotype"/>
          <w:i/>
          <w:sz w:val="22"/>
          <w:szCs w:val="22"/>
          <w:lang w:val="es-ES"/>
        </w:rPr>
        <w:t>o de su representante y, en su caso, del tercero interesado, así como la dirección o medio que señale para recibir notificaciones;</w:t>
      </w:r>
      <w:r w:rsidRPr="00D167AA">
        <w:rPr>
          <w:rFonts w:ascii="Palatino Linotype" w:hAnsi="Palatino Linotype"/>
          <w:b/>
          <w:i/>
          <w:sz w:val="22"/>
          <w:szCs w:val="22"/>
          <w:lang w:val="es-ES"/>
        </w:rPr>
        <w:t xml:space="preserve"> </w:t>
      </w:r>
    </w:p>
    <w:p w:rsidR="0089642C" w:rsidRPr="00D167AA" w:rsidRDefault="0089642C" w:rsidP="0089642C">
      <w:pPr>
        <w:spacing w:line="276" w:lineRule="auto"/>
        <w:ind w:left="851" w:right="992"/>
        <w:jc w:val="both"/>
        <w:rPr>
          <w:rFonts w:ascii="Palatino Linotype" w:hAnsi="Palatino Linotype"/>
          <w:b/>
          <w:i/>
          <w:sz w:val="22"/>
          <w:szCs w:val="22"/>
          <w:lang w:val="es-ES"/>
        </w:rPr>
      </w:pPr>
      <w:r w:rsidRPr="00D167AA">
        <w:rPr>
          <w:rFonts w:ascii="Palatino Linotype" w:hAnsi="Palatino Linotype"/>
          <w:b/>
          <w:i/>
          <w:sz w:val="22"/>
          <w:szCs w:val="22"/>
          <w:lang w:val="es-ES"/>
        </w:rPr>
        <w:t xml:space="preserve">III. </w:t>
      </w:r>
      <w:r w:rsidRPr="00D167AA">
        <w:rPr>
          <w:rFonts w:ascii="Palatino Linotype" w:hAnsi="Palatino Linotype"/>
          <w:i/>
          <w:sz w:val="22"/>
          <w:szCs w:val="22"/>
          <w:lang w:val="es-ES"/>
        </w:rPr>
        <w:t xml:space="preserve">El número de folio de </w:t>
      </w:r>
      <w:r w:rsidRPr="00D167AA">
        <w:rPr>
          <w:rFonts w:ascii="Palatino Linotype" w:hAnsi="Palatino Linotype" w:cs="Arial"/>
          <w:i/>
          <w:color w:val="222222"/>
          <w:sz w:val="22"/>
          <w:szCs w:val="22"/>
          <w:lang w:val="es-ES" w:eastAsia="es-MX"/>
        </w:rPr>
        <w:t>respuesta</w:t>
      </w:r>
      <w:r w:rsidRPr="00D167AA">
        <w:rPr>
          <w:rFonts w:ascii="Palatino Linotype" w:hAnsi="Palatino Linotype"/>
          <w:i/>
          <w:sz w:val="22"/>
          <w:szCs w:val="22"/>
          <w:lang w:val="es-ES"/>
        </w:rPr>
        <w:t xml:space="preserve"> de la solicitud de acceso; </w:t>
      </w:r>
    </w:p>
    <w:p w:rsidR="0089642C" w:rsidRPr="00D167AA" w:rsidRDefault="0089642C" w:rsidP="0089642C">
      <w:pPr>
        <w:spacing w:line="276" w:lineRule="auto"/>
        <w:ind w:left="851" w:right="992"/>
        <w:jc w:val="both"/>
        <w:rPr>
          <w:rFonts w:ascii="Palatino Linotype" w:hAnsi="Palatino Linotype"/>
          <w:b/>
          <w:i/>
          <w:sz w:val="22"/>
          <w:szCs w:val="22"/>
          <w:lang w:val="es-ES"/>
        </w:rPr>
      </w:pPr>
      <w:r w:rsidRPr="00D167AA">
        <w:rPr>
          <w:rFonts w:ascii="Palatino Linotype" w:hAnsi="Palatino Linotype"/>
          <w:b/>
          <w:i/>
          <w:sz w:val="22"/>
          <w:szCs w:val="22"/>
          <w:lang w:val="es-ES"/>
        </w:rPr>
        <w:t xml:space="preserve">IV. </w:t>
      </w:r>
      <w:r w:rsidRPr="00D167AA">
        <w:rPr>
          <w:rFonts w:ascii="Palatino Linotype" w:hAnsi="Palatino Linotype"/>
          <w:i/>
          <w:sz w:val="22"/>
          <w:szCs w:val="22"/>
          <w:lang w:val="es-ES"/>
        </w:rPr>
        <w:t xml:space="preserve">La fecha en que fue </w:t>
      </w:r>
      <w:r w:rsidRPr="00D167AA">
        <w:rPr>
          <w:rFonts w:ascii="Palatino Linotype" w:hAnsi="Palatino Linotype" w:cs="Arial"/>
          <w:i/>
          <w:color w:val="222222"/>
          <w:sz w:val="22"/>
          <w:szCs w:val="22"/>
          <w:lang w:val="es-ES" w:eastAsia="es-MX"/>
        </w:rPr>
        <w:t>notificada</w:t>
      </w:r>
      <w:r w:rsidRPr="00D167AA">
        <w:rPr>
          <w:rFonts w:ascii="Palatino Linotype" w:hAnsi="Palatino Linotype"/>
          <w:i/>
          <w:sz w:val="22"/>
          <w:szCs w:val="22"/>
          <w:lang w:val="es-ES"/>
        </w:rPr>
        <w:t xml:space="preserve"> la respuesta al solicitante o tuvo conocimiento del acto reclamado, o de presentación de la solicitud, en caso de falta de respuesta;</w:t>
      </w:r>
      <w:r w:rsidRPr="00D167AA">
        <w:rPr>
          <w:rFonts w:ascii="Palatino Linotype" w:hAnsi="Palatino Linotype"/>
          <w:b/>
          <w:i/>
          <w:sz w:val="22"/>
          <w:szCs w:val="22"/>
          <w:lang w:val="es-ES"/>
        </w:rPr>
        <w:t xml:space="preserve"> </w:t>
      </w:r>
    </w:p>
    <w:p w:rsidR="0089642C" w:rsidRPr="00D167AA" w:rsidRDefault="0089642C" w:rsidP="0089642C">
      <w:pPr>
        <w:spacing w:line="276" w:lineRule="auto"/>
        <w:ind w:left="851" w:right="992"/>
        <w:jc w:val="both"/>
        <w:rPr>
          <w:rFonts w:ascii="Palatino Linotype" w:hAnsi="Palatino Linotype"/>
          <w:b/>
          <w:i/>
          <w:sz w:val="22"/>
          <w:szCs w:val="22"/>
          <w:lang w:val="es-ES"/>
        </w:rPr>
      </w:pPr>
      <w:r w:rsidRPr="00D167AA">
        <w:rPr>
          <w:rFonts w:ascii="Palatino Linotype" w:hAnsi="Palatino Linotype"/>
          <w:b/>
          <w:i/>
          <w:sz w:val="22"/>
          <w:szCs w:val="22"/>
          <w:lang w:val="es-ES"/>
        </w:rPr>
        <w:t xml:space="preserve">V. </w:t>
      </w:r>
      <w:r w:rsidRPr="00D167AA">
        <w:rPr>
          <w:rFonts w:ascii="Palatino Linotype" w:hAnsi="Palatino Linotype"/>
          <w:i/>
          <w:sz w:val="22"/>
          <w:szCs w:val="22"/>
          <w:lang w:val="es-ES"/>
        </w:rPr>
        <w:t xml:space="preserve">El acto que se </w:t>
      </w:r>
      <w:r w:rsidRPr="00D167AA">
        <w:rPr>
          <w:rFonts w:ascii="Palatino Linotype" w:hAnsi="Palatino Linotype" w:cs="Arial"/>
          <w:i/>
          <w:color w:val="222222"/>
          <w:sz w:val="22"/>
          <w:szCs w:val="22"/>
          <w:lang w:val="es-ES" w:eastAsia="es-MX"/>
        </w:rPr>
        <w:t>recurre</w:t>
      </w:r>
      <w:r w:rsidRPr="00D167AA">
        <w:rPr>
          <w:rFonts w:ascii="Palatino Linotype" w:hAnsi="Palatino Linotype"/>
          <w:i/>
          <w:sz w:val="22"/>
          <w:szCs w:val="22"/>
          <w:lang w:val="es-ES"/>
        </w:rPr>
        <w:t>;</w:t>
      </w:r>
      <w:r w:rsidRPr="00D167AA">
        <w:rPr>
          <w:rFonts w:ascii="Palatino Linotype" w:hAnsi="Palatino Linotype"/>
          <w:b/>
          <w:i/>
          <w:sz w:val="22"/>
          <w:szCs w:val="22"/>
          <w:lang w:val="es-ES"/>
        </w:rPr>
        <w:t xml:space="preserve"> </w:t>
      </w:r>
    </w:p>
    <w:p w:rsidR="0089642C" w:rsidRPr="00D167AA" w:rsidRDefault="0089642C" w:rsidP="0089642C">
      <w:pPr>
        <w:spacing w:line="276" w:lineRule="auto"/>
        <w:ind w:left="851" w:right="992"/>
        <w:jc w:val="both"/>
        <w:rPr>
          <w:rFonts w:ascii="Palatino Linotype" w:hAnsi="Palatino Linotype"/>
          <w:b/>
          <w:i/>
          <w:sz w:val="22"/>
          <w:szCs w:val="22"/>
          <w:lang w:val="es-ES"/>
        </w:rPr>
      </w:pPr>
      <w:r w:rsidRPr="00D167AA">
        <w:rPr>
          <w:rFonts w:ascii="Palatino Linotype" w:hAnsi="Palatino Linotype"/>
          <w:b/>
          <w:i/>
          <w:sz w:val="22"/>
          <w:szCs w:val="22"/>
          <w:lang w:val="es-ES"/>
        </w:rPr>
        <w:t xml:space="preserve">VI. </w:t>
      </w:r>
      <w:r w:rsidRPr="00D167AA">
        <w:rPr>
          <w:rFonts w:ascii="Palatino Linotype" w:hAnsi="Palatino Linotype"/>
          <w:i/>
          <w:sz w:val="22"/>
          <w:szCs w:val="22"/>
          <w:lang w:val="es-ES"/>
        </w:rPr>
        <w:t xml:space="preserve">Las razones o </w:t>
      </w:r>
      <w:r w:rsidRPr="00D167AA">
        <w:rPr>
          <w:rFonts w:ascii="Palatino Linotype" w:hAnsi="Palatino Linotype" w:cs="Arial"/>
          <w:i/>
          <w:color w:val="222222"/>
          <w:sz w:val="22"/>
          <w:szCs w:val="22"/>
          <w:lang w:val="es-ES" w:eastAsia="es-MX"/>
        </w:rPr>
        <w:t>motivos</w:t>
      </w:r>
      <w:r w:rsidRPr="00D167AA">
        <w:rPr>
          <w:rFonts w:ascii="Palatino Linotype" w:hAnsi="Palatino Linotype"/>
          <w:i/>
          <w:sz w:val="22"/>
          <w:szCs w:val="22"/>
          <w:lang w:val="es-ES"/>
        </w:rPr>
        <w:t xml:space="preserve"> de inconformidad;</w:t>
      </w:r>
      <w:r w:rsidRPr="00D167AA">
        <w:rPr>
          <w:rFonts w:ascii="Palatino Linotype" w:hAnsi="Palatino Linotype"/>
          <w:b/>
          <w:i/>
          <w:sz w:val="22"/>
          <w:szCs w:val="22"/>
          <w:lang w:val="es-ES"/>
        </w:rPr>
        <w:t xml:space="preserve"> </w:t>
      </w:r>
    </w:p>
    <w:p w:rsidR="0089642C" w:rsidRPr="00D167AA" w:rsidRDefault="0089642C" w:rsidP="0089642C">
      <w:pPr>
        <w:spacing w:line="276" w:lineRule="auto"/>
        <w:ind w:left="851" w:right="992"/>
        <w:jc w:val="both"/>
        <w:rPr>
          <w:rFonts w:ascii="Palatino Linotype" w:hAnsi="Palatino Linotype"/>
          <w:b/>
          <w:i/>
          <w:sz w:val="22"/>
          <w:szCs w:val="22"/>
          <w:lang w:val="es-ES"/>
        </w:rPr>
      </w:pPr>
      <w:r w:rsidRPr="00D167AA">
        <w:rPr>
          <w:rFonts w:ascii="Palatino Linotype" w:hAnsi="Palatino Linotype"/>
          <w:b/>
          <w:i/>
          <w:sz w:val="22"/>
          <w:szCs w:val="22"/>
          <w:lang w:val="es-ES"/>
        </w:rPr>
        <w:t xml:space="preserve">VII. </w:t>
      </w:r>
      <w:r w:rsidRPr="00D167AA">
        <w:rPr>
          <w:rFonts w:ascii="Palatino Linotype" w:hAnsi="Palatino Linotype"/>
          <w:i/>
          <w:sz w:val="22"/>
          <w:szCs w:val="22"/>
          <w:lang w:val="es-ES"/>
        </w:rPr>
        <w:t>La copia de la respuesta que se impugna y, en su caso, de la notificación correspondiente, en el caso de respuesta de la solicitud; y</w:t>
      </w:r>
      <w:r w:rsidRPr="00D167AA">
        <w:rPr>
          <w:rFonts w:ascii="Palatino Linotype" w:hAnsi="Palatino Linotype"/>
          <w:b/>
          <w:i/>
          <w:sz w:val="22"/>
          <w:szCs w:val="22"/>
          <w:lang w:val="es-ES"/>
        </w:rPr>
        <w:t xml:space="preserve"> </w:t>
      </w:r>
    </w:p>
    <w:p w:rsidR="0089642C" w:rsidRPr="00D167AA" w:rsidRDefault="0089642C" w:rsidP="0089642C">
      <w:pPr>
        <w:spacing w:line="276" w:lineRule="auto"/>
        <w:ind w:left="851" w:right="992"/>
        <w:jc w:val="both"/>
        <w:rPr>
          <w:rFonts w:ascii="Palatino Linotype" w:hAnsi="Palatino Linotype"/>
          <w:i/>
          <w:sz w:val="22"/>
          <w:szCs w:val="22"/>
          <w:lang w:val="es-ES"/>
        </w:rPr>
      </w:pPr>
      <w:r w:rsidRPr="00D167AA">
        <w:rPr>
          <w:rFonts w:ascii="Palatino Linotype" w:hAnsi="Palatino Linotype"/>
          <w:b/>
          <w:i/>
          <w:sz w:val="22"/>
          <w:szCs w:val="22"/>
          <w:lang w:val="es-ES"/>
        </w:rPr>
        <w:t xml:space="preserve">VIII. </w:t>
      </w:r>
      <w:r w:rsidRPr="00D167AA">
        <w:rPr>
          <w:rFonts w:ascii="Palatino Linotype" w:hAnsi="Palatino Linotype"/>
          <w:i/>
          <w:sz w:val="22"/>
          <w:szCs w:val="22"/>
          <w:lang w:val="es-ES"/>
        </w:rPr>
        <w:t>Firma del recurrente, en su caso, cuando se presente por escrito, requisito sin el cual se dará trámite al recurso.</w:t>
      </w:r>
    </w:p>
    <w:p w:rsidR="0089642C" w:rsidRPr="00D167AA" w:rsidRDefault="0089642C" w:rsidP="0089642C">
      <w:pPr>
        <w:spacing w:line="276" w:lineRule="auto"/>
        <w:ind w:left="851" w:right="992"/>
        <w:jc w:val="both"/>
        <w:rPr>
          <w:rFonts w:ascii="Palatino Linotype" w:hAnsi="Palatino Linotype"/>
          <w:i/>
          <w:sz w:val="22"/>
          <w:szCs w:val="22"/>
          <w:lang w:val="es-ES"/>
        </w:rPr>
      </w:pPr>
      <w:r w:rsidRPr="00D167AA">
        <w:rPr>
          <w:rFonts w:ascii="Palatino Linotype" w:hAnsi="Palatino Linotype"/>
          <w:i/>
          <w:sz w:val="22"/>
          <w:szCs w:val="22"/>
          <w:lang w:val="es-ES"/>
        </w:rPr>
        <w:t xml:space="preserve">Adicionalmente, se podrán anexar las pruebas y demás elementos que considere procedentes someter a juicio del Instituto. </w:t>
      </w:r>
    </w:p>
    <w:p w:rsidR="0089642C" w:rsidRPr="00D167AA" w:rsidRDefault="0089642C" w:rsidP="0089642C">
      <w:pPr>
        <w:spacing w:line="276" w:lineRule="auto"/>
        <w:ind w:left="851" w:right="992"/>
        <w:jc w:val="both"/>
        <w:rPr>
          <w:rFonts w:ascii="Palatino Linotype" w:hAnsi="Palatino Linotype"/>
          <w:i/>
          <w:sz w:val="22"/>
          <w:szCs w:val="22"/>
          <w:lang w:val="es-ES"/>
        </w:rPr>
      </w:pPr>
      <w:r w:rsidRPr="00D167AA">
        <w:rPr>
          <w:rFonts w:ascii="Palatino Linotype" w:hAnsi="Palatino Linotype"/>
          <w:i/>
          <w:sz w:val="22"/>
          <w:szCs w:val="22"/>
          <w:lang w:val="es-ES"/>
        </w:rPr>
        <w:t xml:space="preserve">En ningún caso será necesario que el particular ratifique el recurso de revisión interpuesto. </w:t>
      </w:r>
    </w:p>
    <w:p w:rsidR="0089642C" w:rsidRPr="00D167AA" w:rsidRDefault="0089642C" w:rsidP="0089642C">
      <w:pPr>
        <w:spacing w:line="276" w:lineRule="auto"/>
        <w:ind w:left="851" w:right="992"/>
        <w:jc w:val="both"/>
        <w:rPr>
          <w:rFonts w:ascii="Palatino Linotype" w:hAnsi="Palatino Linotype"/>
          <w:b/>
          <w:i/>
          <w:sz w:val="22"/>
          <w:szCs w:val="22"/>
          <w:lang w:val="es-ES"/>
        </w:rPr>
      </w:pPr>
      <w:r w:rsidRPr="00D167AA">
        <w:rPr>
          <w:rFonts w:ascii="Palatino Linotype" w:hAnsi="Palatino Linotype"/>
          <w:b/>
          <w:i/>
          <w:sz w:val="22"/>
          <w:szCs w:val="22"/>
          <w:u w:val="single"/>
          <w:lang w:val="es-ES"/>
        </w:rPr>
        <w:t xml:space="preserve">En caso de </w:t>
      </w:r>
      <w:r w:rsidRPr="00D167AA">
        <w:rPr>
          <w:rFonts w:ascii="Palatino Linotype" w:hAnsi="Palatino Linotype" w:cs="Arial"/>
          <w:b/>
          <w:i/>
          <w:color w:val="222222"/>
          <w:sz w:val="22"/>
          <w:szCs w:val="22"/>
          <w:u w:val="single"/>
          <w:lang w:val="es-ES" w:eastAsia="es-MX"/>
        </w:rPr>
        <w:t>que</w:t>
      </w:r>
      <w:r w:rsidRPr="00D167AA">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D167AA">
        <w:rPr>
          <w:rFonts w:ascii="Palatino Linotype" w:hAnsi="Palatino Linotype"/>
          <w:i/>
          <w:sz w:val="22"/>
          <w:szCs w:val="22"/>
          <w:lang w:val="es-ES"/>
        </w:rPr>
        <w:t>, IV, VII y VIII.</w:t>
      </w:r>
      <w:r w:rsidRPr="00D167AA">
        <w:rPr>
          <w:rFonts w:ascii="Palatino Linotype" w:hAnsi="Palatino Linotype"/>
          <w:b/>
          <w:i/>
          <w:sz w:val="22"/>
          <w:szCs w:val="22"/>
          <w:lang w:val="es-ES"/>
        </w:rPr>
        <w:t>”</w:t>
      </w:r>
    </w:p>
    <w:p w:rsidR="0089642C" w:rsidRPr="00D167AA" w:rsidRDefault="0089642C" w:rsidP="0089642C">
      <w:pPr>
        <w:spacing w:before="240" w:after="240" w:line="360" w:lineRule="auto"/>
        <w:jc w:val="both"/>
        <w:rPr>
          <w:rFonts w:ascii="Palatino Linotype" w:hAnsi="Palatino Linotype"/>
          <w:lang w:val="es-ES"/>
        </w:rPr>
      </w:pPr>
      <w:r w:rsidRPr="00D167AA">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D167AA">
        <w:rPr>
          <w:rFonts w:ascii="Palatino Linotype" w:hAnsi="Palatino Linotype"/>
          <w:b/>
          <w:lang w:val="es-ES"/>
        </w:rPr>
        <w:t>SAIMEX</w:t>
      </w:r>
      <w:r w:rsidRPr="00D167AA">
        <w:rPr>
          <w:rFonts w:ascii="Palatino Linotype" w:hAnsi="Palatino Linotype"/>
          <w:lang w:val="es-ES"/>
        </w:rPr>
        <w:t xml:space="preserve"> se desprende que la parte solicitante y ahora </w:t>
      </w:r>
      <w:r w:rsidRPr="00D167AA">
        <w:rPr>
          <w:rFonts w:ascii="Palatino Linotype" w:hAnsi="Palatino Linotype"/>
          <w:b/>
          <w:lang w:val="es-ES"/>
        </w:rPr>
        <w:t>RECURRENTE</w:t>
      </w:r>
      <w:r w:rsidRPr="00D167AA">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89642C" w:rsidRPr="00D167AA" w:rsidRDefault="0089642C" w:rsidP="0089642C">
      <w:pPr>
        <w:autoSpaceDE w:val="0"/>
        <w:autoSpaceDN w:val="0"/>
        <w:adjustRightInd w:val="0"/>
        <w:spacing w:before="240" w:after="240" w:line="360" w:lineRule="auto"/>
        <w:ind w:right="-91"/>
        <w:jc w:val="both"/>
        <w:rPr>
          <w:rFonts w:ascii="Palatino Linotype" w:hAnsi="Palatino Linotype" w:cs="Arial"/>
          <w:color w:val="000000"/>
          <w:lang w:val="es-ES"/>
        </w:rPr>
      </w:pPr>
      <w:r w:rsidRPr="00D167AA">
        <w:rPr>
          <w:rFonts w:ascii="Palatino Linotype" w:hAnsi="Palatino Linotype"/>
          <w:lang w:val="es-ES"/>
        </w:rPr>
        <w:t xml:space="preserve">Empero, debe destacarse que el artículo 15 de </w:t>
      </w:r>
      <w:r w:rsidRPr="00D167AA">
        <w:rPr>
          <w:rFonts w:ascii="Palatino Linotype" w:hAnsi="Palatino Linotype" w:cs="Arial"/>
          <w:lang w:val="es-ES" w:eastAsia="es-MX"/>
        </w:rPr>
        <w:t xml:space="preserve">Ley de Transparencia y Acceso a la Información Pública del Estado de México y Municipios </w:t>
      </w:r>
      <w:r w:rsidRPr="00D167AA">
        <w:rPr>
          <w:rFonts w:ascii="Palatino Linotype" w:hAnsi="Palatino Linotype" w:cs="Arial"/>
          <w:iCs/>
          <w:lang w:val="es-ES"/>
        </w:rPr>
        <w:t xml:space="preserve">prevé que </w:t>
      </w:r>
      <w:r w:rsidRPr="00D167AA">
        <w:rPr>
          <w:rFonts w:ascii="Palatino Linotype" w:hAnsi="Palatino Linotype"/>
          <w:lang w:val="es-ES"/>
        </w:rPr>
        <w:t xml:space="preserve">toda persona tendrá acceso a la información </w:t>
      </w:r>
      <w:r w:rsidRPr="00D167AA">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D167AA">
        <w:rPr>
          <w:rFonts w:ascii="Palatino Linotype" w:hAnsi="Palatino Linotype" w:cs="Arial"/>
          <w:i/>
          <w:color w:val="000000"/>
          <w:lang w:val="es-ES"/>
        </w:rPr>
        <w:t>sine qua non</w:t>
      </w:r>
      <w:r w:rsidRPr="00D167AA">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89642C" w:rsidRPr="00D167AA" w:rsidRDefault="0089642C" w:rsidP="0089642C">
      <w:pPr>
        <w:spacing w:before="240" w:after="240" w:line="360" w:lineRule="auto"/>
        <w:jc w:val="both"/>
        <w:rPr>
          <w:rFonts w:ascii="Palatino Linotype" w:hAnsi="Palatino Linotype"/>
          <w:lang w:val="es-ES"/>
        </w:rPr>
      </w:pPr>
      <w:r w:rsidRPr="00D167AA">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89642C" w:rsidRPr="00D167AA" w:rsidRDefault="0089642C" w:rsidP="0089642C">
      <w:pPr>
        <w:spacing w:line="276" w:lineRule="auto"/>
        <w:ind w:left="851" w:right="992"/>
        <w:jc w:val="center"/>
        <w:rPr>
          <w:rFonts w:ascii="Palatino Linotype" w:hAnsi="Palatino Linotype" w:cs="Arial"/>
          <w:b/>
          <w:i/>
          <w:sz w:val="22"/>
          <w:szCs w:val="22"/>
          <w:lang w:val="es-ES"/>
        </w:rPr>
      </w:pPr>
      <w:r w:rsidRPr="00D167AA">
        <w:rPr>
          <w:rFonts w:ascii="Palatino Linotype" w:hAnsi="Palatino Linotype" w:cs="Arial"/>
          <w:b/>
          <w:i/>
          <w:sz w:val="22"/>
          <w:szCs w:val="22"/>
          <w:lang w:val="es-ES"/>
        </w:rPr>
        <w:t>Constitución Política de los Estados Unidos Mexicanos</w:t>
      </w:r>
    </w:p>
    <w:p w:rsidR="0089642C" w:rsidRPr="00D167AA" w:rsidRDefault="0089642C" w:rsidP="0089642C">
      <w:pPr>
        <w:spacing w:line="276" w:lineRule="auto"/>
        <w:ind w:left="851" w:right="992"/>
        <w:jc w:val="both"/>
        <w:rPr>
          <w:rFonts w:ascii="Palatino Linotype" w:hAnsi="Palatino Linotype" w:cs="Arial"/>
          <w:i/>
          <w:sz w:val="22"/>
          <w:szCs w:val="22"/>
          <w:lang w:val="es-ES"/>
        </w:rPr>
      </w:pPr>
      <w:r w:rsidRPr="00D167AA">
        <w:rPr>
          <w:rFonts w:ascii="Palatino Linotype" w:hAnsi="Palatino Linotype" w:cs="Arial"/>
          <w:b/>
          <w:i/>
          <w:sz w:val="22"/>
          <w:szCs w:val="22"/>
          <w:lang w:val="es-ES"/>
        </w:rPr>
        <w:t>“Artículo 6o.</w:t>
      </w:r>
      <w:r w:rsidRPr="00D167AA">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167AA">
        <w:rPr>
          <w:rFonts w:ascii="Palatino Linotype" w:hAnsi="Palatino Linotype" w:cs="Arial"/>
          <w:b/>
          <w:i/>
          <w:sz w:val="22"/>
          <w:szCs w:val="22"/>
          <w:lang w:val="es-ES"/>
        </w:rPr>
        <w:t>El derecho a la información será garantizado por el Estado.</w:t>
      </w:r>
      <w:r w:rsidRPr="00D167AA">
        <w:rPr>
          <w:rFonts w:ascii="Palatino Linotype" w:hAnsi="Palatino Linotype" w:cs="Arial"/>
          <w:i/>
          <w:sz w:val="22"/>
          <w:szCs w:val="22"/>
          <w:lang w:val="es-ES"/>
        </w:rPr>
        <w:t xml:space="preserve"> </w:t>
      </w:r>
    </w:p>
    <w:p w:rsidR="0089642C" w:rsidRPr="00D167AA" w:rsidRDefault="0089642C" w:rsidP="0089642C">
      <w:pPr>
        <w:spacing w:line="276" w:lineRule="auto"/>
        <w:ind w:left="851" w:right="992"/>
        <w:jc w:val="both"/>
        <w:rPr>
          <w:rFonts w:ascii="Palatino Linotype" w:hAnsi="Palatino Linotype" w:cs="Arial"/>
          <w:i/>
          <w:sz w:val="22"/>
          <w:szCs w:val="22"/>
          <w:lang w:val="es-ES"/>
        </w:rPr>
      </w:pPr>
      <w:r w:rsidRPr="00D167AA">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89642C" w:rsidRPr="00D167AA" w:rsidRDefault="0089642C" w:rsidP="0089642C">
      <w:pPr>
        <w:spacing w:line="276" w:lineRule="auto"/>
        <w:ind w:left="851" w:right="992"/>
        <w:jc w:val="both"/>
        <w:rPr>
          <w:rFonts w:ascii="Palatino Linotype" w:hAnsi="Palatino Linotype" w:cs="Arial"/>
          <w:i/>
          <w:sz w:val="22"/>
          <w:szCs w:val="22"/>
          <w:lang w:val="es-ES"/>
        </w:rPr>
      </w:pPr>
      <w:r w:rsidRPr="00D167AA">
        <w:rPr>
          <w:rFonts w:ascii="Palatino Linotype" w:hAnsi="Palatino Linotype" w:cs="Arial"/>
          <w:i/>
          <w:sz w:val="22"/>
          <w:szCs w:val="22"/>
          <w:lang w:val="es-ES"/>
        </w:rPr>
        <w:t>Para efectos de lo dispuesto en el presente artículo se observará lo siguiente:</w:t>
      </w:r>
    </w:p>
    <w:p w:rsidR="0089642C" w:rsidRPr="00D167AA" w:rsidRDefault="0089642C" w:rsidP="0089642C">
      <w:pPr>
        <w:spacing w:line="276" w:lineRule="auto"/>
        <w:ind w:left="851" w:right="992"/>
        <w:jc w:val="both"/>
        <w:rPr>
          <w:rFonts w:ascii="Palatino Linotype" w:hAnsi="Palatino Linotype" w:cs="Arial"/>
          <w:i/>
          <w:sz w:val="22"/>
          <w:szCs w:val="22"/>
          <w:lang w:val="es-ES"/>
        </w:rPr>
      </w:pPr>
      <w:r w:rsidRPr="00D167AA">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89642C" w:rsidRPr="00D167AA" w:rsidRDefault="0089642C" w:rsidP="0089642C">
      <w:pPr>
        <w:spacing w:line="276" w:lineRule="auto"/>
        <w:ind w:left="851" w:right="992"/>
        <w:jc w:val="both"/>
        <w:rPr>
          <w:rFonts w:ascii="Palatino Linotype" w:hAnsi="Palatino Linotype" w:cs="Arial"/>
          <w:i/>
          <w:sz w:val="22"/>
          <w:szCs w:val="22"/>
          <w:u w:val="single"/>
          <w:lang w:val="es-ES"/>
        </w:rPr>
      </w:pPr>
      <w:r w:rsidRPr="00D167AA">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9642C" w:rsidRPr="00D167AA" w:rsidRDefault="0089642C" w:rsidP="0089642C">
      <w:pPr>
        <w:spacing w:line="276" w:lineRule="auto"/>
        <w:ind w:left="851" w:right="992"/>
        <w:jc w:val="both"/>
        <w:rPr>
          <w:rFonts w:ascii="Palatino Linotype" w:hAnsi="Palatino Linotype" w:cs="Arial"/>
          <w:i/>
          <w:sz w:val="22"/>
          <w:szCs w:val="22"/>
          <w:lang w:val="es-ES"/>
        </w:rPr>
      </w:pPr>
      <w:r w:rsidRPr="00D167AA">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89642C" w:rsidRPr="00D167AA" w:rsidRDefault="0089642C" w:rsidP="0089642C">
      <w:pPr>
        <w:spacing w:line="276" w:lineRule="auto"/>
        <w:ind w:left="851" w:right="992"/>
        <w:jc w:val="both"/>
        <w:rPr>
          <w:rFonts w:ascii="Palatino Linotype" w:hAnsi="Palatino Linotype" w:cs="Arial"/>
          <w:i/>
          <w:sz w:val="22"/>
          <w:szCs w:val="22"/>
          <w:u w:val="single"/>
          <w:lang w:val="es-ES"/>
        </w:rPr>
      </w:pPr>
      <w:r w:rsidRPr="00D167AA">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89642C" w:rsidRPr="00D167AA" w:rsidRDefault="0089642C" w:rsidP="0089642C">
      <w:pPr>
        <w:spacing w:line="276" w:lineRule="auto"/>
        <w:ind w:left="851" w:right="992"/>
        <w:jc w:val="both"/>
        <w:rPr>
          <w:rFonts w:ascii="Palatino Linotype" w:hAnsi="Palatino Linotype" w:cs="Arial"/>
          <w:i/>
          <w:sz w:val="22"/>
          <w:szCs w:val="22"/>
          <w:lang w:val="es-ES"/>
        </w:rPr>
      </w:pPr>
      <w:r w:rsidRPr="00D167AA">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89642C" w:rsidRPr="00D167AA" w:rsidRDefault="0089642C" w:rsidP="0089642C">
      <w:pPr>
        <w:spacing w:line="276" w:lineRule="auto"/>
        <w:ind w:left="851" w:right="992"/>
        <w:jc w:val="both"/>
        <w:rPr>
          <w:rFonts w:ascii="Palatino Linotype" w:hAnsi="Palatino Linotype" w:cs="Arial"/>
          <w:i/>
          <w:sz w:val="22"/>
          <w:szCs w:val="22"/>
          <w:u w:val="single"/>
          <w:lang w:val="es-ES"/>
        </w:rPr>
      </w:pPr>
      <w:r w:rsidRPr="00D167AA">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89642C" w:rsidRPr="00D167AA" w:rsidRDefault="0089642C" w:rsidP="0089642C">
      <w:pPr>
        <w:spacing w:line="276" w:lineRule="auto"/>
        <w:ind w:left="851" w:right="992"/>
        <w:jc w:val="both"/>
        <w:rPr>
          <w:rFonts w:ascii="Palatino Linotype" w:hAnsi="Palatino Linotype" w:cs="Arial"/>
          <w:i/>
          <w:sz w:val="22"/>
          <w:szCs w:val="22"/>
          <w:u w:val="single"/>
          <w:lang w:val="es-ES"/>
        </w:rPr>
      </w:pPr>
      <w:r w:rsidRPr="00D167AA">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89642C" w:rsidRPr="00D167AA" w:rsidRDefault="0089642C" w:rsidP="0089642C">
      <w:pPr>
        <w:spacing w:line="276" w:lineRule="auto"/>
        <w:ind w:left="851" w:right="992"/>
        <w:jc w:val="both"/>
        <w:rPr>
          <w:rFonts w:ascii="Palatino Linotype" w:hAnsi="Palatino Linotype" w:cs="Arial"/>
          <w:i/>
          <w:sz w:val="22"/>
          <w:szCs w:val="22"/>
          <w:lang w:val="es-ES"/>
        </w:rPr>
      </w:pPr>
      <w:r w:rsidRPr="00D167AA">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89642C" w:rsidRPr="00D167AA" w:rsidRDefault="0089642C" w:rsidP="0089642C">
      <w:pPr>
        <w:spacing w:line="276" w:lineRule="auto"/>
        <w:ind w:left="851" w:right="992"/>
        <w:jc w:val="both"/>
        <w:rPr>
          <w:rFonts w:ascii="Palatino Linotype" w:hAnsi="Palatino Linotype" w:cs="Arial"/>
          <w:i/>
          <w:sz w:val="22"/>
          <w:szCs w:val="22"/>
          <w:lang w:val="es-ES"/>
        </w:rPr>
      </w:pPr>
      <w:r w:rsidRPr="00D167AA">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89642C" w:rsidRPr="00D167AA" w:rsidRDefault="0089642C" w:rsidP="0089642C">
      <w:pPr>
        <w:spacing w:line="276" w:lineRule="auto"/>
        <w:ind w:left="851" w:right="992"/>
        <w:jc w:val="both"/>
        <w:rPr>
          <w:rFonts w:ascii="Palatino Linotype" w:hAnsi="Palatino Linotype" w:cs="Arial"/>
          <w:i/>
          <w:sz w:val="22"/>
          <w:szCs w:val="22"/>
          <w:lang w:val="es-ES"/>
        </w:rPr>
      </w:pPr>
      <w:r w:rsidRPr="00D167AA">
        <w:rPr>
          <w:rFonts w:ascii="Palatino Linotype" w:hAnsi="Palatino Linotype" w:cs="Arial"/>
          <w:i/>
          <w:sz w:val="22"/>
          <w:szCs w:val="22"/>
          <w:lang w:val="es-ES"/>
        </w:rPr>
        <w:t>…</w:t>
      </w:r>
    </w:p>
    <w:p w:rsidR="0089642C" w:rsidRPr="00D167AA" w:rsidRDefault="0089642C" w:rsidP="0089642C">
      <w:pPr>
        <w:spacing w:line="276" w:lineRule="auto"/>
        <w:ind w:left="851" w:right="992"/>
        <w:jc w:val="both"/>
        <w:rPr>
          <w:rFonts w:ascii="Palatino Linotype" w:hAnsi="Palatino Linotype" w:cs="Arial"/>
          <w:i/>
          <w:color w:val="000000"/>
          <w:sz w:val="22"/>
          <w:szCs w:val="22"/>
          <w:lang w:val="es-ES" w:eastAsia="es-MX"/>
        </w:rPr>
      </w:pPr>
      <w:r w:rsidRPr="00D167AA">
        <w:rPr>
          <w:rFonts w:ascii="Palatino Linotype" w:hAnsi="Palatino Linotype" w:cs="Arial"/>
          <w:i/>
          <w:sz w:val="22"/>
          <w:szCs w:val="22"/>
          <w:u w:val="single"/>
          <w:lang w:val="es-ES"/>
        </w:rPr>
        <w:t>La ley establecerá aquella información que se considere reservada o confidencial.</w:t>
      </w:r>
      <w:r w:rsidRPr="00D167AA">
        <w:rPr>
          <w:rFonts w:ascii="Palatino Linotype" w:hAnsi="Palatino Linotype" w:cs="Arial"/>
          <w:b/>
          <w:i/>
          <w:sz w:val="22"/>
          <w:szCs w:val="22"/>
          <w:lang w:val="es-ES"/>
        </w:rPr>
        <w:t>”</w:t>
      </w:r>
      <w:r w:rsidRPr="00D167AA">
        <w:rPr>
          <w:rFonts w:ascii="Palatino Linotype" w:hAnsi="Palatino Linotype" w:cs="Arial"/>
          <w:i/>
          <w:color w:val="000000"/>
          <w:sz w:val="22"/>
          <w:szCs w:val="22"/>
          <w:lang w:val="es-ES" w:eastAsia="es-MX"/>
        </w:rPr>
        <w:t xml:space="preserve"> </w:t>
      </w:r>
    </w:p>
    <w:p w:rsidR="0089642C" w:rsidRPr="00D167AA" w:rsidRDefault="0089642C" w:rsidP="0089642C">
      <w:pPr>
        <w:spacing w:line="276" w:lineRule="auto"/>
        <w:ind w:left="851" w:right="992"/>
        <w:jc w:val="center"/>
        <w:rPr>
          <w:rFonts w:ascii="Palatino Linotype" w:hAnsi="Palatino Linotype" w:cs="Arial"/>
          <w:b/>
          <w:i/>
          <w:sz w:val="22"/>
          <w:szCs w:val="22"/>
          <w:lang w:val="es-ES"/>
        </w:rPr>
      </w:pPr>
      <w:r w:rsidRPr="00D167AA">
        <w:rPr>
          <w:rFonts w:ascii="Palatino Linotype" w:hAnsi="Palatino Linotype" w:cs="Arial"/>
          <w:b/>
          <w:i/>
          <w:sz w:val="22"/>
          <w:szCs w:val="22"/>
          <w:lang w:val="es-ES"/>
        </w:rPr>
        <w:t>Constitución Política del Estado Libre y Soberano de México</w:t>
      </w:r>
    </w:p>
    <w:p w:rsidR="0089642C" w:rsidRPr="00D167AA" w:rsidRDefault="0089642C" w:rsidP="0089642C">
      <w:pPr>
        <w:spacing w:line="276" w:lineRule="auto"/>
        <w:ind w:left="851" w:right="992"/>
        <w:jc w:val="both"/>
        <w:rPr>
          <w:rFonts w:ascii="Palatino Linotype" w:hAnsi="Palatino Linotype" w:cs="Arial"/>
          <w:b/>
          <w:i/>
          <w:sz w:val="22"/>
          <w:szCs w:val="22"/>
          <w:lang w:val="es-ES"/>
        </w:rPr>
      </w:pPr>
      <w:r w:rsidRPr="00D167AA">
        <w:rPr>
          <w:rFonts w:ascii="Palatino Linotype" w:hAnsi="Palatino Linotype" w:cs="Arial"/>
          <w:b/>
          <w:i/>
          <w:sz w:val="22"/>
          <w:szCs w:val="22"/>
          <w:lang w:val="es-ES"/>
        </w:rPr>
        <w:t xml:space="preserve">“Artículo 5. … </w:t>
      </w:r>
    </w:p>
    <w:p w:rsidR="0089642C" w:rsidRPr="00D167AA" w:rsidRDefault="0089642C" w:rsidP="0089642C">
      <w:pPr>
        <w:spacing w:line="276" w:lineRule="auto"/>
        <w:ind w:left="851" w:right="992"/>
        <w:contextualSpacing/>
        <w:jc w:val="both"/>
        <w:rPr>
          <w:rFonts w:ascii="Palatino Linotype" w:hAnsi="Palatino Linotype"/>
          <w:i/>
          <w:sz w:val="22"/>
          <w:szCs w:val="22"/>
          <w:lang w:val="es-ES"/>
        </w:rPr>
      </w:pPr>
      <w:r w:rsidRPr="00D167AA">
        <w:rPr>
          <w:rFonts w:ascii="Palatino Linotype" w:hAnsi="Palatino Linotype"/>
          <w:b/>
          <w:i/>
          <w:sz w:val="22"/>
          <w:szCs w:val="22"/>
          <w:lang w:val="es-ES"/>
        </w:rPr>
        <w:t>El derecho a la información será garantizado por el Estado</w:t>
      </w:r>
      <w:r w:rsidRPr="00D167AA">
        <w:rPr>
          <w:rFonts w:ascii="Palatino Linotype" w:hAnsi="Palatino Linotype"/>
          <w:i/>
          <w:sz w:val="22"/>
          <w:szCs w:val="22"/>
          <w:lang w:val="es-ES"/>
        </w:rPr>
        <w:t xml:space="preserve">. La ley establecerá las previsiones que permitan asegurar la protección, el respeto y la difusión de este derecho. </w:t>
      </w:r>
    </w:p>
    <w:p w:rsidR="0089642C" w:rsidRPr="00D167AA" w:rsidRDefault="0089642C" w:rsidP="0089642C">
      <w:pPr>
        <w:spacing w:line="276" w:lineRule="auto"/>
        <w:ind w:left="851" w:right="992"/>
        <w:contextualSpacing/>
        <w:jc w:val="both"/>
        <w:rPr>
          <w:rFonts w:ascii="Palatino Linotype" w:hAnsi="Palatino Linotype"/>
          <w:i/>
          <w:sz w:val="22"/>
          <w:szCs w:val="22"/>
          <w:lang w:val="es-ES"/>
        </w:rPr>
      </w:pPr>
      <w:r w:rsidRPr="00D167AA">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9642C" w:rsidRPr="00D167AA" w:rsidRDefault="0089642C" w:rsidP="0089642C">
      <w:pPr>
        <w:spacing w:line="276" w:lineRule="auto"/>
        <w:ind w:left="851" w:right="992"/>
        <w:contextualSpacing/>
        <w:jc w:val="both"/>
        <w:rPr>
          <w:rFonts w:ascii="Palatino Linotype" w:hAnsi="Palatino Linotype"/>
          <w:i/>
          <w:sz w:val="22"/>
          <w:szCs w:val="22"/>
          <w:lang w:val="es-ES"/>
        </w:rPr>
      </w:pPr>
      <w:r w:rsidRPr="00D167AA">
        <w:rPr>
          <w:rFonts w:ascii="Palatino Linotype" w:hAnsi="Palatino Linotype"/>
          <w:i/>
          <w:sz w:val="22"/>
          <w:szCs w:val="22"/>
          <w:lang w:val="es-ES"/>
        </w:rPr>
        <w:t>Este derecho se regirá por los principios y bases siguientes:</w:t>
      </w:r>
    </w:p>
    <w:p w:rsidR="0089642C" w:rsidRPr="00D167AA" w:rsidRDefault="0089642C" w:rsidP="0089642C">
      <w:pPr>
        <w:spacing w:line="276" w:lineRule="auto"/>
        <w:ind w:left="851" w:right="992"/>
        <w:contextualSpacing/>
        <w:jc w:val="both"/>
        <w:rPr>
          <w:rFonts w:ascii="Palatino Linotype" w:hAnsi="Palatino Linotype"/>
          <w:i/>
          <w:sz w:val="22"/>
          <w:szCs w:val="22"/>
          <w:lang w:val="es-ES"/>
        </w:rPr>
      </w:pPr>
      <w:r w:rsidRPr="00D167AA">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D167AA">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9642C" w:rsidRPr="00D167AA" w:rsidRDefault="0089642C" w:rsidP="0089642C">
      <w:pPr>
        <w:spacing w:line="276" w:lineRule="auto"/>
        <w:ind w:left="851" w:right="992"/>
        <w:contextualSpacing/>
        <w:jc w:val="both"/>
        <w:rPr>
          <w:rFonts w:ascii="Palatino Linotype" w:hAnsi="Palatino Linotype"/>
          <w:i/>
          <w:sz w:val="22"/>
          <w:szCs w:val="22"/>
          <w:lang w:val="es-ES"/>
        </w:rPr>
      </w:pPr>
      <w:r w:rsidRPr="00D167AA">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89642C" w:rsidRPr="00D167AA" w:rsidRDefault="0089642C" w:rsidP="0089642C">
      <w:pPr>
        <w:spacing w:line="276" w:lineRule="auto"/>
        <w:ind w:left="851" w:right="992"/>
        <w:contextualSpacing/>
        <w:jc w:val="both"/>
        <w:rPr>
          <w:rFonts w:ascii="Palatino Linotype" w:hAnsi="Palatino Linotype"/>
          <w:b/>
          <w:i/>
          <w:sz w:val="22"/>
          <w:szCs w:val="22"/>
          <w:lang w:val="es-ES"/>
        </w:rPr>
      </w:pPr>
      <w:r w:rsidRPr="00D167AA">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89642C" w:rsidRPr="00D167AA" w:rsidRDefault="0089642C" w:rsidP="0089642C">
      <w:pPr>
        <w:spacing w:line="276" w:lineRule="auto"/>
        <w:ind w:left="851" w:right="992"/>
        <w:contextualSpacing/>
        <w:jc w:val="both"/>
        <w:rPr>
          <w:rFonts w:ascii="Palatino Linotype" w:hAnsi="Palatino Linotype"/>
          <w:i/>
          <w:sz w:val="22"/>
          <w:szCs w:val="22"/>
          <w:lang w:val="es-ES"/>
        </w:rPr>
      </w:pPr>
      <w:r w:rsidRPr="00D167AA">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89642C" w:rsidRPr="00D167AA" w:rsidRDefault="0089642C" w:rsidP="0089642C">
      <w:pPr>
        <w:spacing w:line="276" w:lineRule="auto"/>
        <w:ind w:left="851" w:right="992"/>
        <w:contextualSpacing/>
        <w:jc w:val="both"/>
        <w:rPr>
          <w:rFonts w:ascii="Palatino Linotype" w:hAnsi="Palatino Linotype"/>
          <w:i/>
          <w:sz w:val="22"/>
          <w:szCs w:val="22"/>
          <w:lang w:val="es-ES"/>
        </w:rPr>
      </w:pPr>
      <w:r w:rsidRPr="00D167AA">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89642C" w:rsidRPr="00D167AA" w:rsidRDefault="0089642C" w:rsidP="0089642C">
      <w:pPr>
        <w:spacing w:line="276" w:lineRule="auto"/>
        <w:ind w:left="851" w:right="992"/>
        <w:contextualSpacing/>
        <w:jc w:val="both"/>
        <w:rPr>
          <w:rFonts w:ascii="Palatino Linotype" w:hAnsi="Palatino Linotype"/>
          <w:i/>
          <w:sz w:val="22"/>
          <w:szCs w:val="22"/>
          <w:lang w:val="es-ES"/>
        </w:rPr>
      </w:pPr>
      <w:r w:rsidRPr="00D167AA">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89642C" w:rsidRPr="00D167AA" w:rsidRDefault="0089642C" w:rsidP="0089642C">
      <w:pPr>
        <w:spacing w:line="276" w:lineRule="auto"/>
        <w:ind w:left="851" w:right="992"/>
        <w:jc w:val="both"/>
        <w:rPr>
          <w:rFonts w:ascii="Palatino Linotype" w:hAnsi="Palatino Linotype" w:cs="Arial"/>
          <w:i/>
          <w:sz w:val="22"/>
          <w:szCs w:val="22"/>
          <w:lang w:val="es-ES"/>
        </w:rPr>
      </w:pPr>
      <w:r w:rsidRPr="00D167AA">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D167AA">
        <w:rPr>
          <w:rFonts w:ascii="Palatino Linotype" w:hAnsi="Palatino Linotype"/>
          <w:b/>
          <w:i/>
          <w:sz w:val="22"/>
          <w:szCs w:val="22"/>
          <w:lang w:val="es-ES"/>
        </w:rPr>
        <w:t>”</w:t>
      </w:r>
    </w:p>
    <w:p w:rsidR="0089642C" w:rsidRPr="00D167AA" w:rsidRDefault="0089642C" w:rsidP="0089642C">
      <w:pPr>
        <w:spacing w:line="276" w:lineRule="auto"/>
        <w:ind w:left="851" w:right="992"/>
        <w:jc w:val="both"/>
        <w:rPr>
          <w:rFonts w:ascii="Palatino Linotype" w:hAnsi="Palatino Linotype"/>
          <w:sz w:val="22"/>
          <w:szCs w:val="22"/>
          <w:lang w:val="es-ES"/>
        </w:rPr>
      </w:pPr>
      <w:r w:rsidRPr="00D167AA">
        <w:rPr>
          <w:rFonts w:ascii="Palatino Linotype" w:hAnsi="Palatino Linotype"/>
          <w:sz w:val="22"/>
          <w:szCs w:val="22"/>
          <w:lang w:val="es-ES"/>
        </w:rPr>
        <w:t>(Énfasis añadido)</w:t>
      </w:r>
    </w:p>
    <w:p w:rsidR="0089642C" w:rsidRPr="00D167AA" w:rsidRDefault="0089642C" w:rsidP="0089642C">
      <w:pPr>
        <w:spacing w:before="240" w:after="240" w:line="360" w:lineRule="auto"/>
        <w:jc w:val="both"/>
        <w:rPr>
          <w:rFonts w:ascii="Palatino Linotype" w:hAnsi="Palatino Linotype"/>
          <w:lang w:val="es-ES"/>
        </w:rPr>
      </w:pPr>
      <w:r w:rsidRPr="00D167AA">
        <w:rPr>
          <w:rFonts w:ascii="Palatino Linotype" w:hAnsi="Palatino Linotype"/>
          <w:lang w:val="es-ES"/>
        </w:rPr>
        <w:t>Por otra parte, del contenido del artículo 1 de la Constitución Política de los Estados Unidos Mexicanos, se destaca lo siguiente:</w:t>
      </w:r>
    </w:p>
    <w:p w:rsidR="0089642C" w:rsidRPr="00D167AA" w:rsidRDefault="0089642C" w:rsidP="0089642C">
      <w:pPr>
        <w:spacing w:line="276" w:lineRule="auto"/>
        <w:ind w:left="851" w:right="992"/>
        <w:jc w:val="both"/>
        <w:rPr>
          <w:rFonts w:ascii="Palatino Linotype" w:hAnsi="Palatino Linotype" w:cs="Arial"/>
          <w:i/>
          <w:sz w:val="22"/>
          <w:szCs w:val="22"/>
          <w:lang w:val="es-ES"/>
        </w:rPr>
      </w:pPr>
      <w:r w:rsidRPr="00D167AA">
        <w:rPr>
          <w:rFonts w:ascii="Palatino Linotype" w:hAnsi="Palatino Linotype" w:cs="Arial"/>
          <w:b/>
          <w:i/>
          <w:sz w:val="22"/>
          <w:szCs w:val="22"/>
          <w:lang w:val="es-ES"/>
        </w:rPr>
        <w:t>“Artículo 1o</w:t>
      </w:r>
      <w:r w:rsidRPr="00D167AA">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9642C" w:rsidRPr="00D167AA" w:rsidRDefault="0089642C" w:rsidP="0089642C">
      <w:pPr>
        <w:spacing w:line="276" w:lineRule="auto"/>
        <w:ind w:left="851" w:right="992"/>
        <w:jc w:val="both"/>
        <w:rPr>
          <w:rFonts w:ascii="Palatino Linotype" w:hAnsi="Palatino Linotype" w:cs="Arial"/>
          <w:b/>
          <w:i/>
          <w:sz w:val="22"/>
          <w:szCs w:val="22"/>
          <w:lang w:val="es-ES"/>
        </w:rPr>
      </w:pPr>
      <w:r w:rsidRPr="00D167AA">
        <w:rPr>
          <w:rFonts w:ascii="Palatino Linotype" w:hAnsi="Palatino Linotype" w:cs="Arial"/>
          <w:b/>
          <w:i/>
          <w:sz w:val="22"/>
          <w:szCs w:val="22"/>
          <w:u w:val="single"/>
          <w:lang w:val="es-ES"/>
        </w:rPr>
        <w:t>Las normas relativas a los derechos humanos se interpretarán</w:t>
      </w:r>
      <w:r w:rsidRPr="00D167AA">
        <w:rPr>
          <w:rFonts w:ascii="Palatino Linotype" w:hAnsi="Palatino Linotype" w:cs="Arial"/>
          <w:i/>
          <w:sz w:val="22"/>
          <w:szCs w:val="22"/>
          <w:lang w:val="es-ES"/>
        </w:rPr>
        <w:t xml:space="preserve"> de conformidad con esta Constitución y con los tratados internacionales de la </w:t>
      </w:r>
      <w:r w:rsidRPr="00D167AA">
        <w:rPr>
          <w:rFonts w:ascii="Palatino Linotype" w:hAnsi="Palatino Linotype" w:cs="Arial"/>
          <w:b/>
          <w:i/>
          <w:sz w:val="22"/>
          <w:szCs w:val="22"/>
          <w:lang w:val="es-ES"/>
        </w:rPr>
        <w:t xml:space="preserve">materia </w:t>
      </w:r>
      <w:r w:rsidRPr="00D167AA">
        <w:rPr>
          <w:rFonts w:ascii="Palatino Linotype" w:hAnsi="Palatino Linotype" w:cs="Arial"/>
          <w:b/>
          <w:i/>
          <w:sz w:val="22"/>
          <w:szCs w:val="22"/>
          <w:u w:val="single"/>
          <w:lang w:val="es-ES"/>
        </w:rPr>
        <w:t>favoreciendo en todo tiempo a las personas la protección más amplia</w:t>
      </w:r>
      <w:r w:rsidRPr="00D167AA">
        <w:rPr>
          <w:rFonts w:ascii="Palatino Linotype" w:hAnsi="Palatino Linotype" w:cs="Arial"/>
          <w:b/>
          <w:i/>
          <w:sz w:val="22"/>
          <w:szCs w:val="22"/>
          <w:lang w:val="es-ES"/>
        </w:rPr>
        <w:t>.</w:t>
      </w:r>
    </w:p>
    <w:p w:rsidR="0089642C" w:rsidRPr="00D167AA" w:rsidRDefault="0089642C" w:rsidP="0089642C">
      <w:pPr>
        <w:spacing w:line="276" w:lineRule="auto"/>
        <w:ind w:left="851" w:right="992"/>
        <w:jc w:val="both"/>
        <w:rPr>
          <w:rFonts w:ascii="Palatino Linotype" w:hAnsi="Palatino Linotype" w:cs="Arial"/>
          <w:i/>
          <w:sz w:val="22"/>
          <w:szCs w:val="22"/>
          <w:lang w:val="es-ES"/>
        </w:rPr>
      </w:pPr>
      <w:r w:rsidRPr="00D167AA">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D167AA">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D167AA">
        <w:rPr>
          <w:rFonts w:ascii="Palatino Linotype" w:hAnsi="Palatino Linotype" w:cs="Arial"/>
          <w:b/>
          <w:i/>
          <w:sz w:val="22"/>
          <w:szCs w:val="22"/>
          <w:lang w:val="es-ES"/>
        </w:rPr>
        <w:t>”</w:t>
      </w:r>
    </w:p>
    <w:p w:rsidR="0089642C" w:rsidRPr="00D167AA" w:rsidRDefault="0089642C" w:rsidP="0089642C">
      <w:pPr>
        <w:spacing w:line="276" w:lineRule="auto"/>
        <w:ind w:left="851" w:right="992"/>
        <w:jc w:val="both"/>
        <w:rPr>
          <w:rFonts w:ascii="Palatino Linotype" w:hAnsi="Palatino Linotype"/>
          <w:sz w:val="22"/>
          <w:szCs w:val="22"/>
          <w:lang w:val="es-ES"/>
        </w:rPr>
      </w:pPr>
      <w:r w:rsidRPr="00D167AA">
        <w:rPr>
          <w:rFonts w:ascii="Palatino Linotype" w:hAnsi="Palatino Linotype"/>
          <w:sz w:val="22"/>
          <w:szCs w:val="22"/>
          <w:lang w:val="es-ES"/>
        </w:rPr>
        <w:t>(Énfasis añadido)</w:t>
      </w:r>
    </w:p>
    <w:p w:rsidR="0089642C" w:rsidRPr="00D167AA" w:rsidRDefault="0089642C" w:rsidP="0089642C">
      <w:pPr>
        <w:spacing w:before="240" w:after="240" w:line="360" w:lineRule="auto"/>
        <w:jc w:val="both"/>
        <w:rPr>
          <w:rFonts w:ascii="Palatino Linotype" w:hAnsi="Palatino Linotype"/>
          <w:lang w:val="es-ES"/>
        </w:rPr>
      </w:pPr>
      <w:r w:rsidRPr="00D167AA">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89642C" w:rsidRPr="00D167AA" w:rsidRDefault="0089642C" w:rsidP="0089642C">
      <w:pPr>
        <w:spacing w:before="240" w:after="240" w:line="360" w:lineRule="auto"/>
        <w:jc w:val="both"/>
        <w:rPr>
          <w:rFonts w:ascii="Palatino Linotype" w:hAnsi="Palatino Linotype"/>
          <w:lang w:val="es-ES"/>
        </w:rPr>
      </w:pPr>
      <w:r w:rsidRPr="00D167AA">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89642C" w:rsidRPr="00D167AA" w:rsidRDefault="0089642C" w:rsidP="0089642C">
      <w:pPr>
        <w:spacing w:before="240" w:after="240" w:line="276" w:lineRule="auto"/>
        <w:ind w:left="851" w:right="992"/>
        <w:jc w:val="both"/>
        <w:rPr>
          <w:rFonts w:ascii="Palatino Linotype" w:hAnsi="Palatino Linotype" w:cs="Arial"/>
          <w:i/>
          <w:sz w:val="22"/>
          <w:szCs w:val="22"/>
          <w:lang w:val="es-ES"/>
        </w:rPr>
      </w:pPr>
      <w:r w:rsidRPr="00D167AA">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D167AA">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89642C" w:rsidRPr="00D167AA" w:rsidRDefault="0089642C" w:rsidP="0089642C">
      <w:pPr>
        <w:spacing w:before="240" w:after="240" w:line="360" w:lineRule="auto"/>
        <w:jc w:val="both"/>
        <w:rPr>
          <w:rFonts w:ascii="Palatino Linotype" w:hAnsi="Palatino Linotype"/>
          <w:lang w:val="es-ES"/>
        </w:rPr>
      </w:pPr>
      <w:r w:rsidRPr="00D167AA">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D167AA">
        <w:rPr>
          <w:rFonts w:ascii="Palatino Linotype" w:hAnsi="Palatino Linotype"/>
          <w:b/>
          <w:lang w:val="es-ES"/>
        </w:rPr>
        <w:t>RECURRENTE,</w:t>
      </w:r>
      <w:r w:rsidRPr="00D167AA">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89642C" w:rsidRPr="00D167AA" w:rsidRDefault="0089642C" w:rsidP="0089642C">
      <w:pPr>
        <w:spacing w:before="240" w:after="240" w:line="360" w:lineRule="auto"/>
        <w:jc w:val="both"/>
        <w:rPr>
          <w:rFonts w:ascii="Palatino Linotype" w:hAnsi="Palatino Linotype"/>
          <w:lang w:val="es-ES"/>
        </w:rPr>
      </w:pPr>
      <w:r w:rsidRPr="00D167AA">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89642C" w:rsidRPr="00D167AA" w:rsidRDefault="0089642C" w:rsidP="0089642C">
      <w:pPr>
        <w:spacing w:before="240" w:after="240" w:line="360" w:lineRule="auto"/>
        <w:jc w:val="both"/>
        <w:rPr>
          <w:rFonts w:ascii="Palatino Linotype" w:hAnsi="Palatino Linotype"/>
          <w:lang w:val="es-ES"/>
        </w:rPr>
      </w:pPr>
      <w:r w:rsidRPr="00D167AA">
        <w:rPr>
          <w:rFonts w:ascii="Palatino Linotype" w:hAnsi="Palatino Linotype"/>
          <w:lang w:val="es-ES"/>
        </w:rPr>
        <w:t>En consecuencia, dado lo expuesto y fundado con anterioridad, se estima que el requisito relativo al nombre del</w:t>
      </w:r>
      <w:r w:rsidRPr="00D167AA">
        <w:rPr>
          <w:rFonts w:ascii="Palatino Linotype" w:hAnsi="Palatino Linotype"/>
          <w:b/>
          <w:lang w:val="es-ES"/>
        </w:rPr>
        <w:t xml:space="preserve"> RECURRENTE</w:t>
      </w:r>
      <w:r w:rsidRPr="00D167AA">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167AA">
        <w:rPr>
          <w:rFonts w:ascii="Palatino Linotype" w:hAnsi="Palatino Linotype"/>
          <w:b/>
          <w:lang w:val="es-ES"/>
        </w:rPr>
        <w:t>EL RECURRENTE</w:t>
      </w:r>
      <w:r w:rsidRPr="00D167AA">
        <w:rPr>
          <w:rFonts w:ascii="Palatino Linotype" w:hAnsi="Palatino Linotype"/>
          <w:lang w:val="es-ES"/>
        </w:rPr>
        <w:t>, es la misma persona que realizó la solicitud de acceso a la información pública que ahora se impugna.</w:t>
      </w:r>
    </w:p>
    <w:p w:rsidR="0089642C" w:rsidRPr="00D167AA" w:rsidRDefault="0089642C" w:rsidP="0089642C">
      <w:pPr>
        <w:spacing w:before="240" w:after="240" w:line="360" w:lineRule="auto"/>
        <w:jc w:val="both"/>
        <w:rPr>
          <w:rFonts w:ascii="Palatino Linotype" w:hAnsi="Palatino Linotype"/>
          <w:lang w:val="es-ES"/>
        </w:rPr>
      </w:pPr>
      <w:r w:rsidRPr="00D167AA">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D167AA">
        <w:rPr>
          <w:rFonts w:ascii="Palatino Linotype" w:hAnsi="Palatino Linotype"/>
          <w:b/>
          <w:lang w:val="es-ES"/>
        </w:rPr>
        <w:t>RECURRENTE</w:t>
      </w:r>
      <w:r w:rsidRPr="00D167AA">
        <w:rPr>
          <w:rFonts w:ascii="Palatino Linotype" w:hAnsi="Palatino Linotype"/>
          <w:lang w:val="es-ES"/>
        </w:rPr>
        <w:t xml:space="preserve">; por lo que, en el presente caso, al haber sido presentado el recurso de revisión vía </w:t>
      </w:r>
      <w:r w:rsidRPr="00D167AA">
        <w:rPr>
          <w:rFonts w:ascii="Palatino Linotype" w:hAnsi="Palatino Linotype"/>
          <w:b/>
          <w:lang w:val="es-ES"/>
        </w:rPr>
        <w:t>SAIMEX</w:t>
      </w:r>
      <w:r w:rsidRPr="00D167AA">
        <w:rPr>
          <w:rFonts w:ascii="Palatino Linotype" w:hAnsi="Palatino Linotype"/>
          <w:lang w:val="es-ES"/>
        </w:rPr>
        <w:t>, dicho requisito resulta innecesario.</w:t>
      </w:r>
    </w:p>
    <w:p w:rsidR="0089642C" w:rsidRPr="00D167AA" w:rsidRDefault="0089642C" w:rsidP="008D671B">
      <w:pPr>
        <w:pStyle w:val="Prrafodelista"/>
        <w:widowControl w:val="0"/>
        <w:numPr>
          <w:ilvl w:val="0"/>
          <w:numId w:val="4"/>
        </w:numPr>
        <w:tabs>
          <w:tab w:val="left" w:pos="1701"/>
          <w:tab w:val="left" w:pos="1843"/>
        </w:tabs>
        <w:autoSpaceDE w:val="0"/>
        <w:autoSpaceDN w:val="0"/>
        <w:adjustRightInd w:val="0"/>
        <w:spacing w:before="360" w:after="240" w:line="360" w:lineRule="auto"/>
        <w:ind w:left="0" w:firstLine="0"/>
        <w:jc w:val="both"/>
        <w:rPr>
          <w:rFonts w:ascii="Palatino Linotype" w:eastAsia="Calibri" w:hAnsi="Palatino Linotype" w:cs="Arial"/>
        </w:rPr>
      </w:pPr>
      <w:r w:rsidRPr="00D167AA">
        <w:rPr>
          <w:rFonts w:ascii="Palatino Linotype" w:hAnsi="Palatino Linotype" w:cs="Arial"/>
          <w:b/>
        </w:rPr>
        <w:t>Estudio y resolución del asunto</w:t>
      </w:r>
      <w:r w:rsidRPr="00D167AA">
        <w:rPr>
          <w:rFonts w:ascii="Palatino Linotype" w:hAnsi="Palatino Linotype" w:cs="Arial"/>
          <w:b/>
          <w:color w:val="000000" w:themeColor="text1"/>
        </w:rPr>
        <w:t xml:space="preserve">. </w:t>
      </w:r>
      <w:r w:rsidRPr="00D167AA">
        <w:rPr>
          <w:rFonts w:ascii="Palatino Linotype" w:hAnsi="Palatino Linotype" w:cs="Arial"/>
          <w:color w:val="000000" w:themeColor="text1"/>
        </w:rPr>
        <w:t xml:space="preserve">Tal y como quedó precisado en los resultandos de la presente resolución, el particular requirió del </w:t>
      </w:r>
      <w:r w:rsidRPr="00D167AA">
        <w:rPr>
          <w:rFonts w:ascii="Palatino Linotype" w:hAnsi="Palatino Linotype" w:cs="Arial"/>
          <w:b/>
          <w:color w:val="000000" w:themeColor="text1"/>
        </w:rPr>
        <w:t>SUJETO OBLIGADO</w:t>
      </w:r>
      <w:r w:rsidRPr="00D167AA">
        <w:rPr>
          <w:rFonts w:ascii="Palatino Linotype" w:hAnsi="Palatino Linotype" w:cs="Arial"/>
          <w:color w:val="000000" w:themeColor="text1"/>
        </w:rPr>
        <w:t xml:space="preserve"> la siguiente información:</w:t>
      </w:r>
    </w:p>
    <w:p w:rsidR="0089642C" w:rsidRPr="00D167AA" w:rsidRDefault="0089642C" w:rsidP="008D671B">
      <w:pPr>
        <w:pStyle w:val="Prrafodelista"/>
        <w:widowControl w:val="0"/>
        <w:numPr>
          <w:ilvl w:val="0"/>
          <w:numId w:val="8"/>
        </w:numPr>
        <w:tabs>
          <w:tab w:val="left" w:pos="1701"/>
          <w:tab w:val="left" w:pos="1843"/>
        </w:tabs>
        <w:autoSpaceDE w:val="0"/>
        <w:autoSpaceDN w:val="0"/>
        <w:adjustRightInd w:val="0"/>
        <w:spacing w:before="360" w:after="240" w:line="360" w:lineRule="auto"/>
        <w:jc w:val="both"/>
        <w:rPr>
          <w:rFonts w:ascii="Palatino Linotype" w:eastAsia="Calibri" w:hAnsi="Palatino Linotype" w:cs="Arial"/>
        </w:rPr>
      </w:pPr>
      <w:r w:rsidRPr="00D167AA">
        <w:rPr>
          <w:rFonts w:ascii="Palatino Linotype" w:eastAsia="Calibri" w:hAnsi="Palatino Linotype" w:cs="Arial"/>
        </w:rPr>
        <w:t xml:space="preserve">Los integrantes de la Comisión Legislativa de </w:t>
      </w:r>
      <w:r w:rsidRPr="00D167AA">
        <w:rPr>
          <w:rFonts w:ascii="Palatino Linotype" w:hAnsi="Palatino Linotype" w:cs="Arial"/>
        </w:rPr>
        <w:t>Vigilancia del Órgano Superior de Fiscalización, a la fecha de la solicitud, esto es, al 20 de enero de 2020;</w:t>
      </w:r>
    </w:p>
    <w:p w:rsidR="0089642C" w:rsidRPr="00D167AA" w:rsidRDefault="0089642C" w:rsidP="008D671B">
      <w:pPr>
        <w:pStyle w:val="Prrafodelista"/>
        <w:widowControl w:val="0"/>
        <w:numPr>
          <w:ilvl w:val="0"/>
          <w:numId w:val="8"/>
        </w:numPr>
        <w:tabs>
          <w:tab w:val="left" w:pos="1701"/>
          <w:tab w:val="left" w:pos="1843"/>
        </w:tabs>
        <w:autoSpaceDE w:val="0"/>
        <w:autoSpaceDN w:val="0"/>
        <w:adjustRightInd w:val="0"/>
        <w:spacing w:before="360" w:after="240" w:line="360" w:lineRule="auto"/>
        <w:jc w:val="both"/>
        <w:rPr>
          <w:rFonts w:ascii="Palatino Linotype" w:eastAsia="Calibri" w:hAnsi="Palatino Linotype" w:cs="Arial"/>
        </w:rPr>
      </w:pPr>
      <w:r w:rsidRPr="00D167AA">
        <w:rPr>
          <w:rFonts w:ascii="Palatino Linotype" w:hAnsi="Palatino Linotype" w:cs="Arial"/>
        </w:rPr>
        <w:t xml:space="preserve">Currículo, comprobantes de estudios, títulos y cédulas profesionales de los </w:t>
      </w:r>
      <w:r w:rsidRPr="00D167AA">
        <w:rPr>
          <w:rFonts w:ascii="Palatino Linotype" w:eastAsia="Calibri" w:hAnsi="Palatino Linotype" w:cs="Arial"/>
        </w:rPr>
        <w:t xml:space="preserve">integrantes de la Comisión Legislativa de </w:t>
      </w:r>
      <w:r w:rsidRPr="00D167AA">
        <w:rPr>
          <w:rFonts w:ascii="Palatino Linotype" w:hAnsi="Palatino Linotype" w:cs="Arial"/>
        </w:rPr>
        <w:t>Vigilancia del Órgano Superior de Fiscalización;</w:t>
      </w:r>
    </w:p>
    <w:p w:rsidR="0089642C" w:rsidRPr="00D167AA" w:rsidRDefault="0089642C" w:rsidP="008D671B">
      <w:pPr>
        <w:pStyle w:val="Prrafodelista"/>
        <w:widowControl w:val="0"/>
        <w:numPr>
          <w:ilvl w:val="0"/>
          <w:numId w:val="8"/>
        </w:numPr>
        <w:tabs>
          <w:tab w:val="left" w:pos="1701"/>
          <w:tab w:val="left" w:pos="1843"/>
        </w:tabs>
        <w:autoSpaceDE w:val="0"/>
        <w:autoSpaceDN w:val="0"/>
        <w:adjustRightInd w:val="0"/>
        <w:spacing w:before="360" w:after="240" w:line="360" w:lineRule="auto"/>
        <w:jc w:val="both"/>
        <w:rPr>
          <w:rFonts w:ascii="Palatino Linotype" w:eastAsia="Calibri" w:hAnsi="Palatino Linotype" w:cs="Arial"/>
        </w:rPr>
      </w:pPr>
      <w:r w:rsidRPr="00D167AA">
        <w:rPr>
          <w:rFonts w:ascii="Palatino Linotype" w:hAnsi="Palatino Linotype" w:cs="Arial"/>
        </w:rPr>
        <w:t xml:space="preserve">Documentos oficiales que acrediten la preparación académica, capacidad o experiencia en materia de fiscalización, transparencia, rendición de cuentas, combate a la corrupción, control, auditoría financiera y evaluación de los </w:t>
      </w:r>
      <w:r w:rsidRPr="00D167AA">
        <w:rPr>
          <w:rFonts w:ascii="Palatino Linotype" w:eastAsia="Calibri" w:hAnsi="Palatino Linotype" w:cs="Arial"/>
        </w:rPr>
        <w:t xml:space="preserve">integrantes de la Comisión Legislativa de </w:t>
      </w:r>
      <w:r w:rsidRPr="00D167AA">
        <w:rPr>
          <w:rFonts w:ascii="Palatino Linotype" w:hAnsi="Palatino Linotype" w:cs="Arial"/>
        </w:rPr>
        <w:t>Vigilancia del Órgano Superior de Fiscalización;</w:t>
      </w:r>
    </w:p>
    <w:p w:rsidR="0089642C" w:rsidRPr="00D167AA" w:rsidRDefault="0089642C" w:rsidP="008D671B">
      <w:pPr>
        <w:pStyle w:val="Prrafodelista"/>
        <w:widowControl w:val="0"/>
        <w:numPr>
          <w:ilvl w:val="0"/>
          <w:numId w:val="8"/>
        </w:numPr>
        <w:tabs>
          <w:tab w:val="left" w:pos="1701"/>
          <w:tab w:val="left" w:pos="1843"/>
        </w:tabs>
        <w:autoSpaceDE w:val="0"/>
        <w:autoSpaceDN w:val="0"/>
        <w:adjustRightInd w:val="0"/>
        <w:spacing w:before="360" w:after="240" w:line="360" w:lineRule="auto"/>
        <w:jc w:val="both"/>
        <w:rPr>
          <w:rFonts w:ascii="Palatino Linotype" w:eastAsia="Calibri" w:hAnsi="Palatino Linotype" w:cs="Arial"/>
        </w:rPr>
      </w:pPr>
      <w:r w:rsidRPr="00D167AA">
        <w:rPr>
          <w:rFonts w:ascii="Palatino Linotype" w:eastAsia="Calibri" w:hAnsi="Palatino Linotype" w:cs="Arial"/>
        </w:rPr>
        <w:t xml:space="preserve">Resultados de las entrevistas y evaluaciones integrales realizadas a los integrantes de la Comisión Legislativa de </w:t>
      </w:r>
      <w:r w:rsidRPr="00D167AA">
        <w:rPr>
          <w:rFonts w:ascii="Palatino Linotype" w:hAnsi="Palatino Linotype" w:cs="Arial"/>
        </w:rPr>
        <w:t>Vigilancia del Órgano Superior de Fiscalización, para formar parte de dicha Comisión y la instancia que emite dichas evaluaciones;</w:t>
      </w:r>
    </w:p>
    <w:p w:rsidR="0089642C" w:rsidRPr="00D167AA" w:rsidRDefault="0089642C" w:rsidP="008D671B">
      <w:pPr>
        <w:pStyle w:val="Prrafodelista"/>
        <w:widowControl w:val="0"/>
        <w:numPr>
          <w:ilvl w:val="0"/>
          <w:numId w:val="8"/>
        </w:numPr>
        <w:tabs>
          <w:tab w:val="left" w:pos="1701"/>
          <w:tab w:val="left" w:pos="1843"/>
        </w:tabs>
        <w:autoSpaceDE w:val="0"/>
        <w:autoSpaceDN w:val="0"/>
        <w:adjustRightInd w:val="0"/>
        <w:spacing w:before="360" w:after="240" w:line="360" w:lineRule="auto"/>
        <w:jc w:val="both"/>
        <w:rPr>
          <w:rFonts w:ascii="Palatino Linotype" w:eastAsia="Calibri" w:hAnsi="Palatino Linotype" w:cs="Arial"/>
        </w:rPr>
      </w:pPr>
      <w:r w:rsidRPr="00D167AA">
        <w:rPr>
          <w:rFonts w:ascii="Palatino Linotype" w:hAnsi="Palatino Linotype" w:cs="Arial"/>
        </w:rPr>
        <w:t xml:space="preserve">Documentos oficiales que acrediten que los </w:t>
      </w:r>
      <w:r w:rsidRPr="00D167AA">
        <w:rPr>
          <w:rFonts w:ascii="Palatino Linotype" w:eastAsia="Calibri" w:hAnsi="Palatino Linotype" w:cs="Arial"/>
        </w:rPr>
        <w:t xml:space="preserve">integrantes de la Comisión Legislativa de </w:t>
      </w:r>
      <w:r w:rsidRPr="00D167AA">
        <w:rPr>
          <w:rFonts w:ascii="Palatino Linotype" w:hAnsi="Palatino Linotype" w:cs="Arial"/>
        </w:rPr>
        <w:t>Vigilancia del Órgano Superior de Fiscalización cuentan con conocimientos, habilidades y aptitudes para realizar entrevistas y evaluar a los aspirantes a participar en el proceso de selección de la terna de la que habrá que designarse al Auditor Superior de Fiscalización del Estado de México;</w:t>
      </w:r>
    </w:p>
    <w:p w:rsidR="0089642C" w:rsidRPr="00D167AA" w:rsidRDefault="0089642C" w:rsidP="008D671B">
      <w:pPr>
        <w:pStyle w:val="Prrafodelista"/>
        <w:widowControl w:val="0"/>
        <w:numPr>
          <w:ilvl w:val="0"/>
          <w:numId w:val="8"/>
        </w:numPr>
        <w:tabs>
          <w:tab w:val="left" w:pos="1701"/>
          <w:tab w:val="left" w:pos="1843"/>
        </w:tabs>
        <w:autoSpaceDE w:val="0"/>
        <w:autoSpaceDN w:val="0"/>
        <w:adjustRightInd w:val="0"/>
        <w:spacing w:before="360" w:after="240" w:line="360" w:lineRule="auto"/>
        <w:jc w:val="both"/>
        <w:rPr>
          <w:rFonts w:ascii="Palatino Linotype" w:eastAsia="Calibri" w:hAnsi="Palatino Linotype" w:cs="Arial"/>
        </w:rPr>
      </w:pPr>
      <w:r w:rsidRPr="00D167AA">
        <w:rPr>
          <w:rFonts w:ascii="Palatino Linotype" w:hAnsi="Palatino Linotype" w:cs="Arial"/>
        </w:rPr>
        <w:t xml:space="preserve">Documentos oficiales que contengan los criterios de valoración que aplicará la Comisión Legislativa </w:t>
      </w:r>
      <w:r w:rsidRPr="00D167AA">
        <w:rPr>
          <w:rFonts w:ascii="Palatino Linotype" w:eastAsia="Calibri" w:hAnsi="Palatino Linotype" w:cs="Arial"/>
        </w:rPr>
        <w:t xml:space="preserve">de </w:t>
      </w:r>
      <w:r w:rsidRPr="00D167AA">
        <w:rPr>
          <w:rFonts w:ascii="Palatino Linotype" w:hAnsi="Palatino Linotype" w:cs="Arial"/>
        </w:rPr>
        <w:t>Vigilancia del Órgano Superior de Fiscalización a los aspirantes a participar en el proceso de selección de la terna de la que habrá que designarse al Auditor Superior de Fiscalización del Estado de México y la instancia que los autoriza;</w:t>
      </w:r>
    </w:p>
    <w:p w:rsidR="0089642C" w:rsidRPr="00D167AA" w:rsidRDefault="0089642C" w:rsidP="008D671B">
      <w:pPr>
        <w:pStyle w:val="Prrafodelista"/>
        <w:widowControl w:val="0"/>
        <w:numPr>
          <w:ilvl w:val="0"/>
          <w:numId w:val="8"/>
        </w:numPr>
        <w:tabs>
          <w:tab w:val="left" w:pos="1701"/>
          <w:tab w:val="left" w:pos="1843"/>
        </w:tabs>
        <w:autoSpaceDE w:val="0"/>
        <w:autoSpaceDN w:val="0"/>
        <w:adjustRightInd w:val="0"/>
        <w:spacing w:before="360" w:after="240" w:line="360" w:lineRule="auto"/>
        <w:jc w:val="both"/>
        <w:rPr>
          <w:rFonts w:ascii="Palatino Linotype" w:eastAsia="Calibri" w:hAnsi="Palatino Linotype" w:cs="Arial"/>
        </w:rPr>
      </w:pPr>
      <w:r w:rsidRPr="00D167AA">
        <w:rPr>
          <w:rFonts w:ascii="Palatino Linotype" w:eastAsia="Calibri" w:hAnsi="Palatino Linotype" w:cs="Arial"/>
        </w:rPr>
        <w:t>Documentos oficiales que contienen los derechos que tienen los diputados, respecto de las Comisiones y Comités que integran; así como, el documento donde conste que se hizo del conocimiento de la Legislatura dichos derechos;</w:t>
      </w:r>
    </w:p>
    <w:p w:rsidR="0089642C" w:rsidRPr="00D167AA" w:rsidRDefault="0089642C" w:rsidP="008D671B">
      <w:pPr>
        <w:pStyle w:val="Prrafodelista"/>
        <w:widowControl w:val="0"/>
        <w:numPr>
          <w:ilvl w:val="0"/>
          <w:numId w:val="8"/>
        </w:numPr>
        <w:tabs>
          <w:tab w:val="left" w:pos="1701"/>
          <w:tab w:val="left" w:pos="1843"/>
        </w:tabs>
        <w:autoSpaceDE w:val="0"/>
        <w:autoSpaceDN w:val="0"/>
        <w:adjustRightInd w:val="0"/>
        <w:spacing w:before="360" w:after="240" w:line="360" w:lineRule="auto"/>
        <w:jc w:val="both"/>
        <w:rPr>
          <w:rFonts w:ascii="Palatino Linotype" w:eastAsia="Calibri" w:hAnsi="Palatino Linotype" w:cs="Arial"/>
        </w:rPr>
      </w:pPr>
      <w:r w:rsidRPr="00D167AA">
        <w:rPr>
          <w:rFonts w:ascii="Palatino Linotype" w:eastAsia="Calibri" w:hAnsi="Palatino Linotype" w:cs="Arial"/>
        </w:rPr>
        <w:t xml:space="preserve">Los nombres de los </w:t>
      </w:r>
      <w:r w:rsidRPr="00D167AA">
        <w:rPr>
          <w:rFonts w:ascii="Palatino Linotype" w:hAnsi="Palatino Linotype" w:cs="Arial"/>
        </w:rPr>
        <w:t>aspirantes a participar en el proceso de selección de la terna de la que habrá que designarse al Auditor Superior de Fiscalización del Estado de México; así como, el nombre de aquellos que no cumplieron con los requisitos;</w:t>
      </w:r>
    </w:p>
    <w:p w:rsidR="0089642C" w:rsidRPr="00D167AA" w:rsidRDefault="0089642C" w:rsidP="008D671B">
      <w:pPr>
        <w:pStyle w:val="Prrafodelista"/>
        <w:widowControl w:val="0"/>
        <w:numPr>
          <w:ilvl w:val="0"/>
          <w:numId w:val="8"/>
        </w:numPr>
        <w:tabs>
          <w:tab w:val="left" w:pos="1701"/>
          <w:tab w:val="left" w:pos="1843"/>
        </w:tabs>
        <w:autoSpaceDE w:val="0"/>
        <w:autoSpaceDN w:val="0"/>
        <w:adjustRightInd w:val="0"/>
        <w:spacing w:before="360" w:after="240" w:line="360" w:lineRule="auto"/>
        <w:jc w:val="both"/>
        <w:rPr>
          <w:rFonts w:ascii="Palatino Linotype" w:eastAsia="Calibri" w:hAnsi="Palatino Linotype" w:cs="Arial"/>
        </w:rPr>
      </w:pPr>
      <w:r w:rsidRPr="00D167AA">
        <w:rPr>
          <w:rFonts w:ascii="Palatino Linotype" w:hAnsi="Palatino Linotype" w:cs="Arial"/>
        </w:rPr>
        <w:t xml:space="preserve">Copias de los sobres, sellados y firmados por los aspirantes a participar en el proceso de selección de la terna de la que habrá que designarse al Auditor Superior de Fiscalización del Estado de México, mediante el cual se realizó la entrega de la documentación presentada por cada uno de ellos; y, </w:t>
      </w:r>
    </w:p>
    <w:p w:rsidR="0089642C" w:rsidRPr="00D167AA" w:rsidRDefault="0089642C" w:rsidP="008D671B">
      <w:pPr>
        <w:pStyle w:val="Prrafodelista"/>
        <w:widowControl w:val="0"/>
        <w:numPr>
          <w:ilvl w:val="0"/>
          <w:numId w:val="8"/>
        </w:numPr>
        <w:tabs>
          <w:tab w:val="left" w:pos="1701"/>
          <w:tab w:val="left" w:pos="1843"/>
        </w:tabs>
        <w:autoSpaceDE w:val="0"/>
        <w:autoSpaceDN w:val="0"/>
        <w:adjustRightInd w:val="0"/>
        <w:spacing w:before="360" w:after="240" w:line="360" w:lineRule="auto"/>
        <w:jc w:val="both"/>
        <w:rPr>
          <w:rFonts w:ascii="Palatino Linotype" w:eastAsia="Calibri" w:hAnsi="Palatino Linotype" w:cs="Arial"/>
        </w:rPr>
      </w:pPr>
      <w:r w:rsidRPr="00D167AA">
        <w:rPr>
          <w:rFonts w:ascii="Palatino Linotype" w:hAnsi="Palatino Linotype" w:cs="Arial"/>
        </w:rPr>
        <w:t>Los documentos remitidos por los aspirantes a participar en el proceso de selección de la terna de la que habrá que designarse al Auditor Superior de Fiscalización del Estado de México.</w:t>
      </w:r>
    </w:p>
    <w:p w:rsidR="0089642C" w:rsidRPr="00D167AA" w:rsidRDefault="0089642C" w:rsidP="008D671B">
      <w:pPr>
        <w:pStyle w:val="Prrafodelista"/>
        <w:widowControl w:val="0"/>
        <w:numPr>
          <w:ilvl w:val="0"/>
          <w:numId w:val="8"/>
        </w:numPr>
        <w:tabs>
          <w:tab w:val="left" w:pos="1701"/>
          <w:tab w:val="left" w:pos="1843"/>
        </w:tabs>
        <w:autoSpaceDE w:val="0"/>
        <w:autoSpaceDN w:val="0"/>
        <w:adjustRightInd w:val="0"/>
        <w:spacing w:before="360" w:after="240" w:line="360" w:lineRule="auto"/>
        <w:jc w:val="both"/>
        <w:rPr>
          <w:rFonts w:ascii="Palatino Linotype" w:eastAsia="Calibri" w:hAnsi="Palatino Linotype" w:cs="Arial"/>
        </w:rPr>
      </w:pPr>
      <w:r w:rsidRPr="00D167AA">
        <w:rPr>
          <w:rFonts w:ascii="Palatino Linotype" w:hAnsi="Palatino Linotype" w:cs="Arial"/>
        </w:rPr>
        <w:t xml:space="preserve">Los documentos donde conste la evaluación realizada por la Comisión Legislativa </w:t>
      </w:r>
      <w:r w:rsidRPr="00D167AA">
        <w:rPr>
          <w:rFonts w:ascii="Palatino Linotype" w:eastAsia="Calibri" w:hAnsi="Palatino Linotype" w:cs="Arial"/>
        </w:rPr>
        <w:t xml:space="preserve">de </w:t>
      </w:r>
      <w:r w:rsidRPr="00D167AA">
        <w:rPr>
          <w:rFonts w:ascii="Palatino Linotype" w:hAnsi="Palatino Linotype" w:cs="Arial"/>
        </w:rPr>
        <w:t>Vigilancia del Órgano Superior de Fiscalización a cada uno los aspirantes a participar en el proceso de selección de la terna de la que habrá que designarse al Auditor Superior de Fiscalización del Estado de México.</w:t>
      </w:r>
    </w:p>
    <w:p w:rsidR="0089642C" w:rsidRPr="00D167AA" w:rsidRDefault="0089642C" w:rsidP="0089642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D167AA">
        <w:rPr>
          <w:rFonts w:ascii="Palatino Linotype" w:hAnsi="Palatino Linotype" w:cs="Arial"/>
        </w:rPr>
        <w:t xml:space="preserve">Al respecto, </w:t>
      </w:r>
      <w:r w:rsidRPr="00D167AA">
        <w:rPr>
          <w:rFonts w:ascii="Palatino Linotype" w:hAnsi="Palatino Linotype" w:cs="Arial"/>
          <w:b/>
        </w:rPr>
        <w:t>EL SUJETO OBLIGADO</w:t>
      </w:r>
      <w:r w:rsidRPr="00D167AA">
        <w:rPr>
          <w:rFonts w:ascii="Palatino Linotype" w:hAnsi="Palatino Linotype" w:cs="Arial"/>
        </w:rPr>
        <w:t xml:space="preserve"> respondió al particular mediante la remisión de los documentos descritos en el Resultando IV de la presente resolución, documentos que serán analizados a detalle, en líneas posteriores.</w:t>
      </w:r>
    </w:p>
    <w:p w:rsidR="0089642C" w:rsidRPr="00D167AA" w:rsidRDefault="0089642C" w:rsidP="0089642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b/>
        </w:rPr>
      </w:pPr>
      <w:r w:rsidRPr="00D167AA">
        <w:rPr>
          <w:rFonts w:ascii="Palatino Linotype" w:hAnsi="Palatino Linotype" w:cs="Arial"/>
        </w:rPr>
        <w:t xml:space="preserve">Inconforme con la respuesta del </w:t>
      </w:r>
      <w:r w:rsidRPr="00D167AA">
        <w:rPr>
          <w:rFonts w:ascii="Palatino Linotype" w:hAnsi="Palatino Linotype" w:cs="Arial"/>
          <w:b/>
        </w:rPr>
        <w:t>SUJETO OBLIGADO</w:t>
      </w:r>
      <w:r w:rsidRPr="00D167AA">
        <w:rPr>
          <w:rFonts w:ascii="Palatino Linotype" w:hAnsi="Palatino Linotype" w:cs="Arial"/>
        </w:rPr>
        <w:t xml:space="preserve">, el hoy </w:t>
      </w:r>
      <w:r w:rsidRPr="00D167AA">
        <w:rPr>
          <w:rFonts w:ascii="Palatino Linotype" w:hAnsi="Palatino Linotype" w:cs="Arial"/>
          <w:b/>
        </w:rPr>
        <w:t>RECURRENTE</w:t>
      </w:r>
      <w:r w:rsidRPr="00D167AA">
        <w:rPr>
          <w:rFonts w:ascii="Palatino Linotype" w:hAnsi="Palatino Linotype" w:cs="Arial"/>
        </w:rPr>
        <w:t xml:space="preserve"> interpuso el medio de defensa de análisis, en el cual, genéricamente, refirió que no se le entregó la totalidad de la información solicitada.</w:t>
      </w:r>
    </w:p>
    <w:p w:rsidR="0089642C" w:rsidRPr="00D167AA" w:rsidRDefault="0089642C" w:rsidP="0089642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D167AA">
        <w:rPr>
          <w:rFonts w:ascii="Palatino Linotype" w:hAnsi="Palatino Linotype" w:cs="Arial"/>
        </w:rPr>
        <w:t xml:space="preserve">Posteriormente, </w:t>
      </w:r>
      <w:r w:rsidRPr="00D167AA">
        <w:rPr>
          <w:rFonts w:ascii="Palatino Linotype" w:hAnsi="Palatino Linotype" w:cs="Arial"/>
          <w:b/>
        </w:rPr>
        <w:t>EL SUJETO OBLIGADO</w:t>
      </w:r>
      <w:r w:rsidRPr="00D167AA">
        <w:rPr>
          <w:rFonts w:ascii="Palatino Linotype" w:hAnsi="Palatino Linotype" w:cs="Arial"/>
        </w:rPr>
        <w:t xml:space="preserve"> rindió su Informe Justificado, mediante el cual reiteró su respuesta. Por su parte, </w:t>
      </w:r>
      <w:r w:rsidRPr="00D167AA">
        <w:rPr>
          <w:rFonts w:ascii="Palatino Linotype" w:hAnsi="Palatino Linotype" w:cs="Arial"/>
          <w:b/>
        </w:rPr>
        <w:t>EL RECURRENTE</w:t>
      </w:r>
      <w:r w:rsidRPr="00D167AA">
        <w:rPr>
          <w:rFonts w:ascii="Palatino Linotype" w:hAnsi="Palatino Linotype" w:cs="Arial"/>
        </w:rPr>
        <w:t xml:space="preserve"> no presentó manifestaciones, alegatos ni ofreció los medios de prueba que a su derecho convinieran.</w:t>
      </w:r>
    </w:p>
    <w:p w:rsidR="0089642C" w:rsidRPr="00D167AA" w:rsidRDefault="0089642C" w:rsidP="0089642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D167AA">
        <w:rPr>
          <w:rFonts w:ascii="Palatino Linotype" w:hAnsi="Palatino Linotype" w:cs="Arial"/>
        </w:rPr>
        <w:t xml:space="preserve">Bajo ese contexto, este Instituto analizó la totalidad de las actuaciones que integran el expediente electrónico del </w:t>
      </w:r>
      <w:r w:rsidRPr="00D167AA">
        <w:rPr>
          <w:rFonts w:ascii="Palatino Linotype" w:hAnsi="Palatino Linotype" w:cs="Arial"/>
          <w:b/>
        </w:rPr>
        <w:t>SAIMEX</w:t>
      </w:r>
      <w:r w:rsidRPr="00D167AA">
        <w:rPr>
          <w:rFonts w:ascii="Palatino Linotype" w:hAnsi="Palatino Linotype" w:cs="Arial"/>
        </w:rPr>
        <w:t xml:space="preserve"> y advirtió que las razones o motivos de inconformidad hechos valer por </w:t>
      </w:r>
      <w:r w:rsidRPr="00D167AA">
        <w:rPr>
          <w:rFonts w:ascii="Palatino Linotype" w:hAnsi="Palatino Linotype" w:cs="Arial"/>
          <w:b/>
        </w:rPr>
        <w:t>EL RECURRENTE</w:t>
      </w:r>
      <w:r w:rsidRPr="00D167AA">
        <w:rPr>
          <w:rFonts w:ascii="Palatino Linotype" w:hAnsi="Palatino Linotype" w:cs="Arial"/>
        </w:rPr>
        <w:t xml:space="preserve"> devienen </w:t>
      </w:r>
      <w:r w:rsidRPr="00D167AA">
        <w:rPr>
          <w:rFonts w:ascii="Palatino Linotype" w:hAnsi="Palatino Linotype" w:cs="Arial"/>
          <w:b/>
        </w:rPr>
        <w:t>parcialmente fundados</w:t>
      </w:r>
      <w:r w:rsidRPr="00D167AA">
        <w:rPr>
          <w:rFonts w:ascii="Palatino Linotype" w:hAnsi="Palatino Linotype" w:cs="Arial"/>
        </w:rPr>
        <w:t xml:space="preserve">; por lo que, lo procedente es </w:t>
      </w:r>
      <w:r w:rsidRPr="00D167AA">
        <w:rPr>
          <w:rFonts w:ascii="Palatino Linotype" w:hAnsi="Palatino Linotype" w:cs="Arial"/>
          <w:b/>
        </w:rPr>
        <w:t>MODIFICAR</w:t>
      </w:r>
      <w:r w:rsidRPr="00D167AA">
        <w:rPr>
          <w:rFonts w:ascii="Palatino Linotype" w:hAnsi="Palatino Linotype" w:cs="Arial"/>
        </w:rPr>
        <w:t xml:space="preserve"> la respuesta del </w:t>
      </w:r>
      <w:r w:rsidRPr="00D167AA">
        <w:rPr>
          <w:rFonts w:ascii="Palatino Linotype" w:hAnsi="Palatino Linotype" w:cs="Arial"/>
          <w:b/>
        </w:rPr>
        <w:t>SUJETO OBLIGADO</w:t>
      </w:r>
      <w:r w:rsidRPr="00D167AA">
        <w:rPr>
          <w:rFonts w:ascii="Palatino Linotype" w:hAnsi="Palatino Linotype" w:cs="Arial"/>
        </w:rPr>
        <w:t>, y ordenar haga entrega de la información descrita a lo largo del presente Considerando.</w:t>
      </w:r>
    </w:p>
    <w:p w:rsidR="0089642C" w:rsidRPr="00D167AA" w:rsidRDefault="0089642C" w:rsidP="0089642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D167AA">
        <w:rPr>
          <w:rFonts w:ascii="Palatino Linotype" w:hAnsi="Palatino Linotype" w:cs="Arial"/>
        </w:rPr>
        <w:t xml:space="preserve">Como se mencionó en párrafos anteriores, esta Ponencia Resolutora analizó cada una de las solicitudes de acceso a la información con los documentos remitidos en la respuesta del </w:t>
      </w:r>
      <w:r w:rsidRPr="00D167AA">
        <w:rPr>
          <w:rFonts w:ascii="Palatino Linotype" w:hAnsi="Palatino Linotype" w:cs="Arial"/>
          <w:b/>
        </w:rPr>
        <w:t>SUJETO OBLIGADO</w:t>
      </w:r>
      <w:r w:rsidRPr="00D167AA">
        <w:rPr>
          <w:rFonts w:ascii="Palatino Linotype" w:hAnsi="Palatino Linotype" w:cs="Arial"/>
        </w:rPr>
        <w:t>, a fin de verificar si con éstos se colmó el derecho de acceso a la información ejercitado por el particular y arribó a las siguientes conclusiones:</w:t>
      </w:r>
    </w:p>
    <w:tbl>
      <w:tblPr>
        <w:tblStyle w:val="Tablaconcuadrcula"/>
        <w:tblW w:w="5000" w:type="pct"/>
        <w:tblLook w:val="04A0"/>
      </w:tblPr>
      <w:tblGrid>
        <w:gridCol w:w="1773"/>
        <w:gridCol w:w="4301"/>
        <w:gridCol w:w="1584"/>
        <w:gridCol w:w="1679"/>
      </w:tblGrid>
      <w:tr w:rsidR="0089642C" w:rsidRPr="00D167AA">
        <w:trPr>
          <w:tblHeader/>
        </w:trPr>
        <w:tc>
          <w:tcPr>
            <w:tcW w:w="950" w:type="pct"/>
            <w:shd w:val="clear" w:color="auto" w:fill="000000" w:themeFill="text1"/>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center"/>
              <w:rPr>
                <w:rFonts w:ascii="Palatino Linotype" w:hAnsi="Palatino Linotype" w:cs="Arial"/>
                <w:b/>
              </w:rPr>
            </w:pPr>
            <w:r w:rsidRPr="00D167AA">
              <w:rPr>
                <w:rFonts w:ascii="Palatino Linotype" w:hAnsi="Palatino Linotype" w:cs="Arial"/>
                <w:b/>
              </w:rPr>
              <w:t>Requerimiento</w:t>
            </w:r>
          </w:p>
        </w:tc>
        <w:tc>
          <w:tcPr>
            <w:tcW w:w="2303" w:type="pct"/>
            <w:shd w:val="clear" w:color="auto" w:fill="000000" w:themeFill="text1"/>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center"/>
              <w:rPr>
                <w:rFonts w:ascii="Palatino Linotype" w:hAnsi="Palatino Linotype" w:cs="Arial"/>
                <w:b/>
              </w:rPr>
            </w:pPr>
            <w:r w:rsidRPr="00D167AA">
              <w:rPr>
                <w:rFonts w:ascii="Palatino Linotype" w:hAnsi="Palatino Linotype" w:cs="Arial"/>
                <w:b/>
              </w:rPr>
              <w:t>Respuesta</w:t>
            </w:r>
          </w:p>
        </w:tc>
        <w:tc>
          <w:tcPr>
            <w:tcW w:w="848" w:type="pct"/>
            <w:shd w:val="clear" w:color="auto" w:fill="000000" w:themeFill="text1"/>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center"/>
              <w:rPr>
                <w:rFonts w:ascii="Palatino Linotype" w:hAnsi="Palatino Linotype" w:cs="Arial"/>
                <w:b/>
              </w:rPr>
            </w:pPr>
            <w:r w:rsidRPr="00D167AA">
              <w:rPr>
                <w:rFonts w:ascii="Palatino Linotype" w:hAnsi="Palatino Linotype" w:cs="Arial"/>
                <w:b/>
              </w:rPr>
              <w:t>Informe Justificado</w:t>
            </w:r>
          </w:p>
        </w:tc>
        <w:tc>
          <w:tcPr>
            <w:tcW w:w="899" w:type="pct"/>
            <w:shd w:val="clear" w:color="auto" w:fill="000000" w:themeFill="text1"/>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center"/>
              <w:rPr>
                <w:rFonts w:ascii="Palatino Linotype" w:hAnsi="Palatino Linotype" w:cs="Arial"/>
                <w:b/>
              </w:rPr>
            </w:pPr>
            <w:r w:rsidRPr="00D167AA">
              <w:rPr>
                <w:rFonts w:ascii="Palatino Linotype" w:hAnsi="Palatino Linotype" w:cs="Arial"/>
                <w:b/>
              </w:rPr>
              <w:t>Colma</w:t>
            </w:r>
          </w:p>
        </w:tc>
      </w:tr>
      <w:tr w:rsidR="0089642C" w:rsidRPr="00D167AA">
        <w:tc>
          <w:tcPr>
            <w:tcW w:w="950" w:type="pct"/>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1. Los integrantes de la Comisión Legislativa de Vigilancia del Órgano Superior de Fiscalización, a la fecha de la solicitud, esto es, al 20 de enero de 2020.</w:t>
            </w:r>
          </w:p>
        </w:tc>
        <w:tc>
          <w:tcPr>
            <w:tcW w:w="2303" w:type="pct"/>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Oficio 00027.pdf consistente en el oficio sin número, de fecha 11 de febrero de 2020, constante de 2 fojas útiles, mediante el cual el Servidor Público Habilitado de la Secretaría de Administración y Finanzas remite el listado de los miembros de la Comisión Legislativa de Vigilancia del Órgano Superior de Fiscalización.</w:t>
            </w:r>
          </w:p>
        </w:tc>
        <w:tc>
          <w:tcPr>
            <w:tcW w:w="848" w:type="pct"/>
            <w:vMerge w:val="restart"/>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Reiteró sus respuestas</w:t>
            </w:r>
          </w:p>
        </w:tc>
        <w:tc>
          <w:tcPr>
            <w:tcW w:w="899" w:type="pct"/>
            <w:shd w:val="clear" w:color="auto" w:fill="EAF1DD" w:themeFill="accent3" w:themeFillTint="33"/>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Sí</w:t>
            </w:r>
          </w:p>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Remite la información solicitada.</w:t>
            </w:r>
          </w:p>
        </w:tc>
      </w:tr>
      <w:tr w:rsidR="0089642C" w:rsidRPr="00D167AA">
        <w:tc>
          <w:tcPr>
            <w:tcW w:w="950" w:type="pct"/>
            <w:vAlign w:val="center"/>
          </w:tcPr>
          <w:p w:rsidR="0089642C" w:rsidRPr="00D167AA" w:rsidRDefault="0089642C" w:rsidP="00341B70">
            <w:pPr>
              <w:pStyle w:val="Prrafodelista"/>
              <w:widowControl w:val="0"/>
              <w:tabs>
                <w:tab w:val="left" w:pos="0"/>
              </w:tabs>
              <w:autoSpaceDE w:val="0"/>
              <w:autoSpaceDN w:val="0"/>
              <w:adjustRightInd w:val="0"/>
              <w:ind w:left="0"/>
              <w:jc w:val="both"/>
              <w:rPr>
                <w:rFonts w:ascii="Palatino Linotype" w:hAnsi="Palatino Linotype" w:cs="Arial"/>
              </w:rPr>
            </w:pPr>
            <w:r w:rsidRPr="00D167AA">
              <w:rPr>
                <w:rFonts w:ascii="Palatino Linotype" w:hAnsi="Palatino Linotype" w:cs="Arial"/>
              </w:rPr>
              <w:t>2. Currículo, comprobantes de estudios, títulos y cédulas profesionales de los integrantes de la Comisión Legislativa de Vigilancia del Órgano Superior de Fiscalización.</w:t>
            </w:r>
          </w:p>
        </w:tc>
        <w:tc>
          <w:tcPr>
            <w:tcW w:w="2303" w:type="pct"/>
            <w:vMerge w:val="restart"/>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Oficio 00027.pdf consistente en el oficio sin número, de fecha 11 de febrero de 2020, constante de 2 fojas útiles, mediante el cual el Servidor Público Habilitado de la Secretaría de Administración y Finanzas remite los comprobantes académicos y documentos curriculares de legisladores integrantes de la Comisión Legislativa de Vigilancia del Órgano Superior de Fiscalización.</w:t>
            </w:r>
          </w:p>
          <w:p w:rsidR="0089642C" w:rsidRPr="00D167AA" w:rsidRDefault="0089642C" w:rsidP="00341B70">
            <w:pPr>
              <w:widowControl w:val="0"/>
              <w:tabs>
                <w:tab w:val="left" w:pos="1701"/>
                <w:tab w:val="left" w:pos="1843"/>
              </w:tabs>
              <w:autoSpaceDE w:val="0"/>
              <w:autoSpaceDN w:val="0"/>
              <w:adjustRightInd w:val="0"/>
              <w:jc w:val="both"/>
              <w:rPr>
                <w:rFonts w:ascii="Palatino Linotype" w:hAnsi="Palatino Linotype" w:cs="Arial"/>
              </w:rPr>
            </w:pPr>
            <w:r w:rsidRPr="00D167AA">
              <w:rPr>
                <w:rFonts w:ascii="Palatino Linotype" w:hAnsi="Palatino Linotype" w:cs="Arial"/>
              </w:rPr>
              <w:t>Fichas y comprobantes - 027.rar consistente en diversas cédulas profesionales, títulos universitarios, una constancia de estudios y un certificado de estudios, todos ellos en versión pública, correspondientes a 10 legisladores integrantes de la Comisión Legislativa de Vigilancia del Órgano Superior de Fiscalización; así como, 13 fichas curriculares y 1 Currículo de dichos integrantes.</w:t>
            </w:r>
          </w:p>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Acta de la 6a. Sesión extraordinaria del CT 2020.pdf consistente en el Acta número PLEGISLA/LX/CT/06ªext/2020, de fecha 7 de febrero de 2020, mediante la cual, en lo que interesa, se aprueba la versión pública de los comprobantes académicos y currículos de diversos legisladores, constante de 16 fojas útiles.</w:t>
            </w:r>
          </w:p>
        </w:tc>
        <w:tc>
          <w:tcPr>
            <w:tcW w:w="848" w:type="pct"/>
            <w:vMerge/>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p>
        </w:tc>
        <w:tc>
          <w:tcPr>
            <w:tcW w:w="899" w:type="pct"/>
            <w:vMerge w:val="restart"/>
            <w:shd w:val="clear" w:color="auto" w:fill="FFFFCC"/>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Parcialmente.</w:t>
            </w:r>
          </w:p>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Remite las fichas curriculares de los legisladores integrantes de la Comisión Legislativa de Vigilancia del Órgano Superior de Fiscalización; así como, los comprobantes académicos, títulos y cédulas profesionales con los que cuenta, pese a que no hay fuente obligacional de contar con éstos últimos documentos.</w:t>
            </w:r>
          </w:p>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Remite el Acuerdo del Comité de Transparencia que avala las versiones públicas remitidas.</w:t>
            </w:r>
          </w:p>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 xml:space="preserve">Sin embargo, del análisis a los títulos y cédulas remitidas, se advierte que </w:t>
            </w:r>
            <w:r w:rsidRPr="00D167AA">
              <w:rPr>
                <w:rFonts w:ascii="Palatino Linotype" w:hAnsi="Palatino Linotype" w:cs="Arial"/>
                <w:b/>
              </w:rPr>
              <w:t xml:space="preserve">EL SUJETO OBLIGADO </w:t>
            </w:r>
            <w:r w:rsidRPr="00D167AA">
              <w:rPr>
                <w:rFonts w:ascii="Palatino Linotype" w:hAnsi="Palatino Linotype" w:cs="Arial"/>
              </w:rPr>
              <w:t>testó las fotografías de los diputados, mismas que son públicas.</w:t>
            </w:r>
          </w:p>
        </w:tc>
      </w:tr>
      <w:tr w:rsidR="0089642C" w:rsidRPr="00D167AA">
        <w:tc>
          <w:tcPr>
            <w:tcW w:w="950" w:type="pct"/>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3. Documentos oficiales que acrediten la preparación académica, capacidad o experiencia en materia de fiscalización, transparencia, rendición de cuentas, combate a la corrupción, control, auditoría financiera y evaluación de los integrantes de la Comisión Legislativa de Vigilancia del Órgano Superior de Fiscalización.</w:t>
            </w:r>
          </w:p>
        </w:tc>
        <w:tc>
          <w:tcPr>
            <w:tcW w:w="2303" w:type="pct"/>
            <w:vMerge/>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p>
        </w:tc>
        <w:tc>
          <w:tcPr>
            <w:tcW w:w="848" w:type="pct"/>
            <w:vMerge/>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p>
        </w:tc>
        <w:tc>
          <w:tcPr>
            <w:tcW w:w="899" w:type="pct"/>
            <w:vMerge/>
            <w:shd w:val="clear" w:color="auto" w:fill="FFFFCC"/>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p>
        </w:tc>
      </w:tr>
      <w:tr w:rsidR="0089642C" w:rsidRPr="00D167AA">
        <w:tc>
          <w:tcPr>
            <w:tcW w:w="950" w:type="pct"/>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4. Resultados de las entrevistas y evaluaciones integrales realizadas a los integrantes de la Comisión Legislativa de Vigilancia del Órgano Superior de Fiscalización, para formar parte de dicha Comisión y la instancia que emite dichas evaluaciones.</w:t>
            </w:r>
          </w:p>
        </w:tc>
        <w:tc>
          <w:tcPr>
            <w:tcW w:w="2303" w:type="pct"/>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0027 RESPUESTA.pdf consistente en el oficio sin número, de fecha 20 de febrero de 2020, mediante el cual el Servidor Público Habilitado de la Secretaría de Administración y Finanzas remite la integración de la Comisión Legislativa de Vigilancia del Órgano Superior de Fiscalización; informa que no cuenta con documentación alguna que atienda a la solicitud de acceso a la información marcada con el numeral 4, puesto que no existe disposición expresa que obligue a contar con ella.</w:t>
            </w:r>
          </w:p>
        </w:tc>
        <w:tc>
          <w:tcPr>
            <w:tcW w:w="848" w:type="pct"/>
            <w:vMerge/>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p>
        </w:tc>
        <w:tc>
          <w:tcPr>
            <w:tcW w:w="899" w:type="pct"/>
            <w:vMerge w:val="restart"/>
            <w:shd w:val="clear" w:color="auto" w:fill="EAF1DD" w:themeFill="accent3" w:themeFillTint="33"/>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Sí</w:t>
            </w:r>
          </w:p>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 xml:space="preserve">La aseveración del </w:t>
            </w:r>
            <w:r w:rsidRPr="00D167AA">
              <w:rPr>
                <w:rFonts w:ascii="Palatino Linotype" w:hAnsi="Palatino Linotype" w:cs="Arial"/>
                <w:b/>
              </w:rPr>
              <w:t>SUJETO OBLIGADO</w:t>
            </w:r>
            <w:r w:rsidRPr="00D167AA">
              <w:rPr>
                <w:rFonts w:ascii="Palatino Linotype" w:hAnsi="Palatino Linotype" w:cs="Arial"/>
              </w:rPr>
              <w:t xml:space="preserve"> constituye un Hecho Negativo.</w:t>
            </w:r>
          </w:p>
        </w:tc>
      </w:tr>
      <w:tr w:rsidR="0089642C" w:rsidRPr="00D167AA">
        <w:tc>
          <w:tcPr>
            <w:tcW w:w="950" w:type="pct"/>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5. Documentos oficiales que acrediten que los integrantes de la Comisión Legislativa de Vigilancia del Órgano Superior de Fiscalización cuentan con conocimientos, habilidades y aptitudes para realizar entrevistas y evaluar a los aspirantes a participar en el proceso de selección de la terna de la que habrá que designarse al Auditor Superior de Fiscalización del Estado de México.</w:t>
            </w:r>
          </w:p>
        </w:tc>
        <w:tc>
          <w:tcPr>
            <w:tcW w:w="2303" w:type="pct"/>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0027 RESPUESTA.pdf consistente en el oficio sin número, de fecha 20 de febrero de 2020, mediante el cual el Servidor Público Habilitado de la Secretaría de Administración y Finanzas remite la integración de la Comisión Legislativa de Vigilancia del Órgano Superior de Fiscalización; informa que no cuenta con documentación alguna que atienda a la solicitud de acceso a la información marcada con el numeral 5, puesto que no existe disposición expresa que obligue a contar con ella.</w:t>
            </w:r>
          </w:p>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Además, se destaca que se remitieron las fichas curriculares de cada uno de los diputados integrantes de la Comisión Legislativa de Vigilancia del Órgano Superior de Fiscalización.</w:t>
            </w:r>
          </w:p>
        </w:tc>
        <w:tc>
          <w:tcPr>
            <w:tcW w:w="848" w:type="pct"/>
            <w:vMerge/>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p>
        </w:tc>
        <w:tc>
          <w:tcPr>
            <w:tcW w:w="899" w:type="pct"/>
            <w:vMerge/>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p>
        </w:tc>
      </w:tr>
      <w:tr w:rsidR="0089642C" w:rsidRPr="00D167AA">
        <w:tc>
          <w:tcPr>
            <w:tcW w:w="950" w:type="pct"/>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6. Documentos oficiales que contengan los criterios de valoración que aplicará la Comisión Legislativa de Vigilancia del Órgano Superior de Fiscalización a los aspirantes a participar en el proceso de selección de la terna de la que habrá que designarse al Auditor Superior de Fiscalización del Estado de México y la instancia que los autoriza.</w:t>
            </w:r>
          </w:p>
        </w:tc>
        <w:tc>
          <w:tcPr>
            <w:tcW w:w="2303" w:type="pct"/>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0027 RESPUESTA.pdf consistente en el oficio sin número, de fecha 20 de febrero de 2020, mediante el cual el Servidor Público Habilitado de la Secretaría de Administración y Finanzas remite la integración de la Comisión Legislativa de Vigilancia del Órgano Superior de Fiscalización; informa que no cuenta con documentación alguna que atienda a la solicitud de acceso a la información marcada con el numeral 6, puesto que no existe disposición expresa establezca que deba emitirse documento alguno con criterios de valoración para el propósito referido.</w:t>
            </w:r>
          </w:p>
        </w:tc>
        <w:tc>
          <w:tcPr>
            <w:tcW w:w="848" w:type="pct"/>
            <w:vMerge/>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p>
        </w:tc>
        <w:tc>
          <w:tcPr>
            <w:tcW w:w="899" w:type="pct"/>
            <w:vMerge/>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p>
        </w:tc>
      </w:tr>
      <w:tr w:rsidR="0089642C" w:rsidRPr="00D167AA">
        <w:tc>
          <w:tcPr>
            <w:tcW w:w="950" w:type="pct"/>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7. Documentos oficiales que contienen los derechos que tienen los diputados, respecto de las Comisiones y Comités que integran; así como, el documento donde conste que se hizo del conocimiento de la Legislatura dichos derechos.</w:t>
            </w:r>
          </w:p>
        </w:tc>
        <w:tc>
          <w:tcPr>
            <w:tcW w:w="2303" w:type="pct"/>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0027 RESPUESTA.pdf consistente en el oficio sin número, de fecha 20 de febrero de 2020, mediante el cual el Servidor Público Habilitado de la Secretaría de Administración y Finanzas remite el fundamento legal que otorga los derechos de los diputados a integrar comisiones; así como, la liga electrónica correspondiente.</w:t>
            </w:r>
          </w:p>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Asimismo, refirió que por estar contenidos en la Ley correspondiente, no existe un documento en específico que dé cuenta de los derechos de los diputados, máxime que es de orden público, de igual forma, manifestó que ésta fue debidamente publicada en el periódico oficial del Gobierno del Estado de México “Gaceta del Gobierno”.</w:t>
            </w:r>
          </w:p>
        </w:tc>
        <w:tc>
          <w:tcPr>
            <w:tcW w:w="848" w:type="pct"/>
            <w:vMerge/>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p>
        </w:tc>
        <w:tc>
          <w:tcPr>
            <w:tcW w:w="899" w:type="pct"/>
            <w:shd w:val="clear" w:color="auto" w:fill="EAF1DD" w:themeFill="accent3" w:themeFillTint="33"/>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Sí</w:t>
            </w:r>
          </w:p>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Remite la información solicitada.</w:t>
            </w:r>
          </w:p>
        </w:tc>
      </w:tr>
      <w:tr w:rsidR="0089642C" w:rsidRPr="00D167AA">
        <w:tc>
          <w:tcPr>
            <w:tcW w:w="950" w:type="pct"/>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8. Los nombres de los aspirantes a participar en el proceso de selección de la terna de la que habrá que designarse al Auditor Superior de Fiscalización del Estado de México; así como, el nombre de aquellos que no cumplieron con los requisitos.</w:t>
            </w:r>
          </w:p>
        </w:tc>
        <w:tc>
          <w:tcPr>
            <w:tcW w:w="2303" w:type="pct"/>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0027 RESPUESTA.pdf consistente en el oficio sin número, de fecha 20 de febrero de 2020, mediante el cual el Servidor Público Habilitado de la Secretaría de Administración y Finanzas manifiesta que el listado de aspirantes registrados se encuentra plasmado en el acuerdo presentado a la consideración de la “LX Legislatura por la Comisión de Vigilancia del Órgano Superior de Fiscalización, de conformidad con lo establecido en los artículos 61 fracción XXXII de la Constitución Política del Estado Libre y Soberano de México y 10, 11, 12 y 16 de la Ley de Fiscalización Superior del Estado de México”; así como, la liga electrónica correspondiente; así como, el nombre de la persona que no cumplió con la totalidad de los documentos de la manera exigida por la Convocatoria.</w:t>
            </w:r>
          </w:p>
        </w:tc>
        <w:tc>
          <w:tcPr>
            <w:tcW w:w="848" w:type="pct"/>
            <w:vMerge/>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p>
        </w:tc>
        <w:tc>
          <w:tcPr>
            <w:tcW w:w="899" w:type="pct"/>
            <w:shd w:val="clear" w:color="auto" w:fill="EAF1DD" w:themeFill="accent3" w:themeFillTint="33"/>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Sí</w:t>
            </w:r>
          </w:p>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Remite la información solicitada.</w:t>
            </w:r>
          </w:p>
        </w:tc>
      </w:tr>
      <w:tr w:rsidR="0089642C" w:rsidRPr="00D167AA">
        <w:tc>
          <w:tcPr>
            <w:tcW w:w="950" w:type="pct"/>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9. Copias de los sobres, sellados y firmados por los aspirantes a participar en el proceso de selección de la terna de la que habrá que designarse al Auditor Superior de Fiscalización del Estado de México, mediante el cual se realizó la entrega de la documentación entregada por cada uno de ellos.</w:t>
            </w:r>
          </w:p>
        </w:tc>
        <w:tc>
          <w:tcPr>
            <w:tcW w:w="2303" w:type="pct"/>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0027 RESPUESTA.pdf consistente en el oficio sin número, de fecha 20 de febrero de 2020, mediante el cual el Servidor Público Habilitado de la Secretaría de Administración y Finanzas remite la parte frontal de los sobres en los que se fijó el formato, con firma y sello, que da cuenta de la recepción de cada uno de los documentos exigidos por la convocatoria para los aspirantes.</w:t>
            </w:r>
          </w:p>
        </w:tc>
        <w:tc>
          <w:tcPr>
            <w:tcW w:w="848" w:type="pct"/>
            <w:vMerge/>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p>
        </w:tc>
        <w:tc>
          <w:tcPr>
            <w:tcW w:w="899" w:type="pct"/>
            <w:shd w:val="clear" w:color="auto" w:fill="EAF1DD" w:themeFill="accent3" w:themeFillTint="33"/>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Sí</w:t>
            </w:r>
          </w:p>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Remite la información solicitada.</w:t>
            </w:r>
          </w:p>
        </w:tc>
      </w:tr>
      <w:tr w:rsidR="0089642C" w:rsidRPr="00D167AA">
        <w:tc>
          <w:tcPr>
            <w:tcW w:w="950" w:type="pct"/>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10. Los documentos remitidos por los aspirantes a participar en el proceso de selección de la terna de la que habrá que designarse al Auditor Superior de Fiscalización del Estado de México; así como.</w:t>
            </w:r>
          </w:p>
        </w:tc>
        <w:tc>
          <w:tcPr>
            <w:tcW w:w="2303" w:type="pct"/>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0027 RESPUESTA.pdf consistente en el oficio sin número, de fecha 20 de febrero de 2020, mediante el cual el Servidor Público Habilitado de la Secretaría de Administración y Finanzas omite la entrega de los documentos que fueron proporcionados por los aspirantes ya que considera que esta información es considerada como confidencial, en apego al acuerdo PLEGISLA/LX/CT/07ªext/2020/OCTAVO emitido por el Comité de Transparencia del Poder Legislativo, en sesión de fecha 20 de febrero de 2020; y, finalmente, informa que no obra en sus archivos, documento donde conste la evaluación realizada por parte de la Comisión Legislativa de Vigilancia del Órgano Superior de Fiscalización, en virtud de que no existe disposición, en la legislación aplicable, que obligue a su existencia</w:t>
            </w:r>
          </w:p>
        </w:tc>
        <w:tc>
          <w:tcPr>
            <w:tcW w:w="848" w:type="pct"/>
            <w:vMerge/>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p>
        </w:tc>
        <w:tc>
          <w:tcPr>
            <w:tcW w:w="899" w:type="pct"/>
            <w:shd w:val="clear" w:color="auto" w:fill="EAF1DD" w:themeFill="accent3" w:themeFillTint="33"/>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Sí</w:t>
            </w:r>
          </w:p>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Remite el Acuerdo de Clasificación como Confidencial emitido por su Comité de Transparencia, por cuanto hace a los aspirantes que no fueron designados en el puesto.</w:t>
            </w:r>
          </w:p>
        </w:tc>
      </w:tr>
      <w:tr w:rsidR="0089642C" w:rsidRPr="00D167AA">
        <w:tc>
          <w:tcPr>
            <w:tcW w:w="950" w:type="pct"/>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11. Los documentos donde conste la evaluación realizada por la Comisión Legislativa de Vigilancia del Órgano Superior de Fiscalización a cada uno de ellos.</w:t>
            </w:r>
          </w:p>
        </w:tc>
        <w:tc>
          <w:tcPr>
            <w:tcW w:w="2303" w:type="pct"/>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0027 RESPUESTA.pdf consistente en el oficio sin número, de fecha 20 de febrero de 2020, mediante el cual el Servidor Público Habilitado de la Secretaría de Administración y Finanzas informa que no obra en sus archivos, documento donde conste la evaluación realizada por parte de la Comisión Legislativa de Vigilancia del Órgano Superior de Fiscalización, en virtud de que no existe disposición, en la legislación aplicable, que obligue a su existencia.</w:t>
            </w:r>
          </w:p>
        </w:tc>
        <w:tc>
          <w:tcPr>
            <w:tcW w:w="848" w:type="pct"/>
            <w:vMerge/>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p>
        </w:tc>
        <w:tc>
          <w:tcPr>
            <w:tcW w:w="899" w:type="pct"/>
            <w:shd w:val="clear" w:color="auto" w:fill="EAF1DD" w:themeFill="accent3" w:themeFillTint="33"/>
            <w:vAlign w:val="center"/>
          </w:tcPr>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Sí</w:t>
            </w:r>
          </w:p>
          <w:p w:rsidR="0089642C" w:rsidRPr="00D167AA" w:rsidRDefault="0089642C" w:rsidP="00341B7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sidRPr="00D167AA">
              <w:rPr>
                <w:rFonts w:ascii="Palatino Linotype" w:hAnsi="Palatino Linotype" w:cs="Arial"/>
              </w:rPr>
              <w:t xml:space="preserve">La aseveración del </w:t>
            </w:r>
            <w:r w:rsidRPr="00D167AA">
              <w:rPr>
                <w:rFonts w:ascii="Palatino Linotype" w:hAnsi="Palatino Linotype" w:cs="Arial"/>
                <w:b/>
              </w:rPr>
              <w:t>SUJETO OBLIGADO</w:t>
            </w:r>
            <w:r w:rsidRPr="00D167AA">
              <w:rPr>
                <w:rFonts w:ascii="Palatino Linotype" w:hAnsi="Palatino Linotype" w:cs="Arial"/>
              </w:rPr>
              <w:t xml:space="preserve"> constituye un Hecho Negativo.</w:t>
            </w:r>
          </w:p>
        </w:tc>
      </w:tr>
    </w:tbl>
    <w:p w:rsidR="0089642C" w:rsidRPr="00D167AA" w:rsidRDefault="0089642C" w:rsidP="0089642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D167AA">
        <w:rPr>
          <w:rFonts w:ascii="Palatino Linotype" w:hAnsi="Palatino Linotype" w:cs="Arial"/>
        </w:rPr>
        <w:t xml:space="preserve">De lo expuesto en la tabla que antecede, es claro que </w:t>
      </w:r>
      <w:r w:rsidRPr="00D167AA">
        <w:rPr>
          <w:rFonts w:ascii="Palatino Linotype" w:hAnsi="Palatino Linotype" w:cs="Arial"/>
          <w:b/>
        </w:rPr>
        <w:t>EL SUJETO OBLIGADO</w:t>
      </w:r>
      <w:r w:rsidRPr="00D167AA">
        <w:rPr>
          <w:rFonts w:ascii="Palatino Linotype" w:hAnsi="Palatino Linotype" w:cs="Arial"/>
        </w:rPr>
        <w:t xml:space="preserve"> dio respuesta a cada uno de los requerimientos realizados por el particular, respecto a los numerales 1, 2, 3, 7, 8 y 9, relativos a los </w:t>
      </w:r>
      <w:r w:rsidRPr="00D167AA">
        <w:rPr>
          <w:rFonts w:ascii="Palatino Linotype" w:eastAsia="Calibri" w:hAnsi="Palatino Linotype" w:cs="Arial"/>
        </w:rPr>
        <w:t xml:space="preserve">integrantes de la Comisión Legislativa de </w:t>
      </w:r>
      <w:r w:rsidRPr="00D167AA">
        <w:rPr>
          <w:rFonts w:ascii="Palatino Linotype" w:hAnsi="Palatino Linotype" w:cs="Arial"/>
        </w:rPr>
        <w:t xml:space="preserve">Vigilancia del Órgano Superior de Fiscalización, a la fecha de la solicitud, esto es, al 20 de enero de 2020; al currículo y comprobantes de estudios de los </w:t>
      </w:r>
      <w:r w:rsidRPr="00D167AA">
        <w:rPr>
          <w:rFonts w:ascii="Palatino Linotype" w:eastAsia="Calibri" w:hAnsi="Palatino Linotype" w:cs="Arial"/>
        </w:rPr>
        <w:t xml:space="preserve">integrantes de la Comisión Legislativa de </w:t>
      </w:r>
      <w:r w:rsidRPr="00D167AA">
        <w:rPr>
          <w:rFonts w:ascii="Palatino Linotype" w:hAnsi="Palatino Linotype" w:cs="Arial"/>
        </w:rPr>
        <w:t xml:space="preserve">Vigilancia del Órgano Superior de Fiscalización; a los documentos oficiales que acrediten la preparación académica, capacidad o experiencia en materia de fiscalización, transparencia, rendición de cuentas, combate a la corrupción, control, auditoría financiera y evaluación de los </w:t>
      </w:r>
      <w:r w:rsidRPr="00D167AA">
        <w:rPr>
          <w:rFonts w:ascii="Palatino Linotype" w:eastAsia="Calibri" w:hAnsi="Palatino Linotype" w:cs="Arial"/>
        </w:rPr>
        <w:t xml:space="preserve">integrantes de la Comisión Legislativa de </w:t>
      </w:r>
      <w:r w:rsidRPr="00D167AA">
        <w:rPr>
          <w:rFonts w:ascii="Palatino Linotype" w:hAnsi="Palatino Linotype" w:cs="Arial"/>
        </w:rPr>
        <w:t>Vigilancia del Órgano Superior de Fiscalización; a los d</w:t>
      </w:r>
      <w:r w:rsidRPr="00D167AA">
        <w:rPr>
          <w:rFonts w:ascii="Palatino Linotype" w:eastAsia="Calibri" w:hAnsi="Palatino Linotype" w:cs="Arial"/>
        </w:rPr>
        <w:t xml:space="preserve">ocumentos oficiales que contienen los derechos que tienen los diputados, respecto de las Comisiones y Comités que integran; así como, el documento donde conste que se hizo del conocimiento de la Legislatura dichos derechos; a los nombres de los </w:t>
      </w:r>
      <w:r w:rsidRPr="00D167AA">
        <w:rPr>
          <w:rFonts w:ascii="Palatino Linotype" w:hAnsi="Palatino Linotype" w:cs="Arial"/>
        </w:rPr>
        <w:t xml:space="preserve">aspirantes a participar en el proceso de selección de la terna de la que habrá que designarse al Auditor Superior de Fiscalización del Estado de México; así como, el nombre de aquellos que no cumplieron con los requisitos; y, a las copias de los sobres, sellados y firmados por los aspirantes a participar en el proceso de selección de la terna de la que habrá que designarse al Auditor Superior de Fiscalización del Estado de México, ya que </w:t>
      </w:r>
      <w:r w:rsidRPr="00D167AA">
        <w:rPr>
          <w:rFonts w:ascii="Palatino Linotype" w:hAnsi="Palatino Linotype" w:cs="Arial"/>
          <w:b/>
        </w:rPr>
        <w:t>EL SUJETO OBLIGADO</w:t>
      </w:r>
      <w:r w:rsidRPr="00D167AA">
        <w:rPr>
          <w:rFonts w:ascii="Palatino Linotype" w:hAnsi="Palatino Linotype" w:cs="Arial"/>
        </w:rPr>
        <w:t xml:space="preserve"> realizó la entrega de la documentación que satisface los requerimientos descritos en este párrafo.</w:t>
      </w:r>
    </w:p>
    <w:p w:rsidR="0089642C" w:rsidRPr="00D167AA" w:rsidRDefault="0089642C" w:rsidP="0089642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lang w:val="es-ES"/>
        </w:rPr>
      </w:pPr>
      <w:r w:rsidRPr="00D167AA">
        <w:rPr>
          <w:rFonts w:ascii="Palatino Linotype" w:hAnsi="Palatino Linotype" w:cs="Arial"/>
        </w:rPr>
        <w:t>Ahora bien, por cuanto hace a los títulos y cédulas profesionales de los diputados, mismos que fueron entregados testando la fotografía de éstos, este Instituto estima necesario señalar que,</w:t>
      </w:r>
      <w:r w:rsidRPr="00D167AA">
        <w:rPr>
          <w:rFonts w:ascii="Palatino Linotype" w:hAnsi="Palatino Linotype" w:cs="Arial"/>
          <w:lang w:val="es-ES"/>
        </w:rPr>
        <w:t xml:space="preserv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 xml:space="preserve">“Artículo 3. Para los efectos de la presente Ley se entenderá por: </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IX. Datos personales: La información concerniente a una persona, identificada o identificable según lo dispuesto por la Ley de Protección de Datos Personales del Estado de México;</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Artículo 143. Para los efectos de esta Ley se considera información confidencial, la clasificada como tal, de manera permanente, por su naturaleza, cuando:</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I. Se refiera a la información privada y los datos personales concernientes a una persona física o jurídico colectiva identificada o identificable;</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Artículo 4. Para los efectos de esta Ley se entenderá por:</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89642C" w:rsidRPr="00D167AA" w:rsidRDefault="0089642C" w:rsidP="0089642C">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167AA">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el Estado de Derecho ante la vulnerabilidad del derecho a la intimidad ante los avances tecnológicos que </w:t>
      </w:r>
      <w:r w:rsidR="008B0D4E" w:rsidRPr="00D167AA">
        <w:rPr>
          <w:rFonts w:ascii="Palatino Linotype" w:hAnsi="Palatino Linotype" w:cs="Arial"/>
          <w:lang w:val="es-ES"/>
        </w:rPr>
        <w:t>propician</w:t>
      </w:r>
      <w:r w:rsidRPr="00D167AA">
        <w:rPr>
          <w:rFonts w:ascii="Palatino Linotype" w:hAnsi="Palatino Linotype" w:cs="Arial"/>
          <w:lang w:val="es-ES"/>
        </w:rPr>
        <w:t xml:space="preserve"> la intromisión, recolección y tratamiento de sus datos personales y por tanto a la vida privada. </w:t>
      </w:r>
    </w:p>
    <w:p w:rsidR="0089642C" w:rsidRPr="00D167AA" w:rsidRDefault="0089642C" w:rsidP="0089642C">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167AA">
        <w:rPr>
          <w:rFonts w:ascii="Palatino Linotype" w:hAnsi="Palatino Linotype" w:cs="Arial"/>
          <w:lang w:val="es-ES"/>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89642C" w:rsidRPr="00D167AA" w:rsidRDefault="0089642C" w:rsidP="0089642C">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167AA">
        <w:rPr>
          <w:rFonts w:ascii="Palatino Linotype" w:hAnsi="Palatino Linotype" w:cs="Arial"/>
          <w:lang w:val="es-ES"/>
        </w:rPr>
        <w:t>Referente a lo anterior, surge la disyuntiva si la fotografía de los diputados es de carácter público o si bien debe prevalecer la confidencialidad.</w:t>
      </w:r>
    </w:p>
    <w:p w:rsidR="0089642C" w:rsidRPr="00D167AA" w:rsidRDefault="0089642C" w:rsidP="0089642C">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167AA">
        <w:rPr>
          <w:rFonts w:ascii="Palatino Linotype" w:hAnsi="Palatino Linotype" w:cs="Arial"/>
          <w:lang w:val="es-ES"/>
        </w:rPr>
        <w:t>Ante ello, es importante destacar que los servidores públicos señalados, desempeñan cargos de elección popular, y su función primordial es representar a los mexiquenses en la Legislatura Local, con el fin de lograr la eficiencia y eficacia en el ejercicio del poder público, que transforme el gasto público en inversión pública para la mejora de las condiciones de vida de los habitantes del Estado; por lo que, ellos son el contacto directo entre la gestión parlamentaria y la ciudadanía.</w:t>
      </w:r>
    </w:p>
    <w:p w:rsidR="0089642C" w:rsidRPr="00D167AA" w:rsidRDefault="0089642C" w:rsidP="0089642C">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167AA">
        <w:rPr>
          <w:rFonts w:ascii="Palatino Linotype" w:hAnsi="Palatino Linotype" w:cs="Arial"/>
          <w:lang w:val="es-ES"/>
        </w:rPr>
        <w:t>Dicho de otra manera, la publicidad de la imagen de su rostro permite que sea asociado, en su caso con su nombre, cargo y función de gobierno; lo que permite a la ciudadanía identificar al servidor público que lo representa en el Poder Legislativo del Estado de México.</w:t>
      </w:r>
    </w:p>
    <w:p w:rsidR="0089642C" w:rsidRPr="00D167AA" w:rsidRDefault="0089642C" w:rsidP="0089642C">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167AA">
        <w:rPr>
          <w:rFonts w:ascii="Palatino Linotype" w:hAnsi="Palatino Linotype" w:cs="Arial"/>
          <w:lang w:val="es-ES"/>
        </w:rPr>
        <w:t xml:space="preserve">En adición a lo anterior, se encuentra la firma de los mismos que se encuentra plasmada en los documentos de referencia, toda vez que al ser servidor público se conlleva a permitir cierta intromisión en la vida de los servidores públicos cuando la información reviste relevancia por o para el ejercicio de sus funciones; en este caso, tienen que ceder o conceder la publicidad de su imagen </w:t>
      </w:r>
      <w:r w:rsidR="008B0D4E" w:rsidRPr="00D167AA">
        <w:rPr>
          <w:rFonts w:ascii="Palatino Linotype" w:hAnsi="Palatino Linotype" w:cs="Arial"/>
          <w:lang w:val="es-ES"/>
        </w:rPr>
        <w:t xml:space="preserve">y firma al </w:t>
      </w:r>
      <w:r w:rsidRPr="00D167AA">
        <w:rPr>
          <w:rFonts w:ascii="Palatino Linotype" w:hAnsi="Palatino Linotype" w:cs="Arial"/>
          <w:lang w:val="es-ES"/>
        </w:rPr>
        <w:t>tratarse de representantes populares.</w:t>
      </w:r>
    </w:p>
    <w:p w:rsidR="0089642C" w:rsidRPr="00D167AA" w:rsidRDefault="0089642C" w:rsidP="0089642C">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167AA">
        <w:rPr>
          <w:rFonts w:ascii="Palatino Linotype" w:hAnsi="Palatino Linotype" w:cs="Arial"/>
          <w:lang w:val="es-ES"/>
        </w:rPr>
        <w:t>Aún más, es importante tomar en cuenta que los documentos en donde se encuentran las fotografías</w:t>
      </w:r>
      <w:r w:rsidR="008B0D4E" w:rsidRPr="00D167AA">
        <w:rPr>
          <w:rFonts w:ascii="Palatino Linotype" w:hAnsi="Palatino Linotype" w:cs="Arial"/>
          <w:lang w:val="es-ES"/>
        </w:rPr>
        <w:t xml:space="preserve"> y firmas</w:t>
      </w:r>
      <w:r w:rsidRPr="00D167AA">
        <w:rPr>
          <w:rFonts w:ascii="Palatino Linotype" w:hAnsi="Palatino Linotype" w:cs="Arial"/>
          <w:lang w:val="es-ES"/>
        </w:rPr>
        <w:t>, son aquellos que acreditan la trayectoria laboral y académica; de tal suerte que el acceso a esta información permite a la ciudadanía verificar el perfil de los diputados que los representan, así como hacerlos identificables.</w:t>
      </w:r>
    </w:p>
    <w:p w:rsidR="0089642C" w:rsidRPr="00D167AA" w:rsidRDefault="0089642C" w:rsidP="0089642C">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167AA">
        <w:rPr>
          <w:rFonts w:ascii="Palatino Linotype" w:hAnsi="Palatino Linotype" w:cs="Arial"/>
          <w:lang w:val="es-ES"/>
        </w:rPr>
        <w:t xml:space="preserve">Por lo anterior, la transparencia es imprescindible para la vigilancia pública, por ello, no se considera procedente la clasificación de la fotografía de un diputado como confidencial pues resulta mayor el beneficio de conocer a las </w:t>
      </w:r>
      <w:r w:rsidR="008B0D4E" w:rsidRPr="00D167AA">
        <w:rPr>
          <w:rFonts w:ascii="Palatino Linotype" w:hAnsi="Palatino Linotype" w:cs="Arial"/>
          <w:lang w:val="es-ES"/>
        </w:rPr>
        <w:t xml:space="preserve">personas del servicio público </w:t>
      </w:r>
      <w:r w:rsidRPr="00D167AA">
        <w:rPr>
          <w:rFonts w:ascii="Palatino Linotype" w:hAnsi="Palatino Linotype" w:cs="Arial"/>
          <w:lang w:val="es-ES"/>
        </w:rPr>
        <w:t>que representan a la ciudadanía en la Legislatura Local.</w:t>
      </w:r>
    </w:p>
    <w:p w:rsidR="0089642C" w:rsidRPr="00D167AA" w:rsidRDefault="0089642C" w:rsidP="0089642C">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167AA">
        <w:rPr>
          <w:rFonts w:ascii="Palatino Linotype" w:hAnsi="Palatino Linotype" w:cs="Arial"/>
          <w:lang w:val="es-ES"/>
        </w:rPr>
        <w:t xml:space="preserve">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w:t>
      </w:r>
      <w:r w:rsidR="008B0D4E" w:rsidRPr="00D167AA">
        <w:rPr>
          <w:rFonts w:ascii="Palatino Linotype" w:hAnsi="Palatino Linotype" w:cs="Arial"/>
          <w:lang w:val="es-ES"/>
        </w:rPr>
        <w:t>amparada por</w:t>
      </w:r>
      <w:r w:rsidRPr="00D167AA">
        <w:rPr>
          <w:rFonts w:ascii="Palatino Linotype" w:hAnsi="Palatino Linotype" w:cs="Arial"/>
          <w:lang w:val="es-ES"/>
        </w:rPr>
        <w:t xml:space="preserve"> el interés de la colectividad.</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 xml:space="preserve">“Época: Décima Época </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 xml:space="preserve">Registro: 2002944 </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 xml:space="preserve">Instancia: Tribunales Colegiados de Circuito </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 xml:space="preserve">Tipo de Tesis: Aislada </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 xml:space="preserve">Fuente: Semanario Judicial de la Federación y su Gaceta </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 xml:space="preserve">Libro XVIII, Marzo de 2013, Tomo 3 </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 xml:space="preserve">Materia(s): Constitucional </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 xml:space="preserve">Tesis: I.4o.A.40 A (10a.) </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 xml:space="preserve">Página: 1899 </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ACCESO A LA INFORMACIÓN. IMPLICACIÓN DEL PRINCIPIO DE MÁXIMA PUBLICIDAD EN EL DERECHO FUNDAMENTAL RELATIVO.</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CUARTO TRIBUNAL COLEGIADO EN MATERIA ADMINISTRATIVA DEL PRIMER CIRCUITO.</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Amparo en revisión 257/2012. Ruth Corona Muñoz. 6 de diciembre de 2012. Unanimidad de votos. Ponente: Jean Claude Tron Petit. Secretaria: Mayra Susana Martínez López.</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 xml:space="preserve">Época: Décima Época </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 xml:space="preserve">Registro: 2004022 </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 xml:space="preserve">Instancia: Primera Sala </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 xml:space="preserve">Tipo de Tesis: Aislada </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 xml:space="preserve">Fuente: Semanario Judicial de la Federación y su Gaceta </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 xml:space="preserve">Libro XXII, Julio de 2013, Tomo 1 </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 xml:space="preserve">Materia(s): Constitucional </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 xml:space="preserve">Tesis: 1a. CCXXIII/2013 (10a.) </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 xml:space="preserve">Página: 562 </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p>
    <w:p w:rsidR="0089642C" w:rsidRPr="00D167AA" w:rsidRDefault="0089642C" w:rsidP="0089642C">
      <w:pPr>
        <w:autoSpaceDE w:val="0"/>
        <w:autoSpaceDN w:val="0"/>
        <w:adjustRightInd w:val="0"/>
        <w:ind w:left="851" w:right="902"/>
        <w:jc w:val="both"/>
        <w:rPr>
          <w:rFonts w:ascii="Palatino Linotype" w:hAnsi="Palatino Linotype" w:cs="Arial"/>
          <w:b/>
          <w:i/>
          <w:sz w:val="22"/>
          <w:lang w:val="es-ES"/>
        </w:rPr>
      </w:pPr>
      <w:r w:rsidRPr="00D167AA">
        <w:rPr>
          <w:rFonts w:ascii="Palatino Linotype" w:hAnsi="Palatino Linotype" w:cs="Arial"/>
          <w:i/>
          <w:sz w:val="22"/>
          <w:lang w:val="es-ES"/>
        </w:rPr>
        <w:t xml:space="preserve">LIBERTAD DE EXPRESIÓN. QUIENES ASPIRAN A UN CARGO PÚBLICO DEBEN CONSIDERARSE </w:t>
      </w:r>
      <w:r w:rsidRPr="00D167AA">
        <w:rPr>
          <w:rFonts w:ascii="Palatino Linotype" w:hAnsi="Palatino Linotype" w:cs="Arial"/>
          <w:b/>
          <w:i/>
          <w:sz w:val="22"/>
          <w:lang w:val="es-ES"/>
        </w:rPr>
        <w:t>COMO PERSONAS PÚBLICAS Y, EN CONSECUENCIA, SOPORTAR UN MAYOR NIVEL DE INTROMISIÓN EN SU VIDA PRIVADA.</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89642C" w:rsidRPr="00D167AA" w:rsidRDefault="0089642C" w:rsidP="0089642C">
      <w:pPr>
        <w:autoSpaceDE w:val="0"/>
        <w:autoSpaceDN w:val="0"/>
        <w:adjustRightInd w:val="0"/>
        <w:ind w:left="851" w:right="902"/>
        <w:jc w:val="both"/>
        <w:rPr>
          <w:rFonts w:ascii="Palatino Linotype" w:hAnsi="Palatino Linotype" w:cs="Arial"/>
          <w:i/>
          <w:sz w:val="22"/>
          <w:lang w:val="es-ES"/>
        </w:rPr>
      </w:pPr>
      <w:r w:rsidRPr="00D167AA">
        <w:rPr>
          <w:rFonts w:ascii="Palatino Linotype" w:hAnsi="Palatino Linotype" w:cs="Arial"/>
          <w:i/>
          <w:sz w:val="22"/>
          <w:lang w:val="es-ES"/>
        </w:rPr>
        <w:t>Amparo directo en revisión 1013/2013. Juan Manuel Ortega de León. 12 de junio de 2013. Cinco votos. Ponente: Arturo Zaldívar Lelo de Larrea. Secretario: Javier Mijangos y González.”</w:t>
      </w:r>
    </w:p>
    <w:p w:rsidR="0089642C" w:rsidRPr="00D167AA" w:rsidRDefault="0089642C" w:rsidP="0089642C">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167AA">
        <w:rPr>
          <w:rFonts w:ascii="Palatino Linotype" w:hAnsi="Palatino Linotype" w:cs="Arial"/>
          <w:lang w:val="es-ES"/>
        </w:rPr>
        <w:t xml:space="preserve">Por ello, este Instituto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rsidR="0089642C" w:rsidRPr="00D167AA" w:rsidRDefault="0089642C" w:rsidP="0089642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D167AA">
        <w:rPr>
          <w:rFonts w:ascii="Palatino Linotype" w:hAnsi="Palatino Linotype" w:cs="Arial"/>
        </w:rPr>
        <w:t xml:space="preserve">En esa virtud, este Instituto estima que lo procedente es ordenar al </w:t>
      </w:r>
      <w:r w:rsidRPr="00D167AA">
        <w:rPr>
          <w:rFonts w:ascii="Palatino Linotype" w:hAnsi="Palatino Linotype" w:cs="Arial"/>
          <w:b/>
        </w:rPr>
        <w:t>SUJETO OBLIGADO</w:t>
      </w:r>
      <w:r w:rsidRPr="00D167AA">
        <w:rPr>
          <w:rFonts w:ascii="Palatino Linotype" w:hAnsi="Palatino Linotype" w:cs="Arial"/>
        </w:rPr>
        <w:t xml:space="preserve"> que remita nuevamente los títulos y cédulas </w:t>
      </w:r>
      <w:r w:rsidR="008B0D4E" w:rsidRPr="00D167AA">
        <w:rPr>
          <w:rFonts w:ascii="Palatino Linotype" w:hAnsi="Palatino Linotype" w:cs="Arial"/>
        </w:rPr>
        <w:t xml:space="preserve">que obran en sus archivos </w:t>
      </w:r>
      <w:r w:rsidRPr="00D167AA">
        <w:rPr>
          <w:rFonts w:ascii="Palatino Linotype" w:hAnsi="Palatino Linotype" w:cs="Arial"/>
        </w:rPr>
        <w:t xml:space="preserve">de los diputados que integraban la Comisión Legislativa de Vigilancia del Órgano Superior de Fiscalización, al 20 de enero de 2020, dejando visible la fotografía de éstos. Asimismo, es necesario que </w:t>
      </w:r>
      <w:r w:rsidRPr="00D167AA">
        <w:rPr>
          <w:rFonts w:ascii="Palatino Linotype" w:hAnsi="Palatino Linotype" w:cs="Arial"/>
          <w:b/>
        </w:rPr>
        <w:t>EL SUJETO OBLIGADO</w:t>
      </w:r>
      <w:r w:rsidRPr="00D167AA">
        <w:rPr>
          <w:rFonts w:ascii="Palatino Linotype" w:hAnsi="Palatino Linotype" w:cs="Arial"/>
        </w:rPr>
        <w:t xml:space="preserve"> modifique los acuerdos del Comité de Transparencia donde indebidamente clasificó las fotografías de referencia, a fin de omitir dicha clasificación.</w:t>
      </w:r>
    </w:p>
    <w:p w:rsidR="0089642C" w:rsidRPr="00D167AA" w:rsidRDefault="0089642C" w:rsidP="0089642C">
      <w:pPr>
        <w:spacing w:before="100" w:beforeAutospacing="1" w:after="100" w:afterAutospacing="1" w:line="360" w:lineRule="auto"/>
        <w:jc w:val="both"/>
        <w:rPr>
          <w:rFonts w:ascii="Palatino Linotype" w:eastAsia="Calibri" w:hAnsi="Palatino Linotype" w:cs="Arial"/>
        </w:rPr>
      </w:pPr>
      <w:r w:rsidRPr="00D167AA">
        <w:rPr>
          <w:rFonts w:ascii="Palatino Linotype" w:eastAsia="Calibri" w:hAnsi="Palatino Linotype"/>
          <w:szCs w:val="22"/>
          <w:lang w:eastAsia="en-US"/>
        </w:rPr>
        <w:t>Ahora bien, por cuanto hace a las solicitudes de acceso a la información marcadas con los numerales 4, 5, 6 y 11, relativos a los r</w:t>
      </w:r>
      <w:r w:rsidRPr="00D167AA">
        <w:rPr>
          <w:rFonts w:ascii="Palatino Linotype" w:eastAsia="Calibri" w:hAnsi="Palatino Linotype" w:cs="Arial"/>
        </w:rPr>
        <w:t xml:space="preserve">esultados de las entrevistas y evaluaciones integrales realizadas a los integrantes de la Comisión Legislativa de </w:t>
      </w:r>
      <w:r w:rsidRPr="00D167AA">
        <w:rPr>
          <w:rFonts w:ascii="Palatino Linotype" w:hAnsi="Palatino Linotype" w:cs="Arial"/>
        </w:rPr>
        <w:t xml:space="preserve">Vigilancia del Órgano Superior de Fiscalización, para formar parte de dicha Comisión y la instancia que emite dichas evaluaciones; los documentos oficiales que acrediten que los </w:t>
      </w:r>
      <w:r w:rsidRPr="00D167AA">
        <w:rPr>
          <w:rFonts w:ascii="Palatino Linotype" w:eastAsia="Calibri" w:hAnsi="Palatino Linotype" w:cs="Arial"/>
        </w:rPr>
        <w:t xml:space="preserve">integrantes de la Comisión Legislativa de </w:t>
      </w:r>
      <w:r w:rsidRPr="00D167AA">
        <w:rPr>
          <w:rFonts w:ascii="Palatino Linotype" w:hAnsi="Palatino Linotype" w:cs="Arial"/>
        </w:rPr>
        <w:t xml:space="preserve">Vigilancia del Órgano Superior de Fiscalización cuentan con conocimientos, habilidades y aptitudes para realizar entrevistas y evaluar a los aspirantes a participar en el proceso de selección de la terna de la que habrá que designarse al Auditor Superior de Fiscalización del Estado de México; los documentos oficiales que contengan los criterios de valoración que aplicará la Comisión Legislativa </w:t>
      </w:r>
      <w:r w:rsidRPr="00D167AA">
        <w:rPr>
          <w:rFonts w:ascii="Palatino Linotype" w:eastAsia="Calibri" w:hAnsi="Palatino Linotype" w:cs="Arial"/>
        </w:rPr>
        <w:t xml:space="preserve">de </w:t>
      </w:r>
      <w:r w:rsidRPr="00D167AA">
        <w:rPr>
          <w:rFonts w:ascii="Palatino Linotype" w:hAnsi="Palatino Linotype" w:cs="Arial"/>
        </w:rPr>
        <w:t xml:space="preserve">Vigilancia del Órgano Superior de Fiscalización a los aspirantes a participar en el proceso de selección de la terna de la que habrá que designarse al Auditor Superior de Fiscalización del Estado de México y la instancia que los autoriza; y, a los documentos donde conste la evaluación realizada por la Comisión Legislativa </w:t>
      </w:r>
      <w:r w:rsidRPr="00D167AA">
        <w:rPr>
          <w:rFonts w:ascii="Palatino Linotype" w:eastAsia="Calibri" w:hAnsi="Palatino Linotype" w:cs="Arial"/>
        </w:rPr>
        <w:t xml:space="preserve">de </w:t>
      </w:r>
      <w:r w:rsidRPr="00D167AA">
        <w:rPr>
          <w:rFonts w:ascii="Palatino Linotype" w:hAnsi="Palatino Linotype" w:cs="Arial"/>
        </w:rPr>
        <w:t>Vigilancia del Órgano Superior de Fiscalización a cada uno de ellos, este Instituto analizó el marco normativo que rige el quehacer de la Comisiones Legislativas, particularmente, el de la Comisión referida por el particular; así como, la Constitución Política del Estado Libre y Soberano de México, la Ley Orgánica del Poder Legislativo del Estado Libre y Soberano de México y el Reglamento del Poder Legislativo del Estado Libre Soberano de México y advirtió que no existe fuente obligacional que lo constriña a contar con dicha información</w:t>
      </w:r>
      <w:r w:rsidR="008B0D4E" w:rsidRPr="00D167AA">
        <w:rPr>
          <w:rFonts w:ascii="Palatino Linotype" w:hAnsi="Palatino Linotype" w:cs="Arial"/>
        </w:rPr>
        <w:t xml:space="preserve"> tal como lo refirió a través de la respuesta </w:t>
      </w:r>
      <w:r w:rsidR="008B0D4E" w:rsidRPr="00D167AA">
        <w:rPr>
          <w:rFonts w:ascii="Palatino Linotype" w:hAnsi="Palatino Linotype" w:cs="Arial"/>
          <w:b/>
        </w:rPr>
        <w:t>EL SUJETO OBLIGADO</w:t>
      </w:r>
      <w:r w:rsidRPr="00D167AA">
        <w:rPr>
          <w:rFonts w:ascii="Palatino Linotype" w:hAnsi="Palatino Linotype" w:cs="Arial"/>
        </w:rPr>
        <w:t>.</w:t>
      </w:r>
    </w:p>
    <w:p w:rsidR="0089642C" w:rsidRPr="00D167AA" w:rsidRDefault="0089642C" w:rsidP="0089642C">
      <w:pPr>
        <w:spacing w:before="100" w:beforeAutospacing="1" w:after="100" w:afterAutospacing="1" w:line="360" w:lineRule="auto"/>
        <w:jc w:val="both"/>
        <w:rPr>
          <w:rFonts w:ascii="Palatino Linotype" w:hAnsi="Palatino Linotype" w:cs="Arial"/>
        </w:rPr>
      </w:pPr>
      <w:r w:rsidRPr="00D167AA">
        <w:rPr>
          <w:rFonts w:ascii="Palatino Linotype" w:hAnsi="Palatino Linotype"/>
          <w:noProof/>
          <w:lang w:eastAsia="es-MX"/>
        </w:rPr>
        <w:t xml:space="preserve">En razón de lo anterior, es claro que el pronunciamiento del </w:t>
      </w:r>
      <w:r w:rsidRPr="00D167AA">
        <w:rPr>
          <w:rFonts w:ascii="Palatino Linotype" w:hAnsi="Palatino Linotype"/>
          <w:b/>
          <w:noProof/>
          <w:lang w:eastAsia="es-MX"/>
        </w:rPr>
        <w:t>SUJETO OBLIGADO</w:t>
      </w:r>
      <w:r w:rsidRPr="00D167AA">
        <w:rPr>
          <w:rFonts w:ascii="Palatino Linotype" w:hAnsi="Palatino Linotype"/>
          <w:noProof/>
          <w:lang w:eastAsia="es-MX"/>
        </w:rPr>
        <w:t xml:space="preserve">, inherente a que </w:t>
      </w:r>
      <w:r w:rsidRPr="00D167AA">
        <w:rPr>
          <w:rFonts w:ascii="Palatino Linotype" w:eastAsia="Calibri" w:hAnsi="Palatino Linotype" w:cs="Arial"/>
        </w:rPr>
        <w:t>no cuenta con la información requerida por el particular</w:t>
      </w:r>
      <w:r w:rsidRPr="00D167AA">
        <w:rPr>
          <w:rFonts w:ascii="Palatino Linotype" w:hAnsi="Palatino Linotype"/>
        </w:rPr>
        <w:t xml:space="preserve">, constituye una expresión en sentido negativo. </w:t>
      </w:r>
      <w:r w:rsidRPr="00D167AA">
        <w:rPr>
          <w:rFonts w:ascii="Palatino Linotype" w:hAnsi="Palatino Linotype" w:cs="Arial"/>
        </w:rPr>
        <w:t xml:space="preserve">Así, si se considera el hecho negativo, es obvio que éste no puede fácticamente obrar en </w:t>
      </w:r>
      <w:r w:rsidR="008B0D4E" w:rsidRPr="00D167AA">
        <w:rPr>
          <w:rFonts w:ascii="Palatino Linotype" w:hAnsi="Palatino Linotype" w:cs="Arial"/>
        </w:rPr>
        <w:t>sus</w:t>
      </w:r>
      <w:r w:rsidRPr="00D167AA">
        <w:rPr>
          <w:rFonts w:ascii="Palatino Linotype" w:hAnsi="Palatino Linotype" w:cs="Arial"/>
        </w:rPr>
        <w:t xml:space="preserve"> archivos, ya que no puede probarse por ser lógica y materialmente imposible, en razón de que, al no haber generado dicha información, no la posee, no administra y no cuenta con la misma.</w:t>
      </w:r>
    </w:p>
    <w:p w:rsidR="0089642C" w:rsidRPr="00D167AA" w:rsidRDefault="0089642C" w:rsidP="0089642C">
      <w:pPr>
        <w:shd w:val="clear" w:color="auto" w:fill="FFFFFF"/>
        <w:spacing w:before="100" w:beforeAutospacing="1" w:after="100" w:afterAutospacing="1" w:line="360" w:lineRule="auto"/>
        <w:jc w:val="both"/>
        <w:rPr>
          <w:rFonts w:ascii="Palatino Linotype" w:hAnsi="Palatino Linotype" w:cs="Arial"/>
        </w:rPr>
      </w:pPr>
      <w:r w:rsidRPr="00D167AA">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89642C" w:rsidRPr="00D167AA" w:rsidRDefault="0089642C" w:rsidP="0089642C">
      <w:pPr>
        <w:shd w:val="clear" w:color="auto" w:fill="FFFFFF"/>
        <w:spacing w:before="100" w:beforeAutospacing="1" w:after="100" w:afterAutospacing="1" w:line="360" w:lineRule="auto"/>
        <w:jc w:val="both"/>
        <w:rPr>
          <w:rFonts w:ascii="Palatino Linotype" w:hAnsi="Palatino Linotype" w:cs="Arial"/>
          <w:color w:val="222222"/>
        </w:rPr>
      </w:pPr>
      <w:r w:rsidRPr="00D167AA">
        <w:rPr>
          <w:rFonts w:ascii="Palatino Linotype" w:hAnsi="Palatino Linotype" w:cs="Arial"/>
        </w:rPr>
        <w:t xml:space="preserve">Por ello, de conformidad con lo establecido en el artículo 12 de la Ley de Transparencia y Acceso a la Información Pública del Estado de México y Municipios </w:t>
      </w:r>
      <w:r w:rsidRPr="00D167AA">
        <w:rPr>
          <w:rFonts w:ascii="Palatino Linotype" w:hAnsi="Palatino Linotype" w:cs="Arial"/>
          <w:b/>
        </w:rPr>
        <w:t>EL SUJETO OBLIGADO</w:t>
      </w:r>
      <w:r w:rsidRPr="00D167AA">
        <w:rPr>
          <w:rFonts w:ascii="Palatino Linotype" w:hAnsi="Palatino Linotype" w:cs="Arial"/>
        </w:rPr>
        <w:t xml:space="preserve"> sólo proporcionará la información que se les requiera y que obre en sus archivos, lo que a </w:t>
      </w:r>
      <w:r w:rsidRPr="00D167AA">
        <w:rPr>
          <w:rFonts w:ascii="Palatino Linotype" w:hAnsi="Palatino Linotype" w:cs="Arial"/>
          <w:i/>
        </w:rPr>
        <w:t>contrario sensu</w:t>
      </w:r>
      <w:r w:rsidRPr="00D167AA">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D167AA">
        <w:rPr>
          <w:rFonts w:ascii="Palatino Linotype" w:hAnsi="Palatino Linotype" w:cs="Arial"/>
          <w:color w:val="222222"/>
        </w:rPr>
        <w:t>:</w:t>
      </w:r>
    </w:p>
    <w:p w:rsidR="0089642C" w:rsidRPr="00D167AA" w:rsidRDefault="0089642C" w:rsidP="0089642C">
      <w:pPr>
        <w:shd w:val="clear" w:color="auto" w:fill="FFFFFF"/>
        <w:ind w:left="851"/>
        <w:jc w:val="both"/>
        <w:rPr>
          <w:rFonts w:ascii="Palatino Linotype" w:hAnsi="Palatino Linotype" w:cs="Arial"/>
          <w:color w:val="222222"/>
          <w:sz w:val="22"/>
        </w:rPr>
      </w:pPr>
      <w:r w:rsidRPr="00D167AA">
        <w:rPr>
          <w:rFonts w:ascii="Palatino Linotype" w:hAnsi="Palatino Linotype" w:cs="Arial"/>
          <w:b/>
          <w:bCs/>
          <w:i/>
          <w:iCs/>
          <w:color w:val="222222"/>
          <w:sz w:val="22"/>
        </w:rPr>
        <w:t>“HECHOS NEGATIVOS, NO SON SUSCEPTIBLES DE DEMOSTRACIÓN.</w:t>
      </w:r>
    </w:p>
    <w:p w:rsidR="0089642C" w:rsidRPr="00D167AA" w:rsidRDefault="0089642C" w:rsidP="0089642C">
      <w:pPr>
        <w:shd w:val="clear" w:color="auto" w:fill="FFFFFF"/>
        <w:ind w:left="851" w:right="899"/>
        <w:jc w:val="both"/>
        <w:rPr>
          <w:rFonts w:ascii="Palatino Linotype" w:hAnsi="Palatino Linotype" w:cs="Arial"/>
          <w:color w:val="222222"/>
          <w:sz w:val="22"/>
        </w:rPr>
      </w:pPr>
      <w:r w:rsidRPr="00D167AA">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rsidR="0089642C" w:rsidRPr="00D167AA" w:rsidRDefault="0089642C" w:rsidP="0089642C">
      <w:pPr>
        <w:shd w:val="clear" w:color="auto" w:fill="FFFFFF"/>
        <w:ind w:left="851" w:right="899"/>
        <w:jc w:val="both"/>
        <w:rPr>
          <w:rFonts w:ascii="Palatino Linotype" w:hAnsi="Palatino Linotype" w:cs="Arial"/>
          <w:i/>
          <w:iCs/>
          <w:color w:val="222222"/>
          <w:sz w:val="22"/>
        </w:rPr>
      </w:pPr>
      <w:r w:rsidRPr="00D167AA">
        <w:rPr>
          <w:rFonts w:ascii="Palatino Linotype" w:hAnsi="Palatino Linotype" w:cs="Arial"/>
          <w:i/>
          <w:iCs/>
          <w:color w:val="222222"/>
          <w:sz w:val="22"/>
        </w:rPr>
        <w:t>Amparo en revisión 2022/61. José García Florín (Menor). 9 de octubre de 1961. Cinco votos. Ponente: José Rivera Pérez Campos.”</w:t>
      </w:r>
    </w:p>
    <w:p w:rsidR="0089642C" w:rsidRPr="00D167AA" w:rsidRDefault="0089642C" w:rsidP="0089642C">
      <w:pPr>
        <w:shd w:val="clear" w:color="auto" w:fill="FFFFFF"/>
        <w:spacing w:before="100" w:beforeAutospacing="1" w:after="100" w:afterAutospacing="1" w:line="360" w:lineRule="auto"/>
        <w:ind w:right="49"/>
        <w:jc w:val="both"/>
        <w:rPr>
          <w:rFonts w:ascii="Palatino Linotype" w:hAnsi="Palatino Linotype" w:cs="Arial"/>
          <w:iCs/>
          <w:color w:val="222222"/>
        </w:rPr>
      </w:pPr>
      <w:r w:rsidRPr="00D167AA">
        <w:rPr>
          <w:rFonts w:ascii="Palatino Linotype" w:hAnsi="Palatino Linotype" w:cs="Arial"/>
          <w:iCs/>
          <w:color w:val="222222"/>
        </w:rPr>
        <w:t>De igual forma, es aplicable el criterio 7/2017, emitido en la Segunda Época por el Instituto Nacional de Transparencia, Acceso a la Información y Protección de Datos Personales (INAI), el cual señala lo siguiente:</w:t>
      </w:r>
    </w:p>
    <w:p w:rsidR="0089642C" w:rsidRPr="00D167AA" w:rsidRDefault="0089642C" w:rsidP="0089642C">
      <w:pPr>
        <w:shd w:val="clear" w:color="auto" w:fill="FFFFFF"/>
        <w:ind w:left="851" w:right="902"/>
        <w:jc w:val="both"/>
        <w:rPr>
          <w:rFonts w:ascii="Palatino Linotype" w:hAnsi="Palatino Linotype" w:cs="Arial"/>
          <w:i/>
          <w:color w:val="222222"/>
          <w:sz w:val="22"/>
        </w:rPr>
      </w:pPr>
      <w:r w:rsidRPr="00D167AA">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D167AA">
        <w:rPr>
          <w:rFonts w:ascii="Palatino Linotype" w:hAnsi="Palatino Linotype" w:cs="Arial"/>
          <w:b/>
          <w:i/>
          <w:color w:val="222222"/>
          <w:sz w:val="22"/>
        </w:rPr>
        <w:t>no será necesario que el Comité de Transparencia emita una resolución que confirme la inexistencia de la información</w:t>
      </w:r>
      <w:r w:rsidRPr="00D167AA">
        <w:rPr>
          <w:rFonts w:ascii="Palatino Linotype" w:hAnsi="Palatino Linotype" w:cs="Arial"/>
          <w:i/>
          <w:color w:val="222222"/>
          <w:sz w:val="22"/>
        </w:rPr>
        <w:t xml:space="preserve">. </w:t>
      </w:r>
    </w:p>
    <w:p w:rsidR="0089642C" w:rsidRPr="00D167AA" w:rsidRDefault="0089642C" w:rsidP="0089642C">
      <w:pPr>
        <w:shd w:val="clear" w:color="auto" w:fill="FFFFFF"/>
        <w:ind w:left="851" w:right="902"/>
        <w:jc w:val="both"/>
        <w:rPr>
          <w:rFonts w:ascii="Palatino Linotype" w:hAnsi="Palatino Linotype" w:cs="Arial"/>
          <w:i/>
          <w:color w:val="222222"/>
          <w:sz w:val="22"/>
        </w:rPr>
      </w:pPr>
      <w:r w:rsidRPr="00D167AA">
        <w:rPr>
          <w:rFonts w:ascii="Palatino Linotype" w:hAnsi="Palatino Linotype" w:cs="Arial"/>
          <w:i/>
          <w:color w:val="222222"/>
          <w:sz w:val="22"/>
        </w:rPr>
        <w:t>Resoluciones:</w:t>
      </w:r>
    </w:p>
    <w:p w:rsidR="0089642C" w:rsidRPr="00D167AA" w:rsidRDefault="0089642C" w:rsidP="0089642C">
      <w:pPr>
        <w:shd w:val="clear" w:color="auto" w:fill="FFFFFF"/>
        <w:ind w:left="851" w:right="902"/>
        <w:jc w:val="both"/>
        <w:rPr>
          <w:rFonts w:ascii="Palatino Linotype" w:hAnsi="Palatino Linotype" w:cs="Arial"/>
          <w:i/>
          <w:color w:val="222222"/>
          <w:sz w:val="22"/>
        </w:rPr>
      </w:pPr>
      <w:r w:rsidRPr="00D167AA">
        <w:rPr>
          <w:rFonts w:ascii="Palatino Linotype" w:hAnsi="Palatino Linotype" w:cs="Arial"/>
          <w:i/>
          <w:color w:val="222222"/>
          <w:sz w:val="22"/>
        </w:rPr>
        <w:t>•</w:t>
      </w:r>
      <w:r w:rsidRPr="00D167AA">
        <w:rPr>
          <w:rFonts w:ascii="Palatino Linotype" w:hAnsi="Palatino Linotype" w:cs="Arial"/>
          <w:i/>
          <w:color w:val="222222"/>
          <w:sz w:val="22"/>
        </w:rPr>
        <w:tab/>
        <w:t>RRA 2959/16. Secretaría de Gobernación. 23 de noviembre de 2016. Por unanimidad. Comisionado Ponente Rosendoevgueni Monterrey Chepov.</w:t>
      </w:r>
    </w:p>
    <w:p w:rsidR="0089642C" w:rsidRPr="00D167AA" w:rsidRDefault="0089642C" w:rsidP="0089642C">
      <w:pPr>
        <w:shd w:val="clear" w:color="auto" w:fill="FFFFFF"/>
        <w:ind w:left="851" w:right="902"/>
        <w:jc w:val="both"/>
        <w:rPr>
          <w:rFonts w:ascii="Palatino Linotype" w:hAnsi="Palatino Linotype" w:cs="Arial"/>
          <w:i/>
          <w:color w:val="222222"/>
          <w:sz w:val="22"/>
        </w:rPr>
      </w:pPr>
      <w:r w:rsidRPr="00D167AA">
        <w:rPr>
          <w:rFonts w:ascii="Palatino Linotype" w:hAnsi="Palatino Linotype" w:cs="Arial"/>
          <w:i/>
          <w:color w:val="222222"/>
          <w:sz w:val="22"/>
        </w:rPr>
        <w:t>•</w:t>
      </w:r>
      <w:r w:rsidRPr="00D167AA">
        <w:rPr>
          <w:rFonts w:ascii="Palatino Linotype" w:hAnsi="Palatino Linotype" w:cs="Arial"/>
          <w:i/>
          <w:color w:val="222222"/>
          <w:sz w:val="22"/>
        </w:rPr>
        <w:tab/>
        <w:t>RRA 3186/16. Petróleos Mexicanos. 13 de diciembre de 2016. Por unanimidad. Comisionado Ponente Francisco Javier Acuña Llamas.</w:t>
      </w:r>
    </w:p>
    <w:p w:rsidR="0089642C" w:rsidRPr="00D167AA" w:rsidRDefault="0089642C" w:rsidP="0089642C">
      <w:pPr>
        <w:shd w:val="clear" w:color="auto" w:fill="FFFFFF"/>
        <w:ind w:left="851" w:right="902"/>
        <w:jc w:val="both"/>
        <w:rPr>
          <w:rFonts w:ascii="Palatino Linotype" w:hAnsi="Palatino Linotype" w:cs="Arial"/>
          <w:i/>
          <w:color w:val="222222"/>
          <w:sz w:val="22"/>
        </w:rPr>
      </w:pPr>
      <w:r w:rsidRPr="00D167AA">
        <w:rPr>
          <w:rFonts w:ascii="Palatino Linotype" w:hAnsi="Palatino Linotype" w:cs="Arial"/>
          <w:i/>
          <w:color w:val="222222"/>
          <w:sz w:val="22"/>
        </w:rPr>
        <w:t>•</w:t>
      </w:r>
      <w:r w:rsidRPr="00D167AA">
        <w:rPr>
          <w:rFonts w:ascii="Palatino Linotype" w:hAnsi="Palatino Linotype" w:cs="Arial"/>
          <w:i/>
          <w:color w:val="222222"/>
          <w:sz w:val="22"/>
        </w:rPr>
        <w:tab/>
        <w:t>RRA 4216/16. Cámara de Diputados. 05 de enero de 2017. Por unanimidad. Comisionada Ponente Areli Cano Guadiana.”</w:t>
      </w:r>
    </w:p>
    <w:p w:rsidR="0089642C" w:rsidRPr="00D167AA" w:rsidRDefault="0089642C" w:rsidP="0089642C">
      <w:pPr>
        <w:spacing w:before="100" w:beforeAutospacing="1" w:after="100" w:afterAutospacing="1" w:line="360" w:lineRule="auto"/>
        <w:jc w:val="both"/>
        <w:rPr>
          <w:rFonts w:ascii="Palatino Linotype" w:hAnsi="Palatino Linotype"/>
        </w:rPr>
      </w:pPr>
      <w:r w:rsidRPr="00D167AA">
        <w:rPr>
          <w:rFonts w:ascii="Palatino Linotype" w:eastAsia="Calibri" w:hAnsi="Palatino Linotype"/>
          <w:szCs w:val="22"/>
          <w:lang w:eastAsia="en-US"/>
        </w:rPr>
        <w:t xml:space="preserve">Además, </w:t>
      </w:r>
      <w:r w:rsidRPr="00D167AA">
        <w:rPr>
          <w:rFonts w:ascii="Palatino Linotype" w:hAnsi="Palatino Linotype"/>
        </w:rPr>
        <w:t xml:space="preserve">no se omite comentar que al haber existido un pronunciamiento por parte del </w:t>
      </w:r>
      <w:r w:rsidRPr="00D167AA">
        <w:rPr>
          <w:rFonts w:ascii="Palatino Linotype" w:hAnsi="Palatino Linotype"/>
          <w:b/>
        </w:rPr>
        <w:t>SUJETO OBLIGADO</w:t>
      </w:r>
      <w:r w:rsidRPr="00D167AA">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89642C" w:rsidRPr="00D167AA" w:rsidRDefault="0089642C" w:rsidP="0089642C">
      <w:pPr>
        <w:spacing w:before="100" w:beforeAutospacing="1" w:after="100" w:afterAutospacing="1" w:line="360" w:lineRule="auto"/>
        <w:jc w:val="both"/>
        <w:rPr>
          <w:rFonts w:ascii="Palatino Linotype" w:hAnsi="Palatino Linotype" w:cs="Arial"/>
        </w:rPr>
      </w:pPr>
      <w:r w:rsidRPr="00D167AA">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89642C" w:rsidRPr="00D167AA" w:rsidRDefault="0089642C" w:rsidP="0089642C">
      <w:pPr>
        <w:ind w:left="709" w:right="760"/>
        <w:jc w:val="both"/>
        <w:rPr>
          <w:rFonts w:ascii="Palatino Linotype" w:hAnsi="Palatino Linotype" w:cs="Arial"/>
          <w:i/>
          <w:sz w:val="22"/>
        </w:rPr>
      </w:pPr>
      <w:r w:rsidRPr="00D167AA">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D167AA">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89642C" w:rsidRPr="00D167AA" w:rsidRDefault="0089642C" w:rsidP="0089642C">
      <w:pPr>
        <w:ind w:left="709" w:right="757"/>
        <w:jc w:val="both"/>
        <w:rPr>
          <w:rFonts w:ascii="Palatino Linotype" w:hAnsi="Palatino Linotype" w:cs="Arial"/>
          <w:b/>
          <w:i/>
          <w:sz w:val="22"/>
        </w:rPr>
      </w:pPr>
      <w:r w:rsidRPr="00D167AA">
        <w:rPr>
          <w:rFonts w:ascii="Palatino Linotype" w:hAnsi="Palatino Linotype" w:cs="Arial"/>
          <w:i/>
          <w:sz w:val="22"/>
        </w:rPr>
        <w:t>Criterio 31/10</w:t>
      </w:r>
      <w:r w:rsidRPr="00D167AA">
        <w:rPr>
          <w:rFonts w:ascii="Palatino Linotype" w:hAnsi="Palatino Linotype" w:cs="Arial"/>
          <w:b/>
          <w:i/>
          <w:sz w:val="22"/>
        </w:rPr>
        <w:t>”</w:t>
      </w:r>
      <w:r w:rsidRPr="00D167AA">
        <w:rPr>
          <w:rFonts w:ascii="Palatino Linotype" w:hAnsi="Palatino Linotype" w:cs="Arial"/>
          <w:i/>
          <w:sz w:val="22"/>
        </w:rPr>
        <w:t xml:space="preserve"> (sic)</w:t>
      </w:r>
    </w:p>
    <w:p w:rsidR="0089642C" w:rsidRPr="00D167AA" w:rsidRDefault="0089642C" w:rsidP="0089642C">
      <w:pPr>
        <w:spacing w:before="100" w:beforeAutospacing="1" w:after="100" w:afterAutospacing="1" w:line="360" w:lineRule="auto"/>
        <w:jc w:val="both"/>
        <w:rPr>
          <w:rFonts w:ascii="Palatino Linotype" w:eastAsia="Calibri" w:hAnsi="Palatino Linotype"/>
          <w:szCs w:val="22"/>
          <w:lang w:eastAsia="en-US"/>
        </w:rPr>
      </w:pPr>
      <w:r w:rsidRPr="00D167AA">
        <w:rPr>
          <w:rFonts w:ascii="Palatino Linotype" w:eastAsia="Calibri" w:hAnsi="Palatino Linotype"/>
          <w:szCs w:val="22"/>
          <w:lang w:eastAsia="en-US"/>
        </w:rPr>
        <w:t xml:space="preserve">Finalmente, por cuanto hace a la solicitud de acceso a la información marcada con el numeral 10, relativa a los </w:t>
      </w:r>
      <w:r w:rsidRPr="00D167AA">
        <w:rPr>
          <w:rFonts w:ascii="Palatino Linotype" w:hAnsi="Palatino Linotype" w:cs="Arial"/>
        </w:rPr>
        <w:t xml:space="preserve">documentos remitidos por los aspirantes a participar en el proceso de selección de la terna de la que habrá que designarse al Auditor Superior de Fiscalización del Estado de México, esta Ponencia Resolutora estima que asiste razón al </w:t>
      </w:r>
      <w:r w:rsidRPr="00D167AA">
        <w:rPr>
          <w:rFonts w:ascii="Palatino Linotype" w:hAnsi="Palatino Linotype" w:cs="Arial"/>
          <w:b/>
        </w:rPr>
        <w:t>SUJETO OBLIGADO</w:t>
      </w:r>
      <w:r w:rsidRPr="00D167AA">
        <w:rPr>
          <w:rFonts w:ascii="Palatino Linotype" w:hAnsi="Palatino Linotype" w:cs="Arial"/>
        </w:rPr>
        <w:t>, respecto de que se trata de información confidencial; por tratarse de documentos remitidos por personas en su calidad de particulares para evaluación de la Comisión Legislativa de Vigilancia del Órgano Superior de Fiscalización, los cuales no reflejan el desempeño de un servicio público</w:t>
      </w:r>
      <w:r w:rsidR="00983A3D">
        <w:rPr>
          <w:rFonts w:ascii="Palatino Linotype" w:hAnsi="Palatino Linotype" w:cs="Arial"/>
        </w:rPr>
        <w:t xml:space="preserve"> pues se insiste dicha participación fue en calidad de particulares</w:t>
      </w:r>
      <w:r w:rsidRPr="00D167AA">
        <w:rPr>
          <w:rFonts w:ascii="Palatino Linotype" w:hAnsi="Palatino Linotype" w:cs="Arial"/>
        </w:rPr>
        <w:t>, además que dichos datos fueron recabados únicamente con el fin de ser analizados por la Comisión Legislativa; así, su difusión requiere forzosamente del consentimiento de sus titulares, máxime que las finalidades para su tratamiento atienden a la Convocatoria correspondiente, la cual fue publicada en el Periódico Oficial del Gobierno del Estado de México “Gaceta del Gobierno”, de fecha 13 de enero de 2020.</w:t>
      </w:r>
    </w:p>
    <w:p w:rsidR="0089642C" w:rsidRPr="00D167AA" w:rsidRDefault="0089642C" w:rsidP="0089642C">
      <w:pPr>
        <w:spacing w:before="100" w:beforeAutospacing="1" w:after="100" w:afterAutospacing="1" w:line="360" w:lineRule="auto"/>
        <w:jc w:val="both"/>
        <w:rPr>
          <w:rFonts w:ascii="Palatino Linotype" w:eastAsia="Calibri" w:hAnsi="Palatino Linotype"/>
          <w:szCs w:val="22"/>
          <w:lang w:eastAsia="en-US"/>
        </w:rPr>
      </w:pPr>
      <w:r w:rsidRPr="00D167AA">
        <w:rPr>
          <w:rFonts w:ascii="Palatino Linotype" w:eastAsia="Calibri" w:hAnsi="Palatino Linotype"/>
          <w:szCs w:val="22"/>
          <w:lang w:eastAsia="en-US"/>
        </w:rPr>
        <w:t xml:space="preserve">En mérito de lo expuesto, este instituto estima que la respuesta del </w:t>
      </w:r>
      <w:r w:rsidRPr="00D167AA">
        <w:rPr>
          <w:rFonts w:ascii="Palatino Linotype" w:eastAsia="Calibri" w:hAnsi="Palatino Linotype"/>
          <w:b/>
          <w:szCs w:val="22"/>
          <w:lang w:eastAsia="en-US"/>
        </w:rPr>
        <w:t>SUJETO OBLIGADO</w:t>
      </w:r>
      <w:r w:rsidRPr="00D167AA">
        <w:rPr>
          <w:rFonts w:ascii="Palatino Linotype" w:eastAsia="Calibri" w:hAnsi="Palatino Linotype"/>
          <w:szCs w:val="22"/>
          <w:lang w:eastAsia="en-US"/>
        </w:rPr>
        <w:t xml:space="preserve"> se encuentra debidamente fundada y motivada, puesto que remitió el Acuerdo de su Comité de Transparencia que sustenta la clasificación como confidencial de la información.</w:t>
      </w:r>
    </w:p>
    <w:p w:rsidR="0089642C" w:rsidRPr="00D167AA" w:rsidRDefault="0089642C" w:rsidP="0089642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D167AA">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89642C" w:rsidRPr="00D167AA" w:rsidRDefault="0089642C" w:rsidP="0089642C">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D167AA">
        <w:rPr>
          <w:rFonts w:ascii="Palatino Linotype" w:hAnsi="Palatino Linotype" w:cs="Arial"/>
          <w:b/>
          <w:i/>
          <w:sz w:val="22"/>
        </w:rPr>
        <w:t>“FUNDAMENTACIÓN Y MOTIVACIÓN.</w:t>
      </w:r>
      <w:r w:rsidRPr="00D167AA">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89642C" w:rsidRPr="00D167AA" w:rsidRDefault="0089642C" w:rsidP="0089642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D167AA">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89642C" w:rsidRPr="00D167AA" w:rsidRDefault="0089642C" w:rsidP="0089642C">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D167AA">
        <w:rPr>
          <w:rFonts w:ascii="Palatino Linotype" w:hAnsi="Palatino Linotype" w:cs="Arial"/>
          <w:i/>
          <w:sz w:val="22"/>
        </w:rPr>
        <w:t>“</w:t>
      </w:r>
      <w:r w:rsidRPr="00D167AA">
        <w:rPr>
          <w:rFonts w:ascii="Palatino Linotype" w:hAnsi="Palatino Linotype" w:cs="Arial"/>
          <w:b/>
          <w:i/>
          <w:sz w:val="22"/>
        </w:rPr>
        <w:t>FUNDAMENTACIÓN Y MOTIVACIÓN. EL ASPECTO FORMAL DE LA GARANTÍA Y SU FINALIDAD SE TRADUCEN EN EXPLICAR, JUSTIFICAR, POSIBILITAR LA DEFENSA Y COMUNICAR LA DECISIÓN.</w:t>
      </w:r>
      <w:r w:rsidRPr="00D167AA">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89642C" w:rsidRPr="00D167AA" w:rsidRDefault="0089642C" w:rsidP="0089642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D167AA">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89642C" w:rsidRPr="00D167AA" w:rsidRDefault="0089642C" w:rsidP="0089642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D167AA">
        <w:rPr>
          <w:rFonts w:ascii="Palatino Linotype" w:eastAsia="Calibri" w:hAnsi="Palatino Linotype" w:cs="Arial"/>
        </w:rPr>
        <w:t xml:space="preserve">En mérito de lo expuesto, esta Autoridad estima que las razones o motivos de inconformidad hechos valer por </w:t>
      </w:r>
      <w:r w:rsidRPr="00D167AA">
        <w:rPr>
          <w:rFonts w:ascii="Palatino Linotype" w:eastAsia="Calibri" w:hAnsi="Palatino Linotype" w:cs="Arial"/>
          <w:b/>
        </w:rPr>
        <w:t>EL RECURRENTE</w:t>
      </w:r>
      <w:r w:rsidRPr="00D167AA">
        <w:rPr>
          <w:rFonts w:ascii="Palatino Linotype" w:eastAsia="Calibri" w:hAnsi="Palatino Linotype" w:cs="Arial"/>
        </w:rPr>
        <w:t xml:space="preserve"> devienen </w:t>
      </w:r>
      <w:r w:rsidRPr="00D167AA">
        <w:rPr>
          <w:rFonts w:ascii="Palatino Linotype" w:eastAsia="Calibri" w:hAnsi="Palatino Linotype" w:cs="Arial"/>
          <w:b/>
        </w:rPr>
        <w:t>parcialmente fundados</w:t>
      </w:r>
      <w:r w:rsidRPr="00D167AA">
        <w:rPr>
          <w:rFonts w:ascii="Palatino Linotype" w:eastAsia="Calibri" w:hAnsi="Palatino Linotype" w:cs="Arial"/>
        </w:rPr>
        <w:t xml:space="preserve">; por lo que, lo procedente es </w:t>
      </w:r>
      <w:r w:rsidRPr="00D167AA">
        <w:rPr>
          <w:rFonts w:ascii="Palatino Linotype" w:eastAsia="Calibri" w:hAnsi="Palatino Linotype" w:cs="Arial"/>
          <w:b/>
        </w:rPr>
        <w:t>MODIFICAR</w:t>
      </w:r>
      <w:r w:rsidRPr="00D167AA">
        <w:rPr>
          <w:rFonts w:ascii="Palatino Linotype" w:eastAsia="Calibri" w:hAnsi="Palatino Linotype" w:cs="Arial"/>
        </w:rPr>
        <w:t xml:space="preserve"> la respuesta del </w:t>
      </w:r>
      <w:r w:rsidRPr="00D167AA">
        <w:rPr>
          <w:rFonts w:ascii="Palatino Linotype" w:eastAsia="Calibri" w:hAnsi="Palatino Linotype" w:cs="Arial"/>
          <w:b/>
        </w:rPr>
        <w:t xml:space="preserve">SUJETO OBLIGADO </w:t>
      </w:r>
      <w:r w:rsidRPr="00D167AA">
        <w:rPr>
          <w:rFonts w:ascii="Palatino Linotype" w:eastAsia="Calibri" w:hAnsi="Palatino Linotype" w:cs="Arial"/>
        </w:rPr>
        <w:t>y ordenar haga entrega de la información descrita en el presente Considerando.</w:t>
      </w:r>
    </w:p>
    <w:p w:rsidR="0089642C" w:rsidRPr="00D167AA" w:rsidRDefault="0089642C" w:rsidP="0089642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D167AA">
        <w:rPr>
          <w:rFonts w:ascii="Palatino Linotype" w:eastAsia="Calibri" w:hAnsi="Palatino Linotype" w:cs="Arial"/>
        </w:rPr>
        <w:t xml:space="preserve">Así, con </w:t>
      </w:r>
      <w:r w:rsidRPr="00D167AA">
        <w:rPr>
          <w:rFonts w:ascii="Palatino Linotype" w:hAnsi="Palatino Linotype" w:cs="Arial"/>
        </w:rPr>
        <w:t>fundamento</w:t>
      </w:r>
      <w:r w:rsidRPr="00D167AA">
        <w:rPr>
          <w:rFonts w:ascii="Palatino Linotype" w:eastAsia="Calibri" w:hAnsi="Palatino Linotype" w:cs="Arial"/>
        </w:rPr>
        <w:t xml:space="preserve"> en lo prescrito en los artículos 5, </w:t>
      </w:r>
      <w:r w:rsidRPr="00D167AA">
        <w:rPr>
          <w:rFonts w:ascii="Palatino Linotype" w:hAnsi="Palatino Linotype"/>
        </w:rPr>
        <w:t xml:space="preserve">párrafos vigésimo segundo, vigésimo tercero y vigésimo </w:t>
      </w:r>
      <w:r w:rsidRPr="00D167AA">
        <w:rPr>
          <w:rFonts w:ascii="Palatino Linotype" w:hAnsi="Palatino Linotype" w:cs="Arial"/>
        </w:rPr>
        <w:t>cuarto,</w:t>
      </w:r>
      <w:r w:rsidRPr="00D167AA">
        <w:rPr>
          <w:rFonts w:ascii="Palatino Linotype" w:hAnsi="Palatino Linotype"/>
        </w:rPr>
        <w:t xml:space="preserve"> </w:t>
      </w:r>
      <w:r w:rsidRPr="00D167AA">
        <w:rPr>
          <w:rFonts w:ascii="Palatino Linotype" w:hAnsi="Palatino Linotype" w:cs="Arial"/>
        </w:rPr>
        <w:t>fracciones</w:t>
      </w:r>
      <w:r w:rsidRPr="00D167AA">
        <w:rPr>
          <w:rFonts w:ascii="Palatino Linotype" w:hAnsi="Palatino Linotype"/>
        </w:rPr>
        <w:t xml:space="preserve"> IV y V,</w:t>
      </w:r>
      <w:r w:rsidRPr="00D167AA">
        <w:rPr>
          <w:rFonts w:ascii="Palatino Linotype" w:eastAsia="Calibri" w:hAnsi="Palatino Linotype" w:cs="Arial"/>
        </w:rPr>
        <w:t xml:space="preserve"> de la Constitución Política del Estado Libre y Soberano de México, y los artículos </w:t>
      </w:r>
      <w:r w:rsidRPr="00D167AA">
        <w:rPr>
          <w:rFonts w:ascii="Palatino Linotype" w:hAnsi="Palatino Linotype"/>
        </w:rPr>
        <w:t xml:space="preserve">2, </w:t>
      </w:r>
      <w:r w:rsidRPr="00D167AA">
        <w:rPr>
          <w:rFonts w:ascii="Palatino Linotype" w:hAnsi="Palatino Linotype" w:cs="Arial"/>
        </w:rPr>
        <w:t>fracción</w:t>
      </w:r>
      <w:r w:rsidRPr="00D167AA">
        <w:rPr>
          <w:rFonts w:ascii="Palatino Linotype" w:hAnsi="Palatino Linotype"/>
        </w:rPr>
        <w:t xml:space="preserve"> II, 9, </w:t>
      </w:r>
      <w:r w:rsidRPr="00D167AA">
        <w:rPr>
          <w:rFonts w:ascii="Palatino Linotype" w:hAnsi="Palatino Linotype" w:cs="Arial"/>
          <w:lang w:val="es-ES_tradnl"/>
        </w:rPr>
        <w:t>29</w:t>
      </w:r>
      <w:r w:rsidRPr="00D167AA">
        <w:rPr>
          <w:rFonts w:ascii="Palatino Linotype" w:hAnsi="Palatino Linotype"/>
        </w:rPr>
        <w:t>, 36, fracciones I y II, 176, 178, 179, 181, 185, fracción I, 186, 188 y 192, fracción III</w:t>
      </w:r>
      <w:r w:rsidRPr="00D167AA">
        <w:rPr>
          <w:rFonts w:ascii="Palatino Linotype" w:eastAsia="Calibri" w:hAnsi="Palatino Linotype" w:cs="Arial"/>
        </w:rPr>
        <w:t xml:space="preserve"> de la Ley de Transparencia y Acceso a la Información Pública del Estado de México y </w:t>
      </w:r>
      <w:r w:rsidRPr="00D167AA">
        <w:rPr>
          <w:rFonts w:ascii="Palatino Linotype" w:hAnsi="Palatino Linotype" w:cs="Arial"/>
        </w:rPr>
        <w:t>Municipios</w:t>
      </w:r>
      <w:r w:rsidRPr="00D167AA">
        <w:rPr>
          <w:rFonts w:ascii="Palatino Linotype" w:eastAsia="Calibri" w:hAnsi="Palatino Linotype" w:cs="Arial"/>
        </w:rPr>
        <w:t xml:space="preserve">, </w:t>
      </w:r>
      <w:r w:rsidRPr="00D167AA">
        <w:rPr>
          <w:rFonts w:ascii="Palatino Linotype" w:hAnsi="Palatino Linotype"/>
        </w:rPr>
        <w:t>este</w:t>
      </w:r>
      <w:r w:rsidRPr="00D167AA">
        <w:rPr>
          <w:rFonts w:ascii="Palatino Linotype" w:eastAsia="Calibri" w:hAnsi="Palatino Linotype" w:cs="Arial"/>
        </w:rPr>
        <w:t xml:space="preserve"> Pleno:</w:t>
      </w:r>
    </w:p>
    <w:p w:rsidR="0089642C" w:rsidRPr="00D167AA" w:rsidRDefault="0089642C" w:rsidP="0089642C">
      <w:pPr>
        <w:spacing w:before="240" w:after="100" w:afterAutospacing="1" w:line="360" w:lineRule="auto"/>
        <w:jc w:val="center"/>
        <w:rPr>
          <w:rFonts w:ascii="Palatino Linotype" w:hAnsi="Palatino Linotype"/>
          <w:b/>
          <w:bCs/>
          <w:spacing w:val="60"/>
          <w:sz w:val="28"/>
        </w:rPr>
      </w:pPr>
      <w:r w:rsidRPr="00D167AA">
        <w:rPr>
          <w:rFonts w:ascii="Palatino Linotype" w:hAnsi="Palatino Linotype"/>
          <w:b/>
          <w:bCs/>
          <w:spacing w:val="60"/>
          <w:sz w:val="28"/>
        </w:rPr>
        <w:t>RESUELVE</w:t>
      </w:r>
    </w:p>
    <w:p w:rsidR="0089642C" w:rsidRPr="00D167AA" w:rsidRDefault="0089642C" w:rsidP="008D671B">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D167AA">
        <w:rPr>
          <w:rFonts w:ascii="Palatino Linotype" w:hAnsi="Palatino Linotype" w:cs="Arial"/>
        </w:rPr>
        <w:t xml:space="preserve"> Resultan </w:t>
      </w:r>
      <w:r w:rsidRPr="00D167AA">
        <w:rPr>
          <w:rFonts w:ascii="Palatino Linotype" w:hAnsi="Palatino Linotype" w:cs="Arial"/>
          <w:b/>
        </w:rPr>
        <w:t>parcialmente fundadas</w:t>
      </w:r>
      <w:r w:rsidRPr="00D167AA">
        <w:rPr>
          <w:rFonts w:ascii="Palatino Linotype" w:hAnsi="Palatino Linotype" w:cs="Arial"/>
        </w:rPr>
        <w:t xml:space="preserve"> las </w:t>
      </w:r>
      <w:r w:rsidRPr="00D167AA">
        <w:rPr>
          <w:rFonts w:ascii="Palatino Linotype" w:hAnsi="Palatino Linotype"/>
          <w:shd w:val="clear" w:color="auto" w:fill="FFFFFF"/>
        </w:rPr>
        <w:t>razones</w:t>
      </w:r>
      <w:r w:rsidRPr="00D167AA">
        <w:rPr>
          <w:rFonts w:ascii="Palatino Linotype" w:hAnsi="Palatino Linotype" w:cs="Arial"/>
        </w:rPr>
        <w:t xml:space="preserve"> o motivos de inconformidad hechas valer por </w:t>
      </w:r>
      <w:r w:rsidRPr="00D167AA">
        <w:rPr>
          <w:rFonts w:ascii="Palatino Linotype" w:hAnsi="Palatino Linotype"/>
          <w:b/>
        </w:rPr>
        <w:t>EL</w:t>
      </w:r>
      <w:r w:rsidRPr="00D167AA">
        <w:rPr>
          <w:rFonts w:ascii="Palatino Linotype" w:hAnsi="Palatino Linotype" w:cs="Arial"/>
          <w:b/>
        </w:rPr>
        <w:t xml:space="preserve"> RECURRENTE,</w:t>
      </w:r>
      <w:r w:rsidRPr="00D167AA">
        <w:rPr>
          <w:rFonts w:ascii="Palatino Linotype" w:hAnsi="Palatino Linotype" w:cs="Arial"/>
        </w:rPr>
        <w:t xml:space="preserve"> en términos del Considerando </w:t>
      </w:r>
      <w:r w:rsidRPr="00D167AA">
        <w:rPr>
          <w:rFonts w:ascii="Palatino Linotype" w:hAnsi="Palatino Linotype" w:cs="Arial"/>
          <w:b/>
        </w:rPr>
        <w:t>QUINTO</w:t>
      </w:r>
      <w:r w:rsidRPr="00D167AA">
        <w:rPr>
          <w:rFonts w:ascii="Palatino Linotype" w:hAnsi="Palatino Linotype" w:cs="Arial"/>
        </w:rPr>
        <w:t xml:space="preserve"> de la presente resolución.</w:t>
      </w:r>
    </w:p>
    <w:p w:rsidR="0089642C" w:rsidRPr="00D167AA" w:rsidRDefault="0089642C" w:rsidP="008D671B">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D167AA">
        <w:rPr>
          <w:rFonts w:ascii="Palatino Linotype" w:hAnsi="Palatino Linotype" w:cs="Arial"/>
        </w:rPr>
        <w:t xml:space="preserve">Se </w:t>
      </w:r>
      <w:r w:rsidRPr="00D167AA">
        <w:rPr>
          <w:rFonts w:ascii="Palatino Linotype" w:hAnsi="Palatino Linotype" w:cs="Arial"/>
          <w:b/>
        </w:rPr>
        <w:t xml:space="preserve">MODIFICA </w:t>
      </w:r>
      <w:r w:rsidRPr="00D167AA">
        <w:rPr>
          <w:rFonts w:ascii="Palatino Linotype" w:hAnsi="Palatino Linotype" w:cs="Arial"/>
        </w:rPr>
        <w:t xml:space="preserve">la respuesta del </w:t>
      </w:r>
      <w:r w:rsidRPr="00D167AA">
        <w:rPr>
          <w:rFonts w:ascii="Palatino Linotype" w:hAnsi="Palatino Linotype" w:cs="Arial"/>
          <w:b/>
        </w:rPr>
        <w:t>SUJETO OBLIGADO</w:t>
      </w:r>
      <w:r w:rsidRPr="00D167AA">
        <w:rPr>
          <w:rFonts w:ascii="Palatino Linotype" w:hAnsi="Palatino Linotype" w:cs="Arial"/>
        </w:rPr>
        <w:t xml:space="preserve"> y se </w:t>
      </w:r>
      <w:r w:rsidRPr="00D167AA">
        <w:rPr>
          <w:rFonts w:ascii="Palatino Linotype" w:hAnsi="Palatino Linotype" w:cs="Arial"/>
          <w:b/>
        </w:rPr>
        <w:t>ordena</w:t>
      </w:r>
      <w:r w:rsidRPr="00D167AA">
        <w:rPr>
          <w:rFonts w:ascii="Palatino Linotype" w:hAnsi="Palatino Linotype" w:cs="Arial"/>
        </w:rPr>
        <w:t xml:space="preserve"> atienda la solicitud de información pública </w:t>
      </w:r>
      <w:r w:rsidR="00306020" w:rsidRPr="00D167AA">
        <w:rPr>
          <w:rFonts w:ascii="Palatino Linotype" w:hAnsi="Palatino Linotype" w:cs="Arial"/>
          <w:b/>
          <w:bCs/>
        </w:rPr>
        <w:t>00027/PLEGISLA</w:t>
      </w:r>
      <w:r w:rsidRPr="00D167AA">
        <w:rPr>
          <w:rFonts w:ascii="Palatino Linotype" w:hAnsi="Palatino Linotype" w:cs="Arial"/>
          <w:b/>
          <w:bCs/>
        </w:rPr>
        <w:t xml:space="preserve">/IP/2020, </w:t>
      </w:r>
      <w:r w:rsidRPr="00D167AA">
        <w:rPr>
          <w:rFonts w:ascii="Palatino Linotype" w:hAnsi="Palatino Linotype" w:cs="Arial"/>
          <w:bCs/>
        </w:rPr>
        <w:t>y, haga entrega</w:t>
      </w:r>
      <w:r w:rsidRPr="00D167AA">
        <w:rPr>
          <w:rFonts w:ascii="Palatino Linotype" w:hAnsi="Palatino Linotype" w:cs="Arial"/>
          <w:b/>
          <w:bCs/>
        </w:rPr>
        <w:t xml:space="preserve"> </w:t>
      </w:r>
      <w:r w:rsidRPr="00D167AA">
        <w:rPr>
          <w:rFonts w:ascii="Palatino Linotype" w:hAnsi="Palatino Linotype" w:cs="Arial"/>
        </w:rPr>
        <w:t xml:space="preserve">al </w:t>
      </w:r>
      <w:r w:rsidRPr="00D167AA">
        <w:rPr>
          <w:rFonts w:ascii="Palatino Linotype" w:hAnsi="Palatino Linotype" w:cs="Arial"/>
          <w:b/>
        </w:rPr>
        <w:t>RECURRENTE</w:t>
      </w:r>
      <w:r w:rsidRPr="00D167AA">
        <w:rPr>
          <w:rFonts w:ascii="Palatino Linotype" w:hAnsi="Palatino Linotype" w:cs="Arial"/>
        </w:rPr>
        <w:t xml:space="preserve">, vía </w:t>
      </w:r>
      <w:r w:rsidRPr="00D167AA">
        <w:rPr>
          <w:rFonts w:ascii="Palatino Linotype" w:hAnsi="Palatino Linotype" w:cs="Arial"/>
          <w:b/>
        </w:rPr>
        <w:t>SAIMEX</w:t>
      </w:r>
      <w:r w:rsidRPr="00D167AA">
        <w:rPr>
          <w:rFonts w:ascii="Palatino Linotype" w:hAnsi="Palatino Linotype" w:cs="Arial"/>
        </w:rPr>
        <w:t>,</w:t>
      </w:r>
      <w:r w:rsidR="006D77B2">
        <w:rPr>
          <w:rFonts w:ascii="Palatino Linotype" w:hAnsi="Palatino Linotype" w:cs="Arial"/>
        </w:rPr>
        <w:t xml:space="preserve"> de ser procedente</w:t>
      </w:r>
      <w:r w:rsidRPr="00D167AA">
        <w:rPr>
          <w:rFonts w:ascii="Palatino Linotype" w:hAnsi="Palatino Linotype" w:cs="Arial"/>
        </w:rPr>
        <w:t xml:space="preserve"> en </w:t>
      </w:r>
      <w:r w:rsidRPr="00D167AA">
        <w:rPr>
          <w:rFonts w:ascii="Palatino Linotype" w:hAnsi="Palatino Linotype" w:cs="Arial"/>
          <w:b/>
        </w:rPr>
        <w:t>versión pública</w:t>
      </w:r>
      <w:r w:rsidRPr="00D167AA">
        <w:rPr>
          <w:rFonts w:ascii="Palatino Linotype" w:hAnsi="Palatino Linotype" w:cs="Arial"/>
        </w:rPr>
        <w:t xml:space="preserve">, en </w:t>
      </w:r>
      <w:r w:rsidRPr="00D167AA">
        <w:rPr>
          <w:rFonts w:ascii="Palatino Linotype" w:hAnsi="Palatino Linotype"/>
          <w:szCs w:val="17"/>
          <w:lang w:eastAsia="es-ES_tradnl"/>
        </w:rPr>
        <w:t>términos</w:t>
      </w:r>
      <w:r w:rsidRPr="00D167AA">
        <w:rPr>
          <w:rFonts w:ascii="Palatino Linotype" w:hAnsi="Palatino Linotype" w:cs="Arial"/>
        </w:rPr>
        <w:t xml:space="preserve"> del Considerando </w:t>
      </w:r>
      <w:r w:rsidRPr="00D167AA">
        <w:rPr>
          <w:rFonts w:ascii="Palatino Linotype" w:hAnsi="Palatino Linotype" w:cs="Arial"/>
          <w:b/>
        </w:rPr>
        <w:t>QUINTO</w:t>
      </w:r>
      <w:r w:rsidRPr="00D167AA">
        <w:rPr>
          <w:rFonts w:ascii="Palatino Linotype" w:hAnsi="Palatino Linotype" w:cs="Arial"/>
        </w:rPr>
        <w:t xml:space="preserve"> </w:t>
      </w:r>
      <w:r w:rsidRPr="00D167AA">
        <w:rPr>
          <w:rFonts w:ascii="Palatino Linotype" w:hAnsi="Palatino Linotype"/>
        </w:rPr>
        <w:t xml:space="preserve">de la presente resolución, de lo siguiente: </w:t>
      </w:r>
    </w:p>
    <w:p w:rsidR="0089642C" w:rsidRPr="00D167AA" w:rsidRDefault="0089642C" w:rsidP="0089642C">
      <w:pPr>
        <w:ind w:left="851" w:right="902" w:hanging="142"/>
        <w:jc w:val="both"/>
        <w:rPr>
          <w:rFonts w:ascii="Palatino Linotype" w:hAnsi="Palatino Linotype"/>
          <w:i/>
          <w:iCs/>
          <w:color w:val="000000" w:themeColor="text1"/>
          <w:sz w:val="22"/>
          <w:szCs w:val="22"/>
          <w:lang w:eastAsia="es-MX"/>
        </w:rPr>
      </w:pPr>
      <w:r w:rsidRPr="00D167AA">
        <w:rPr>
          <w:rFonts w:ascii="Palatino Linotype" w:hAnsi="Palatino Linotype"/>
          <w:i/>
          <w:iCs/>
          <w:color w:val="000000" w:themeColor="text1"/>
          <w:sz w:val="22"/>
          <w:szCs w:val="22"/>
          <w:lang w:eastAsia="es-MX"/>
        </w:rPr>
        <w:t>“Los títulos y cédulas de los dip</w:t>
      </w:r>
      <w:bookmarkStart w:id="3" w:name="_GoBack"/>
      <w:bookmarkEnd w:id="3"/>
      <w:r w:rsidRPr="00D167AA">
        <w:rPr>
          <w:rFonts w:ascii="Palatino Linotype" w:hAnsi="Palatino Linotype"/>
          <w:i/>
          <w:iCs/>
          <w:color w:val="000000" w:themeColor="text1"/>
          <w:sz w:val="22"/>
          <w:szCs w:val="22"/>
          <w:lang w:eastAsia="es-MX"/>
        </w:rPr>
        <w:t xml:space="preserve">utados que integraban la Comisión Legislativa de Vigilancia del Órgano Superior de Fiscalización al 20 de enero de 2020, remitidos en respuesta dejando visible </w:t>
      </w:r>
      <w:r w:rsidR="00B33D89" w:rsidRPr="00D167AA">
        <w:rPr>
          <w:rFonts w:ascii="Palatino Linotype" w:hAnsi="Palatino Linotype"/>
          <w:i/>
          <w:iCs/>
          <w:color w:val="000000" w:themeColor="text1"/>
          <w:sz w:val="22"/>
          <w:szCs w:val="22"/>
          <w:lang w:eastAsia="es-MX"/>
        </w:rPr>
        <w:t>su</w:t>
      </w:r>
      <w:r w:rsidRPr="00D167AA">
        <w:rPr>
          <w:rFonts w:ascii="Palatino Linotype" w:hAnsi="Palatino Linotype"/>
          <w:i/>
          <w:iCs/>
          <w:color w:val="000000" w:themeColor="text1"/>
          <w:sz w:val="22"/>
          <w:szCs w:val="22"/>
          <w:lang w:eastAsia="es-MX"/>
        </w:rPr>
        <w:t xml:space="preserve"> fotografía</w:t>
      </w:r>
      <w:r w:rsidR="00306020" w:rsidRPr="00D167AA">
        <w:rPr>
          <w:rFonts w:ascii="Palatino Linotype" w:hAnsi="Palatino Linotype"/>
          <w:i/>
          <w:iCs/>
          <w:color w:val="000000" w:themeColor="text1"/>
          <w:sz w:val="22"/>
          <w:szCs w:val="22"/>
          <w:lang w:eastAsia="es-MX"/>
        </w:rPr>
        <w:t xml:space="preserve"> y firma.</w:t>
      </w:r>
    </w:p>
    <w:p w:rsidR="0089642C" w:rsidRPr="00D167AA" w:rsidRDefault="0089642C" w:rsidP="0089642C">
      <w:pPr>
        <w:ind w:left="851" w:right="902" w:hanging="142"/>
        <w:jc w:val="both"/>
        <w:rPr>
          <w:rFonts w:ascii="Palatino Linotype" w:hAnsi="Palatino Linotype"/>
          <w:i/>
          <w:iCs/>
          <w:color w:val="000000" w:themeColor="text1"/>
          <w:sz w:val="22"/>
          <w:szCs w:val="22"/>
          <w:lang w:eastAsia="es-MX"/>
        </w:rPr>
      </w:pPr>
    </w:p>
    <w:p w:rsidR="0089642C" w:rsidRPr="00D167AA" w:rsidRDefault="00B33D89" w:rsidP="0089642C">
      <w:pPr>
        <w:ind w:left="851" w:right="902"/>
        <w:jc w:val="both"/>
        <w:rPr>
          <w:rFonts w:ascii="Palatino Linotype" w:hAnsi="Palatino Linotype"/>
          <w:i/>
          <w:iCs/>
          <w:color w:val="000000" w:themeColor="text1"/>
          <w:sz w:val="22"/>
          <w:szCs w:val="22"/>
          <w:lang w:eastAsia="es-MX"/>
        </w:rPr>
      </w:pPr>
      <w:r w:rsidRPr="00D167AA">
        <w:rPr>
          <w:rFonts w:ascii="Palatino Linotype" w:hAnsi="Palatino Linotype"/>
          <w:i/>
          <w:iCs/>
          <w:color w:val="000000" w:themeColor="text1"/>
          <w:sz w:val="22"/>
          <w:szCs w:val="22"/>
          <w:lang w:eastAsia="es-MX"/>
        </w:rPr>
        <w:t>Debiendo notificar</w:t>
      </w:r>
      <w:r w:rsidR="00D167AA" w:rsidRPr="00D167AA">
        <w:rPr>
          <w:rFonts w:ascii="Palatino Linotype" w:hAnsi="Palatino Linotype"/>
          <w:i/>
          <w:iCs/>
          <w:color w:val="000000" w:themeColor="text1"/>
          <w:sz w:val="22"/>
          <w:szCs w:val="22"/>
          <w:lang w:eastAsia="es-MX"/>
        </w:rPr>
        <w:t xml:space="preserve"> al </w:t>
      </w:r>
      <w:r w:rsidR="00D167AA" w:rsidRPr="00D167AA">
        <w:rPr>
          <w:rFonts w:ascii="Palatino Linotype" w:hAnsi="Palatino Linotype"/>
          <w:b/>
          <w:i/>
          <w:iCs/>
          <w:color w:val="000000" w:themeColor="text1"/>
          <w:sz w:val="22"/>
          <w:szCs w:val="22"/>
          <w:lang w:eastAsia="es-MX"/>
        </w:rPr>
        <w:t>RECURRENTE</w:t>
      </w:r>
      <w:r w:rsidRPr="00D167AA">
        <w:rPr>
          <w:rFonts w:ascii="Palatino Linotype" w:hAnsi="Palatino Linotype"/>
          <w:i/>
          <w:iCs/>
          <w:color w:val="000000" w:themeColor="text1"/>
          <w:sz w:val="22"/>
          <w:szCs w:val="22"/>
          <w:lang w:eastAsia="es-MX"/>
        </w:rPr>
        <w:t xml:space="preserve"> e</w:t>
      </w:r>
      <w:r w:rsidR="0089642C" w:rsidRPr="00D167AA">
        <w:rPr>
          <w:rFonts w:ascii="Palatino Linotype" w:hAnsi="Palatino Linotype"/>
          <w:i/>
          <w:iCs/>
          <w:color w:val="000000" w:themeColor="text1"/>
          <w:sz w:val="22"/>
          <w:szCs w:val="22"/>
          <w:lang w:eastAsia="es-MX"/>
        </w:rPr>
        <w:t xml:space="preserve">l Acuerdo de Clasificación de la información que apruebe </w:t>
      </w:r>
      <w:r w:rsidRPr="00D167AA">
        <w:rPr>
          <w:rFonts w:ascii="Palatino Linotype" w:hAnsi="Palatino Linotype"/>
          <w:i/>
          <w:iCs/>
          <w:color w:val="000000" w:themeColor="text1"/>
          <w:sz w:val="22"/>
          <w:szCs w:val="22"/>
          <w:lang w:eastAsia="es-MX"/>
        </w:rPr>
        <w:t>el</w:t>
      </w:r>
      <w:r w:rsidR="0089642C" w:rsidRPr="00D167AA">
        <w:rPr>
          <w:rFonts w:ascii="Palatino Linotype" w:hAnsi="Palatino Linotype"/>
          <w:i/>
          <w:iCs/>
          <w:color w:val="000000" w:themeColor="text1"/>
          <w:sz w:val="22"/>
          <w:szCs w:val="22"/>
          <w:lang w:eastAsia="es-MX"/>
        </w:rPr>
        <w:t xml:space="preserve"> Comité de Transparencia en el cual modifiquen la versión pública </w:t>
      </w:r>
      <w:r w:rsidR="00D167AA" w:rsidRPr="00D167AA">
        <w:rPr>
          <w:rFonts w:ascii="Palatino Linotype" w:hAnsi="Palatino Linotype"/>
          <w:i/>
          <w:iCs/>
          <w:color w:val="000000" w:themeColor="text1"/>
          <w:sz w:val="22"/>
          <w:szCs w:val="22"/>
          <w:lang w:eastAsia="es-MX"/>
        </w:rPr>
        <w:t>de los documentos que se ordenan en el párrafo anterior</w:t>
      </w:r>
      <w:r w:rsidR="0089642C" w:rsidRPr="00D167AA">
        <w:rPr>
          <w:rFonts w:ascii="Palatino Linotype" w:hAnsi="Palatino Linotype"/>
          <w:i/>
          <w:iCs/>
          <w:color w:val="000000" w:themeColor="text1"/>
          <w:sz w:val="22"/>
          <w:szCs w:val="22"/>
          <w:lang w:eastAsia="es-MX"/>
        </w:rPr>
        <w:t>.”</w:t>
      </w:r>
    </w:p>
    <w:p w:rsidR="00D167AA" w:rsidRPr="00D167AA" w:rsidRDefault="00D167AA" w:rsidP="0089642C">
      <w:pPr>
        <w:ind w:left="851" w:right="902"/>
        <w:jc w:val="both"/>
        <w:rPr>
          <w:rFonts w:ascii="Palatino Linotype" w:hAnsi="Palatino Linotype"/>
          <w:i/>
          <w:iCs/>
          <w:color w:val="000000" w:themeColor="text1"/>
          <w:sz w:val="22"/>
          <w:szCs w:val="22"/>
          <w:lang w:eastAsia="es-MX"/>
        </w:rPr>
      </w:pPr>
    </w:p>
    <w:p w:rsidR="0089642C" w:rsidRPr="00D167AA" w:rsidRDefault="0089642C" w:rsidP="008D671B">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D167AA">
        <w:rPr>
          <w:rFonts w:ascii="Palatino Linotype" w:hAnsi="Palatino Linotype"/>
          <w:b/>
          <w:szCs w:val="17"/>
          <w:lang w:eastAsia="es-ES_tradnl"/>
        </w:rPr>
        <w:t>Notifíquese</w:t>
      </w:r>
      <w:r w:rsidRPr="00D167AA">
        <w:rPr>
          <w:rFonts w:ascii="Palatino Linotype" w:hAnsi="Palatino Linotype"/>
          <w:szCs w:val="17"/>
          <w:lang w:eastAsia="es-ES_tradnl"/>
        </w:rPr>
        <w:t xml:space="preserve"> </w:t>
      </w:r>
      <w:r w:rsidRPr="00D167AA">
        <w:rPr>
          <w:rFonts w:ascii="Palatino Linotype" w:hAnsi="Palatino Linotype"/>
          <w:shd w:val="clear" w:color="auto" w:fill="FFFFFF"/>
        </w:rPr>
        <w:t xml:space="preserve">al </w:t>
      </w:r>
      <w:r w:rsidRPr="00D167AA">
        <w:rPr>
          <w:rFonts w:ascii="Palatino Linotype" w:hAnsi="Palatino Linotype" w:cs="Arial"/>
        </w:rPr>
        <w:t>Titular</w:t>
      </w:r>
      <w:r w:rsidRPr="00D167AA">
        <w:rPr>
          <w:rFonts w:ascii="Palatino Linotype" w:hAnsi="Palatino Linotype"/>
          <w:shd w:val="clear" w:color="auto" w:fill="FFFFFF"/>
        </w:rPr>
        <w:t xml:space="preserve"> de la Unidad de Transparencia del</w:t>
      </w:r>
      <w:r w:rsidRPr="00D167AA">
        <w:rPr>
          <w:rStyle w:val="apple-converted-space"/>
          <w:rFonts w:ascii="Palatino Linotype" w:hAnsi="Palatino Linotype"/>
          <w:b/>
          <w:shd w:val="clear" w:color="auto" w:fill="FFFFFF"/>
        </w:rPr>
        <w:t xml:space="preserve"> </w:t>
      </w:r>
      <w:r w:rsidRPr="00D167AA">
        <w:rPr>
          <w:rFonts w:ascii="Palatino Linotype" w:hAnsi="Palatino Linotype"/>
          <w:b/>
          <w:shd w:val="clear" w:color="auto" w:fill="FFFFFF"/>
        </w:rPr>
        <w:t>SUJETO OBLIGADO</w:t>
      </w:r>
      <w:r w:rsidRPr="00D167AA">
        <w:rPr>
          <w:rFonts w:ascii="Palatino Linotype" w:hAnsi="Palatino Linotype"/>
          <w:shd w:val="clear" w:color="auto" w:fill="FFFFFF"/>
        </w:rPr>
        <w:t xml:space="preserve"> para que, </w:t>
      </w:r>
      <w:r w:rsidRPr="00D167AA">
        <w:rPr>
          <w:rFonts w:ascii="Palatino Linotype" w:hAnsi="Palatino Linotype" w:cs="Arial"/>
        </w:rPr>
        <w:t>conforme</w:t>
      </w:r>
      <w:r w:rsidRPr="00D167AA">
        <w:rPr>
          <w:rFonts w:ascii="Palatino Linotype" w:hAnsi="Palatino Linotype"/>
          <w:shd w:val="clear" w:color="auto" w:fill="FFFFFF"/>
        </w:rPr>
        <w:t xml:space="preserve"> a los artículos 186, último párrafo y 189, párrafo segundo de la Ley de </w:t>
      </w:r>
      <w:r w:rsidRPr="00D167AA">
        <w:rPr>
          <w:rFonts w:ascii="Palatino Linotype" w:hAnsi="Palatino Linotype"/>
          <w:szCs w:val="17"/>
          <w:lang w:eastAsia="es-ES_tradnl"/>
        </w:rPr>
        <w:t>Transparencia</w:t>
      </w:r>
      <w:r w:rsidRPr="00D167AA">
        <w:rPr>
          <w:rFonts w:ascii="Palatino Linotype" w:hAnsi="Palatino Linotype"/>
          <w:shd w:val="clear" w:color="auto" w:fill="FFFFFF"/>
        </w:rPr>
        <w:t xml:space="preserve"> y </w:t>
      </w:r>
      <w:r w:rsidRPr="00D167AA">
        <w:rPr>
          <w:rFonts w:ascii="Palatino Linotype" w:hAnsi="Palatino Linotype" w:cs="Arial"/>
        </w:rPr>
        <w:t>Acceso</w:t>
      </w:r>
      <w:r w:rsidRPr="00D167AA">
        <w:rPr>
          <w:rFonts w:ascii="Palatino Linotype" w:hAnsi="Palatino Linotype"/>
          <w:shd w:val="clear" w:color="auto" w:fill="FFFFFF"/>
        </w:rPr>
        <w:t xml:space="preserve"> a la Información Pública del Estado de México y Municipios, dé </w:t>
      </w:r>
      <w:r w:rsidRPr="00D167AA">
        <w:rPr>
          <w:rFonts w:ascii="Palatino Linotype" w:hAnsi="Palatino Linotype" w:cs="Arial"/>
        </w:rPr>
        <w:t>cumplimiento</w:t>
      </w:r>
      <w:r w:rsidRPr="00D167AA">
        <w:rPr>
          <w:rFonts w:ascii="Palatino Linotype" w:hAnsi="Palatino Linotype"/>
          <w:shd w:val="clear" w:color="auto" w:fill="FFFFFF"/>
        </w:rPr>
        <w:t xml:space="preserve"> a lo ordenado dentro del plazo de diez días hábiles, debiendo informar a este Instituto en un plazo </w:t>
      </w:r>
      <w:r w:rsidRPr="00D167AA">
        <w:rPr>
          <w:rFonts w:ascii="Palatino Linotype" w:eastAsiaTheme="minorEastAsia" w:hAnsi="Palatino Linotype"/>
          <w:szCs w:val="17"/>
          <w:lang w:eastAsia="es-ES_tradnl"/>
        </w:rPr>
        <w:t>de</w:t>
      </w:r>
      <w:r w:rsidRPr="00D167AA">
        <w:rPr>
          <w:rFonts w:ascii="Palatino Linotype" w:hAnsi="Palatino Linotype"/>
          <w:shd w:val="clear" w:color="auto" w:fill="FFFFFF"/>
        </w:rPr>
        <w:t xml:space="preserve"> tres días hábiles siguientes sobre el cumplimiento dado a la resolución.</w:t>
      </w:r>
    </w:p>
    <w:p w:rsidR="0089642C" w:rsidRPr="00D167AA" w:rsidRDefault="0089642C" w:rsidP="008D671B">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D167AA">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D167AA">
        <w:rPr>
          <w:rFonts w:ascii="Palatino Linotype" w:hAnsi="Palatino Linotype"/>
          <w:b/>
          <w:szCs w:val="17"/>
          <w:lang w:eastAsia="es-ES_tradnl"/>
        </w:rPr>
        <w:t>SUJETO OBLIGADO</w:t>
      </w:r>
      <w:r w:rsidRPr="00D167AA">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89642C" w:rsidRPr="00D167AA" w:rsidRDefault="0089642C" w:rsidP="008D671B">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167AA">
        <w:rPr>
          <w:rFonts w:ascii="Palatino Linotype" w:hAnsi="Palatino Linotype"/>
          <w:b/>
          <w:szCs w:val="17"/>
          <w:lang w:eastAsia="es-ES_tradnl"/>
        </w:rPr>
        <w:t>Notifíquese</w:t>
      </w:r>
      <w:r w:rsidRPr="00D167AA">
        <w:rPr>
          <w:rFonts w:ascii="Palatino Linotype" w:hAnsi="Palatino Linotype"/>
          <w:szCs w:val="17"/>
          <w:lang w:eastAsia="es-ES_tradnl"/>
        </w:rPr>
        <w:t xml:space="preserve"> al</w:t>
      </w:r>
      <w:r w:rsidRPr="00D167AA">
        <w:rPr>
          <w:rFonts w:ascii="Palatino Linotype" w:hAnsi="Palatino Linotype" w:cs="Arial"/>
          <w:b/>
        </w:rPr>
        <w:t xml:space="preserve"> RECURRENTE</w:t>
      </w:r>
      <w:r w:rsidRPr="00D167AA">
        <w:rPr>
          <w:rFonts w:ascii="Palatino Linotype" w:hAnsi="Palatino Linotype"/>
          <w:szCs w:val="17"/>
          <w:lang w:eastAsia="es-ES_tradnl"/>
        </w:rPr>
        <w:t xml:space="preserve"> la </w:t>
      </w:r>
      <w:r w:rsidRPr="00D167AA">
        <w:rPr>
          <w:rFonts w:ascii="Palatino Linotype" w:hAnsi="Palatino Linotype" w:cs="Arial"/>
        </w:rPr>
        <w:t>presente</w:t>
      </w:r>
      <w:r w:rsidRPr="00D167AA">
        <w:rPr>
          <w:rFonts w:ascii="Palatino Linotype" w:hAnsi="Palatino Linotype"/>
          <w:szCs w:val="17"/>
          <w:lang w:eastAsia="es-ES_tradnl"/>
        </w:rPr>
        <w:t xml:space="preserve"> </w:t>
      </w:r>
      <w:r w:rsidRPr="00D167AA">
        <w:rPr>
          <w:rFonts w:ascii="Palatino Linotype" w:hAnsi="Palatino Linotype"/>
          <w:shd w:val="clear" w:color="auto" w:fill="FFFFFF"/>
        </w:rPr>
        <w:t>resolución</w:t>
      </w:r>
      <w:r w:rsidRPr="00D167AA">
        <w:rPr>
          <w:rFonts w:ascii="Palatino Linotype" w:hAnsi="Palatino Linotype"/>
          <w:szCs w:val="17"/>
          <w:lang w:eastAsia="es-ES_tradnl"/>
        </w:rPr>
        <w:t>, así como el contenido del informe justificado.</w:t>
      </w:r>
    </w:p>
    <w:p w:rsidR="0089642C" w:rsidRPr="00D167AA" w:rsidRDefault="0089642C" w:rsidP="008D671B">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167AA">
        <w:rPr>
          <w:rFonts w:ascii="Palatino Linotype" w:hAnsi="Palatino Linotype"/>
          <w:b/>
          <w:szCs w:val="17"/>
          <w:lang w:eastAsia="es-ES_tradnl"/>
        </w:rPr>
        <w:t>Hágase</w:t>
      </w:r>
      <w:r w:rsidRPr="00D167AA">
        <w:rPr>
          <w:rFonts w:ascii="Palatino Linotype" w:hAnsi="Palatino Linotype"/>
          <w:szCs w:val="17"/>
          <w:lang w:eastAsia="es-ES_tradnl"/>
        </w:rPr>
        <w:t xml:space="preserve"> </w:t>
      </w:r>
      <w:r w:rsidRPr="00D167AA">
        <w:rPr>
          <w:rFonts w:ascii="Palatino Linotype" w:hAnsi="Palatino Linotype"/>
          <w:b/>
          <w:szCs w:val="17"/>
          <w:lang w:eastAsia="es-ES_tradnl"/>
        </w:rPr>
        <w:t>del conocimiento</w:t>
      </w:r>
      <w:r w:rsidRPr="00D167AA">
        <w:rPr>
          <w:rFonts w:ascii="Palatino Linotype" w:hAnsi="Palatino Linotype"/>
          <w:szCs w:val="17"/>
          <w:lang w:eastAsia="es-ES_tradnl"/>
        </w:rPr>
        <w:t xml:space="preserve"> </w:t>
      </w:r>
      <w:r w:rsidRPr="00D167AA">
        <w:rPr>
          <w:rFonts w:ascii="Palatino Linotype" w:hAnsi="Palatino Linotype"/>
        </w:rPr>
        <w:t>del</w:t>
      </w:r>
      <w:r w:rsidRPr="00D167AA">
        <w:rPr>
          <w:rFonts w:ascii="Palatino Linotype" w:hAnsi="Palatino Linotype" w:cs="Arial"/>
          <w:b/>
        </w:rPr>
        <w:t xml:space="preserve"> RECURRENTE</w:t>
      </w:r>
      <w:r w:rsidRPr="00D167AA">
        <w:rPr>
          <w:rFonts w:ascii="Palatino Linotype" w:hAnsi="Palatino Linotype"/>
        </w:rPr>
        <w:t xml:space="preserve"> </w:t>
      </w:r>
      <w:r w:rsidRPr="00D167AA">
        <w:rPr>
          <w:rFonts w:ascii="Palatino Linotype" w:hAnsi="Palatino Linotype"/>
          <w:szCs w:val="17"/>
          <w:lang w:eastAsia="es-ES_tradnl"/>
        </w:rPr>
        <w:t xml:space="preserve">que, de conformidad </w:t>
      </w:r>
      <w:r w:rsidRPr="00D167AA">
        <w:rPr>
          <w:rFonts w:ascii="Palatino Linotype" w:hAnsi="Palatino Linotype" w:cs="Arial"/>
        </w:rPr>
        <w:t>con</w:t>
      </w:r>
      <w:r w:rsidRPr="00D167AA">
        <w:rPr>
          <w:rFonts w:ascii="Palatino Linotype" w:hAnsi="Palatino Linotype"/>
          <w:szCs w:val="17"/>
          <w:lang w:eastAsia="es-ES_tradnl"/>
        </w:rPr>
        <w:t xml:space="preserve"> lo </w:t>
      </w:r>
      <w:r w:rsidRPr="00D167AA">
        <w:rPr>
          <w:rFonts w:ascii="Palatino Linotype" w:hAnsi="Palatino Linotype" w:cs="Arial"/>
        </w:rPr>
        <w:t>establecido</w:t>
      </w:r>
      <w:r w:rsidRPr="00D167AA">
        <w:rPr>
          <w:rFonts w:ascii="Palatino Linotype" w:hAnsi="Palatino Linotype"/>
          <w:szCs w:val="17"/>
          <w:lang w:eastAsia="es-ES_tradnl"/>
        </w:rPr>
        <w:t xml:space="preserve"> en el artículo 196 de la Ley de </w:t>
      </w:r>
      <w:r w:rsidRPr="00D167AA">
        <w:rPr>
          <w:rFonts w:ascii="Palatino Linotype" w:hAnsi="Palatino Linotype" w:cs="Arial"/>
        </w:rPr>
        <w:t>Transparencia</w:t>
      </w:r>
      <w:r w:rsidRPr="00D167AA">
        <w:rPr>
          <w:rFonts w:ascii="Palatino Linotype" w:hAnsi="Palatino Linotype"/>
          <w:szCs w:val="17"/>
          <w:lang w:eastAsia="es-ES_tradnl"/>
        </w:rPr>
        <w:t xml:space="preserve"> y </w:t>
      </w:r>
      <w:r w:rsidRPr="00D167AA">
        <w:rPr>
          <w:rFonts w:ascii="Palatino Linotype" w:hAnsi="Palatino Linotype" w:cs="Arial"/>
        </w:rPr>
        <w:t>Acceso</w:t>
      </w:r>
      <w:r w:rsidRPr="00D167AA">
        <w:rPr>
          <w:rFonts w:ascii="Palatino Linotype" w:hAnsi="Palatino Linotype"/>
          <w:szCs w:val="17"/>
          <w:lang w:eastAsia="es-ES_tradnl"/>
        </w:rPr>
        <w:t xml:space="preserve"> a la Información </w:t>
      </w:r>
      <w:r w:rsidRPr="00D167AA">
        <w:rPr>
          <w:rFonts w:ascii="Palatino Linotype" w:hAnsi="Palatino Linotype"/>
          <w:lang w:eastAsia="es-ES_tradnl"/>
        </w:rPr>
        <w:t>Pública</w:t>
      </w:r>
      <w:r w:rsidRPr="00D167AA">
        <w:rPr>
          <w:rFonts w:ascii="Palatino Linotype" w:hAnsi="Palatino Linotype"/>
          <w:szCs w:val="17"/>
          <w:lang w:eastAsia="es-ES_tradnl"/>
        </w:rPr>
        <w:t xml:space="preserve"> del Estado de México y Municipios, podrá impugnarla vía Juicio de Amparo en los términos de las leyes aplicables.</w:t>
      </w:r>
    </w:p>
    <w:p w:rsidR="0089642C" w:rsidRDefault="0089642C" w:rsidP="0089642C">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ASÍ LO RESUELVE, </w:t>
      </w:r>
      <w:r w:rsidRPr="00B64F34">
        <w:rPr>
          <w:rFonts w:ascii="Palatino Linotype" w:hAnsi="Palatino Linotype" w:cs="Arial"/>
        </w:rPr>
        <w:t>POR UNANIMIDAD DE</w:t>
      </w:r>
      <w:r w:rsidRPr="00F26BCD">
        <w:rPr>
          <w:rFonts w:ascii="Palatino Linotype" w:hAnsi="Palatino Linotype" w:cs="Arial"/>
        </w:rPr>
        <w:t xml:space="preserve"> VOTOS EL PLENO DEL</w:t>
      </w:r>
      <w:r w:rsidRPr="00F26BCD">
        <w:rPr>
          <w:rFonts w:ascii="Palatino Linotype" w:eastAsia="Arial Unicode MS" w:hAnsi="Palatino Linotype" w:cs="Arial"/>
        </w:rPr>
        <w:t xml:space="preserve"> INSTITUTO DE </w:t>
      </w:r>
      <w:r w:rsidRPr="00F26BCD">
        <w:rPr>
          <w:rFonts w:ascii="Palatino Linotype" w:hAnsi="Palatino Linotype"/>
          <w:lang w:eastAsia="en-US"/>
        </w:rPr>
        <w:t>TRANSPARENCIA</w:t>
      </w:r>
      <w:r w:rsidRPr="00F26BCD">
        <w:rPr>
          <w:rFonts w:ascii="Palatino Linotype" w:eastAsia="Arial Unicode MS" w:hAnsi="Palatino Linotype" w:cs="Arial"/>
        </w:rPr>
        <w:t>, ACCESO A LA INFORMACIÓN PÚBLICA Y PROTECCIÓN DE DATOS PERSONALES DEL ESTADO DE MÉXICO Y MUNICIPIOS</w:t>
      </w:r>
      <w:r w:rsidRPr="00F26BCD">
        <w:rPr>
          <w:rFonts w:ascii="Palatino Linotype" w:hAnsi="Palatino Linotype" w:cs="Arial"/>
        </w:rPr>
        <w:t>, CONFORMADO POR LOS COMISIONADOS ZULEMA MARTÍNEZ SÁNCHEZ; EVA ABAID YAPUR; JOSÉ GUADALUPE LUNA HERNÁNDEZ; JAVIER MARTÍNEZ CRUZ Y LUIS GUSTAVO PARRA NORIEG</w:t>
      </w:r>
      <w:r w:rsidRPr="00A23404">
        <w:rPr>
          <w:rFonts w:ascii="Palatino Linotype" w:hAnsi="Palatino Linotype" w:cs="Arial"/>
        </w:rPr>
        <w:t>A</w:t>
      </w:r>
      <w:r w:rsidR="00B64F34">
        <w:rPr>
          <w:rFonts w:ascii="Palatino Linotype" w:hAnsi="Palatino Linotype" w:cs="Arial"/>
        </w:rPr>
        <w:t xml:space="preserve"> EMITIENDO VOTO PARTICULAR</w:t>
      </w:r>
      <w:r w:rsidRPr="00A23404">
        <w:rPr>
          <w:rFonts w:ascii="Palatino Linotype" w:hAnsi="Palatino Linotype" w:cs="Arial"/>
        </w:rPr>
        <w:t>; EN</w:t>
      </w:r>
      <w:r w:rsidRPr="00A23404">
        <w:rPr>
          <w:rFonts w:ascii="Palatino Linotype" w:hAnsi="Palatino Linotype" w:cs="Arial"/>
          <w:shd w:val="clear" w:color="auto" w:fill="FFFFFF" w:themeFill="background1"/>
        </w:rPr>
        <w:t xml:space="preserve"> LA </w:t>
      </w:r>
      <w:r w:rsidRPr="00A23404">
        <w:rPr>
          <w:rFonts w:ascii="Palatino Linotype" w:hAnsi="Palatino Linotype" w:cs="Arial"/>
        </w:rPr>
        <w:t>DÉCIMA SÉPTIMA SESIÓN ORDINARIA CELEBRADA EL DÍA NUEV</w:t>
      </w:r>
      <w:r>
        <w:rPr>
          <w:rFonts w:ascii="Palatino Linotype" w:hAnsi="Palatino Linotype" w:cs="Arial"/>
        </w:rPr>
        <w:t>E DE SEPTIEMBRE DE DOS MIL VEINTE</w:t>
      </w:r>
      <w:r w:rsidRPr="00F26BCD">
        <w:rPr>
          <w:rFonts w:ascii="Palatino Linotype" w:hAnsi="Palatino Linotype" w:cs="Arial"/>
        </w:rPr>
        <w:t>, ANTE EL SECRETARIO TÉCNICO DEL PLENO, ALEXIS TAPIA RAMÍREZ.</w:t>
      </w:r>
    </w:p>
    <w:tbl>
      <w:tblPr>
        <w:tblW w:w="9214" w:type="dxa"/>
        <w:jc w:val="center"/>
        <w:tblLayout w:type="fixed"/>
        <w:tblLook w:val="04A0"/>
      </w:tblPr>
      <w:tblGrid>
        <w:gridCol w:w="4756"/>
        <w:gridCol w:w="4458"/>
      </w:tblGrid>
      <w:tr w:rsidR="0089642C" w:rsidRPr="00F26BCD">
        <w:trPr>
          <w:jc w:val="center"/>
        </w:trPr>
        <w:tc>
          <w:tcPr>
            <w:tcW w:w="9214" w:type="dxa"/>
            <w:gridSpan w:val="2"/>
            <w:shd w:val="clear" w:color="auto" w:fill="auto"/>
          </w:tcPr>
          <w:p w:rsidR="00A23404" w:rsidRDefault="00A23404" w:rsidP="00341B70">
            <w:pPr>
              <w:jc w:val="center"/>
              <w:rPr>
                <w:rFonts w:ascii="Palatino Linotype" w:hAnsi="Palatino Linotype" w:cs="Arial"/>
                <w:b/>
                <w:lang w:val="es-ES_tradnl"/>
              </w:rPr>
            </w:pPr>
          </w:p>
          <w:p w:rsidR="00A23404" w:rsidRDefault="00A23404" w:rsidP="00341B70">
            <w:pPr>
              <w:jc w:val="center"/>
              <w:rPr>
                <w:rFonts w:ascii="Palatino Linotype" w:hAnsi="Palatino Linotype" w:cs="Arial"/>
                <w:b/>
                <w:lang w:val="es-ES_tradnl"/>
              </w:rPr>
            </w:pPr>
          </w:p>
          <w:p w:rsidR="00A23404" w:rsidRDefault="00A23404" w:rsidP="00341B70">
            <w:pPr>
              <w:jc w:val="center"/>
              <w:rPr>
                <w:rFonts w:ascii="Palatino Linotype" w:hAnsi="Palatino Linotype" w:cs="Arial"/>
                <w:b/>
                <w:lang w:val="es-ES_tradnl"/>
              </w:rPr>
            </w:pPr>
          </w:p>
          <w:p w:rsidR="0089642C" w:rsidRPr="00F26BCD" w:rsidRDefault="0089642C" w:rsidP="00341B70">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89642C" w:rsidRPr="00F26BCD" w:rsidRDefault="0089642C" w:rsidP="00341B70">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89642C" w:rsidRPr="00F26BCD" w:rsidRDefault="0089642C" w:rsidP="00A2340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9642C" w:rsidRPr="00F26BCD">
        <w:trPr>
          <w:jc w:val="center"/>
        </w:trPr>
        <w:tc>
          <w:tcPr>
            <w:tcW w:w="4756" w:type="dxa"/>
            <w:shd w:val="clear" w:color="auto" w:fill="auto"/>
          </w:tcPr>
          <w:p w:rsidR="00A23404" w:rsidRDefault="00A23404" w:rsidP="00341B70">
            <w:pPr>
              <w:jc w:val="center"/>
              <w:rPr>
                <w:rFonts w:ascii="Palatino Linotype" w:hAnsi="Palatino Linotype" w:cs="Arial"/>
                <w:b/>
                <w:lang w:val="es-ES_tradnl"/>
              </w:rPr>
            </w:pPr>
          </w:p>
          <w:p w:rsidR="00A23404" w:rsidRDefault="00A23404" w:rsidP="00341B70">
            <w:pPr>
              <w:jc w:val="center"/>
              <w:rPr>
                <w:rFonts w:ascii="Palatino Linotype" w:hAnsi="Palatino Linotype" w:cs="Arial"/>
                <w:b/>
                <w:lang w:val="es-ES_tradnl"/>
              </w:rPr>
            </w:pPr>
          </w:p>
          <w:p w:rsidR="00A23404" w:rsidRDefault="00A23404" w:rsidP="00341B70">
            <w:pPr>
              <w:jc w:val="center"/>
              <w:rPr>
                <w:rFonts w:ascii="Palatino Linotype" w:hAnsi="Palatino Linotype" w:cs="Arial"/>
                <w:b/>
                <w:lang w:val="es-ES_tradnl"/>
              </w:rPr>
            </w:pPr>
          </w:p>
          <w:p w:rsidR="0089642C" w:rsidRPr="00F26BCD" w:rsidRDefault="0089642C" w:rsidP="00341B70">
            <w:pPr>
              <w:jc w:val="center"/>
              <w:rPr>
                <w:rFonts w:ascii="Palatino Linotype" w:hAnsi="Palatino Linotype" w:cs="Arial"/>
                <w:b/>
                <w:lang w:val="es-ES_tradnl"/>
              </w:rPr>
            </w:pPr>
            <w:r w:rsidRPr="00F26BCD">
              <w:rPr>
                <w:rFonts w:ascii="Palatino Linotype" w:hAnsi="Palatino Linotype" w:cs="Arial"/>
                <w:b/>
                <w:lang w:val="es-ES_tradnl"/>
              </w:rPr>
              <w:t xml:space="preserve">Eva </w:t>
            </w:r>
            <w:proofErr w:type="spellStart"/>
            <w:r w:rsidRPr="00F26BCD">
              <w:rPr>
                <w:rFonts w:ascii="Palatino Linotype" w:hAnsi="Palatino Linotype" w:cs="Arial"/>
                <w:b/>
                <w:lang w:val="es-ES_tradnl"/>
              </w:rPr>
              <w:t>Abaid</w:t>
            </w:r>
            <w:proofErr w:type="spellEnd"/>
            <w:r w:rsidRPr="00F26BCD">
              <w:rPr>
                <w:rFonts w:ascii="Palatino Linotype" w:hAnsi="Palatino Linotype" w:cs="Arial"/>
                <w:b/>
                <w:lang w:val="es-ES_tradnl"/>
              </w:rPr>
              <w:t xml:space="preserve"> </w:t>
            </w:r>
            <w:proofErr w:type="spellStart"/>
            <w:r w:rsidRPr="00F26BCD">
              <w:rPr>
                <w:rFonts w:ascii="Palatino Linotype" w:hAnsi="Palatino Linotype" w:cs="Arial"/>
                <w:b/>
                <w:lang w:val="es-ES_tradnl"/>
              </w:rPr>
              <w:t>Yapur</w:t>
            </w:r>
            <w:proofErr w:type="spellEnd"/>
          </w:p>
          <w:p w:rsidR="0089642C" w:rsidRPr="00F26BCD" w:rsidRDefault="0089642C" w:rsidP="00341B70">
            <w:pPr>
              <w:jc w:val="center"/>
              <w:rPr>
                <w:rFonts w:ascii="Palatino Linotype" w:hAnsi="Palatino Linotype" w:cs="Arial"/>
                <w:lang w:val="es-ES_tradnl"/>
              </w:rPr>
            </w:pPr>
            <w:r w:rsidRPr="00F26BCD">
              <w:rPr>
                <w:rFonts w:ascii="Palatino Linotype" w:hAnsi="Palatino Linotype" w:cs="Arial"/>
                <w:lang w:val="es-ES_tradnl"/>
              </w:rPr>
              <w:t>Comisionada</w:t>
            </w:r>
          </w:p>
          <w:p w:rsidR="0089642C" w:rsidRPr="00F26BCD" w:rsidRDefault="0089642C" w:rsidP="00341B70">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A23404" w:rsidRDefault="00A23404" w:rsidP="00341B70">
            <w:pPr>
              <w:jc w:val="center"/>
              <w:rPr>
                <w:rFonts w:ascii="Palatino Linotype" w:hAnsi="Palatino Linotype" w:cs="Arial"/>
                <w:b/>
                <w:lang w:val="es-ES_tradnl"/>
              </w:rPr>
            </w:pPr>
          </w:p>
          <w:p w:rsidR="00A23404" w:rsidRDefault="00A23404" w:rsidP="00341B70">
            <w:pPr>
              <w:jc w:val="center"/>
              <w:rPr>
                <w:rFonts w:ascii="Palatino Linotype" w:hAnsi="Palatino Linotype" w:cs="Arial"/>
                <w:b/>
                <w:lang w:val="es-ES_tradnl"/>
              </w:rPr>
            </w:pPr>
          </w:p>
          <w:p w:rsidR="00A23404" w:rsidRDefault="00A23404" w:rsidP="00341B70">
            <w:pPr>
              <w:jc w:val="center"/>
              <w:rPr>
                <w:rFonts w:ascii="Palatino Linotype" w:hAnsi="Palatino Linotype" w:cs="Arial"/>
                <w:b/>
                <w:lang w:val="es-ES_tradnl"/>
              </w:rPr>
            </w:pPr>
          </w:p>
          <w:p w:rsidR="0089642C" w:rsidRPr="00F26BCD" w:rsidRDefault="0089642C" w:rsidP="00341B70">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89642C" w:rsidRPr="00F26BCD" w:rsidRDefault="0089642C" w:rsidP="00341B70">
            <w:pPr>
              <w:jc w:val="center"/>
              <w:rPr>
                <w:rFonts w:ascii="Palatino Linotype" w:hAnsi="Palatino Linotype" w:cs="Arial"/>
                <w:lang w:val="es-ES_tradnl"/>
              </w:rPr>
            </w:pPr>
            <w:r w:rsidRPr="00F26BCD">
              <w:rPr>
                <w:rFonts w:ascii="Palatino Linotype" w:hAnsi="Palatino Linotype" w:cs="Arial"/>
                <w:lang w:val="es-ES_tradnl"/>
              </w:rPr>
              <w:t>Comisionado</w:t>
            </w:r>
          </w:p>
          <w:p w:rsidR="0089642C" w:rsidRPr="00F26BCD" w:rsidRDefault="0089642C" w:rsidP="00A2340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9642C" w:rsidRPr="00F26BCD">
        <w:trPr>
          <w:jc w:val="center"/>
        </w:trPr>
        <w:tc>
          <w:tcPr>
            <w:tcW w:w="4756" w:type="dxa"/>
            <w:shd w:val="clear" w:color="auto" w:fill="auto"/>
          </w:tcPr>
          <w:p w:rsidR="00A23404" w:rsidRDefault="00A23404" w:rsidP="00341B70">
            <w:pPr>
              <w:jc w:val="center"/>
              <w:rPr>
                <w:rFonts w:ascii="Palatino Linotype" w:hAnsi="Palatino Linotype" w:cs="Arial"/>
                <w:b/>
                <w:lang w:val="es-ES_tradnl"/>
              </w:rPr>
            </w:pPr>
          </w:p>
          <w:p w:rsidR="00A23404" w:rsidRDefault="00A23404" w:rsidP="00341B70">
            <w:pPr>
              <w:jc w:val="center"/>
              <w:rPr>
                <w:rFonts w:ascii="Palatino Linotype" w:hAnsi="Palatino Linotype" w:cs="Arial"/>
                <w:b/>
                <w:lang w:val="es-ES_tradnl"/>
              </w:rPr>
            </w:pPr>
          </w:p>
          <w:p w:rsidR="0089642C" w:rsidRDefault="0089642C" w:rsidP="00341B70">
            <w:pPr>
              <w:jc w:val="center"/>
              <w:rPr>
                <w:rFonts w:ascii="Palatino Linotype" w:hAnsi="Palatino Linotype" w:cs="Arial"/>
                <w:b/>
                <w:lang w:val="es-ES_tradnl"/>
              </w:rPr>
            </w:pPr>
          </w:p>
          <w:p w:rsidR="0089642C" w:rsidRPr="00F26BCD" w:rsidRDefault="0089642C" w:rsidP="00341B70">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9642C" w:rsidRPr="00F26BCD" w:rsidRDefault="0089642C" w:rsidP="00341B70">
            <w:pPr>
              <w:jc w:val="center"/>
              <w:rPr>
                <w:rFonts w:ascii="Palatino Linotype" w:hAnsi="Palatino Linotype" w:cs="Arial"/>
                <w:lang w:val="es-ES_tradnl"/>
              </w:rPr>
            </w:pPr>
            <w:r w:rsidRPr="00F26BCD">
              <w:rPr>
                <w:rFonts w:ascii="Palatino Linotype" w:hAnsi="Palatino Linotype" w:cs="Arial"/>
                <w:lang w:val="es-ES_tradnl"/>
              </w:rPr>
              <w:t>Comisionado</w:t>
            </w:r>
          </w:p>
          <w:p w:rsidR="0089642C" w:rsidRPr="00F26BCD" w:rsidRDefault="0089642C" w:rsidP="00341B70">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A23404" w:rsidRDefault="00A23404" w:rsidP="00341B70">
            <w:pPr>
              <w:jc w:val="center"/>
              <w:rPr>
                <w:rFonts w:ascii="Palatino Linotype" w:hAnsi="Palatino Linotype" w:cs="Arial"/>
                <w:b/>
                <w:lang w:val="es-ES_tradnl"/>
              </w:rPr>
            </w:pPr>
          </w:p>
          <w:p w:rsidR="00A23404" w:rsidRDefault="00A23404" w:rsidP="00341B70">
            <w:pPr>
              <w:jc w:val="center"/>
              <w:rPr>
                <w:rFonts w:ascii="Palatino Linotype" w:hAnsi="Palatino Linotype" w:cs="Arial"/>
                <w:b/>
                <w:lang w:val="es-ES_tradnl"/>
              </w:rPr>
            </w:pPr>
          </w:p>
          <w:p w:rsidR="0089642C" w:rsidRDefault="0089642C" w:rsidP="00341B70">
            <w:pPr>
              <w:jc w:val="center"/>
              <w:rPr>
                <w:rFonts w:ascii="Palatino Linotype" w:hAnsi="Palatino Linotype" w:cs="Arial"/>
                <w:b/>
                <w:lang w:val="es-ES_tradnl"/>
              </w:rPr>
            </w:pPr>
          </w:p>
          <w:p w:rsidR="0089642C" w:rsidRPr="00F26BCD" w:rsidRDefault="0089642C" w:rsidP="00341B70">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9642C" w:rsidRPr="00F26BCD" w:rsidRDefault="0089642C" w:rsidP="00341B70">
            <w:pPr>
              <w:jc w:val="center"/>
              <w:rPr>
                <w:rFonts w:ascii="Palatino Linotype" w:hAnsi="Palatino Linotype" w:cs="Arial"/>
                <w:lang w:val="es-ES_tradnl"/>
              </w:rPr>
            </w:pPr>
            <w:r w:rsidRPr="00F26BCD">
              <w:rPr>
                <w:rFonts w:ascii="Palatino Linotype" w:hAnsi="Palatino Linotype" w:cs="Arial"/>
                <w:lang w:val="es-ES_tradnl"/>
              </w:rPr>
              <w:t>Comisionado</w:t>
            </w:r>
          </w:p>
          <w:p w:rsidR="0089642C" w:rsidRPr="00F26BCD" w:rsidRDefault="0089642C" w:rsidP="00A2340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9642C" w:rsidRPr="00F26BCD">
        <w:trPr>
          <w:jc w:val="center"/>
        </w:trPr>
        <w:tc>
          <w:tcPr>
            <w:tcW w:w="9214" w:type="dxa"/>
            <w:gridSpan w:val="2"/>
            <w:shd w:val="clear" w:color="auto" w:fill="auto"/>
          </w:tcPr>
          <w:p w:rsidR="00A23404" w:rsidRDefault="00A23404" w:rsidP="00341B70">
            <w:pPr>
              <w:jc w:val="center"/>
              <w:rPr>
                <w:rFonts w:ascii="Palatino Linotype" w:hAnsi="Palatino Linotype" w:cs="Arial"/>
                <w:b/>
                <w:lang w:val="es-ES_tradnl"/>
              </w:rPr>
            </w:pPr>
          </w:p>
          <w:p w:rsidR="00A23404" w:rsidRDefault="00A23404" w:rsidP="00341B70">
            <w:pPr>
              <w:jc w:val="center"/>
              <w:rPr>
                <w:rFonts w:ascii="Palatino Linotype" w:hAnsi="Palatino Linotype" w:cs="Arial"/>
                <w:b/>
                <w:lang w:val="es-ES_tradnl"/>
              </w:rPr>
            </w:pPr>
          </w:p>
          <w:p w:rsidR="00A23404" w:rsidRDefault="00A23404" w:rsidP="00341B70">
            <w:pPr>
              <w:jc w:val="center"/>
              <w:rPr>
                <w:rFonts w:ascii="Palatino Linotype" w:hAnsi="Palatino Linotype" w:cs="Arial"/>
                <w:b/>
                <w:lang w:val="es-ES_tradnl"/>
              </w:rPr>
            </w:pPr>
          </w:p>
          <w:p w:rsidR="00A23404" w:rsidRDefault="00A23404" w:rsidP="00341B70">
            <w:pPr>
              <w:jc w:val="center"/>
              <w:rPr>
                <w:rFonts w:ascii="Palatino Linotype" w:hAnsi="Palatino Linotype" w:cs="Arial"/>
                <w:b/>
                <w:lang w:val="es-ES_tradnl"/>
              </w:rPr>
            </w:pPr>
          </w:p>
          <w:p w:rsidR="00A23404" w:rsidRDefault="00A23404" w:rsidP="00341B70">
            <w:pPr>
              <w:jc w:val="center"/>
              <w:rPr>
                <w:rFonts w:ascii="Palatino Linotype" w:hAnsi="Palatino Linotype" w:cs="Arial"/>
                <w:b/>
                <w:lang w:val="es-ES_tradnl"/>
              </w:rPr>
            </w:pPr>
          </w:p>
          <w:p w:rsidR="0089642C" w:rsidRPr="00F26BCD" w:rsidRDefault="0089642C" w:rsidP="00341B70">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9642C" w:rsidRPr="00F26BCD" w:rsidRDefault="0089642C" w:rsidP="00341B70">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9642C" w:rsidRPr="00F26BCD" w:rsidRDefault="0089642C" w:rsidP="00A2340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tc>
      </w:tr>
    </w:tbl>
    <w:p w:rsidR="00A23404" w:rsidRDefault="00A23404" w:rsidP="0089642C">
      <w:pPr>
        <w:jc w:val="both"/>
        <w:rPr>
          <w:rFonts w:ascii="Palatino Linotype" w:hAnsi="Palatino Linotype" w:cs="Arial"/>
          <w:sz w:val="22"/>
          <w:szCs w:val="22"/>
          <w:lang w:val="es-ES"/>
        </w:rPr>
      </w:pPr>
    </w:p>
    <w:p w:rsidR="0089642C" w:rsidRDefault="0089642C" w:rsidP="0089642C">
      <w:pPr>
        <w:jc w:val="both"/>
        <w:rPr>
          <w:rFonts w:ascii="Palatino Linotype" w:hAnsi="Palatino Linotype" w:cs="Arial"/>
          <w:sz w:val="22"/>
          <w:szCs w:val="22"/>
          <w:lang w:val="es-ES"/>
        </w:rPr>
      </w:pPr>
      <w:r w:rsidRPr="00F26BCD">
        <w:rPr>
          <w:rFonts w:ascii="Palatino Linotype" w:hAnsi="Palatino Linotype" w:cs="Arial"/>
          <w:sz w:val="22"/>
          <w:szCs w:val="22"/>
          <w:lang w:val="es-ES"/>
        </w:rPr>
        <w:t>Esta hoja corresponde a la resolución de fecha</w:t>
      </w:r>
      <w:r>
        <w:rPr>
          <w:rFonts w:ascii="Palatino Linotype" w:hAnsi="Palatino Linotype" w:cs="Arial"/>
          <w:sz w:val="22"/>
          <w:szCs w:val="22"/>
          <w:lang w:val="es-ES"/>
        </w:rPr>
        <w:t xml:space="preserve"> nueve de septiembre de dos mil veinte</w:t>
      </w:r>
      <w:r w:rsidRPr="00F26BCD">
        <w:rPr>
          <w:rFonts w:ascii="Palatino Linotype" w:hAnsi="Palatino Linotype" w:cs="Arial"/>
          <w:sz w:val="22"/>
          <w:szCs w:val="22"/>
          <w:lang w:val="es-ES"/>
        </w:rPr>
        <w:t xml:space="preserve">, emitida en el recurso de revisión número </w:t>
      </w:r>
      <w:r>
        <w:rPr>
          <w:rFonts w:ascii="Palatino Linotype" w:hAnsi="Palatino Linotype" w:cs="Arial"/>
          <w:sz w:val="22"/>
          <w:szCs w:val="22"/>
          <w:lang w:val="es-ES"/>
        </w:rPr>
        <w:t>01257/INFOEM/IP/RR/2020</w:t>
      </w:r>
      <w:r w:rsidRPr="00F26BCD">
        <w:rPr>
          <w:rFonts w:ascii="Palatino Linotype" w:hAnsi="Palatino Linotype" w:cs="Arial"/>
          <w:sz w:val="22"/>
          <w:szCs w:val="22"/>
          <w:lang w:val="es-ES"/>
        </w:rPr>
        <w:t xml:space="preserve">. </w:t>
      </w:r>
    </w:p>
    <w:p w:rsidR="00C34EFF" w:rsidRPr="00A23404" w:rsidRDefault="0089642C" w:rsidP="00A23404">
      <w:pPr>
        <w:jc w:val="both"/>
        <w:rPr>
          <w:rFonts w:ascii="Palatino Linotype" w:hAnsi="Palatino Linotype" w:cs="Arial"/>
          <w:sz w:val="22"/>
          <w:szCs w:val="22"/>
          <w:lang w:val="es-ES"/>
        </w:rPr>
      </w:pPr>
      <w:r w:rsidRPr="00F26BCD">
        <w:rPr>
          <w:rFonts w:ascii="Palatino Linotype" w:hAnsi="Palatino Linotype" w:cs="Arial"/>
          <w:sz w:val="22"/>
          <w:szCs w:val="22"/>
          <w:lang w:val="es-ES"/>
        </w:rPr>
        <w:t>YSM/CBO</w:t>
      </w:r>
    </w:p>
    <w:sectPr w:rsidR="00C34EFF" w:rsidRPr="00A23404" w:rsidSect="006957B1">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11069C" w:rsidRDefault="0011069C" w:rsidP="00C80F8C">
      <w:r>
        <w:separator/>
      </w:r>
    </w:p>
  </w:endnote>
  <w:endnote w:type="continuationSeparator" w:id="1">
    <w:p w:rsidR="0011069C" w:rsidRDefault="0011069C" w:rsidP="00C80F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Palatino Linotype">
    <w:panose1 w:val="0204050205050503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Lucida Grande">
    <w:altName w:val="Arial"/>
    <w:panose1 w:val="05000000000000000000"/>
    <w:charset w:val="00"/>
    <w:family w:val="auto"/>
    <w:pitch w:val="variable"/>
    <w:sig w:usb0="00000000"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Liberation Serif">
    <w:altName w:val="Times New Roman"/>
    <w:charset w:val="01"/>
    <w:family w:val="roman"/>
    <w:pitch w:val="variable"/>
    <w:sig w:usb0="00000000" w:usb1="00000000" w:usb2="00000000" w:usb3="00000000" w:csb0="00000000" w:csb1="00000000"/>
  </w:font>
  <w:font w:name="DejaVu Sans">
    <w:altName w:val="Times New Roman"/>
    <w:panose1 w:val="00000000000000000000"/>
    <w:charset w:val="00"/>
    <w:family w:val="roman"/>
    <w:notTrueType/>
    <w:pitch w:val="default"/>
    <w:sig w:usb0="00000000" w:usb1="00000000" w:usb2="00000000" w:usb3="00000000" w:csb0="00000000" w:csb1="00000000"/>
  </w:font>
  <w:font w:name="Lohit Hindi">
    <w:altName w:val="Times New Roman"/>
    <w:panose1 w:val="00000000000000000000"/>
    <w:charset w:val="00"/>
    <w:family w:val="roman"/>
    <w:notTrueType/>
    <w:pitch w:val="default"/>
    <w:sig w:usb0="00000000" w:usb1="00000000" w:usb2="00000000" w:usb3="00000000" w:csb0="00000000" w:csb1="00000000"/>
  </w:font>
  <w:font w:name="Helvetica">
    <w:panose1 w:val="00000000000000000000"/>
    <w:charset w:val="4D"/>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sig w:usb0="00000000" w:usb1="00000000" w:usb2="00000000" w:usb3="00000000" w:csb0="0000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03F70" w:rsidRPr="0010196A" w:rsidRDefault="00E03F7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531402"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531402" w:rsidRPr="0010196A">
      <w:rPr>
        <w:rFonts w:ascii="Palatino Linotype" w:hAnsi="Palatino Linotype" w:cs="Arial"/>
        <w:bCs/>
        <w:sz w:val="22"/>
        <w:szCs w:val="22"/>
      </w:rPr>
      <w:fldChar w:fldCharType="separate"/>
    </w:r>
    <w:r w:rsidR="00B64F34">
      <w:rPr>
        <w:rFonts w:ascii="Palatino Linotype" w:hAnsi="Palatino Linotype" w:cs="Arial"/>
        <w:bCs/>
        <w:noProof/>
        <w:sz w:val="22"/>
        <w:szCs w:val="22"/>
      </w:rPr>
      <w:t>58</w:t>
    </w:r>
    <w:r w:rsidR="00531402"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531402"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531402" w:rsidRPr="0010196A">
      <w:rPr>
        <w:rFonts w:ascii="Palatino Linotype" w:hAnsi="Palatino Linotype" w:cs="Arial"/>
        <w:bCs/>
        <w:sz w:val="22"/>
        <w:szCs w:val="22"/>
      </w:rPr>
      <w:fldChar w:fldCharType="separate"/>
    </w:r>
    <w:r w:rsidR="00B64F34">
      <w:rPr>
        <w:rFonts w:ascii="Palatino Linotype" w:hAnsi="Palatino Linotype" w:cs="Arial"/>
        <w:bCs/>
        <w:noProof/>
        <w:sz w:val="22"/>
        <w:szCs w:val="22"/>
      </w:rPr>
      <w:t>59</w:t>
    </w:r>
    <w:r w:rsidR="00531402" w:rsidRPr="0010196A">
      <w:rPr>
        <w:rFonts w:ascii="Palatino Linotype" w:hAnsi="Palatino Linotype" w:cs="Arial"/>
        <w:bCs/>
        <w:sz w:val="22"/>
        <w:szCs w:val="22"/>
      </w:rPr>
      <w:fldChar w:fldCharType="end"/>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03F70" w:rsidRPr="0010196A" w:rsidRDefault="00E03F7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531402"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531402" w:rsidRPr="0010196A">
      <w:rPr>
        <w:rFonts w:ascii="Palatino Linotype" w:hAnsi="Palatino Linotype" w:cs="Arial"/>
        <w:bCs/>
        <w:sz w:val="22"/>
        <w:szCs w:val="22"/>
      </w:rPr>
      <w:fldChar w:fldCharType="separate"/>
    </w:r>
    <w:r w:rsidR="00B64F34">
      <w:rPr>
        <w:rFonts w:ascii="Palatino Linotype" w:hAnsi="Palatino Linotype" w:cs="Arial"/>
        <w:bCs/>
        <w:noProof/>
        <w:sz w:val="22"/>
        <w:szCs w:val="22"/>
      </w:rPr>
      <w:t>1</w:t>
    </w:r>
    <w:r w:rsidR="00531402"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531402"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531402" w:rsidRPr="0010196A">
      <w:rPr>
        <w:rFonts w:ascii="Palatino Linotype" w:hAnsi="Palatino Linotype" w:cs="Arial"/>
        <w:bCs/>
        <w:sz w:val="22"/>
        <w:szCs w:val="22"/>
      </w:rPr>
      <w:fldChar w:fldCharType="separate"/>
    </w:r>
    <w:r w:rsidR="00B64F34">
      <w:rPr>
        <w:rFonts w:ascii="Palatino Linotype" w:hAnsi="Palatino Linotype" w:cs="Arial"/>
        <w:bCs/>
        <w:noProof/>
        <w:sz w:val="22"/>
        <w:szCs w:val="22"/>
      </w:rPr>
      <w:t>3</w:t>
    </w:r>
    <w:r w:rsidR="00531402" w:rsidRPr="0010196A">
      <w:rPr>
        <w:rFonts w:ascii="Palatino Linotype" w:hAnsi="Palatino Linotype" w:cs="Arial"/>
        <w:bCs/>
        <w:sz w:val="22"/>
        <w:szCs w:val="22"/>
      </w:rPr>
      <w:fldChar w:fldCharType="end"/>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11069C" w:rsidRDefault="0011069C" w:rsidP="00C80F8C">
      <w:r>
        <w:separator/>
      </w:r>
    </w:p>
  </w:footnote>
  <w:footnote w:type="continuationSeparator" w:id="1">
    <w:p w:rsidR="0011069C" w:rsidRDefault="0011069C" w:rsidP="00C80F8C">
      <w:r>
        <w:continuationSeparator/>
      </w:r>
    </w:p>
  </w:footnote>
  <w:footnote w:id="2">
    <w:p w:rsidR="0089642C" w:rsidRDefault="0089642C" w:rsidP="0089642C">
      <w:pPr>
        <w:pStyle w:val="Textonotapie"/>
        <w:jc w:val="both"/>
        <w:rPr>
          <w:rFonts w:ascii="Palatino Linotype" w:hAnsi="Palatino Linotype"/>
        </w:rPr>
      </w:pPr>
      <w:r>
        <w:rPr>
          <w:rStyle w:val="Refdenotaalpie"/>
        </w:rPr>
        <w:footnoteRef/>
      </w:r>
      <w:r>
        <w:t xml:space="preserve"> </w:t>
      </w:r>
      <w:r w:rsidRPr="003620A4">
        <w:rPr>
          <w:rFonts w:ascii="Palatino Linotype" w:hAnsi="Palatino Linotype"/>
        </w:rPr>
        <w:t xml:space="preserve">De conformidad con la información publicada por </w:t>
      </w:r>
      <w:r w:rsidRPr="003620A4">
        <w:rPr>
          <w:rFonts w:ascii="Palatino Linotype" w:hAnsi="Palatino Linotype"/>
          <w:b/>
        </w:rPr>
        <w:t>EL SUJETO OBLIGADO</w:t>
      </w:r>
      <w:r w:rsidRPr="003620A4">
        <w:rPr>
          <w:rFonts w:ascii="Palatino Linotype" w:hAnsi="Palatino Linotype"/>
        </w:rPr>
        <w:t xml:space="preserve"> en su Portal de Información Pública de Oficio Mexiquense (IPOMEX), ubicable en la siguiente liga electrónica:</w:t>
      </w:r>
    </w:p>
    <w:p w:rsidR="0089642C" w:rsidRDefault="0089642C" w:rsidP="0089642C">
      <w:pPr>
        <w:pStyle w:val="Textonotapie"/>
        <w:jc w:val="both"/>
      </w:pPr>
      <w:r w:rsidRPr="003620A4">
        <w:t>https://www.ipomex.org.mx/ipo3/lgt/indice/CDDIPUTADOS/art_92_vii.web</w:t>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03F70" w:rsidRDefault="00531402">
    <w:pPr>
      <w:pStyle w:val="Encabezado"/>
    </w:pPr>
    <w:r w:rsidRPr="00531402">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03F70" w:rsidRPr="0010196A" w:rsidRDefault="00531402" w:rsidP="00354355">
    <w:pPr>
      <w:pStyle w:val="Encabezado"/>
      <w:tabs>
        <w:tab w:val="clear" w:pos="4252"/>
        <w:tab w:val="clear" w:pos="8504"/>
        <w:tab w:val="left" w:pos="2326"/>
      </w:tabs>
      <w:rPr>
        <w:rFonts w:ascii="Palatino Linotype" w:hAnsi="Palatino Linotype"/>
        <w:sz w:val="28"/>
        <w:szCs w:val="28"/>
      </w:rPr>
    </w:pPr>
    <w:r w:rsidRPr="00531402">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tblPr>
    <w:tblGrid>
      <w:gridCol w:w="3261"/>
      <w:gridCol w:w="2551"/>
      <w:gridCol w:w="3722"/>
    </w:tblGrid>
    <w:tr w:rsidR="00E03F70" w:rsidRPr="008F2CCC">
      <w:tc>
        <w:tcPr>
          <w:tcW w:w="3261" w:type="dxa"/>
          <w:vMerge w:val="restart"/>
        </w:tcPr>
        <w:p w:rsidR="00E03F70" w:rsidRPr="008F2CCC" w:rsidRDefault="00E03F70" w:rsidP="00070856">
          <w:pPr>
            <w:rPr>
              <w:rFonts w:ascii="Palatino Linotype" w:hAnsi="Palatino Linotype"/>
              <w:b/>
              <w:sz w:val="22"/>
              <w:szCs w:val="22"/>
              <w:lang w:val="es-ES_tradnl"/>
            </w:rPr>
          </w:pPr>
          <w:r>
            <w:rPr>
              <w:rFonts w:ascii="Palatino Linotype" w:hAnsi="Palatino Linotype"/>
              <w:noProof/>
              <w:sz w:val="28"/>
              <w:szCs w:val="28"/>
              <w:lang w:val="es-ES_tradnl" w:eastAsia="es-ES_tradnl"/>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E03F70" w:rsidRPr="00664658" w:rsidRDefault="00E03F7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E03F70" w:rsidRPr="00664658" w:rsidRDefault="00E03F70" w:rsidP="005461B3">
          <w:pPr>
            <w:jc w:val="both"/>
            <w:rPr>
              <w:rFonts w:ascii="Palatino Linotype" w:hAnsi="Palatino Linotype"/>
              <w:b/>
              <w:sz w:val="22"/>
              <w:szCs w:val="22"/>
              <w:lang w:val="es-ES_tradnl"/>
            </w:rPr>
          </w:pPr>
          <w:r>
            <w:rPr>
              <w:rFonts w:ascii="Palatino Linotype" w:hAnsi="Palatino Linotype"/>
              <w:b/>
              <w:sz w:val="22"/>
              <w:szCs w:val="22"/>
              <w:lang w:val="es-ES_tradnl"/>
            </w:rPr>
            <w:t>012</w:t>
          </w:r>
          <w:r w:rsidR="005461B3">
            <w:rPr>
              <w:rFonts w:ascii="Palatino Linotype" w:hAnsi="Palatino Linotype"/>
              <w:b/>
              <w:sz w:val="22"/>
              <w:szCs w:val="22"/>
              <w:lang w:val="es-ES_tradnl"/>
            </w:rPr>
            <w:t>57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E03F70" w:rsidRPr="008F2CCC">
      <w:tc>
        <w:tcPr>
          <w:tcW w:w="3261" w:type="dxa"/>
          <w:vMerge/>
        </w:tcPr>
        <w:p w:rsidR="00E03F70" w:rsidRPr="008F2CCC" w:rsidRDefault="00E03F70" w:rsidP="00D41D47">
          <w:pPr>
            <w:rPr>
              <w:rFonts w:ascii="Palatino Linotype" w:hAnsi="Palatino Linotype"/>
              <w:b/>
              <w:sz w:val="22"/>
              <w:szCs w:val="22"/>
              <w:lang w:val="es-ES_tradnl"/>
            </w:rPr>
          </w:pPr>
        </w:p>
      </w:tc>
      <w:tc>
        <w:tcPr>
          <w:tcW w:w="2551" w:type="dxa"/>
          <w:shd w:val="clear" w:color="auto" w:fill="auto"/>
        </w:tcPr>
        <w:p w:rsidR="00E03F70" w:rsidRPr="00664658" w:rsidRDefault="00E03F70"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E03F70" w:rsidRPr="00D41D47" w:rsidRDefault="005461B3" w:rsidP="00957D35">
          <w:pPr>
            <w:jc w:val="both"/>
            <w:rPr>
              <w:rFonts w:ascii="Palatino Linotype" w:hAnsi="Palatino Linotype"/>
              <w:b/>
              <w:sz w:val="22"/>
              <w:szCs w:val="22"/>
              <w:lang w:val="es-ES_tradnl"/>
            </w:rPr>
          </w:pPr>
          <w:r w:rsidRPr="005461B3">
            <w:rPr>
              <w:rFonts w:ascii="Palatino Linotype" w:hAnsi="Palatino Linotype"/>
              <w:b/>
              <w:sz w:val="22"/>
              <w:szCs w:val="22"/>
            </w:rPr>
            <w:t>Poder Legislativo</w:t>
          </w:r>
        </w:p>
      </w:tc>
    </w:tr>
    <w:tr w:rsidR="00E03F70" w:rsidRPr="008F2CCC">
      <w:trPr>
        <w:trHeight w:val="228"/>
      </w:trPr>
      <w:tc>
        <w:tcPr>
          <w:tcW w:w="3261" w:type="dxa"/>
          <w:vMerge/>
        </w:tcPr>
        <w:p w:rsidR="00E03F70" w:rsidRPr="008F2CCC" w:rsidRDefault="00E03F70" w:rsidP="00070856">
          <w:pPr>
            <w:rPr>
              <w:rFonts w:ascii="Palatino Linotype" w:hAnsi="Palatino Linotype"/>
              <w:b/>
              <w:sz w:val="22"/>
              <w:szCs w:val="22"/>
              <w:lang w:val="es-ES_tradnl"/>
            </w:rPr>
          </w:pPr>
        </w:p>
      </w:tc>
      <w:tc>
        <w:tcPr>
          <w:tcW w:w="2551" w:type="dxa"/>
          <w:shd w:val="clear" w:color="auto" w:fill="auto"/>
        </w:tcPr>
        <w:p w:rsidR="00E03F70" w:rsidRPr="00664658" w:rsidRDefault="00E03F70"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E03F70" w:rsidRPr="00664658" w:rsidRDefault="00E03F70"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E03F70" w:rsidRPr="0010196A" w:rsidRDefault="00E03F7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03F70" w:rsidRPr="0010196A" w:rsidRDefault="00E03F70">
    <w:pPr>
      <w:rPr>
        <w:rFonts w:ascii="Palatino Linotype" w:hAnsi="Palatino Linotype"/>
        <w:sz w:val="28"/>
        <w:szCs w:val="28"/>
      </w:rPr>
    </w:pPr>
  </w:p>
  <w:tbl>
    <w:tblPr>
      <w:tblW w:w="10490" w:type="dxa"/>
      <w:tblInd w:w="-1276" w:type="dxa"/>
      <w:tblLayout w:type="fixed"/>
      <w:tblLook w:val="04A0"/>
    </w:tblPr>
    <w:tblGrid>
      <w:gridCol w:w="4253"/>
      <w:gridCol w:w="2552"/>
      <w:gridCol w:w="3685"/>
    </w:tblGrid>
    <w:tr w:rsidR="00E03F70" w:rsidRPr="008F2CCC">
      <w:tc>
        <w:tcPr>
          <w:tcW w:w="4253" w:type="dxa"/>
          <w:vMerge w:val="restart"/>
          <w:shd w:val="clear" w:color="auto" w:fill="auto"/>
        </w:tcPr>
        <w:p w:rsidR="00E03F70" w:rsidRPr="008F2CCC" w:rsidRDefault="00E03F70" w:rsidP="00A2780F">
          <w:pPr>
            <w:rPr>
              <w:rFonts w:ascii="Palatino Linotype" w:hAnsi="Palatino Linotype"/>
              <w:b/>
              <w:sz w:val="22"/>
              <w:szCs w:val="22"/>
              <w:lang w:val="es-ES_tradnl"/>
            </w:rPr>
          </w:pPr>
          <w:r>
            <w:rPr>
              <w:rFonts w:ascii="Palatino Linotype" w:hAnsi="Palatino Linotype"/>
              <w:noProof/>
              <w:sz w:val="28"/>
              <w:szCs w:val="28"/>
              <w:lang w:val="es-ES_tradnl" w:eastAsia="es-ES_tradnl"/>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E03F70" w:rsidRPr="008F2CCC" w:rsidRDefault="00E03F7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E03F70" w:rsidRPr="008F2CCC" w:rsidRDefault="00E03F70" w:rsidP="005461B3">
          <w:pPr>
            <w:jc w:val="both"/>
            <w:rPr>
              <w:rFonts w:ascii="Palatino Linotype" w:hAnsi="Palatino Linotype"/>
              <w:b/>
              <w:sz w:val="22"/>
              <w:szCs w:val="22"/>
              <w:lang w:val="es-ES_tradnl"/>
            </w:rPr>
          </w:pPr>
          <w:r>
            <w:rPr>
              <w:rFonts w:ascii="Palatino Linotype" w:hAnsi="Palatino Linotype"/>
              <w:b/>
              <w:sz w:val="22"/>
              <w:szCs w:val="22"/>
              <w:lang w:val="es-ES_tradnl"/>
            </w:rPr>
            <w:t>01</w:t>
          </w:r>
          <w:r w:rsidR="005461B3">
            <w:rPr>
              <w:rFonts w:ascii="Palatino Linotype" w:hAnsi="Palatino Linotype"/>
              <w:b/>
              <w:sz w:val="22"/>
              <w:szCs w:val="22"/>
              <w:lang w:val="es-ES_tradnl"/>
            </w:rPr>
            <w:t>257</w:t>
          </w:r>
          <w:r>
            <w:rPr>
              <w:rFonts w:ascii="Palatino Linotype" w:hAnsi="Palatino Linotype"/>
              <w:b/>
              <w:sz w:val="22"/>
              <w:szCs w:val="22"/>
              <w:lang w:val="es-ES_tradnl"/>
            </w:rPr>
            <w:t>/INFOEM/IP/RR/2020</w:t>
          </w:r>
        </w:p>
      </w:tc>
    </w:tr>
    <w:tr w:rsidR="00E03F70" w:rsidRPr="008F2CCC">
      <w:tc>
        <w:tcPr>
          <w:tcW w:w="4253" w:type="dxa"/>
          <w:vMerge/>
          <w:shd w:val="clear" w:color="auto" w:fill="auto"/>
        </w:tcPr>
        <w:p w:rsidR="00E03F70" w:rsidRPr="008F2CCC" w:rsidRDefault="00E03F70" w:rsidP="00A2780F">
          <w:pPr>
            <w:rPr>
              <w:rFonts w:ascii="Palatino Linotype" w:hAnsi="Palatino Linotype"/>
              <w:b/>
              <w:sz w:val="22"/>
              <w:szCs w:val="22"/>
              <w:lang w:val="es-ES_tradnl"/>
            </w:rPr>
          </w:pPr>
        </w:p>
      </w:tc>
      <w:tc>
        <w:tcPr>
          <w:tcW w:w="2552" w:type="dxa"/>
          <w:shd w:val="clear" w:color="auto" w:fill="auto"/>
        </w:tcPr>
        <w:p w:rsidR="00E03F70" w:rsidRPr="008F2CCC" w:rsidRDefault="00E03F7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E03F70" w:rsidRPr="008F2CCC" w:rsidRDefault="00E03F70" w:rsidP="00495809">
          <w:pPr>
            <w:jc w:val="both"/>
            <w:rPr>
              <w:rFonts w:ascii="Palatino Linotype" w:hAnsi="Palatino Linotype"/>
              <w:b/>
              <w:sz w:val="22"/>
              <w:szCs w:val="22"/>
              <w:lang w:val="es-ES_tradnl"/>
            </w:rPr>
          </w:pPr>
        </w:p>
      </w:tc>
    </w:tr>
    <w:tr w:rsidR="00E03F70" w:rsidRPr="008F2CCC">
      <w:trPr>
        <w:trHeight w:val="228"/>
      </w:trPr>
      <w:tc>
        <w:tcPr>
          <w:tcW w:w="4253" w:type="dxa"/>
          <w:vMerge/>
          <w:shd w:val="clear" w:color="auto" w:fill="auto"/>
        </w:tcPr>
        <w:p w:rsidR="00E03F70" w:rsidRPr="008F2CCC" w:rsidRDefault="00E03F70" w:rsidP="00E37C88">
          <w:pPr>
            <w:rPr>
              <w:rFonts w:ascii="Palatino Linotype" w:hAnsi="Palatino Linotype"/>
              <w:b/>
              <w:sz w:val="22"/>
              <w:szCs w:val="22"/>
              <w:lang w:val="es-ES_tradnl"/>
            </w:rPr>
          </w:pPr>
        </w:p>
      </w:tc>
      <w:tc>
        <w:tcPr>
          <w:tcW w:w="2552" w:type="dxa"/>
          <w:shd w:val="clear" w:color="auto" w:fill="auto"/>
        </w:tcPr>
        <w:p w:rsidR="00E03F70" w:rsidRPr="008F2CCC" w:rsidRDefault="00E03F7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E03F70" w:rsidRPr="00DC41C8" w:rsidRDefault="005461B3" w:rsidP="00840ECD">
          <w:pPr>
            <w:jc w:val="both"/>
            <w:rPr>
              <w:rFonts w:ascii="Palatino Linotype" w:hAnsi="Palatino Linotype"/>
              <w:b/>
              <w:sz w:val="22"/>
              <w:szCs w:val="22"/>
            </w:rPr>
          </w:pPr>
          <w:r w:rsidRPr="005461B3">
            <w:rPr>
              <w:rFonts w:ascii="Palatino Linotype" w:hAnsi="Palatino Linotype"/>
              <w:b/>
              <w:sz w:val="22"/>
              <w:szCs w:val="22"/>
            </w:rPr>
            <w:t>Poder Legislativo</w:t>
          </w:r>
        </w:p>
      </w:tc>
    </w:tr>
    <w:tr w:rsidR="00E03F70" w:rsidRPr="008F2CCC">
      <w:tc>
        <w:tcPr>
          <w:tcW w:w="4253" w:type="dxa"/>
          <w:vMerge/>
          <w:shd w:val="clear" w:color="auto" w:fill="auto"/>
        </w:tcPr>
        <w:p w:rsidR="00E03F70" w:rsidRPr="008F2CCC" w:rsidRDefault="00E03F70" w:rsidP="00A2780F">
          <w:pPr>
            <w:rPr>
              <w:rFonts w:ascii="Palatino Linotype" w:hAnsi="Palatino Linotype"/>
              <w:b/>
              <w:sz w:val="22"/>
              <w:szCs w:val="22"/>
              <w:lang w:val="es-ES_tradnl"/>
            </w:rPr>
          </w:pPr>
        </w:p>
      </w:tc>
      <w:tc>
        <w:tcPr>
          <w:tcW w:w="2552" w:type="dxa"/>
          <w:shd w:val="clear" w:color="auto" w:fill="auto"/>
        </w:tcPr>
        <w:p w:rsidR="00E03F70" w:rsidRPr="008F2CCC" w:rsidRDefault="00E03F7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E03F70" w:rsidRPr="008F2CCC" w:rsidRDefault="00E03F70"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E03F70" w:rsidRPr="0010196A" w:rsidRDefault="00531402" w:rsidP="00B8513C">
    <w:pPr>
      <w:rPr>
        <w:rFonts w:ascii="Palatino Linotype" w:hAnsi="Palatino Linotype"/>
        <w:sz w:val="28"/>
        <w:szCs w:val="28"/>
      </w:rPr>
    </w:pPr>
    <w:r w:rsidRPr="00531402">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38.15pt;margin-top:15.6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38246CEF"/>
    <w:multiLevelType w:val="hybridMultilevel"/>
    <w:tmpl w:val="D038A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B6C615A"/>
    <w:multiLevelType w:val="hybridMultilevel"/>
    <w:tmpl w:val="EEA003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6"/>
  </w:num>
  <w:num w:numId="7">
    <w:abstractNumId w:val="2"/>
  </w:num>
  <w:num w:numId="8">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oNotTrackMoves/>
  <w:defaultTabStop w:val="709"/>
  <w:hyphenationZone w:val="425"/>
  <w:characterSpacingControl w:val="doNotCompress"/>
  <w:hdrShapeDefaults>
    <o:shapedefaults v:ext="edit" spidmax="2058"/>
    <o:shapelayout v:ext="edit">
      <o:idmap v:ext="edit" data="2"/>
    </o:shapelayout>
  </w:hdrShapeDefaults>
  <w:footnotePr>
    <w:footnote w:id="0"/>
    <w:footnote w:id="1"/>
  </w:footnotePr>
  <w:endnotePr>
    <w:endnote w:id="0"/>
    <w:endnote w:id="1"/>
  </w:endnotePr>
  <w:compat>
    <w:useFELayout/>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8D2"/>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4E51"/>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39A8"/>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069C"/>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94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62E"/>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1BEE"/>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2F2"/>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020"/>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6F27"/>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923"/>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4EA7"/>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2F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23F"/>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355"/>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0ED5"/>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02"/>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1B3"/>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2F"/>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2DC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89"/>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3C3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3EE2"/>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2F2"/>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7B2"/>
    <w:rsid w:val="006D7EA2"/>
    <w:rsid w:val="006D7EEB"/>
    <w:rsid w:val="006D7F59"/>
    <w:rsid w:val="006E0836"/>
    <w:rsid w:val="006E1976"/>
    <w:rsid w:val="006E1BB0"/>
    <w:rsid w:val="006E25F7"/>
    <w:rsid w:val="006E33F7"/>
    <w:rsid w:val="006E37CA"/>
    <w:rsid w:val="006E3C33"/>
    <w:rsid w:val="006E410B"/>
    <w:rsid w:val="006E4335"/>
    <w:rsid w:val="006E44EB"/>
    <w:rsid w:val="006E4C49"/>
    <w:rsid w:val="006E55AA"/>
    <w:rsid w:val="006E5F18"/>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967"/>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8C9"/>
    <w:rsid w:val="007465F0"/>
    <w:rsid w:val="00746708"/>
    <w:rsid w:val="00747261"/>
    <w:rsid w:val="00747331"/>
    <w:rsid w:val="00747A3A"/>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FBC"/>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642C"/>
    <w:rsid w:val="00896FC7"/>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D4E"/>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71B"/>
    <w:rsid w:val="008D68C3"/>
    <w:rsid w:val="008D7678"/>
    <w:rsid w:val="008D773B"/>
    <w:rsid w:val="008D7748"/>
    <w:rsid w:val="008D7D66"/>
    <w:rsid w:val="008D7EDA"/>
    <w:rsid w:val="008D7FA9"/>
    <w:rsid w:val="008E0597"/>
    <w:rsid w:val="008E06FC"/>
    <w:rsid w:val="008E0942"/>
    <w:rsid w:val="008E0DDC"/>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A3D"/>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AE9"/>
    <w:rsid w:val="00A21B39"/>
    <w:rsid w:val="00A21C1C"/>
    <w:rsid w:val="00A21CFC"/>
    <w:rsid w:val="00A2220E"/>
    <w:rsid w:val="00A2270F"/>
    <w:rsid w:val="00A2318E"/>
    <w:rsid w:val="00A2325A"/>
    <w:rsid w:val="00A23404"/>
    <w:rsid w:val="00A23AF5"/>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88A"/>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1F13"/>
    <w:rsid w:val="00A525E0"/>
    <w:rsid w:val="00A52823"/>
    <w:rsid w:val="00A52DF0"/>
    <w:rsid w:val="00A535FE"/>
    <w:rsid w:val="00A53691"/>
    <w:rsid w:val="00A54110"/>
    <w:rsid w:val="00A550CD"/>
    <w:rsid w:val="00A55945"/>
    <w:rsid w:val="00A560FD"/>
    <w:rsid w:val="00A56129"/>
    <w:rsid w:val="00A56AE1"/>
    <w:rsid w:val="00A57335"/>
    <w:rsid w:val="00A577C2"/>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11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BF5"/>
    <w:rsid w:val="00AC5DE9"/>
    <w:rsid w:val="00AC6346"/>
    <w:rsid w:val="00AC65AA"/>
    <w:rsid w:val="00AC6A06"/>
    <w:rsid w:val="00AC70C9"/>
    <w:rsid w:val="00AC77B0"/>
    <w:rsid w:val="00AC7B97"/>
    <w:rsid w:val="00AC7C43"/>
    <w:rsid w:val="00AD042C"/>
    <w:rsid w:val="00AD0D80"/>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4D5"/>
    <w:rsid w:val="00AF6C24"/>
    <w:rsid w:val="00AF6E7F"/>
    <w:rsid w:val="00AF7575"/>
    <w:rsid w:val="00AF7949"/>
    <w:rsid w:val="00AF7A0B"/>
    <w:rsid w:val="00AF7B90"/>
    <w:rsid w:val="00B01153"/>
    <w:rsid w:val="00B01545"/>
    <w:rsid w:val="00B0168D"/>
    <w:rsid w:val="00B018E7"/>
    <w:rsid w:val="00B020EB"/>
    <w:rsid w:val="00B0244B"/>
    <w:rsid w:val="00B02B0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D89"/>
    <w:rsid w:val="00B33EC7"/>
    <w:rsid w:val="00B34C7B"/>
    <w:rsid w:val="00B35A38"/>
    <w:rsid w:val="00B35AE6"/>
    <w:rsid w:val="00B36189"/>
    <w:rsid w:val="00B36708"/>
    <w:rsid w:val="00B36DCE"/>
    <w:rsid w:val="00B37745"/>
    <w:rsid w:val="00B403B0"/>
    <w:rsid w:val="00B40665"/>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4F34"/>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79C"/>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07D"/>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A7979"/>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2E"/>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5878"/>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1FC"/>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57E"/>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269"/>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8C1"/>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7B2"/>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7AA"/>
    <w:rsid w:val="00D16CAB"/>
    <w:rsid w:val="00D16EF4"/>
    <w:rsid w:val="00D17EAC"/>
    <w:rsid w:val="00D17ECD"/>
    <w:rsid w:val="00D20212"/>
    <w:rsid w:val="00D205A3"/>
    <w:rsid w:val="00D20A11"/>
    <w:rsid w:val="00D212DF"/>
    <w:rsid w:val="00D21D91"/>
    <w:rsid w:val="00D22638"/>
    <w:rsid w:val="00D22B05"/>
    <w:rsid w:val="00D22FB9"/>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68B9"/>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B7F57"/>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9"/>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3F70"/>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04F"/>
    <w:rsid w:val="00E518FF"/>
    <w:rsid w:val="00E5222F"/>
    <w:rsid w:val="00E5239F"/>
    <w:rsid w:val="00E52DD5"/>
    <w:rsid w:val="00E5313E"/>
    <w:rsid w:val="00E53410"/>
    <w:rsid w:val="00E53498"/>
    <w:rsid w:val="00E53979"/>
    <w:rsid w:val="00E54488"/>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453"/>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974"/>
    <w:rsid w:val="00F17AC9"/>
    <w:rsid w:val="00F212DD"/>
    <w:rsid w:val="00F215F8"/>
    <w:rsid w:val="00F218FF"/>
    <w:rsid w:val="00F2244C"/>
    <w:rsid w:val="00F235BC"/>
    <w:rsid w:val="00F238F9"/>
    <w:rsid w:val="00F23A32"/>
    <w:rsid w:val="00F25009"/>
    <w:rsid w:val="00F25287"/>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3439"/>
    <w:rsid w:val="00FE435E"/>
    <w:rsid w:val="00FE47E2"/>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Wingdings 2"/>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decuerpo2">
    <w:name w:val="Body Text 2"/>
    <w:basedOn w:val="Normal"/>
    <w:link w:val="Textodecuerpo2Car"/>
    <w:uiPriority w:val="99"/>
    <w:unhideWhenUsed/>
    <w:rsid w:val="009776B8"/>
    <w:pPr>
      <w:spacing w:after="120" w:line="480" w:lineRule="auto"/>
    </w:pPr>
  </w:style>
  <w:style w:type="character" w:customStyle="1" w:styleId="Textodecuerpo2Car">
    <w:name w:val="Texto de cuerpo 2 Car"/>
    <w:basedOn w:val="Fuentedeprrafopredeter"/>
    <w:link w:val="Textodecuerpo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decuerpo">
    <w:name w:val="Body Text"/>
    <w:basedOn w:val="Normal"/>
    <w:link w:val="TextodecuerpoCar"/>
    <w:uiPriority w:val="99"/>
    <w:unhideWhenUsed/>
    <w:rsid w:val="00FC157F"/>
    <w:pPr>
      <w:spacing w:after="120"/>
    </w:pPr>
    <w:rPr>
      <w:lang w:val="es-ES"/>
    </w:rPr>
  </w:style>
  <w:style w:type="character" w:customStyle="1" w:styleId="TextodecuerpoCar">
    <w:name w:val="Texto de cuerpo Car"/>
    <w:basedOn w:val="Fuentedeprrafopredeter"/>
    <w:link w:val="Textodecuerpo"/>
    <w:uiPriority w:val="99"/>
    <w:rsid w:val="00FC157F"/>
    <w:rPr>
      <w:rFonts w:ascii="Times New Roman" w:eastAsia="Times New Roman" w:hAnsi="Times New Roman" w:cs="Times New Roman"/>
      <w:lang w:val="es-ES"/>
    </w:rPr>
  </w:style>
  <w:style w:type="paragraph" w:styleId="Sangradetdecuerpo">
    <w:name w:val="Body Text Indent"/>
    <w:basedOn w:val="Normal"/>
    <w:link w:val="SangradetdecuerpoCar"/>
    <w:uiPriority w:val="99"/>
    <w:unhideWhenUsed/>
    <w:rsid w:val="00FC157F"/>
    <w:pPr>
      <w:spacing w:after="120"/>
      <w:ind w:left="283"/>
    </w:pPr>
    <w:rPr>
      <w:lang w:val="es-ES"/>
    </w:rPr>
  </w:style>
  <w:style w:type="character" w:customStyle="1" w:styleId="SangradetdecuerpoCar">
    <w:name w:val="Sangría de t. de cuerpo Car"/>
    <w:basedOn w:val="Fuentedeprrafopredeter"/>
    <w:link w:val="Sangradetdecuerpo"/>
    <w:uiPriority w:val="99"/>
    <w:rsid w:val="00FC157F"/>
    <w:rPr>
      <w:rFonts w:ascii="Times New Roman" w:eastAsia="Times New Roman" w:hAnsi="Times New Roman" w:cs="Times New Roman"/>
      <w:lang w:val="es-ES"/>
    </w:rPr>
  </w:style>
  <w:style w:type="paragraph" w:styleId="Textodecuerpo1sangra2">
    <w:name w:val="Body Text First Indent 2"/>
    <w:basedOn w:val="Sangradetdecuerpo"/>
    <w:link w:val="Textodecuerpo1sangra2Car"/>
    <w:uiPriority w:val="99"/>
    <w:unhideWhenUsed/>
    <w:rsid w:val="00FC157F"/>
    <w:pPr>
      <w:spacing w:after="0"/>
      <w:ind w:left="360" w:firstLine="360"/>
    </w:pPr>
  </w:style>
  <w:style w:type="character" w:customStyle="1" w:styleId="Textodecuerpo1sangra2Car">
    <w:name w:val="Texto de cuerpo 1ª sangría 2 Car"/>
    <w:basedOn w:val="SangradetdecuerpoCar"/>
    <w:link w:val="Textodecuerpo1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6E5F18"/>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6E5F18"/>
  </w:style>
  <w:style w:type="paragraph" w:styleId="Textodecuerpo3">
    <w:name w:val="Body Text 3"/>
    <w:basedOn w:val="Normal"/>
    <w:link w:val="Textodecuerpo3Car"/>
    <w:uiPriority w:val="99"/>
    <w:semiHidden/>
    <w:unhideWhenUsed/>
    <w:rsid w:val="006E5F18"/>
    <w:pPr>
      <w:spacing w:after="120"/>
    </w:pPr>
    <w:rPr>
      <w:sz w:val="16"/>
      <w:szCs w:val="16"/>
    </w:rPr>
  </w:style>
  <w:style w:type="character" w:customStyle="1" w:styleId="Textodecuerpo3Car">
    <w:name w:val="Texto de cuerpo 3 Car"/>
    <w:basedOn w:val="Fuentedeprrafopredeter"/>
    <w:link w:val="Textodecuerpo3"/>
    <w:uiPriority w:val="99"/>
    <w:semiHidden/>
    <w:rsid w:val="006E5F18"/>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6E5F18"/>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6E5F18"/>
  </w:style>
  <w:style w:type="numbering" w:customStyle="1" w:styleId="Sinlista2">
    <w:name w:val="Sin lista2"/>
    <w:next w:val="Sinlista"/>
    <w:uiPriority w:val="99"/>
    <w:semiHidden/>
    <w:unhideWhenUsed/>
    <w:rsid w:val="006E5F18"/>
  </w:style>
  <w:style w:type="numbering" w:customStyle="1" w:styleId="Sinlista3">
    <w:name w:val="Sin lista3"/>
    <w:next w:val="Sinlista"/>
    <w:uiPriority w:val="99"/>
    <w:semiHidden/>
    <w:unhideWhenUsed/>
    <w:rsid w:val="006E5F18"/>
  </w:style>
  <w:style w:type="table" w:customStyle="1" w:styleId="Tablaconcuadrcula3">
    <w:name w:val="Tabla con cuadrícula3"/>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6E5F18"/>
  </w:style>
  <w:style w:type="table" w:customStyle="1" w:styleId="Tablaconcuadrcula4">
    <w:name w:val="Tabla con cuadrícula4"/>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
    <w:name w:val="Tabla con cuadrícula1115"/>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1">
    <w:name w:val="Tabla con cuadrícula1115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39"/>
    <w:rsid w:val="006E5F18"/>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next w:val="Tablaconcuadrcula"/>
    <w:uiPriority w:val="39"/>
    <w:rsid w:val="006E5F18"/>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1">
    <w:name w:val="Tabla con cuadrícula11112111"/>
    <w:basedOn w:val="Tablanormal"/>
    <w:next w:val="Tablaconcuadrcula"/>
    <w:uiPriority w:val="39"/>
    <w:rsid w:val="0089642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header" Target="header3.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 Id="rId2"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BE0F0-FBFD-4861-B3DA-BB0E66516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58</Pages>
  <Words>10954</Words>
  <Characters>62441</Characters>
  <Application>Microsoft Word 12.0.0</Application>
  <DocSecurity>0</DocSecurity>
  <Lines>520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cp:lastModifiedBy>
  <cp:revision>6</cp:revision>
  <cp:lastPrinted>2020-01-22T19:55:00Z</cp:lastPrinted>
  <dcterms:created xsi:type="dcterms:W3CDTF">2020-09-03T23:57:00Z</dcterms:created>
  <dcterms:modified xsi:type="dcterms:W3CDTF">2020-09-10T13:57:00Z</dcterms:modified>
</cp:coreProperties>
</file>