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01" w:rsidRPr="006315EA" w:rsidRDefault="00AC5A01" w:rsidP="00FC240E">
      <w:pPr>
        <w:shd w:val="clear" w:color="auto" w:fill="FFFFFF"/>
        <w:spacing w:after="0" w:line="360" w:lineRule="auto"/>
        <w:jc w:val="both"/>
        <w:rPr>
          <w:rFonts w:ascii="Palatino Linotype" w:eastAsia="Times New Roman" w:hAnsi="Palatino Linotype" w:cs="Arial"/>
          <w:color w:val="000000"/>
          <w:sz w:val="24"/>
          <w:szCs w:val="24"/>
          <w:lang w:eastAsia="es-MX"/>
        </w:rPr>
      </w:pPr>
      <w:r w:rsidRPr="006315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D1E82">
        <w:rPr>
          <w:rFonts w:ascii="Palatino Linotype" w:eastAsia="Times New Roman" w:hAnsi="Palatino Linotype" w:cs="Arial"/>
          <w:color w:val="000000"/>
          <w:sz w:val="24"/>
          <w:szCs w:val="24"/>
          <w:lang w:eastAsia="es-MX"/>
        </w:rPr>
        <w:t>veintiuno</w:t>
      </w:r>
      <w:r w:rsidR="002A6E16">
        <w:rPr>
          <w:rFonts w:ascii="Palatino Linotype" w:eastAsia="Times New Roman" w:hAnsi="Palatino Linotype" w:cs="Arial"/>
          <w:color w:val="000000"/>
          <w:sz w:val="24"/>
          <w:szCs w:val="24"/>
          <w:lang w:eastAsia="es-MX"/>
        </w:rPr>
        <w:t xml:space="preserve"> de abril de dos mil veintiuno. </w:t>
      </w:r>
    </w:p>
    <w:p w:rsidR="00AC5A01" w:rsidRPr="006315EA" w:rsidRDefault="00AC5A01" w:rsidP="00FC240E">
      <w:pPr>
        <w:pStyle w:val="Sinespaciado"/>
        <w:ind w:left="708" w:hanging="708"/>
        <w:jc w:val="right"/>
        <w:rPr>
          <w:rFonts w:ascii="Palatino Linotype" w:hAnsi="Palatino Linotype"/>
        </w:rPr>
      </w:pPr>
    </w:p>
    <w:p w:rsidR="00A551CE" w:rsidRPr="00A551CE" w:rsidRDefault="00A551CE" w:rsidP="00FC240E">
      <w:pPr>
        <w:tabs>
          <w:tab w:val="left" w:pos="1701"/>
        </w:tabs>
        <w:spacing w:after="0" w:line="360" w:lineRule="auto"/>
        <w:jc w:val="both"/>
        <w:rPr>
          <w:rFonts w:ascii="Palatino Linotype" w:hAnsi="Palatino Linotype" w:cs="Arial"/>
          <w:b/>
          <w:sz w:val="24"/>
        </w:rPr>
      </w:pPr>
      <w:r>
        <w:rPr>
          <w:rFonts w:ascii="Palatino Linotype" w:hAnsi="Palatino Linotype" w:cs="Arial"/>
          <w:b/>
          <w:sz w:val="24"/>
        </w:rPr>
        <w:t xml:space="preserve">VISTO </w:t>
      </w:r>
      <w:r w:rsidRPr="00F403EA">
        <w:rPr>
          <w:rFonts w:ascii="Palatino Linotype" w:hAnsi="Palatino Linotype" w:cs="Arial"/>
          <w:sz w:val="24"/>
        </w:rPr>
        <w:t xml:space="preserve">el expediente electrónico formado con motivo del recurso de revisión número </w:t>
      </w:r>
      <w:r w:rsidRPr="00F403EA">
        <w:rPr>
          <w:rFonts w:ascii="Palatino Linotype" w:hAnsi="Palatino Linotype" w:cs="Arial"/>
          <w:b/>
          <w:bCs/>
          <w:sz w:val="24"/>
          <w:lang w:eastAsia="es-MX"/>
        </w:rPr>
        <w:t>0</w:t>
      </w:r>
      <w:r>
        <w:rPr>
          <w:rFonts w:ascii="Palatino Linotype" w:hAnsi="Palatino Linotype" w:cs="Arial"/>
          <w:b/>
          <w:bCs/>
          <w:sz w:val="24"/>
          <w:lang w:eastAsia="es-MX"/>
        </w:rPr>
        <w:t>2760/</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la </w:t>
      </w:r>
      <w:r>
        <w:rPr>
          <w:rFonts w:ascii="Palatino Linotype" w:hAnsi="Palatino Linotype" w:cs="Arial"/>
          <w:b/>
          <w:bCs/>
          <w:sz w:val="24"/>
          <w:szCs w:val="24"/>
        </w:rPr>
        <w:t xml:space="preserve">C. </w:t>
      </w:r>
      <w:r w:rsidR="00E11179">
        <w:rPr>
          <w:rFonts w:ascii="Palatino Linotype" w:hAnsi="Palatino Linotype" w:cs="Arial"/>
          <w:b/>
          <w:bCs/>
          <w:sz w:val="24"/>
          <w:szCs w:val="24"/>
        </w:rPr>
        <w:t>xxxxxxxxxxxxxxxxxxxxxxxxxxxx</w:t>
      </w:r>
      <w:bookmarkStart w:id="0" w:name="_GoBack"/>
      <w:bookmarkEnd w:id="0"/>
      <w:r>
        <w:rPr>
          <w:rFonts w:ascii="Palatino Linotype" w:hAnsi="Palatino Linotype" w:cs="Arial"/>
          <w:b/>
          <w:bCs/>
          <w:sz w:val="24"/>
          <w:szCs w:val="24"/>
        </w:rPr>
        <w:t xml:space="preserve">, </w:t>
      </w:r>
      <w:r>
        <w:rPr>
          <w:rFonts w:ascii="Palatino Linotype" w:hAnsi="Palatino Linotype" w:cs="Arial"/>
          <w:sz w:val="24"/>
          <w:szCs w:val="24"/>
        </w:rPr>
        <w:t xml:space="preserve">en lo sucesivo </w:t>
      </w:r>
      <w:r>
        <w:rPr>
          <w:rFonts w:ascii="Palatino Linotype" w:hAnsi="Palatino Linotype" w:cs="Arial"/>
          <w:b/>
          <w:bCs/>
          <w:sz w:val="24"/>
          <w:szCs w:val="24"/>
        </w:rPr>
        <w:t xml:space="preserve">La Recurrente, </w:t>
      </w:r>
      <w:r>
        <w:rPr>
          <w:rFonts w:ascii="Palatino Linotype" w:hAnsi="Palatino Linotype" w:cs="Arial"/>
          <w:sz w:val="24"/>
          <w:szCs w:val="24"/>
        </w:rPr>
        <w:t xml:space="preserve">en contra de la respuesta del </w:t>
      </w:r>
      <w:r>
        <w:rPr>
          <w:rFonts w:ascii="Palatino Linotype" w:hAnsi="Palatino Linotype" w:cs="Arial"/>
          <w:b/>
          <w:bCs/>
          <w:sz w:val="24"/>
          <w:szCs w:val="24"/>
        </w:rPr>
        <w:t xml:space="preserve">Ayuntamiento de Ixtapan de la Sal, </w:t>
      </w:r>
      <w:r>
        <w:rPr>
          <w:rFonts w:ascii="Palatino Linotype" w:hAnsi="Palatino Linotype" w:cs="Arial"/>
          <w:sz w:val="24"/>
          <w:szCs w:val="24"/>
        </w:rPr>
        <w:t xml:space="preserve">en lo subsecuente </w:t>
      </w:r>
      <w:r>
        <w:rPr>
          <w:rFonts w:ascii="Palatino Linotype" w:hAnsi="Palatino Linotype" w:cs="Arial"/>
          <w:b/>
          <w:bCs/>
          <w:sz w:val="24"/>
          <w:szCs w:val="24"/>
        </w:rPr>
        <w:t xml:space="preserve">El Sujeto Obligado, </w:t>
      </w:r>
      <w:r>
        <w:rPr>
          <w:rFonts w:ascii="Palatino Linotype" w:hAnsi="Palatino Linotype" w:cs="Arial"/>
          <w:bCs/>
          <w:sz w:val="24"/>
          <w:szCs w:val="24"/>
        </w:rPr>
        <w:t xml:space="preserve">se procede a dictar la presente resolución, en cumplimiento al fallo emitido en fecha veintiséis de enero de dos mil veintiuno, notificado a este Órgano Garante en fecha trece de abril de los corrientes, por el </w:t>
      </w:r>
      <w:r>
        <w:rPr>
          <w:rFonts w:ascii="Palatino Linotype" w:hAnsi="Palatino Linotype" w:cs="Arial"/>
          <w:bCs/>
          <w:sz w:val="24"/>
        </w:rPr>
        <w:t xml:space="preserve">Instituto Nacional de Transparencia, Acceso a la Información y Protección de Datos Personales, en lo subsecuente </w:t>
      </w:r>
      <w:r>
        <w:rPr>
          <w:rFonts w:ascii="Palatino Linotype" w:hAnsi="Palatino Linotype" w:cs="Arial"/>
          <w:b/>
          <w:bCs/>
          <w:sz w:val="24"/>
        </w:rPr>
        <w:t xml:space="preserve">Instituto Nacional, </w:t>
      </w:r>
      <w:r>
        <w:rPr>
          <w:rFonts w:ascii="Palatino Linotype" w:hAnsi="Palatino Linotype" w:cs="Arial"/>
          <w:bCs/>
          <w:sz w:val="24"/>
        </w:rPr>
        <w:t xml:space="preserve">correspondiente al Recurso de Inconformidad número </w:t>
      </w:r>
      <w:r>
        <w:rPr>
          <w:rFonts w:ascii="Palatino Linotype" w:hAnsi="Palatino Linotype" w:cs="Arial"/>
          <w:b/>
          <w:bCs/>
          <w:sz w:val="24"/>
        </w:rPr>
        <w:t xml:space="preserve">149/20. </w:t>
      </w:r>
    </w:p>
    <w:p w:rsidR="00A551CE" w:rsidRDefault="00A551CE" w:rsidP="00FC240E">
      <w:pPr>
        <w:tabs>
          <w:tab w:val="left" w:pos="1701"/>
        </w:tabs>
        <w:spacing w:after="0" w:line="360" w:lineRule="auto"/>
        <w:jc w:val="both"/>
        <w:rPr>
          <w:rFonts w:ascii="Palatino Linotype" w:hAnsi="Palatino Linotype" w:cs="Arial"/>
          <w:sz w:val="24"/>
        </w:rPr>
      </w:pPr>
    </w:p>
    <w:p w:rsidR="00A551CE" w:rsidRDefault="00A551CE" w:rsidP="00FC240E">
      <w:pPr>
        <w:tabs>
          <w:tab w:val="left" w:pos="1701"/>
        </w:tabs>
        <w:spacing w:after="0" w:line="360" w:lineRule="auto"/>
        <w:jc w:val="both"/>
        <w:rPr>
          <w:rFonts w:ascii="Palatino Linotype" w:hAnsi="Palatino Linotype" w:cs="Arial"/>
          <w:sz w:val="24"/>
        </w:rPr>
      </w:pPr>
    </w:p>
    <w:p w:rsidR="00AC5A01" w:rsidRPr="006E24E8" w:rsidRDefault="00AC5A01" w:rsidP="00FC240E">
      <w:pPr>
        <w:spacing w:after="0" w:line="360" w:lineRule="auto"/>
        <w:jc w:val="center"/>
        <w:rPr>
          <w:rFonts w:ascii="Palatino Linotype" w:hAnsi="Palatino Linotype"/>
          <w:b/>
          <w:sz w:val="26"/>
          <w:szCs w:val="26"/>
        </w:rPr>
      </w:pPr>
      <w:r w:rsidRPr="006E24E8">
        <w:rPr>
          <w:rFonts w:ascii="Palatino Linotype" w:hAnsi="Palatino Linotype"/>
          <w:b/>
          <w:sz w:val="26"/>
          <w:szCs w:val="26"/>
        </w:rPr>
        <w:t>A N T E C E D E N T E S   D E L   A S U N T O</w:t>
      </w:r>
    </w:p>
    <w:p w:rsidR="00AC5A01" w:rsidRDefault="00AC5A01" w:rsidP="00FC240E">
      <w:pPr>
        <w:spacing w:after="0" w:line="360" w:lineRule="auto"/>
        <w:jc w:val="both"/>
        <w:rPr>
          <w:rFonts w:ascii="Palatino Linotype" w:hAnsi="Palatino Linotype" w:cs="Arial"/>
          <w:b/>
          <w:sz w:val="24"/>
        </w:rPr>
      </w:pPr>
    </w:p>
    <w:p w:rsidR="00A551CE" w:rsidRDefault="00A551CE" w:rsidP="00A551C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A551CE" w:rsidRPr="001B3CBA" w:rsidRDefault="00A551CE" w:rsidP="00A551CE">
      <w:pPr>
        <w:spacing w:before="240" w:line="360" w:lineRule="auto"/>
        <w:jc w:val="both"/>
        <w:rPr>
          <w:rFonts w:ascii="Palatino Linotype" w:hAnsi="Palatino Linotype" w:cs="Arial"/>
          <w:sz w:val="24"/>
        </w:rPr>
      </w:pPr>
      <w:r>
        <w:rPr>
          <w:rFonts w:ascii="Palatino Linotype" w:hAnsi="Palatino Linotype" w:cs="Arial"/>
          <w:sz w:val="24"/>
        </w:rPr>
        <w:t xml:space="preserve">Con fecha doce de junio de dos mil veinte, </w:t>
      </w:r>
      <w:r>
        <w:rPr>
          <w:rFonts w:ascii="Palatino Linotype" w:hAnsi="Palatino Linotype" w:cs="Arial"/>
          <w:b/>
          <w:bCs/>
          <w:sz w:val="24"/>
        </w:rPr>
        <w:t xml:space="preserve">La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00931/IXTASAL/IP/2020, </w:t>
      </w:r>
      <w:r>
        <w:rPr>
          <w:rFonts w:ascii="Palatino Linotype" w:hAnsi="Palatino Linotype" w:cs="Arial"/>
          <w:sz w:val="24"/>
        </w:rPr>
        <w:t>mediante la cual solicitó información en el tenor siguiente:</w:t>
      </w:r>
    </w:p>
    <w:p w:rsidR="00A551CE" w:rsidRPr="001B3CBA" w:rsidRDefault="00A551CE" w:rsidP="00A551CE">
      <w:pPr>
        <w:spacing w:before="240" w:line="360" w:lineRule="auto"/>
        <w:ind w:left="851" w:right="851"/>
        <w:jc w:val="both"/>
        <w:rPr>
          <w:rFonts w:ascii="Palatino Linotype" w:hAnsi="Palatino Linotype" w:cs="Arial"/>
          <w:b/>
          <w:bCs/>
          <w:i/>
          <w:iCs/>
        </w:rPr>
      </w:pPr>
      <w:r w:rsidRPr="001B3CBA">
        <w:rPr>
          <w:rFonts w:ascii="Palatino Linotype" w:hAnsi="Palatino Linotype"/>
          <w:i/>
          <w:iCs/>
        </w:rPr>
        <w:lastRenderedPageBreak/>
        <w:t xml:space="preserve">“Los viáticos ejercidos durante 2019 con toda la documentación soporte, por cada una de las áreas y/o servidores públicos que ejercieron los mismos.” </w:t>
      </w:r>
      <w:r w:rsidRPr="001B3CBA">
        <w:rPr>
          <w:rFonts w:ascii="Palatino Linotype" w:hAnsi="Palatino Linotype"/>
          <w:b/>
          <w:bCs/>
          <w:i/>
          <w:iCs/>
        </w:rPr>
        <w:t>[Sic]</w:t>
      </w:r>
    </w:p>
    <w:p w:rsidR="00A551CE" w:rsidRDefault="00A551CE" w:rsidP="00A551CE">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rsidR="00A551CE" w:rsidRDefault="00A551CE" w:rsidP="00A551CE">
      <w:pPr>
        <w:spacing w:before="240" w:line="360" w:lineRule="auto"/>
        <w:ind w:right="850"/>
        <w:jc w:val="both"/>
        <w:rPr>
          <w:rFonts w:ascii="Palatino Linotype" w:eastAsia="Times New Roman" w:hAnsi="Palatino Linotype" w:cs="Times New Roman"/>
          <w:sz w:val="24"/>
          <w:szCs w:val="24"/>
          <w:lang w:val="es-ES_tradnl" w:eastAsia="es-ES"/>
        </w:rPr>
      </w:pPr>
    </w:p>
    <w:p w:rsidR="00E86C05" w:rsidRPr="006315EA" w:rsidRDefault="00E86C05" w:rsidP="00FC240E">
      <w:pPr>
        <w:spacing w:after="0"/>
        <w:rPr>
          <w:rFonts w:ascii="Palatino Linotype" w:hAnsi="Palatino Linotype"/>
          <w:sz w:val="2"/>
        </w:rPr>
      </w:pPr>
    </w:p>
    <w:p w:rsidR="00A551CE" w:rsidRDefault="00A551CE" w:rsidP="00A551CE">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A551CE" w:rsidRPr="001B3CBA" w:rsidRDefault="00A551CE" w:rsidP="00A551CE">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Pr>
          <w:rFonts w:ascii="Palatino Linotype" w:hAnsi="Palatino Linotype" w:cs="Arial"/>
          <w:sz w:val="24"/>
          <w:szCs w:val="24"/>
        </w:rPr>
        <w:t xml:space="preserve"> veintiocho de julio del </w:t>
      </w:r>
      <w:r w:rsidR="009A3081">
        <w:rPr>
          <w:rFonts w:ascii="Palatino Linotype" w:hAnsi="Palatino Linotype" w:cs="Arial"/>
          <w:sz w:val="24"/>
          <w:szCs w:val="24"/>
        </w:rPr>
        <w:t>dos mil veinte</w:t>
      </w:r>
      <w:r>
        <w:rPr>
          <w:rFonts w:ascii="Palatino Linotype" w:hAnsi="Palatino Linotype" w:cs="Arial"/>
          <w:sz w:val="24"/>
          <w:szCs w:val="24"/>
        </w:rPr>
        <w:t xml:space="preserv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dio respuesta a la solicitud de información </w:t>
      </w:r>
      <w:r>
        <w:rPr>
          <w:rFonts w:ascii="Palatino Linotype" w:hAnsi="Palatino Linotype" w:cs="Arial"/>
          <w:b/>
          <w:bCs/>
          <w:sz w:val="24"/>
          <w:szCs w:val="24"/>
        </w:rPr>
        <w:t xml:space="preserve">00931/IXTASAL/IP/2020, </w:t>
      </w:r>
      <w:r>
        <w:rPr>
          <w:rFonts w:ascii="Palatino Linotype" w:hAnsi="Palatino Linotype" w:cs="Arial"/>
          <w:sz w:val="24"/>
          <w:szCs w:val="24"/>
        </w:rPr>
        <w:t>resulta de nuestro interés lo siguiente:</w:t>
      </w:r>
    </w:p>
    <w:p w:rsidR="00A551CE" w:rsidRPr="001B3CBA" w:rsidRDefault="00A551CE" w:rsidP="00A551CE">
      <w:pPr>
        <w:spacing w:before="240" w:line="360" w:lineRule="auto"/>
        <w:ind w:left="851" w:right="851"/>
        <w:jc w:val="both"/>
        <w:rPr>
          <w:rFonts w:ascii="Palatino Linotype" w:eastAsia="Times New Roman" w:hAnsi="Palatino Linotype" w:cs="Times New Roman"/>
          <w:i/>
          <w:iCs/>
        </w:rPr>
      </w:pPr>
      <w:r w:rsidRPr="001B3CBA">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551CE" w:rsidRPr="001B3CBA" w:rsidRDefault="00A551CE" w:rsidP="00A551CE">
      <w:pPr>
        <w:spacing w:before="240" w:line="360" w:lineRule="auto"/>
        <w:ind w:left="851" w:right="851"/>
        <w:jc w:val="both"/>
        <w:rPr>
          <w:rFonts w:ascii="Palatino Linotype" w:eastAsia="Times New Roman" w:hAnsi="Palatino Linotype" w:cs="Times New Roman"/>
          <w:b/>
          <w:bCs/>
          <w:i/>
          <w:iCs/>
        </w:rPr>
      </w:pPr>
      <w:r w:rsidRPr="001B3CBA">
        <w:rPr>
          <w:rFonts w:ascii="Palatino Linotype" w:eastAsia="Times New Roman" w:hAnsi="Palatino Linotype" w:cs="Times New Roman"/>
          <w:i/>
          <w:iCs/>
        </w:rPr>
        <w:t xml:space="preserve">Con fundamento en los artículos 12 y 53, fracciones II y VI y 163 de la Ley de Transparencia y Acceso a la Información del Estado de México y Municipios, </w:t>
      </w:r>
      <w:r w:rsidRPr="001B3CBA">
        <w:rPr>
          <w:rFonts w:ascii="Palatino Linotype" w:eastAsia="Times New Roman" w:hAnsi="Palatino Linotype" w:cs="Times New Roman"/>
          <w:b/>
          <w:bCs/>
          <w:i/>
          <w:iCs/>
          <w:u w:val="single"/>
        </w:rPr>
        <w:t xml:space="preserve">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 </w:t>
      </w:r>
      <w:r w:rsidRPr="001B3CBA">
        <w:rPr>
          <w:rFonts w:ascii="Palatino Linotype" w:eastAsia="Times New Roman" w:hAnsi="Palatino Linotype" w:cs="Times New Roman"/>
          <w:i/>
          <w:iCs/>
        </w:rPr>
        <w:t xml:space="preserve">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w:t>
      </w:r>
      <w:r w:rsidRPr="001B3CBA">
        <w:rPr>
          <w:rFonts w:ascii="Palatino Linotype" w:eastAsia="Times New Roman" w:hAnsi="Palatino Linotype" w:cs="Times New Roman"/>
          <w:i/>
          <w:iCs/>
        </w:rPr>
        <w:lastRenderedPageBreak/>
        <w:t xml:space="preserve">a interponer recurso de revisión en contra de la respuesta proporcionada dentro del plazo de quince días hábiles, siguientes a la fecha de la notificación de la presente respuesta.” </w:t>
      </w:r>
      <w:r w:rsidRPr="001B3CBA">
        <w:rPr>
          <w:rFonts w:ascii="Palatino Linotype" w:eastAsia="Times New Roman" w:hAnsi="Palatino Linotype" w:cs="Times New Roman"/>
          <w:b/>
          <w:bCs/>
          <w:i/>
          <w:iCs/>
        </w:rPr>
        <w:t>[Sic]</w:t>
      </w:r>
    </w:p>
    <w:p w:rsidR="00A551CE" w:rsidRDefault="00A551CE" w:rsidP="00A551C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w:t>
      </w:r>
      <w:r>
        <w:rPr>
          <w:rFonts w:ascii="Palatino Linotype" w:hAnsi="Palatino Linotype" w:cs="Arial"/>
          <w:b/>
          <w:bCs/>
          <w:sz w:val="24"/>
          <w:szCs w:val="24"/>
        </w:rPr>
        <w:t>“IXTASAL-CT-0016EXT-2020.pdf”,</w:t>
      </w:r>
      <w:r w:rsidRPr="001B3CBA">
        <w:rPr>
          <w:rFonts w:ascii="Palatino Linotype" w:hAnsi="Palatino Linotype" w:cs="Arial"/>
          <w:sz w:val="24"/>
          <w:szCs w:val="24"/>
        </w:rPr>
        <w:t xml:space="preserve"> </w:t>
      </w:r>
      <w:r>
        <w:rPr>
          <w:rFonts w:ascii="Palatino Linotype" w:hAnsi="Palatino Linotype" w:cs="Arial"/>
          <w:sz w:val="24"/>
          <w:szCs w:val="24"/>
        </w:rPr>
        <w:t xml:space="preserve">mismo que se tiene por reproducido en virtud de que será materia de análisis en el considerando respectivo. </w:t>
      </w:r>
    </w:p>
    <w:p w:rsidR="00631F4B" w:rsidRDefault="00631F4B" w:rsidP="00FC240E">
      <w:pPr>
        <w:spacing w:after="0" w:line="360" w:lineRule="auto"/>
        <w:jc w:val="both"/>
        <w:rPr>
          <w:rFonts w:ascii="Palatino Linotype" w:hAnsi="Palatino Linotype" w:cs="Arial"/>
          <w:sz w:val="24"/>
          <w:szCs w:val="26"/>
          <w:lang w:val="es-ES_tradnl"/>
        </w:rPr>
      </w:pPr>
    </w:p>
    <w:p w:rsidR="00A551CE" w:rsidRDefault="00A551CE" w:rsidP="00FC240E">
      <w:pPr>
        <w:spacing w:after="0" w:line="360" w:lineRule="auto"/>
        <w:jc w:val="both"/>
        <w:rPr>
          <w:rFonts w:ascii="Palatino Linotype" w:hAnsi="Palatino Linotype" w:cs="Arial"/>
          <w:sz w:val="24"/>
          <w:szCs w:val="26"/>
          <w:lang w:val="es-ES_tradnl"/>
        </w:rPr>
      </w:pPr>
    </w:p>
    <w:p w:rsidR="00A551CE" w:rsidRDefault="00A551CE" w:rsidP="00A551CE">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rsidR="00A551CE" w:rsidRPr="001B3CBA" w:rsidRDefault="00A551CE" w:rsidP="00A551C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dieciocho de agosto del año en curso, el cual fue registrado en el sistema electrónico con el expediente número </w:t>
      </w:r>
      <w:r>
        <w:rPr>
          <w:rFonts w:ascii="Palatino Linotype" w:hAnsi="Palatino Linotype" w:cs="Arial"/>
          <w:b/>
          <w:bCs/>
          <w:sz w:val="24"/>
          <w:szCs w:val="24"/>
        </w:rPr>
        <w:t xml:space="preserve">02760/INFOEM/IP/RR/2020, </w:t>
      </w:r>
      <w:r>
        <w:rPr>
          <w:rFonts w:ascii="Palatino Linotype" w:hAnsi="Palatino Linotype" w:cs="Arial"/>
          <w:sz w:val="24"/>
          <w:szCs w:val="24"/>
        </w:rPr>
        <w:t>en el cual arguye, las siguientes manifestaciones:</w:t>
      </w:r>
    </w:p>
    <w:p w:rsidR="00A551CE" w:rsidRDefault="00A551CE" w:rsidP="00A551CE">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A551CE" w:rsidRPr="00553EDF" w:rsidRDefault="00A551CE" w:rsidP="00A551CE">
      <w:pPr>
        <w:spacing w:before="240" w:line="360" w:lineRule="auto"/>
        <w:ind w:left="851" w:right="851"/>
        <w:jc w:val="both"/>
        <w:rPr>
          <w:rFonts w:ascii="Palatino Linotype" w:hAnsi="Palatino Linotype" w:cs="Arial"/>
          <w:i/>
        </w:rPr>
      </w:pPr>
      <w:r w:rsidRPr="00553EDF">
        <w:rPr>
          <w:rFonts w:ascii="Palatino Linotype" w:hAnsi="Palatino Linotype" w:cs="Arial"/>
          <w:i/>
        </w:rPr>
        <w:t>“</w:t>
      </w:r>
      <w:r w:rsidRPr="00553EDF">
        <w:rPr>
          <w:rFonts w:ascii="Palatino Linotype" w:hAnsi="Palatino Linotype"/>
          <w:i/>
        </w:rPr>
        <w:t>La contestación del sujeto obligado y el acta del comité de transparencia.</w:t>
      </w:r>
      <w:r w:rsidRPr="00553EDF">
        <w:rPr>
          <w:rFonts w:ascii="Palatino Linotype" w:hAnsi="Palatino Linotype" w:cs="Arial"/>
          <w:i/>
        </w:rPr>
        <w:t xml:space="preserve">” </w:t>
      </w:r>
      <w:r w:rsidRPr="00553EDF">
        <w:rPr>
          <w:rFonts w:ascii="Palatino Linotype" w:hAnsi="Palatino Linotype" w:cs="Arial"/>
          <w:b/>
          <w:i/>
        </w:rPr>
        <w:t>[Sic]</w:t>
      </w:r>
    </w:p>
    <w:p w:rsidR="00A551CE" w:rsidRPr="00295668" w:rsidRDefault="00A551CE" w:rsidP="00A551CE">
      <w:pPr>
        <w:spacing w:line="360" w:lineRule="auto"/>
        <w:ind w:left="851" w:right="851"/>
        <w:jc w:val="both"/>
        <w:rPr>
          <w:rFonts w:ascii="Palatino Linotype" w:hAnsi="Palatino Linotype" w:cs="Arial"/>
          <w:i/>
        </w:rPr>
      </w:pPr>
    </w:p>
    <w:p w:rsidR="00A551CE" w:rsidRDefault="00A551CE" w:rsidP="00A551C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A551CE" w:rsidRPr="00553EDF" w:rsidRDefault="00A551CE" w:rsidP="00A551CE">
      <w:pPr>
        <w:spacing w:before="240" w:line="360" w:lineRule="auto"/>
        <w:ind w:left="851" w:right="851"/>
        <w:jc w:val="both"/>
        <w:rPr>
          <w:rFonts w:ascii="Palatino Linotype" w:hAnsi="Palatino Linotype" w:cs="Arial"/>
          <w:i/>
        </w:rPr>
      </w:pPr>
      <w:r w:rsidRPr="00553EDF">
        <w:rPr>
          <w:rFonts w:ascii="Palatino Linotype" w:hAnsi="Palatino Linotype" w:cs="Arial"/>
          <w:i/>
        </w:rPr>
        <w:t>“</w:t>
      </w:r>
      <w:r w:rsidRPr="00553EDF">
        <w:rPr>
          <w:rFonts w:ascii="Palatino Linotype" w:hAnsi="Palatino Linotype"/>
          <w:i/>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w:t>
      </w:r>
      <w:r w:rsidRPr="00553EDF">
        <w:rPr>
          <w:rFonts w:ascii="Palatino Linotype" w:hAnsi="Palatino Linotype"/>
          <w:i/>
        </w:rPr>
        <w:lastRenderedPageBreak/>
        <w:t xml:space="preserve">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w:t>
      </w:r>
      <w:r w:rsidRPr="00553EDF">
        <w:rPr>
          <w:rFonts w:ascii="Palatino Linotype" w:hAnsi="Palatino Linotype"/>
          <w:i/>
        </w:rPr>
        <w:lastRenderedPageBreak/>
        <w:t>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pretende cobrarme la información</w:t>
      </w:r>
      <w:r w:rsidRPr="00553EDF">
        <w:rPr>
          <w:rFonts w:ascii="Palatino Linotype" w:hAnsi="Palatino Linotype" w:cs="Arial"/>
          <w:i/>
        </w:rPr>
        <w:t xml:space="preserve">” </w:t>
      </w:r>
      <w:r w:rsidRPr="00553EDF">
        <w:rPr>
          <w:rFonts w:ascii="Palatino Linotype" w:hAnsi="Palatino Linotype" w:cs="Arial"/>
          <w:b/>
          <w:i/>
        </w:rPr>
        <w:t>[Sic]</w:t>
      </w:r>
    </w:p>
    <w:p w:rsidR="00D038D9" w:rsidRDefault="00D038D9" w:rsidP="00D038D9">
      <w:pPr>
        <w:spacing w:before="240" w:line="360" w:lineRule="auto"/>
        <w:jc w:val="both"/>
        <w:rPr>
          <w:rFonts w:ascii="Palatino Linotype" w:hAnsi="Palatino Linotype" w:cs="Arial"/>
          <w:sz w:val="24"/>
          <w:szCs w:val="24"/>
        </w:rPr>
      </w:pPr>
    </w:p>
    <w:p w:rsidR="00E86C05"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CUARTO. Del turno del recurso de revisión.</w:t>
      </w:r>
    </w:p>
    <w:p w:rsidR="00A551CE" w:rsidRDefault="00A551CE" w:rsidP="00A551C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veinticuatro de agosto de dos mil veinte, determinándose en él, un plazo de siete días para que las partes manifestaran lo que a su derecho corresponda en términos del numeral ya citado.</w:t>
      </w:r>
    </w:p>
    <w:p w:rsidR="008F3AFA" w:rsidRPr="006315EA" w:rsidRDefault="008F3AFA" w:rsidP="00FC240E">
      <w:pPr>
        <w:spacing w:after="0" w:line="360" w:lineRule="auto"/>
        <w:jc w:val="both"/>
        <w:rPr>
          <w:rFonts w:ascii="Palatino Linotype" w:hAnsi="Palatino Linotype" w:cs="Arial"/>
          <w:sz w:val="24"/>
          <w:szCs w:val="24"/>
        </w:rPr>
      </w:pPr>
    </w:p>
    <w:p w:rsidR="00E86C05" w:rsidRPr="006315EA" w:rsidRDefault="00E86C05" w:rsidP="00FC240E">
      <w:pPr>
        <w:spacing w:after="0"/>
        <w:rPr>
          <w:rFonts w:ascii="Palatino Linotype" w:hAnsi="Palatino Linotype"/>
          <w:sz w:val="2"/>
        </w:rPr>
      </w:pPr>
    </w:p>
    <w:p w:rsidR="00A551CE" w:rsidRPr="00B07D6D" w:rsidRDefault="00A551CE" w:rsidP="00A551CE">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QUINTO</w:t>
      </w:r>
      <w:r w:rsidRPr="00B07D6D">
        <w:rPr>
          <w:rFonts w:ascii="Palatino Linotype" w:hAnsi="Palatino Linotype" w:cs="Arial"/>
          <w:b/>
          <w:sz w:val="24"/>
          <w:szCs w:val="24"/>
        </w:rPr>
        <w:t xml:space="preserve">. </w:t>
      </w:r>
      <w:r w:rsidRPr="00B07D6D">
        <w:rPr>
          <w:rFonts w:ascii="Palatino Linotype" w:hAnsi="Palatino Linotype" w:cs="Arial"/>
          <w:b/>
          <w:sz w:val="28"/>
          <w:szCs w:val="28"/>
        </w:rPr>
        <w:t>De la etapa de instrucción.</w:t>
      </w:r>
    </w:p>
    <w:p w:rsidR="00A551CE" w:rsidRDefault="00A551CE" w:rsidP="00A551C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Pr>
          <w:rFonts w:ascii="Palatino Linotype" w:hAnsi="Palatino Linotype" w:cs="Arial"/>
          <w:b/>
          <w:sz w:val="24"/>
          <w:szCs w:val="24"/>
        </w:rPr>
        <w:t>E</w:t>
      </w:r>
      <w:r w:rsidRPr="00C04CBC">
        <w:rPr>
          <w:rFonts w:ascii="Palatino Linotype" w:hAnsi="Palatino Linotype" w:cs="Arial"/>
          <w:b/>
          <w:sz w:val="24"/>
          <w:szCs w:val="24"/>
        </w:rPr>
        <w:t>l</w:t>
      </w:r>
      <w:r>
        <w:rPr>
          <w:rFonts w:ascii="Palatino Linotype" w:hAnsi="Palatino Linotype" w:cs="Arial"/>
          <w:sz w:val="24"/>
          <w:szCs w:val="24"/>
        </w:rPr>
        <w:t xml:space="preserve"> </w:t>
      </w:r>
      <w:r>
        <w:rPr>
          <w:rFonts w:ascii="Palatino Linotype" w:hAnsi="Palatino Linotype" w:cs="Arial"/>
          <w:b/>
          <w:sz w:val="24"/>
          <w:szCs w:val="24"/>
        </w:rPr>
        <w:t>Sujeto O</w:t>
      </w:r>
      <w:r w:rsidRPr="00304678">
        <w:rPr>
          <w:rFonts w:ascii="Palatino Linotype" w:hAnsi="Palatino Linotype" w:cs="Arial"/>
          <w:b/>
          <w:sz w:val="24"/>
          <w:szCs w:val="24"/>
        </w:rPr>
        <w:t>bligado</w:t>
      </w:r>
      <w:r>
        <w:rPr>
          <w:rFonts w:ascii="Palatino Linotype" w:hAnsi="Palatino Linotype" w:cs="Arial"/>
          <w:sz w:val="24"/>
          <w:szCs w:val="24"/>
        </w:rPr>
        <w:t xml:space="preserve"> fue omiso en rendir su informe justificado dentro del término de ley que le fue otorgado, de igual manera se observa que </w:t>
      </w:r>
      <w:r>
        <w:rPr>
          <w:rFonts w:ascii="Palatino Linotype" w:hAnsi="Palatino Linotype" w:cs="Arial"/>
          <w:b/>
          <w:sz w:val="24"/>
          <w:szCs w:val="24"/>
        </w:rPr>
        <w:t>La Recurrente</w:t>
      </w:r>
      <w:r>
        <w:rPr>
          <w:rFonts w:ascii="Palatino Linotype" w:hAnsi="Palatino Linotype" w:cs="Arial"/>
          <w:sz w:val="24"/>
          <w:szCs w:val="24"/>
        </w:rPr>
        <w:t xml:space="preserve"> no rindió manifestación alguna que a sus intereses conviniera.</w:t>
      </w:r>
    </w:p>
    <w:p w:rsidR="00A551CE" w:rsidRDefault="00A551CE" w:rsidP="00A551CE">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w:t>
      </w:r>
      <w:r>
        <w:rPr>
          <w:rFonts w:ascii="Palatino Linotype" w:hAnsi="Palatino Linotype" w:cs="Arial"/>
          <w:sz w:val="24"/>
          <w:szCs w:val="24"/>
        </w:rPr>
        <w:t>ofrecieron pruebas por parte de la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2A6E16" w:rsidRDefault="002A6E16" w:rsidP="002A6E16">
      <w:pPr>
        <w:pStyle w:val="Prrafodelista"/>
        <w:spacing w:line="360" w:lineRule="auto"/>
        <w:ind w:left="0"/>
        <w:jc w:val="both"/>
        <w:rPr>
          <w:rFonts w:ascii="Palatino Linotype" w:hAnsi="Palatino Linotype" w:cs="Arial"/>
        </w:rPr>
      </w:pPr>
    </w:p>
    <w:p w:rsidR="00E86C05" w:rsidRPr="006315EA" w:rsidRDefault="00E86C05" w:rsidP="00FC240E">
      <w:pPr>
        <w:spacing w:after="0" w:line="360" w:lineRule="auto"/>
        <w:jc w:val="both"/>
        <w:rPr>
          <w:rFonts w:ascii="Palatino Linotype" w:hAnsi="Palatino Linotype" w:cs="Arial"/>
          <w:sz w:val="24"/>
        </w:rPr>
      </w:pPr>
    </w:p>
    <w:p w:rsidR="00A551CE" w:rsidRPr="004C083E" w:rsidRDefault="00A551CE" w:rsidP="00A551CE">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4C083E">
        <w:rPr>
          <w:rFonts w:ascii="Palatino Linotype" w:hAnsi="Palatino Linotype" w:cs="Arial"/>
          <w:b/>
          <w:sz w:val="28"/>
          <w:szCs w:val="28"/>
        </w:rPr>
        <w:t>. Del cierre de instrucción.</w:t>
      </w:r>
    </w:p>
    <w:p w:rsidR="00A551CE" w:rsidRDefault="00A551CE" w:rsidP="00A551CE">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ocho de septiembre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E86C05" w:rsidRDefault="00E86C05" w:rsidP="00FC240E">
      <w:pPr>
        <w:spacing w:after="0" w:line="360" w:lineRule="auto"/>
        <w:jc w:val="both"/>
        <w:rPr>
          <w:rFonts w:ascii="Palatino Linotype" w:hAnsi="Palatino Linotype" w:cs="Arial"/>
          <w:b/>
          <w:sz w:val="24"/>
        </w:rPr>
      </w:pPr>
    </w:p>
    <w:p w:rsidR="00A551CE" w:rsidRDefault="00A551CE" w:rsidP="00FC240E">
      <w:pPr>
        <w:spacing w:after="0" w:line="360" w:lineRule="auto"/>
        <w:jc w:val="both"/>
        <w:rPr>
          <w:rFonts w:ascii="Palatino Linotype" w:hAnsi="Palatino Linotype" w:cs="Arial"/>
          <w:b/>
          <w:sz w:val="24"/>
        </w:rPr>
      </w:pPr>
    </w:p>
    <w:p w:rsidR="002A6E16"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SÉPTIMO</w:t>
      </w:r>
      <w:r w:rsidR="00AC5A01" w:rsidRPr="006E24E8">
        <w:rPr>
          <w:rFonts w:ascii="Palatino Linotype" w:hAnsi="Palatino Linotype" w:cs="Arial"/>
          <w:b/>
          <w:sz w:val="26"/>
          <w:szCs w:val="26"/>
        </w:rPr>
        <w:t xml:space="preserve">. De la primera resolución recaída </w:t>
      </w:r>
      <w:r w:rsidR="00A551CE">
        <w:rPr>
          <w:rFonts w:ascii="Palatino Linotype" w:hAnsi="Palatino Linotype" w:cs="Arial"/>
          <w:b/>
          <w:sz w:val="26"/>
          <w:szCs w:val="26"/>
        </w:rPr>
        <w:t>al recurso de revisión 02760/INFOEM/IP/RR/2020</w:t>
      </w:r>
    </w:p>
    <w:p w:rsidR="002A6E16" w:rsidRDefault="002A6E16" w:rsidP="00FC240E">
      <w:pPr>
        <w:spacing w:after="0" w:line="360" w:lineRule="auto"/>
        <w:jc w:val="both"/>
        <w:rPr>
          <w:rFonts w:ascii="Palatino Linotype" w:hAnsi="Palatino Linotype" w:cs="Arial"/>
          <w:b/>
          <w:sz w:val="26"/>
          <w:szCs w:val="26"/>
        </w:rPr>
      </w:pPr>
    </w:p>
    <w:p w:rsidR="00A551CE" w:rsidRDefault="00A551CE" w:rsidP="00FC240E">
      <w:pPr>
        <w:spacing w:after="0" w:line="360" w:lineRule="auto"/>
        <w:jc w:val="both"/>
        <w:rPr>
          <w:rFonts w:ascii="Palatino Linotype" w:hAnsi="Palatino Linotype" w:cs="Arial"/>
          <w:bCs/>
          <w:sz w:val="24"/>
          <w:lang w:eastAsia="es-MX"/>
        </w:rPr>
      </w:pPr>
    </w:p>
    <w:p w:rsidR="00A551CE" w:rsidRDefault="00A551CE" w:rsidP="00FC240E">
      <w:pPr>
        <w:spacing w:after="0" w:line="360" w:lineRule="auto"/>
        <w:jc w:val="both"/>
        <w:rPr>
          <w:rFonts w:ascii="Palatino Linotype" w:hAnsi="Palatino Linotype" w:cs="Arial"/>
          <w:bCs/>
          <w:sz w:val="24"/>
          <w:lang w:eastAsia="es-MX"/>
        </w:rPr>
      </w:pPr>
      <w:r>
        <w:rPr>
          <w:rFonts w:ascii="Palatino Linotype" w:hAnsi="Palatino Linotype" w:cs="Arial"/>
          <w:bCs/>
          <w:sz w:val="24"/>
          <w:lang w:eastAsia="es-MX"/>
        </w:rPr>
        <w:lastRenderedPageBreak/>
        <w:t xml:space="preserve">En fecha treinta de septiembre de dos mil veinte, el Pleno de este Instituto de Transparencia, emitió resolución al recurso de revisión en comento, bajo los siguientes puntos resolutivos: </w:t>
      </w:r>
    </w:p>
    <w:p w:rsidR="00A551CE" w:rsidRDefault="00A551CE" w:rsidP="00A551CE">
      <w:pPr>
        <w:pStyle w:val="INFOEM"/>
      </w:pPr>
      <w:r>
        <w:rPr>
          <w:b/>
          <w:sz w:val="28"/>
          <w:szCs w:val="28"/>
          <w:lang w:val="es-ES_tradnl"/>
        </w:rPr>
        <w:t>“</w:t>
      </w:r>
      <w:r w:rsidRPr="00921CA9">
        <w:rPr>
          <w:b/>
          <w:sz w:val="28"/>
          <w:szCs w:val="28"/>
          <w:lang w:val="es-ES_tradnl"/>
        </w:rPr>
        <w:t>PRIMERO.</w:t>
      </w:r>
      <w:r w:rsidRPr="00921CA9">
        <w:rPr>
          <w:lang w:val="es-ES_tradnl"/>
        </w:rPr>
        <w:t xml:space="preserve"> Se </w:t>
      </w:r>
      <w:r>
        <w:rPr>
          <w:b/>
          <w:lang w:val="es-ES_tradnl"/>
        </w:rPr>
        <w:t>CONFIRMA</w:t>
      </w:r>
      <w:r w:rsidRPr="00921CA9">
        <w:rPr>
          <w:lang w:val="es-ES_tradnl"/>
        </w:rPr>
        <w:t xml:space="preserve"> </w:t>
      </w:r>
      <w:r w:rsidRPr="00921CA9">
        <w:t>la respuesta</w:t>
      </w:r>
      <w:r>
        <w:t xml:space="preserve"> </w:t>
      </w:r>
      <w:r w:rsidRPr="00921CA9">
        <w:t xml:space="preserve">entregada por </w:t>
      </w:r>
      <w:r>
        <w:rPr>
          <w:b/>
        </w:rPr>
        <w:t>E</w:t>
      </w:r>
      <w:r w:rsidRPr="00921CA9">
        <w:rPr>
          <w:b/>
        </w:rPr>
        <w:t xml:space="preserve">L SUJETO OBLIGADO </w:t>
      </w:r>
      <w:r w:rsidRPr="00921CA9">
        <w:t>a la solicitud de información número</w:t>
      </w:r>
      <w:r>
        <w:t xml:space="preserve"> </w:t>
      </w:r>
      <w:r>
        <w:rPr>
          <w:b/>
          <w:bCs/>
        </w:rPr>
        <w:t xml:space="preserve">00931/IXTASAL/IP/2020 </w:t>
      </w:r>
      <w:r w:rsidRPr="00921CA9">
        <w:t xml:space="preserve">por resultar </w:t>
      </w:r>
      <w:r>
        <w:t>in</w:t>
      </w:r>
      <w:r w:rsidRPr="00921CA9">
        <w:t>fundados</w:t>
      </w:r>
      <w:r>
        <w:t xml:space="preserve"> </w:t>
      </w:r>
      <w:r w:rsidRPr="00921CA9">
        <w:t xml:space="preserve">los motivos de inconformidad que arguye </w:t>
      </w:r>
      <w:r>
        <w:rPr>
          <w:b/>
        </w:rPr>
        <w:t>LA RECURRENTE</w:t>
      </w:r>
      <w:r w:rsidRPr="00921CA9">
        <w:t>, en términos del</w:t>
      </w:r>
      <w:r w:rsidRPr="00921CA9">
        <w:rPr>
          <w:b/>
        </w:rPr>
        <w:t xml:space="preserve"> Considerando CUARTO</w:t>
      </w:r>
      <w:r w:rsidRPr="00921CA9">
        <w:t xml:space="preserve"> de la presente resolución.</w:t>
      </w:r>
    </w:p>
    <w:p w:rsidR="00A551CE" w:rsidRDefault="00A551CE" w:rsidP="00A551CE">
      <w:pPr>
        <w:pStyle w:val="INFOEM"/>
      </w:pPr>
      <w:r>
        <w:rPr>
          <w:b/>
          <w:sz w:val="28"/>
          <w:szCs w:val="28"/>
        </w:rPr>
        <w:t>SEGUNDO</w:t>
      </w:r>
      <w:r w:rsidRPr="00A80781">
        <w:rPr>
          <w:b/>
          <w:sz w:val="28"/>
          <w:szCs w:val="28"/>
        </w:rPr>
        <w:t>.</w:t>
      </w:r>
      <w:r w:rsidRPr="00A80781">
        <w:rPr>
          <w:b/>
        </w:rPr>
        <w:t xml:space="preserve"> </w:t>
      </w:r>
      <w:r>
        <w:rPr>
          <w:b/>
        </w:rPr>
        <w:t>Notifíquese</w:t>
      </w:r>
      <w:r w:rsidRPr="00A80781">
        <w:rPr>
          <w:b/>
        </w:rPr>
        <w:t xml:space="preserve"> </w:t>
      </w:r>
      <w:r>
        <w:t xml:space="preserve">la presente resolución al Titular de la Unidad de Transparencia del </w:t>
      </w:r>
      <w:r>
        <w:rPr>
          <w:b/>
        </w:rPr>
        <w:t xml:space="preserve">SUJETO OBLIGADO </w:t>
      </w:r>
      <w:r>
        <w:t xml:space="preserve">a través del Sistema de Acceso a la Información Mexiquense </w:t>
      </w:r>
      <w:r w:rsidRPr="008F2652">
        <w:rPr>
          <w:b/>
        </w:rPr>
        <w:t xml:space="preserve">(SAIMEX). </w:t>
      </w:r>
      <w:r>
        <w:rPr>
          <w:b/>
        </w:rPr>
        <w:t xml:space="preserve"> </w:t>
      </w:r>
    </w:p>
    <w:p w:rsidR="00A551CE" w:rsidRDefault="00A551CE" w:rsidP="00A551CE">
      <w:pPr>
        <w:pStyle w:val="INFOEM"/>
        <w:rPr>
          <w:b/>
        </w:rPr>
      </w:pPr>
      <w:r w:rsidRPr="00AF6553">
        <w:rPr>
          <w:b/>
          <w:sz w:val="28"/>
          <w:szCs w:val="28"/>
        </w:rPr>
        <w:t>TERCERO</w:t>
      </w:r>
      <w:r w:rsidRPr="00AF6553">
        <w:rPr>
          <w:sz w:val="28"/>
          <w:szCs w:val="28"/>
        </w:rPr>
        <w:t>.</w:t>
      </w:r>
      <w:r w:rsidRPr="00AF6553">
        <w:t xml:space="preserve"> </w:t>
      </w:r>
      <w:r w:rsidRPr="00AF6553">
        <w:rPr>
          <w:b/>
          <w:bCs/>
          <w:color w:val="222222"/>
          <w:shd w:val="clear" w:color="auto" w:fill="FFFFFF"/>
          <w:lang w:val="es-ES"/>
        </w:rPr>
        <w:t>Notifíquese</w:t>
      </w:r>
      <w:r>
        <w:t xml:space="preserve"> la presente resolución a </w:t>
      </w:r>
      <w:r>
        <w:rPr>
          <w:b/>
          <w:bCs/>
        </w:rPr>
        <w:t>LA</w:t>
      </w:r>
      <w:r>
        <w:rPr>
          <w:b/>
        </w:rPr>
        <w:t xml:space="preserve"> </w:t>
      </w:r>
      <w:r w:rsidRPr="00AF6553">
        <w:rPr>
          <w:b/>
        </w:rPr>
        <w:t xml:space="preserve">RECURRENTE </w:t>
      </w:r>
      <w:r w:rsidRPr="00AF6553">
        <w:t xml:space="preserve">a través del Sistema de Acceso a la Información Mexiquense </w:t>
      </w:r>
      <w:r>
        <w:rPr>
          <w:b/>
        </w:rPr>
        <w:t xml:space="preserve">(SAIMEX). </w:t>
      </w:r>
    </w:p>
    <w:p w:rsidR="00A551CE" w:rsidRPr="00A551CE" w:rsidRDefault="00A551CE" w:rsidP="00A551CE">
      <w:pPr>
        <w:pStyle w:val="INFOEM"/>
        <w:rPr>
          <w:b/>
        </w:rPr>
      </w:pPr>
      <w:r>
        <w:rPr>
          <w:b/>
          <w:sz w:val="28"/>
          <w:szCs w:val="28"/>
        </w:rPr>
        <w:t xml:space="preserve">CUARTO. </w:t>
      </w:r>
      <w:r>
        <w:t xml:space="preserve">Se hace del conocimiento de </w:t>
      </w:r>
      <w:r>
        <w:rPr>
          <w:b/>
          <w:bCs/>
        </w:rPr>
        <w:t>LA</w:t>
      </w:r>
      <w:r>
        <w:rPr>
          <w:b/>
        </w:rPr>
        <w:t xml:space="preserve"> RECURRENTE </w:t>
      </w:r>
      <w: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r>
        <w:rPr>
          <w:b/>
        </w:rPr>
        <w:t>[Sic]</w:t>
      </w:r>
    </w:p>
    <w:p w:rsidR="00A551CE" w:rsidRDefault="00A551CE" w:rsidP="00FC240E">
      <w:pPr>
        <w:spacing w:after="0" w:line="360" w:lineRule="auto"/>
        <w:jc w:val="both"/>
        <w:rPr>
          <w:rFonts w:ascii="Palatino Linotype" w:hAnsi="Palatino Linotype" w:cs="Arial"/>
          <w:bCs/>
          <w:sz w:val="24"/>
          <w:lang w:eastAsia="es-MX"/>
        </w:rPr>
      </w:pPr>
    </w:p>
    <w:p w:rsidR="00D038D9" w:rsidRDefault="00D038D9" w:rsidP="00FC240E">
      <w:pPr>
        <w:spacing w:after="0" w:line="360" w:lineRule="auto"/>
        <w:jc w:val="both"/>
        <w:rPr>
          <w:rFonts w:ascii="Palatino Linotype" w:hAnsi="Palatino Linotype" w:cs="Arial"/>
          <w:bCs/>
          <w:sz w:val="24"/>
          <w:lang w:eastAsia="es-MX"/>
        </w:rPr>
      </w:pPr>
    </w:p>
    <w:p w:rsidR="00AC5A01"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OCTAVO</w:t>
      </w:r>
      <w:r w:rsidR="00AC5A01" w:rsidRPr="006E24E8">
        <w:rPr>
          <w:rFonts w:ascii="Palatino Linotype" w:hAnsi="Palatino Linotype" w:cs="Arial"/>
          <w:b/>
          <w:sz w:val="26"/>
          <w:szCs w:val="26"/>
        </w:rPr>
        <w:t>. Del Recurso de Inconformidad.</w:t>
      </w:r>
    </w:p>
    <w:p w:rsidR="00A551CE" w:rsidRDefault="00AC5A01" w:rsidP="00FC240E">
      <w:pPr>
        <w:spacing w:after="0" w:line="360" w:lineRule="auto"/>
        <w:jc w:val="both"/>
        <w:rPr>
          <w:rFonts w:ascii="Palatino Linotype" w:hAnsi="Palatino Linotype" w:cs="Arial"/>
          <w:b/>
          <w:sz w:val="24"/>
        </w:rPr>
      </w:pPr>
      <w:r w:rsidRPr="00AC5A01">
        <w:rPr>
          <w:rFonts w:ascii="Palatino Linotype" w:hAnsi="Palatino Linotype" w:cs="Arial"/>
          <w:sz w:val="24"/>
        </w:rPr>
        <w:t xml:space="preserve">En fecha </w:t>
      </w:r>
      <w:r w:rsidR="00DC6B21">
        <w:rPr>
          <w:rFonts w:ascii="Palatino Linotype" w:hAnsi="Palatino Linotype" w:cs="Arial"/>
          <w:sz w:val="24"/>
        </w:rPr>
        <w:t xml:space="preserve">diecinueve de octubre de dos mil veinte, la particular interpuso el recurso de inconformidad ante el Instituto Nacional, en términos de lo dispuesto en los artículos </w:t>
      </w:r>
      <w:r w:rsidR="00DC6B21">
        <w:rPr>
          <w:rFonts w:ascii="Palatino Linotype" w:hAnsi="Palatino Linotype" w:cs="Arial"/>
          <w:sz w:val="24"/>
        </w:rPr>
        <w:lastRenderedPageBreak/>
        <w:t xml:space="preserve">159, 160, 161 y demás aplicables de la Ley General de Transparencia y Acceso a la Información Pública, en contra de la resolución al recurso de revisión </w:t>
      </w:r>
      <w:r w:rsidR="00DC6B21">
        <w:rPr>
          <w:rFonts w:ascii="Palatino Linotype" w:hAnsi="Palatino Linotype" w:cs="Arial"/>
          <w:b/>
          <w:sz w:val="24"/>
        </w:rPr>
        <w:t xml:space="preserve">02760/INFOEM/IP/RR/2020. </w:t>
      </w:r>
    </w:p>
    <w:p w:rsidR="00A551CE" w:rsidRDefault="00DC6B21" w:rsidP="00DC6B21">
      <w:pPr>
        <w:spacing w:after="0" w:line="360" w:lineRule="auto"/>
        <w:jc w:val="both"/>
        <w:rPr>
          <w:rFonts w:ascii="Palatino Linotype" w:hAnsi="Palatino Linotype" w:cs="Arial"/>
          <w:sz w:val="24"/>
        </w:rPr>
      </w:pPr>
      <w:r>
        <w:rPr>
          <w:rFonts w:ascii="Palatino Linotype" w:hAnsi="Palatino Linotype" w:cs="Arial"/>
          <w:sz w:val="24"/>
        </w:rPr>
        <w:t xml:space="preserve">Recurso que fue turnado a la Ponencia del Comisionado </w:t>
      </w:r>
      <w:r>
        <w:rPr>
          <w:rFonts w:ascii="Palatino Linotype" w:hAnsi="Palatino Linotype" w:cs="Arial"/>
          <w:b/>
          <w:sz w:val="24"/>
        </w:rPr>
        <w:t xml:space="preserve">Francisco Javier Acuña Llamas, </w:t>
      </w:r>
      <w:r>
        <w:rPr>
          <w:rFonts w:ascii="Palatino Linotype" w:hAnsi="Palatino Linotype" w:cs="Arial"/>
          <w:sz w:val="24"/>
        </w:rPr>
        <w:t xml:space="preserve">teniéndose por admitido, mediante acuerdo de fecha veintitrés de octubre de dos mil veinte, registrándose bajo el número de expediente </w:t>
      </w:r>
      <w:r>
        <w:rPr>
          <w:rFonts w:ascii="Palatino Linotype" w:hAnsi="Palatino Linotype" w:cs="Arial"/>
          <w:b/>
          <w:sz w:val="24"/>
        </w:rPr>
        <w:t xml:space="preserve">RIA 149/20 </w:t>
      </w:r>
    </w:p>
    <w:p w:rsidR="00DC6B21" w:rsidRDefault="00DC6B21" w:rsidP="00FC240E">
      <w:pPr>
        <w:spacing w:after="0" w:line="360" w:lineRule="auto"/>
        <w:jc w:val="both"/>
        <w:rPr>
          <w:rFonts w:ascii="Palatino Linotype" w:hAnsi="Palatino Linotype" w:cs="Arial"/>
          <w:b/>
          <w:sz w:val="26"/>
          <w:szCs w:val="26"/>
        </w:rPr>
      </w:pPr>
    </w:p>
    <w:p w:rsidR="00AC5A01"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NOVENO</w:t>
      </w:r>
      <w:r w:rsidR="00AC5A01" w:rsidRPr="006E24E8">
        <w:rPr>
          <w:rFonts w:ascii="Palatino Linotype" w:hAnsi="Palatino Linotype" w:cs="Arial"/>
          <w:b/>
          <w:sz w:val="26"/>
          <w:szCs w:val="26"/>
        </w:rPr>
        <w:t>. Resolución del Recurso de Inconformidad.</w:t>
      </w:r>
    </w:p>
    <w:p w:rsidR="00871BEA" w:rsidRPr="00871BEA" w:rsidRDefault="002B1AAC" w:rsidP="00FC240E">
      <w:pPr>
        <w:spacing w:after="0" w:line="360" w:lineRule="auto"/>
        <w:jc w:val="both"/>
        <w:rPr>
          <w:rFonts w:ascii="Palatino Linotype" w:hAnsi="Palatino Linotype" w:cs="Arial"/>
          <w:sz w:val="24"/>
          <w:szCs w:val="24"/>
        </w:rPr>
      </w:pPr>
      <w:r w:rsidRPr="002B1AAC">
        <w:rPr>
          <w:rFonts w:ascii="Palatino Linotype" w:hAnsi="Palatino Linotype" w:cs="Arial"/>
          <w:sz w:val="24"/>
          <w:szCs w:val="24"/>
        </w:rPr>
        <w:t>El Instituto Nacional de T</w:t>
      </w:r>
      <w:r>
        <w:rPr>
          <w:rFonts w:ascii="Palatino Linotype" w:hAnsi="Palatino Linotype" w:cs="Arial"/>
          <w:sz w:val="24"/>
          <w:szCs w:val="24"/>
        </w:rPr>
        <w:t xml:space="preserve">ransparencia, Acceso a la Información y Protección de Datos Personales en fecha </w:t>
      </w:r>
      <w:r w:rsidR="00DC6B21">
        <w:rPr>
          <w:rFonts w:ascii="Palatino Linotype" w:hAnsi="Palatino Linotype" w:cs="Arial"/>
          <w:sz w:val="24"/>
          <w:szCs w:val="24"/>
        </w:rPr>
        <w:t xml:space="preserve">veintiséis de enero de dos mil veintiuno, resolvió el recurso de inconformidad </w:t>
      </w:r>
      <w:r w:rsidR="00DC6B21">
        <w:rPr>
          <w:rFonts w:ascii="Palatino Linotype" w:hAnsi="Palatino Linotype" w:cs="Arial"/>
          <w:b/>
          <w:sz w:val="24"/>
          <w:szCs w:val="24"/>
        </w:rPr>
        <w:t xml:space="preserve">RIA 149/20, </w:t>
      </w:r>
      <w:r w:rsidR="00871BEA">
        <w:rPr>
          <w:rFonts w:ascii="Palatino Linotype" w:hAnsi="Palatino Linotype" w:cs="Arial"/>
          <w:sz w:val="24"/>
          <w:szCs w:val="24"/>
        </w:rPr>
        <w:t xml:space="preserve">bajo los siguientes puntos resolutivos: </w:t>
      </w:r>
    </w:p>
    <w:p w:rsidR="009A3081" w:rsidRDefault="00871BEA" w:rsidP="009A3081">
      <w:pPr>
        <w:pStyle w:val="INFOEM"/>
      </w:pPr>
      <w:r w:rsidRPr="009A3081">
        <w:rPr>
          <w:b/>
        </w:rPr>
        <w:t>“</w:t>
      </w:r>
      <w:r w:rsidR="009A3081" w:rsidRPr="009A3081">
        <w:rPr>
          <w:b/>
        </w:rPr>
        <w:t>PRIMERO.</w:t>
      </w:r>
      <w:r w:rsidR="009A3081" w:rsidRPr="009A3081">
        <w:t xml:space="preserve"> Con fundamento en el artículo 170, fracción III de la Ley General de Transparencia y Acceso a la Información Pública, se revoca la resolución emitida por el Organismo Garante Local, en los términos de los considerandos de la presente resolución. </w:t>
      </w:r>
    </w:p>
    <w:p w:rsidR="009A3081" w:rsidRDefault="009A3081" w:rsidP="009A3081">
      <w:pPr>
        <w:pStyle w:val="INFOEM"/>
      </w:pPr>
      <w:r w:rsidRPr="009A3081">
        <w:rPr>
          <w:b/>
        </w:rPr>
        <w:t>SEGUNDO.</w:t>
      </w:r>
      <w:r w:rsidRPr="009A3081">
        <w:t xml:space="preserve"> Con fundamento en el artículo 172 de la Ley General de Transparencia y Acceso a la Información Pública, se instruye al Pleno del Instituto de Transparencia, Acceso a la Información Pública y Protección de Datos Personales del Estado de México y Municipios a que expida una nueva resolución en los términos ordenados y previstos en la presente resolución; lo anterior, en el plazo de quince días, contados a partir del día siguiente al de la notificación de la misma; asimismo deberá seguir el procedimiento previsto en los artículo 173, 174 y 176 de la misma Ley. </w:t>
      </w:r>
    </w:p>
    <w:p w:rsidR="009A3081" w:rsidRDefault="009A3081" w:rsidP="009A3081">
      <w:pPr>
        <w:pStyle w:val="INFOEM"/>
      </w:pPr>
      <w:r w:rsidRPr="009A3081">
        <w:rPr>
          <w:b/>
        </w:rPr>
        <w:lastRenderedPageBreak/>
        <w:t>TERCERO.</w:t>
      </w:r>
      <w:r w:rsidRPr="009A3081">
        <w:t xml:space="preserve"> Se instruye a la Secretaría Técnica del Pleno, para que, a través de la Dirección General de Cumplimientos y Responsabilidades de este Instituto, verifique que el organismo garante local cumpla con la presente resolución y dé el seguimiento que corresponda, de conformidad con lo previsto en los artículos 173, 174, 175, 176 y 177 de la Ley General de Transparencia y Acceso a la Información Pública. </w:t>
      </w:r>
    </w:p>
    <w:p w:rsidR="009A3081" w:rsidRDefault="009A3081" w:rsidP="009A3081">
      <w:pPr>
        <w:pStyle w:val="INFOEM"/>
      </w:pPr>
      <w:r w:rsidRPr="009A3081">
        <w:rPr>
          <w:b/>
        </w:rPr>
        <w:t>CUARTO.</w:t>
      </w:r>
      <w:r w:rsidRPr="009A3081">
        <w:t xml:space="preserve"> Se hace del conocimiento de la hoy recurrente que, en caso de encontrarse insatisfecha con la presente resolución, le asiste el derecho de impugnarla ante el Poder Judicial de la Federación, con fundamento en lo previsto en el artículo 180, de la Ley General de Transparencia y Acceso a la Información Pública. </w:t>
      </w:r>
    </w:p>
    <w:p w:rsidR="009A3081" w:rsidRDefault="009A3081" w:rsidP="009A3081">
      <w:pPr>
        <w:pStyle w:val="INFOEM"/>
      </w:pPr>
      <w:r w:rsidRPr="009A3081">
        <w:rPr>
          <w:b/>
        </w:rPr>
        <w:t>QUINTO.</w:t>
      </w:r>
      <w:r w:rsidRPr="009A3081">
        <w:t xml:space="preserve"> Con fundamento en el artículo 170, último párrafo, de la Ley General de Transparencia y Acceso a la Información Pública, notifíquese la presente resolución a la hoy recurrente y al Instituto de Transparencia, Acceso a la Información Pública y Protección de Datos Personales del Estado de México y Municipios. </w:t>
      </w:r>
    </w:p>
    <w:p w:rsidR="009A3081" w:rsidRDefault="009A3081" w:rsidP="009A3081">
      <w:pPr>
        <w:pStyle w:val="INFOEM"/>
      </w:pPr>
      <w:r w:rsidRPr="009A3081">
        <w:rPr>
          <w:b/>
        </w:rPr>
        <w:t>SEXTO.</w:t>
      </w:r>
      <w:r w:rsidRPr="009A3081">
        <w:t xml:space="preserve"> Se pone a disposición de la recurrente para su atención el teléfono 800 TELINAI (835 4324) y el correo electrónico vigilancia@inai.org.mx para que comunique a este Instituto cualquier incumplimiento a la presente resolución. </w:t>
      </w:r>
    </w:p>
    <w:p w:rsidR="009A3081" w:rsidRDefault="009A3081" w:rsidP="009A3081">
      <w:pPr>
        <w:pStyle w:val="INFOEM"/>
      </w:pPr>
      <w:r w:rsidRPr="009A3081">
        <w:rPr>
          <w:b/>
        </w:rPr>
        <w:t>SÉPTIMO.</w:t>
      </w:r>
      <w:r w:rsidRPr="009A3081">
        <w:t xml:space="preserve"> Se instruye a la Secretaria Técnica del Pleno que, con fundamento en lo dispuesto en el artículo 45, fracción IV, de la Ley Federal de Transparencia y Acceso a la Información Pública, expida certificación de la presente resolución, para proceder a su ejecución. </w:t>
      </w:r>
    </w:p>
    <w:p w:rsidR="009A3081" w:rsidRDefault="009A3081" w:rsidP="009A3081">
      <w:pPr>
        <w:pStyle w:val="INFOEM"/>
      </w:pPr>
      <w:r w:rsidRPr="009A3081">
        <w:rPr>
          <w:b/>
        </w:rPr>
        <w:t>OCTAVO.</w:t>
      </w:r>
      <w:r w:rsidRPr="009A3081">
        <w:t xml:space="preserve"> Háganse las anotaciones correspondientes en los registros respectivos.</w:t>
      </w:r>
      <w:r>
        <w:t xml:space="preserve">” </w:t>
      </w:r>
      <w:r>
        <w:rPr>
          <w:b/>
        </w:rPr>
        <w:t>[Sic]</w:t>
      </w:r>
      <w:r w:rsidRPr="009A3081">
        <w:t xml:space="preserve"> </w:t>
      </w:r>
    </w:p>
    <w:p w:rsidR="00871BEA" w:rsidRPr="009A3081" w:rsidRDefault="00871BEA" w:rsidP="009A3081">
      <w:pPr>
        <w:pStyle w:val="INFOEM"/>
      </w:pPr>
      <w:r w:rsidRPr="009A3081">
        <w:t xml:space="preserve"> </w:t>
      </w:r>
    </w:p>
    <w:p w:rsidR="00AC5A01" w:rsidRPr="006E24E8" w:rsidRDefault="00E86C05" w:rsidP="00FC240E">
      <w:pPr>
        <w:spacing w:after="0" w:line="360" w:lineRule="auto"/>
        <w:jc w:val="both"/>
        <w:rPr>
          <w:rFonts w:ascii="Palatino Linotype" w:hAnsi="Palatino Linotype"/>
          <w:sz w:val="26"/>
          <w:szCs w:val="26"/>
        </w:rPr>
      </w:pPr>
      <w:r w:rsidRPr="006E24E8">
        <w:rPr>
          <w:rFonts w:ascii="Palatino Linotype" w:hAnsi="Palatino Linotype" w:cs="Arial"/>
          <w:b/>
          <w:sz w:val="26"/>
          <w:szCs w:val="26"/>
        </w:rPr>
        <w:lastRenderedPageBreak/>
        <w:t>DÉCIMO</w:t>
      </w:r>
      <w:r w:rsidR="00AC5A01" w:rsidRPr="006E24E8">
        <w:rPr>
          <w:rFonts w:ascii="Palatino Linotype" w:hAnsi="Palatino Linotype" w:cs="Arial"/>
          <w:b/>
          <w:sz w:val="26"/>
          <w:szCs w:val="26"/>
        </w:rPr>
        <w:t>.</w:t>
      </w:r>
      <w:r w:rsidR="00AC5A01" w:rsidRPr="006E24E8">
        <w:rPr>
          <w:rFonts w:ascii="Palatino Linotype" w:hAnsi="Palatino Linotype" w:cs="Arial"/>
          <w:sz w:val="26"/>
          <w:szCs w:val="26"/>
        </w:rPr>
        <w:t xml:space="preserve"> </w:t>
      </w:r>
      <w:r w:rsidR="00AC5A01" w:rsidRPr="006E24E8">
        <w:rPr>
          <w:rFonts w:ascii="Palatino Linotype" w:hAnsi="Palatino Linotype"/>
          <w:b/>
          <w:sz w:val="26"/>
          <w:szCs w:val="26"/>
        </w:rPr>
        <w:t>De</w:t>
      </w:r>
      <w:r w:rsidR="005011FA" w:rsidRPr="006E24E8">
        <w:rPr>
          <w:rFonts w:ascii="Palatino Linotype" w:hAnsi="Palatino Linotype"/>
          <w:b/>
          <w:sz w:val="26"/>
          <w:szCs w:val="26"/>
        </w:rPr>
        <w:t>l cumplimiento al Recurso de Inconformidad</w:t>
      </w:r>
      <w:r w:rsidR="00AC5A01" w:rsidRPr="006E24E8">
        <w:rPr>
          <w:rFonts w:ascii="Palatino Linotype" w:hAnsi="Palatino Linotype"/>
          <w:b/>
          <w:sz w:val="26"/>
          <w:szCs w:val="26"/>
        </w:rPr>
        <w:t>.</w:t>
      </w:r>
    </w:p>
    <w:p w:rsidR="00DC6B21" w:rsidRPr="00DC6B21" w:rsidRDefault="005011FA" w:rsidP="00FC240E">
      <w:pPr>
        <w:spacing w:after="0" w:line="360" w:lineRule="auto"/>
        <w:jc w:val="both"/>
        <w:rPr>
          <w:rFonts w:ascii="Palatino Linotype" w:hAnsi="Palatino Linotype" w:cs="Arial"/>
          <w:sz w:val="24"/>
        </w:rPr>
      </w:pPr>
      <w:r>
        <w:rPr>
          <w:rFonts w:ascii="Palatino Linotype" w:hAnsi="Palatino Linotype" w:cs="Arial"/>
          <w:sz w:val="24"/>
        </w:rPr>
        <w:t xml:space="preserve">Atentos a lo resuelto por el </w:t>
      </w:r>
      <w:r w:rsidRPr="005011FA">
        <w:rPr>
          <w:rFonts w:ascii="Palatino Linotype" w:hAnsi="Palatino Linotype" w:cs="Arial"/>
          <w:sz w:val="24"/>
        </w:rPr>
        <w:t>Instituto Nacional de Transparencia, Acceso a la Información y Protección de Datos Personales</w:t>
      </w:r>
      <w:r>
        <w:rPr>
          <w:rFonts w:ascii="Palatino Linotype" w:hAnsi="Palatino Linotype" w:cs="Arial"/>
          <w:sz w:val="24"/>
        </w:rPr>
        <w:t xml:space="preserve">, de conformidad con </w:t>
      </w:r>
      <w:r w:rsidRPr="005011FA">
        <w:rPr>
          <w:rFonts w:ascii="Palatino Linotype" w:hAnsi="Palatino Linotype" w:cs="Arial"/>
          <w:sz w:val="24"/>
        </w:rPr>
        <w:t>lo dispuesto por el artículo 172 de la Ley General de Transparencia y Acceso a la Información Pública, se deja sin efecto</w:t>
      </w:r>
      <w:r w:rsidR="00E531E1">
        <w:rPr>
          <w:rFonts w:ascii="Palatino Linotype" w:hAnsi="Palatino Linotype" w:cs="Arial"/>
          <w:sz w:val="24"/>
        </w:rPr>
        <w:t>s</w:t>
      </w:r>
      <w:r w:rsidRPr="005011FA">
        <w:rPr>
          <w:rFonts w:ascii="Palatino Linotype" w:hAnsi="Palatino Linotype" w:cs="Arial"/>
          <w:sz w:val="24"/>
        </w:rPr>
        <w:t xml:space="preserve"> la resolución recaída en </w:t>
      </w:r>
      <w:r w:rsidR="00DC6B21">
        <w:rPr>
          <w:rFonts w:ascii="Palatino Linotype" w:hAnsi="Palatino Linotype" w:cs="Arial"/>
          <w:sz w:val="24"/>
        </w:rPr>
        <w:t xml:space="preserve">el recurso de revisión </w:t>
      </w:r>
      <w:r w:rsidR="00DC6B21">
        <w:rPr>
          <w:rFonts w:ascii="Palatino Linotype" w:hAnsi="Palatino Linotype" w:cs="Arial"/>
          <w:b/>
          <w:sz w:val="24"/>
        </w:rPr>
        <w:t xml:space="preserve">02760/INFOEM/IP/RR/2020, </w:t>
      </w:r>
      <w:r w:rsidR="00DC6B21">
        <w:rPr>
          <w:rFonts w:ascii="Palatino Linotype" w:hAnsi="Palatino Linotype" w:cs="Arial"/>
          <w:sz w:val="24"/>
        </w:rPr>
        <w:t xml:space="preserve">y en su lugar se dicta la presente resolución. </w:t>
      </w:r>
    </w:p>
    <w:p w:rsidR="00DC6B21" w:rsidRDefault="00DC6B21" w:rsidP="00FC240E">
      <w:pPr>
        <w:spacing w:after="0" w:line="360" w:lineRule="auto"/>
        <w:jc w:val="both"/>
        <w:rPr>
          <w:rFonts w:ascii="Palatino Linotype" w:hAnsi="Palatino Linotype" w:cs="Arial"/>
          <w:sz w:val="24"/>
        </w:rPr>
      </w:pPr>
    </w:p>
    <w:p w:rsidR="00DC6B21" w:rsidRDefault="00DC6B21" w:rsidP="00FC240E">
      <w:pPr>
        <w:spacing w:after="0" w:line="360" w:lineRule="auto"/>
        <w:jc w:val="both"/>
        <w:rPr>
          <w:rFonts w:ascii="Palatino Linotype" w:hAnsi="Palatino Linotype" w:cs="Arial"/>
          <w:sz w:val="24"/>
        </w:rPr>
      </w:pPr>
    </w:p>
    <w:p w:rsidR="00AC5A01" w:rsidRPr="006315EA" w:rsidRDefault="00AC5A01" w:rsidP="00FC240E">
      <w:pPr>
        <w:spacing w:after="0" w:line="360" w:lineRule="auto"/>
        <w:jc w:val="both"/>
        <w:rPr>
          <w:rFonts w:ascii="Palatino Linotype" w:hAnsi="Palatino Linotype" w:cs="Arial"/>
          <w:sz w:val="2"/>
          <w:szCs w:val="24"/>
        </w:rPr>
      </w:pPr>
    </w:p>
    <w:p w:rsidR="00AC5A01" w:rsidRPr="006315EA" w:rsidRDefault="00AC5A01" w:rsidP="00FC240E">
      <w:pPr>
        <w:spacing w:after="0" w:line="360" w:lineRule="auto"/>
        <w:jc w:val="center"/>
        <w:rPr>
          <w:rFonts w:ascii="Palatino Linotype" w:hAnsi="Palatino Linotype" w:cs="Arial"/>
          <w:b/>
          <w:sz w:val="28"/>
        </w:rPr>
      </w:pPr>
      <w:r w:rsidRPr="006315EA">
        <w:rPr>
          <w:rFonts w:ascii="Palatino Linotype" w:hAnsi="Palatino Linotype" w:cs="Arial"/>
          <w:b/>
          <w:sz w:val="28"/>
        </w:rPr>
        <w:t xml:space="preserve">C O N S I D E R A N D O </w:t>
      </w:r>
    </w:p>
    <w:p w:rsidR="00AC5A01" w:rsidRPr="006315EA" w:rsidRDefault="00AC5A01" w:rsidP="00FC240E">
      <w:pPr>
        <w:spacing w:after="0" w:line="360" w:lineRule="auto"/>
        <w:jc w:val="both"/>
        <w:rPr>
          <w:rFonts w:ascii="Palatino Linotype" w:hAnsi="Palatino Linotype" w:cs="Arial"/>
          <w:b/>
          <w:sz w:val="24"/>
        </w:rPr>
      </w:pPr>
    </w:p>
    <w:p w:rsidR="00AC5A01" w:rsidRPr="006E24E8" w:rsidRDefault="00AC5A01" w:rsidP="00FC240E">
      <w:pPr>
        <w:spacing w:after="0" w:line="360" w:lineRule="auto"/>
        <w:jc w:val="both"/>
        <w:rPr>
          <w:rFonts w:ascii="Palatino Linotype" w:hAnsi="Palatino Linotype" w:cs="Arial"/>
          <w:sz w:val="26"/>
          <w:szCs w:val="26"/>
        </w:rPr>
      </w:pPr>
      <w:r w:rsidRPr="006E24E8">
        <w:rPr>
          <w:rFonts w:ascii="Palatino Linotype" w:hAnsi="Palatino Linotype" w:cs="Arial"/>
          <w:b/>
          <w:sz w:val="26"/>
          <w:szCs w:val="26"/>
        </w:rPr>
        <w:t>PRIMERO. De la competencia</w:t>
      </w:r>
      <w:r w:rsidRPr="006E24E8">
        <w:rPr>
          <w:rFonts w:ascii="Palatino Linotype" w:hAnsi="Palatino Linotype" w:cs="Arial"/>
          <w:sz w:val="26"/>
          <w:szCs w:val="26"/>
        </w:rPr>
        <w:t>.</w:t>
      </w:r>
    </w:p>
    <w:p w:rsidR="002B1AAC" w:rsidRDefault="002B1AAC" w:rsidP="002B1AA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B1AAC" w:rsidRDefault="002B1AAC" w:rsidP="002B1AAC">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51251" w:rsidRDefault="00251251" w:rsidP="002B1AAC">
      <w:pPr>
        <w:spacing w:after="0" w:line="360" w:lineRule="auto"/>
        <w:jc w:val="both"/>
        <w:rPr>
          <w:rFonts w:ascii="Palatino Linotype" w:hAnsi="Palatino Linotype" w:cs="Arial"/>
          <w:sz w:val="24"/>
          <w:szCs w:val="24"/>
        </w:rPr>
      </w:pPr>
    </w:p>
    <w:p w:rsidR="00AC5A01" w:rsidRDefault="00AC5A01" w:rsidP="00FC240E">
      <w:pPr>
        <w:autoSpaceDE w:val="0"/>
        <w:autoSpaceDN w:val="0"/>
        <w:adjustRightInd w:val="0"/>
        <w:spacing w:after="0" w:line="360" w:lineRule="auto"/>
        <w:jc w:val="both"/>
        <w:rPr>
          <w:rFonts w:ascii="Palatino Linotype" w:hAnsi="Palatino Linotype" w:cs="Arial"/>
          <w:b/>
          <w:sz w:val="24"/>
          <w:szCs w:val="28"/>
        </w:rPr>
      </w:pPr>
    </w:p>
    <w:p w:rsidR="008C186A" w:rsidRPr="006E24E8" w:rsidRDefault="008C186A" w:rsidP="00FC240E">
      <w:pPr>
        <w:pStyle w:val="Prrafodelista"/>
        <w:autoSpaceDE w:val="0"/>
        <w:autoSpaceDN w:val="0"/>
        <w:adjustRightInd w:val="0"/>
        <w:spacing w:line="360" w:lineRule="auto"/>
        <w:ind w:left="0"/>
        <w:jc w:val="both"/>
        <w:rPr>
          <w:rFonts w:ascii="Palatino Linotype" w:hAnsi="Palatino Linotype" w:cs="Arial"/>
          <w:b/>
          <w:sz w:val="26"/>
          <w:szCs w:val="26"/>
        </w:rPr>
      </w:pPr>
      <w:r w:rsidRPr="006E24E8">
        <w:rPr>
          <w:rFonts w:ascii="Palatino Linotype" w:hAnsi="Palatino Linotype" w:cs="Arial"/>
          <w:b/>
          <w:sz w:val="26"/>
          <w:szCs w:val="26"/>
        </w:rPr>
        <w:t xml:space="preserve">SEGUNDO. </w:t>
      </w:r>
      <w:r w:rsidRPr="006E24E8">
        <w:rPr>
          <w:rFonts w:ascii="Palatino Linotype" w:eastAsiaTheme="minorHAnsi" w:hAnsi="Palatino Linotype" w:cs="Arial"/>
          <w:b/>
          <w:sz w:val="26"/>
          <w:szCs w:val="26"/>
          <w:lang w:val="es-MX" w:eastAsia="en-US"/>
        </w:rPr>
        <w:t>Lineamientos fijados por el Instituto Nacional de Transparencia, Acceso a la Información y Protección de Datos Personales sobre el cumplimiento al fallo emitido.</w:t>
      </w:r>
    </w:p>
    <w:p w:rsidR="002B1AAC" w:rsidRDefault="008C186A" w:rsidP="00FC240E">
      <w:pPr>
        <w:pStyle w:val="Prrafodelista"/>
        <w:autoSpaceDE w:val="0"/>
        <w:autoSpaceDN w:val="0"/>
        <w:adjustRightInd w:val="0"/>
        <w:spacing w:line="360" w:lineRule="auto"/>
        <w:ind w:left="0"/>
        <w:jc w:val="both"/>
        <w:rPr>
          <w:rFonts w:ascii="Palatino Linotype" w:hAnsi="Palatino Linotype" w:cs="Arial"/>
        </w:rPr>
      </w:pPr>
      <w:r w:rsidRPr="006A15B8">
        <w:rPr>
          <w:rFonts w:ascii="Palatino Linotype" w:hAnsi="Palatino Linotype" w:cs="Arial"/>
        </w:rPr>
        <w:t xml:space="preserve">Los Comisionados del Instituto Nacional, en el considerando </w:t>
      </w:r>
      <w:r w:rsidR="00281C78">
        <w:rPr>
          <w:rFonts w:ascii="Palatino Linotype" w:hAnsi="Palatino Linotype" w:cs="Arial"/>
        </w:rPr>
        <w:t>Tercero</w:t>
      </w:r>
      <w:r w:rsidR="002B1AAC">
        <w:rPr>
          <w:rFonts w:ascii="Palatino Linotype" w:hAnsi="Palatino Linotype" w:cs="Arial"/>
        </w:rPr>
        <w:t xml:space="preserve"> del  fallo emitido en fecha </w:t>
      </w:r>
      <w:r w:rsidR="00281C78">
        <w:rPr>
          <w:rFonts w:ascii="Palatino Linotype" w:hAnsi="Palatino Linotype" w:cs="Arial"/>
        </w:rPr>
        <w:t>veintiséis</w:t>
      </w:r>
      <w:r w:rsidR="002B1AAC">
        <w:rPr>
          <w:rFonts w:ascii="Palatino Linotype" w:hAnsi="Palatino Linotype" w:cs="Arial"/>
        </w:rPr>
        <w:t xml:space="preserve"> de enero de dos mil veintiuno, sostuvieron que los agravios hechos valer por la inconforme resultaban fundados, ordenando a este Órgano garante a emitir una nueva resolución en los términos planteados en dicho considerando. </w:t>
      </w:r>
    </w:p>
    <w:p w:rsidR="002B1AAC" w:rsidRDefault="002B1AAC" w:rsidP="00FC240E">
      <w:pPr>
        <w:pStyle w:val="Prrafodelista"/>
        <w:autoSpaceDE w:val="0"/>
        <w:autoSpaceDN w:val="0"/>
        <w:adjustRightInd w:val="0"/>
        <w:spacing w:line="360" w:lineRule="auto"/>
        <w:ind w:left="0"/>
        <w:jc w:val="both"/>
        <w:rPr>
          <w:rFonts w:ascii="Palatino Linotype" w:hAnsi="Palatino Linotype" w:cs="Arial"/>
        </w:rPr>
      </w:pPr>
    </w:p>
    <w:p w:rsidR="00AC5A01" w:rsidRPr="006315EA" w:rsidRDefault="00AC5A01" w:rsidP="00FC240E">
      <w:pPr>
        <w:autoSpaceDE w:val="0"/>
        <w:autoSpaceDN w:val="0"/>
        <w:adjustRightInd w:val="0"/>
        <w:spacing w:after="0" w:line="360" w:lineRule="auto"/>
        <w:jc w:val="both"/>
        <w:rPr>
          <w:rFonts w:ascii="Palatino Linotype" w:hAnsi="Palatino Linotype" w:cs="Arial"/>
          <w:b/>
          <w:sz w:val="32"/>
          <w:szCs w:val="28"/>
        </w:rPr>
      </w:pPr>
      <w:r w:rsidRPr="006315EA">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6315EA">
        <w:rPr>
          <w:rFonts w:ascii="Palatino Linotype" w:hAnsi="Palatino Linotype" w:cs="Arial"/>
          <w:sz w:val="24"/>
        </w:rPr>
        <w:lastRenderedPageBreak/>
        <w:t>afectación al derecho de acceso a la información pública y garantizando el principio rector de máxima publicidad.</w:t>
      </w:r>
    </w:p>
    <w:p w:rsidR="00AC5A01" w:rsidRPr="007E0F6B" w:rsidRDefault="00AC5A01" w:rsidP="00FC240E">
      <w:pPr>
        <w:spacing w:after="0" w:line="360" w:lineRule="auto"/>
        <w:jc w:val="both"/>
        <w:rPr>
          <w:rFonts w:ascii="Palatino Linotype" w:hAnsi="Palatino Linotype" w:cs="Arial"/>
          <w:sz w:val="24"/>
          <w:szCs w:val="28"/>
        </w:rPr>
      </w:pPr>
    </w:p>
    <w:p w:rsidR="007E0F6B" w:rsidRDefault="007E0F6B" w:rsidP="00FC240E">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B1AAC" w:rsidRDefault="002B1AAC" w:rsidP="00FC240E">
      <w:pPr>
        <w:spacing w:after="0" w:line="360" w:lineRule="auto"/>
        <w:jc w:val="both"/>
        <w:rPr>
          <w:rFonts w:ascii="Palatino Linotype" w:hAnsi="Palatino Linotype" w:cs="Arial"/>
          <w:sz w:val="24"/>
          <w:szCs w:val="24"/>
        </w:rPr>
      </w:pPr>
    </w:p>
    <w:p w:rsidR="002B1AAC" w:rsidRDefault="002B1AAC" w:rsidP="00FC240E">
      <w:pPr>
        <w:spacing w:after="0" w:line="360" w:lineRule="auto"/>
        <w:jc w:val="both"/>
        <w:rPr>
          <w:rFonts w:ascii="Palatino Linotype" w:hAnsi="Palatino Linotype" w:cs="Arial"/>
          <w:sz w:val="24"/>
          <w:szCs w:val="24"/>
        </w:rPr>
      </w:pPr>
    </w:p>
    <w:p w:rsidR="007E0F6B" w:rsidRPr="007E0F6B" w:rsidRDefault="007E0F6B" w:rsidP="00FC240E">
      <w:pPr>
        <w:spacing w:after="0" w:line="360" w:lineRule="auto"/>
        <w:jc w:val="both"/>
        <w:rPr>
          <w:rFonts w:ascii="Palatino Linotype" w:hAnsi="Palatino Linotype" w:cs="Arial"/>
          <w:sz w:val="24"/>
          <w:szCs w:val="28"/>
        </w:rPr>
      </w:pPr>
    </w:p>
    <w:p w:rsidR="00AC5A01" w:rsidRPr="006E24E8" w:rsidRDefault="00AC5A01"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TERCERO. De las causas de improcedencia.</w:t>
      </w:r>
    </w:p>
    <w:p w:rsidR="00AC5A01" w:rsidRDefault="00AC5A01" w:rsidP="00FC240E">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6315EA">
        <w:rPr>
          <w:rFonts w:ascii="Palatino Linotype" w:hAnsi="Palatino Linotype" w:cs="Arial"/>
        </w:rPr>
        <w:lastRenderedPageBreak/>
        <w:t>a la justicia, ya que éste no se coarta por regular causas de improcedencia y sobreseimiento con tales fines</w:t>
      </w:r>
      <w:r w:rsidRPr="006315EA">
        <w:rPr>
          <w:rStyle w:val="Refdenotaalpie"/>
          <w:rFonts w:ascii="Palatino Linotype" w:hAnsi="Palatino Linotype" w:cs="Arial"/>
        </w:rPr>
        <w:footnoteReference w:id="1"/>
      </w:r>
      <w:r w:rsidRPr="006315EA">
        <w:rPr>
          <w:rFonts w:ascii="Palatino Linotype" w:hAnsi="Palatino Linotype" w:cs="Arial"/>
        </w:rPr>
        <w:t>.</w:t>
      </w:r>
    </w:p>
    <w:p w:rsidR="00AC5A01" w:rsidRDefault="00AC5A01" w:rsidP="00FC240E">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C6B21" w:rsidRPr="006315EA" w:rsidRDefault="00DC6B21" w:rsidP="00FC240E">
      <w:pPr>
        <w:pStyle w:val="Prrafodelista"/>
        <w:autoSpaceDE w:val="0"/>
        <w:autoSpaceDN w:val="0"/>
        <w:adjustRightInd w:val="0"/>
        <w:spacing w:line="360" w:lineRule="auto"/>
        <w:ind w:left="0"/>
        <w:jc w:val="both"/>
        <w:rPr>
          <w:rFonts w:ascii="Palatino Linotype" w:hAnsi="Palatino Linotype" w:cs="Arial"/>
        </w:rPr>
      </w:pPr>
    </w:p>
    <w:p w:rsidR="00AC5A01" w:rsidRDefault="00AC5A01" w:rsidP="00FC240E">
      <w:pPr>
        <w:pStyle w:val="Prrafodelista"/>
        <w:autoSpaceDE w:val="0"/>
        <w:autoSpaceDN w:val="0"/>
        <w:adjustRightInd w:val="0"/>
        <w:spacing w:line="360" w:lineRule="auto"/>
        <w:ind w:left="0"/>
        <w:jc w:val="both"/>
        <w:rPr>
          <w:rFonts w:ascii="Palatino Linotype" w:hAnsi="Palatino Linotype" w:cs="Arial"/>
          <w:b/>
          <w:sz w:val="26"/>
          <w:szCs w:val="26"/>
        </w:rPr>
      </w:pPr>
      <w:r w:rsidRPr="006E24E8">
        <w:rPr>
          <w:rFonts w:ascii="Palatino Linotype" w:hAnsi="Palatino Linotype" w:cs="Arial"/>
          <w:b/>
          <w:sz w:val="26"/>
          <w:szCs w:val="26"/>
        </w:rPr>
        <w:t>CUARTO.</w:t>
      </w:r>
      <w:r w:rsidRPr="006E24E8">
        <w:rPr>
          <w:rFonts w:ascii="Palatino Linotype" w:hAnsi="Palatino Linotype" w:cs="Arial"/>
          <w:sz w:val="26"/>
          <w:szCs w:val="26"/>
        </w:rPr>
        <w:t xml:space="preserve"> </w:t>
      </w:r>
      <w:r w:rsidRPr="006E24E8">
        <w:rPr>
          <w:rFonts w:ascii="Palatino Linotype" w:hAnsi="Palatino Linotype" w:cs="Arial"/>
          <w:b/>
          <w:sz w:val="26"/>
          <w:szCs w:val="26"/>
        </w:rPr>
        <w:t>Estudio y resolución del asunto.</w:t>
      </w:r>
    </w:p>
    <w:p w:rsidR="00BF23D2" w:rsidRDefault="00BF23D2" w:rsidP="00BF23D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w:t>
      </w:r>
      <w:r w:rsidR="005E1A8F">
        <w:rPr>
          <w:rFonts w:ascii="Palatino Linotype" w:hAnsi="Palatino Linotype" w:cs="Arial"/>
        </w:rPr>
        <w:t>del presente recurso</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 xml:space="preserve">de las actuaciones que obran en </w:t>
      </w:r>
      <w:r w:rsidR="005E1A8F">
        <w:rPr>
          <w:rFonts w:ascii="Palatino Linotype" w:hAnsi="Palatino Linotype" w:cs="Arial"/>
        </w:rPr>
        <w:t>el expediente electrónico</w:t>
      </w:r>
      <w:r>
        <w:rPr>
          <w:rFonts w:ascii="Palatino Linotype" w:hAnsi="Palatino Linotype" w:cs="Arial"/>
        </w:rPr>
        <w:t>,</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BF23D2" w:rsidRPr="002869E1" w:rsidRDefault="00BF23D2" w:rsidP="00BF23D2">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BF23D2" w:rsidRPr="00EB27EE" w:rsidRDefault="00BF23D2" w:rsidP="00BF23D2">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rsidR="00BF23D2" w:rsidRPr="00EB27EE" w:rsidRDefault="00BF23D2" w:rsidP="00BF23D2">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F23D2" w:rsidRPr="006010FE" w:rsidRDefault="00BF23D2" w:rsidP="00BF23D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rsidR="00BF23D2" w:rsidRDefault="00BF23D2" w:rsidP="00BF23D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rsidR="00BF23D2" w:rsidRDefault="00BF23D2" w:rsidP="00BF23D2">
      <w:pPr>
        <w:spacing w:before="240" w:line="360" w:lineRule="auto"/>
        <w:ind w:left="851" w:right="851"/>
        <w:jc w:val="both"/>
        <w:rPr>
          <w:rFonts w:ascii="Palatino Linotype" w:eastAsia="Times New Roman" w:hAnsi="Palatino Linotype" w:cs="Times New Roman"/>
          <w:b/>
          <w:i/>
          <w:lang w:eastAsia="es-ES"/>
        </w:rPr>
      </w:pPr>
    </w:p>
    <w:p w:rsidR="00BF23D2" w:rsidRPr="006010FE" w:rsidRDefault="00BF23D2" w:rsidP="00BF23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BF23D2" w:rsidRPr="006E4CCA" w:rsidRDefault="00BF23D2" w:rsidP="00BF23D2">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rsidR="00BF23D2" w:rsidRDefault="00BF23D2" w:rsidP="00FC240E">
      <w:pPr>
        <w:pStyle w:val="Prrafodelista"/>
        <w:autoSpaceDE w:val="0"/>
        <w:autoSpaceDN w:val="0"/>
        <w:adjustRightInd w:val="0"/>
        <w:spacing w:line="360" w:lineRule="auto"/>
        <w:ind w:left="0"/>
        <w:jc w:val="both"/>
        <w:rPr>
          <w:rFonts w:ascii="Palatino Linotype" w:hAnsi="Palatino Linotype" w:cs="Arial"/>
          <w:b/>
          <w:sz w:val="26"/>
          <w:szCs w:val="26"/>
        </w:rPr>
      </w:pPr>
    </w:p>
    <w:p w:rsidR="00BF23D2" w:rsidRDefault="00BF23D2" w:rsidP="00FC24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Una vez sentado lo anterior, al retomar y delimitar </w:t>
      </w:r>
      <w:r w:rsidR="005E1A8F">
        <w:rPr>
          <w:rFonts w:ascii="Palatino Linotype" w:hAnsi="Palatino Linotype" w:cs="Arial"/>
        </w:rPr>
        <w:t>el requerimiento</w:t>
      </w:r>
      <w:r>
        <w:rPr>
          <w:rFonts w:ascii="Palatino Linotype" w:hAnsi="Palatino Linotype" w:cs="Arial"/>
        </w:rPr>
        <w:t xml:space="preserve"> </w:t>
      </w:r>
      <w:r w:rsidR="000D5EC5">
        <w:rPr>
          <w:rFonts w:ascii="Palatino Linotype" w:hAnsi="Palatino Linotype" w:cs="Arial"/>
        </w:rPr>
        <w:t xml:space="preserve">de la ahora </w:t>
      </w:r>
      <w:r w:rsidR="000D5EC5">
        <w:rPr>
          <w:rFonts w:ascii="Palatino Linotype" w:hAnsi="Palatino Linotype" w:cs="Arial"/>
          <w:b/>
        </w:rPr>
        <w:t xml:space="preserve">Recurrente, </w:t>
      </w:r>
      <w:r w:rsidR="000D5EC5">
        <w:rPr>
          <w:rFonts w:ascii="Palatino Linotype" w:hAnsi="Palatino Linotype" w:cs="Arial"/>
        </w:rPr>
        <w:t>de maner</w:t>
      </w:r>
      <w:r w:rsidR="005E1A8F">
        <w:rPr>
          <w:rFonts w:ascii="Palatino Linotype" w:hAnsi="Palatino Linotype" w:cs="Arial"/>
        </w:rPr>
        <w:t>a objetiva se precisa que versa</w:t>
      </w:r>
      <w:r w:rsidR="000D5EC5">
        <w:rPr>
          <w:rFonts w:ascii="Palatino Linotype" w:hAnsi="Palatino Linotype" w:cs="Arial"/>
        </w:rPr>
        <w:t xml:space="preserve"> en conocer la siguiente información: </w:t>
      </w:r>
    </w:p>
    <w:p w:rsidR="0080188C" w:rsidRPr="00DA7C33" w:rsidRDefault="00DC6B21" w:rsidP="0080188C">
      <w:pPr>
        <w:pStyle w:val="Prrafodelista"/>
        <w:numPr>
          <w:ilvl w:val="0"/>
          <w:numId w:val="13"/>
        </w:numPr>
        <w:spacing w:before="240" w:line="360" w:lineRule="auto"/>
        <w:jc w:val="both"/>
        <w:rPr>
          <w:rFonts w:ascii="Palatino Linotype" w:hAnsi="Palatino Linotype" w:cs="Arial"/>
          <w:b/>
          <w:bCs/>
        </w:rPr>
      </w:pPr>
      <w:r>
        <w:rPr>
          <w:rFonts w:ascii="Palatino Linotype" w:hAnsi="Palatino Linotype" w:cs="Arial"/>
        </w:rPr>
        <w:t>E</w:t>
      </w:r>
      <w:r w:rsidR="00E5253E">
        <w:rPr>
          <w:rFonts w:ascii="Palatino Linotype" w:hAnsi="Palatino Linotype" w:cs="Arial"/>
        </w:rPr>
        <w:t xml:space="preserve">l o los documentos donde consten los viáticos ejercidos durante el ejercicio fiscal 2019, con toda la documentación soporte, por cada una de las áreas y/o servidores públicos que ejercieron los mismos. </w:t>
      </w:r>
    </w:p>
    <w:p w:rsidR="00251251" w:rsidRDefault="00251251" w:rsidP="00B15D22">
      <w:pPr>
        <w:spacing w:line="360" w:lineRule="auto"/>
        <w:jc w:val="both"/>
        <w:rPr>
          <w:rFonts w:ascii="Palatino Linotype" w:hAnsi="Palatino Linotype" w:cs="Arial"/>
          <w:sz w:val="24"/>
          <w:szCs w:val="24"/>
        </w:rPr>
      </w:pPr>
    </w:p>
    <w:p w:rsidR="00F120AA" w:rsidRDefault="00E5253E" w:rsidP="00B15D22">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86912" behindDoc="0" locked="0" layoutInCell="1" allowOverlap="1">
                <wp:simplePos x="0" y="0"/>
                <wp:positionH relativeFrom="column">
                  <wp:posOffset>3215640</wp:posOffset>
                </wp:positionH>
                <wp:positionV relativeFrom="paragraph">
                  <wp:posOffset>2971165</wp:posOffset>
                </wp:positionV>
                <wp:extent cx="514350" cy="20955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514350" cy="209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20D64" id="Rectángulo 8" o:spid="_x0000_s1026" style="position:absolute;margin-left:253.2pt;margin-top:233.95pt;width:40.5pt;height:1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" filled="f" strokecolor="red" strokeweight="1pt"/>
            </w:pict>
          </mc:Fallback>
        </mc:AlternateContent>
      </w:r>
      <w:r>
        <w:rPr>
          <w:rFonts w:ascii="Palatino Linotype" w:hAnsi="Palatino Linotype" w:cs="Arial"/>
          <w:noProof/>
          <w:sz w:val="24"/>
          <w:szCs w:val="24"/>
          <w:lang w:eastAsia="es-MX"/>
        </w:rPr>
        <w:drawing>
          <wp:anchor distT="0" distB="0" distL="114300" distR="114300" simplePos="0" relativeHeight="251655164" behindDoc="0" locked="0" layoutInCell="1" allowOverlap="1">
            <wp:simplePos x="0" y="0"/>
            <wp:positionH relativeFrom="column">
              <wp:posOffset>-60960</wp:posOffset>
            </wp:positionH>
            <wp:positionV relativeFrom="paragraph">
              <wp:posOffset>1532890</wp:posOffset>
            </wp:positionV>
            <wp:extent cx="5753100" cy="3340100"/>
            <wp:effectExtent l="19050" t="19050" r="19050" b="12700"/>
            <wp:wrapThrough wrapText="bothSides">
              <wp:wrapPolygon edited="0">
                <wp:start x="-72" y="-123"/>
                <wp:lineTo x="-72" y="21559"/>
                <wp:lineTo x="21600" y="21559"/>
                <wp:lineTo x="21600" y="-123"/>
                <wp:lineTo x="-72" y="-123"/>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334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120AA" w:rsidRPr="007B2303">
        <w:rPr>
          <w:rFonts w:ascii="Palatino Linotype" w:hAnsi="Palatino Linotype" w:cs="Arial"/>
          <w:sz w:val="24"/>
          <w:szCs w:val="24"/>
        </w:rPr>
        <w:t xml:space="preserve">En este tenor, en </w:t>
      </w:r>
      <w:r w:rsidR="00F120AA">
        <w:rPr>
          <w:rFonts w:ascii="Palatino Linotype" w:hAnsi="Palatino Linotype" w:cs="Arial"/>
          <w:sz w:val="24"/>
          <w:szCs w:val="24"/>
        </w:rPr>
        <w:t xml:space="preserve">alusión a los </w:t>
      </w:r>
      <w:r w:rsidR="00A10721">
        <w:rPr>
          <w:rFonts w:ascii="Palatino Linotype" w:hAnsi="Palatino Linotype" w:cs="Arial"/>
          <w:sz w:val="24"/>
          <w:szCs w:val="24"/>
        </w:rPr>
        <w:t>requerimientos formulados por la</w:t>
      </w:r>
      <w:r w:rsidR="00F120AA">
        <w:rPr>
          <w:rFonts w:ascii="Palatino Linotype" w:hAnsi="Palatino Linotype" w:cs="Arial"/>
          <w:sz w:val="24"/>
          <w:szCs w:val="24"/>
        </w:rPr>
        <w:t xml:space="preserve"> particular, resulta oportuno traer a colación el organigrama del </w:t>
      </w:r>
      <w:r w:rsidR="00F120AA">
        <w:rPr>
          <w:rFonts w:ascii="Palatino Linotype" w:hAnsi="Palatino Linotype" w:cs="Arial"/>
          <w:b/>
          <w:bCs/>
          <w:sz w:val="24"/>
          <w:szCs w:val="24"/>
        </w:rPr>
        <w:t xml:space="preserve">Sujeto Obligado, </w:t>
      </w:r>
      <w:r w:rsidR="00F120AA">
        <w:rPr>
          <w:rFonts w:ascii="Palatino Linotype" w:hAnsi="Palatino Linotype" w:cs="Arial"/>
          <w:sz w:val="24"/>
          <w:szCs w:val="24"/>
        </w:rPr>
        <w:t xml:space="preserve">susceptible de ser consultado en la siguiente dirección electrónica: </w:t>
      </w:r>
      <w:hyperlink r:id="rId8" w:history="1">
        <w:r w:rsidR="00F120AA" w:rsidRPr="00B050D5">
          <w:rPr>
            <w:rStyle w:val="Hipervnculo"/>
            <w:rFonts w:ascii="Palatino Linotype" w:hAnsi="Palatino Linotype" w:cs="Arial"/>
            <w:sz w:val="24"/>
            <w:szCs w:val="24"/>
          </w:rPr>
          <w:t>https://www.ipomex.org.mx/ipo3/lgt/indice/IXTAPANDELASAL/art_92_ii_b/2.web</w:t>
        </w:r>
      </w:hyperlink>
      <w:r w:rsidR="00F120AA">
        <w:rPr>
          <w:rFonts w:ascii="Palatino Linotype" w:hAnsi="Palatino Linotype" w:cs="Arial"/>
          <w:sz w:val="24"/>
          <w:szCs w:val="24"/>
        </w:rPr>
        <w:t xml:space="preserve"> </w:t>
      </w:r>
    </w:p>
    <w:p w:rsidR="00F120AA" w:rsidRDefault="00E5253E" w:rsidP="00B15D22">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85888" behindDoc="0" locked="0" layoutInCell="1" allowOverlap="1">
            <wp:simplePos x="0" y="0"/>
            <wp:positionH relativeFrom="column">
              <wp:posOffset>729615</wp:posOffset>
            </wp:positionH>
            <wp:positionV relativeFrom="paragraph">
              <wp:posOffset>3902710</wp:posOffset>
            </wp:positionV>
            <wp:extent cx="1721485" cy="1152525"/>
            <wp:effectExtent l="19050" t="19050" r="12065" b="28575"/>
            <wp:wrapThrough wrapText="bothSides">
              <wp:wrapPolygon edited="0">
                <wp:start x="-239" y="-357"/>
                <wp:lineTo x="-239" y="21779"/>
                <wp:lineTo x="21512" y="21779"/>
                <wp:lineTo x="21512" y="-357"/>
                <wp:lineTo x="-239" y="-35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1485" cy="1152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87936" behindDoc="0" locked="0" layoutInCell="1" allowOverlap="1">
            <wp:simplePos x="0" y="0"/>
            <wp:positionH relativeFrom="column">
              <wp:posOffset>3301365</wp:posOffset>
            </wp:positionH>
            <wp:positionV relativeFrom="paragraph">
              <wp:posOffset>3902075</wp:posOffset>
            </wp:positionV>
            <wp:extent cx="1721485" cy="1152525"/>
            <wp:effectExtent l="19050" t="19050" r="12065" b="28575"/>
            <wp:wrapThrough wrapText="bothSides">
              <wp:wrapPolygon edited="0">
                <wp:start x="-239" y="-357"/>
                <wp:lineTo x="-239" y="21779"/>
                <wp:lineTo x="21512" y="21779"/>
                <wp:lineTo x="21512" y="-357"/>
                <wp:lineTo x="-239" y="-357"/>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1485" cy="1152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120AA" w:rsidRDefault="00F120AA" w:rsidP="00B15D22">
      <w:pPr>
        <w:spacing w:line="360" w:lineRule="auto"/>
        <w:jc w:val="both"/>
        <w:rPr>
          <w:rFonts w:ascii="Palatino Linotype" w:hAnsi="Palatino Linotype" w:cs="Arial"/>
          <w:sz w:val="24"/>
          <w:szCs w:val="24"/>
        </w:rPr>
      </w:pPr>
    </w:p>
    <w:p w:rsidR="00E501C9" w:rsidRDefault="00E501C9" w:rsidP="00156599">
      <w:pPr>
        <w:spacing w:line="360" w:lineRule="auto"/>
        <w:jc w:val="both"/>
        <w:rPr>
          <w:rFonts w:ascii="Palatino Linotype" w:hAnsi="Palatino Linotype" w:cs="Arial"/>
          <w:noProof/>
          <w:color w:val="000000"/>
          <w:sz w:val="24"/>
          <w:lang w:eastAsia="es-MX"/>
        </w:rPr>
      </w:pPr>
    </w:p>
    <w:p w:rsidR="00E5253E" w:rsidRDefault="00E5253E" w:rsidP="00156599">
      <w:pPr>
        <w:spacing w:line="360" w:lineRule="auto"/>
        <w:jc w:val="both"/>
        <w:rPr>
          <w:rFonts w:ascii="Palatino Linotype" w:hAnsi="Palatino Linotype" w:cs="Arial"/>
          <w:noProof/>
          <w:color w:val="000000"/>
          <w:sz w:val="24"/>
          <w:lang w:eastAsia="es-MX"/>
        </w:rPr>
      </w:pPr>
    </w:p>
    <w:p w:rsidR="00E5253E" w:rsidRDefault="00E5253E" w:rsidP="00156599">
      <w:pPr>
        <w:spacing w:line="360" w:lineRule="auto"/>
        <w:jc w:val="both"/>
        <w:rPr>
          <w:rFonts w:ascii="Palatino Linotype" w:hAnsi="Palatino Linotype" w:cs="Arial"/>
          <w:noProof/>
          <w:color w:val="000000"/>
          <w:sz w:val="24"/>
          <w:lang w:eastAsia="es-MX"/>
        </w:rPr>
      </w:pPr>
    </w:p>
    <w:p w:rsidR="00E5253E" w:rsidRDefault="00E5253E" w:rsidP="00156599">
      <w:pPr>
        <w:spacing w:line="360" w:lineRule="auto"/>
        <w:jc w:val="both"/>
        <w:rPr>
          <w:rFonts w:ascii="Palatino Linotype" w:hAnsi="Palatino Linotype" w:cs="Arial"/>
          <w:noProof/>
          <w:color w:val="000000"/>
          <w:sz w:val="24"/>
          <w:lang w:eastAsia="es-MX"/>
        </w:rPr>
      </w:pPr>
    </w:p>
    <w:p w:rsidR="00E5253E" w:rsidRDefault="00E501C9" w:rsidP="00156599">
      <w:pPr>
        <w:spacing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D</w:t>
      </w:r>
      <w:r w:rsidR="00156599">
        <w:rPr>
          <w:rFonts w:ascii="Palatino Linotype" w:hAnsi="Palatino Linotype" w:cs="Arial"/>
          <w:noProof/>
          <w:color w:val="000000"/>
          <w:sz w:val="24"/>
          <w:lang w:eastAsia="es-MX"/>
        </w:rPr>
        <w:t xml:space="preserve">e lo expuesto con anterioridad, se desprende que </w:t>
      </w:r>
      <w:r w:rsidR="00156599">
        <w:rPr>
          <w:rFonts w:ascii="Palatino Linotype" w:hAnsi="Palatino Linotype" w:cs="Arial"/>
          <w:b/>
          <w:noProof/>
          <w:color w:val="000000"/>
          <w:sz w:val="24"/>
          <w:lang w:eastAsia="es-MX"/>
        </w:rPr>
        <w:t xml:space="preserve">El Sujeto Obligado </w:t>
      </w:r>
      <w:r w:rsidR="00156599">
        <w:rPr>
          <w:rFonts w:ascii="Palatino Linotype" w:hAnsi="Palatino Linotype" w:cs="Arial"/>
          <w:noProof/>
          <w:color w:val="000000"/>
          <w:sz w:val="24"/>
          <w:lang w:eastAsia="es-MX"/>
        </w:rPr>
        <w:t xml:space="preserve">se auxilia de diversas Direcciones, Departamentos y Órganos para cumplir con sus fines y objetivos, resultando de nuestro interés la </w:t>
      </w:r>
      <w:r w:rsidR="00E5253E">
        <w:rPr>
          <w:rFonts w:ascii="Palatino Linotype" w:hAnsi="Palatino Linotype" w:cs="Arial"/>
          <w:noProof/>
          <w:color w:val="000000"/>
          <w:sz w:val="24"/>
          <w:lang w:eastAsia="es-MX"/>
        </w:rPr>
        <w:t xml:space="preserve">Dirección de Administración, así como la Tesorería Municipal. </w:t>
      </w:r>
    </w:p>
    <w:p w:rsidR="00E5253E" w:rsidRPr="00E5253E" w:rsidRDefault="00E5253E" w:rsidP="00156599">
      <w:pPr>
        <w:spacing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este tenor, resultan aplicables los artículos 95, fracciones I, IV y VI de la Ley Orgánica Municipal del Estado de México, así como los numerales 55 y 56, fracción XX del Bando Municipal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porciones normativas que disponen a la literalidad lo siguiente:</w:t>
      </w:r>
    </w:p>
    <w:p w:rsidR="0034062D" w:rsidRPr="0034062D" w:rsidRDefault="0034062D" w:rsidP="0034062D">
      <w:pPr>
        <w:pStyle w:val="INFOEM"/>
        <w:jc w:val="center"/>
        <w:rPr>
          <w:b/>
        </w:rPr>
      </w:pPr>
      <w:r w:rsidRPr="0034062D">
        <w:rPr>
          <w:b/>
          <w:noProof/>
          <w:color w:val="000000"/>
          <w:sz w:val="24"/>
          <w:lang w:eastAsia="es-MX"/>
        </w:rPr>
        <w:t>Ley Orgánica Municipal del Estado de México</w:t>
      </w:r>
    </w:p>
    <w:p w:rsidR="00E5253E" w:rsidRDefault="0034062D" w:rsidP="00E5253E">
      <w:pPr>
        <w:pStyle w:val="INFOEM"/>
      </w:pPr>
      <w:r>
        <w:t>“</w:t>
      </w:r>
      <w:r w:rsidR="00E5253E">
        <w:t>Artículo 95.- Son atribuciones del tesorero municipal:</w:t>
      </w:r>
    </w:p>
    <w:p w:rsidR="00E5253E" w:rsidRDefault="00E5253E" w:rsidP="00E5253E">
      <w:pPr>
        <w:pStyle w:val="INFOEM"/>
      </w:pPr>
      <w:r>
        <w:t>I. Administrar la hacienda pública municipal, de conformidad con las disposiciones legales aplicables;</w:t>
      </w:r>
    </w:p>
    <w:p w:rsidR="00E5253E" w:rsidRDefault="00E5253E" w:rsidP="00E5253E">
      <w:pPr>
        <w:pStyle w:val="INFOEM"/>
      </w:pPr>
      <w:r>
        <w:t>(…)</w:t>
      </w:r>
    </w:p>
    <w:p w:rsidR="00E5253E" w:rsidRPr="005E1A8F" w:rsidRDefault="00E5253E" w:rsidP="00E5253E">
      <w:pPr>
        <w:pStyle w:val="INFOEM"/>
        <w:rPr>
          <w:b/>
          <w:u w:val="single"/>
        </w:rPr>
      </w:pPr>
      <w:r w:rsidRPr="005E1A8F">
        <w:rPr>
          <w:b/>
          <w:u w:val="single"/>
        </w:rPr>
        <w:t>IV. Llevar los registros contables, financieros y administrativos de los ingresos, egresos, e inventarios;</w:t>
      </w:r>
    </w:p>
    <w:p w:rsidR="00E5253E" w:rsidRDefault="00E5253E" w:rsidP="00E5253E">
      <w:pPr>
        <w:pStyle w:val="INFOEM"/>
      </w:pPr>
      <w:r>
        <w:t>(…)</w:t>
      </w:r>
    </w:p>
    <w:p w:rsidR="00E5253E" w:rsidRDefault="00E5253E" w:rsidP="00E5253E">
      <w:pPr>
        <w:pStyle w:val="INFOEM"/>
      </w:pPr>
      <w:r>
        <w:t>VI. Presentar anualmente al ayuntamiento un informe de la situación contable financiera de la Tesorería Municipal;</w:t>
      </w:r>
    </w:p>
    <w:p w:rsidR="00E5253E" w:rsidRPr="0034062D" w:rsidRDefault="00E5253E" w:rsidP="00E5253E">
      <w:pPr>
        <w:pStyle w:val="INFOEM"/>
        <w:rPr>
          <w:b/>
        </w:rPr>
      </w:pPr>
      <w:r>
        <w:t>(…)</w:t>
      </w:r>
      <w:r w:rsidR="0034062D">
        <w:t xml:space="preserve">” </w:t>
      </w:r>
      <w:r w:rsidR="0034062D">
        <w:rPr>
          <w:b/>
        </w:rPr>
        <w:t>[Sic]</w:t>
      </w:r>
    </w:p>
    <w:p w:rsidR="00E5253E" w:rsidRDefault="00E5253E" w:rsidP="00156599">
      <w:pPr>
        <w:spacing w:line="360" w:lineRule="auto"/>
        <w:jc w:val="both"/>
      </w:pPr>
    </w:p>
    <w:p w:rsidR="00E5253E" w:rsidRPr="00E5253E" w:rsidRDefault="00E5253E" w:rsidP="00E5253E">
      <w:pPr>
        <w:pStyle w:val="INFOEM"/>
        <w:jc w:val="center"/>
        <w:rPr>
          <w:b/>
        </w:rPr>
      </w:pPr>
      <w:r>
        <w:rPr>
          <w:b/>
        </w:rPr>
        <w:lastRenderedPageBreak/>
        <w:t>Bando Municipal del Ayuntamiento de Ixtapan de la Sal</w:t>
      </w:r>
    </w:p>
    <w:p w:rsidR="00E5253E" w:rsidRDefault="0034062D" w:rsidP="00E5253E">
      <w:pPr>
        <w:pStyle w:val="INFOEM"/>
      </w:pPr>
      <w:r>
        <w:t>“</w:t>
      </w:r>
      <w:r w:rsidR="00E5253E">
        <w:t xml:space="preserve">ARTÍCULO 55.- La Dirección de Administración, tiene como principal recurso a los servidores públicos que laboran en el Gobierno Municipal, tiene a su cargo también, la administración de los recursos materiales en los términos que disponga el Ayuntamiento y otras disposiciones reglamentarias. </w:t>
      </w:r>
    </w:p>
    <w:p w:rsidR="00E5253E" w:rsidRDefault="00E5253E" w:rsidP="00E5253E">
      <w:pPr>
        <w:pStyle w:val="INFOEM"/>
      </w:pPr>
      <w:r>
        <w:t>ARTÍCULO 56.- Las atribuciones de la Dirección de Administración, a través de su titular, son las siguientes:</w:t>
      </w:r>
    </w:p>
    <w:p w:rsidR="00E5253E" w:rsidRDefault="00E5253E" w:rsidP="00E5253E">
      <w:pPr>
        <w:pStyle w:val="INFOEM"/>
      </w:pPr>
      <w:r>
        <w:t>(…)</w:t>
      </w:r>
    </w:p>
    <w:p w:rsidR="00E5253E" w:rsidRPr="005E1A8F" w:rsidRDefault="00E5253E" w:rsidP="00E5253E">
      <w:pPr>
        <w:pStyle w:val="INFOEM"/>
        <w:rPr>
          <w:b/>
          <w:u w:val="single"/>
        </w:rPr>
      </w:pPr>
      <w:r>
        <w:t xml:space="preserve">XX. Adquirir y suministrar oportunamente los bienes materiales como mobiliario, equipos, servicios de intendencia y transporte que requieran las áreas que integran la Administración Pública Municipal, </w:t>
      </w:r>
      <w:r w:rsidRPr="005E1A8F">
        <w:rPr>
          <w:b/>
          <w:u w:val="single"/>
        </w:rPr>
        <w:t>así como, tramitar y pagar los viáticos y gastos de los titulares de las unidades administrativas y miembros del Ayuntamiento conforme al presupuesto respectivo;</w:t>
      </w:r>
    </w:p>
    <w:p w:rsidR="00E5253E" w:rsidRPr="0034062D" w:rsidRDefault="00E5253E" w:rsidP="00E5253E">
      <w:pPr>
        <w:pStyle w:val="INFOEM"/>
        <w:rPr>
          <w:b/>
          <w:noProof/>
          <w:color w:val="000000"/>
          <w:sz w:val="24"/>
          <w:lang w:eastAsia="es-MX"/>
        </w:rPr>
      </w:pPr>
      <w:r>
        <w:t>(…)</w:t>
      </w:r>
      <w:r w:rsidR="0034062D">
        <w:t xml:space="preserve">” </w:t>
      </w:r>
      <w:r w:rsidR="0034062D">
        <w:rPr>
          <w:b/>
        </w:rPr>
        <w:t>[Sic]</w:t>
      </w:r>
    </w:p>
    <w:p w:rsidR="00E5253E" w:rsidRDefault="00E5253E" w:rsidP="00156599">
      <w:pPr>
        <w:spacing w:line="360" w:lineRule="auto"/>
        <w:jc w:val="both"/>
        <w:rPr>
          <w:rFonts w:ascii="Palatino Linotype" w:hAnsi="Palatino Linotype" w:cs="Arial"/>
          <w:noProof/>
          <w:color w:val="000000"/>
          <w:sz w:val="24"/>
          <w:lang w:eastAsia="es-MX"/>
        </w:rPr>
      </w:pPr>
    </w:p>
    <w:p w:rsidR="00156599" w:rsidRPr="00E501C9" w:rsidRDefault="000817D2" w:rsidP="00E501C9">
      <w:pPr>
        <w:pStyle w:val="INFOEM"/>
        <w:ind w:left="0" w:right="0"/>
        <w:rPr>
          <w:i w:val="0"/>
          <w:sz w:val="24"/>
        </w:rPr>
      </w:pPr>
      <w:r>
        <w:rPr>
          <w:i w:val="0"/>
          <w:sz w:val="24"/>
        </w:rPr>
        <w:t xml:space="preserve">En efecto de la normatividad previamente plasmada se </w:t>
      </w:r>
      <w:r w:rsidR="00E501C9">
        <w:rPr>
          <w:i w:val="0"/>
          <w:sz w:val="24"/>
        </w:rPr>
        <w:t xml:space="preserve">desprende que los titulares de la </w:t>
      </w:r>
      <w:r w:rsidR="0034062D">
        <w:rPr>
          <w:i w:val="0"/>
          <w:sz w:val="24"/>
        </w:rPr>
        <w:t xml:space="preserve">Tesorería Municipal, así como de la Dirección de Administración fungen como los </w:t>
      </w:r>
      <w:r w:rsidR="0034062D">
        <w:rPr>
          <w:b/>
          <w:i w:val="0"/>
          <w:sz w:val="24"/>
        </w:rPr>
        <w:t xml:space="preserve">Sujetos Habilitados Competentes </w:t>
      </w:r>
      <w:r w:rsidR="0034062D">
        <w:rPr>
          <w:i w:val="0"/>
          <w:sz w:val="24"/>
        </w:rPr>
        <w:t xml:space="preserve">para atender el requerimiento formulado por la particular, lo anterior </w:t>
      </w:r>
      <w:r w:rsidR="00E501C9">
        <w:rPr>
          <w:i w:val="0"/>
          <w:sz w:val="24"/>
        </w:rPr>
        <w:t xml:space="preserve">en razón de que su esfera competencial los constriñe a generar, poseer y administrar la información solicitada. </w:t>
      </w:r>
    </w:p>
    <w:p w:rsidR="0034062D" w:rsidRDefault="0080188C" w:rsidP="00B15D22">
      <w:pPr>
        <w:spacing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de acuerdo a la naturaleza de la información solicitada se concluye que ésta estriba dentro </w:t>
      </w:r>
      <w:r w:rsidR="0034062D">
        <w:rPr>
          <w:rFonts w:ascii="Palatino Linotype" w:hAnsi="Palatino Linotype" w:cs="Arial"/>
          <w:noProof/>
          <w:color w:val="000000"/>
          <w:sz w:val="24"/>
          <w:lang w:eastAsia="es-MX"/>
        </w:rPr>
        <w:t xml:space="preserve">de las obligaciones de transparencia común, lo anterior con </w:t>
      </w:r>
      <w:r w:rsidR="0034062D">
        <w:rPr>
          <w:rFonts w:ascii="Palatino Linotype" w:hAnsi="Palatino Linotype" w:cs="Arial"/>
          <w:noProof/>
          <w:color w:val="000000"/>
          <w:sz w:val="24"/>
          <w:lang w:eastAsia="es-MX"/>
        </w:rPr>
        <w:lastRenderedPageBreak/>
        <w:t>fundamento en los numerales 24, fracción XII y 92, fracción IX de la Ley de Transparencia y Acceso a la Información Pública del Estado de México y Municipios, normatividad invocada que dispone a la literalidad lo siguiente:</w:t>
      </w:r>
    </w:p>
    <w:p w:rsidR="0034062D" w:rsidRDefault="0034062D" w:rsidP="0034062D">
      <w:pPr>
        <w:pStyle w:val="INFOEM"/>
      </w:pPr>
      <w:r>
        <w:t>Artículo 24. Para el cumplimiento de los objetivos de esta Ley, los sujetos obligados deberán cumplir con las siguientes obligaciones, según corresponda, de acuerdo a su naturaleza:</w:t>
      </w:r>
    </w:p>
    <w:p w:rsidR="0034062D" w:rsidRDefault="0034062D" w:rsidP="0034062D">
      <w:pPr>
        <w:pStyle w:val="INFOEM"/>
      </w:pPr>
      <w:r>
        <w:t>(…)</w:t>
      </w:r>
    </w:p>
    <w:p w:rsidR="0034062D" w:rsidRDefault="0034062D" w:rsidP="0034062D">
      <w:pPr>
        <w:pStyle w:val="INFOEM"/>
      </w:pPr>
      <w:r>
        <w:t>XII. Publicar y mantener actualizada la información relativa a las obligaciones generales de transparencia previstas en la presente Ley o determinadas así por el Instituto, y en general aquella que sea de interés público;</w:t>
      </w:r>
    </w:p>
    <w:p w:rsidR="0034062D" w:rsidRDefault="0034062D" w:rsidP="0034062D">
      <w:pPr>
        <w:pStyle w:val="INFOEM"/>
      </w:pPr>
      <w:r>
        <w:t>(…)</w:t>
      </w:r>
    </w:p>
    <w:p w:rsidR="0034062D" w:rsidRDefault="0034062D" w:rsidP="0034062D">
      <w:pPr>
        <w:pStyle w:val="INFOEM"/>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4062D" w:rsidRDefault="0034062D" w:rsidP="0034062D">
      <w:pPr>
        <w:pStyle w:val="INFOEM"/>
      </w:pPr>
      <w:r>
        <w:t>(…)</w:t>
      </w:r>
    </w:p>
    <w:p w:rsidR="0034062D" w:rsidRDefault="0034062D" w:rsidP="0034062D">
      <w:pPr>
        <w:pStyle w:val="INFOEM"/>
        <w:rPr>
          <w:b/>
          <w:u w:val="single"/>
        </w:rPr>
      </w:pPr>
      <w:r w:rsidRPr="0034062D">
        <w:rPr>
          <w:b/>
          <w:u w:val="single"/>
        </w:rPr>
        <w:t>IX. Los gastos de representación y viáticos, así como el objeto e informe de comisión correspondiente;</w:t>
      </w:r>
    </w:p>
    <w:p w:rsidR="0034062D" w:rsidRPr="0034062D" w:rsidRDefault="0034062D" w:rsidP="0034062D">
      <w:pPr>
        <w:pStyle w:val="INFOEM"/>
        <w:rPr>
          <w:b/>
          <w:noProof/>
          <w:color w:val="000000"/>
          <w:sz w:val="24"/>
          <w:lang w:eastAsia="es-MX"/>
        </w:rPr>
      </w:pPr>
      <w:r>
        <w:t xml:space="preserve">(…)” </w:t>
      </w:r>
      <w:r>
        <w:rPr>
          <w:b/>
        </w:rPr>
        <w:t>[Sic]</w:t>
      </w:r>
    </w:p>
    <w:p w:rsidR="0034062D" w:rsidRDefault="0034062D" w:rsidP="00B15D22">
      <w:pPr>
        <w:spacing w:line="360" w:lineRule="auto"/>
        <w:jc w:val="both"/>
        <w:rPr>
          <w:rFonts w:ascii="Palatino Linotype" w:hAnsi="Palatino Linotype" w:cs="Arial"/>
          <w:noProof/>
          <w:color w:val="000000"/>
          <w:sz w:val="24"/>
          <w:lang w:eastAsia="es-MX"/>
        </w:rPr>
      </w:pPr>
    </w:p>
    <w:p w:rsidR="0080188C" w:rsidRPr="008241D0" w:rsidRDefault="008241D0" w:rsidP="009D2535">
      <w:pPr>
        <w:spacing w:after="0" w:line="360" w:lineRule="auto"/>
        <w:jc w:val="both"/>
        <w:rPr>
          <w:rFonts w:ascii="Palatino Linotype" w:hAnsi="Palatino Linotype"/>
          <w:b/>
          <w:sz w:val="24"/>
          <w:szCs w:val="24"/>
        </w:rPr>
      </w:pPr>
      <w:r>
        <w:rPr>
          <w:rFonts w:ascii="Palatino Linotype" w:hAnsi="Palatino Linotype"/>
          <w:sz w:val="24"/>
          <w:szCs w:val="24"/>
        </w:rPr>
        <w:lastRenderedPageBreak/>
        <w:t xml:space="preserve">Hasta aquí lo expuesto se arriba a la premisa de que la información es susceptible de ser generada, poseída o administrada por </w:t>
      </w:r>
      <w:r>
        <w:rPr>
          <w:rFonts w:ascii="Palatino Linotype" w:hAnsi="Palatino Linotype"/>
          <w:b/>
          <w:sz w:val="24"/>
          <w:szCs w:val="24"/>
        </w:rPr>
        <w:t xml:space="preserve">El Sujeto Obligado, </w:t>
      </w:r>
      <w:r>
        <w:rPr>
          <w:rFonts w:ascii="Palatino Linotype" w:hAnsi="Palatino Linotype"/>
          <w:sz w:val="24"/>
          <w:szCs w:val="24"/>
        </w:rPr>
        <w:t xml:space="preserve">asimismo, esta obligación encuadra dentro de las obligaciones de transparencia común, siendo susceptible de ser publicada de manera oficiosa en el portal </w:t>
      </w:r>
      <w:r w:rsidRPr="008241D0">
        <w:rPr>
          <w:rFonts w:ascii="Palatino Linotype" w:hAnsi="Palatino Linotype"/>
          <w:b/>
          <w:sz w:val="24"/>
          <w:szCs w:val="24"/>
        </w:rPr>
        <w:t>IPOMEX</w:t>
      </w:r>
      <w:r>
        <w:rPr>
          <w:rFonts w:ascii="Palatino Linotype" w:hAnsi="Palatino Linotype"/>
          <w:sz w:val="24"/>
          <w:szCs w:val="24"/>
        </w:rPr>
        <w:t xml:space="preserve"> del </w:t>
      </w:r>
      <w:r>
        <w:rPr>
          <w:rFonts w:ascii="Palatino Linotype" w:hAnsi="Palatino Linotype"/>
          <w:b/>
          <w:sz w:val="24"/>
          <w:szCs w:val="24"/>
        </w:rPr>
        <w:t xml:space="preserve">Sujeto Obligado. </w:t>
      </w:r>
    </w:p>
    <w:p w:rsidR="008241D0" w:rsidRDefault="00AC726B" w:rsidP="009D2535">
      <w:pPr>
        <w:spacing w:after="0" w:line="360" w:lineRule="auto"/>
        <w:jc w:val="both"/>
        <w:rPr>
          <w:rFonts w:ascii="Palatino Linotype" w:hAnsi="Palatino Linotype"/>
          <w:sz w:val="24"/>
          <w:szCs w:val="24"/>
        </w:rPr>
      </w:pPr>
      <w:r>
        <w:rPr>
          <w:rFonts w:ascii="Palatino Linotype" w:hAnsi="Palatino Linotype"/>
          <w:sz w:val="24"/>
          <w:szCs w:val="24"/>
        </w:rPr>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veintiocho de julio de dos mil veinte, rindió su respuesta a la solicitud de información formulada por el particular, en los siguientes términos: </w:t>
      </w:r>
    </w:p>
    <w:p w:rsidR="00AC726B" w:rsidRPr="001B3CBA" w:rsidRDefault="00AC726B" w:rsidP="00AC726B">
      <w:pPr>
        <w:spacing w:before="240" w:line="360" w:lineRule="auto"/>
        <w:ind w:left="851" w:right="851"/>
        <w:jc w:val="both"/>
        <w:rPr>
          <w:rFonts w:ascii="Palatino Linotype" w:eastAsia="Times New Roman" w:hAnsi="Palatino Linotype" w:cs="Times New Roman"/>
          <w:i/>
          <w:iCs/>
        </w:rPr>
      </w:pPr>
      <w:r w:rsidRPr="001B3CBA">
        <w:rPr>
          <w:rFonts w:ascii="Palatino Linotype" w:eastAsia="Times New Roman" w:hAnsi="Palatino Linotype" w:cs="Times New Roman"/>
          <w:i/>
          <w:iCs/>
        </w:rPr>
        <w:t>“</w:t>
      </w:r>
      <w:r>
        <w:rPr>
          <w:rFonts w:ascii="Palatino Linotype" w:eastAsia="Times New Roman" w:hAnsi="Palatino Linotype" w:cs="Times New Roman"/>
          <w:i/>
          <w:iCs/>
        </w:rPr>
        <w:t>(…)</w:t>
      </w:r>
    </w:p>
    <w:p w:rsidR="00AC726B" w:rsidRPr="001B3CBA" w:rsidRDefault="00AC726B" w:rsidP="00AC726B">
      <w:pPr>
        <w:spacing w:before="240" w:line="360" w:lineRule="auto"/>
        <w:ind w:left="851" w:right="851"/>
        <w:jc w:val="both"/>
        <w:rPr>
          <w:rFonts w:ascii="Palatino Linotype" w:eastAsia="Times New Roman" w:hAnsi="Palatino Linotype" w:cs="Times New Roman"/>
          <w:b/>
          <w:bCs/>
          <w:i/>
          <w:iCs/>
        </w:rPr>
      </w:pPr>
      <w:r w:rsidRPr="001B3CBA">
        <w:rPr>
          <w:rFonts w:ascii="Palatino Linotype" w:eastAsia="Times New Roman" w:hAnsi="Palatino Linotype" w:cs="Times New Roman"/>
          <w:i/>
          <w:iCs/>
        </w:rPr>
        <w:t xml:space="preserve">Con fundamento en los artículos 12 y 53, fracciones II y VI y 163 de la Ley de Transparencia y Acceso a la Información del Estado de México y Municipios, </w:t>
      </w:r>
      <w:r w:rsidRPr="001B3CBA">
        <w:rPr>
          <w:rFonts w:ascii="Palatino Linotype" w:eastAsia="Times New Roman" w:hAnsi="Palatino Linotype" w:cs="Times New Roman"/>
          <w:b/>
          <w:bCs/>
          <w:i/>
          <w:iCs/>
          <w:u w:val="single"/>
        </w:rPr>
        <w:t xml:space="preserve">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 </w:t>
      </w:r>
      <w:r w:rsidRPr="001B3CBA">
        <w:rPr>
          <w:rFonts w:ascii="Palatino Linotype" w:eastAsia="Times New Roman" w:hAnsi="Palatino Linotype" w:cs="Times New Roman"/>
          <w:i/>
          <w:iCs/>
        </w:rPr>
        <w:t xml:space="preserve">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r w:rsidRPr="001B3CBA">
        <w:rPr>
          <w:rFonts w:ascii="Palatino Linotype" w:eastAsia="Times New Roman" w:hAnsi="Palatino Linotype" w:cs="Times New Roman"/>
          <w:b/>
          <w:bCs/>
          <w:i/>
          <w:iCs/>
        </w:rPr>
        <w:t>[Sic]</w:t>
      </w:r>
    </w:p>
    <w:p w:rsidR="00AC726B" w:rsidRDefault="00AC726B" w:rsidP="00AC726B">
      <w:pPr>
        <w:autoSpaceDE w:val="0"/>
        <w:autoSpaceDN w:val="0"/>
        <w:adjustRightInd w:val="0"/>
        <w:spacing w:line="360" w:lineRule="auto"/>
        <w:jc w:val="both"/>
        <w:rPr>
          <w:rFonts w:ascii="Palatino Linotype" w:hAnsi="Palatino Linotype"/>
          <w:sz w:val="24"/>
          <w:szCs w:val="24"/>
        </w:rPr>
      </w:pPr>
    </w:p>
    <w:p w:rsidR="00AC726B" w:rsidRDefault="00AC726B" w:rsidP="00AC726B">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Adjuntando para tal efecto lo siguiente: </w:t>
      </w:r>
    </w:p>
    <w:p w:rsidR="00AC726B" w:rsidRDefault="00AC726B" w:rsidP="00AC726B">
      <w:pPr>
        <w:pStyle w:val="Prrafodelista"/>
        <w:numPr>
          <w:ilvl w:val="0"/>
          <w:numId w:val="16"/>
        </w:numPr>
        <w:autoSpaceDE w:val="0"/>
        <w:autoSpaceDN w:val="0"/>
        <w:adjustRightInd w:val="0"/>
        <w:spacing w:line="360" w:lineRule="auto"/>
        <w:jc w:val="both"/>
        <w:rPr>
          <w:rFonts w:ascii="Palatino Linotype" w:hAnsi="Palatino Linotype"/>
          <w:lang w:val="es-MX"/>
        </w:rPr>
      </w:pPr>
      <w:r w:rsidRPr="00A06FF3">
        <w:rPr>
          <w:rFonts w:ascii="Palatino Linotype" w:hAnsi="Palatino Linotype"/>
          <w:b/>
          <w:bCs/>
          <w:lang w:val="es-MX"/>
        </w:rPr>
        <w:lastRenderedPageBreak/>
        <w:t xml:space="preserve">“IXTASAL-CT-0016EXT-2020.pdf”: </w:t>
      </w:r>
      <w:r w:rsidRPr="00A06FF3">
        <w:rPr>
          <w:rFonts w:ascii="Palatino Linotype" w:hAnsi="Palatino Linotype"/>
          <w:lang w:val="es-MX"/>
        </w:rPr>
        <w:t xml:space="preserve">Compila lo </w:t>
      </w:r>
      <w:r>
        <w:rPr>
          <w:rFonts w:ascii="Palatino Linotype" w:hAnsi="Palatino Linotype"/>
          <w:lang w:val="es-MX"/>
        </w:rPr>
        <w:t>siguiente:</w:t>
      </w:r>
    </w:p>
    <w:p w:rsidR="00AC726B" w:rsidRDefault="00AC726B" w:rsidP="00AC726B">
      <w:pPr>
        <w:pStyle w:val="Sinespaciado"/>
        <w:numPr>
          <w:ilvl w:val="0"/>
          <w:numId w:val="17"/>
        </w:numPr>
        <w:spacing w:line="360" w:lineRule="auto"/>
        <w:jc w:val="both"/>
        <w:rPr>
          <w:rFonts w:ascii="Palatino Linotype" w:hAnsi="Palatino Linotype"/>
        </w:rPr>
      </w:pPr>
      <w:r w:rsidRPr="00A06FF3">
        <w:rPr>
          <w:rFonts w:ascii="Palatino Linotype" w:hAnsi="Palatino Linotype"/>
        </w:rPr>
        <w:t xml:space="preserve">Memorándum </w:t>
      </w:r>
      <w:r w:rsidRPr="00A06FF3">
        <w:rPr>
          <w:rFonts w:ascii="Palatino Linotype" w:hAnsi="Palatino Linotype"/>
          <w:b/>
          <w:bCs/>
        </w:rPr>
        <w:t xml:space="preserve">0010/UTyAI/2020 </w:t>
      </w:r>
      <w:r w:rsidRPr="00A06FF3">
        <w:rPr>
          <w:rFonts w:ascii="Palatino Linotype" w:hAnsi="Palatino Linotype"/>
        </w:rPr>
        <w:t xml:space="preserve">signado por la Titular de la Unidad de Transparencia y dirigido a los Integrantes del Comité de Transparencia, en lo medular los convoca a la dieciseisava sesión extraordinaria del Comité de Transparencia; de fecha tres de julio de dos mil veinte. </w:t>
      </w:r>
    </w:p>
    <w:p w:rsidR="00AC726B" w:rsidRPr="00A06FF3" w:rsidRDefault="00AC726B" w:rsidP="00AC726B">
      <w:pPr>
        <w:pStyle w:val="Sinespaciado"/>
        <w:numPr>
          <w:ilvl w:val="0"/>
          <w:numId w:val="17"/>
        </w:numPr>
        <w:spacing w:line="360" w:lineRule="auto"/>
        <w:jc w:val="both"/>
        <w:rPr>
          <w:rFonts w:ascii="Palatino Linotype" w:hAnsi="Palatino Linotype"/>
        </w:rPr>
      </w:pPr>
      <w:r w:rsidRPr="00A06FF3">
        <w:rPr>
          <w:rFonts w:ascii="Palatino Linotype" w:hAnsi="Palatino Linotype"/>
        </w:rPr>
        <w:t xml:space="preserve">Acta de la Décima Sexta Sesión Extraordinaria del Comité de Transparencia, de fecha nueve de julio de dos mil veinte, en lo medular se funda y motiva el cambio de modalidad de múltiples solicitudes de información englobando </w:t>
      </w:r>
      <w:r>
        <w:rPr>
          <w:rFonts w:ascii="Palatino Linotype" w:hAnsi="Palatino Linotype"/>
        </w:rPr>
        <w:t xml:space="preserve">la </w:t>
      </w:r>
      <w:r>
        <w:rPr>
          <w:rFonts w:ascii="Palatino Linotype" w:hAnsi="Palatino Linotype"/>
          <w:b/>
          <w:bCs/>
        </w:rPr>
        <w:t xml:space="preserve">00931/IXTASAL/IP/2020. </w:t>
      </w:r>
      <w:r w:rsidRPr="00A06FF3">
        <w:rPr>
          <w:rFonts w:ascii="Palatino Linotype" w:hAnsi="Palatino Linotype"/>
          <w:b/>
          <w:bCs/>
        </w:rPr>
        <w:t xml:space="preserve"> </w:t>
      </w:r>
    </w:p>
    <w:p w:rsidR="00AC726B" w:rsidRPr="00AC726B" w:rsidRDefault="00AC726B" w:rsidP="009D2535">
      <w:pPr>
        <w:spacing w:after="0" w:line="360" w:lineRule="auto"/>
        <w:jc w:val="both"/>
        <w:rPr>
          <w:rFonts w:ascii="Palatino Linotype" w:hAnsi="Palatino Linotype"/>
          <w:sz w:val="24"/>
          <w:szCs w:val="24"/>
        </w:rPr>
      </w:pPr>
    </w:p>
    <w:p w:rsidR="008241D0" w:rsidRDefault="008241D0" w:rsidP="009D2535">
      <w:pPr>
        <w:spacing w:after="0" w:line="360" w:lineRule="auto"/>
        <w:jc w:val="both"/>
        <w:rPr>
          <w:rFonts w:ascii="Palatino Linotype" w:hAnsi="Palatino Linotype"/>
          <w:sz w:val="24"/>
          <w:szCs w:val="24"/>
        </w:rPr>
      </w:pPr>
    </w:p>
    <w:p w:rsidR="008241D0" w:rsidRDefault="00AC726B" w:rsidP="009D2535">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interpuso recurso de revisión en fecha dieciocho de agosto, admitiéndose el veinticuatro de agosto, ambos de dos mil veinte. Señalando como razones o motivos de inconformidad:</w:t>
      </w:r>
    </w:p>
    <w:p w:rsidR="00AC726B" w:rsidRPr="00553EDF" w:rsidRDefault="00AC726B" w:rsidP="00AC726B">
      <w:pPr>
        <w:spacing w:before="240" w:line="360" w:lineRule="auto"/>
        <w:ind w:left="851" w:right="851"/>
        <w:jc w:val="both"/>
        <w:rPr>
          <w:rFonts w:ascii="Palatino Linotype" w:hAnsi="Palatino Linotype" w:cs="Arial"/>
          <w:i/>
        </w:rPr>
      </w:pPr>
      <w:r w:rsidRPr="00553EDF">
        <w:rPr>
          <w:rFonts w:ascii="Palatino Linotype" w:hAnsi="Palatino Linotype" w:cs="Arial"/>
          <w:i/>
        </w:rPr>
        <w:t>“</w:t>
      </w:r>
      <w:r w:rsidRPr="00553EDF">
        <w:rPr>
          <w:rFonts w:ascii="Palatino Linotype" w:hAnsi="Palatino Linotype"/>
          <w:i/>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w:t>
      </w:r>
      <w:r w:rsidRPr="00553EDF">
        <w:rPr>
          <w:rFonts w:ascii="Palatino Linotype" w:hAnsi="Palatino Linotype"/>
          <w:i/>
        </w:rPr>
        <w:lastRenderedPageBreak/>
        <w:t xml:space="preserve">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w:t>
      </w:r>
      <w:r w:rsidRPr="00553EDF">
        <w:rPr>
          <w:rFonts w:ascii="Palatino Linotype" w:hAnsi="Palatino Linotype"/>
          <w:i/>
        </w:rPr>
        <w:lastRenderedPageBreak/>
        <w:t>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pretende cobrarme la información</w:t>
      </w:r>
      <w:r w:rsidRPr="00553EDF">
        <w:rPr>
          <w:rFonts w:ascii="Palatino Linotype" w:hAnsi="Palatino Linotype" w:cs="Arial"/>
          <w:i/>
        </w:rPr>
        <w:t xml:space="preserve">” </w:t>
      </w:r>
      <w:r w:rsidRPr="00553EDF">
        <w:rPr>
          <w:rFonts w:ascii="Palatino Linotype" w:hAnsi="Palatino Linotype" w:cs="Arial"/>
          <w:b/>
          <w:i/>
        </w:rPr>
        <w:t>[Sic]</w:t>
      </w:r>
    </w:p>
    <w:p w:rsidR="00AC726B" w:rsidRPr="00AC726B" w:rsidRDefault="00AC726B" w:rsidP="009D2535">
      <w:pPr>
        <w:spacing w:after="0" w:line="360" w:lineRule="auto"/>
        <w:jc w:val="both"/>
        <w:rPr>
          <w:rFonts w:ascii="Palatino Linotype" w:hAnsi="Palatino Linotype"/>
          <w:sz w:val="24"/>
          <w:szCs w:val="24"/>
        </w:rPr>
      </w:pPr>
    </w:p>
    <w:p w:rsidR="0080188C" w:rsidRDefault="0080188C" w:rsidP="009D2535">
      <w:pPr>
        <w:spacing w:after="0" w:line="360" w:lineRule="auto"/>
        <w:jc w:val="both"/>
      </w:pPr>
    </w:p>
    <w:p w:rsidR="00F94288" w:rsidRPr="004D09B5" w:rsidRDefault="00F94288" w:rsidP="00F94288">
      <w:pPr>
        <w:spacing w:line="360" w:lineRule="auto"/>
        <w:jc w:val="both"/>
        <w:rPr>
          <w:rFonts w:ascii="Palatino Linotype" w:hAnsi="Palatino Linotype" w:cs="Arial"/>
          <w:sz w:val="24"/>
          <w:szCs w:val="24"/>
          <w:lang w:val="es-ES"/>
        </w:rPr>
      </w:pPr>
      <w:r w:rsidRPr="004D09B5">
        <w:rPr>
          <w:rFonts w:ascii="Palatino Linotype" w:hAnsi="Palatino Linotype" w:cs="Arial"/>
          <w:color w:val="000000"/>
          <w:sz w:val="24"/>
          <w:szCs w:val="24"/>
          <w:lang w:val="es-ES_tradnl"/>
        </w:rPr>
        <w:t xml:space="preserve">De manera adicional, como fue precisado en el antecedente </w:t>
      </w:r>
      <w:r w:rsidR="005E1A8F">
        <w:rPr>
          <w:rFonts w:ascii="Palatino Linotype" w:hAnsi="Palatino Linotype" w:cs="Arial"/>
          <w:color w:val="000000"/>
          <w:sz w:val="24"/>
          <w:szCs w:val="24"/>
          <w:lang w:val="es-ES_tradnl"/>
        </w:rPr>
        <w:t>quinto</w:t>
      </w:r>
      <w:r w:rsidRPr="004D09B5">
        <w:rPr>
          <w:rFonts w:ascii="Palatino Linotype" w:hAnsi="Palatino Linotype" w:cs="Arial"/>
          <w:color w:val="000000"/>
          <w:sz w:val="24"/>
          <w:szCs w:val="24"/>
          <w:lang w:val="es-ES_tradnl"/>
        </w:rPr>
        <w:t xml:space="preserve">, </w:t>
      </w:r>
      <w:r w:rsidRPr="004D09B5">
        <w:rPr>
          <w:rFonts w:ascii="Palatino Linotype" w:hAnsi="Palatino Linotype" w:cs="Arial"/>
          <w:b/>
          <w:color w:val="000000"/>
          <w:sz w:val="24"/>
          <w:szCs w:val="24"/>
          <w:lang w:val="es-ES_tradnl"/>
        </w:rPr>
        <w:t xml:space="preserve">El Sujeto Obligado </w:t>
      </w:r>
      <w:r w:rsidR="00AC726B">
        <w:rPr>
          <w:rFonts w:ascii="Palatino Linotype" w:hAnsi="Palatino Linotype" w:cs="Arial"/>
          <w:color w:val="000000"/>
          <w:sz w:val="24"/>
          <w:szCs w:val="24"/>
          <w:lang w:val="es-ES_tradnl"/>
        </w:rPr>
        <w:t>fue omiso en rendir su informe justificado</w:t>
      </w:r>
      <w:r w:rsidRPr="004D09B5">
        <w:rPr>
          <w:rFonts w:ascii="Palatino Linotype" w:hAnsi="Palatino Linotype" w:cs="Arial"/>
          <w:color w:val="000000"/>
          <w:sz w:val="24"/>
          <w:szCs w:val="24"/>
          <w:lang w:val="es-ES_tradnl"/>
        </w:rPr>
        <w:t xml:space="preserve">. </w:t>
      </w:r>
      <w:r w:rsidRPr="004D09B5">
        <w:rPr>
          <w:rFonts w:ascii="Palatino Linotype" w:hAnsi="Palatino Linotype" w:cs="Arial"/>
          <w:sz w:val="24"/>
          <w:szCs w:val="24"/>
          <w:lang w:val="es-ES"/>
        </w:rPr>
        <w:t>Es así que, tomando como base la solicitud de información, la respuesta del</w:t>
      </w:r>
      <w:r w:rsidRPr="004D09B5">
        <w:rPr>
          <w:rFonts w:ascii="Palatino Linotype" w:hAnsi="Palatino Linotype" w:cs="Arial"/>
          <w:b/>
          <w:sz w:val="24"/>
          <w:szCs w:val="24"/>
          <w:lang w:val="es-ES"/>
        </w:rPr>
        <w:t xml:space="preserve"> </w:t>
      </w:r>
      <w:r w:rsidR="004D09B5">
        <w:rPr>
          <w:rFonts w:ascii="Palatino Linotype" w:hAnsi="Palatino Linotype" w:cs="Arial"/>
          <w:b/>
          <w:sz w:val="24"/>
          <w:szCs w:val="24"/>
          <w:lang w:val="es-ES"/>
        </w:rPr>
        <w:t>Sujeto Obligado</w:t>
      </w:r>
      <w:r w:rsidRPr="004D09B5">
        <w:rPr>
          <w:rFonts w:ascii="Palatino Linotype" w:hAnsi="Palatino Linotype" w:cs="Arial"/>
          <w:sz w:val="24"/>
          <w:szCs w:val="24"/>
          <w:lang w:val="es-ES"/>
        </w:rPr>
        <w:t xml:space="preserve"> y los motivos de inconformidad del escrito de interposición del presente recurso, el estudio se circunscribe a determinar la procedencia o no del cambio en la modalidad de entrega de la información</w:t>
      </w:r>
      <w:r w:rsidRPr="009D4885">
        <w:rPr>
          <w:rFonts w:ascii="Palatino Linotype" w:hAnsi="Palatino Linotype" w:cs="Arial"/>
          <w:lang w:val="es-ES"/>
        </w:rPr>
        <w:t>.</w:t>
      </w:r>
      <w:r w:rsidR="004D09B5">
        <w:rPr>
          <w:rFonts w:ascii="Palatino Linotype" w:hAnsi="Palatino Linotype" w:cs="Arial"/>
          <w:lang w:val="es-ES"/>
        </w:rPr>
        <w:t xml:space="preserve"> </w:t>
      </w:r>
      <w:r w:rsidRPr="004D09B5">
        <w:rPr>
          <w:rFonts w:ascii="Palatino Linotype" w:hAnsi="Palatino Linotype" w:cs="Arial"/>
          <w:sz w:val="24"/>
          <w:szCs w:val="24"/>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rsidR="00F94288" w:rsidRPr="009D4885" w:rsidRDefault="00F94288" w:rsidP="00F94288">
      <w:pPr>
        <w:pStyle w:val="INFOEM"/>
        <w:rPr>
          <w:lang w:val="es-ES"/>
        </w:rPr>
      </w:pPr>
      <w:r w:rsidRPr="009D4885">
        <w:rPr>
          <w:lang w:val="es-ES"/>
        </w:rPr>
        <w:t xml:space="preserve">“Artículo 155. Para presentar una solicitud por escrito, no se podrán exigir mayores requisitos que los siguientes: </w:t>
      </w:r>
    </w:p>
    <w:p w:rsidR="00F94288" w:rsidRPr="009D4885" w:rsidRDefault="004D09B5" w:rsidP="00F94288">
      <w:pPr>
        <w:pStyle w:val="INFOEM"/>
        <w:rPr>
          <w:lang w:val="es-ES"/>
        </w:rPr>
      </w:pPr>
      <w:r>
        <w:rPr>
          <w:lang w:val="es-ES"/>
        </w:rPr>
        <w:t>(…)</w:t>
      </w:r>
    </w:p>
    <w:p w:rsidR="00F94288" w:rsidRPr="009D4885" w:rsidRDefault="00F94288" w:rsidP="00F94288">
      <w:pPr>
        <w:pStyle w:val="INFOEM"/>
        <w:rPr>
          <w:lang w:val="es-ES"/>
        </w:rPr>
      </w:pPr>
      <w:r w:rsidRPr="009D4885">
        <w:rPr>
          <w:lang w:val="es-ES"/>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F94288" w:rsidRPr="009D4885" w:rsidRDefault="004D09B5" w:rsidP="00F94288">
      <w:pPr>
        <w:pStyle w:val="INFOEM"/>
        <w:rPr>
          <w:lang w:val="es-ES"/>
        </w:rPr>
      </w:pPr>
      <w:r>
        <w:rPr>
          <w:lang w:val="es-ES"/>
        </w:rPr>
        <w:lastRenderedPageBreak/>
        <w:t>(</w:t>
      </w:r>
      <w:r w:rsidR="00F94288" w:rsidRPr="009D4885">
        <w:rPr>
          <w:lang w:val="es-ES"/>
        </w:rPr>
        <w:t>…</w:t>
      </w:r>
      <w:r>
        <w:rPr>
          <w:lang w:val="es-ES"/>
        </w:rPr>
        <w:t>)</w:t>
      </w:r>
    </w:p>
    <w:p w:rsidR="00F94288" w:rsidRPr="009D4885" w:rsidRDefault="00F94288" w:rsidP="00F94288">
      <w:pPr>
        <w:pStyle w:val="INFOEM"/>
        <w:rPr>
          <w:lang w:val="es-ES"/>
        </w:rPr>
      </w:pPr>
      <w:r w:rsidRPr="009D4885">
        <w:rPr>
          <w:lang w:val="es-ES"/>
        </w:rPr>
        <w:t>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F94288" w:rsidRPr="009D4885" w:rsidRDefault="00F94288" w:rsidP="00F94288">
      <w:pPr>
        <w:pStyle w:val="INFOEM"/>
        <w:rPr>
          <w:lang w:val="es-ES"/>
        </w:rPr>
      </w:pPr>
      <w:r w:rsidRPr="009D4885">
        <w:rPr>
          <w:lang w:val="es-ES"/>
        </w:rPr>
        <w:t>En todo caso, se facilitará su copia simple o certificada, así como su reproducción por cualquier medio disponible en las instalaciones del sujeto obligado o que, en su caso, aporte el solicitante.</w:t>
      </w:r>
    </w:p>
    <w:p w:rsidR="00F94288" w:rsidRPr="009D4885" w:rsidRDefault="00F94288" w:rsidP="00F94288">
      <w:pPr>
        <w:pStyle w:val="INFOEM"/>
        <w:rPr>
          <w:lang w:val="es-ES"/>
        </w:rPr>
      </w:pPr>
      <w:r w:rsidRPr="009D4885">
        <w:rPr>
          <w:lang w:val="es-ES"/>
        </w:rPr>
        <w:t>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94288" w:rsidRPr="009D4885" w:rsidRDefault="00F94288" w:rsidP="00F94288">
      <w:pPr>
        <w:pStyle w:val="INFOEM"/>
        <w:rPr>
          <w:lang w:val="es-ES"/>
        </w:rPr>
      </w:pPr>
      <w:r w:rsidRPr="009D4885">
        <w:rPr>
          <w:lang w:val="es-ES"/>
        </w:rPr>
        <w:t>En caso que la información solicitada consista en bases de datos se deberá privilegiar la entrega de la misma en formatos abiertos.</w:t>
      </w:r>
    </w:p>
    <w:p w:rsidR="00F94288" w:rsidRPr="009D4885" w:rsidRDefault="00F94288" w:rsidP="00F94288">
      <w:pPr>
        <w:pStyle w:val="INFOEM"/>
        <w:rPr>
          <w:lang w:val="es-ES"/>
        </w:rPr>
      </w:pPr>
      <w:r w:rsidRPr="009D4885">
        <w:rPr>
          <w:lang w:val="es-ES"/>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rsidR="00F94288" w:rsidRDefault="00F94288" w:rsidP="00F94288">
      <w:pPr>
        <w:pStyle w:val="INFOEM"/>
        <w:rPr>
          <w:b/>
          <w:lang w:val="es-ES"/>
        </w:rPr>
      </w:pPr>
      <w:r w:rsidRPr="009D4885">
        <w:rPr>
          <w:lang w:val="es-ES"/>
        </w:rPr>
        <w:lastRenderedPageBreak/>
        <w:t xml:space="preserve">En cualquier caso, se deberá fundar y motivar la necesidad de ofrecer otras modalidades.” </w:t>
      </w:r>
      <w:r w:rsidR="004D09B5">
        <w:rPr>
          <w:b/>
          <w:lang w:val="es-ES"/>
        </w:rPr>
        <w:t>[Sic]</w:t>
      </w:r>
    </w:p>
    <w:p w:rsidR="00D359A7" w:rsidRPr="004D09B5" w:rsidRDefault="00D359A7" w:rsidP="00F94288">
      <w:pPr>
        <w:pStyle w:val="INFOEM"/>
        <w:rPr>
          <w:b/>
          <w:lang w:val="es-ES"/>
        </w:rPr>
      </w:pPr>
    </w:p>
    <w:p w:rsidR="00F94288" w:rsidRPr="005D1E82" w:rsidRDefault="00F94288" w:rsidP="00F94288">
      <w:pPr>
        <w:spacing w:line="360" w:lineRule="auto"/>
        <w:jc w:val="both"/>
        <w:rPr>
          <w:rFonts w:ascii="Palatino Linotype" w:hAnsi="Palatino Linotype" w:cs="Arial"/>
          <w:sz w:val="24"/>
          <w:szCs w:val="24"/>
          <w:lang w:val="es-ES_tradnl"/>
        </w:rPr>
      </w:pPr>
      <w:r w:rsidRPr="005D1E82">
        <w:rPr>
          <w:rFonts w:ascii="Palatino Linotype" w:hAnsi="Palatino Linotype"/>
          <w:sz w:val="24"/>
          <w:szCs w:val="24"/>
        </w:rPr>
        <w:t xml:space="preserve">En ese sentido, a efecto de dar cumplimiento al derecho de acceso a la información pública, los particulares tienen la posibilidad de elegir la modalidad de entrega que prefieran, entre ellas, vía </w:t>
      </w:r>
      <w:r w:rsidRPr="005D1E82">
        <w:rPr>
          <w:rFonts w:ascii="Palatino Linotype" w:hAnsi="Palatino Linotype"/>
          <w:b/>
          <w:sz w:val="24"/>
          <w:szCs w:val="24"/>
        </w:rPr>
        <w:t>SAIMEX</w:t>
      </w:r>
      <w:r w:rsidRPr="005D1E82">
        <w:rPr>
          <w:rFonts w:ascii="Palatino Linotype" w:hAnsi="Palatino Linotype"/>
          <w:sz w:val="24"/>
          <w:szCs w:val="24"/>
        </w:rPr>
        <w:t xml:space="preserve">, como es </w:t>
      </w:r>
      <w:r w:rsidR="005D1E82" w:rsidRPr="005D1E82">
        <w:rPr>
          <w:rFonts w:ascii="Palatino Linotype" w:hAnsi="Palatino Linotype"/>
          <w:sz w:val="24"/>
          <w:szCs w:val="24"/>
        </w:rPr>
        <w:t>en el caso que nos ocupa.</w:t>
      </w:r>
      <w:r w:rsidR="00C344BE" w:rsidRPr="005D1E82">
        <w:rPr>
          <w:rFonts w:ascii="Palatino Linotype" w:hAnsi="Palatino Linotype"/>
          <w:sz w:val="24"/>
          <w:szCs w:val="24"/>
        </w:rPr>
        <w:t xml:space="preserve">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Es así que, si bien </w:t>
      </w:r>
      <w:r w:rsidR="00AB2BA7">
        <w:rPr>
          <w:rFonts w:ascii="Palatino Linotype" w:hAnsi="Palatino Linotype" w:cs="Arial"/>
          <w:b/>
        </w:rPr>
        <w:t>El Sujeto Obligado</w:t>
      </w:r>
      <w:r w:rsidRPr="009D4885">
        <w:rPr>
          <w:rFonts w:ascii="Palatino Linotype" w:hAnsi="Palatino Linotype" w:cs="Arial"/>
          <w:b/>
        </w:rPr>
        <w:t xml:space="preserve"> </w:t>
      </w:r>
      <w:r w:rsidRPr="009D4885">
        <w:rPr>
          <w:rFonts w:ascii="Palatino Linotype" w:hAnsi="Palatino Linotype" w:cs="Arial"/>
        </w:rPr>
        <w:t xml:space="preserve">refiere fundamentos jurídicos; así como, la incapacidad humana, dado que </w:t>
      </w:r>
      <w:r w:rsidRPr="009D4885">
        <w:rPr>
          <w:rFonts w:ascii="Palatino Linotype" w:hAnsi="Palatino Linotype" w:cs="Arial"/>
          <w:lang w:val="es-ES"/>
        </w:rPr>
        <w:t xml:space="preserve">implicaba destinar un número significativo de días, horas y personal exclusivo para atender </w:t>
      </w:r>
      <w:r w:rsidR="005D1E82">
        <w:rPr>
          <w:rFonts w:ascii="Palatino Linotype" w:hAnsi="Palatino Linotype" w:cs="Arial"/>
          <w:lang w:val="es-ES"/>
        </w:rPr>
        <w:t>el requerimiento</w:t>
      </w:r>
      <w:r w:rsidRPr="009D4885">
        <w:rPr>
          <w:rFonts w:ascii="Palatino Linotype" w:hAnsi="Palatino Linotype" w:cs="Arial"/>
        </w:rPr>
        <w:t>; también lo es que pudo hacer valer prórroga</w:t>
      </w:r>
      <w:r w:rsidRPr="009D4885">
        <w:rPr>
          <w:rStyle w:val="Refdenotaalpie"/>
          <w:rFonts w:ascii="Palatino Linotype" w:hAnsi="Palatino Linotype" w:cs="Arial"/>
        </w:rPr>
        <w:footnoteReference w:id="2"/>
      </w:r>
      <w:r w:rsidRPr="009D4885">
        <w:rPr>
          <w:rFonts w:ascii="Palatino Linotype" w:hAnsi="Palatino Linotype" w:cs="Arial"/>
        </w:rPr>
        <w:t xml:space="preserve">; aunado a que debió fundar y motivar la imposibilidad de entregar la información en la modalidad elegida por </w:t>
      </w:r>
      <w:r w:rsidR="003E556B">
        <w:rPr>
          <w:rFonts w:ascii="Palatino Linotype" w:hAnsi="Palatino Linotype" w:cs="Arial"/>
        </w:rPr>
        <w:t>la</w:t>
      </w:r>
      <w:r w:rsidRPr="009D4885">
        <w:rPr>
          <w:rFonts w:ascii="Palatino Linotype" w:hAnsi="Palatino Linotype" w:cs="Arial"/>
        </w:rPr>
        <w:t xml:space="preserve"> particular; pues únicamente se limitó a informar como impedimento la contingencia por el virus SARS-CoV</w:t>
      </w:r>
      <w:r w:rsidR="00AB2BA7">
        <w:rPr>
          <w:rFonts w:ascii="Palatino Linotype" w:hAnsi="Palatino Linotype" w:cs="Arial"/>
        </w:rPr>
        <w:t>2 (Covid</w:t>
      </w:r>
      <w:r w:rsidRPr="009D4885">
        <w:rPr>
          <w:rFonts w:ascii="Palatino Linotype" w:hAnsi="Palatino Linotype" w:cs="Arial"/>
        </w:rPr>
        <w:t xml:space="preserve">-19), por lo que se encontraba imposibilitado para atender la misma dado que no contaba con la capacidad humana y material para dar atención </w:t>
      </w:r>
      <w:r w:rsidR="005D1E82">
        <w:rPr>
          <w:rFonts w:ascii="Palatino Linotype" w:hAnsi="Palatino Linotype" w:cs="Arial"/>
        </w:rPr>
        <w:t xml:space="preserve">a la solicitud </w:t>
      </w:r>
      <w:r w:rsidRPr="009D4885">
        <w:rPr>
          <w:rFonts w:ascii="Palatino Linotype" w:hAnsi="Palatino Linotype" w:cs="Arial"/>
        </w:rPr>
        <w:t xml:space="preserve">vía </w:t>
      </w:r>
      <w:r w:rsidRPr="009D4885">
        <w:rPr>
          <w:rFonts w:ascii="Palatino Linotype" w:hAnsi="Palatino Linotype" w:cs="Arial"/>
          <w:b/>
        </w:rPr>
        <w:t>SAIMEX</w:t>
      </w:r>
      <w:r w:rsidRPr="009D4885">
        <w:rPr>
          <w:rFonts w:ascii="Palatino Linotype" w:hAnsi="Palatino Linotype" w:cs="Arial"/>
        </w:rPr>
        <w:t>.</w:t>
      </w:r>
      <w:r>
        <w:rPr>
          <w:rFonts w:ascii="Palatino Linotype" w:hAnsi="Palatino Linotype" w:cs="Arial"/>
        </w:rPr>
        <w:t xml:space="preserve">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De lo anterior, se considera que no resulta procedente el impedimento referido por </w:t>
      </w:r>
      <w:r w:rsidR="00AB2BA7">
        <w:rPr>
          <w:rFonts w:ascii="Palatino Linotype" w:hAnsi="Palatino Linotype" w:cs="Arial"/>
          <w:b/>
        </w:rPr>
        <w:t>El Sujeto Obligado</w:t>
      </w:r>
      <w:r w:rsidRPr="009D4885">
        <w:rPr>
          <w:rFonts w:ascii="Palatino Linotype" w:hAnsi="Palatino Linotype" w:cs="Arial"/>
          <w:b/>
        </w:rPr>
        <w:t xml:space="preserve"> </w:t>
      </w:r>
      <w:r w:rsidRPr="009D4885">
        <w:rPr>
          <w:rFonts w:ascii="Palatino Linotype" w:hAnsi="Palatino Linotype" w:cs="Arial"/>
        </w:rPr>
        <w:t xml:space="preserve">pues no justifica el cambio de modalidad de la entrega de información, pues debió de analizar la misma y en su caso solicitar la ampliación de plazo para atenderla, garantizando en todo momento la modalidad de entrega elegida por </w:t>
      </w:r>
      <w:r w:rsidR="00A10721">
        <w:rPr>
          <w:rFonts w:ascii="Palatino Linotype" w:hAnsi="Palatino Linotype" w:cs="Arial"/>
        </w:rPr>
        <w:t>la</w:t>
      </w:r>
      <w:r w:rsidRPr="009D4885">
        <w:rPr>
          <w:rFonts w:ascii="Palatino Linotype" w:hAnsi="Palatino Linotype" w:cs="Arial"/>
        </w:rPr>
        <w:t xml:space="preserve"> particular; pues, si bien los Sujetos Obligados pueden llevar a cabo diversas acciones para mitigar el riesgo de contagio de </w:t>
      </w:r>
      <w:r w:rsidR="00AB2BA7">
        <w:rPr>
          <w:rFonts w:ascii="Palatino Linotype" w:hAnsi="Palatino Linotype" w:cs="Arial"/>
        </w:rPr>
        <w:t>Covid</w:t>
      </w:r>
      <w:r w:rsidRPr="009D4885">
        <w:rPr>
          <w:rFonts w:ascii="Palatino Linotype" w:hAnsi="Palatino Linotype" w:cs="Arial"/>
        </w:rPr>
        <w:t>-</w:t>
      </w:r>
      <w:r w:rsidRPr="009D4885">
        <w:rPr>
          <w:rFonts w:ascii="Palatino Linotype" w:hAnsi="Palatino Linotype" w:cs="Arial"/>
        </w:rPr>
        <w:lastRenderedPageBreak/>
        <w:t xml:space="preserve">19, lo cierto es que ello no exime de dar cumplimiento a las disposiciones de las leyes en la materia.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Lo anterior es así, ya que </w:t>
      </w:r>
      <w:r w:rsidR="00AB2BA7">
        <w:rPr>
          <w:rFonts w:ascii="Palatino Linotype" w:hAnsi="Palatino Linotype" w:cs="Arial"/>
          <w:b/>
        </w:rPr>
        <w:t>El Sujeto Obligado</w:t>
      </w:r>
      <w:r w:rsidRPr="009D4885">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el particular. Aunado a ello, la norma no prevé que por el hecho de ser mucha información o por tratarse de muchas solicitudes por parte de la misma persona se deba cambiar la modalidad, pues ni siquiera se hizo referencia al volumen de la misma, ni el e</w:t>
      </w:r>
      <w:r w:rsidR="00D359A7">
        <w:rPr>
          <w:rFonts w:ascii="Palatino Linotype" w:hAnsi="Palatino Linotype" w:cs="Arial"/>
        </w:rPr>
        <w:t>stado en q</w:t>
      </w:r>
      <w:r w:rsidR="00C344BE">
        <w:rPr>
          <w:rFonts w:ascii="Palatino Linotype" w:hAnsi="Palatino Linotype" w:cs="Arial"/>
        </w:rPr>
        <w:t xml:space="preserve">ue ésta se encontraba </w:t>
      </w:r>
      <w:r w:rsidR="00C344BE" w:rsidRPr="00C344BE">
        <w:rPr>
          <w:rFonts w:ascii="Palatino Linotype" w:hAnsi="Palatino Linotype" w:cs="Arial"/>
          <w:b/>
          <w:u w:val="single"/>
        </w:rPr>
        <w:t>(</w:t>
      </w:r>
      <w:r w:rsidR="005E1A8F">
        <w:rPr>
          <w:rFonts w:ascii="Palatino Linotype" w:hAnsi="Palatino Linotype" w:cs="Arial"/>
          <w:b/>
          <w:u w:val="single"/>
        </w:rPr>
        <w:t xml:space="preserve">física o </w:t>
      </w:r>
      <w:r w:rsidR="00D359A7" w:rsidRPr="00C344BE">
        <w:rPr>
          <w:rFonts w:ascii="Palatino Linotype" w:hAnsi="Palatino Linotype" w:cs="Arial"/>
          <w:b/>
          <w:u w:val="single"/>
        </w:rPr>
        <w:t>electrónica).</w:t>
      </w:r>
      <w:r w:rsidR="00D359A7">
        <w:rPr>
          <w:rFonts w:ascii="Palatino Linotype" w:hAnsi="Palatino Linotype" w:cs="Arial"/>
        </w:rPr>
        <w:t xml:space="preserve"> </w:t>
      </w:r>
    </w:p>
    <w:p w:rsidR="00F94288" w:rsidRPr="009D4885" w:rsidRDefault="00F94288" w:rsidP="00F94288">
      <w:pPr>
        <w:spacing w:line="360" w:lineRule="auto"/>
        <w:jc w:val="both"/>
        <w:rPr>
          <w:rFonts w:ascii="Palatino Linotype" w:hAnsi="Palatino Linotype" w:cs="Arial"/>
          <w:bCs/>
        </w:rPr>
      </w:pPr>
      <w:r w:rsidRPr="009D4885">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9D4885">
        <w:rPr>
          <w:rFonts w:ascii="Palatino Linotype" w:hAnsi="Palatino Linotype" w:cs="Arial"/>
          <w:b/>
        </w:rPr>
        <w:t>versión pública</w:t>
      </w:r>
      <w:r w:rsidRPr="009D4885">
        <w:rPr>
          <w:rFonts w:ascii="Palatino Linotype" w:hAnsi="Palatino Linotype" w:cs="Arial"/>
        </w:rPr>
        <w:t>; pues, el</w:t>
      </w:r>
      <w:r w:rsidRPr="009D48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w:t>
      </w:r>
      <w:r w:rsidRPr="00AB2BA7">
        <w:rPr>
          <w:rFonts w:ascii="Palatino Linotype" w:hAnsi="Palatino Linotype" w:cs="Arial"/>
          <w:b/>
          <w:bCs/>
        </w:rPr>
        <w:t>Sujetos Obligados</w:t>
      </w:r>
      <w:r w:rsidRPr="009D4885">
        <w:rPr>
          <w:rFonts w:ascii="Palatino Linotype" w:hAnsi="Palatino Linotype" w:cs="Arial"/>
          <w:bCs/>
        </w:rPr>
        <w:t xml:space="preserve">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4288" w:rsidRPr="009D4885" w:rsidRDefault="00F94288" w:rsidP="00F94288">
      <w:pPr>
        <w:spacing w:line="360" w:lineRule="auto"/>
        <w:jc w:val="both"/>
        <w:rPr>
          <w:rFonts w:ascii="Palatino Linotype" w:hAnsi="Palatino Linotype" w:cs="Arial"/>
          <w:bCs/>
        </w:rPr>
      </w:pPr>
      <w:r w:rsidRPr="009D4885">
        <w:rPr>
          <w:rFonts w:ascii="Palatino Linotype" w:hAnsi="Palatino Linotype" w:cs="Arial"/>
          <w:bCs/>
        </w:rPr>
        <w:t>A este respecto, los artículos 3, fracciones IX, XX, XXI y XLV; 51 y 52 de la Ley de Transparencia y Acceso a la Información Pública del Estado de México y Municipios establecen:</w:t>
      </w:r>
    </w:p>
    <w:p w:rsidR="00F94288" w:rsidRPr="009D4885" w:rsidRDefault="00F94288" w:rsidP="00AB2BA7">
      <w:pPr>
        <w:pStyle w:val="INFOEM"/>
      </w:pPr>
      <w:r w:rsidRPr="009D4885">
        <w:rPr>
          <w:b/>
          <w:bCs/>
          <w:noProof/>
        </w:rPr>
        <w:t>“</w:t>
      </w:r>
      <w:r w:rsidRPr="009D4885">
        <w:rPr>
          <w:b/>
          <w:bCs/>
        </w:rPr>
        <w:t xml:space="preserve">Artículo 3. </w:t>
      </w:r>
      <w:r w:rsidRPr="009D4885">
        <w:t xml:space="preserve">Para los efectos de la presente Ley se entenderá por: </w:t>
      </w:r>
    </w:p>
    <w:p w:rsidR="00F94288" w:rsidRPr="009D4885" w:rsidRDefault="00F94288" w:rsidP="00AB2BA7">
      <w:pPr>
        <w:pStyle w:val="INFOEM"/>
      </w:pPr>
      <w:r w:rsidRPr="009D4885">
        <w:rPr>
          <w:b/>
        </w:rPr>
        <w:lastRenderedPageBreak/>
        <w:t>IX.</w:t>
      </w:r>
      <w:r w:rsidRPr="009D4885">
        <w:t xml:space="preserve"> </w:t>
      </w:r>
      <w:r w:rsidRPr="009D4885">
        <w:rPr>
          <w:b/>
        </w:rPr>
        <w:t xml:space="preserve">Datos personales: </w:t>
      </w:r>
      <w:r w:rsidRPr="009D4885">
        <w:t xml:space="preserve">La información concerniente a una persona, identificada o identificable según lo dispuesto por la Ley de Protección de Datos Personales del Estado de México; </w:t>
      </w:r>
    </w:p>
    <w:p w:rsidR="00F94288" w:rsidRPr="009D4885" w:rsidRDefault="00F94288" w:rsidP="00AB2BA7">
      <w:pPr>
        <w:pStyle w:val="INFOEM"/>
      </w:pPr>
      <w:r w:rsidRPr="009D4885">
        <w:rPr>
          <w:b/>
        </w:rPr>
        <w:t>XX.</w:t>
      </w:r>
      <w:r w:rsidRPr="009D4885">
        <w:t xml:space="preserve"> </w:t>
      </w:r>
      <w:r w:rsidRPr="009D4885">
        <w:rPr>
          <w:b/>
        </w:rPr>
        <w:t>Información clasificada:</w:t>
      </w:r>
      <w:r w:rsidRPr="009D4885">
        <w:t xml:space="preserve"> Aquella considerada por la presente Ley como reservada o confidencial; </w:t>
      </w:r>
    </w:p>
    <w:p w:rsidR="00F94288" w:rsidRPr="009D4885" w:rsidRDefault="00F94288" w:rsidP="00AB2BA7">
      <w:pPr>
        <w:pStyle w:val="INFOEM"/>
      </w:pPr>
      <w:r w:rsidRPr="009D4885">
        <w:rPr>
          <w:b/>
        </w:rPr>
        <w:t>XXI.</w:t>
      </w:r>
      <w:r w:rsidRPr="009D4885">
        <w:t xml:space="preserve"> </w:t>
      </w:r>
      <w:r w:rsidRPr="009D4885">
        <w:rPr>
          <w:b/>
        </w:rPr>
        <w:t>Información confidencial</w:t>
      </w:r>
      <w:r w:rsidRPr="009D488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94288" w:rsidRPr="009D4885" w:rsidRDefault="00F94288" w:rsidP="00AB2BA7">
      <w:pPr>
        <w:pStyle w:val="INFOEM"/>
      </w:pPr>
      <w:r w:rsidRPr="009D4885">
        <w:rPr>
          <w:b/>
        </w:rPr>
        <w:t>XLV. Versión pública:</w:t>
      </w:r>
      <w:r w:rsidRPr="009D4885">
        <w:t xml:space="preserve"> Documento en el que se elimine, suprime o borra la información clasificada como reservada o confidencial para permitir su acceso. </w:t>
      </w:r>
    </w:p>
    <w:p w:rsidR="00F94288" w:rsidRPr="009D4885" w:rsidRDefault="00F94288" w:rsidP="00AB2BA7">
      <w:pPr>
        <w:pStyle w:val="INFOEM"/>
      </w:pPr>
      <w:r w:rsidRPr="009D4885">
        <w:rPr>
          <w:b/>
        </w:rPr>
        <w:t>Artículo 51.</w:t>
      </w:r>
      <w:r w:rsidRPr="009D4885">
        <w:t xml:space="preserve"> Los sujetos obligados designaran a un responsable para atender la Unidad de Transparencia, quien fungirá como enlace entre éstos y los solicitantes. Dicha Unidad será la encargada de tramitar internamente la solicitud de información </w:t>
      </w:r>
      <w:r w:rsidRPr="009D4885">
        <w:rPr>
          <w:b/>
        </w:rPr>
        <w:t xml:space="preserve">y tendrá la responsabilidad de verificar en cada caso que la misma no sea confidencial o reservada. </w:t>
      </w:r>
      <w:r w:rsidRPr="009D4885">
        <w:t xml:space="preserve">Dicha Unidad contará con las facultades internas necesarias para gestionar la atención a las solicitudes de información en los términos de la Ley General y la presente Ley. </w:t>
      </w:r>
    </w:p>
    <w:p w:rsidR="00F94288" w:rsidRPr="00AB2BA7" w:rsidRDefault="00F94288" w:rsidP="00AB2BA7">
      <w:pPr>
        <w:pStyle w:val="INFOEM"/>
        <w:rPr>
          <w:b/>
        </w:rPr>
      </w:pPr>
      <w:r w:rsidRPr="009D4885">
        <w:rPr>
          <w:b/>
        </w:rPr>
        <w:t>Artículo 52.</w:t>
      </w:r>
      <w:r w:rsidRPr="009D4885">
        <w:t xml:space="preserve"> Las solicitudes de acceso a la información y las respuestas que se les dé, incluyendo, en su caso, </w:t>
      </w:r>
      <w:r w:rsidRPr="009D4885">
        <w:rPr>
          <w:u w:val="single"/>
        </w:rPr>
        <w:t>la información entregada, así como las resoluciones a los recursos que en su caso se promuevan serán públicas, y de ser el caso que contenga datos personales que deban ser protegidos se podrá dar su acceso en su versión pública</w:t>
      </w:r>
      <w:r w:rsidRPr="009D4885">
        <w:t>, siempre y cuando la resolución de referencia se someta a un proceso de disociación, es decir, no haga identificable al titular de tales datos personales.</w:t>
      </w:r>
      <w:r w:rsidRPr="009D4885">
        <w:rPr>
          <w:bCs/>
          <w:noProof/>
        </w:rPr>
        <w:t>”</w:t>
      </w:r>
      <w:r w:rsidR="00AB2BA7">
        <w:rPr>
          <w:bCs/>
          <w:noProof/>
        </w:rPr>
        <w:t xml:space="preserve"> </w:t>
      </w:r>
      <w:r w:rsidR="00AB2BA7">
        <w:rPr>
          <w:b/>
          <w:bCs/>
          <w:noProof/>
        </w:rPr>
        <w:t>[Sic]</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lastRenderedPageBreak/>
        <w:t xml:space="preserve">Así, los datos personales que obren en poder de los </w:t>
      </w:r>
      <w:r w:rsidRPr="00AB2BA7">
        <w:rPr>
          <w:rFonts w:ascii="Palatino Linotype" w:hAnsi="Palatino Linotype" w:cs="Arial"/>
          <w:b/>
        </w:rPr>
        <w:t>Sujetos Obligados</w:t>
      </w:r>
      <w:r w:rsidRPr="009D4885">
        <w:rPr>
          <w:rFonts w:ascii="Palatino Linotype" w:hAnsi="Palatino Linotype" w:cs="Arial"/>
        </w:rPr>
        <w:t xml:space="preserve">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F94288" w:rsidRPr="009D4885" w:rsidRDefault="00F94288" w:rsidP="00AB2BA7">
      <w:pPr>
        <w:pStyle w:val="INFOEM"/>
      </w:pPr>
      <w:r w:rsidRPr="009D4885">
        <w:rPr>
          <w:b/>
        </w:rPr>
        <w:t>“Artículo 22.</w:t>
      </w:r>
      <w:r w:rsidRPr="009D4885">
        <w:t xml:space="preserve"> Todo tratamiento de datos personales que efectúe el responsable deberá estar justificado por finalidades concretas, lícitas, explícitas y legítimas, relacionadas con las atribuciones que la normatividad aplicable les confiera.  </w:t>
      </w:r>
    </w:p>
    <w:p w:rsidR="00F94288" w:rsidRPr="00AB2BA7" w:rsidRDefault="00F94288" w:rsidP="00AB2BA7">
      <w:pPr>
        <w:pStyle w:val="INFOEM"/>
        <w:rPr>
          <w:b/>
        </w:rPr>
      </w:pPr>
      <w:r w:rsidRPr="009D4885">
        <w:rPr>
          <w:b/>
        </w:rPr>
        <w:t>Artículo 38.</w:t>
      </w:r>
      <w:r w:rsidRPr="009D488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D4885">
        <w:rPr>
          <w:b/>
        </w:rPr>
        <w:t>”</w:t>
      </w:r>
      <w:r w:rsidRPr="009D4885">
        <w:t xml:space="preserve"> </w:t>
      </w:r>
      <w:r w:rsidR="00AB2BA7">
        <w:rPr>
          <w:b/>
        </w:rPr>
        <w:t>[Sic]</w:t>
      </w:r>
    </w:p>
    <w:p w:rsidR="00F94288" w:rsidRPr="009D4885" w:rsidRDefault="00F94288" w:rsidP="00F94288">
      <w:pPr>
        <w:ind w:left="851" w:right="850"/>
        <w:jc w:val="both"/>
        <w:rPr>
          <w:rFonts w:ascii="Palatino Linotype" w:eastAsia="Arial Unicode MS" w:hAnsi="Palatino Linotype" w:cs="Arial"/>
          <w:i/>
        </w:rPr>
      </w:pP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D4885">
        <w:rPr>
          <w:rFonts w:ascii="Palatino Linotype" w:eastAsia="Arial Unicode MS" w:hAnsi="Palatino Linotype" w:cs="Arial"/>
        </w:rPr>
        <w:t xml:space="preserve"> que debe ser protegida por </w:t>
      </w:r>
      <w:r w:rsidR="00AB2BA7">
        <w:rPr>
          <w:rFonts w:ascii="Palatino Linotype" w:eastAsia="Arial Unicode MS" w:hAnsi="Palatino Linotype" w:cs="Arial"/>
          <w:b/>
        </w:rPr>
        <w:t>El Sujeto Obligado</w:t>
      </w:r>
      <w:r w:rsidRPr="009D4885">
        <w:rPr>
          <w:rFonts w:ascii="Palatino Linotype" w:eastAsia="Arial Unicode MS" w:hAnsi="Palatino Linotype" w:cs="Arial"/>
          <w:b/>
        </w:rPr>
        <w:t>,</w:t>
      </w:r>
      <w:r w:rsidRPr="009D4885">
        <w:rPr>
          <w:rFonts w:ascii="Palatino Linotype" w:eastAsia="Arial Unicode MS" w:hAnsi="Palatino Linotype" w:cs="Arial"/>
        </w:rPr>
        <w:t xml:space="preserve"> por lo </w:t>
      </w:r>
      <w:r w:rsidRPr="009D4885">
        <w:rPr>
          <w:rFonts w:ascii="Palatino Linotype" w:hAnsi="Palatino Linotype" w:cs="Arial"/>
        </w:rPr>
        <w:t>que, todo dato personal susceptible de clasificación debe ser protegido.</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w:t>
      </w:r>
      <w:r w:rsidR="00AB2BA7">
        <w:rPr>
          <w:rFonts w:ascii="Palatino Linotype" w:hAnsi="Palatino Linotype" w:cs="Arial"/>
        </w:rPr>
        <w:t>señalan a la literalidad:</w:t>
      </w:r>
    </w:p>
    <w:p w:rsidR="00F94288" w:rsidRPr="009D4885" w:rsidRDefault="00F94288" w:rsidP="00AB2BA7">
      <w:pPr>
        <w:pStyle w:val="INFOEM"/>
        <w:rPr>
          <w:szCs w:val="22"/>
        </w:rPr>
      </w:pPr>
      <w:r w:rsidRPr="009D4885">
        <w:rPr>
          <w:b/>
          <w:szCs w:val="22"/>
        </w:rPr>
        <w:t xml:space="preserve">“Artículo 49. </w:t>
      </w:r>
      <w:r w:rsidRPr="009D4885">
        <w:rPr>
          <w:szCs w:val="22"/>
        </w:rPr>
        <w:t>Los Comités de Transparencia tendrán las siguientes atribuciones:</w:t>
      </w:r>
    </w:p>
    <w:p w:rsidR="00F94288" w:rsidRPr="009D4885" w:rsidRDefault="00F94288" w:rsidP="00AB2BA7">
      <w:pPr>
        <w:pStyle w:val="INFOEM"/>
        <w:rPr>
          <w:szCs w:val="22"/>
        </w:rPr>
      </w:pPr>
      <w:r w:rsidRPr="009D4885">
        <w:rPr>
          <w:b/>
          <w:szCs w:val="22"/>
        </w:rPr>
        <w:t>VIII.</w:t>
      </w:r>
      <w:r w:rsidRPr="009D4885">
        <w:rPr>
          <w:szCs w:val="22"/>
        </w:rPr>
        <w:t xml:space="preserve"> Aprobar, modificar o revocar la clasificación de la información;</w:t>
      </w:r>
    </w:p>
    <w:p w:rsidR="00F94288" w:rsidRPr="009D4885" w:rsidRDefault="00F94288" w:rsidP="00AB2BA7">
      <w:pPr>
        <w:pStyle w:val="INFOEM"/>
        <w:rPr>
          <w:szCs w:val="22"/>
        </w:rPr>
      </w:pPr>
      <w:r w:rsidRPr="009D4885">
        <w:rPr>
          <w:b/>
          <w:szCs w:val="22"/>
        </w:rPr>
        <w:t>Artículo 132.</w:t>
      </w:r>
      <w:r w:rsidRPr="009D4885">
        <w:rPr>
          <w:szCs w:val="22"/>
        </w:rPr>
        <w:t xml:space="preserve"> La clasificación de la información se llevará a cabo en el momento en que:</w:t>
      </w:r>
    </w:p>
    <w:p w:rsidR="00F94288" w:rsidRPr="009D4885" w:rsidRDefault="00F94288" w:rsidP="00AB2BA7">
      <w:pPr>
        <w:pStyle w:val="INFOEM"/>
        <w:rPr>
          <w:szCs w:val="22"/>
        </w:rPr>
      </w:pPr>
      <w:r w:rsidRPr="009D4885">
        <w:rPr>
          <w:b/>
          <w:szCs w:val="22"/>
        </w:rPr>
        <w:lastRenderedPageBreak/>
        <w:t>I.</w:t>
      </w:r>
      <w:r w:rsidRPr="009D4885">
        <w:rPr>
          <w:szCs w:val="22"/>
        </w:rPr>
        <w:t xml:space="preserve"> Se reciba una solicitud de acceso a la información;</w:t>
      </w:r>
    </w:p>
    <w:p w:rsidR="00F94288" w:rsidRPr="009D4885" w:rsidRDefault="00F94288" w:rsidP="00AB2BA7">
      <w:pPr>
        <w:pStyle w:val="INFOEM"/>
        <w:rPr>
          <w:szCs w:val="22"/>
        </w:rPr>
      </w:pPr>
      <w:r w:rsidRPr="009D4885">
        <w:rPr>
          <w:b/>
          <w:szCs w:val="22"/>
        </w:rPr>
        <w:t>II.</w:t>
      </w:r>
      <w:r w:rsidRPr="009D4885">
        <w:rPr>
          <w:szCs w:val="22"/>
        </w:rPr>
        <w:t xml:space="preserve"> Se determine mediante resolución de autoridad competente; o</w:t>
      </w:r>
    </w:p>
    <w:p w:rsidR="00F94288" w:rsidRPr="009D4885" w:rsidRDefault="00F94288" w:rsidP="00AB2BA7">
      <w:pPr>
        <w:pStyle w:val="INFOEM"/>
        <w:rPr>
          <w:b/>
          <w:szCs w:val="22"/>
        </w:rPr>
      </w:pPr>
      <w:r w:rsidRPr="009D4885">
        <w:rPr>
          <w:szCs w:val="22"/>
        </w:rPr>
        <w:t>III. Se generen versiones públicas para dar cumplimiento a las obligaciones de transparencia previstas en esta Ley.</w:t>
      </w:r>
      <w:r w:rsidRPr="009D4885">
        <w:rPr>
          <w:b/>
          <w:szCs w:val="22"/>
        </w:rPr>
        <w:t>”</w:t>
      </w:r>
    </w:p>
    <w:p w:rsidR="00F94288" w:rsidRPr="009D4885" w:rsidRDefault="00F94288" w:rsidP="00AB2BA7">
      <w:pPr>
        <w:pStyle w:val="INFOEM"/>
        <w:rPr>
          <w:szCs w:val="22"/>
        </w:rPr>
      </w:pPr>
      <w:r w:rsidRPr="009D4885">
        <w:rPr>
          <w:b/>
          <w:szCs w:val="22"/>
        </w:rPr>
        <w:t>“Segundo.-</w:t>
      </w:r>
      <w:r w:rsidRPr="009D4885">
        <w:rPr>
          <w:szCs w:val="22"/>
        </w:rPr>
        <w:t xml:space="preserve"> Para efectos de los presentes Lineamientos Generales, se entenderá por:</w:t>
      </w:r>
    </w:p>
    <w:p w:rsidR="00F94288" w:rsidRPr="009D4885" w:rsidRDefault="00F94288" w:rsidP="00AB2BA7">
      <w:pPr>
        <w:pStyle w:val="INFOEM"/>
        <w:rPr>
          <w:szCs w:val="22"/>
        </w:rPr>
      </w:pPr>
      <w:r w:rsidRPr="009D4885">
        <w:rPr>
          <w:b/>
          <w:szCs w:val="22"/>
        </w:rPr>
        <w:t>XVIII.</w:t>
      </w:r>
      <w:r w:rsidRPr="009D4885">
        <w:rPr>
          <w:szCs w:val="22"/>
        </w:rPr>
        <w:t xml:space="preserve">  </w:t>
      </w:r>
      <w:r w:rsidRPr="009D4885">
        <w:rPr>
          <w:b/>
          <w:szCs w:val="22"/>
        </w:rPr>
        <w:t>Versión pública:</w:t>
      </w:r>
      <w:r w:rsidRPr="009D4885">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94288" w:rsidRPr="009D4885" w:rsidRDefault="00F94288" w:rsidP="00AB2BA7">
      <w:pPr>
        <w:pStyle w:val="INFOEM"/>
        <w:rPr>
          <w:szCs w:val="22"/>
        </w:rPr>
      </w:pPr>
      <w:r w:rsidRPr="009D4885">
        <w:rPr>
          <w:b/>
          <w:szCs w:val="22"/>
        </w:rPr>
        <w:t>Cuarto.</w:t>
      </w:r>
      <w:r w:rsidRPr="009D4885">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94288" w:rsidRPr="009D4885" w:rsidRDefault="00F94288" w:rsidP="00AB2BA7">
      <w:pPr>
        <w:pStyle w:val="INFOEM"/>
        <w:rPr>
          <w:szCs w:val="22"/>
        </w:rPr>
      </w:pPr>
      <w:r w:rsidRPr="009D4885">
        <w:rPr>
          <w:szCs w:val="22"/>
        </w:rPr>
        <w:t>Los sujetos obligados deberán aplicar, de manera estricta, las excepciones al derecho de acceso a la información y sólo podrán invocarlas cuando acrediten su procedencia.</w:t>
      </w:r>
    </w:p>
    <w:p w:rsidR="00F94288" w:rsidRPr="009D4885" w:rsidRDefault="00F94288" w:rsidP="00AB2BA7">
      <w:pPr>
        <w:pStyle w:val="INFOEM"/>
        <w:rPr>
          <w:szCs w:val="22"/>
        </w:rPr>
      </w:pPr>
      <w:r w:rsidRPr="009D4885">
        <w:rPr>
          <w:b/>
          <w:szCs w:val="22"/>
        </w:rPr>
        <w:t>Quinto.</w:t>
      </w:r>
      <w:r w:rsidRPr="009D4885">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9D4885">
        <w:rPr>
          <w:szCs w:val="22"/>
        </w:rPr>
        <w:lastRenderedPageBreak/>
        <w:t>públicas para dar cumplimiento a las obligaciones de transparencia, observando lo dispuesto en la Ley General y las demás disposiciones aplicables en la materia.</w:t>
      </w:r>
    </w:p>
    <w:p w:rsidR="00F94288" w:rsidRPr="009D4885" w:rsidRDefault="00F94288" w:rsidP="00AB2BA7">
      <w:pPr>
        <w:pStyle w:val="INFOEM"/>
        <w:rPr>
          <w:szCs w:val="22"/>
        </w:rPr>
      </w:pPr>
      <w:r w:rsidRPr="009D4885">
        <w:rPr>
          <w:b/>
          <w:szCs w:val="22"/>
        </w:rPr>
        <w:t>Sexto.</w:t>
      </w:r>
      <w:r w:rsidRPr="009D4885">
        <w:rPr>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94288" w:rsidRPr="009D4885" w:rsidRDefault="00F94288" w:rsidP="00AB2BA7">
      <w:pPr>
        <w:pStyle w:val="INFOEM"/>
        <w:rPr>
          <w:szCs w:val="22"/>
        </w:rPr>
      </w:pPr>
      <w:r w:rsidRPr="009D4885">
        <w:rPr>
          <w:szCs w:val="22"/>
        </w:rPr>
        <w:t>La clasificación de información se realizará conforme a un análisis caso por caso, mediante la aplicación de la prueba de daño y de interés público.</w:t>
      </w:r>
    </w:p>
    <w:p w:rsidR="00F94288" w:rsidRPr="009D4885" w:rsidRDefault="00F94288" w:rsidP="00AB2BA7">
      <w:pPr>
        <w:pStyle w:val="INFOEM"/>
        <w:rPr>
          <w:szCs w:val="22"/>
        </w:rPr>
      </w:pPr>
      <w:r w:rsidRPr="009D4885">
        <w:rPr>
          <w:b/>
          <w:szCs w:val="22"/>
        </w:rPr>
        <w:t>Séptimo.</w:t>
      </w:r>
      <w:r w:rsidRPr="009D4885">
        <w:rPr>
          <w:szCs w:val="22"/>
        </w:rPr>
        <w:t xml:space="preserve"> La clasificación de la información se llevará a cabo en el momento en que:</w:t>
      </w:r>
    </w:p>
    <w:p w:rsidR="00F94288" w:rsidRPr="009D4885" w:rsidRDefault="00F94288" w:rsidP="00AB2BA7">
      <w:pPr>
        <w:pStyle w:val="INFOEM"/>
        <w:rPr>
          <w:szCs w:val="22"/>
        </w:rPr>
      </w:pPr>
      <w:r w:rsidRPr="009D4885">
        <w:rPr>
          <w:b/>
          <w:szCs w:val="22"/>
        </w:rPr>
        <w:t>I.</w:t>
      </w:r>
      <w:r w:rsidRPr="009D4885">
        <w:rPr>
          <w:szCs w:val="22"/>
        </w:rPr>
        <w:t xml:space="preserve">        Se reciba una solicitud de acceso a la información;</w:t>
      </w:r>
    </w:p>
    <w:p w:rsidR="00F94288" w:rsidRPr="009D4885" w:rsidRDefault="00F94288" w:rsidP="00AB2BA7">
      <w:pPr>
        <w:pStyle w:val="INFOEM"/>
        <w:rPr>
          <w:szCs w:val="22"/>
        </w:rPr>
      </w:pPr>
      <w:r w:rsidRPr="009D4885">
        <w:rPr>
          <w:b/>
          <w:szCs w:val="22"/>
        </w:rPr>
        <w:t>II.</w:t>
      </w:r>
      <w:r w:rsidRPr="009D4885">
        <w:rPr>
          <w:szCs w:val="22"/>
        </w:rPr>
        <w:t xml:space="preserve">       Se determine mediante resolución de autoridad competente, o</w:t>
      </w:r>
    </w:p>
    <w:p w:rsidR="00F94288" w:rsidRPr="009D4885" w:rsidRDefault="00F94288" w:rsidP="00AB2BA7">
      <w:pPr>
        <w:pStyle w:val="INFOEM"/>
        <w:rPr>
          <w:szCs w:val="22"/>
        </w:rPr>
      </w:pPr>
      <w:r w:rsidRPr="009D4885">
        <w:rPr>
          <w:b/>
          <w:szCs w:val="22"/>
        </w:rPr>
        <w:t>III.</w:t>
      </w:r>
      <w:r w:rsidRPr="009D4885">
        <w:rPr>
          <w:szCs w:val="22"/>
        </w:rPr>
        <w:t xml:space="preserve">      Se generen versiones públicas para dar cumplimiento a las obligaciones de transparencia previstas en la Ley General, la Ley Federal y las correspondientes de las entidades federativas.</w:t>
      </w:r>
    </w:p>
    <w:p w:rsidR="00F94288" w:rsidRPr="009D4885" w:rsidRDefault="00F94288" w:rsidP="00AB2BA7">
      <w:pPr>
        <w:pStyle w:val="INFOEM"/>
        <w:rPr>
          <w:szCs w:val="22"/>
        </w:rPr>
      </w:pPr>
      <w:r w:rsidRPr="009D4885">
        <w:rPr>
          <w:szCs w:val="22"/>
        </w:rPr>
        <w:t>Los titulares de las áreas deberán revisar la clasificación al momento de la recepción de una solicitud de acceso a la información, para verificar si encuadra en una causal de reserva o de confidencialidad.</w:t>
      </w:r>
    </w:p>
    <w:p w:rsidR="00F94288" w:rsidRPr="009D4885" w:rsidRDefault="00F94288" w:rsidP="00AB2BA7">
      <w:pPr>
        <w:pStyle w:val="INFOEM"/>
        <w:rPr>
          <w:szCs w:val="22"/>
        </w:rPr>
      </w:pPr>
      <w:r w:rsidRPr="009D4885">
        <w:rPr>
          <w:b/>
          <w:szCs w:val="22"/>
        </w:rPr>
        <w:t>Octavo.</w:t>
      </w:r>
      <w:r w:rsidRPr="009D4885">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94288" w:rsidRPr="009D4885" w:rsidRDefault="00F94288" w:rsidP="00AB2BA7">
      <w:pPr>
        <w:pStyle w:val="INFOEM"/>
        <w:rPr>
          <w:szCs w:val="22"/>
        </w:rPr>
      </w:pPr>
      <w:r w:rsidRPr="009D4885">
        <w:rPr>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F94288" w:rsidRPr="009D4885" w:rsidRDefault="00F94288" w:rsidP="00AB2BA7">
      <w:pPr>
        <w:pStyle w:val="INFOEM"/>
        <w:rPr>
          <w:szCs w:val="22"/>
        </w:rPr>
      </w:pPr>
      <w:r w:rsidRPr="009D4885">
        <w:rPr>
          <w:szCs w:val="22"/>
        </w:rPr>
        <w:t>En caso de referirse a información reservada, la motivación de la clasificación también deberá comprender las circunstancias que justifican el establecimiento de determinado plazo de reserva.</w:t>
      </w:r>
    </w:p>
    <w:p w:rsidR="00F94288" w:rsidRPr="009D4885" w:rsidRDefault="00F94288" w:rsidP="00AB2BA7">
      <w:pPr>
        <w:pStyle w:val="INFOEM"/>
        <w:rPr>
          <w:szCs w:val="22"/>
        </w:rPr>
      </w:pPr>
      <w:r w:rsidRPr="009D4885">
        <w:rPr>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94288" w:rsidRPr="009D4885" w:rsidRDefault="00F94288" w:rsidP="00AB2BA7">
      <w:pPr>
        <w:pStyle w:val="INFOEM"/>
        <w:rPr>
          <w:szCs w:val="22"/>
        </w:rPr>
      </w:pPr>
      <w:r w:rsidRPr="009D4885">
        <w:rPr>
          <w:szCs w:val="22"/>
        </w:rPr>
        <w:t>Los documentos contenidos en los archivos históricos y los identificados como históricos confidenciales no serán susceptibles de clasificación como reservados.</w:t>
      </w:r>
    </w:p>
    <w:p w:rsidR="00F94288" w:rsidRPr="009D4885" w:rsidRDefault="00F94288" w:rsidP="00AB2BA7">
      <w:pPr>
        <w:pStyle w:val="INFOEM"/>
        <w:rPr>
          <w:szCs w:val="22"/>
        </w:rPr>
      </w:pPr>
      <w:r w:rsidRPr="009D4885">
        <w:rPr>
          <w:b/>
          <w:szCs w:val="22"/>
        </w:rPr>
        <w:t>Noveno.</w:t>
      </w:r>
      <w:r w:rsidRPr="009D4885">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94288" w:rsidRPr="009D4885" w:rsidRDefault="00F94288" w:rsidP="00AB2BA7">
      <w:pPr>
        <w:pStyle w:val="INFOEM"/>
        <w:rPr>
          <w:szCs w:val="22"/>
        </w:rPr>
      </w:pPr>
      <w:r w:rsidRPr="009D4885">
        <w:rPr>
          <w:b/>
          <w:szCs w:val="22"/>
        </w:rPr>
        <w:t>Décimo.</w:t>
      </w:r>
      <w:r w:rsidRPr="009D4885">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94288" w:rsidRPr="009D4885" w:rsidRDefault="00F94288" w:rsidP="00AB2BA7">
      <w:pPr>
        <w:pStyle w:val="INFOEM"/>
        <w:rPr>
          <w:szCs w:val="22"/>
        </w:rPr>
      </w:pPr>
      <w:r w:rsidRPr="009D4885">
        <w:rPr>
          <w:szCs w:val="22"/>
        </w:rPr>
        <w:lastRenderedPageBreak/>
        <w:t>En ausencia de los titulares de las áreas, la información será clasificada o desclasificada por la persona que lo supla, en términos de la normativa que rija la actuación del sujeto obligado.</w:t>
      </w:r>
    </w:p>
    <w:p w:rsidR="00F94288" w:rsidRPr="009D4885" w:rsidRDefault="00F94288" w:rsidP="00AB2BA7">
      <w:pPr>
        <w:pStyle w:val="INFOEM"/>
        <w:rPr>
          <w:b/>
          <w:szCs w:val="22"/>
        </w:rPr>
      </w:pPr>
      <w:r w:rsidRPr="009D4885">
        <w:rPr>
          <w:b/>
          <w:szCs w:val="22"/>
        </w:rPr>
        <w:t>Décimo primero.</w:t>
      </w:r>
      <w:r w:rsidRPr="009D4885">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D4885">
        <w:rPr>
          <w:b/>
          <w:szCs w:val="22"/>
        </w:rPr>
        <w:t>”</w:t>
      </w:r>
    </w:p>
    <w:p w:rsidR="00F94288" w:rsidRPr="009D4885" w:rsidRDefault="00F94288" w:rsidP="00F94288">
      <w:pPr>
        <w:ind w:left="851" w:right="899"/>
        <w:jc w:val="both"/>
        <w:rPr>
          <w:rFonts w:ascii="Palatino Linotype" w:hAnsi="Palatino Linotype" w:cs="Arial"/>
          <w:b/>
          <w:bCs/>
          <w:i/>
          <w:noProof/>
        </w:rPr>
      </w:pPr>
    </w:p>
    <w:p w:rsidR="00F94288" w:rsidRPr="00A10721" w:rsidRDefault="00F94288" w:rsidP="00F94288">
      <w:pPr>
        <w:spacing w:line="360" w:lineRule="auto"/>
        <w:jc w:val="both"/>
        <w:rPr>
          <w:rFonts w:ascii="Palatino Linotype" w:hAnsi="Palatino Linotype" w:cs="Arial"/>
          <w:sz w:val="24"/>
          <w:szCs w:val="24"/>
        </w:rPr>
      </w:pPr>
      <w:r w:rsidRPr="00A1072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4288" w:rsidRPr="00A10721" w:rsidRDefault="00F94288" w:rsidP="00F94288">
      <w:pPr>
        <w:autoSpaceDE w:val="0"/>
        <w:autoSpaceDN w:val="0"/>
        <w:adjustRightInd w:val="0"/>
        <w:spacing w:line="360" w:lineRule="auto"/>
        <w:ind w:right="-91"/>
        <w:jc w:val="both"/>
        <w:rPr>
          <w:rFonts w:ascii="Palatino Linotype" w:hAnsi="Palatino Linotype" w:cs="Arial"/>
          <w:sz w:val="24"/>
          <w:szCs w:val="24"/>
          <w:lang w:eastAsia="es-CO"/>
        </w:rPr>
      </w:pPr>
      <w:r w:rsidRPr="00A10721">
        <w:rPr>
          <w:rFonts w:ascii="Palatino Linotype" w:hAnsi="Palatino Linotype" w:cs="Arial"/>
          <w:sz w:val="24"/>
          <w:szCs w:val="24"/>
        </w:rPr>
        <w:t xml:space="preserve">Consecuentemente, se destaca que la versión pública que elabore </w:t>
      </w:r>
      <w:r w:rsidR="00AB2BA7" w:rsidRPr="00A10721">
        <w:rPr>
          <w:rFonts w:ascii="Palatino Linotype" w:hAnsi="Palatino Linotype" w:cs="Arial"/>
          <w:b/>
          <w:sz w:val="24"/>
          <w:szCs w:val="24"/>
        </w:rPr>
        <w:t>El Sujeto Obligado</w:t>
      </w:r>
      <w:r w:rsidRPr="00A10721">
        <w:rPr>
          <w:rFonts w:ascii="Palatino Linotype" w:hAnsi="Palatino Linotype" w:cs="Arial"/>
          <w:sz w:val="24"/>
          <w:szCs w:val="24"/>
        </w:rPr>
        <w:t xml:space="preserve"> debe cumplir con las formalidades exigidas en la Ley, por lo que para tal efecto emitirá el </w:t>
      </w:r>
      <w:r w:rsidRPr="00A10721">
        <w:rPr>
          <w:rFonts w:ascii="Palatino Linotype" w:hAnsi="Palatino Linotype" w:cs="Arial"/>
          <w:b/>
          <w:sz w:val="24"/>
          <w:szCs w:val="24"/>
        </w:rPr>
        <w:t>Acuerdo del Comité de Transparencia</w:t>
      </w:r>
      <w:r w:rsidRPr="00A10721">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sustentará la clasificación de datos y con ello la </w:t>
      </w:r>
      <w:r w:rsidRPr="00A10721">
        <w:rPr>
          <w:rFonts w:ascii="Palatino Linotype" w:hAnsi="Palatino Linotype" w:cs="Arial"/>
          <w:b/>
          <w:sz w:val="24"/>
          <w:szCs w:val="24"/>
        </w:rPr>
        <w:t>"versión pública"</w:t>
      </w:r>
      <w:r w:rsidRPr="00A10721">
        <w:rPr>
          <w:rFonts w:ascii="Palatino Linotype" w:hAnsi="Palatino Linotype" w:cs="Arial"/>
          <w:sz w:val="24"/>
          <w:szCs w:val="24"/>
        </w:rPr>
        <w:t xml:space="preserve"> de los documentos materia de la solicitud</w:t>
      </w:r>
      <w:r w:rsidRPr="00A10721">
        <w:rPr>
          <w:rFonts w:ascii="Palatino Linotype" w:hAnsi="Palatino Linotype" w:cs="Arial"/>
          <w:sz w:val="24"/>
          <w:szCs w:val="24"/>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A10721">
        <w:rPr>
          <w:rFonts w:ascii="Palatino Linotype" w:hAnsi="Palatino Linotype" w:cs="Arial"/>
          <w:sz w:val="24"/>
          <w:szCs w:val="24"/>
          <w:lang w:eastAsia="es-CO"/>
        </w:rPr>
        <w:lastRenderedPageBreak/>
        <w:t>razones de ello se estaría violentando desde un inicio el derecho de acceso a la información del solicitante.</w:t>
      </w:r>
    </w:p>
    <w:p w:rsidR="00F94288" w:rsidRDefault="00CC4661" w:rsidP="00F94288">
      <w:pPr>
        <w:autoSpaceDE w:val="0"/>
        <w:autoSpaceDN w:val="0"/>
        <w:adjustRightInd w:val="0"/>
        <w:spacing w:line="360" w:lineRule="auto"/>
        <w:ind w:right="-91"/>
        <w:jc w:val="both"/>
        <w:rPr>
          <w:rFonts w:ascii="Palatino Linotype" w:hAnsi="Palatino Linotype" w:cs="Arial"/>
          <w:b/>
          <w:sz w:val="24"/>
          <w:szCs w:val="24"/>
          <w:u w:val="single"/>
          <w:lang w:eastAsia="es-CO"/>
        </w:rPr>
      </w:pPr>
      <w:r>
        <w:rPr>
          <w:rFonts w:ascii="Palatino Linotype" w:hAnsi="Palatino Linotype" w:cs="Arial"/>
          <w:sz w:val="24"/>
          <w:szCs w:val="24"/>
          <w:lang w:eastAsia="es-CO"/>
        </w:rPr>
        <w:t>Asimismo</w:t>
      </w:r>
      <w:r w:rsidR="00F94288" w:rsidRPr="00A10721">
        <w:rPr>
          <w:rFonts w:ascii="Palatino Linotype" w:hAnsi="Palatino Linotype" w:cs="Arial"/>
          <w:sz w:val="24"/>
          <w:szCs w:val="24"/>
          <w:lang w:eastAsia="es-CO"/>
        </w:rPr>
        <w:t>, no se omite referir que dada la situación originada de la emergencia sanitaria causada por el Covid-19, se estima que de conformidad con el ordinal 186 de la Ley de la materia, y tomando en consideración las razones y fundamentos</w:t>
      </w:r>
      <w:r w:rsidR="00A10721">
        <w:rPr>
          <w:rFonts w:ascii="Palatino Linotype" w:hAnsi="Palatino Linotype" w:cs="Arial"/>
          <w:sz w:val="24"/>
          <w:szCs w:val="24"/>
          <w:lang w:eastAsia="es-CO"/>
        </w:rPr>
        <w:t xml:space="preserve"> expresados a través del Acta 16°</w:t>
      </w:r>
      <w:r w:rsidR="00F94288" w:rsidRPr="00A10721">
        <w:rPr>
          <w:rFonts w:ascii="Palatino Linotype" w:hAnsi="Palatino Linotype" w:cs="Arial"/>
          <w:sz w:val="24"/>
          <w:szCs w:val="24"/>
          <w:lang w:eastAsia="es-CO"/>
        </w:rPr>
        <w:t xml:space="preserve"> del Sujeto obligado, así como el Acuerdo que modifica el diverso por el que se fortalecen las medidas preventivas y de seguridad para la mitigación y control de los riesgos para la salud que impli</w:t>
      </w:r>
      <w:r w:rsidR="00AB2BA7" w:rsidRPr="00A10721">
        <w:rPr>
          <w:rFonts w:ascii="Palatino Linotype" w:hAnsi="Palatino Linotype" w:cs="Arial"/>
          <w:sz w:val="24"/>
          <w:szCs w:val="24"/>
          <w:lang w:eastAsia="es-CO"/>
        </w:rPr>
        <w:t>ca la enfermedad por el virus (C</w:t>
      </w:r>
      <w:r w:rsidR="00F94288" w:rsidRPr="00A10721">
        <w:rPr>
          <w:rFonts w:ascii="Palatino Linotype" w:hAnsi="Palatino Linotype" w:cs="Arial"/>
          <w:sz w:val="24"/>
          <w:szCs w:val="24"/>
          <w:lang w:eastAsia="es-CO"/>
        </w:rPr>
        <w:t>ovid-19), en el Estado de México, publicado el 18 de diciembre de</w:t>
      </w:r>
      <w:r w:rsidR="009336C6">
        <w:rPr>
          <w:rFonts w:ascii="Palatino Linotype" w:hAnsi="Palatino Linotype" w:cs="Arial"/>
          <w:sz w:val="24"/>
          <w:szCs w:val="24"/>
          <w:lang w:eastAsia="es-CO"/>
        </w:rPr>
        <w:t xml:space="preserve"> 2020 en el periódico oficial “G</w:t>
      </w:r>
      <w:r w:rsidR="00F94288" w:rsidRPr="00A10721">
        <w:rPr>
          <w:rFonts w:ascii="Palatino Linotype" w:hAnsi="Palatino Linotype" w:cs="Arial"/>
          <w:sz w:val="24"/>
          <w:szCs w:val="24"/>
          <w:lang w:eastAsia="es-CO"/>
        </w:rPr>
        <w:t xml:space="preserve">aceta del gobierno”, </w:t>
      </w:r>
      <w:r w:rsidR="00F94288" w:rsidRPr="009336C6">
        <w:rPr>
          <w:rFonts w:ascii="Palatino Linotype" w:hAnsi="Palatino Linotype" w:cs="Arial"/>
          <w:b/>
          <w:sz w:val="24"/>
          <w:szCs w:val="24"/>
          <w:u w:val="single"/>
          <w:lang w:eastAsia="es-CO"/>
        </w:rPr>
        <w:t>se e</w:t>
      </w:r>
      <w:r w:rsidR="00CB6B89" w:rsidRPr="009336C6">
        <w:rPr>
          <w:rFonts w:ascii="Palatino Linotype" w:hAnsi="Palatino Linotype" w:cs="Arial"/>
          <w:b/>
          <w:sz w:val="24"/>
          <w:szCs w:val="24"/>
          <w:u w:val="single"/>
          <w:lang w:eastAsia="es-CO"/>
        </w:rPr>
        <w:t>stima conducente otorgar 20</w:t>
      </w:r>
      <w:r w:rsidR="00F94288" w:rsidRPr="009336C6">
        <w:rPr>
          <w:rFonts w:ascii="Palatino Linotype" w:hAnsi="Palatino Linotype" w:cs="Arial"/>
          <w:b/>
          <w:sz w:val="24"/>
          <w:szCs w:val="24"/>
          <w:u w:val="single"/>
          <w:lang w:eastAsia="es-CO"/>
        </w:rPr>
        <w:t xml:space="preserve"> días para el cumplimiento de la presente resolución. </w:t>
      </w:r>
    </w:p>
    <w:p w:rsidR="00CC4661" w:rsidRPr="00CC4661" w:rsidRDefault="00CC4661" w:rsidP="00CC4661">
      <w:pPr>
        <w:autoSpaceDE w:val="0"/>
        <w:autoSpaceDN w:val="0"/>
        <w:adjustRightInd w:val="0"/>
        <w:spacing w:line="360" w:lineRule="auto"/>
        <w:ind w:right="-91"/>
        <w:jc w:val="both"/>
        <w:rPr>
          <w:rFonts w:ascii="Palatino Linotype" w:hAnsi="Palatino Linotype"/>
          <w:sz w:val="24"/>
          <w:szCs w:val="24"/>
        </w:rPr>
      </w:pPr>
      <w:r w:rsidRPr="00CC4661">
        <w:rPr>
          <w:rFonts w:ascii="Palatino Linotype" w:hAnsi="Palatino Linotype" w:cs="Arial"/>
          <w:sz w:val="24"/>
          <w:szCs w:val="24"/>
          <w:lang w:eastAsia="es-CO"/>
        </w:rPr>
        <w:t xml:space="preserve">Por último, con relación a la modalidad de entrega de la información se insiste en que esta fue requerida vía </w:t>
      </w:r>
      <w:r w:rsidRPr="00CC4661">
        <w:rPr>
          <w:rFonts w:ascii="Palatino Linotype" w:hAnsi="Palatino Linotype" w:cs="Arial"/>
          <w:b/>
          <w:sz w:val="24"/>
          <w:szCs w:val="24"/>
          <w:lang w:eastAsia="es-CO"/>
        </w:rPr>
        <w:t>SAIMEX</w:t>
      </w:r>
      <w:r w:rsidRPr="00CC4661">
        <w:rPr>
          <w:rFonts w:ascii="Palatino Linotype" w:hAnsi="Palatino Linotype" w:cs="Arial"/>
          <w:sz w:val="24"/>
          <w:szCs w:val="24"/>
          <w:lang w:eastAsia="es-CO"/>
        </w:rPr>
        <w:t xml:space="preserve">, no obstante </w:t>
      </w:r>
      <w:r>
        <w:rPr>
          <w:rFonts w:ascii="Palatino Linotype" w:hAnsi="Palatino Linotype"/>
          <w:sz w:val="24"/>
          <w:szCs w:val="24"/>
        </w:rPr>
        <w:t>p</w:t>
      </w:r>
      <w:r w:rsidRPr="00CC4661">
        <w:rPr>
          <w:rFonts w:ascii="Palatino Linotype" w:hAnsi="Palatino Linotype"/>
          <w:sz w:val="24"/>
          <w:szCs w:val="24"/>
        </w:rPr>
        <w:t xml:space="preserve">ara el caso de que exista impedimento justificado para respetar la modalidad de entrega, por el tipo de documento del que se trata, </w:t>
      </w:r>
      <w:r w:rsidRPr="00CC4661">
        <w:rPr>
          <w:rFonts w:ascii="Palatino Linotype" w:hAnsi="Palatino Linotype"/>
          <w:b/>
          <w:sz w:val="24"/>
          <w:szCs w:val="24"/>
        </w:rPr>
        <w:t xml:space="preserve">El Sujeto Obligado </w:t>
      </w:r>
      <w:r w:rsidRPr="00CC4661">
        <w:rPr>
          <w:rFonts w:ascii="Palatino Linotype" w:hAnsi="Palatino Linotype"/>
          <w:sz w:val="24"/>
          <w:szCs w:val="24"/>
        </w:rPr>
        <w:t xml:space="preserve">deberá </w:t>
      </w:r>
      <w:r w:rsidRPr="00CC4661">
        <w:rPr>
          <w:rFonts w:ascii="Palatino Linotype" w:hAnsi="Palatino Linotype"/>
          <w:b/>
          <w:sz w:val="24"/>
          <w:szCs w:val="24"/>
        </w:rPr>
        <w:t>ofrecer otros medios electrónicos</w:t>
      </w:r>
      <w:r w:rsidRPr="00CC4661">
        <w:rPr>
          <w:rFonts w:ascii="Palatino Linotype" w:hAnsi="Palatino Linotype"/>
          <w:sz w:val="24"/>
          <w:szCs w:val="24"/>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F94288" w:rsidRPr="00A10721" w:rsidRDefault="00F94288" w:rsidP="00F9428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sz w:val="24"/>
          <w:szCs w:val="24"/>
        </w:rPr>
      </w:pPr>
      <w:r w:rsidRPr="00A10721">
        <w:rPr>
          <w:rFonts w:ascii="Palatino Linotype" w:hAnsi="Palatino Linotype" w:cs="Arial"/>
          <w:color w:val="000000" w:themeColor="text1"/>
          <w:sz w:val="24"/>
          <w:szCs w:val="24"/>
        </w:rPr>
        <w:t xml:space="preserve">En razón de lo anteriormente expuesto, este Instituto estima que las razones o motivos de inconformidad hechos valer por </w:t>
      </w:r>
      <w:r w:rsidR="00AB2BA7" w:rsidRPr="00A10721">
        <w:rPr>
          <w:rFonts w:ascii="Palatino Linotype" w:hAnsi="Palatino Linotype" w:cs="Arial"/>
          <w:b/>
          <w:color w:val="000000" w:themeColor="text1"/>
          <w:sz w:val="24"/>
          <w:szCs w:val="24"/>
        </w:rPr>
        <w:t>La Recurrente</w:t>
      </w:r>
      <w:r w:rsidRPr="00A10721">
        <w:rPr>
          <w:rFonts w:ascii="Palatino Linotype" w:hAnsi="Palatino Linotype" w:cs="Arial"/>
          <w:color w:val="000000" w:themeColor="text1"/>
          <w:sz w:val="24"/>
          <w:szCs w:val="24"/>
        </w:rPr>
        <w:t xml:space="preserve"> devienen </w:t>
      </w:r>
      <w:r w:rsidRPr="00A10721">
        <w:rPr>
          <w:rFonts w:ascii="Palatino Linotype" w:hAnsi="Palatino Linotype" w:cs="Arial"/>
          <w:b/>
          <w:color w:val="000000" w:themeColor="text1"/>
          <w:sz w:val="24"/>
          <w:szCs w:val="24"/>
        </w:rPr>
        <w:t>fundadas</w:t>
      </w:r>
      <w:r w:rsidRPr="00A10721">
        <w:rPr>
          <w:rFonts w:ascii="Palatino Linotype" w:hAnsi="Palatino Linotype" w:cs="Arial"/>
          <w:color w:val="000000" w:themeColor="text1"/>
          <w:sz w:val="24"/>
          <w:szCs w:val="24"/>
        </w:rPr>
        <w:t xml:space="preserve"> y suficientes para </w:t>
      </w:r>
      <w:r w:rsidRPr="00A10721">
        <w:rPr>
          <w:rFonts w:ascii="Palatino Linotype" w:hAnsi="Palatino Linotype" w:cs="Arial"/>
          <w:b/>
          <w:color w:val="000000" w:themeColor="text1"/>
          <w:sz w:val="24"/>
          <w:szCs w:val="24"/>
        </w:rPr>
        <w:t>REVOCAR</w:t>
      </w:r>
      <w:r w:rsidRPr="00A10721">
        <w:rPr>
          <w:rFonts w:ascii="Palatino Linotype" w:hAnsi="Palatino Linotype" w:cs="Arial"/>
          <w:color w:val="000000" w:themeColor="text1"/>
          <w:sz w:val="24"/>
          <w:szCs w:val="24"/>
        </w:rPr>
        <w:t xml:space="preserve"> la respuesta del </w:t>
      </w:r>
      <w:r w:rsidR="00AB2BA7" w:rsidRPr="00A10721">
        <w:rPr>
          <w:rFonts w:ascii="Palatino Linotype" w:hAnsi="Palatino Linotype" w:cs="Arial"/>
          <w:b/>
          <w:color w:val="000000" w:themeColor="text1"/>
          <w:sz w:val="24"/>
          <w:szCs w:val="24"/>
        </w:rPr>
        <w:t>Sujeto Obligado</w:t>
      </w:r>
      <w:r w:rsidRPr="00A10721">
        <w:rPr>
          <w:rFonts w:ascii="Palatino Linotype" w:hAnsi="Palatino Linotype" w:cs="Arial"/>
          <w:color w:val="000000" w:themeColor="text1"/>
          <w:sz w:val="24"/>
          <w:szCs w:val="24"/>
        </w:rPr>
        <w:t xml:space="preserve"> y ordenarle haga entrega de la </w:t>
      </w:r>
      <w:r w:rsidRPr="00A10721">
        <w:rPr>
          <w:rFonts w:ascii="Palatino Linotype" w:hAnsi="Palatino Linotype" w:cs="Arial"/>
          <w:color w:val="000000" w:themeColor="text1"/>
          <w:sz w:val="24"/>
          <w:szCs w:val="24"/>
        </w:rPr>
        <w:lastRenderedPageBreak/>
        <w:t>información descrita en el presente Considerando.</w:t>
      </w:r>
    </w:p>
    <w:p w:rsidR="00F94288" w:rsidRPr="00A10721" w:rsidRDefault="00F94288" w:rsidP="00F94288">
      <w:pPr>
        <w:widowControl w:val="0"/>
        <w:autoSpaceDE w:val="0"/>
        <w:autoSpaceDN w:val="0"/>
        <w:adjustRightInd w:val="0"/>
        <w:spacing w:line="360" w:lineRule="auto"/>
        <w:jc w:val="both"/>
        <w:rPr>
          <w:rFonts w:ascii="Palatino Linotype" w:eastAsia="Calibri" w:hAnsi="Palatino Linotype" w:cs="Arial"/>
          <w:sz w:val="24"/>
          <w:szCs w:val="24"/>
        </w:rPr>
      </w:pPr>
      <w:r w:rsidRPr="00A10721">
        <w:rPr>
          <w:rFonts w:ascii="Palatino Linotype" w:eastAsia="Calibri" w:hAnsi="Palatino Linotype" w:cs="Arial"/>
          <w:sz w:val="24"/>
          <w:szCs w:val="24"/>
        </w:rPr>
        <w:t xml:space="preserve">Así, con </w:t>
      </w:r>
      <w:r w:rsidRPr="00A10721">
        <w:rPr>
          <w:rFonts w:ascii="Palatino Linotype" w:hAnsi="Palatino Linotype" w:cs="Arial"/>
          <w:sz w:val="24"/>
          <w:szCs w:val="24"/>
        </w:rPr>
        <w:t>fundamento</w:t>
      </w:r>
      <w:r w:rsidRPr="00A10721">
        <w:rPr>
          <w:rFonts w:ascii="Palatino Linotype" w:eastAsia="Calibri" w:hAnsi="Palatino Linotype" w:cs="Arial"/>
          <w:sz w:val="24"/>
          <w:szCs w:val="24"/>
        </w:rPr>
        <w:t xml:space="preserve"> en lo prescrito en los artículos 5, párrafos </w:t>
      </w:r>
      <w:r w:rsidRPr="00A10721">
        <w:rPr>
          <w:rFonts w:ascii="Palatino Linotype" w:hAnsi="Palatino Linotype"/>
          <w:sz w:val="24"/>
          <w:szCs w:val="24"/>
          <w:lang w:val="es-ES"/>
        </w:rPr>
        <w:t>vigésimo noveno, trigésimo y trigésimo primero</w:t>
      </w:r>
      <w:r w:rsidRPr="00A10721">
        <w:rPr>
          <w:rFonts w:ascii="Palatino Linotype" w:hAnsi="Palatino Linotype" w:cs="Arial"/>
          <w:sz w:val="24"/>
          <w:szCs w:val="24"/>
        </w:rPr>
        <w:t>,</w:t>
      </w:r>
      <w:r w:rsidRPr="00A10721">
        <w:rPr>
          <w:rFonts w:ascii="Palatino Linotype" w:hAnsi="Palatino Linotype"/>
          <w:sz w:val="24"/>
          <w:szCs w:val="24"/>
        </w:rPr>
        <w:t xml:space="preserve"> fracciones IV y V,</w:t>
      </w:r>
      <w:r w:rsidRPr="00A10721">
        <w:rPr>
          <w:rFonts w:ascii="Palatino Linotype" w:eastAsia="Calibri" w:hAnsi="Palatino Linotype" w:cs="Arial"/>
          <w:sz w:val="24"/>
          <w:szCs w:val="24"/>
        </w:rPr>
        <w:t xml:space="preserve"> de la Constitución Política del Estado Libre y Soberano de </w:t>
      </w:r>
      <w:r w:rsidRPr="00A10721">
        <w:rPr>
          <w:rFonts w:ascii="Palatino Linotype" w:hAnsi="Palatino Linotype" w:cs="Arial"/>
          <w:sz w:val="24"/>
          <w:szCs w:val="24"/>
          <w:lang w:val="es-ES_tradnl"/>
        </w:rPr>
        <w:t>México</w:t>
      </w:r>
      <w:r w:rsidRPr="00A10721">
        <w:rPr>
          <w:rFonts w:ascii="Palatino Linotype" w:eastAsia="Calibri" w:hAnsi="Palatino Linotype" w:cs="Arial"/>
          <w:sz w:val="24"/>
          <w:szCs w:val="24"/>
        </w:rPr>
        <w:t xml:space="preserve">, y los artículos </w:t>
      </w:r>
      <w:r w:rsidRPr="00A10721">
        <w:rPr>
          <w:rFonts w:ascii="Palatino Linotype" w:hAnsi="Palatino Linotype"/>
          <w:sz w:val="24"/>
          <w:szCs w:val="24"/>
        </w:rPr>
        <w:t xml:space="preserve">2, </w:t>
      </w:r>
      <w:r w:rsidRPr="00A10721">
        <w:rPr>
          <w:rFonts w:ascii="Palatino Linotype" w:hAnsi="Palatino Linotype" w:cs="Arial"/>
          <w:sz w:val="24"/>
          <w:szCs w:val="24"/>
        </w:rPr>
        <w:t>fracción</w:t>
      </w:r>
      <w:r w:rsidRPr="00A10721">
        <w:rPr>
          <w:rFonts w:ascii="Palatino Linotype" w:hAnsi="Palatino Linotype"/>
          <w:sz w:val="24"/>
          <w:szCs w:val="24"/>
        </w:rPr>
        <w:t xml:space="preserve"> II, 9, </w:t>
      </w:r>
      <w:r w:rsidRPr="00A10721">
        <w:rPr>
          <w:rFonts w:ascii="Palatino Linotype" w:hAnsi="Palatino Linotype" w:cs="Arial"/>
          <w:sz w:val="24"/>
          <w:szCs w:val="24"/>
          <w:lang w:val="es-ES_tradnl"/>
        </w:rPr>
        <w:t>29</w:t>
      </w:r>
      <w:r w:rsidRPr="00A10721">
        <w:rPr>
          <w:rFonts w:ascii="Palatino Linotype" w:hAnsi="Palatino Linotype"/>
          <w:sz w:val="24"/>
          <w:szCs w:val="24"/>
        </w:rPr>
        <w:t>, 36, fracciones I y II, 176, 178, 179, 181, 185, fracción I, 186 y 188,</w:t>
      </w:r>
      <w:r w:rsidRPr="00A10721">
        <w:rPr>
          <w:rFonts w:ascii="Palatino Linotype" w:eastAsia="Calibri" w:hAnsi="Palatino Linotype" w:cs="Arial"/>
          <w:sz w:val="24"/>
          <w:szCs w:val="24"/>
        </w:rPr>
        <w:t xml:space="preserve"> de la Ley de Transparencia y Acceso a la Información Pública del Estado de México y </w:t>
      </w:r>
      <w:r w:rsidRPr="00A10721">
        <w:rPr>
          <w:rFonts w:ascii="Palatino Linotype" w:hAnsi="Palatino Linotype" w:cs="Arial"/>
          <w:sz w:val="24"/>
          <w:szCs w:val="24"/>
        </w:rPr>
        <w:t>Municipios</w:t>
      </w:r>
      <w:r w:rsidRPr="00A10721">
        <w:rPr>
          <w:rFonts w:ascii="Palatino Linotype" w:eastAsia="Calibri" w:hAnsi="Palatino Linotype" w:cs="Arial"/>
          <w:sz w:val="24"/>
          <w:szCs w:val="24"/>
        </w:rPr>
        <w:t xml:space="preserve">, </w:t>
      </w:r>
      <w:r w:rsidRPr="00A10721">
        <w:rPr>
          <w:rFonts w:ascii="Palatino Linotype" w:hAnsi="Palatino Linotype"/>
          <w:sz w:val="24"/>
          <w:szCs w:val="24"/>
        </w:rPr>
        <w:t>este</w:t>
      </w:r>
      <w:r w:rsidRPr="00A10721">
        <w:rPr>
          <w:rFonts w:ascii="Palatino Linotype" w:eastAsia="Calibri" w:hAnsi="Palatino Linotype" w:cs="Arial"/>
          <w:sz w:val="24"/>
          <w:szCs w:val="24"/>
        </w:rPr>
        <w:t xml:space="preserve"> Pleno:</w:t>
      </w:r>
    </w:p>
    <w:p w:rsidR="00F94288" w:rsidRDefault="00F94288" w:rsidP="00335683">
      <w:pPr>
        <w:spacing w:after="0" w:line="360" w:lineRule="auto"/>
        <w:jc w:val="both"/>
        <w:rPr>
          <w:rFonts w:ascii="Palatino Linotype" w:hAnsi="Palatino Linotype" w:cs="Arial"/>
          <w:color w:val="000000"/>
          <w:sz w:val="24"/>
          <w:lang w:val="es-ES_tradnl"/>
        </w:rPr>
      </w:pPr>
    </w:p>
    <w:p w:rsidR="00A10721" w:rsidRDefault="00A10721" w:rsidP="00335683">
      <w:pPr>
        <w:spacing w:after="0" w:line="360" w:lineRule="auto"/>
        <w:jc w:val="both"/>
        <w:rPr>
          <w:rFonts w:ascii="Palatino Linotype" w:hAnsi="Palatino Linotype" w:cs="Arial"/>
          <w:color w:val="000000"/>
          <w:sz w:val="24"/>
          <w:lang w:val="es-ES_tradnl"/>
        </w:rPr>
      </w:pPr>
    </w:p>
    <w:p w:rsidR="00AC5A01" w:rsidRPr="006315EA" w:rsidRDefault="00AC5A01" w:rsidP="00FC240E">
      <w:pPr>
        <w:spacing w:after="0" w:line="360" w:lineRule="auto"/>
        <w:jc w:val="center"/>
        <w:rPr>
          <w:rFonts w:ascii="Palatino Linotype" w:hAnsi="Palatino Linotype"/>
          <w:b/>
          <w:sz w:val="28"/>
          <w:szCs w:val="24"/>
          <w:lang w:val="pt-BR"/>
        </w:rPr>
      </w:pPr>
      <w:r w:rsidRPr="006315EA">
        <w:rPr>
          <w:rFonts w:ascii="Palatino Linotype" w:hAnsi="Palatino Linotype"/>
          <w:b/>
          <w:sz w:val="28"/>
          <w:szCs w:val="24"/>
          <w:lang w:val="pt-BR"/>
        </w:rPr>
        <w:t>S E   R E S U E L V E</w:t>
      </w:r>
    </w:p>
    <w:p w:rsidR="00AC5A01" w:rsidRPr="006315EA" w:rsidRDefault="00AC5A01" w:rsidP="00FC240E">
      <w:pPr>
        <w:pStyle w:val="Sinespaciado"/>
        <w:rPr>
          <w:rFonts w:ascii="Palatino Linotype" w:hAnsi="Palatino Linotype"/>
        </w:rPr>
      </w:pPr>
    </w:p>
    <w:p w:rsidR="00FC240E" w:rsidRPr="00FC240E" w:rsidRDefault="00AC5A01" w:rsidP="00FC240E">
      <w:pPr>
        <w:spacing w:after="0" w:line="360" w:lineRule="auto"/>
        <w:jc w:val="both"/>
        <w:rPr>
          <w:rFonts w:ascii="Palatino Linotype" w:hAnsi="Palatino Linotype" w:cs="Arial"/>
          <w:bCs/>
          <w:sz w:val="24"/>
          <w:lang w:eastAsia="es-MX"/>
        </w:rPr>
      </w:pPr>
      <w:r w:rsidRPr="006315EA">
        <w:rPr>
          <w:rFonts w:ascii="Palatino Linotype" w:hAnsi="Palatino Linotype" w:cs="Arial"/>
          <w:b/>
          <w:sz w:val="28"/>
          <w:szCs w:val="24"/>
        </w:rPr>
        <w:t>PRIMERO</w:t>
      </w:r>
      <w:r w:rsidRPr="006315EA">
        <w:rPr>
          <w:rFonts w:ascii="Palatino Linotype" w:hAnsi="Palatino Linotype" w:cs="Arial"/>
          <w:b/>
          <w:sz w:val="24"/>
          <w:szCs w:val="24"/>
        </w:rPr>
        <w:t xml:space="preserve">. </w:t>
      </w:r>
      <w:r w:rsidR="00FC240E" w:rsidRPr="00FC240E">
        <w:rPr>
          <w:rFonts w:ascii="Palatino Linotype" w:hAnsi="Palatino Linotype" w:cs="Arial"/>
          <w:sz w:val="24"/>
          <w:szCs w:val="24"/>
        </w:rPr>
        <w:t xml:space="preserve">Se </w:t>
      </w:r>
      <w:r w:rsidR="00FC240E" w:rsidRPr="00FC240E">
        <w:rPr>
          <w:rFonts w:ascii="Palatino Linotype" w:hAnsi="Palatino Linotype" w:cs="Arial"/>
          <w:b/>
          <w:sz w:val="24"/>
          <w:szCs w:val="24"/>
        </w:rPr>
        <w:t>deja sin efectos la resolución recaída</w:t>
      </w:r>
      <w:r w:rsidR="00FC240E" w:rsidRPr="00FC240E">
        <w:rPr>
          <w:rFonts w:ascii="Palatino Linotype" w:hAnsi="Palatino Linotype" w:cs="Arial"/>
          <w:sz w:val="24"/>
          <w:szCs w:val="24"/>
        </w:rPr>
        <w:t xml:space="preserve"> </w:t>
      </w:r>
      <w:r w:rsidR="005D1E82">
        <w:rPr>
          <w:rFonts w:ascii="Palatino Linotype" w:hAnsi="Palatino Linotype" w:cs="Arial"/>
          <w:sz w:val="24"/>
          <w:szCs w:val="24"/>
        </w:rPr>
        <w:t>al recurso de revisión</w:t>
      </w:r>
      <w:r w:rsidR="00FC240E">
        <w:rPr>
          <w:rFonts w:ascii="Palatino Linotype" w:hAnsi="Palatino Linotype" w:cs="Arial"/>
          <w:sz w:val="24"/>
          <w:szCs w:val="24"/>
        </w:rPr>
        <w:t xml:space="preserve"> </w:t>
      </w:r>
      <w:r w:rsidR="00FC240E" w:rsidRPr="00FC240E">
        <w:rPr>
          <w:rFonts w:ascii="Palatino Linotype" w:hAnsi="Palatino Linotype" w:cs="Arial"/>
          <w:sz w:val="24"/>
          <w:szCs w:val="24"/>
        </w:rPr>
        <w:t xml:space="preserve">número </w:t>
      </w:r>
      <w:r w:rsidR="005D1E82">
        <w:rPr>
          <w:rFonts w:ascii="Palatino Linotype" w:hAnsi="Palatino Linotype"/>
          <w:b/>
        </w:rPr>
        <w:t xml:space="preserve">02760/INFOEM/IP/RR/2020, </w:t>
      </w:r>
      <w:r w:rsidR="00C344BE">
        <w:rPr>
          <w:rFonts w:ascii="Palatino Linotype" w:hAnsi="Palatino Linotype"/>
        </w:rPr>
        <w:t xml:space="preserve">de fecha treinta de </w:t>
      </w:r>
      <w:r w:rsidR="00CD2752">
        <w:rPr>
          <w:rFonts w:ascii="Palatino Linotype" w:hAnsi="Palatino Linotype" w:cs="Arial"/>
          <w:bCs/>
          <w:sz w:val="24"/>
          <w:lang w:eastAsia="es-MX"/>
        </w:rPr>
        <w:t>septiembre de dos mil veinte</w:t>
      </w:r>
      <w:r w:rsidR="00FC240E" w:rsidRPr="00FC240E">
        <w:rPr>
          <w:rFonts w:ascii="Palatino Linotype" w:hAnsi="Palatino Linotype" w:cs="Arial"/>
          <w:bCs/>
          <w:sz w:val="24"/>
          <w:lang w:eastAsia="es-MX"/>
        </w:rPr>
        <w:t>, emitida por el Pleno de este Instituto de Transparencia, Acceso a la Información Pública y Protección de Datos Personales del Estado de México y Municipios.</w:t>
      </w:r>
    </w:p>
    <w:p w:rsidR="00FC240E" w:rsidRDefault="00FC240E" w:rsidP="00FC240E">
      <w:pPr>
        <w:tabs>
          <w:tab w:val="left" w:pos="8647"/>
        </w:tabs>
        <w:spacing w:after="0" w:line="360" w:lineRule="auto"/>
        <w:jc w:val="both"/>
        <w:rPr>
          <w:rFonts w:ascii="Palatino Linotype" w:hAnsi="Palatino Linotype" w:cs="Arial"/>
          <w:sz w:val="24"/>
          <w:szCs w:val="24"/>
        </w:rPr>
      </w:pPr>
    </w:p>
    <w:p w:rsidR="00FC240E" w:rsidRPr="00921CA9" w:rsidRDefault="00FC240E" w:rsidP="00FC240E">
      <w:pPr>
        <w:spacing w:after="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Pr>
          <w:rFonts w:ascii="Palatino Linotype" w:hAnsi="Palatino Linotype" w:cs="Arial"/>
          <w:b/>
          <w:sz w:val="28"/>
          <w:szCs w:val="28"/>
          <w:lang w:val="es-ES_tradnl"/>
        </w:rPr>
        <w:t xml:space="preserve"> </w:t>
      </w:r>
      <w:r w:rsidRPr="00C02C24">
        <w:rPr>
          <w:rFonts w:ascii="Palatino Linotype" w:hAnsi="Palatino Linotype" w:cs="Arial"/>
          <w:sz w:val="24"/>
        </w:rPr>
        <w:t xml:space="preserve">En cumplimiento a la resolución </w:t>
      </w:r>
      <w:r>
        <w:rPr>
          <w:rFonts w:ascii="Palatino Linotype" w:hAnsi="Palatino Linotype" w:cs="Arial"/>
          <w:sz w:val="24"/>
        </w:rPr>
        <w:t xml:space="preserve">del recurso de inconformidad </w:t>
      </w:r>
      <w:r w:rsidR="00AB2BA7">
        <w:rPr>
          <w:rFonts w:ascii="Palatino Linotype" w:hAnsi="Palatino Linotype" w:cs="Arial"/>
          <w:b/>
          <w:sz w:val="24"/>
        </w:rPr>
        <w:t xml:space="preserve">RIA </w:t>
      </w:r>
      <w:r w:rsidR="005D1E82">
        <w:rPr>
          <w:rFonts w:ascii="Palatino Linotype" w:hAnsi="Palatino Linotype" w:cs="Arial"/>
          <w:b/>
          <w:sz w:val="24"/>
        </w:rPr>
        <w:t>149</w:t>
      </w:r>
      <w:r w:rsidRPr="003B4AFB">
        <w:rPr>
          <w:rFonts w:ascii="Palatino Linotype" w:hAnsi="Palatino Linotype" w:cs="Arial"/>
          <w:b/>
          <w:sz w:val="24"/>
        </w:rPr>
        <w:t>/20</w:t>
      </w:r>
      <w:r>
        <w:rPr>
          <w:rFonts w:ascii="Palatino Linotype" w:hAnsi="Palatino Linotype" w:cs="Arial"/>
          <w:sz w:val="24"/>
        </w:rPr>
        <w:t xml:space="preserve"> emitida por el Pleno del </w:t>
      </w:r>
      <w:r w:rsidRPr="00C02C24">
        <w:rPr>
          <w:rFonts w:ascii="Palatino Linotype" w:hAnsi="Palatino Linotype" w:cs="Arial"/>
          <w:b/>
          <w:sz w:val="24"/>
        </w:rPr>
        <w:t>Instituto Nacional</w:t>
      </w:r>
      <w:r>
        <w:rPr>
          <w:rFonts w:ascii="Palatino Linotype" w:hAnsi="Palatino Linotype" w:cs="Arial"/>
          <w:sz w:val="24"/>
        </w:rPr>
        <w:t>, se</w:t>
      </w:r>
      <w:r w:rsidRPr="00921CA9">
        <w:rPr>
          <w:rFonts w:ascii="Palatino Linotype" w:hAnsi="Palatino Linotype" w:cs="Arial"/>
          <w:sz w:val="24"/>
          <w:szCs w:val="24"/>
          <w:lang w:val="es-ES_tradnl"/>
        </w:rPr>
        <w:t xml:space="preserve"> </w:t>
      </w:r>
      <w:r w:rsidR="005D1E82">
        <w:rPr>
          <w:rFonts w:ascii="Palatino Linotype" w:hAnsi="Palatino Linotype" w:cs="Arial"/>
          <w:b/>
          <w:sz w:val="24"/>
          <w:szCs w:val="24"/>
          <w:lang w:val="es-ES_tradnl"/>
        </w:rPr>
        <w:t>REVOCA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sidR="003B4AFB">
        <w:rPr>
          <w:rFonts w:ascii="Palatino Linotype" w:eastAsia="Arial Unicode MS" w:hAnsi="Palatino Linotype" w:cs="Arial"/>
          <w:b/>
          <w:sz w:val="24"/>
          <w:szCs w:val="24"/>
        </w:rPr>
        <w:t>e</w:t>
      </w:r>
      <w:r w:rsidR="003B4AFB"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 xml:space="preserve">a </w:t>
      </w:r>
      <w:r w:rsidR="005D1E82">
        <w:rPr>
          <w:rFonts w:ascii="Palatino Linotype" w:eastAsia="Arial Unicode MS" w:hAnsi="Palatino Linotype" w:cs="Arial"/>
          <w:sz w:val="24"/>
          <w:szCs w:val="24"/>
        </w:rPr>
        <w:t xml:space="preserve">la solicitud de información número </w:t>
      </w:r>
      <w:r w:rsidR="005D1E82">
        <w:rPr>
          <w:rFonts w:ascii="Palatino Linotype" w:eastAsia="Arial Unicode MS" w:hAnsi="Palatino Linotype" w:cs="Arial"/>
          <w:b/>
          <w:sz w:val="24"/>
          <w:szCs w:val="24"/>
        </w:rPr>
        <w:t xml:space="preserve">00931/IXTASAL/IP/2020, </w:t>
      </w:r>
      <w:r w:rsidR="005D1E82">
        <w:rPr>
          <w:rFonts w:ascii="Palatino Linotype" w:eastAsia="Arial Unicode MS" w:hAnsi="Palatino Linotype" w:cs="Arial"/>
          <w:sz w:val="24"/>
          <w:szCs w:val="24"/>
        </w:rPr>
        <w:t xml:space="preserve">por resultar fundados los motivos de inconformidad que arguye </w:t>
      </w:r>
      <w:r w:rsidR="00CD2752">
        <w:rPr>
          <w:rFonts w:ascii="Palatino Linotype" w:eastAsia="Arial Unicode MS" w:hAnsi="Palatino Linotype" w:cs="Arial"/>
          <w:b/>
          <w:sz w:val="24"/>
          <w:szCs w:val="24"/>
        </w:rPr>
        <w:t>LA</w:t>
      </w:r>
      <w:r w:rsidR="00CD2752" w:rsidRPr="003B4AFB">
        <w:rPr>
          <w:rFonts w:ascii="Palatino Linotype" w:eastAsia="Arial Unicode MS" w:hAnsi="Palatino Linotype" w:cs="Arial"/>
          <w:b/>
          <w:sz w:val="24"/>
          <w:szCs w:val="24"/>
        </w:rPr>
        <w:t xml:space="preserve"> RECURRENTE</w:t>
      </w:r>
      <w:r w:rsidR="00CD2752" w:rsidRPr="00921CA9">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 xml:space="preserve">Considerando </w:t>
      </w:r>
      <w:r w:rsidR="00CD2752">
        <w:rPr>
          <w:rFonts w:ascii="Palatino Linotype" w:hAnsi="Palatino Linotype" w:cs="Arial"/>
          <w:b/>
          <w:sz w:val="24"/>
          <w:szCs w:val="24"/>
        </w:rPr>
        <w:t xml:space="preserve">CUARTO </w:t>
      </w:r>
      <w:r w:rsidRPr="00921CA9">
        <w:rPr>
          <w:rFonts w:ascii="Palatino Linotype" w:hAnsi="Palatino Linotype" w:cs="Arial"/>
          <w:sz w:val="24"/>
          <w:szCs w:val="24"/>
        </w:rPr>
        <w:t>de la presente resolución.</w:t>
      </w:r>
    </w:p>
    <w:p w:rsidR="00FC240E" w:rsidRDefault="00FC240E" w:rsidP="00FC240E">
      <w:pPr>
        <w:tabs>
          <w:tab w:val="left" w:pos="8647"/>
        </w:tabs>
        <w:spacing w:after="0" w:line="360" w:lineRule="auto"/>
        <w:jc w:val="both"/>
        <w:rPr>
          <w:rFonts w:ascii="Palatino Linotype" w:hAnsi="Palatino Linotype" w:cs="Arial"/>
          <w:sz w:val="24"/>
          <w:szCs w:val="24"/>
        </w:rPr>
      </w:pPr>
    </w:p>
    <w:p w:rsidR="00FC240E" w:rsidRDefault="00FC240E" w:rsidP="00FC240E">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TERCERO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00AB2BA7" w:rsidRPr="007C135E">
        <w:rPr>
          <w:rFonts w:ascii="Palatino Linotype" w:hAnsi="Palatino Linotype" w:cs="Arial"/>
          <w:b/>
          <w:sz w:val="24"/>
          <w:szCs w:val="24"/>
        </w:rPr>
        <w:t>SUJETO OBLIGADO</w:t>
      </w:r>
      <w:r w:rsidR="00AB2BA7" w:rsidRPr="007C135E">
        <w:rPr>
          <w:rFonts w:ascii="Palatino Linotype" w:hAnsi="Palatino Linotype" w:cs="Arial"/>
          <w:sz w:val="24"/>
          <w:szCs w:val="24"/>
        </w:rPr>
        <w:t xml:space="preserve"> </w:t>
      </w:r>
      <w:r w:rsidRPr="007C135E">
        <w:rPr>
          <w:rFonts w:ascii="Palatino Linotype" w:hAnsi="Palatino Linotype" w:cs="Arial"/>
          <w:sz w:val="24"/>
          <w:szCs w:val="24"/>
        </w:rPr>
        <w:t>haga entrega</w:t>
      </w:r>
      <w:r>
        <w:rPr>
          <w:rFonts w:ascii="Palatino Linotype" w:hAnsi="Palatino Linotype" w:cs="Arial"/>
          <w:sz w:val="24"/>
          <w:szCs w:val="24"/>
        </w:rPr>
        <w:t xml:space="preserve"> a través del sistema </w:t>
      </w:r>
      <w:r w:rsidRPr="00CB6B89">
        <w:rPr>
          <w:rFonts w:ascii="Palatino Linotype" w:hAnsi="Palatino Linotype" w:cs="Arial"/>
          <w:b/>
          <w:sz w:val="24"/>
          <w:szCs w:val="24"/>
        </w:rPr>
        <w:t>SAIMEX</w:t>
      </w:r>
      <w:r>
        <w:rPr>
          <w:rFonts w:ascii="Palatino Linotype" w:hAnsi="Palatino Linotype" w:cs="Arial"/>
          <w:sz w:val="24"/>
          <w:szCs w:val="24"/>
        </w:rPr>
        <w:t>,</w:t>
      </w:r>
      <w:r w:rsidRPr="007C135E">
        <w:rPr>
          <w:rFonts w:ascii="Palatino Linotype" w:hAnsi="Palatino Linotype" w:cs="Arial"/>
          <w:sz w:val="24"/>
          <w:szCs w:val="24"/>
        </w:rPr>
        <w:t xml:space="preserve"> </w:t>
      </w:r>
      <w:r>
        <w:rPr>
          <w:rFonts w:ascii="Palatino Linotype" w:hAnsi="Palatino Linotype" w:cs="Arial"/>
          <w:sz w:val="24"/>
          <w:szCs w:val="24"/>
        </w:rPr>
        <w:t xml:space="preserve">en su caso en versión pública, </w:t>
      </w:r>
      <w:r w:rsidRPr="007C135E">
        <w:rPr>
          <w:rFonts w:ascii="Palatino Linotype" w:hAnsi="Palatino Linotype" w:cs="Arial"/>
          <w:sz w:val="24"/>
          <w:szCs w:val="24"/>
        </w:rPr>
        <w:t>a</w:t>
      </w:r>
      <w:r w:rsidR="00AB2BA7">
        <w:rPr>
          <w:rFonts w:ascii="Palatino Linotype" w:hAnsi="Palatino Linotype" w:cs="Arial"/>
          <w:sz w:val="24"/>
          <w:szCs w:val="24"/>
        </w:rPr>
        <w:t xml:space="preserve"> </w:t>
      </w:r>
      <w:r w:rsidR="00AB2BA7" w:rsidRPr="00AB2BA7">
        <w:rPr>
          <w:rFonts w:ascii="Palatino Linotype" w:hAnsi="Palatino Linotype" w:cs="Arial"/>
          <w:b/>
          <w:sz w:val="24"/>
          <w:szCs w:val="24"/>
        </w:rPr>
        <w:t>LA RECURRENTE</w:t>
      </w:r>
      <w:r w:rsidR="00AB2BA7">
        <w:rPr>
          <w:rFonts w:ascii="Palatino Linotype" w:hAnsi="Palatino Linotype" w:cs="Arial"/>
          <w:sz w:val="24"/>
          <w:szCs w:val="24"/>
        </w:rPr>
        <w:t xml:space="preserve"> </w:t>
      </w:r>
      <w:r>
        <w:rPr>
          <w:rFonts w:ascii="Palatino Linotype" w:hAnsi="Palatino Linotype" w:cs="Arial"/>
          <w:sz w:val="24"/>
          <w:szCs w:val="24"/>
        </w:rPr>
        <w:t>de lo siguiente</w:t>
      </w:r>
      <w:r w:rsidRPr="007C135E">
        <w:rPr>
          <w:rFonts w:ascii="Palatino Linotype" w:hAnsi="Palatino Linotype" w:cs="Arial"/>
          <w:sz w:val="24"/>
          <w:szCs w:val="24"/>
        </w:rPr>
        <w:t>:</w:t>
      </w:r>
    </w:p>
    <w:p w:rsidR="005D1E82" w:rsidRPr="005D1E82" w:rsidRDefault="005D1E82" w:rsidP="005D1E82">
      <w:pPr>
        <w:pStyle w:val="Prrafodelista"/>
        <w:numPr>
          <w:ilvl w:val="0"/>
          <w:numId w:val="15"/>
        </w:numPr>
        <w:spacing w:before="240" w:line="360" w:lineRule="auto"/>
        <w:jc w:val="both"/>
        <w:rPr>
          <w:rFonts w:ascii="Palatino Linotype" w:hAnsi="Palatino Linotype" w:cs="Arial"/>
          <w:b/>
          <w:bCs/>
          <w:i/>
        </w:rPr>
      </w:pPr>
      <w:r w:rsidRPr="005D1E82">
        <w:rPr>
          <w:rFonts w:ascii="Palatino Linotype" w:hAnsi="Palatino Linotype" w:cs="Arial"/>
          <w:i/>
        </w:rPr>
        <w:lastRenderedPageBreak/>
        <w:t xml:space="preserve">El o los documentos donde consten los viáticos ejercidos durante el ejercicio fiscal 2019, con toda la documentación soporte, por cada una de las áreas y/o servidores públicos que ejercieron los mismos. </w:t>
      </w:r>
    </w:p>
    <w:p w:rsidR="00DC259F" w:rsidRDefault="00DC259F" w:rsidP="004A6B4F">
      <w:pPr>
        <w:spacing w:after="0" w:line="360" w:lineRule="auto"/>
        <w:ind w:left="851" w:right="567"/>
        <w:jc w:val="both"/>
        <w:rPr>
          <w:rFonts w:ascii="Palatino Linotype" w:eastAsia="Times New Roman" w:hAnsi="Palatino Linotype" w:cs="Arial"/>
          <w:i/>
          <w:iCs/>
          <w:sz w:val="24"/>
          <w:szCs w:val="24"/>
          <w:lang w:eastAsia="es-ES"/>
        </w:rPr>
      </w:pPr>
    </w:p>
    <w:p w:rsidR="004A6B4F" w:rsidRPr="00173E45" w:rsidRDefault="004A6B4F" w:rsidP="004A6B4F">
      <w:pPr>
        <w:spacing w:after="0" w:line="360" w:lineRule="auto"/>
        <w:ind w:left="851" w:right="567"/>
        <w:jc w:val="both"/>
        <w:rPr>
          <w:rFonts w:ascii="Palatino Linotype" w:eastAsia="Times New Roman" w:hAnsi="Palatino Linotype" w:cs="Arial"/>
          <w:i/>
          <w:iCs/>
          <w:sz w:val="24"/>
          <w:szCs w:val="24"/>
          <w:lang w:eastAsia="es-ES"/>
        </w:rPr>
      </w:pPr>
      <w:r w:rsidRPr="00173E45">
        <w:rPr>
          <w:rFonts w:ascii="Palatino Linotype" w:eastAsia="Times New Roman" w:hAnsi="Palatino Linotype" w:cs="Arial"/>
          <w:i/>
          <w:iCs/>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eastAsia="Times New Roman" w:hAnsi="Palatino Linotype" w:cs="Arial"/>
          <w:i/>
          <w:iCs/>
          <w:sz w:val="24"/>
          <w:szCs w:val="24"/>
          <w:lang w:eastAsia="es-ES"/>
        </w:rPr>
        <w:t xml:space="preserve"> La</w:t>
      </w:r>
      <w:r w:rsidRPr="00173E45">
        <w:rPr>
          <w:rFonts w:ascii="Palatino Linotype" w:eastAsia="Times New Roman" w:hAnsi="Palatino Linotype" w:cs="Arial"/>
          <w:i/>
          <w:iCs/>
          <w:sz w:val="24"/>
          <w:szCs w:val="24"/>
          <w:lang w:eastAsia="es-ES"/>
        </w:rPr>
        <w:t xml:space="preserve"> Recurrente.</w:t>
      </w:r>
    </w:p>
    <w:p w:rsidR="009651C1" w:rsidRPr="009651C1" w:rsidRDefault="009651C1" w:rsidP="001E601E">
      <w:pPr>
        <w:spacing w:line="360" w:lineRule="auto"/>
        <w:ind w:left="840" w:right="567"/>
        <w:jc w:val="both"/>
        <w:rPr>
          <w:rFonts w:ascii="Palatino Linotype" w:hAnsi="Palatino Linotype"/>
          <w:i/>
          <w:sz w:val="24"/>
          <w:szCs w:val="24"/>
        </w:rPr>
      </w:pPr>
      <w:r w:rsidRPr="009651C1">
        <w:rPr>
          <w:rFonts w:ascii="Palatino Linotype" w:hAnsi="Palatino Linotype"/>
          <w:i/>
          <w:sz w:val="24"/>
          <w:szCs w:val="24"/>
        </w:rPr>
        <w:t xml:space="preserve">Para el caso de que exista impedimento justificado para respetar la modalidad </w:t>
      </w:r>
      <w:r w:rsidR="00D36B62">
        <w:rPr>
          <w:rFonts w:ascii="Palatino Linotype" w:hAnsi="Palatino Linotype"/>
          <w:i/>
          <w:sz w:val="24"/>
          <w:szCs w:val="24"/>
        </w:rPr>
        <w:t xml:space="preserve">de </w:t>
      </w:r>
      <w:r w:rsidRPr="009651C1">
        <w:rPr>
          <w:rFonts w:ascii="Palatino Linotype" w:hAnsi="Palatino Linotype"/>
          <w:i/>
          <w:sz w:val="24"/>
          <w:szCs w:val="24"/>
        </w:rPr>
        <w:t xml:space="preserve">entrega, por el tipo de documento del que se trata, </w:t>
      </w:r>
      <w:r w:rsidR="00CB6B89">
        <w:rPr>
          <w:rFonts w:ascii="Palatino Linotype" w:hAnsi="Palatino Linotype"/>
          <w:b/>
          <w:i/>
          <w:sz w:val="24"/>
          <w:szCs w:val="24"/>
        </w:rPr>
        <w:t>El Sujeto Obligado</w:t>
      </w:r>
      <w:r w:rsidRPr="009651C1">
        <w:rPr>
          <w:rFonts w:ascii="Palatino Linotype" w:hAnsi="Palatino Linotype"/>
          <w:b/>
          <w:i/>
          <w:sz w:val="24"/>
          <w:szCs w:val="24"/>
        </w:rPr>
        <w:t xml:space="preserve"> </w:t>
      </w:r>
      <w:r w:rsidRPr="009651C1">
        <w:rPr>
          <w:rFonts w:ascii="Palatino Linotype" w:hAnsi="Palatino Linotype"/>
          <w:i/>
          <w:sz w:val="24"/>
          <w:szCs w:val="24"/>
        </w:rPr>
        <w:t xml:space="preserve">deberá </w:t>
      </w:r>
      <w:r w:rsidRPr="009651C1">
        <w:rPr>
          <w:rFonts w:ascii="Palatino Linotype" w:hAnsi="Palatino Linotype"/>
          <w:b/>
          <w:i/>
          <w:sz w:val="24"/>
          <w:szCs w:val="24"/>
        </w:rPr>
        <w:t>ofrecer otros medios electrónicos</w:t>
      </w:r>
      <w:r w:rsidRPr="009651C1">
        <w:rPr>
          <w:rFonts w:ascii="Palatino Linotype" w:hAnsi="Palatino Linotype"/>
          <w:i/>
          <w:sz w:val="24"/>
          <w:szCs w:val="24"/>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9651C1" w:rsidRDefault="009651C1" w:rsidP="009651C1">
      <w:pPr>
        <w:spacing w:line="360" w:lineRule="auto"/>
        <w:ind w:left="840" w:right="902"/>
        <w:jc w:val="both"/>
        <w:rPr>
          <w:rFonts w:ascii="Palatino Linotype" w:hAnsi="Palatino Linotype"/>
          <w:i/>
          <w:sz w:val="24"/>
          <w:szCs w:val="24"/>
        </w:rPr>
      </w:pPr>
      <w:r w:rsidRPr="009651C1">
        <w:rPr>
          <w:rFonts w:ascii="Palatino Linotype" w:hAnsi="Palatino Linotype"/>
          <w:i/>
          <w:sz w:val="24"/>
          <w:szCs w:val="24"/>
        </w:rPr>
        <w:t>Para el caso de que acredite el cambio de modalidad electrónico, deberá indicar el procedimiento para acceder a la información.</w:t>
      </w:r>
    </w:p>
    <w:p w:rsidR="00D36B62" w:rsidRPr="009651C1" w:rsidRDefault="00D36B62" w:rsidP="009651C1">
      <w:pPr>
        <w:spacing w:line="360" w:lineRule="auto"/>
        <w:ind w:left="840" w:right="902"/>
        <w:jc w:val="both"/>
        <w:rPr>
          <w:rFonts w:ascii="Palatino Linotype" w:hAnsi="Palatino Linotype"/>
          <w:i/>
          <w:sz w:val="24"/>
          <w:szCs w:val="24"/>
        </w:rPr>
      </w:pPr>
    </w:p>
    <w:p w:rsidR="00FC240E" w:rsidRDefault="00FC240E" w:rsidP="00FC24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w:t>
      </w:r>
      <w:r w:rsidRPr="00A80781">
        <w:rPr>
          <w:rFonts w:ascii="Palatino Linotype" w:hAnsi="Palatino Linotype" w:cs="Arial"/>
          <w:b/>
          <w:sz w:val="28"/>
          <w:szCs w:val="28"/>
        </w:rPr>
        <w:t>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w:t>
      </w:r>
      <w:r>
        <w:rPr>
          <w:rFonts w:ascii="Palatino Linotype" w:hAnsi="Palatino Linotype" w:cs="Arial"/>
          <w:sz w:val="24"/>
          <w:szCs w:val="24"/>
        </w:rPr>
        <w:lastRenderedPageBreak/>
        <w:t xml:space="preserve">y 194 </w:t>
      </w:r>
      <w:r w:rsidRPr="00A80781">
        <w:rPr>
          <w:rFonts w:ascii="Palatino Linotype" w:hAnsi="Palatino Linotype" w:cs="Arial"/>
          <w:sz w:val="24"/>
          <w:szCs w:val="24"/>
        </w:rPr>
        <w:t>de la Ley de Transparencia y Acceso a la Información Pública de</w:t>
      </w:r>
      <w:r>
        <w:rPr>
          <w:rFonts w:ascii="Palatino Linotype" w:hAnsi="Palatino Linotype" w:cs="Arial"/>
          <w:sz w:val="24"/>
          <w:szCs w:val="24"/>
        </w:rPr>
        <w:t xml:space="preserve">l Estado de México y Municipios, en concordancia con el artículo 173 de la Ley General de Transparencia y Acceso a la Información Pública, </w:t>
      </w:r>
      <w:r w:rsidRPr="00A80781">
        <w:rPr>
          <w:rFonts w:ascii="Palatino Linotype" w:hAnsi="Palatino Linotype" w:cs="Arial"/>
          <w:sz w:val="24"/>
          <w:szCs w:val="24"/>
        </w:rPr>
        <w:t xml:space="preserve">dé cumplimiento </w:t>
      </w:r>
      <w:r w:rsidRPr="00F31631">
        <w:rPr>
          <w:rFonts w:ascii="Palatino Linotype" w:hAnsi="Palatino Linotype" w:cs="Arial"/>
          <w:sz w:val="24"/>
          <w:szCs w:val="24"/>
        </w:rPr>
        <w:t xml:space="preserve">a lo ordenado dentro del plazo de </w:t>
      </w:r>
      <w:r w:rsidR="00CB6B89">
        <w:rPr>
          <w:rFonts w:ascii="Palatino Linotype" w:hAnsi="Palatino Linotype" w:cs="Arial"/>
          <w:sz w:val="24"/>
          <w:szCs w:val="24"/>
        </w:rPr>
        <w:t>20</w:t>
      </w:r>
      <w:r w:rsidR="002A5EE3" w:rsidRPr="003B4AFB">
        <w:rPr>
          <w:rFonts w:ascii="Palatino Linotype" w:hAnsi="Palatino Linotype" w:cs="Arial"/>
          <w:sz w:val="24"/>
          <w:szCs w:val="24"/>
        </w:rPr>
        <w:t xml:space="preserve"> (</w:t>
      </w:r>
      <w:r w:rsidR="00CB6B89">
        <w:rPr>
          <w:rFonts w:ascii="Palatino Linotype" w:hAnsi="Palatino Linotype" w:cs="Arial"/>
          <w:sz w:val="24"/>
          <w:szCs w:val="24"/>
        </w:rPr>
        <w:t>veinte</w:t>
      </w:r>
      <w:r w:rsidR="002A5EE3" w:rsidRPr="003B4AFB">
        <w:rPr>
          <w:rFonts w:ascii="Palatino Linotype" w:hAnsi="Palatino Linotype" w:cs="Arial"/>
          <w:sz w:val="24"/>
          <w:szCs w:val="24"/>
        </w:rPr>
        <w:t>)</w:t>
      </w:r>
      <w:r w:rsidRPr="003B4AFB">
        <w:rPr>
          <w:rFonts w:ascii="Palatino Linotype" w:hAnsi="Palatino Linotype" w:cs="Arial"/>
          <w:sz w:val="24"/>
          <w:szCs w:val="24"/>
        </w:rPr>
        <w:t xml:space="preserve"> días hábiles</w:t>
      </w:r>
      <w:r w:rsidRPr="00F31631">
        <w:rPr>
          <w:rFonts w:ascii="Palatino Linotype" w:hAnsi="Palatino Linotype" w:cs="Arial"/>
          <w:sz w:val="24"/>
          <w:szCs w:val="24"/>
        </w:rPr>
        <w:t>,</w:t>
      </w:r>
      <w:r w:rsidRPr="00A80781">
        <w:rPr>
          <w:rFonts w:ascii="Palatino Linotype" w:hAnsi="Palatino Linotype" w:cs="Arial"/>
          <w:sz w:val="24"/>
          <w:szCs w:val="24"/>
        </w:rPr>
        <w:t xml:space="preserve"> debiendo informar a este Instituto en un plazo de tres días hábiles siguientes sobre el cumplimiento dado a la pres</w:t>
      </w:r>
      <w:r>
        <w:rPr>
          <w:rFonts w:ascii="Palatino Linotype" w:hAnsi="Palatino Linotype" w:cs="Arial"/>
          <w:sz w:val="24"/>
          <w:szCs w:val="24"/>
        </w:rPr>
        <w:t xml:space="preserve">ente resolución, </w:t>
      </w:r>
    </w:p>
    <w:p w:rsidR="002A5EE3" w:rsidRPr="002A5EE3" w:rsidRDefault="002A5EE3" w:rsidP="00FC240E">
      <w:pPr>
        <w:autoSpaceDE w:val="0"/>
        <w:autoSpaceDN w:val="0"/>
        <w:adjustRightInd w:val="0"/>
        <w:spacing w:after="0" w:line="360" w:lineRule="auto"/>
        <w:jc w:val="both"/>
        <w:rPr>
          <w:rFonts w:ascii="Palatino Linotype" w:hAnsi="Palatino Linotype" w:cs="Arial"/>
          <w:sz w:val="24"/>
          <w:szCs w:val="28"/>
        </w:rPr>
      </w:pPr>
    </w:p>
    <w:p w:rsidR="00A1043E" w:rsidRPr="005751B7" w:rsidRDefault="00FC240E" w:rsidP="00A1043E">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hAnsi="Palatino Linotype" w:cs="Arial"/>
          <w:b/>
          <w:sz w:val="28"/>
          <w:szCs w:val="28"/>
        </w:rPr>
        <w:t>QUIN</w:t>
      </w:r>
      <w:r w:rsidRPr="008A5EF1">
        <w:rPr>
          <w:rFonts w:ascii="Palatino Linotype" w:hAnsi="Palatino Linotype" w:cs="Arial"/>
          <w:b/>
          <w:sz w:val="28"/>
          <w:szCs w:val="28"/>
        </w:rPr>
        <w:t>TO</w:t>
      </w:r>
      <w:r w:rsidRPr="008A5EF1">
        <w:rPr>
          <w:rFonts w:ascii="Palatino Linotype" w:hAnsi="Palatino Linotype" w:cs="Arial"/>
          <w:sz w:val="28"/>
          <w:szCs w:val="28"/>
        </w:rPr>
        <w:t>.</w:t>
      </w:r>
      <w:r>
        <w:rPr>
          <w:rFonts w:ascii="Palatino Linotype" w:hAnsi="Palatino Linotype" w:cs="Arial"/>
          <w:sz w:val="24"/>
          <w:szCs w:val="24"/>
        </w:rPr>
        <w:t xml:space="preserve"> </w:t>
      </w:r>
      <w:r w:rsidR="00A1043E"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1043E" w:rsidRDefault="00A1043E" w:rsidP="00FC240E">
      <w:pPr>
        <w:autoSpaceDE w:val="0"/>
        <w:autoSpaceDN w:val="0"/>
        <w:adjustRightInd w:val="0"/>
        <w:spacing w:after="0" w:line="360" w:lineRule="auto"/>
        <w:jc w:val="both"/>
        <w:rPr>
          <w:rFonts w:ascii="Palatino Linotype" w:hAnsi="Palatino Linotype" w:cs="Arial"/>
          <w:sz w:val="24"/>
          <w:szCs w:val="24"/>
        </w:rPr>
      </w:pPr>
    </w:p>
    <w:p w:rsidR="00FC240E" w:rsidRDefault="00A1043E" w:rsidP="00FC240E">
      <w:pPr>
        <w:autoSpaceDE w:val="0"/>
        <w:autoSpaceDN w:val="0"/>
        <w:adjustRightInd w:val="0"/>
        <w:spacing w:after="0" w:line="360" w:lineRule="auto"/>
        <w:jc w:val="both"/>
        <w:rPr>
          <w:rFonts w:ascii="Palatino Linotype" w:hAnsi="Palatino Linotype" w:cs="Arial"/>
          <w:sz w:val="24"/>
          <w:szCs w:val="24"/>
        </w:rPr>
      </w:pPr>
      <w:r w:rsidRPr="00C60852">
        <w:rPr>
          <w:rFonts w:ascii="Palatino Linotype" w:hAnsi="Palatino Linotype" w:cs="Arial"/>
          <w:b/>
          <w:sz w:val="28"/>
          <w:szCs w:val="28"/>
        </w:rPr>
        <w:t>SEXTO</w:t>
      </w:r>
      <w:r>
        <w:rPr>
          <w:rFonts w:ascii="Palatino Linotype" w:hAnsi="Palatino Linotype" w:cs="Arial"/>
          <w:b/>
          <w:sz w:val="28"/>
          <w:szCs w:val="28"/>
        </w:rPr>
        <w:t xml:space="preserve">. </w:t>
      </w:r>
      <w:r w:rsidR="00FC240E">
        <w:rPr>
          <w:rFonts w:ascii="Palatino Linotype" w:hAnsi="Palatino Linotype" w:cs="Arial"/>
          <w:b/>
          <w:bCs/>
          <w:color w:val="222222"/>
          <w:sz w:val="24"/>
          <w:szCs w:val="24"/>
          <w:shd w:val="clear" w:color="auto" w:fill="FFFFFF"/>
          <w:lang w:val="es-ES"/>
        </w:rPr>
        <w:t>Notifíquese</w:t>
      </w:r>
      <w:r w:rsidR="009651C1">
        <w:rPr>
          <w:rFonts w:ascii="Palatino Linotype" w:hAnsi="Palatino Linotype" w:cs="Arial"/>
          <w:sz w:val="24"/>
          <w:szCs w:val="24"/>
        </w:rPr>
        <w:t xml:space="preserve"> a </w:t>
      </w:r>
      <w:r w:rsidR="00AB2BA7" w:rsidRPr="00AB2BA7">
        <w:rPr>
          <w:rFonts w:ascii="Palatino Linotype" w:hAnsi="Palatino Linotype" w:cs="Arial"/>
          <w:b/>
          <w:sz w:val="24"/>
          <w:szCs w:val="24"/>
        </w:rPr>
        <w:t>LA RECURRENTE</w:t>
      </w:r>
      <w:r w:rsidR="00AB2BA7">
        <w:rPr>
          <w:rFonts w:ascii="Palatino Linotype" w:hAnsi="Palatino Linotype" w:cs="Arial"/>
          <w:sz w:val="24"/>
          <w:szCs w:val="24"/>
        </w:rPr>
        <w:t xml:space="preserve"> </w:t>
      </w:r>
      <w:r w:rsidR="00FC240E">
        <w:rPr>
          <w:rFonts w:ascii="Palatino Linotype" w:hAnsi="Palatino Linotype" w:cs="Arial"/>
          <w:sz w:val="24"/>
          <w:szCs w:val="24"/>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A5EE3" w:rsidRDefault="002A5EE3" w:rsidP="00FC240E">
      <w:pPr>
        <w:autoSpaceDE w:val="0"/>
        <w:autoSpaceDN w:val="0"/>
        <w:adjustRightInd w:val="0"/>
        <w:spacing w:after="0" w:line="360" w:lineRule="auto"/>
        <w:jc w:val="both"/>
        <w:rPr>
          <w:rFonts w:ascii="Palatino Linotype" w:hAnsi="Palatino Linotype" w:cs="Arial"/>
          <w:sz w:val="24"/>
          <w:szCs w:val="28"/>
        </w:rPr>
      </w:pPr>
    </w:p>
    <w:p w:rsidR="00FC240E" w:rsidRDefault="00A1043E" w:rsidP="00FC24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FC240E" w:rsidRPr="00C60852">
        <w:rPr>
          <w:rFonts w:ascii="Palatino Linotype" w:hAnsi="Palatino Linotype" w:cs="Arial"/>
          <w:b/>
          <w:sz w:val="28"/>
          <w:szCs w:val="28"/>
        </w:rPr>
        <w:t xml:space="preserve">. </w:t>
      </w:r>
      <w:r w:rsidR="00FC240E" w:rsidRPr="00655B98">
        <w:rPr>
          <w:rFonts w:ascii="Palatino Linotype" w:hAnsi="Palatino Linotype" w:cs="Arial"/>
          <w:b/>
          <w:sz w:val="24"/>
          <w:szCs w:val="24"/>
        </w:rPr>
        <w:t>Notifíquese</w:t>
      </w:r>
      <w:r w:rsidR="00FC240E">
        <w:rPr>
          <w:rFonts w:ascii="Palatino Linotype" w:hAnsi="Palatino Linotype" w:cs="Arial"/>
          <w:sz w:val="24"/>
          <w:szCs w:val="24"/>
        </w:rPr>
        <w:t xml:space="preserve"> al Instituto Nacional de Transparencia, Acceso a la Información y Protección de Datos Personales, en términos del artículo 173 de la Ley General de Transparencia y Acceso a la Información Pública para efectos de cumplimiento al fallo emitido al recurso de inconformidad número </w:t>
      </w:r>
      <w:r w:rsidR="00587EDB">
        <w:rPr>
          <w:rFonts w:ascii="Palatino Linotype" w:hAnsi="Palatino Linotype" w:cs="Arial"/>
          <w:b/>
          <w:sz w:val="24"/>
          <w:szCs w:val="24"/>
        </w:rPr>
        <w:t xml:space="preserve">RIA </w:t>
      </w:r>
      <w:r w:rsidR="005D1E82">
        <w:rPr>
          <w:rFonts w:ascii="Palatino Linotype" w:hAnsi="Palatino Linotype" w:cs="Arial"/>
          <w:b/>
          <w:sz w:val="24"/>
          <w:szCs w:val="24"/>
        </w:rPr>
        <w:t>149</w:t>
      </w:r>
      <w:r w:rsidR="002A5EE3" w:rsidRPr="003B4AFB">
        <w:rPr>
          <w:rFonts w:ascii="Palatino Linotype" w:hAnsi="Palatino Linotype" w:cs="Arial"/>
          <w:b/>
          <w:sz w:val="24"/>
          <w:szCs w:val="24"/>
        </w:rPr>
        <w:t>/20</w:t>
      </w:r>
      <w:r w:rsidR="00FC240E">
        <w:rPr>
          <w:rFonts w:ascii="Palatino Linotype" w:hAnsi="Palatino Linotype" w:cs="Arial"/>
          <w:sz w:val="24"/>
          <w:szCs w:val="24"/>
        </w:rPr>
        <w:t xml:space="preserve"> emitido en fecha</w:t>
      </w:r>
      <w:r w:rsidR="002A5EE3">
        <w:rPr>
          <w:rFonts w:ascii="Palatino Linotype" w:hAnsi="Palatino Linotype" w:cs="Arial"/>
          <w:sz w:val="24"/>
          <w:szCs w:val="24"/>
        </w:rPr>
        <w:t xml:space="preserve"> </w:t>
      </w:r>
      <w:r w:rsidR="005D1E82">
        <w:rPr>
          <w:rFonts w:ascii="Palatino Linotype" w:hAnsi="Palatino Linotype" w:cs="Arial"/>
          <w:sz w:val="24"/>
          <w:szCs w:val="24"/>
        </w:rPr>
        <w:t>veintiséis</w:t>
      </w:r>
      <w:r w:rsidR="009651C1">
        <w:rPr>
          <w:rFonts w:ascii="Palatino Linotype" w:hAnsi="Palatino Linotype" w:cs="Arial"/>
          <w:sz w:val="24"/>
          <w:szCs w:val="24"/>
        </w:rPr>
        <w:t xml:space="preserve"> de enero de dos mil veintiuno. </w:t>
      </w:r>
    </w:p>
    <w:p w:rsidR="00AC5A01" w:rsidRPr="006315EA" w:rsidRDefault="00AC5A01" w:rsidP="00FC240E">
      <w:pPr>
        <w:spacing w:after="0" w:line="360" w:lineRule="auto"/>
        <w:jc w:val="both"/>
        <w:rPr>
          <w:rFonts w:ascii="Palatino Linotype" w:hAnsi="Palatino Linotype" w:cs="Arial"/>
          <w:sz w:val="24"/>
          <w:szCs w:val="24"/>
        </w:rPr>
      </w:pPr>
    </w:p>
    <w:p w:rsidR="003B4AFB" w:rsidRDefault="00AC5A01" w:rsidP="009651C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6315EA">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4A6D31">
        <w:rPr>
          <w:rFonts w:ascii="Palatino Linotype" w:eastAsiaTheme="minorEastAsia" w:hAnsi="Palatino Linotype"/>
          <w:color w:val="000000" w:themeColor="text1"/>
          <w:sz w:val="24"/>
          <w:szCs w:val="24"/>
          <w:lang w:val="es-ES_tradnl" w:eastAsia="es-ES"/>
        </w:rPr>
        <w:t xml:space="preserve"> (AUSENCIA JUSTIFICADA)</w:t>
      </w:r>
      <w:r w:rsidRPr="006315EA">
        <w:rPr>
          <w:rFonts w:ascii="Palatino Linotype" w:eastAsiaTheme="minorEastAsia" w:hAnsi="Palatino Linotype"/>
          <w:color w:val="000000" w:themeColor="text1"/>
          <w:sz w:val="24"/>
          <w:szCs w:val="24"/>
          <w:lang w:val="es-ES_tradnl" w:eastAsia="es-ES"/>
        </w:rPr>
        <w:t xml:space="preserve">; JOSÉ GUADALUPE LUNA HERNÁNDEZ, JAVIER MARTÍNEZ CRUZ Y LUIS GUSTAVO PARRA NORIEGA; EN LA </w:t>
      </w:r>
      <w:r w:rsidR="00DC259F">
        <w:rPr>
          <w:rFonts w:ascii="Palatino Linotype" w:eastAsiaTheme="minorEastAsia" w:hAnsi="Palatino Linotype"/>
          <w:color w:val="000000" w:themeColor="text1"/>
          <w:sz w:val="24"/>
          <w:szCs w:val="24"/>
          <w:lang w:val="es-ES_tradnl" w:eastAsia="es-ES"/>
        </w:rPr>
        <w:t xml:space="preserve">DÉCIMA </w:t>
      </w:r>
      <w:r w:rsidR="004A6D31">
        <w:rPr>
          <w:rFonts w:ascii="Palatino Linotype" w:eastAsiaTheme="minorEastAsia" w:hAnsi="Palatino Linotype"/>
          <w:color w:val="000000" w:themeColor="text1"/>
          <w:sz w:val="24"/>
          <w:szCs w:val="24"/>
          <w:lang w:val="es-ES_tradnl" w:eastAsia="es-ES"/>
        </w:rPr>
        <w:t>TERCERA</w:t>
      </w:r>
      <w:r w:rsidR="003B4AFB">
        <w:rPr>
          <w:rFonts w:ascii="Palatino Linotype" w:eastAsiaTheme="minorEastAsia" w:hAnsi="Palatino Linotype"/>
          <w:color w:val="000000" w:themeColor="text1"/>
          <w:sz w:val="24"/>
          <w:szCs w:val="24"/>
          <w:lang w:val="es-ES_tradnl" w:eastAsia="es-ES"/>
        </w:rPr>
        <w:t xml:space="preserve"> SESIÓN O</w:t>
      </w:r>
      <w:r w:rsidRPr="006315EA">
        <w:rPr>
          <w:rFonts w:ascii="Palatino Linotype" w:eastAsiaTheme="minorEastAsia" w:hAnsi="Palatino Linotype"/>
          <w:color w:val="000000" w:themeColor="text1"/>
          <w:sz w:val="24"/>
          <w:szCs w:val="24"/>
          <w:lang w:val="es-ES_tradnl" w:eastAsia="es-ES"/>
        </w:rPr>
        <w:t>RDINARIA CELEBRADA EL</w:t>
      </w:r>
      <w:r>
        <w:rPr>
          <w:rFonts w:ascii="Palatino Linotype" w:eastAsiaTheme="minorEastAsia" w:hAnsi="Palatino Linotype"/>
          <w:color w:val="000000" w:themeColor="text1"/>
          <w:sz w:val="24"/>
          <w:szCs w:val="24"/>
          <w:lang w:val="es-ES_tradnl" w:eastAsia="es-ES"/>
        </w:rPr>
        <w:t xml:space="preserve"> </w:t>
      </w:r>
      <w:r w:rsidR="005D1E82">
        <w:rPr>
          <w:rFonts w:ascii="Palatino Linotype" w:eastAsiaTheme="minorEastAsia" w:hAnsi="Palatino Linotype"/>
          <w:color w:val="000000" w:themeColor="text1"/>
          <w:sz w:val="24"/>
          <w:szCs w:val="24"/>
          <w:lang w:val="es-ES_tradnl" w:eastAsia="es-ES"/>
        </w:rPr>
        <w:t>VEINTIUNO</w:t>
      </w:r>
      <w:r w:rsidR="00DC259F">
        <w:rPr>
          <w:rFonts w:ascii="Palatino Linotype" w:eastAsiaTheme="minorEastAsia" w:hAnsi="Palatino Linotype"/>
          <w:color w:val="000000" w:themeColor="text1"/>
          <w:sz w:val="24"/>
          <w:szCs w:val="24"/>
          <w:lang w:val="es-ES_tradnl" w:eastAsia="es-ES"/>
        </w:rPr>
        <w:t xml:space="preserve"> DE ABRIL</w:t>
      </w:r>
      <w:r w:rsidR="003B4AFB">
        <w:rPr>
          <w:rFonts w:ascii="Palatino Linotype" w:eastAsiaTheme="minorEastAsia" w:hAnsi="Palatino Linotype"/>
          <w:color w:val="000000" w:themeColor="text1"/>
          <w:sz w:val="24"/>
          <w:szCs w:val="24"/>
          <w:lang w:val="es-ES_tradnl" w:eastAsia="es-ES"/>
        </w:rPr>
        <w:t xml:space="preserve"> DE DOS </w:t>
      </w:r>
      <w:r w:rsidRPr="006315EA">
        <w:rPr>
          <w:rFonts w:ascii="Palatino Linotype" w:eastAsiaTheme="minorEastAsia" w:hAnsi="Palatino Linotype"/>
          <w:color w:val="000000" w:themeColor="text1"/>
          <w:sz w:val="24"/>
          <w:szCs w:val="24"/>
          <w:lang w:val="es-ES_tradnl" w:eastAsia="es-ES"/>
        </w:rPr>
        <w:t>MIL VEINT</w:t>
      </w:r>
      <w:r w:rsidR="00A1043E">
        <w:rPr>
          <w:rFonts w:ascii="Palatino Linotype" w:eastAsiaTheme="minorEastAsia" w:hAnsi="Palatino Linotype"/>
          <w:color w:val="000000" w:themeColor="text1"/>
          <w:sz w:val="24"/>
          <w:szCs w:val="24"/>
          <w:lang w:val="es-ES_tradnl" w:eastAsia="es-ES"/>
        </w:rPr>
        <w:t>IUNO</w:t>
      </w:r>
      <w:r w:rsidRPr="006315EA">
        <w:rPr>
          <w:rFonts w:ascii="Palatino Linotype" w:eastAsiaTheme="minorEastAsia" w:hAnsi="Palatino Linotype"/>
          <w:color w:val="000000" w:themeColor="text1"/>
          <w:sz w:val="24"/>
          <w:szCs w:val="24"/>
          <w:lang w:val="es-ES_tradnl" w:eastAsia="es-ES"/>
        </w:rPr>
        <w:t>, ANTE EL SECRETARIO TÉCNICO DEL PLENO ALEXIS TAPIA RAMÍREZ</w:t>
      </w:r>
    </w:p>
    <w:p w:rsidR="00AC5A01" w:rsidRDefault="00B55A35"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r>
        <w:rPr>
          <w:rFonts w:ascii="Palatino Linotype" w:eastAsia="Times New Roman" w:hAnsi="Palatino Linotype" w:cs="Arial"/>
          <w:noProof/>
          <w:color w:val="000000" w:themeColor="text1"/>
          <w:sz w:val="24"/>
          <w:szCs w:val="24"/>
          <w:lang w:eastAsia="es-MX"/>
        </w:rPr>
        <mc:AlternateContent>
          <mc:Choice Requires="wps">
            <w:drawing>
              <wp:anchor distT="0" distB="0" distL="114300" distR="114300" simplePos="0" relativeHeight="251688960" behindDoc="0" locked="0" layoutInCell="1" allowOverlap="1">
                <wp:simplePos x="0" y="0"/>
                <wp:positionH relativeFrom="column">
                  <wp:posOffset>-184785</wp:posOffset>
                </wp:positionH>
                <wp:positionV relativeFrom="paragraph">
                  <wp:posOffset>207645</wp:posOffset>
                </wp:positionV>
                <wp:extent cx="6235700" cy="4489450"/>
                <wp:effectExtent l="0" t="0" r="31750" b="25400"/>
                <wp:wrapNone/>
                <wp:docPr id="10" name="Conector recto 10"/>
                <wp:cNvGraphicFramePr/>
                <a:graphic xmlns:a="http://schemas.openxmlformats.org/drawingml/2006/main">
                  <a:graphicData uri="http://schemas.microsoft.com/office/word/2010/wordprocessingShape">
                    <wps:wsp>
                      <wps:cNvCnPr/>
                      <wps:spPr>
                        <a:xfrm>
                          <a:off x="0" y="0"/>
                          <a:ext cx="6235700" cy="448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02E3AD" id="Conector recto 10"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5pt,16.35pt" to="476.45pt,3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" strokecolor="#5b9bd5 [3204]" strokeweight=".5pt">
                <v:stroke joinstyle="miter"/>
              </v:line>
            </w:pict>
          </mc:Fallback>
        </mc:AlternateContent>
      </w:r>
    </w:p>
    <w:p w:rsidR="00AC5A01" w:rsidRDefault="00AC5A0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DC259F" w:rsidRDefault="00DC259F"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AC5A01" w:rsidRDefault="00AC5A0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4A6D31" w:rsidP="00FC240E">
      <w:pPr>
        <w:spacing w:after="0" w:line="240" w:lineRule="auto"/>
        <w:jc w:val="both"/>
        <w:rPr>
          <w:rFonts w:ascii="Palatino Linotype" w:hAnsi="Palatino Linotype"/>
          <w:sz w:val="20"/>
          <w:szCs w:val="20"/>
        </w:rPr>
      </w:pPr>
      <w:r>
        <w:rPr>
          <w:rFonts w:ascii="Palatino Linotype" w:hAnsi="Palatino Linotype"/>
          <w:sz w:val="20"/>
          <w:szCs w:val="20"/>
        </w:rPr>
        <w:t>OSAM/JCMA</w:t>
      </w: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DC259F" w:rsidRDefault="00DC259F" w:rsidP="00FC240E">
      <w:pPr>
        <w:spacing w:after="0" w:line="240" w:lineRule="auto"/>
        <w:rPr>
          <w:rFonts w:ascii="Palatino Linotype" w:hAnsi="Palatino Linotype"/>
          <w:sz w:val="16"/>
          <w:szCs w:val="20"/>
        </w:rPr>
      </w:pPr>
    </w:p>
    <w:p w:rsidR="00CC4661" w:rsidRDefault="00CC4661" w:rsidP="00FC240E">
      <w:pPr>
        <w:spacing w:after="0" w:line="240" w:lineRule="auto"/>
        <w:rPr>
          <w:rFonts w:ascii="Palatino Linotype" w:hAnsi="Palatino Linotype"/>
          <w:sz w:val="16"/>
          <w:szCs w:val="20"/>
        </w:rPr>
      </w:pPr>
    </w:p>
    <w:p w:rsidR="00CC4661" w:rsidRDefault="00CC4661" w:rsidP="00FC240E">
      <w:pPr>
        <w:spacing w:after="0" w:line="240" w:lineRule="auto"/>
        <w:rPr>
          <w:rFonts w:ascii="Palatino Linotype" w:hAnsi="Palatino Linotype"/>
          <w:sz w:val="16"/>
          <w:szCs w:val="20"/>
        </w:rPr>
      </w:pPr>
    </w:p>
    <w:p w:rsidR="00DC259F" w:rsidRDefault="00DC259F" w:rsidP="00FC240E">
      <w:pPr>
        <w:spacing w:after="0" w:line="240" w:lineRule="auto"/>
        <w:rPr>
          <w:rFonts w:ascii="Palatino Linotype" w:hAnsi="Palatino Linotype"/>
          <w:sz w:val="16"/>
          <w:szCs w:val="20"/>
        </w:rPr>
      </w:pPr>
    </w:p>
    <w:p w:rsidR="00DC259F" w:rsidRDefault="00DC259F" w:rsidP="00FC240E">
      <w:pPr>
        <w:spacing w:after="0" w:line="240" w:lineRule="auto"/>
        <w:rPr>
          <w:rFonts w:ascii="Palatino Linotype" w:hAnsi="Palatino Linotype"/>
          <w:sz w:val="16"/>
          <w:szCs w:val="20"/>
        </w:rPr>
      </w:pPr>
    </w:p>
    <w:p w:rsidR="00DC259F" w:rsidRDefault="00DC259F" w:rsidP="00FC240E">
      <w:pPr>
        <w:spacing w:after="0" w:line="240" w:lineRule="auto"/>
      </w:pPr>
    </w:p>
    <w:sectPr w:rsidR="00DC259F" w:rsidSect="00E531E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23A" w:rsidRDefault="0064023A" w:rsidP="00AC5A01">
      <w:pPr>
        <w:spacing w:after="0" w:line="240" w:lineRule="auto"/>
      </w:pPr>
      <w:r>
        <w:separator/>
      </w:r>
    </w:p>
  </w:endnote>
  <w:endnote w:type="continuationSeparator" w:id="0">
    <w:p w:rsidR="0064023A" w:rsidRDefault="0064023A" w:rsidP="00AC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081" w:rsidRPr="000B69FA" w:rsidRDefault="009A3081" w:rsidP="00E531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117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1179">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081" w:rsidRPr="000B69FA" w:rsidRDefault="009A3081" w:rsidP="00E531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11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1179">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23A" w:rsidRDefault="0064023A" w:rsidP="00AC5A01">
      <w:pPr>
        <w:spacing w:after="0" w:line="240" w:lineRule="auto"/>
      </w:pPr>
      <w:r>
        <w:separator/>
      </w:r>
    </w:p>
  </w:footnote>
  <w:footnote w:type="continuationSeparator" w:id="0">
    <w:p w:rsidR="0064023A" w:rsidRDefault="0064023A" w:rsidP="00AC5A01">
      <w:pPr>
        <w:spacing w:after="0" w:line="240" w:lineRule="auto"/>
      </w:pPr>
      <w:r>
        <w:continuationSeparator/>
      </w:r>
    </w:p>
  </w:footnote>
  <w:footnote w:id="1">
    <w:p w:rsidR="009A3081" w:rsidRPr="00F07740" w:rsidRDefault="009A3081" w:rsidP="00AC5A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A3081" w:rsidRPr="00946E1F" w:rsidRDefault="009A3081" w:rsidP="00AC5A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A3081" w:rsidRPr="002E0992" w:rsidRDefault="009A3081" w:rsidP="00F94288">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rsidR="009A3081" w:rsidRPr="002E0992" w:rsidRDefault="009A3081" w:rsidP="00F94288">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081" w:rsidRDefault="009A308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96F3F8F" wp14:editId="2BE613A3">
          <wp:simplePos x="0" y="0"/>
          <wp:positionH relativeFrom="page">
            <wp:posOffset>38514</wp:posOffset>
          </wp:positionH>
          <wp:positionV relativeFrom="page">
            <wp:posOffset>43428</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A3081" w:rsidTr="00E531E1">
      <w:trPr>
        <w:trHeight w:val="227"/>
      </w:trPr>
      <w:tc>
        <w:tcPr>
          <w:tcW w:w="5529" w:type="dxa"/>
          <w:hideMark/>
        </w:tcPr>
        <w:p w:rsidR="009A3081" w:rsidRPr="000335EC" w:rsidRDefault="009A308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Revisión N°:</w:t>
          </w:r>
        </w:p>
      </w:tc>
      <w:tc>
        <w:tcPr>
          <w:tcW w:w="4536" w:type="dxa"/>
          <w:hideMark/>
        </w:tcPr>
        <w:p w:rsidR="009A3081" w:rsidRPr="000335EC" w:rsidRDefault="009A3081" w:rsidP="00A551CE">
          <w:pPr>
            <w:spacing w:after="0" w:line="256" w:lineRule="auto"/>
            <w:ind w:left="639" w:right="214"/>
            <w:jc w:val="right"/>
            <w:rPr>
              <w:rFonts w:ascii="Palatino Linotype" w:hAnsi="Palatino Linotype" w:cs="Arial"/>
              <w:b/>
              <w:szCs w:val="20"/>
            </w:rPr>
          </w:pPr>
          <w:r>
            <w:rPr>
              <w:rFonts w:ascii="Palatino Linotype" w:hAnsi="Palatino Linotype" w:cs="Arial"/>
              <w:b/>
              <w:bCs/>
              <w:sz w:val="24"/>
              <w:lang w:eastAsia="es-MX"/>
            </w:rPr>
            <w:t xml:space="preserve">02760/INFOEM/IP/RR/2020 </w:t>
          </w:r>
        </w:p>
      </w:tc>
    </w:tr>
    <w:tr w:rsidR="009A3081" w:rsidTr="00E531E1">
      <w:trPr>
        <w:trHeight w:val="227"/>
      </w:trPr>
      <w:tc>
        <w:tcPr>
          <w:tcW w:w="5529" w:type="dxa"/>
        </w:tcPr>
        <w:p w:rsidR="009A3081" w:rsidRPr="000335EC" w:rsidRDefault="009A3081" w:rsidP="000335EC">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Inconformidad No:</w:t>
          </w:r>
        </w:p>
      </w:tc>
      <w:tc>
        <w:tcPr>
          <w:tcW w:w="4536" w:type="dxa"/>
        </w:tcPr>
        <w:p w:rsidR="009A3081" w:rsidRPr="000335EC" w:rsidRDefault="009A3081" w:rsidP="000335EC">
          <w:pPr>
            <w:spacing w:after="0" w:line="256" w:lineRule="auto"/>
            <w:ind w:left="639" w:right="214"/>
            <w:jc w:val="right"/>
            <w:rPr>
              <w:rFonts w:ascii="Palatino Linotype" w:hAnsi="Palatino Linotype" w:cs="Arial"/>
              <w:b/>
              <w:bCs/>
              <w:sz w:val="24"/>
              <w:lang w:eastAsia="es-MX"/>
            </w:rPr>
          </w:pPr>
          <w:r w:rsidRPr="000335EC">
            <w:rPr>
              <w:rFonts w:ascii="Palatino Linotype" w:hAnsi="Palatino Linotype" w:cs="Arial"/>
              <w:b/>
              <w:bCs/>
              <w:sz w:val="24"/>
              <w:lang w:eastAsia="es-MX"/>
            </w:rPr>
            <w:t xml:space="preserve">RIA: </w:t>
          </w:r>
          <w:r>
            <w:rPr>
              <w:rFonts w:ascii="Palatino Linotype" w:hAnsi="Palatino Linotype" w:cs="Arial"/>
              <w:b/>
              <w:bCs/>
              <w:sz w:val="24"/>
              <w:lang w:eastAsia="es-MX"/>
            </w:rPr>
            <w:t>00149</w:t>
          </w:r>
          <w:r w:rsidRPr="000335EC">
            <w:rPr>
              <w:rFonts w:ascii="Palatino Linotype" w:hAnsi="Palatino Linotype" w:cs="Arial"/>
              <w:b/>
              <w:bCs/>
              <w:sz w:val="24"/>
              <w:lang w:eastAsia="es-MX"/>
            </w:rPr>
            <w:t>/20</w:t>
          </w:r>
        </w:p>
      </w:tc>
    </w:tr>
    <w:tr w:rsidR="009A3081" w:rsidTr="00E531E1">
      <w:trPr>
        <w:trHeight w:val="242"/>
      </w:trPr>
      <w:tc>
        <w:tcPr>
          <w:tcW w:w="5529" w:type="dxa"/>
          <w:hideMark/>
        </w:tcPr>
        <w:p w:rsidR="009A3081" w:rsidRPr="000335EC" w:rsidRDefault="009A308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Sujeto Obligado:</w:t>
          </w:r>
        </w:p>
      </w:tc>
      <w:tc>
        <w:tcPr>
          <w:tcW w:w="4536" w:type="dxa"/>
          <w:hideMark/>
        </w:tcPr>
        <w:p w:rsidR="009A3081" w:rsidRPr="000335EC" w:rsidRDefault="009A3081" w:rsidP="00E531E1">
          <w:pPr>
            <w:spacing w:after="0" w:line="256" w:lineRule="auto"/>
            <w:ind w:right="214"/>
            <w:jc w:val="right"/>
            <w:rPr>
              <w:rFonts w:ascii="Palatino Linotype" w:hAnsi="Palatino Linotype" w:cs="Arial"/>
              <w:b/>
              <w:sz w:val="24"/>
              <w:szCs w:val="24"/>
            </w:rPr>
          </w:pPr>
          <w:r w:rsidRPr="000335EC">
            <w:rPr>
              <w:rFonts w:ascii="Palatino Linotype" w:hAnsi="Palatino Linotype" w:cs="Arial"/>
              <w:b/>
              <w:sz w:val="24"/>
              <w:szCs w:val="24"/>
            </w:rPr>
            <w:t>Ayuntamiento de Ixtapan de la Sal</w:t>
          </w:r>
        </w:p>
      </w:tc>
    </w:tr>
    <w:tr w:rsidR="009A3081" w:rsidTr="00E531E1">
      <w:trPr>
        <w:trHeight w:val="342"/>
      </w:trPr>
      <w:tc>
        <w:tcPr>
          <w:tcW w:w="5529" w:type="dxa"/>
          <w:hideMark/>
        </w:tcPr>
        <w:p w:rsidR="009A3081" w:rsidRPr="000335EC" w:rsidRDefault="009A3081" w:rsidP="00E531E1">
          <w:pPr>
            <w:tabs>
              <w:tab w:val="left" w:pos="4892"/>
            </w:tabs>
            <w:spacing w:after="0" w:line="256" w:lineRule="auto"/>
            <w:ind w:right="204"/>
            <w:jc w:val="right"/>
            <w:rPr>
              <w:rFonts w:ascii="Palatino Linotype" w:hAnsi="Palatino Linotype" w:cs="Arial"/>
              <w:szCs w:val="20"/>
            </w:rPr>
          </w:pPr>
          <w:r w:rsidRPr="000335EC">
            <w:rPr>
              <w:rFonts w:ascii="Palatino Linotype" w:hAnsi="Palatino Linotype" w:cs="Arial"/>
              <w:szCs w:val="20"/>
            </w:rPr>
            <w:t>Comisionada Ponente:</w:t>
          </w:r>
        </w:p>
      </w:tc>
      <w:tc>
        <w:tcPr>
          <w:tcW w:w="4536" w:type="dxa"/>
          <w:hideMark/>
        </w:tcPr>
        <w:p w:rsidR="009A3081" w:rsidRPr="000335EC" w:rsidRDefault="009A3081" w:rsidP="00E531E1">
          <w:pPr>
            <w:spacing w:after="0" w:line="256" w:lineRule="auto"/>
            <w:ind w:left="497" w:right="214" w:firstLine="142"/>
            <w:jc w:val="right"/>
            <w:rPr>
              <w:rFonts w:ascii="Palatino Linotype" w:hAnsi="Palatino Linotype" w:cs="Arial"/>
              <w:b/>
              <w:sz w:val="24"/>
              <w:szCs w:val="24"/>
            </w:rPr>
          </w:pPr>
          <w:r w:rsidRPr="000335EC">
            <w:rPr>
              <w:rFonts w:ascii="Palatino Linotype" w:hAnsi="Palatino Linotype" w:cs="Arial"/>
              <w:b/>
              <w:sz w:val="24"/>
              <w:szCs w:val="24"/>
            </w:rPr>
            <w:t>Zulema Martínez Sánchez</w:t>
          </w:r>
        </w:p>
      </w:tc>
    </w:tr>
  </w:tbl>
  <w:p w:rsidR="009A3081" w:rsidRPr="00696691" w:rsidRDefault="009A30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A3081" w:rsidTr="00E531E1">
      <w:trPr>
        <w:trHeight w:val="227"/>
      </w:trPr>
      <w:tc>
        <w:tcPr>
          <w:tcW w:w="5529" w:type="dxa"/>
          <w:hideMark/>
        </w:tcPr>
        <w:p w:rsidR="009A3081" w:rsidRPr="000335EC" w:rsidRDefault="009A308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Revisión N°:</w:t>
          </w:r>
        </w:p>
      </w:tc>
      <w:tc>
        <w:tcPr>
          <w:tcW w:w="4536" w:type="dxa"/>
          <w:hideMark/>
        </w:tcPr>
        <w:p w:rsidR="009A3081" w:rsidRPr="000335EC" w:rsidRDefault="009A3081" w:rsidP="00A551CE">
          <w:pPr>
            <w:spacing w:after="0" w:line="256" w:lineRule="auto"/>
            <w:ind w:left="639" w:right="214"/>
            <w:jc w:val="right"/>
            <w:rPr>
              <w:rFonts w:ascii="Palatino Linotype" w:hAnsi="Palatino Linotype" w:cs="Arial"/>
              <w:b/>
              <w:szCs w:val="20"/>
            </w:rPr>
          </w:pPr>
          <w:r>
            <w:rPr>
              <w:rFonts w:ascii="Palatino Linotype" w:hAnsi="Palatino Linotype" w:cs="Arial"/>
              <w:b/>
              <w:bCs/>
              <w:sz w:val="24"/>
              <w:lang w:eastAsia="es-MX"/>
            </w:rPr>
            <w:t>02760</w:t>
          </w:r>
          <w:r w:rsidRPr="000335EC">
            <w:rPr>
              <w:rFonts w:ascii="Palatino Linotype" w:hAnsi="Palatino Linotype" w:cs="Arial"/>
              <w:b/>
              <w:bCs/>
              <w:sz w:val="24"/>
              <w:lang w:eastAsia="es-MX"/>
            </w:rPr>
            <w:t xml:space="preserve">/INFOEM/IP/RR/2020 </w:t>
          </w:r>
        </w:p>
      </w:tc>
    </w:tr>
    <w:tr w:rsidR="009A3081" w:rsidTr="00E531E1">
      <w:trPr>
        <w:trHeight w:val="227"/>
      </w:trPr>
      <w:tc>
        <w:tcPr>
          <w:tcW w:w="5529" w:type="dxa"/>
        </w:tcPr>
        <w:p w:rsidR="009A3081" w:rsidRPr="000335EC" w:rsidRDefault="009A308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Inconformidad No:</w:t>
          </w:r>
        </w:p>
      </w:tc>
      <w:tc>
        <w:tcPr>
          <w:tcW w:w="4536" w:type="dxa"/>
        </w:tcPr>
        <w:p w:rsidR="009A3081" w:rsidRPr="000335EC" w:rsidRDefault="009A3081" w:rsidP="00E531E1">
          <w:pPr>
            <w:spacing w:after="0" w:line="256" w:lineRule="auto"/>
            <w:ind w:left="639" w:right="214"/>
            <w:jc w:val="right"/>
            <w:rPr>
              <w:rFonts w:ascii="Palatino Linotype" w:hAnsi="Palatino Linotype" w:cs="Arial"/>
              <w:b/>
              <w:bCs/>
              <w:sz w:val="24"/>
              <w:lang w:eastAsia="es-MX"/>
            </w:rPr>
          </w:pPr>
          <w:r>
            <w:rPr>
              <w:rFonts w:ascii="Palatino Linotype" w:hAnsi="Palatino Linotype" w:cs="Arial"/>
              <w:b/>
              <w:bCs/>
              <w:sz w:val="24"/>
              <w:lang w:eastAsia="es-MX"/>
            </w:rPr>
            <w:t>RIA: 149</w:t>
          </w:r>
          <w:r w:rsidRPr="000335EC">
            <w:rPr>
              <w:rFonts w:ascii="Palatino Linotype" w:hAnsi="Palatino Linotype" w:cs="Arial"/>
              <w:b/>
              <w:bCs/>
              <w:sz w:val="24"/>
              <w:lang w:eastAsia="es-MX"/>
            </w:rPr>
            <w:t>/20</w:t>
          </w:r>
        </w:p>
      </w:tc>
    </w:tr>
    <w:tr w:rsidR="009A3081" w:rsidTr="00E531E1">
      <w:trPr>
        <w:trHeight w:val="196"/>
      </w:trPr>
      <w:tc>
        <w:tcPr>
          <w:tcW w:w="5529" w:type="dxa"/>
          <w:hideMark/>
        </w:tcPr>
        <w:p w:rsidR="009A3081" w:rsidRPr="000335EC" w:rsidRDefault="009A308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Recurrente:</w:t>
          </w:r>
        </w:p>
      </w:tc>
      <w:tc>
        <w:tcPr>
          <w:tcW w:w="4536" w:type="dxa"/>
          <w:hideMark/>
        </w:tcPr>
        <w:p w:rsidR="009A3081" w:rsidRPr="000335EC" w:rsidRDefault="00E11179" w:rsidP="00E531E1">
          <w:pPr>
            <w:spacing w:after="0" w:line="256" w:lineRule="auto"/>
            <w:ind w:left="639" w:right="214"/>
            <w:jc w:val="right"/>
            <w:rPr>
              <w:rFonts w:ascii="Palatino Linotype" w:hAnsi="Palatino Linotype" w:cs="Arial"/>
              <w:b/>
              <w:sz w:val="24"/>
            </w:rPr>
          </w:pPr>
          <w:r>
            <w:rPr>
              <w:rFonts w:ascii="Palatino Linotype" w:hAnsi="Palatino Linotype" w:cs="Arial"/>
              <w:b/>
              <w:sz w:val="24"/>
            </w:rPr>
            <w:t>xxxxxxxxxxxxxxxxxxxxxxxxxxxxx</w:t>
          </w:r>
          <w:r w:rsidR="009A3081">
            <w:rPr>
              <w:rFonts w:ascii="Palatino Linotype" w:hAnsi="Palatino Linotype" w:cs="Arial"/>
              <w:b/>
              <w:sz w:val="24"/>
            </w:rPr>
            <w:t xml:space="preserve"> </w:t>
          </w:r>
        </w:p>
      </w:tc>
    </w:tr>
    <w:tr w:rsidR="009A3081" w:rsidTr="00E531E1">
      <w:trPr>
        <w:trHeight w:val="242"/>
      </w:trPr>
      <w:tc>
        <w:tcPr>
          <w:tcW w:w="5529" w:type="dxa"/>
          <w:hideMark/>
        </w:tcPr>
        <w:p w:rsidR="009A3081" w:rsidRPr="000335EC" w:rsidRDefault="009A308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Sujeto Obligado:</w:t>
          </w:r>
        </w:p>
      </w:tc>
      <w:tc>
        <w:tcPr>
          <w:tcW w:w="4536" w:type="dxa"/>
          <w:hideMark/>
        </w:tcPr>
        <w:p w:rsidR="009A3081" w:rsidRPr="000335EC" w:rsidRDefault="009A3081" w:rsidP="00E531E1">
          <w:pPr>
            <w:spacing w:after="0" w:line="256" w:lineRule="auto"/>
            <w:ind w:right="214"/>
            <w:jc w:val="right"/>
            <w:rPr>
              <w:rFonts w:ascii="Palatino Linotype" w:hAnsi="Palatino Linotype" w:cs="Arial"/>
              <w:b/>
              <w:sz w:val="24"/>
              <w:szCs w:val="20"/>
            </w:rPr>
          </w:pPr>
          <w:r w:rsidRPr="000335EC">
            <w:rPr>
              <w:rFonts w:ascii="Palatino Linotype" w:hAnsi="Palatino Linotype" w:cs="Arial"/>
              <w:b/>
              <w:sz w:val="24"/>
              <w:szCs w:val="20"/>
            </w:rPr>
            <w:t>Ayuntamiento de Ixtapan de la Sal</w:t>
          </w:r>
        </w:p>
      </w:tc>
    </w:tr>
    <w:tr w:rsidR="009A3081" w:rsidTr="00E531E1">
      <w:trPr>
        <w:trHeight w:val="342"/>
      </w:trPr>
      <w:tc>
        <w:tcPr>
          <w:tcW w:w="5529" w:type="dxa"/>
          <w:hideMark/>
        </w:tcPr>
        <w:p w:rsidR="009A3081" w:rsidRPr="000335EC" w:rsidRDefault="009A3081" w:rsidP="00E531E1">
          <w:pPr>
            <w:tabs>
              <w:tab w:val="left" w:pos="4892"/>
            </w:tabs>
            <w:spacing w:after="0" w:line="256" w:lineRule="auto"/>
            <w:ind w:right="204"/>
            <w:jc w:val="right"/>
            <w:rPr>
              <w:rFonts w:ascii="Palatino Linotype" w:hAnsi="Palatino Linotype" w:cs="Arial"/>
              <w:szCs w:val="20"/>
            </w:rPr>
          </w:pPr>
          <w:r w:rsidRPr="000335EC">
            <w:rPr>
              <w:rFonts w:ascii="Palatino Linotype" w:hAnsi="Palatino Linotype" w:cs="Arial"/>
              <w:szCs w:val="20"/>
            </w:rPr>
            <w:t>Comisionada Ponente:</w:t>
          </w:r>
        </w:p>
      </w:tc>
      <w:tc>
        <w:tcPr>
          <w:tcW w:w="4536" w:type="dxa"/>
          <w:hideMark/>
        </w:tcPr>
        <w:p w:rsidR="009A3081" w:rsidRPr="000335EC" w:rsidRDefault="009A3081" w:rsidP="00E531E1">
          <w:pPr>
            <w:spacing w:after="0" w:line="256" w:lineRule="auto"/>
            <w:ind w:left="639" w:right="214"/>
            <w:jc w:val="right"/>
            <w:rPr>
              <w:rFonts w:ascii="Palatino Linotype" w:hAnsi="Palatino Linotype" w:cs="Arial"/>
              <w:b/>
              <w:szCs w:val="20"/>
            </w:rPr>
          </w:pPr>
          <w:r w:rsidRPr="000335EC">
            <w:rPr>
              <w:rFonts w:ascii="Palatino Linotype" w:hAnsi="Palatino Linotype" w:cs="Arial"/>
              <w:b/>
              <w:sz w:val="24"/>
              <w:szCs w:val="20"/>
            </w:rPr>
            <w:t>Zulema Martínez Sánchez</w:t>
          </w:r>
        </w:p>
      </w:tc>
    </w:tr>
  </w:tbl>
  <w:p w:rsidR="009A3081" w:rsidRPr="00696691" w:rsidRDefault="009A3081" w:rsidP="00E531E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6F3F8F" wp14:editId="2BE613A3">
          <wp:simplePos x="0" y="0"/>
          <wp:positionH relativeFrom="page">
            <wp:posOffset>11706</wp:posOffset>
          </wp:positionH>
          <wp:positionV relativeFrom="page">
            <wp:posOffset>24020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6629C"/>
    <w:multiLevelType w:val="hybridMultilevel"/>
    <w:tmpl w:val="9D58A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251A9"/>
    <w:multiLevelType w:val="hybridMultilevel"/>
    <w:tmpl w:val="86EA5A8C"/>
    <w:lvl w:ilvl="0" w:tplc="7EA4F766">
      <w:numFmt w:val="bullet"/>
      <w:lvlText w:val="-"/>
      <w:lvlJc w:val="left"/>
      <w:pPr>
        <w:ind w:left="1080" w:hanging="360"/>
      </w:pPr>
      <w:rPr>
        <w:rFonts w:ascii="Palatino Linotype" w:eastAsia="Times New Roman" w:hAnsi="Palatino Linotype"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0F70CF"/>
    <w:multiLevelType w:val="hybridMultilevel"/>
    <w:tmpl w:val="7B8880D6"/>
    <w:lvl w:ilvl="0" w:tplc="C3AE7F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6230957"/>
    <w:multiLevelType w:val="hybridMultilevel"/>
    <w:tmpl w:val="1B9CB1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892991"/>
    <w:multiLevelType w:val="hybridMultilevel"/>
    <w:tmpl w:val="B7AEF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4E1F90"/>
    <w:multiLevelType w:val="hybridMultilevel"/>
    <w:tmpl w:val="4192E00C"/>
    <w:lvl w:ilvl="0" w:tplc="717AEE9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47E9050A"/>
    <w:multiLevelType w:val="hybridMultilevel"/>
    <w:tmpl w:val="E88CF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C7E3B"/>
    <w:multiLevelType w:val="hybridMultilevel"/>
    <w:tmpl w:val="0636B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86571"/>
    <w:multiLevelType w:val="hybridMultilevel"/>
    <w:tmpl w:val="1EB42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C36810"/>
    <w:multiLevelType w:val="hybridMultilevel"/>
    <w:tmpl w:val="02EA2A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B4916F5"/>
    <w:multiLevelType w:val="hybridMultilevel"/>
    <w:tmpl w:val="7ECE0A42"/>
    <w:lvl w:ilvl="0" w:tplc="492C86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756010"/>
    <w:multiLevelType w:val="hybridMultilevel"/>
    <w:tmpl w:val="148EC938"/>
    <w:lvl w:ilvl="0" w:tplc="BFAA6474">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C604544"/>
    <w:multiLevelType w:val="hybridMultilevel"/>
    <w:tmpl w:val="DC08B58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5"/>
  </w:num>
  <w:num w:numId="5">
    <w:abstractNumId w:val="12"/>
  </w:num>
  <w:num w:numId="6">
    <w:abstractNumId w:val="14"/>
  </w:num>
  <w:num w:numId="7">
    <w:abstractNumId w:val="3"/>
  </w:num>
  <w:num w:numId="8">
    <w:abstractNumId w:val="2"/>
  </w:num>
  <w:num w:numId="9">
    <w:abstractNumId w:val="8"/>
  </w:num>
  <w:num w:numId="10">
    <w:abstractNumId w:val="1"/>
  </w:num>
  <w:num w:numId="11">
    <w:abstractNumId w:val="6"/>
  </w:num>
  <w:num w:numId="12">
    <w:abstractNumId w:val="11"/>
  </w:num>
  <w:num w:numId="13">
    <w:abstractNumId w:val="0"/>
  </w:num>
  <w:num w:numId="14">
    <w:abstractNumId w:val="7"/>
  </w:num>
  <w:num w:numId="15">
    <w:abstractNumId w:val="10"/>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01"/>
    <w:rsid w:val="000335EC"/>
    <w:rsid w:val="00036F8B"/>
    <w:rsid w:val="0005209D"/>
    <w:rsid w:val="000817D2"/>
    <w:rsid w:val="00085B8B"/>
    <w:rsid w:val="000C4E1F"/>
    <w:rsid w:val="000D5EC5"/>
    <w:rsid w:val="00123996"/>
    <w:rsid w:val="0014119E"/>
    <w:rsid w:val="00156599"/>
    <w:rsid w:val="001835AE"/>
    <w:rsid w:val="001A6DC8"/>
    <w:rsid w:val="001E601E"/>
    <w:rsid w:val="002133BA"/>
    <w:rsid w:val="00251251"/>
    <w:rsid w:val="00281C78"/>
    <w:rsid w:val="002A5EE3"/>
    <w:rsid w:val="002A6E16"/>
    <w:rsid w:val="002B1AAC"/>
    <w:rsid w:val="002B5D33"/>
    <w:rsid w:val="00320159"/>
    <w:rsid w:val="00335683"/>
    <w:rsid w:val="0034062D"/>
    <w:rsid w:val="0037418B"/>
    <w:rsid w:val="003940A7"/>
    <w:rsid w:val="003B4AFB"/>
    <w:rsid w:val="003E556B"/>
    <w:rsid w:val="00483104"/>
    <w:rsid w:val="004A6B4F"/>
    <w:rsid w:val="004A6D31"/>
    <w:rsid w:val="004D06FB"/>
    <w:rsid w:val="004D09B5"/>
    <w:rsid w:val="004F768E"/>
    <w:rsid w:val="005011FA"/>
    <w:rsid w:val="00506687"/>
    <w:rsid w:val="00510582"/>
    <w:rsid w:val="005872B9"/>
    <w:rsid w:val="00587EDB"/>
    <w:rsid w:val="005D1E82"/>
    <w:rsid w:val="005E1A8F"/>
    <w:rsid w:val="0063049C"/>
    <w:rsid w:val="00631F4B"/>
    <w:rsid w:val="0064023A"/>
    <w:rsid w:val="00666A86"/>
    <w:rsid w:val="006E24E8"/>
    <w:rsid w:val="00710D97"/>
    <w:rsid w:val="00735F01"/>
    <w:rsid w:val="00741B6A"/>
    <w:rsid w:val="0079644D"/>
    <w:rsid w:val="007A7CEC"/>
    <w:rsid w:val="007C07DA"/>
    <w:rsid w:val="007E0F6B"/>
    <w:rsid w:val="0080188C"/>
    <w:rsid w:val="0081099B"/>
    <w:rsid w:val="0082274D"/>
    <w:rsid w:val="008241D0"/>
    <w:rsid w:val="00871BEA"/>
    <w:rsid w:val="0088449D"/>
    <w:rsid w:val="008A7D13"/>
    <w:rsid w:val="008C186A"/>
    <w:rsid w:val="008F3AFA"/>
    <w:rsid w:val="00932C9D"/>
    <w:rsid w:val="009336C6"/>
    <w:rsid w:val="009651C1"/>
    <w:rsid w:val="009A3081"/>
    <w:rsid w:val="009B1C69"/>
    <w:rsid w:val="009D2535"/>
    <w:rsid w:val="00A1043E"/>
    <w:rsid w:val="00A10721"/>
    <w:rsid w:val="00A16841"/>
    <w:rsid w:val="00A32661"/>
    <w:rsid w:val="00A33D32"/>
    <w:rsid w:val="00A551CE"/>
    <w:rsid w:val="00A7594E"/>
    <w:rsid w:val="00AB2BA7"/>
    <w:rsid w:val="00AC5A01"/>
    <w:rsid w:val="00AC726B"/>
    <w:rsid w:val="00AD3B5E"/>
    <w:rsid w:val="00AE387F"/>
    <w:rsid w:val="00B15D22"/>
    <w:rsid w:val="00B33224"/>
    <w:rsid w:val="00B55A35"/>
    <w:rsid w:val="00BC03A0"/>
    <w:rsid w:val="00BC65F5"/>
    <w:rsid w:val="00BF23D2"/>
    <w:rsid w:val="00BF76CD"/>
    <w:rsid w:val="00C17F7A"/>
    <w:rsid w:val="00C344BE"/>
    <w:rsid w:val="00C402AA"/>
    <w:rsid w:val="00CB6B89"/>
    <w:rsid w:val="00CC4661"/>
    <w:rsid w:val="00CD2023"/>
    <w:rsid w:val="00CD2752"/>
    <w:rsid w:val="00CD2B4A"/>
    <w:rsid w:val="00D005D1"/>
    <w:rsid w:val="00D038D9"/>
    <w:rsid w:val="00D13487"/>
    <w:rsid w:val="00D32091"/>
    <w:rsid w:val="00D359A7"/>
    <w:rsid w:val="00D36B62"/>
    <w:rsid w:val="00D45864"/>
    <w:rsid w:val="00DB1E2F"/>
    <w:rsid w:val="00DC259F"/>
    <w:rsid w:val="00DC6B21"/>
    <w:rsid w:val="00DF17B5"/>
    <w:rsid w:val="00E11179"/>
    <w:rsid w:val="00E12A66"/>
    <w:rsid w:val="00E501C9"/>
    <w:rsid w:val="00E5253E"/>
    <w:rsid w:val="00E531E1"/>
    <w:rsid w:val="00E62BB9"/>
    <w:rsid w:val="00E86C05"/>
    <w:rsid w:val="00ED600A"/>
    <w:rsid w:val="00F120AA"/>
    <w:rsid w:val="00F24A49"/>
    <w:rsid w:val="00F879E4"/>
    <w:rsid w:val="00F94288"/>
    <w:rsid w:val="00FC240E"/>
    <w:rsid w:val="00FF6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3C236-76F3-4244-96E5-2A12FDB3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A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5A0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5A0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C5A0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5A0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5A0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5A0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C5A0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5A01"/>
    <w:rPr>
      <w:vertAlign w:val="superscript"/>
    </w:rPr>
  </w:style>
  <w:style w:type="character" w:styleId="Hipervnculo">
    <w:name w:val="Hyperlink"/>
    <w:basedOn w:val="Fuentedeprrafopredeter"/>
    <w:uiPriority w:val="99"/>
    <w:unhideWhenUsed/>
    <w:rsid w:val="00AC5A01"/>
    <w:rPr>
      <w:color w:val="0563C1" w:themeColor="hyperlink"/>
      <w:u w:val="single"/>
    </w:rPr>
  </w:style>
  <w:style w:type="paragraph" w:styleId="Sinespaciado">
    <w:name w:val="No Spacing"/>
    <w:aliases w:val="Francesa,INAI"/>
    <w:link w:val="SinespaciadoCar"/>
    <w:uiPriority w:val="1"/>
    <w:qFormat/>
    <w:rsid w:val="00AC5A0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C5A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C5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AC5A0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C5A01"/>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AC5A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5A01"/>
    <w:rPr>
      <w:sz w:val="20"/>
      <w:szCs w:val="20"/>
    </w:rPr>
  </w:style>
  <w:style w:type="paragraph" w:customStyle="1" w:styleId="INFOEM">
    <w:name w:val="INFOEM"/>
    <w:basedOn w:val="Normal"/>
    <w:qFormat/>
    <w:rsid w:val="00D038D9"/>
    <w:pPr>
      <w:spacing w:before="240" w:line="360" w:lineRule="auto"/>
      <w:ind w:left="851" w:right="851"/>
      <w:jc w:val="both"/>
    </w:pPr>
    <w:rPr>
      <w:rFonts w:ascii="Palatino Linotype" w:eastAsia="Arial Unicode MS" w:hAnsi="Palatino Linotype" w:cs="Arial"/>
      <w:i/>
      <w:szCs w:val="24"/>
    </w:rPr>
  </w:style>
  <w:style w:type="paragraph" w:customStyle="1" w:styleId="Default">
    <w:name w:val="Default"/>
    <w:rsid w:val="009D253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304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XTAPANDELASAL/art_92_ii_b/2.we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40</Pages>
  <Words>8798</Words>
  <Characters>48389</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cp:revision>
  <dcterms:created xsi:type="dcterms:W3CDTF">2021-03-23T02:13:00Z</dcterms:created>
  <dcterms:modified xsi:type="dcterms:W3CDTF">2021-05-12T19:51:00Z</dcterms:modified>
</cp:coreProperties>
</file>