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8D0" w:rsidRPr="00554347" w:rsidRDefault="009210CA">
      <w:pPr>
        <w:spacing w:beforeAutospacing="1" w:afterAutospacing="1" w:line="360" w:lineRule="auto"/>
        <w:jc w:val="both"/>
        <w:rPr>
          <w:rFonts w:ascii="Palatino Linotype" w:hAnsi="Palatino Linotype"/>
        </w:rPr>
      </w:pPr>
      <w:r w:rsidRPr="00554347">
        <w:rPr>
          <w:rFonts w:ascii="Palatino Linotype" w:hAnsi="Palatino Linotype"/>
        </w:rPr>
        <w:t>Resolución del Pleno del Instituto de Transparencia, Acceso a la Información Pública y Protección de Datos Personales del Estado de México y Municipios, con domicilio en Metepec, Estado de México, de fecha doce de agosto de dos mil veinte.</w:t>
      </w:r>
    </w:p>
    <w:p w:rsidR="000718D0" w:rsidRPr="00554347" w:rsidRDefault="009210CA">
      <w:pPr>
        <w:spacing w:beforeAutospacing="1" w:afterAutospacing="1" w:line="360" w:lineRule="auto"/>
        <w:jc w:val="both"/>
        <w:rPr>
          <w:rFonts w:ascii="Palatino Linotype" w:hAnsi="Palatino Linotype"/>
        </w:rPr>
      </w:pPr>
      <w:r w:rsidRPr="00554347">
        <w:rPr>
          <w:rFonts w:ascii="Palatino Linotype" w:hAnsi="Palatino Linotype"/>
          <w:b/>
        </w:rPr>
        <w:t>VISTO</w:t>
      </w:r>
      <w:r w:rsidRPr="00554347">
        <w:rPr>
          <w:rFonts w:ascii="Palatino Linotype" w:hAnsi="Palatino Linotype"/>
        </w:rPr>
        <w:t xml:space="preserve"> el expediente formado con motivo del recurso de revisión</w:t>
      </w:r>
      <w:r w:rsidRPr="00554347">
        <w:rPr>
          <w:rFonts w:ascii="Verdana" w:hAnsi="Verdana"/>
          <w:b/>
          <w:bCs/>
          <w:color w:val="FF0000"/>
        </w:rPr>
        <w:t xml:space="preserve"> </w:t>
      </w:r>
      <w:r w:rsidRPr="00554347">
        <w:rPr>
          <w:rFonts w:ascii="Palatino Linotype" w:hAnsi="Palatino Linotype"/>
          <w:b/>
          <w:bCs/>
        </w:rPr>
        <w:t>00837/INFOEM/IP/RR/2020</w:t>
      </w:r>
      <w:r w:rsidRPr="00554347">
        <w:rPr>
          <w:rFonts w:ascii="Palatino Linotype" w:hAnsi="Palatino Linotype"/>
        </w:rPr>
        <w:t>, promovido por el C.</w:t>
      </w:r>
      <w:r w:rsidR="00554347" w:rsidRPr="00554347">
        <w:rPr>
          <w:rFonts w:ascii="Palatino Linotype" w:hAnsi="Palatino Linotype"/>
          <w:b/>
          <w:lang w:val="es-ES_tradnl"/>
        </w:rPr>
        <w:t xml:space="preserve"> </w:t>
      </w:r>
      <w:r w:rsidR="00554347" w:rsidRPr="00554347">
        <w:rPr>
          <w:rFonts w:ascii="Palatino Linotype" w:hAnsi="Palatino Linotype"/>
          <w:b/>
          <w:lang w:val="es-ES_tradnl"/>
        </w:rPr>
        <w:t>XXXXXXX XXXX XXXXX</w:t>
      </w:r>
      <w:r w:rsidRPr="00554347">
        <w:rPr>
          <w:rFonts w:ascii="Palatino Linotype" w:hAnsi="Palatino Linotype" w:cs="Arial"/>
        </w:rPr>
        <w:t>, en lo sucesivo</w:t>
      </w:r>
      <w:r w:rsidRPr="00554347">
        <w:rPr>
          <w:rFonts w:ascii="Palatino Linotype" w:hAnsi="Palatino Linotype" w:cs="Arial"/>
          <w:b/>
        </w:rPr>
        <w:t xml:space="preserve"> EL RECURRENTE</w:t>
      </w:r>
      <w:r w:rsidRPr="00554347">
        <w:rPr>
          <w:rFonts w:ascii="Palatino Linotype" w:hAnsi="Palatino Linotype"/>
        </w:rPr>
        <w:t xml:space="preserve">, en contra de la respuesta emitida por el </w:t>
      </w:r>
      <w:r w:rsidRPr="00554347">
        <w:rPr>
          <w:rFonts w:ascii="Palatino Linotype" w:hAnsi="Palatino Linotype"/>
          <w:b/>
          <w:lang w:val="es-ES_tradnl"/>
        </w:rPr>
        <w:t>Poder Legislativo</w:t>
      </w:r>
      <w:r w:rsidRPr="00554347">
        <w:rPr>
          <w:rFonts w:ascii="Palatino Linotype" w:hAnsi="Palatino Linotype"/>
        </w:rPr>
        <w:t xml:space="preserve">, en lo sucesivo </w:t>
      </w:r>
      <w:r w:rsidRPr="00554347">
        <w:rPr>
          <w:rFonts w:ascii="Palatino Linotype" w:hAnsi="Palatino Linotype"/>
          <w:b/>
        </w:rPr>
        <w:t>EL SUJETO OBLIGADO</w:t>
      </w:r>
      <w:r w:rsidRPr="00554347">
        <w:rPr>
          <w:rFonts w:ascii="Palatino Linotype" w:hAnsi="Palatino Linotype"/>
        </w:rPr>
        <w:t xml:space="preserve">, se procede a dictar la presente resolución con base en lo siguiente: </w:t>
      </w:r>
    </w:p>
    <w:p w:rsidR="000718D0" w:rsidRDefault="009210CA">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0718D0" w:rsidRDefault="009210CA">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catorce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00016/PLEGISLA/IP/2020</w:t>
      </w:r>
      <w:r>
        <w:rPr>
          <w:rFonts w:ascii="Palatino Linotype" w:hAnsi="Palatino Linotype"/>
        </w:rPr>
        <w:t>, mediante la cual requirió lo siguiente:</w:t>
      </w:r>
    </w:p>
    <w:p w:rsidR="000718D0" w:rsidRDefault="009210CA">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“SE ME ENTREGUE INFORMACION RELATIVA A LOS ESTADOS FINANCIEROS QUE HAYAN SIDO REMITIDOS A CUALQUIERA DE LAS AREAS DEL GOBIERNO DEL ESTADO DE MÉXICO, POR PARTE DE LOS MUNICIPIOS DE CHALCO, VALLE DE CHALCO, ECATEPEC, COACALCO, LOS REYES LA PAZ, LUVIANOS, NAUCALPAN, TLANEPANTLA, LOS QUE DEBERAN ESTAR DEBIDAMENTE AUTORIZADOS, DE LOS MESES DE AGOSTO , SEPTIEMNRE, OCTUBRE, NOVIEMBRE Y DICIEMBRE DEL 2019, EN EL QUE DEBERAN INTEGRARSE EL ESTADO DE POSICIÓN FINANCIERA, BALANZA DE COMPROBACION, ESTADO DE ACTIVIDADES, FLUJO DE EFECTIVO, ESTADO DE INGRESOS Y EGRESOS, ESTADO COMPARATIVO DE EGRESOS, ESTADO COMPARATIVO DE INGRESOS, AVANCE PRESUPUESTAL DE EGRESOS, DISPONIBILIDAD DE FLUJO DE </w:t>
      </w:r>
      <w:r>
        <w:rPr>
          <w:rFonts w:ascii="Palatino Linotype" w:hAnsi="Palatino Linotype" w:cs="Arial"/>
          <w:i/>
          <w:sz w:val="22"/>
          <w:szCs w:val="22"/>
        </w:rPr>
        <w:lastRenderedPageBreak/>
        <w:t xml:space="preserve">EFECTIVO, ESTADO DE CAMBIOS EN EL CAPITAL, BALANZA DE COMPROBACION DETALLADA.” </w:t>
      </w:r>
      <w:r>
        <w:rPr>
          <w:rFonts w:ascii="Palatino Linotype" w:hAnsi="Palatino Linotype"/>
          <w:sz w:val="22"/>
          <w:szCs w:val="22"/>
        </w:rPr>
        <w:t>(Sic)</w:t>
      </w:r>
      <w:bookmarkStart w:id="0" w:name="_Ref516764469"/>
      <w:bookmarkStart w:id="1" w:name="_Ref531692384"/>
    </w:p>
    <w:p w:rsidR="000718D0" w:rsidRDefault="009210CA">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0718D0" w:rsidRDefault="009210CA">
      <w:pPr>
        <w:pStyle w:val="Prrafodelista"/>
        <w:numPr>
          <w:ilvl w:val="0"/>
          <w:numId w:val="2"/>
        </w:numPr>
        <w:tabs>
          <w:tab w:val="left" w:pos="0"/>
        </w:tabs>
        <w:spacing w:line="360" w:lineRule="auto"/>
        <w:ind w:left="0" w:firstLine="0"/>
        <w:jc w:val="both"/>
        <w:rPr>
          <w:rFonts w:ascii="Palatino Linotype" w:hAnsi="Palatino Linotype" w:cs="Arial"/>
        </w:rPr>
      </w:pPr>
      <w:r>
        <w:rPr>
          <w:rFonts w:ascii="Palatino Linotype" w:hAnsi="Palatino Linotype" w:cs="Arial"/>
        </w:rPr>
        <w:t xml:space="preserve">En cumplimiento al artículo 162 de la Ley de Transparencia y Acceso a la Información Pública del Estado de México y Municipios, el dieciséis de enero de dos mil veinte, el Titular de la Unidad de Transparencia del </w:t>
      </w:r>
      <w:r>
        <w:rPr>
          <w:rFonts w:ascii="Palatino Linotype" w:hAnsi="Palatino Linotype" w:cs="Arial"/>
          <w:b/>
        </w:rPr>
        <w:t>SUJETO OBLIGADO</w:t>
      </w:r>
      <w:r>
        <w:rPr>
          <w:rFonts w:ascii="Palatino Linotype" w:hAnsi="Palatino Linotype" w:cs="Arial"/>
        </w:rPr>
        <w:t xml:space="preserve">, mediante folio número </w:t>
      </w:r>
      <w:r>
        <w:rPr>
          <w:rFonts w:ascii="Arial" w:hAnsi="Arial" w:cs="Arial"/>
          <w:b/>
          <w:bCs/>
          <w:color w:val="333333"/>
          <w:sz w:val="12"/>
          <w:szCs w:val="12"/>
          <w:shd w:val="clear" w:color="auto" w:fill="F7F7F8"/>
        </w:rPr>
        <w:t xml:space="preserve"> </w:t>
      </w:r>
      <w:r>
        <w:rPr>
          <w:rFonts w:ascii="Palatino Linotype" w:hAnsi="Palatino Linotype" w:cs="Arial"/>
          <w:b/>
          <w:bCs/>
        </w:rPr>
        <w:t>00016/PLEGISLA/IP/2020/TSP/0001</w:t>
      </w:r>
      <w:r>
        <w:rPr>
          <w:rFonts w:ascii="Palatino Linotype" w:hAnsi="Palatino Linotype" w:cs="Arial"/>
          <w:bCs/>
        </w:rPr>
        <w:t>,</w:t>
      </w:r>
      <w:r>
        <w:rPr>
          <w:rFonts w:ascii="Palatino Linotype" w:hAnsi="Palatino Linotype" w:cs="Arial"/>
        </w:rPr>
        <w:t xml:space="preserve"> </w:t>
      </w:r>
      <w:r>
        <w:rPr>
          <w:rFonts w:ascii="Palatino Linotype" w:hAnsi="Palatino Linotype"/>
          <w:bCs/>
        </w:rPr>
        <w:t xml:space="preserve">turnó el requerimiento de información a la Servidora Pública Habilitada del </w:t>
      </w:r>
      <w:r>
        <w:rPr>
          <w:rFonts w:ascii="Palatino Linotype" w:hAnsi="Palatino Linotype" w:cs="Arial"/>
        </w:rPr>
        <w:t>Órgano Superior de Fiscalización</w:t>
      </w:r>
      <w:r>
        <w:rPr>
          <w:rFonts w:ascii="Palatino Linotype" w:hAnsi="Palatino Linotype"/>
          <w:bCs/>
        </w:rPr>
        <w:t>, a fin de colmar la solicitud de acceso a la información; tal y como, se aprecia en la imagen siguiente:</w:t>
      </w:r>
    </w:p>
    <w:p w:rsidR="000718D0" w:rsidRDefault="009210CA">
      <w:pPr>
        <w:pStyle w:val="Prrafodelista"/>
        <w:tabs>
          <w:tab w:val="left" w:pos="0"/>
        </w:tabs>
        <w:spacing w:line="360" w:lineRule="auto"/>
        <w:ind w:left="0"/>
        <w:jc w:val="both"/>
        <w:rPr>
          <w:rFonts w:ascii="Palatino Linotype" w:hAnsi="Palatino Linotype" w:cs="Arial"/>
        </w:rPr>
      </w:pPr>
      <w:r>
        <w:rPr>
          <w:noProof/>
          <w:lang w:eastAsia="es-MX"/>
        </w:rPr>
        <w:drawing>
          <wp:inline distT="0" distB="0" distL="0" distR="0">
            <wp:extent cx="5810885" cy="778510"/>
            <wp:effectExtent l="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pic:cNvPicPr>
                      <a:picLocks noChangeAspect="1" noChangeArrowheads="1"/>
                    </pic:cNvPicPr>
                  </pic:nvPicPr>
                  <pic:blipFill>
                    <a:blip r:embed="rId8"/>
                    <a:srcRect l="7670" t="29139" r="6127" b="64080"/>
                    <a:stretch>
                      <a:fillRect/>
                    </a:stretch>
                  </pic:blipFill>
                  <pic:spPr bwMode="auto">
                    <a:xfrm>
                      <a:off x="0" y="0"/>
                      <a:ext cx="5810885" cy="778510"/>
                    </a:xfrm>
                    <a:prstGeom prst="rect">
                      <a:avLst/>
                    </a:prstGeom>
                  </pic:spPr>
                </pic:pic>
              </a:graphicData>
            </a:graphic>
          </wp:inline>
        </w:drawing>
      </w:r>
    </w:p>
    <w:p w:rsidR="000718D0" w:rsidRDefault="000718D0">
      <w:pPr>
        <w:pStyle w:val="Prrafodelista"/>
        <w:tabs>
          <w:tab w:val="left" w:pos="709"/>
        </w:tabs>
        <w:spacing w:line="360" w:lineRule="auto"/>
        <w:ind w:left="0"/>
        <w:jc w:val="both"/>
        <w:rPr>
          <w:rFonts w:ascii="Palatino Linotype" w:hAnsi="Palatino Linotype" w:cs="Arial"/>
        </w:rPr>
      </w:pPr>
    </w:p>
    <w:p w:rsidR="000718D0" w:rsidRDefault="009210CA">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treinta de enero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0718D0" w:rsidRDefault="000718D0">
      <w:pPr>
        <w:ind w:left="851" w:right="899"/>
        <w:jc w:val="both"/>
        <w:rPr>
          <w:rFonts w:ascii="Palatino Linotype" w:hAnsi="Palatino Linotype" w:cs="Arial"/>
          <w:i/>
          <w:sz w:val="22"/>
          <w:szCs w:val="22"/>
        </w:rPr>
      </w:pPr>
    </w:p>
    <w:p w:rsidR="000718D0" w:rsidRDefault="009210CA">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18D0" w:rsidRDefault="009210CA">
      <w:pPr>
        <w:ind w:left="851" w:right="899"/>
        <w:jc w:val="both"/>
        <w:rPr>
          <w:rFonts w:ascii="Palatino Linotype" w:hAnsi="Palatino Linotype" w:cs="Arial"/>
          <w:i/>
          <w:sz w:val="22"/>
          <w:szCs w:val="22"/>
        </w:rPr>
      </w:pPr>
      <w:r>
        <w:rPr>
          <w:rFonts w:ascii="Palatino Linotype" w:hAnsi="Palatino Linotype" w:cs="Arial"/>
          <w:i/>
          <w:sz w:val="22"/>
          <w:szCs w:val="22"/>
        </w:rPr>
        <w:t>SE EMITE RESPUESTA.” (Sic)</w:t>
      </w:r>
    </w:p>
    <w:p w:rsidR="000718D0" w:rsidRDefault="000718D0">
      <w:pPr>
        <w:ind w:left="851" w:right="899"/>
        <w:jc w:val="both"/>
        <w:rPr>
          <w:rFonts w:ascii="Palatino Linotype" w:hAnsi="Palatino Linotype" w:cs="Arial"/>
          <w:i/>
          <w:sz w:val="22"/>
          <w:szCs w:val="22"/>
        </w:rPr>
      </w:pPr>
    </w:p>
    <w:p w:rsidR="000718D0" w:rsidRDefault="009210CA">
      <w:pPr>
        <w:ind w:right="899"/>
        <w:jc w:val="both"/>
        <w:rPr>
          <w:rFonts w:ascii="Palatino Linotype" w:hAnsi="Palatino Linotype" w:cs="Arial"/>
        </w:rPr>
      </w:pPr>
      <w:r>
        <w:rPr>
          <w:rFonts w:ascii="Palatino Linotype" w:hAnsi="Palatino Linotype" w:cs="Arial"/>
        </w:rPr>
        <w:t>Así mismo, adjuntó a la respuesta, los siguientes archivos electrónicos:</w:t>
      </w:r>
    </w:p>
    <w:p w:rsidR="000718D0" w:rsidRDefault="000718D0">
      <w:pPr>
        <w:ind w:right="899"/>
        <w:jc w:val="both"/>
        <w:rPr>
          <w:rFonts w:ascii="Palatino Linotype" w:hAnsi="Palatino Linotype" w:cs="Arial"/>
        </w:rPr>
      </w:pPr>
    </w:p>
    <w:p w:rsidR="000718D0" w:rsidRDefault="009210CA">
      <w:pPr>
        <w:pStyle w:val="Prrafodelista"/>
        <w:numPr>
          <w:ilvl w:val="0"/>
          <w:numId w:val="5"/>
        </w:numPr>
        <w:ind w:right="899"/>
        <w:jc w:val="both"/>
        <w:rPr>
          <w:rFonts w:ascii="Palatino Linotype" w:hAnsi="Palatino Linotype" w:cs="Arial"/>
          <w:b/>
          <w:i/>
        </w:rPr>
      </w:pPr>
      <w:r>
        <w:rPr>
          <w:rFonts w:ascii="Palatino Linotype" w:hAnsi="Palatino Linotype" w:cs="Arial"/>
          <w:b/>
          <w:i/>
        </w:rPr>
        <w:t xml:space="preserve">ACTA 4A SESION EXT.pdf: </w:t>
      </w:r>
      <w:r>
        <w:rPr>
          <w:rFonts w:ascii="Palatino Linotype" w:hAnsi="Palatino Linotype" w:cs="Arial"/>
        </w:rPr>
        <w:t xml:space="preserve">consistente en el Acta de la Cuarta Sesión Extraordinaria del Comité de Transparencia del </w:t>
      </w:r>
      <w:r>
        <w:rPr>
          <w:rFonts w:ascii="Palatino Linotype" w:hAnsi="Palatino Linotype" w:cs="Arial"/>
          <w:b/>
        </w:rPr>
        <w:t>SUJETO OBLIGADO</w:t>
      </w:r>
      <w:r>
        <w:rPr>
          <w:rFonts w:ascii="Palatino Linotype" w:hAnsi="Palatino Linotype" w:cs="Arial"/>
        </w:rPr>
        <w:t xml:space="preserve"> </w:t>
      </w:r>
      <w:r>
        <w:rPr>
          <w:rFonts w:ascii="Palatino Linotype" w:hAnsi="Palatino Linotype" w:cs="Arial"/>
        </w:rPr>
        <w:lastRenderedPageBreak/>
        <w:t xml:space="preserve">de 27 de enero de 2020, mediante el cual se confirma la clasificación como reservada del Estado de Situación Financiera, balanza de comprobación, balanza de comprobación detallada, estado de actividades, estado de flujo efectivo, estado de cambios en la situación financiera, estado comparativo presupuestal de ingresos y estado comparativo presupuestal de egresos, del periodo de agosto a noviembre de 2019, presentados al Órgano Superior de Fiscalización, por los Municipios de Chalco, Valle de Chalco Solidaridad, Ecatepec de Morelos, Coacalco de Berriozábal, La Paz, </w:t>
      </w:r>
      <w:proofErr w:type="spellStart"/>
      <w:r>
        <w:rPr>
          <w:rFonts w:ascii="Palatino Linotype" w:hAnsi="Palatino Linotype" w:cs="Arial"/>
        </w:rPr>
        <w:t>Luvianos</w:t>
      </w:r>
      <w:proofErr w:type="spellEnd"/>
      <w:r>
        <w:rPr>
          <w:rFonts w:ascii="Palatino Linotype" w:hAnsi="Palatino Linotype" w:cs="Arial"/>
        </w:rPr>
        <w:t xml:space="preserve">, Naucalpan de Juárez y Tlalnepantla de Baz, por el periodo de un año o hasta en tanto cesen los motivos de reserva, al formar parte de la revisión y fiscalización de los municipios señalados, ya que de conformidad con los numerales 32 y 50 de la Ley de Fiscalización Superior del Estado de México, 35 de la Ley Orgánica del Poder Legislativo del Estado Libre y Soberano del México, se cuenta con fecha de plazo improrrogable que vence el 30 de septiembre de 2020 para emitir y rendir a la Legislatura el Informe de Resultados de la Fiscalización practicada (revisión a informes mensuales y cuentas públicas anuales; evaluaciones y auditorías practicadas por esta entidad al año 2019 de los entes fiscalizables, de manera que existía disposición legal que obligaba al SUJETO OBLIGADO a guardar estricta reserva en sus actuaciones, documentos e informaciones hasta en tanto no concluya y se emita el informe de resultados correspondiente.  </w:t>
      </w:r>
    </w:p>
    <w:p w:rsidR="000718D0" w:rsidRDefault="009210CA">
      <w:pPr>
        <w:pStyle w:val="Prrafodelista"/>
        <w:numPr>
          <w:ilvl w:val="0"/>
          <w:numId w:val="5"/>
        </w:numPr>
        <w:ind w:right="899"/>
        <w:jc w:val="both"/>
        <w:rPr>
          <w:rFonts w:ascii="Palatino Linotype" w:hAnsi="Palatino Linotype" w:cs="Arial"/>
          <w:b/>
          <w:i/>
        </w:rPr>
      </w:pPr>
      <w:r>
        <w:rPr>
          <w:rFonts w:ascii="Palatino Linotype" w:hAnsi="Palatino Linotype" w:cs="Arial"/>
          <w:b/>
          <w:i/>
        </w:rPr>
        <w:t>00016-20.pdf:</w:t>
      </w:r>
      <w:r>
        <w:rPr>
          <w:rFonts w:ascii="Palatino Linotype" w:hAnsi="Palatino Linotype" w:cs="Arial"/>
        </w:rPr>
        <w:t xml:space="preserve"> consistente en un oficio</w:t>
      </w:r>
      <w:r>
        <w:rPr>
          <w:rFonts w:ascii="Palatino Linotype" w:hAnsi="Palatino Linotype"/>
          <w:bCs/>
        </w:rPr>
        <w:t xml:space="preserve"> signado por la Servidora Pública Habilitada del </w:t>
      </w:r>
      <w:r>
        <w:rPr>
          <w:rFonts w:ascii="Palatino Linotype" w:hAnsi="Palatino Linotype" w:cs="Arial"/>
        </w:rPr>
        <w:t xml:space="preserve">Órgano Superior de Fiscalización, mediante el cual se informó que después de una búsqueda de la documentación solicitada en los archivos y conforme a los Lineamientos para la entrega del Informe Mensual Municipal 2019, se localizó la información requerida del periodo de agosto a noviembre de 2019, no así, del mes de diciembre de 2019, ya que conforme  al numeral 32 de la Ley de Fiscalización Superior del Estado de México, se tenía como fecha límite para presentar el informe mensual de diciembre de 2019, por parte de los entes fiscalizables el 4 de febrero de 2020. De igual forma, manifestó que de manera temporal existía impedimento legal para proporcionarse, ya que la documentación relacionada con el ejercicio de los recursos a </w:t>
      </w:r>
      <w:r>
        <w:rPr>
          <w:rFonts w:ascii="Palatino Linotype" w:hAnsi="Palatino Linotype" w:cs="Arial"/>
        </w:rPr>
        <w:lastRenderedPageBreak/>
        <w:t>cargo de los entes fiscalizables 2019, es motivo de revisión y fiscalización en el año 2020, por tanto, se encuentra en proceso de revisión y fiscalización sin concluir.</w:t>
      </w:r>
    </w:p>
    <w:p w:rsidR="000718D0" w:rsidRDefault="009210CA">
      <w:pPr>
        <w:pStyle w:val="Prrafodelista"/>
        <w:numPr>
          <w:ilvl w:val="0"/>
          <w:numId w:val="5"/>
        </w:numPr>
        <w:ind w:right="899"/>
        <w:jc w:val="both"/>
        <w:rPr>
          <w:rFonts w:ascii="Palatino Linotype" w:hAnsi="Palatino Linotype" w:cs="Arial"/>
          <w:b/>
          <w:i/>
        </w:rPr>
      </w:pPr>
      <w:r>
        <w:rPr>
          <w:rFonts w:ascii="Palatino Linotype" w:hAnsi="Palatino Linotype" w:cs="Arial"/>
          <w:b/>
          <w:i/>
        </w:rPr>
        <w:t xml:space="preserve">16 RESPUESTA OSFEM.pdf: </w:t>
      </w:r>
      <w:r>
        <w:rPr>
          <w:rFonts w:ascii="Palatino Linotype" w:hAnsi="Palatino Linotype" w:cs="Arial"/>
        </w:rPr>
        <w:t>consistente en un oficio signado por el Titular de la Unidad de Transparencia, mediante el cual, se dio respuesta al particular.</w:t>
      </w:r>
      <w:r>
        <w:rPr>
          <w:rFonts w:ascii="Palatino Linotype" w:hAnsi="Palatino Linotype" w:cs="Arial"/>
          <w:b/>
          <w:i/>
        </w:rPr>
        <w:t xml:space="preserve"> </w:t>
      </w:r>
    </w:p>
    <w:p w:rsidR="000718D0" w:rsidRDefault="000718D0">
      <w:pPr>
        <w:ind w:left="851" w:right="899"/>
        <w:jc w:val="both"/>
        <w:rPr>
          <w:rFonts w:ascii="Palatino Linotype" w:hAnsi="Palatino Linotype" w:cs="Arial"/>
        </w:rPr>
      </w:pPr>
    </w:p>
    <w:p w:rsidR="000718D0" w:rsidRDefault="009210CA">
      <w:pPr>
        <w:pStyle w:val="Prrafodelista"/>
        <w:numPr>
          <w:ilvl w:val="0"/>
          <w:numId w:val="2"/>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treinta y uno de enero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 xml:space="preserve">número </w:t>
      </w:r>
      <w:r>
        <w:rPr>
          <w:rFonts w:ascii="Palatino Linotype" w:hAnsi="Palatino Linotype" w:cs="Arial"/>
          <w:b/>
        </w:rPr>
        <w:t>00837/INFOEM/IP/RR/2020</w:t>
      </w:r>
      <w:r>
        <w:rPr>
          <w:rFonts w:ascii="Palatino Linotype" w:hAnsi="Palatino Linotype" w:cs="Arial"/>
        </w:rPr>
        <w:t>, en el que señaló como acto impugnado, lo siguiente:</w:t>
      </w:r>
    </w:p>
    <w:p w:rsidR="000718D0" w:rsidRDefault="009210CA">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“respuesta emitida.”</w:t>
      </w:r>
      <w:r>
        <w:rPr>
          <w:rFonts w:ascii="Palatino Linotype" w:hAnsi="Palatino Linotype" w:cs="Arial"/>
          <w:sz w:val="22"/>
          <w:szCs w:val="22"/>
          <w:lang w:eastAsia="es-MX"/>
        </w:rPr>
        <w:t xml:space="preserve"> (Sic)</w:t>
      </w:r>
    </w:p>
    <w:p w:rsidR="000718D0" w:rsidRDefault="009210CA">
      <w:pPr>
        <w:spacing w:beforeAutospacing="1" w:afterAutospacing="1" w:line="360" w:lineRule="auto"/>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0718D0" w:rsidRDefault="009210CA">
      <w:pPr>
        <w:spacing w:beforeAutospacing="1" w:afterAutospacing="1"/>
        <w:ind w:left="709" w:right="709"/>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“en virtud de que a través de un acto posterior a la solicitud se realiza una clasificación de la información. Además de lo cual, la entrega de la información no es </w:t>
      </w:r>
      <w:proofErr w:type="spellStart"/>
      <w:r>
        <w:rPr>
          <w:rFonts w:ascii="Palatino Linotype" w:hAnsi="Palatino Linotype" w:cs="Arial"/>
          <w:i/>
          <w:sz w:val="22"/>
          <w:szCs w:val="22"/>
          <w:lang w:eastAsia="es-MX"/>
        </w:rPr>
        <w:t>obstaculo</w:t>
      </w:r>
      <w:proofErr w:type="spellEnd"/>
      <w:r>
        <w:rPr>
          <w:rFonts w:ascii="Palatino Linotype" w:hAnsi="Palatino Linotype" w:cs="Arial"/>
          <w:i/>
          <w:sz w:val="22"/>
          <w:szCs w:val="22"/>
          <w:lang w:eastAsia="es-MX"/>
        </w:rPr>
        <w:t xml:space="preserve"> para la realización de las actividades de </w:t>
      </w:r>
      <w:proofErr w:type="spellStart"/>
      <w:r>
        <w:rPr>
          <w:rFonts w:ascii="Palatino Linotype" w:hAnsi="Palatino Linotype" w:cs="Arial"/>
          <w:i/>
          <w:sz w:val="22"/>
          <w:szCs w:val="22"/>
          <w:lang w:eastAsia="es-MX"/>
        </w:rPr>
        <w:t>fiscalizacion</w:t>
      </w:r>
      <w:proofErr w:type="spellEnd"/>
      <w:r>
        <w:rPr>
          <w:rFonts w:ascii="Palatino Linotype" w:hAnsi="Palatino Linotype" w:cs="Arial"/>
          <w:i/>
          <w:sz w:val="22"/>
          <w:szCs w:val="22"/>
          <w:lang w:eastAsia="es-MX"/>
        </w:rPr>
        <w:t xml:space="preserve"> a que se refiere la autoridad en su respuesta. Debe agregarse que tampoco se trata de información que ponga en peligro o atente contra la seguridad nacional. Por lo cual solicito se me entregue la información en los </w:t>
      </w:r>
      <w:proofErr w:type="spellStart"/>
      <w:r>
        <w:rPr>
          <w:rFonts w:ascii="Palatino Linotype" w:hAnsi="Palatino Linotype" w:cs="Arial"/>
          <w:i/>
          <w:sz w:val="22"/>
          <w:szCs w:val="22"/>
          <w:lang w:eastAsia="es-MX"/>
        </w:rPr>
        <w:t>terminos</w:t>
      </w:r>
      <w:proofErr w:type="spellEnd"/>
      <w:r>
        <w:rPr>
          <w:rFonts w:ascii="Palatino Linotype" w:hAnsi="Palatino Linotype" w:cs="Arial"/>
          <w:i/>
          <w:sz w:val="22"/>
          <w:szCs w:val="22"/>
          <w:lang w:eastAsia="es-MX"/>
        </w:rPr>
        <w:t xml:space="preserve"> requeridos.”</w:t>
      </w:r>
      <w:r>
        <w:rPr>
          <w:rFonts w:ascii="Palatino Linotype" w:hAnsi="Palatino Linotype" w:cs="Arial"/>
          <w:sz w:val="22"/>
          <w:szCs w:val="22"/>
          <w:lang w:eastAsia="es-MX"/>
        </w:rPr>
        <w:t>(Sic)</w:t>
      </w:r>
    </w:p>
    <w:p w:rsidR="000718D0" w:rsidRDefault="009210CA">
      <w:pPr>
        <w:widowControl w:val="0"/>
        <w:numPr>
          <w:ilvl w:val="0"/>
          <w:numId w:val="8"/>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treinta y uno de enero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xml:space="preserve">, a efecto de que decretara su admisión o </w:t>
      </w:r>
      <w:r>
        <w:rPr>
          <w:rFonts w:ascii="Palatino Linotype" w:hAnsi="Palatino Linotype" w:cs="Arial"/>
          <w:lang w:val="es-ES_tradnl"/>
        </w:rPr>
        <w:lastRenderedPageBreak/>
        <w:t>desechamiento.</w:t>
      </w:r>
    </w:p>
    <w:p w:rsidR="000718D0" w:rsidRDefault="009210CA">
      <w:pPr>
        <w:widowControl w:val="0"/>
        <w:numPr>
          <w:ilvl w:val="0"/>
          <w:numId w:val="8"/>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siete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0718D0" w:rsidRDefault="009210CA">
      <w:pPr>
        <w:pStyle w:val="Prrafodelista"/>
        <w:widowControl w:val="0"/>
        <w:numPr>
          <w:ilvl w:val="0"/>
          <w:numId w:val="8"/>
        </w:numPr>
        <w:tabs>
          <w:tab w:val="left" w:pos="360"/>
        </w:tabs>
        <w:spacing w:line="360" w:lineRule="auto"/>
        <w:ind w:left="0" w:firstLine="0"/>
        <w:jc w:val="both"/>
        <w:rPr>
          <w:rFonts w:ascii="Palatino Linotype" w:hAnsi="Palatino Linotype" w:cs="Arial"/>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dieciocho de febrero de dos mil veinte, </w:t>
      </w:r>
      <w:r>
        <w:rPr>
          <w:rFonts w:ascii="Palatino Linotype" w:eastAsia="Arial Unicode MS" w:hAnsi="Palatino Linotype" w:cs="Arial"/>
          <w:b/>
          <w:color w:val="000000"/>
          <w:lang w:eastAsia="es-MX"/>
        </w:rPr>
        <w:t>EL SUJETO OBLIGADO</w:t>
      </w:r>
      <w:r>
        <w:rPr>
          <w:rFonts w:ascii="Palatino Linotype" w:eastAsia="Arial Unicode MS" w:hAnsi="Palatino Linotype" w:cs="Arial"/>
        </w:rPr>
        <w:t xml:space="preserve"> </w:t>
      </w:r>
      <w:r>
        <w:rPr>
          <w:rFonts w:ascii="Palatino Linotype" w:hAnsi="Palatino Linotype"/>
          <w:lang w:val="es-ES_tradnl"/>
        </w:rPr>
        <w:t xml:space="preserve">rindió su Informe Justificado adjuntando los archivos electrónicos </w:t>
      </w:r>
      <w:r>
        <w:rPr>
          <w:rFonts w:ascii="Palatino Linotype" w:hAnsi="Palatino Linotype" w:cs="Arial"/>
          <w:b/>
          <w:i/>
        </w:rPr>
        <w:t xml:space="preserve">Informe Justificado OSFEM.pdf </w:t>
      </w:r>
      <w:proofErr w:type="spellStart"/>
      <w:proofErr w:type="gramStart"/>
      <w:r>
        <w:rPr>
          <w:rFonts w:ascii="Palatino Linotype" w:hAnsi="Palatino Linotype" w:cs="Arial"/>
        </w:rPr>
        <w:t>y</w:t>
      </w:r>
      <w:proofErr w:type="spellEnd"/>
      <w:proofErr w:type="gramEnd"/>
      <w:r>
        <w:rPr>
          <w:rFonts w:ascii="Palatino Linotype" w:hAnsi="Palatino Linotype" w:cs="Arial"/>
        </w:rPr>
        <w:t xml:space="preserve"> </w:t>
      </w:r>
      <w:r>
        <w:rPr>
          <w:rFonts w:ascii="Palatino Linotype" w:hAnsi="Palatino Linotype" w:cs="Arial"/>
          <w:b/>
          <w:i/>
        </w:rPr>
        <w:t>Informe Justificado RR. 00837-2020.pdf</w:t>
      </w:r>
      <w:r>
        <w:rPr>
          <w:rFonts w:ascii="Palatino Linotype" w:hAnsi="Palatino Linotype" w:cs="Arial"/>
        </w:rPr>
        <w:t xml:space="preserve">, </w:t>
      </w:r>
      <w:r>
        <w:rPr>
          <w:rFonts w:ascii="Palatino Linotype" w:hAnsi="Palatino Linotype"/>
          <w:lang w:val="es-ES_tradnl"/>
        </w:rPr>
        <w:t>mediante los cuales, ratificó su respuesta.</w:t>
      </w:r>
    </w:p>
    <w:p w:rsidR="000718D0" w:rsidRDefault="000718D0">
      <w:pPr>
        <w:spacing w:line="360" w:lineRule="auto"/>
        <w:jc w:val="both"/>
        <w:rPr>
          <w:rFonts w:ascii="Palatino Linotype" w:eastAsia="Arial Unicode MS" w:hAnsi="Palatino Linotype" w:cs="Arial"/>
        </w:rPr>
      </w:pPr>
    </w:p>
    <w:p w:rsidR="000718D0" w:rsidRDefault="00E04EA3">
      <w:pPr>
        <w:spacing w:line="360" w:lineRule="auto"/>
        <w:jc w:val="both"/>
        <w:rPr>
          <w:rFonts w:ascii="Palatino Linotype" w:eastAsia="Arial Unicode MS" w:hAnsi="Palatino Linotype" w:cs="Arial"/>
          <w:lang w:val="es-ES_tradnl"/>
        </w:rPr>
      </w:pPr>
      <w:r>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1486535</wp:posOffset>
                </wp:positionV>
                <wp:extent cx="5915025" cy="895350"/>
                <wp:effectExtent l="38100" t="38100" r="66675" b="95250"/>
                <wp:wrapNone/>
                <wp:docPr id="38" name="Conector recto 38"/>
                <wp:cNvGraphicFramePr/>
                <a:graphic xmlns:a="http://schemas.openxmlformats.org/drawingml/2006/main">
                  <a:graphicData uri="http://schemas.microsoft.com/office/word/2010/wordprocessingShape">
                    <wps:wsp>
                      <wps:cNvCnPr/>
                      <wps:spPr>
                        <a:xfrm>
                          <a:off x="0" y="0"/>
                          <a:ext cx="5915025" cy="895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17B2CA" id="Conector recto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17.05pt" to="467.7pt,1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" strokecolor="#4f81bd [3204]" strokeweight="2pt">
                <v:shadow on="t" color="black" opacity="24903f" origin=",.5" offset="0,.55556mm"/>
              </v:line>
            </w:pict>
          </mc:Fallback>
        </mc:AlternateContent>
      </w:r>
      <w:r w:rsidR="009210CA">
        <w:rPr>
          <w:rFonts w:ascii="Palatino Linotype" w:eastAsia="Arial Unicode MS" w:hAnsi="Palatino Linotype" w:cs="Arial"/>
        </w:rPr>
        <w:t>Atento a lo anterior y en razón a que</w:t>
      </w:r>
      <w:r w:rsidR="009210CA">
        <w:rPr>
          <w:rFonts w:ascii="Palatino Linotype" w:eastAsia="Arial Unicode MS" w:hAnsi="Palatino Linotype" w:cs="Arial"/>
          <w:lang w:val="es-ES_tradnl"/>
        </w:rPr>
        <w:t xml:space="preserve">, no se actualizó lo dispuesto por la fracción III del artículo 185 de la Ley de Transparencia y Acceso a la Información Pública de Estado de México, el Informe Justificado, no fue puesto a la vista del </w:t>
      </w:r>
      <w:r w:rsidR="009210CA">
        <w:rPr>
          <w:rFonts w:ascii="Palatino Linotype" w:eastAsia="Arial Unicode MS" w:hAnsi="Palatino Linotype" w:cs="Arial"/>
          <w:b/>
          <w:lang w:val="es-ES_tradnl"/>
        </w:rPr>
        <w:t>RECURRENTE</w:t>
      </w:r>
      <w:r w:rsidR="009210CA">
        <w:rPr>
          <w:rFonts w:ascii="Palatino Linotype" w:eastAsia="Arial Unicode MS" w:hAnsi="Palatino Linotype" w:cs="Arial"/>
          <w:lang w:val="es-ES_tradnl"/>
        </w:rPr>
        <w:t>; sin embrago se plasman en este momento, a efecto de que se tenga conocimiento de la totalidad de actuaciones:</w:t>
      </w:r>
    </w:p>
    <w:p w:rsidR="000718D0" w:rsidRDefault="000718D0">
      <w:pPr>
        <w:spacing w:line="360" w:lineRule="auto"/>
        <w:jc w:val="both"/>
        <w:rPr>
          <w:rFonts w:ascii="Palatino Linotype" w:eastAsia="Arial Unicode MS" w:hAnsi="Palatino Linotype" w:cs="Arial"/>
          <w:lang w:val="es-ES_tradnl"/>
        </w:rPr>
      </w:pPr>
    </w:p>
    <w:p w:rsidR="000718D0" w:rsidRDefault="000718D0">
      <w:pPr>
        <w:spacing w:line="360" w:lineRule="auto"/>
        <w:jc w:val="both"/>
        <w:rPr>
          <w:rFonts w:ascii="Palatino Linotype" w:eastAsia="Arial Unicode MS" w:hAnsi="Palatino Linotype" w:cs="Arial"/>
          <w:lang w:val="es-ES_tradnl"/>
        </w:rPr>
      </w:pPr>
    </w:p>
    <w:p w:rsidR="000718D0" w:rsidRDefault="000718D0">
      <w:pPr>
        <w:spacing w:line="360" w:lineRule="auto"/>
        <w:jc w:val="both"/>
        <w:rPr>
          <w:rFonts w:ascii="Palatino Linotype" w:eastAsia="Arial Unicode MS" w:hAnsi="Palatino Linotype" w:cs="Arial"/>
          <w:lang w:val="es-ES_tradnl"/>
        </w:rPr>
      </w:pPr>
    </w:p>
    <w:p w:rsidR="000718D0" w:rsidRDefault="009210CA">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93740" cy="7458075"/>
            <wp:effectExtent l="0" t="0" r="0" b="0"/>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9"/>
                    <a:srcRect l="28362" t="16747" r="25800" b="8932"/>
                    <a:stretch>
                      <a:fillRect/>
                    </a:stretch>
                  </pic:blipFill>
                  <pic:spPr bwMode="auto">
                    <a:xfrm>
                      <a:off x="0" y="0"/>
                      <a:ext cx="5793740" cy="7458075"/>
                    </a:xfrm>
                    <a:prstGeom prst="rect">
                      <a:avLst/>
                    </a:prstGeom>
                  </pic:spPr>
                </pic:pic>
              </a:graphicData>
            </a:graphic>
          </wp:inline>
        </w:drawing>
      </w:r>
    </w:p>
    <w:p w:rsidR="000718D0" w:rsidRDefault="009210CA">
      <w:pPr>
        <w:tabs>
          <w:tab w:val="center" w:pos="4252"/>
          <w:tab w:val="left" w:pos="6237"/>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16905" cy="7410450"/>
            <wp:effectExtent l="0" t="0" r="0" b="0"/>
            <wp:docPr id="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9"/>
                    <pic:cNvPicPr>
                      <a:picLocks noChangeAspect="1" noChangeArrowheads="1"/>
                    </pic:cNvPicPr>
                  </pic:nvPicPr>
                  <pic:blipFill>
                    <a:blip r:embed="rId10"/>
                    <a:srcRect l="28535" t="16486" r="25822" b="9444"/>
                    <a:stretch>
                      <a:fillRect/>
                    </a:stretch>
                  </pic:blipFill>
                  <pic:spPr bwMode="auto">
                    <a:xfrm>
                      <a:off x="0" y="0"/>
                      <a:ext cx="5716905" cy="7410450"/>
                    </a:xfrm>
                    <a:prstGeom prst="rect">
                      <a:avLst/>
                    </a:prstGeom>
                  </pic:spPr>
                </pic:pic>
              </a:graphicData>
            </a:graphic>
          </wp:inline>
        </w:drawing>
      </w:r>
    </w:p>
    <w:p w:rsidR="000718D0" w:rsidRDefault="009210CA">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563235" cy="7205345"/>
            <wp:effectExtent l="0" t="0" r="0" b="0"/>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11"/>
                    <a:srcRect l="28362" t="15468" r="26568" b="10945"/>
                    <a:stretch>
                      <a:fillRect/>
                    </a:stretch>
                  </pic:blipFill>
                  <pic:spPr bwMode="auto">
                    <a:xfrm>
                      <a:off x="0" y="0"/>
                      <a:ext cx="5563235" cy="7205345"/>
                    </a:xfrm>
                    <a:prstGeom prst="rect">
                      <a:avLst/>
                    </a:prstGeom>
                  </pic:spPr>
                </pic:pic>
              </a:graphicData>
            </a:graphic>
          </wp:inline>
        </w:drawing>
      </w:r>
    </w:p>
    <w:p w:rsidR="000718D0" w:rsidRDefault="009210CA">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816600" cy="7392035"/>
            <wp:effectExtent l="0" t="0" r="0" b="0"/>
            <wp:docPr id="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1"/>
                    <pic:cNvPicPr>
                      <a:picLocks noChangeAspect="1" noChangeArrowheads="1"/>
                    </pic:cNvPicPr>
                  </pic:nvPicPr>
                  <pic:blipFill>
                    <a:blip r:embed="rId12"/>
                    <a:srcRect l="28738" t="17510" r="25416" b="14252"/>
                    <a:stretch>
                      <a:fillRect/>
                    </a:stretch>
                  </pic:blipFill>
                  <pic:spPr bwMode="auto">
                    <a:xfrm>
                      <a:off x="0" y="0"/>
                      <a:ext cx="5816600" cy="7392035"/>
                    </a:xfrm>
                    <a:prstGeom prst="rect">
                      <a:avLst/>
                    </a:prstGeom>
                  </pic:spPr>
                </pic:pic>
              </a:graphicData>
            </a:graphic>
          </wp:inline>
        </w:drawing>
      </w:r>
    </w:p>
    <w:p w:rsidR="000718D0" w:rsidRDefault="009210CA">
      <w:pPr>
        <w:tabs>
          <w:tab w:val="center" w:pos="4252"/>
          <w:tab w:val="right" w:pos="8504"/>
        </w:tabs>
        <w:spacing w:line="360" w:lineRule="auto"/>
        <w:jc w:val="both"/>
        <w:rPr>
          <w:rFonts w:ascii="Palatino Linotype" w:eastAsia="MS Mincho" w:hAnsi="Palatino Linotype"/>
          <w:lang w:eastAsia="es-MX"/>
        </w:rPr>
      </w:pPr>
      <w:r>
        <w:rPr>
          <w:rFonts w:ascii="Palatino Linotype" w:eastAsia="MS Mincho" w:hAnsi="Palatino Linotype"/>
          <w:noProof/>
          <w:lang w:eastAsia="es-MX"/>
        </w:rPr>
        <w:lastRenderedPageBreak/>
        <w:drawing>
          <wp:anchor distT="0" distB="0" distL="114300" distR="0" simplePos="0" relativeHeight="49" behindDoc="0" locked="0" layoutInCell="1" allowOverlap="1">
            <wp:simplePos x="0" y="0"/>
            <wp:positionH relativeFrom="margin">
              <wp:align>right</wp:align>
            </wp:positionH>
            <wp:positionV relativeFrom="paragraph">
              <wp:posOffset>635</wp:posOffset>
            </wp:positionV>
            <wp:extent cx="5791200" cy="7572375"/>
            <wp:effectExtent l="0" t="0" r="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pic:cNvPicPr>
                      <a:picLocks noChangeAspect="1" noChangeArrowheads="1"/>
                    </pic:cNvPicPr>
                  </pic:nvPicPr>
                  <pic:blipFill>
                    <a:blip r:embed="rId13"/>
                    <a:srcRect l="23515" t="9208" r="28144" b="5059"/>
                    <a:stretch>
                      <a:fillRect/>
                    </a:stretch>
                  </pic:blipFill>
                  <pic:spPr bwMode="auto">
                    <a:xfrm>
                      <a:off x="0" y="0"/>
                      <a:ext cx="5791200" cy="7572375"/>
                    </a:xfrm>
                    <a:prstGeom prst="rect">
                      <a:avLst/>
                    </a:prstGeom>
                  </pic:spPr>
                </pic:pic>
              </a:graphicData>
            </a:graphic>
          </wp:anchor>
        </w:drawing>
      </w:r>
    </w:p>
    <w:p w:rsidR="000718D0" w:rsidRDefault="009210CA">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667375" cy="732472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14"/>
                    <a:srcRect l="23692" t="9208" r="27812" b="5059"/>
                    <a:stretch>
                      <a:fillRect/>
                    </a:stretch>
                  </pic:blipFill>
                  <pic:spPr bwMode="auto">
                    <a:xfrm>
                      <a:off x="0" y="0"/>
                      <a:ext cx="5667375" cy="7324725"/>
                    </a:xfrm>
                    <a:prstGeom prst="rect">
                      <a:avLst/>
                    </a:prstGeom>
                  </pic:spPr>
                </pic:pic>
              </a:graphicData>
            </a:graphic>
          </wp:inline>
        </w:drawing>
      </w:r>
    </w:p>
    <w:p w:rsidR="000718D0" w:rsidRDefault="009210CA">
      <w:pPr>
        <w:tabs>
          <w:tab w:val="center" w:pos="4252"/>
          <w:tab w:val="right" w:pos="8504"/>
        </w:tabs>
        <w:spacing w:line="360" w:lineRule="auto"/>
        <w:jc w:val="both"/>
        <w:rPr>
          <w:rFonts w:ascii="Palatino Linotype" w:eastAsia="MS Mincho" w:hAnsi="Palatino Linotype"/>
          <w:lang w:eastAsia="es-MX"/>
        </w:rPr>
      </w:pPr>
      <w:r>
        <w:rPr>
          <w:noProof/>
          <w:lang w:eastAsia="es-MX"/>
        </w:rPr>
        <w:lastRenderedPageBreak/>
        <w:drawing>
          <wp:inline distT="0" distB="0" distL="0" distR="0">
            <wp:extent cx="5791200" cy="7372350"/>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5"/>
                    <a:srcRect l="23847" t="9208" r="28144" b="5059"/>
                    <a:stretch>
                      <a:fillRect/>
                    </a:stretch>
                  </pic:blipFill>
                  <pic:spPr bwMode="auto">
                    <a:xfrm>
                      <a:off x="0" y="0"/>
                      <a:ext cx="5791200" cy="7372350"/>
                    </a:xfrm>
                    <a:prstGeom prst="rect">
                      <a:avLst/>
                    </a:prstGeom>
                  </pic:spPr>
                </pic:pic>
              </a:graphicData>
            </a:graphic>
          </wp:inline>
        </w:drawing>
      </w:r>
    </w:p>
    <w:p w:rsidR="000718D0" w:rsidRDefault="009210CA">
      <w:pPr>
        <w:tabs>
          <w:tab w:val="center" w:pos="4252"/>
          <w:tab w:val="right" w:pos="8504"/>
        </w:tabs>
        <w:spacing w:line="360" w:lineRule="auto"/>
        <w:jc w:val="both"/>
        <w:rPr>
          <w:rFonts w:ascii="Palatino Linotype" w:eastAsia="Arial Unicode MS" w:hAnsi="Palatino Linotype" w:cs="Arial"/>
          <w:lang w:val="es-ES_tradnl"/>
        </w:rPr>
      </w:pPr>
      <w:r>
        <w:rPr>
          <w:noProof/>
          <w:lang w:eastAsia="es-MX"/>
        </w:rPr>
        <w:lastRenderedPageBreak/>
        <w:drawing>
          <wp:inline distT="0" distB="0" distL="0" distR="0">
            <wp:extent cx="5695950" cy="7419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srcRect l="27147" t="8991" r="28306" b="5167"/>
                    <a:stretch>
                      <a:fillRect/>
                    </a:stretch>
                  </pic:blipFill>
                  <pic:spPr bwMode="auto">
                    <a:xfrm>
                      <a:off x="0" y="0"/>
                      <a:ext cx="5695950" cy="7419975"/>
                    </a:xfrm>
                    <a:prstGeom prst="rect">
                      <a:avLst/>
                    </a:prstGeom>
                  </pic:spPr>
                </pic:pic>
              </a:graphicData>
            </a:graphic>
          </wp:inline>
        </w:drawing>
      </w:r>
      <w:r>
        <w:rPr>
          <w:rFonts w:ascii="Palatino Linotype" w:eastAsia="MS Mincho" w:hAnsi="Palatino Linotype"/>
          <w:lang w:eastAsia="es-MX"/>
        </w:rPr>
        <w:lastRenderedPageBreak/>
        <w:t xml:space="preserve">Por su parte, </w:t>
      </w:r>
      <w:r>
        <w:rPr>
          <w:rFonts w:ascii="Palatino Linotype" w:eastAsia="MS Mincho" w:hAnsi="Palatino Linotype"/>
          <w:b/>
          <w:lang w:eastAsia="es-MX"/>
        </w:rPr>
        <w:t xml:space="preserve">EL RECURRENTE </w:t>
      </w:r>
      <w:r>
        <w:rPr>
          <w:rFonts w:ascii="Palatino Linotype" w:eastAsia="MS Mincho" w:hAnsi="Palatino Linotype"/>
          <w:lang w:eastAsia="es-MX"/>
        </w:rPr>
        <w:t xml:space="preserve">no realizó </w:t>
      </w:r>
      <w:proofErr w:type="spellStart"/>
      <w:r>
        <w:rPr>
          <w:rFonts w:ascii="Palatino Linotype" w:eastAsia="MS Mincho" w:hAnsi="Palatino Linotype"/>
          <w:lang w:eastAsia="es-MX"/>
        </w:rPr>
        <w:t>manifiestación</w:t>
      </w:r>
      <w:proofErr w:type="spellEnd"/>
      <w:r>
        <w:rPr>
          <w:rFonts w:ascii="Palatino Linotype" w:eastAsia="MS Mincho" w:hAnsi="Palatino Linotype"/>
          <w:lang w:eastAsia="es-MX"/>
        </w:rPr>
        <w:t xml:space="preserve"> alguna,</w:t>
      </w:r>
      <w:r>
        <w:rPr>
          <w:rFonts w:ascii="Palatino Linotype" w:eastAsia="Arial Unicode MS" w:hAnsi="Palatino Linotype" w:cs="Arial"/>
          <w:lang w:val="es-ES_tradnl"/>
        </w:rPr>
        <w:t xml:space="preserve"> ni presentó pruebas o alegatos que a su derecho convinieran, tal como se advierte a continuación:</w:t>
      </w:r>
    </w:p>
    <w:p w:rsidR="000718D0" w:rsidRDefault="009210CA">
      <w:pPr>
        <w:tabs>
          <w:tab w:val="center" w:pos="4252"/>
          <w:tab w:val="right" w:pos="8504"/>
        </w:tabs>
        <w:spacing w:line="360" w:lineRule="auto"/>
        <w:jc w:val="both"/>
        <w:rPr>
          <w:rFonts w:ascii="Palatino Linotype" w:eastAsia="Arial Unicode MS" w:hAnsi="Palatino Linotype" w:cs="Arial"/>
          <w:lang w:val="es-ES_tradnl"/>
        </w:rPr>
      </w:pPr>
      <w:r>
        <w:rPr>
          <w:noProof/>
          <w:lang w:eastAsia="es-MX"/>
        </w:rPr>
        <w:drawing>
          <wp:inline distT="0" distB="0" distL="0" distR="0">
            <wp:extent cx="5750560" cy="1784985"/>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7"/>
                    <a:srcRect l="15410" t="31708" r="15735" b="45979"/>
                    <a:stretch>
                      <a:fillRect/>
                    </a:stretch>
                  </pic:blipFill>
                  <pic:spPr bwMode="auto">
                    <a:xfrm>
                      <a:off x="0" y="0"/>
                      <a:ext cx="5750560" cy="1784985"/>
                    </a:xfrm>
                    <a:prstGeom prst="rect">
                      <a:avLst/>
                    </a:prstGeom>
                  </pic:spPr>
                </pic:pic>
              </a:graphicData>
            </a:graphic>
          </wp:inline>
        </w:drawing>
      </w:r>
      <w:r>
        <w:rPr>
          <w:rFonts w:ascii="Palatino Linotype" w:hAnsi="Palatino Linotype"/>
        </w:rPr>
        <w:tab/>
      </w:r>
    </w:p>
    <w:p w:rsidR="000718D0" w:rsidRDefault="009210CA">
      <w:pPr>
        <w:numPr>
          <w:ilvl w:val="0"/>
          <w:numId w:val="2"/>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cuatro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0718D0" w:rsidRDefault="009210CA">
      <w:pPr>
        <w:numPr>
          <w:ilvl w:val="0"/>
          <w:numId w:val="2"/>
        </w:numPr>
        <w:tabs>
          <w:tab w:val="left" w:pos="426"/>
        </w:tabs>
        <w:spacing w:before="240" w:after="240" w:line="360" w:lineRule="auto"/>
        <w:ind w:left="0" w:firstLine="0"/>
        <w:jc w:val="both"/>
        <w:rPr>
          <w:rFonts w:ascii="Palatino Linotype" w:hAnsi="Palatino Linotype"/>
        </w:rPr>
      </w:pPr>
      <w:r>
        <w:rPr>
          <w:rFonts w:ascii="Palatino Linotype" w:hAnsi="Palatino Linotype" w:cs="Arial"/>
        </w:rPr>
        <w:t>El cuatro de agosto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bookmarkStart w:id="2" w:name="_Ref507070922"/>
      <w:bookmarkEnd w:id="2"/>
    </w:p>
    <w:p w:rsidR="000718D0" w:rsidRDefault="009210CA">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0718D0" w:rsidRDefault="009210CA">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xml:space="preserve">, Acceso a la Información Pública y Protección de Datos Personales del Estado de México y Municipios, es </w:t>
      </w:r>
      <w:r>
        <w:rPr>
          <w:rFonts w:ascii="Palatino Linotype" w:hAnsi="Palatino Linotype"/>
        </w:rPr>
        <w:lastRenderedPageBreak/>
        <w:t xml:space="preserve">competente para conocer y resolver el presente recurso, conforme a lo dispuesto en los artículos 6, Letra A de la Constitución Política de los Estados Unidos Mexicanos; 5, </w:t>
      </w:r>
      <w:r>
        <w:rPr>
          <w:rFonts w:ascii="Palatino Linotype" w:eastAsia="Calibri" w:hAnsi="Palatino Linotype" w:cs="Arial"/>
        </w:rPr>
        <w:t xml:space="preserve">párrafos </w:t>
      </w:r>
      <w:r>
        <w:rPr>
          <w:rFonts w:ascii="Palatino Linotype" w:hAnsi="Palatino Linotype"/>
        </w:rPr>
        <w:t xml:space="preserve">vigésimo </w:t>
      </w:r>
      <w:r>
        <w:rPr>
          <w:rFonts w:ascii="Palatino Linotype" w:hAnsi="Palatino Linotype" w:cs="Arial"/>
        </w:rPr>
        <w:t>segundo,</w:t>
      </w:r>
      <w:r>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0718D0" w:rsidRDefault="009210CA">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w:t>
      </w:r>
      <w:r>
        <w:rPr>
          <w:rFonts w:ascii="Palatino Linotype" w:hAnsi="Palatino Linotype" w:cs="Arial"/>
          <w:b/>
          <w:color w:val="000000" w:themeColor="text1"/>
        </w:rPr>
        <w:t>Interés.</w:t>
      </w:r>
      <w:r>
        <w:rPr>
          <w:rFonts w:ascii="Palatino Linotype" w:hAnsi="Palatino Linotype" w:cs="Arial"/>
          <w:color w:val="000000" w:themeColor="text1"/>
        </w:rPr>
        <w:t xml:space="preserve"> El </w:t>
      </w:r>
      <w:r>
        <w:rPr>
          <w:rFonts w:ascii="Palatino Linotype" w:hAnsi="Palatino Linotype"/>
          <w:color w:val="000000" w:themeColor="text1"/>
        </w:rPr>
        <w:t>recurso</w:t>
      </w:r>
      <w:r>
        <w:rPr>
          <w:rFonts w:ascii="Palatino Linotype" w:hAnsi="Palatino Linotype" w:cs="Arial"/>
          <w:color w:val="000000" w:themeColor="text1"/>
        </w:rPr>
        <w:t xml:space="preserve"> de revisión fue </w:t>
      </w:r>
      <w:r>
        <w:rPr>
          <w:rFonts w:ascii="Palatino Linotype" w:hAnsi="Palatino Linotype"/>
          <w:color w:val="000000" w:themeColor="text1"/>
        </w:rPr>
        <w:t>interpuesto</w:t>
      </w:r>
      <w:r>
        <w:rPr>
          <w:rFonts w:ascii="Palatino Linotype" w:hAnsi="Palatino Linotype" w:cs="Arial"/>
          <w:color w:val="000000" w:themeColor="text1"/>
        </w:rPr>
        <w:t xml:space="preserve"> por parte legítima en atención a que fue </w:t>
      </w:r>
      <w:r>
        <w:rPr>
          <w:rFonts w:ascii="Palatino Linotype" w:hAnsi="Palatino Linotype"/>
          <w:color w:val="000000" w:themeColor="text1"/>
        </w:rPr>
        <w:t>presentado</w:t>
      </w:r>
      <w:r>
        <w:rPr>
          <w:rFonts w:ascii="Palatino Linotype" w:hAnsi="Palatino Linotype" w:cs="Arial"/>
          <w:color w:val="000000" w:themeColor="text1"/>
        </w:rPr>
        <w:t xml:space="preserve"> por </w:t>
      </w:r>
      <w:r>
        <w:rPr>
          <w:rFonts w:ascii="Palatino Linotype" w:hAnsi="Palatino Linotype" w:cs="Arial"/>
          <w:b/>
          <w:color w:val="000000" w:themeColor="text1"/>
        </w:rPr>
        <w:t>EL RECURRENTE</w:t>
      </w:r>
      <w:r>
        <w:rPr>
          <w:rFonts w:ascii="Palatino Linotype" w:hAnsi="Palatino Linotype" w:cs="Arial"/>
          <w:color w:val="000000" w:themeColor="text1"/>
        </w:rPr>
        <w:t xml:space="preserve">, quien </w:t>
      </w:r>
      <w:r>
        <w:rPr>
          <w:rFonts w:ascii="Palatino Linotype" w:hAnsi="Palatino Linotype"/>
          <w:color w:val="000000" w:themeColor="text1"/>
        </w:rPr>
        <w:t>formuló</w:t>
      </w:r>
      <w:r>
        <w:rPr>
          <w:rFonts w:ascii="Palatino Linotype" w:hAnsi="Palatino Linotype" w:cs="Arial"/>
          <w:color w:val="000000" w:themeColor="text1"/>
        </w:rPr>
        <w:t xml:space="preserve"> la solicitud de información pública </w:t>
      </w:r>
      <w:r>
        <w:rPr>
          <w:rFonts w:ascii="Palatino Linotype" w:hAnsi="Palatino Linotype"/>
          <w:color w:val="000000" w:themeColor="text1"/>
        </w:rPr>
        <w:t xml:space="preserve">número </w:t>
      </w:r>
      <w:r>
        <w:rPr>
          <w:rFonts w:ascii="Palatino Linotype" w:hAnsi="Palatino Linotype"/>
          <w:b/>
          <w:bCs/>
        </w:rPr>
        <w:t>00016/PLEGISLA/IP/2020</w:t>
      </w:r>
      <w:r>
        <w:rPr>
          <w:rFonts w:ascii="Palatino Linotype" w:hAnsi="Palatino Linotype" w:cs="Arial"/>
          <w:color w:val="000000" w:themeColor="text1"/>
          <w:lang w:val="es-ES_tradnl"/>
        </w:rPr>
        <w:t>.</w:t>
      </w:r>
    </w:p>
    <w:p w:rsidR="000718D0" w:rsidRDefault="009210CA">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0718D0" w:rsidRDefault="000718D0">
      <w:pPr>
        <w:ind w:left="851" w:right="902"/>
        <w:jc w:val="both"/>
        <w:rPr>
          <w:rFonts w:ascii="Palatino Linotype" w:eastAsiaTheme="minorEastAsia" w:hAnsi="Palatino Linotype" w:cs="Arial"/>
          <w:szCs w:val="20"/>
          <w:lang w:val="es-ES_tradnl"/>
        </w:rPr>
      </w:pPr>
    </w:p>
    <w:p w:rsidR="000718D0" w:rsidRDefault="009210C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718D0" w:rsidRDefault="009210C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718D0" w:rsidRDefault="009210C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0718D0" w:rsidRDefault="000718D0">
      <w:pPr>
        <w:ind w:left="851" w:right="902"/>
        <w:jc w:val="both"/>
        <w:rPr>
          <w:rFonts w:ascii="Palatino Linotype" w:eastAsiaTheme="minorEastAsia" w:hAnsi="Palatino Linotype" w:cs="Arial"/>
          <w:szCs w:val="20"/>
          <w:lang w:val="es-ES_tradnl"/>
        </w:rPr>
      </w:pPr>
    </w:p>
    <w:p w:rsidR="000718D0" w:rsidRDefault="009210CA">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treinta de enero de dos mil veinte; </w:t>
      </w:r>
      <w:r>
        <w:rPr>
          <w:rFonts w:ascii="Palatino Linotype" w:hAnsi="Palatino Linotype" w:cs="Arial"/>
        </w:rPr>
        <w:t>en consecuencia, el plazo de quince días hábiles que el artículo 178 de la ley de la mater</w:t>
      </w:r>
      <w:bookmarkStart w:id="3" w:name="_GoBack"/>
      <w:bookmarkEnd w:id="3"/>
      <w:r>
        <w:rPr>
          <w:rFonts w:ascii="Palatino Linotype" w:hAnsi="Palatino Linotype" w:cs="Arial"/>
        </w:rPr>
        <w:t xml:space="preserve">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treinta y uno de enero al veintiuno de febrero de dos mil veinte</w:t>
      </w:r>
      <w:r>
        <w:rPr>
          <w:rFonts w:ascii="Palatino Linotype" w:hAnsi="Palatino Linotype" w:cs="Arial"/>
        </w:rPr>
        <w:t xml:space="preserve">, sin contemplar en el cómputo los días uno, dos, ocho, nueve, quince y dieciséis de febrero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el día tres de febrero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0718D0" w:rsidRDefault="000718D0">
      <w:pPr>
        <w:spacing w:line="360" w:lineRule="auto"/>
        <w:jc w:val="both"/>
        <w:rPr>
          <w:rFonts w:ascii="Palatino Linotype" w:hAnsi="Palatino Linotype"/>
        </w:rPr>
      </w:pPr>
    </w:p>
    <w:p w:rsidR="000718D0" w:rsidRDefault="009210C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treinta y uno de enero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718D0" w:rsidRDefault="000718D0">
      <w:pPr>
        <w:spacing w:line="360" w:lineRule="auto"/>
        <w:jc w:val="both"/>
        <w:rPr>
          <w:rFonts w:ascii="Palatino Linotype" w:eastAsiaTheme="minorEastAsia" w:hAnsi="Palatino Linotype" w:cs="Arial"/>
          <w:lang w:val="es-ES_tradnl"/>
        </w:rPr>
      </w:pPr>
    </w:p>
    <w:p w:rsidR="000718D0" w:rsidRDefault="009210CA">
      <w:pPr>
        <w:pStyle w:val="Prrafodelista"/>
        <w:widowControl w:val="0"/>
        <w:numPr>
          <w:ilvl w:val="0"/>
          <w:numId w:val="1"/>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lastRenderedPageBreak/>
        <w:t xml:space="preserve">Procedibilidad. </w:t>
      </w:r>
      <w:r>
        <w:rPr>
          <w:rFonts w:ascii="Palatino Linotype" w:hAnsi="Palatino Linotype" w:cs="Arial"/>
        </w:rPr>
        <w:t xml:space="preserve">Del análisis efectuado, se advierte la </w:t>
      </w:r>
      <w:proofErr w:type="spellStart"/>
      <w:r>
        <w:rPr>
          <w:rFonts w:ascii="Palatino Linotype" w:hAnsi="Palatino Linotype" w:cs="Arial"/>
        </w:rPr>
        <w:t>procedibilidad</w:t>
      </w:r>
      <w:proofErr w:type="spellEnd"/>
      <w:r>
        <w:rPr>
          <w:rFonts w:ascii="Palatino Linotype" w:hAnsi="Palatino Linotype" w:cs="Arial"/>
        </w:rPr>
        <w:t xml:space="preserve"> del presente recurso de revisión, en razón de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0718D0" w:rsidRDefault="000718D0">
      <w:pPr>
        <w:pStyle w:val="Prrafodelista"/>
        <w:widowControl w:val="0"/>
        <w:tabs>
          <w:tab w:val="left" w:pos="1701"/>
          <w:tab w:val="left" w:pos="1843"/>
        </w:tabs>
        <w:spacing w:line="360" w:lineRule="auto"/>
        <w:ind w:left="0"/>
        <w:jc w:val="both"/>
        <w:rPr>
          <w:rFonts w:ascii="Palatino Linotype" w:hAnsi="Palatino Linotype" w:cs="Arial"/>
        </w:rPr>
      </w:pPr>
    </w:p>
    <w:p w:rsidR="000718D0" w:rsidRDefault="009210CA">
      <w:pPr>
        <w:pStyle w:val="Prrafodelista"/>
        <w:widowControl w:val="0"/>
        <w:numPr>
          <w:ilvl w:val="0"/>
          <w:numId w:val="1"/>
        </w:numPr>
        <w:tabs>
          <w:tab w:val="left" w:pos="1276"/>
        </w:tabs>
        <w:spacing w:line="360" w:lineRule="auto"/>
        <w:ind w:left="0" w:firstLine="0"/>
        <w:contextualSpacing/>
        <w:jc w:val="both"/>
        <w:rPr>
          <w:rFonts w:ascii="Palatino Linotype" w:hAnsi="Palatino Linotype" w:cs="Arial"/>
          <w:sz w:val="22"/>
          <w:szCs w:val="22"/>
          <w:lang w:eastAsia="es-MX"/>
        </w:rPr>
      </w:pPr>
      <w:bookmarkStart w:id="4" w:name="_Ref3465962"/>
      <w:r>
        <w:rPr>
          <w:rFonts w:ascii="Palatino Linotype" w:hAnsi="Palatino Linotype" w:cs="Arial"/>
          <w:b/>
        </w:rPr>
        <w:t>Estudio y resolución del asunto.</w:t>
      </w:r>
      <w:r>
        <w:rPr>
          <w:rFonts w:ascii="Palatino Linotype" w:hAnsi="Palatino Linotype" w:cs="Arial"/>
        </w:rPr>
        <w:t xml:space="preserve"> </w:t>
      </w:r>
      <w:bookmarkEnd w:id="4"/>
      <w:r>
        <w:rPr>
          <w:rFonts w:ascii="Palatino Linotype" w:hAnsi="Palatino Linotype" w:cs="Arial"/>
        </w:rPr>
        <w:t>Del análisis efectuado se advierte que el recurso de revisión de que se trata es procedente; toda vez, que se actualiza la hipótesis prevista en la fracción II del artículo 179 de la Ley de la materia, que a la letra indica:</w:t>
      </w:r>
    </w:p>
    <w:p w:rsidR="000718D0" w:rsidRDefault="000718D0">
      <w:pPr>
        <w:spacing w:line="276" w:lineRule="auto"/>
        <w:ind w:left="709" w:right="709"/>
        <w:jc w:val="both"/>
        <w:rPr>
          <w:rFonts w:ascii="Palatino Linotype" w:hAnsi="Palatino Linotype" w:cs="Arial"/>
          <w:bCs/>
          <w:i/>
          <w:sz w:val="22"/>
          <w:szCs w:val="22"/>
        </w:rPr>
      </w:pPr>
    </w:p>
    <w:p w:rsidR="000718D0" w:rsidRDefault="009210CA">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0718D0" w:rsidRDefault="009210CA">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0718D0" w:rsidRDefault="009210C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II. La clasificación de la información;</w:t>
      </w:r>
    </w:p>
    <w:p w:rsidR="000718D0" w:rsidRDefault="009210C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0718D0" w:rsidRDefault="000718D0">
      <w:pPr>
        <w:spacing w:line="276" w:lineRule="auto"/>
        <w:ind w:left="709" w:right="709"/>
        <w:jc w:val="both"/>
        <w:rPr>
          <w:rFonts w:ascii="Palatino Linotype" w:hAnsi="Palatino Linotype" w:cs="Arial"/>
          <w:b/>
          <w:bCs/>
          <w:i/>
          <w:sz w:val="22"/>
          <w:szCs w:val="22"/>
        </w:rPr>
      </w:pPr>
    </w:p>
    <w:p w:rsidR="000718D0" w:rsidRDefault="009210C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0718D0" w:rsidRDefault="009210CA">
      <w:pPr>
        <w:widowControl w:val="0"/>
        <w:spacing w:before="200" w:after="200" w:line="360" w:lineRule="auto"/>
        <w:jc w:val="both"/>
        <w:rPr>
          <w:rFonts w:ascii="Palatino Linotype" w:hAnsi="Palatino Linotype" w:cs="Arial"/>
        </w:rPr>
      </w:pPr>
      <w:r>
        <w:rPr>
          <w:rFonts w:ascii="Palatino Linotype" w:hAnsi="Palatino Linotype" w:cs="Arial"/>
        </w:rPr>
        <w:t>El precepto legal antes citado, establece como supuestos de procedencia del recurso de revisión, la clasificación de la información, situación que se actualiza en el presente caso, ya que la información solicitada por el particular fue clasificada como reservada por un año o hasta en tanto cesen los motivos de reserva, lo que se analizara más adelante.</w:t>
      </w: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 xml:space="preserve">EL </w:t>
      </w:r>
      <w:r>
        <w:rPr>
          <w:rFonts w:ascii="Palatino Linotype" w:hAnsi="Palatino Linotype" w:cs="Arial"/>
          <w:b/>
        </w:rPr>
        <w:lastRenderedPageBreak/>
        <w:t>SAIMEX</w:t>
      </w:r>
      <w:r>
        <w:rPr>
          <w:rFonts w:ascii="Palatino Linotype" w:hAnsi="Palatino Linotype" w:cs="Arial"/>
        </w:rPr>
        <w:t>,</w:t>
      </w:r>
      <w:r>
        <w:rPr>
          <w:rFonts w:ascii="Palatino Linotype" w:hAnsi="Palatino Linotype"/>
        </w:rPr>
        <w:t xml:space="preserve"> lo siguiente:</w:t>
      </w:r>
    </w:p>
    <w:p w:rsidR="000718D0" w:rsidRDefault="009210CA">
      <w:pPr>
        <w:pStyle w:val="Prrafodelista"/>
        <w:widowControl w:val="0"/>
        <w:numPr>
          <w:ilvl w:val="0"/>
          <w:numId w:val="4"/>
        </w:numPr>
        <w:tabs>
          <w:tab w:val="left" w:pos="1701"/>
          <w:tab w:val="left" w:pos="1843"/>
        </w:tabs>
        <w:spacing w:beforeAutospacing="1" w:afterAutospacing="1" w:line="360" w:lineRule="auto"/>
        <w:contextualSpacing/>
        <w:jc w:val="both"/>
        <w:rPr>
          <w:rFonts w:ascii="Palatino Linotype" w:hAnsi="Palatino Linotype" w:cs="Arial"/>
          <w:b/>
        </w:rPr>
      </w:pPr>
      <w:r>
        <w:rPr>
          <w:rFonts w:ascii="Palatino Linotype" w:hAnsi="Palatino Linotype" w:cs="Arial"/>
          <w:b/>
        </w:rPr>
        <w:t xml:space="preserve">Información relativa a los estados financieros, en el que se integre el estado de posición financiera, balanza de comprobación, estado de actividades, flujo de efectivo, estado de ingresos y egresos, estado comparativo de egresos, estado comparativo de ingresos, avance presupuestal de egresos, disponibilidad de flujo de efectivo, estado de cambios en el capital, balanza de comprobación detallada, realizada por los Municipios de Chalco, Valle de Chalco, Ecatepec, Coacalco, Los Reyes la Paz, </w:t>
      </w:r>
      <w:proofErr w:type="spellStart"/>
      <w:r>
        <w:rPr>
          <w:rFonts w:ascii="Palatino Linotype" w:hAnsi="Palatino Linotype" w:cs="Arial"/>
          <w:b/>
        </w:rPr>
        <w:t>Luvianos</w:t>
      </w:r>
      <w:proofErr w:type="spellEnd"/>
      <w:r>
        <w:rPr>
          <w:rFonts w:ascii="Palatino Linotype" w:hAnsi="Palatino Linotype" w:cs="Arial"/>
          <w:b/>
        </w:rPr>
        <w:t xml:space="preserve">, Naucalpan y Tlalnepantla, debidamente autorizados, de los meses de agosto, septiembre, octubre, noviembre y diciembre del 2019. </w:t>
      </w: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dio repuesta</w:t>
      </w:r>
      <w:r>
        <w:rPr>
          <w:rFonts w:ascii="Palatino Linotype" w:hAnsi="Palatino Linotype" w:cs="Arial"/>
          <w:b/>
        </w:rPr>
        <w:t xml:space="preserve"> </w:t>
      </w:r>
      <w:r>
        <w:rPr>
          <w:rFonts w:ascii="Palatino Linotype" w:hAnsi="Palatino Linotype" w:cs="Arial"/>
        </w:rPr>
        <w:t xml:space="preserve">a lo solicitado por el particular, al adjuntar lo descrito en el resultando </w:t>
      </w:r>
      <w:r>
        <w:rPr>
          <w:rFonts w:ascii="Palatino Linotype" w:hAnsi="Palatino Linotype" w:cs="Arial"/>
          <w:b/>
        </w:rPr>
        <w:t>III</w:t>
      </w:r>
      <w:r>
        <w:rPr>
          <w:rFonts w:ascii="Palatino Linotype" w:hAnsi="Palatino Linotype" w:cs="Arial"/>
        </w:rPr>
        <w:t>.</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la clasificación de la información por parte del </w:t>
      </w:r>
      <w:r>
        <w:rPr>
          <w:rFonts w:ascii="Palatino Linotype" w:hAnsi="Palatino Linotype" w:cs="Arial"/>
          <w:b/>
        </w:rPr>
        <w:t>SUJETO OBLIGADO</w:t>
      </w:r>
      <w:r>
        <w:rPr>
          <w:rFonts w:ascii="Palatino Linotype" w:hAnsi="Palatino Linotype" w:cs="Arial"/>
        </w:rPr>
        <w:t>.</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mediante Informe Justificado </w:t>
      </w:r>
      <w:r>
        <w:rPr>
          <w:rFonts w:ascii="Palatino Linotype" w:hAnsi="Palatino Linotype"/>
          <w:szCs w:val="21"/>
        </w:rPr>
        <w:t>ratificó su respuesta inicial.</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0718D0" w:rsidRDefault="009210CA">
      <w:pPr>
        <w:widowControl w:val="0"/>
        <w:tabs>
          <w:tab w:val="left" w:pos="1701"/>
          <w:tab w:val="left" w:pos="1843"/>
        </w:tabs>
        <w:spacing w:before="360" w:after="240" w:line="360" w:lineRule="auto"/>
        <w:jc w:val="both"/>
        <w:rPr>
          <w:rFonts w:ascii="Palatino Linotype" w:hAnsi="Palatino Linotype" w:cs="Arial"/>
        </w:rPr>
      </w:pPr>
      <w:r>
        <w:rPr>
          <w:rFonts w:ascii="Palatino Linotype" w:hAnsi="Palatino Linotype"/>
        </w:rPr>
        <w:lastRenderedPageBreak/>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infundados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0718D0" w:rsidRDefault="009210CA">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respuesta e Informe Justificado</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0718D0" w:rsidRDefault="009210CA">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0718D0" w:rsidRDefault="000718D0">
      <w:pPr>
        <w:spacing w:line="360" w:lineRule="auto"/>
        <w:jc w:val="both"/>
        <w:rPr>
          <w:rFonts w:ascii="Palatino Linotype" w:hAnsi="Palatino Linotype"/>
          <w:lang w:val="es-ES"/>
        </w:rPr>
      </w:pPr>
    </w:p>
    <w:p w:rsidR="000718D0" w:rsidRDefault="009210CA">
      <w:pPr>
        <w:ind w:left="851" w:right="899"/>
        <w:jc w:val="both"/>
        <w:rPr>
          <w:rFonts w:ascii="Palatino Linotype" w:hAnsi="Palatino Linotype"/>
          <w:i/>
          <w:sz w:val="22"/>
          <w:szCs w:val="22"/>
          <w:lang w:val="es-ES"/>
        </w:rPr>
      </w:pPr>
      <w:r>
        <w:rPr>
          <w:rFonts w:ascii="Palatino Linotype" w:hAnsi="Palatino Linotype"/>
          <w:b/>
          <w:i/>
          <w:sz w:val="22"/>
          <w:szCs w:val="22"/>
          <w:lang w:val="es-ES"/>
        </w:rPr>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0718D0" w:rsidRDefault="000718D0">
      <w:pPr>
        <w:ind w:left="851" w:right="899"/>
        <w:jc w:val="both"/>
        <w:rPr>
          <w:rFonts w:ascii="Palatino Linotype" w:hAnsi="Palatino Linotype"/>
          <w:i/>
          <w:sz w:val="22"/>
          <w:szCs w:val="22"/>
          <w:lang w:val="es-ES"/>
        </w:rPr>
      </w:pPr>
    </w:p>
    <w:p w:rsidR="000718D0" w:rsidRDefault="009210CA">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0718D0" w:rsidRDefault="000718D0">
      <w:pPr>
        <w:spacing w:line="360" w:lineRule="auto"/>
        <w:ind w:left="851" w:right="899"/>
        <w:jc w:val="both"/>
        <w:rPr>
          <w:rFonts w:ascii="Palatino Linotype" w:hAnsi="Palatino Linotype"/>
          <w:i/>
          <w:sz w:val="22"/>
          <w:szCs w:val="22"/>
          <w:lang w:val="es-ES"/>
        </w:rPr>
      </w:pPr>
    </w:p>
    <w:p w:rsidR="000718D0" w:rsidRDefault="009210CA">
      <w:pPr>
        <w:spacing w:line="360" w:lineRule="auto"/>
        <w:jc w:val="both"/>
        <w:rPr>
          <w:rFonts w:ascii="Palatino Linotype" w:hAnsi="Palatino Linotype"/>
          <w:lang w:val="es-ES"/>
        </w:rPr>
      </w:pPr>
      <w:r>
        <w:rPr>
          <w:rFonts w:ascii="Palatino Linotype" w:hAnsi="Palatino Linotype"/>
          <w:lang w:val="es-ES"/>
        </w:rPr>
        <w:lastRenderedPageBreak/>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0718D0" w:rsidRDefault="000718D0">
      <w:pPr>
        <w:spacing w:line="360" w:lineRule="auto"/>
        <w:jc w:val="both"/>
        <w:rPr>
          <w:rFonts w:ascii="Palatino Linotype" w:hAnsi="Palatino Linotype"/>
          <w:lang w:val="es-ES"/>
        </w:rPr>
      </w:pPr>
    </w:p>
    <w:p w:rsidR="000718D0" w:rsidRDefault="009210CA">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 e Informe Justificado, a fin de dar atención a la solicitud planteada, este Instituto no está facultado para manifestarse sobre la veracidad de la información proporcionada, conforme al artículo 36 de la Ley de la Materia.</w:t>
      </w:r>
    </w:p>
    <w:p w:rsidR="000718D0" w:rsidRDefault="009210CA">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0718D0" w:rsidRDefault="009210CA">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Pr>
          <w:rFonts w:ascii="Palatino Linotype" w:hAnsi="Palatino Linotype" w:cs="Arial"/>
          <w:i/>
          <w:sz w:val="22"/>
        </w:rPr>
        <w:lastRenderedPageBreak/>
        <w:t xml:space="preserve">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2395/09 Secretaría de Economía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0837/10 Administración Portuaria Integral de Veracruz, S.A. de C.V. – María </w:t>
      </w:r>
      <w:proofErr w:type="spellStart"/>
      <w:r>
        <w:rPr>
          <w:rFonts w:ascii="Palatino Linotype" w:hAnsi="Palatino Linotype" w:cs="Arial"/>
          <w:i/>
          <w:sz w:val="22"/>
        </w:rPr>
        <w:t>Marván</w:t>
      </w:r>
      <w:proofErr w:type="spellEnd"/>
      <w:r>
        <w:rPr>
          <w:rFonts w:ascii="Palatino Linotype" w:hAnsi="Palatino Linotype" w:cs="Arial"/>
          <w:i/>
          <w:sz w:val="22"/>
        </w:rPr>
        <w:t xml:space="preserve"> Laborde </w:t>
      </w:r>
    </w:p>
    <w:p w:rsidR="000718D0" w:rsidRDefault="009210CA">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0718D0" w:rsidRDefault="000718D0">
      <w:pPr>
        <w:spacing w:line="360" w:lineRule="auto"/>
        <w:jc w:val="both"/>
        <w:rPr>
          <w:rFonts w:ascii="Palatino Linotype" w:eastAsia="Arial Unicode MS" w:hAnsi="Palatino Linotype" w:cs="Arial"/>
          <w:lang w:val="es-ES"/>
        </w:rPr>
      </w:pPr>
    </w:p>
    <w:p w:rsidR="000718D0" w:rsidRDefault="009210CA">
      <w:pPr>
        <w:spacing w:beforeAutospacing="1" w:afterAutospacing="1" w:line="360" w:lineRule="auto"/>
        <w:contextualSpacing/>
        <w:jc w:val="both"/>
        <w:rPr>
          <w:rFonts w:ascii="Palatino Linotype" w:eastAsia="Calibri" w:hAnsi="Palatino Linotype" w:cs="Arial"/>
          <w:b/>
        </w:rPr>
      </w:pPr>
      <w:r>
        <w:rPr>
          <w:rFonts w:ascii="Palatino Linotype" w:eastAsia="Calibri" w:hAnsi="Palatino Linotype" w:cs="Arial"/>
        </w:rPr>
        <w:t xml:space="preserve">En este mismo orden de ideas, es importante desglosar la información solicitada, con la remitida en respuesta, a efecto de verificar si </w:t>
      </w:r>
      <w:r>
        <w:rPr>
          <w:rFonts w:ascii="Palatino Linotype" w:eastAsia="Calibri" w:hAnsi="Palatino Linotype" w:cs="Arial"/>
          <w:b/>
        </w:rPr>
        <w:t xml:space="preserve">EL SUJETO OBLIGADO </w:t>
      </w:r>
      <w:r>
        <w:rPr>
          <w:rFonts w:ascii="Palatino Linotype" w:eastAsia="Calibri" w:hAnsi="Palatino Linotype" w:cs="Arial"/>
        </w:rPr>
        <w:t>satisfizo el derecho de acceso a la información del ahora</w:t>
      </w:r>
      <w:r>
        <w:rPr>
          <w:rFonts w:ascii="Palatino Linotype" w:eastAsia="Calibri" w:hAnsi="Palatino Linotype" w:cs="Arial"/>
          <w:b/>
        </w:rPr>
        <w:t xml:space="preserve"> RECURRENTE.</w:t>
      </w:r>
    </w:p>
    <w:p w:rsidR="000718D0" w:rsidRDefault="000718D0">
      <w:pPr>
        <w:spacing w:beforeAutospacing="1" w:afterAutospacing="1" w:line="360" w:lineRule="auto"/>
        <w:contextualSpacing/>
        <w:jc w:val="both"/>
        <w:rPr>
          <w:rFonts w:ascii="Palatino Linotype" w:eastAsia="Calibri" w:hAnsi="Palatino Linotype" w:cs="Arial"/>
          <w:b/>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b/>
          <w:i/>
        </w:rPr>
      </w:pPr>
      <w:r>
        <w:rPr>
          <w:rFonts w:ascii="Palatino Linotype" w:eastAsia="Calibri" w:hAnsi="Palatino Linotype" w:cs="Arial"/>
        </w:rPr>
        <w:t xml:space="preserve">Así cabe recordar que, el particular, requirió del </w:t>
      </w:r>
      <w:r>
        <w:rPr>
          <w:rFonts w:ascii="Palatino Linotype" w:eastAsia="Calibri" w:hAnsi="Palatino Linotype" w:cs="Arial"/>
          <w:b/>
        </w:rPr>
        <w:t>SUJETO OBLIGADO</w:t>
      </w:r>
      <w:r>
        <w:rPr>
          <w:rFonts w:ascii="Palatino Linotype" w:eastAsia="Calibri" w:hAnsi="Palatino Linotype" w:cs="Arial"/>
        </w:rPr>
        <w:t xml:space="preserve">, la </w:t>
      </w:r>
      <w:r>
        <w:rPr>
          <w:rFonts w:ascii="Palatino Linotype" w:hAnsi="Palatino Linotype" w:cs="Arial"/>
          <w:b/>
          <w:i/>
        </w:rPr>
        <w:t xml:space="preserve">información relativa a los estados financieros, en el que se integre el estado de posición financiera, balanza de comprobación, estado de actividades, flujo de efectivo, estado de ingresos y egresos, estado comparativo de egresos, estado comparativo de ingresos, avance presupuestal de egresos, disponibilidad de flujo de efectivo, estado de cambios en el capital, balanza de comprobación detallada, realizada por los Municipios de Chalco, Valle de Chalco, Ecatepec, Coacalco, Los Reyes la Paz, </w:t>
      </w:r>
      <w:proofErr w:type="spellStart"/>
      <w:r>
        <w:rPr>
          <w:rFonts w:ascii="Palatino Linotype" w:hAnsi="Palatino Linotype" w:cs="Arial"/>
          <w:b/>
          <w:i/>
        </w:rPr>
        <w:t>Luvianos</w:t>
      </w:r>
      <w:proofErr w:type="spellEnd"/>
      <w:r>
        <w:rPr>
          <w:rFonts w:ascii="Palatino Linotype" w:hAnsi="Palatino Linotype" w:cs="Arial"/>
          <w:b/>
          <w:i/>
        </w:rPr>
        <w:t>, Naucalpan y Tlalnepantla, debidamente autorizados, de los meses de agosto, septiembre, octubre, noviembre y diciembre del 2019.</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b/>
          <w:i/>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Acto seguido, mediante respuesta la Servidora Pública Habilitada del Órgano Superior </w:t>
      </w:r>
      <w:r>
        <w:rPr>
          <w:rFonts w:ascii="Palatino Linotype" w:hAnsi="Palatino Linotype" w:cs="Arial"/>
        </w:rPr>
        <w:lastRenderedPageBreak/>
        <w:t>de Fiscalización, manifestó que después de una búsqueda de la documentación solicitada en los archivos y conforme a los Lineamientos para la entrega del Informe Mensual Municipal 2019, se localizó la información requerida del periodo de agosto a noviembre de 2019, no así, del mes de diciembre de 2019, ya que conforme  al numeral 32 de la Ley de Fiscalización Superior del Estado de México, se tenía como fecha límite para presentar el informe mensual de diciembre de 2019, por parte de los entes fiscalizables hasta el 4 de febrero de 2020. De igual forma, manifestó que de manera temporal existía impedimento legal para proporcionar la información localizada, ya que la documentación relacionada con el ejercicio de los recursos a cargo de los entes fiscalizables 2019, es motivo de revisión y fiscalización en el año 2020, por tanto, formaban parte de un proceso de revisión y fiscalización sin concluir, ya que de conformidad con los numerales 32 y 50 de la Ley de Fiscalización Superior del Estado de México, 35 de la Ley Orgánica del Poder Legislativo del Estado Libre y Soberano del México, se contaba con fecha de plazo improrrogable para rendir a la Legislatura el Informe de Resultados de la Fiscalización practicada (revisión a informes mensuales y cuentas públicas anuales; evaluaciones y auditorías practicadas al año 2019 de los entes fiscalizables) al 30 de septiembre de 2020.</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0718D0" w:rsidRDefault="009210CA">
      <w:pPr>
        <w:spacing w:line="360" w:lineRule="auto"/>
        <w:jc w:val="both"/>
        <w:rPr>
          <w:rFonts w:ascii="Palatino Linotype" w:eastAsia="Calibri" w:hAnsi="Palatino Linotype" w:cs="Arial"/>
          <w:lang w:val="es-ES"/>
        </w:rPr>
      </w:pPr>
      <w:r>
        <w:rPr>
          <w:rFonts w:ascii="Palatino Linotype" w:eastAsia="Calibri" w:hAnsi="Palatino Linotype" w:cs="Arial"/>
          <w:lang w:val="es-ES"/>
        </w:rPr>
        <w:t xml:space="preserve">Por lo anterior, es </w:t>
      </w:r>
      <w:r>
        <w:rPr>
          <w:rFonts w:ascii="Palatino Linotype" w:hAnsi="Palatino Linotype" w:cs="Arial"/>
          <w:lang w:val="es-ES"/>
        </w:rPr>
        <w:t>conveniente precisar l</w:t>
      </w:r>
      <w:r>
        <w:rPr>
          <w:rFonts w:ascii="Palatino Linotype" w:eastAsia="Calibri" w:hAnsi="Palatino Linotype" w:cs="Arial"/>
          <w:lang w:val="es-ES"/>
        </w:rPr>
        <w:t xml:space="preserve">a definición del </w:t>
      </w:r>
      <w:r>
        <w:rPr>
          <w:rFonts w:ascii="Palatino Linotype" w:eastAsia="Calibri" w:hAnsi="Palatino Linotype" w:cs="Arial"/>
          <w:b/>
          <w:i/>
          <w:lang w:val="es-ES"/>
        </w:rPr>
        <w:t>“Estado de Situación Financiera”</w:t>
      </w:r>
      <w:r>
        <w:rPr>
          <w:rFonts w:ascii="Palatino Linotype" w:eastAsia="Calibri" w:hAnsi="Palatino Linotype" w:cs="Arial"/>
          <w:lang w:val="es-ES"/>
        </w:rPr>
        <w:t>, al respecto, El Glosario de Términos Hacendarios del Instituto Hacendario del Estado de México, lo define como:</w:t>
      </w:r>
    </w:p>
    <w:p w:rsidR="000718D0" w:rsidRDefault="000718D0">
      <w:pPr>
        <w:jc w:val="both"/>
        <w:rPr>
          <w:rFonts w:ascii="Palatino Linotype" w:hAnsi="Palatino Linotype"/>
          <w:sz w:val="22"/>
          <w:szCs w:val="22"/>
          <w:lang w:val="es-ES"/>
        </w:rPr>
      </w:pPr>
    </w:p>
    <w:p w:rsidR="000718D0" w:rsidRDefault="009210CA">
      <w:pPr>
        <w:tabs>
          <w:tab w:val="left" w:pos="851"/>
        </w:tabs>
        <w:ind w:left="851" w:right="901"/>
        <w:jc w:val="both"/>
        <w:rPr>
          <w:rFonts w:ascii="Palatino Linotype" w:eastAsia="Calibri" w:hAnsi="Palatino Linotype" w:cs="Arial"/>
          <w:i/>
          <w:sz w:val="22"/>
          <w:szCs w:val="22"/>
          <w:lang w:val="es-ES"/>
        </w:rPr>
      </w:pPr>
      <w:r>
        <w:rPr>
          <w:rFonts w:ascii="Palatino Linotype" w:eastAsia="Calibri" w:hAnsi="Palatino Linotype" w:cs="Arial"/>
          <w:i/>
          <w:sz w:val="22"/>
          <w:szCs w:val="22"/>
          <w:lang w:val="es-ES"/>
        </w:rPr>
        <w:t xml:space="preserve">“Un documento contable que refleja la situación financiera de un ente económico, ya sea de una organización pública o privada, a una fecha determinada, y que permite </w:t>
      </w:r>
      <w:r>
        <w:rPr>
          <w:rFonts w:ascii="Palatino Linotype" w:eastAsia="Calibri" w:hAnsi="Palatino Linotype" w:cs="Arial"/>
          <w:i/>
          <w:sz w:val="22"/>
          <w:szCs w:val="22"/>
          <w:lang w:val="es-ES"/>
        </w:rPr>
        <w:lastRenderedPageBreak/>
        <w:t xml:space="preserve">efectuar un análisis </w:t>
      </w:r>
      <w:r>
        <w:rPr>
          <w:rFonts w:ascii="Palatino Linotype" w:eastAsiaTheme="minorEastAsia" w:hAnsi="Palatino Linotype" w:cs="Arial"/>
          <w:i/>
          <w:sz w:val="22"/>
          <w:szCs w:val="22"/>
          <w:lang w:val="es-ES_tradnl"/>
        </w:rPr>
        <w:t>comparativo</w:t>
      </w:r>
      <w:r>
        <w:rPr>
          <w:rFonts w:ascii="Palatino Linotype" w:eastAsia="Calibri" w:hAnsi="Palatino Linotype" w:cs="Arial"/>
          <w:i/>
          <w:sz w:val="22"/>
          <w:szCs w:val="22"/>
          <w:lang w:val="es-ES"/>
        </w:rPr>
        <w:t xml:space="preserve"> de la misma; incluye el activo, el pasivo y el patrimonio.”</w:t>
      </w:r>
    </w:p>
    <w:p w:rsidR="000718D0" w:rsidRDefault="000718D0">
      <w:pPr>
        <w:tabs>
          <w:tab w:val="left" w:pos="851"/>
        </w:tabs>
        <w:ind w:left="851" w:right="901"/>
        <w:jc w:val="both"/>
        <w:rPr>
          <w:rFonts w:ascii="Palatino Linotype" w:eastAsia="Calibri" w:hAnsi="Palatino Linotype" w:cs="Arial"/>
          <w:i/>
          <w:sz w:val="22"/>
          <w:szCs w:val="22"/>
          <w:lang w:val="es-ES"/>
        </w:rPr>
      </w:pPr>
    </w:p>
    <w:p w:rsidR="000718D0" w:rsidRDefault="009210CA">
      <w:pPr>
        <w:spacing w:line="360" w:lineRule="auto"/>
        <w:jc w:val="both"/>
        <w:rPr>
          <w:rFonts w:ascii="Palatino Linotype" w:eastAsia="Calibri" w:hAnsi="Palatino Linotype" w:cs="Arial"/>
          <w:lang w:val="es-ES"/>
        </w:rPr>
      </w:pPr>
      <w:r>
        <w:rPr>
          <w:rFonts w:ascii="Palatino Linotype" w:eastAsia="Calibri" w:hAnsi="Palatino Linotype" w:cs="Arial"/>
          <w:lang w:val="es-ES"/>
        </w:rPr>
        <w:t>De igual forma, el Glosario citado define que:</w:t>
      </w:r>
    </w:p>
    <w:p w:rsidR="000718D0" w:rsidRDefault="000718D0">
      <w:pPr>
        <w:jc w:val="both"/>
        <w:rPr>
          <w:rFonts w:ascii="Palatino Linotype" w:eastAsia="Calibri" w:hAnsi="Palatino Linotype" w:cs="Arial"/>
          <w:sz w:val="22"/>
          <w:szCs w:val="22"/>
          <w:lang w:val="es-ES"/>
        </w:rPr>
      </w:pPr>
    </w:p>
    <w:p w:rsidR="000718D0" w:rsidRDefault="009210CA">
      <w:pPr>
        <w:ind w:left="851" w:right="850"/>
        <w:jc w:val="both"/>
        <w:rPr>
          <w:rFonts w:ascii="Palatino Linotype" w:eastAsia="Calibri" w:hAnsi="Palatino Linotype" w:cs="Arial"/>
          <w:i/>
          <w:sz w:val="22"/>
          <w:szCs w:val="22"/>
          <w:lang w:val="es-ES"/>
        </w:rPr>
      </w:pPr>
      <w:r>
        <w:rPr>
          <w:rFonts w:ascii="Palatino Linotype" w:eastAsia="Calibri" w:hAnsi="Palatino Linotype" w:cs="Arial"/>
          <w:b/>
          <w:i/>
          <w:sz w:val="22"/>
          <w:szCs w:val="22"/>
          <w:lang w:val="es-ES"/>
        </w:rPr>
        <w:t xml:space="preserve">“Activo: </w:t>
      </w:r>
      <w:r>
        <w:rPr>
          <w:rFonts w:ascii="Palatino Linotype" w:eastAsia="Calibri" w:hAnsi="Palatino Linotype" w:cs="Arial"/>
          <w:i/>
          <w:sz w:val="22"/>
          <w:szCs w:val="22"/>
          <w:lang w:val="es-ES"/>
        </w:rPr>
        <w:t>es el conjunto de bienes, valores y derechos reales y personales sobre los que se tiene la propiedad.</w:t>
      </w:r>
    </w:p>
    <w:p w:rsidR="000718D0" w:rsidRDefault="000718D0">
      <w:pPr>
        <w:ind w:left="851" w:right="850"/>
        <w:jc w:val="both"/>
        <w:rPr>
          <w:rFonts w:ascii="Palatino Linotype" w:eastAsia="Calibri" w:hAnsi="Palatino Linotype" w:cs="Arial"/>
          <w:i/>
          <w:sz w:val="22"/>
          <w:szCs w:val="22"/>
          <w:lang w:val="es-ES"/>
        </w:rPr>
      </w:pPr>
    </w:p>
    <w:p w:rsidR="000718D0" w:rsidRDefault="009210CA">
      <w:pPr>
        <w:ind w:left="851" w:right="850"/>
        <w:jc w:val="both"/>
        <w:rPr>
          <w:rFonts w:ascii="Palatino Linotype" w:eastAsia="Calibri" w:hAnsi="Palatino Linotype" w:cs="Arial"/>
          <w:b/>
          <w:i/>
          <w:sz w:val="22"/>
          <w:szCs w:val="22"/>
          <w:lang w:val="es-ES"/>
        </w:rPr>
      </w:pPr>
      <w:r>
        <w:rPr>
          <w:rFonts w:ascii="Palatino Linotype" w:eastAsia="Calibri" w:hAnsi="Palatino Linotype" w:cs="Arial"/>
          <w:i/>
          <w:sz w:val="22"/>
          <w:szCs w:val="22"/>
          <w:lang w:val="es-ES"/>
        </w:rPr>
        <w:t>Término contable-financiero con el que se denomina al conjunto de recursos económicos con los que cuenta una persona, sociedad, corporación, entidad empresa o cualquier organización económica.</w:t>
      </w:r>
    </w:p>
    <w:p w:rsidR="000718D0" w:rsidRDefault="000718D0">
      <w:pPr>
        <w:ind w:left="851" w:right="850"/>
        <w:jc w:val="both"/>
        <w:rPr>
          <w:rFonts w:ascii="Palatino Linotype" w:eastAsia="Calibri" w:hAnsi="Palatino Linotype" w:cs="Arial"/>
          <w:i/>
          <w:sz w:val="22"/>
          <w:szCs w:val="22"/>
          <w:lang w:val="es-ES"/>
        </w:rPr>
      </w:pPr>
    </w:p>
    <w:p w:rsidR="000718D0" w:rsidRDefault="009210CA">
      <w:pPr>
        <w:ind w:left="851" w:right="850"/>
        <w:jc w:val="both"/>
        <w:rPr>
          <w:rFonts w:ascii="Palatino Linotype" w:eastAsia="Calibri" w:hAnsi="Palatino Linotype" w:cs="Arial"/>
          <w:b/>
          <w:i/>
          <w:sz w:val="22"/>
          <w:szCs w:val="22"/>
          <w:lang w:val="es-ES"/>
        </w:rPr>
      </w:pPr>
      <w:r>
        <w:rPr>
          <w:rFonts w:ascii="Palatino Linotype" w:eastAsia="Calibri" w:hAnsi="Palatino Linotype" w:cs="Arial"/>
          <w:b/>
          <w:i/>
          <w:sz w:val="22"/>
          <w:szCs w:val="22"/>
          <w:lang w:val="es-ES"/>
        </w:rPr>
        <w:t xml:space="preserve">Pasivo: </w:t>
      </w:r>
      <w:r>
        <w:rPr>
          <w:rFonts w:ascii="Palatino Linotype" w:eastAsia="Calibri" w:hAnsi="Palatino Linotype" w:cs="Arial"/>
          <w:i/>
          <w:sz w:val="22"/>
          <w:szCs w:val="22"/>
          <w:lang w:val="es-ES"/>
        </w:rPr>
        <w:t>es el conjunto de obligaciones y gravámenes a cargo de los propietarios o empresarios de un negocio.</w:t>
      </w:r>
    </w:p>
    <w:p w:rsidR="000718D0" w:rsidRDefault="000718D0">
      <w:pPr>
        <w:ind w:left="851" w:right="850"/>
        <w:jc w:val="both"/>
        <w:rPr>
          <w:rFonts w:ascii="Palatino Linotype" w:eastAsia="Calibri" w:hAnsi="Palatino Linotype" w:cs="Arial"/>
          <w:i/>
          <w:sz w:val="22"/>
          <w:szCs w:val="22"/>
          <w:lang w:val="es-ES"/>
        </w:rPr>
      </w:pPr>
    </w:p>
    <w:p w:rsidR="000718D0" w:rsidRDefault="009210CA">
      <w:pPr>
        <w:ind w:left="851" w:right="850"/>
        <w:jc w:val="both"/>
        <w:rPr>
          <w:rFonts w:ascii="Palatino Linotype" w:eastAsia="Calibri" w:hAnsi="Palatino Linotype" w:cs="Arial"/>
          <w:i/>
          <w:sz w:val="22"/>
          <w:szCs w:val="22"/>
          <w:lang w:val="es-ES"/>
        </w:rPr>
      </w:pPr>
      <w:r>
        <w:rPr>
          <w:rFonts w:ascii="Palatino Linotype" w:eastAsia="Calibri" w:hAnsi="Palatino Linotype" w:cs="Arial"/>
          <w:b/>
          <w:i/>
          <w:sz w:val="22"/>
          <w:szCs w:val="22"/>
          <w:lang w:val="es-ES"/>
        </w:rPr>
        <w:t>Patrimonio:</w:t>
      </w:r>
      <w:r>
        <w:rPr>
          <w:rFonts w:ascii="Palatino Linotype" w:eastAsia="Calibri" w:hAnsi="Palatino Linotype" w:cs="Arial"/>
          <w:i/>
          <w:sz w:val="22"/>
          <w:szCs w:val="22"/>
          <w:lang w:val="es-ES"/>
        </w:rPr>
        <w:t xml:space="preserve"> es el conjunto de bienes y derechos de una persona, empresa o país en un momento determinado y que tiene un valor económico. El patrimonio está constituido por bienes inmuebles, muebles, títulos, valores, derechos intangibles, acciones, obligaciones y deudas, entre otros.</w:t>
      </w:r>
    </w:p>
    <w:p w:rsidR="000718D0" w:rsidRDefault="000718D0">
      <w:pPr>
        <w:ind w:left="851" w:right="850"/>
        <w:jc w:val="both"/>
        <w:rPr>
          <w:rFonts w:ascii="Palatino Linotype" w:eastAsia="Calibri" w:hAnsi="Palatino Linotype" w:cs="Arial"/>
          <w:i/>
          <w:sz w:val="22"/>
          <w:szCs w:val="22"/>
          <w:lang w:val="es-ES"/>
        </w:rPr>
      </w:pPr>
    </w:p>
    <w:p w:rsidR="000718D0" w:rsidRDefault="009210CA">
      <w:pPr>
        <w:ind w:left="851" w:right="850"/>
        <w:jc w:val="both"/>
        <w:rPr>
          <w:rFonts w:ascii="Palatino Linotype" w:eastAsia="Calibri" w:hAnsi="Palatino Linotype" w:cs="Arial"/>
          <w:b/>
          <w:i/>
          <w:sz w:val="22"/>
          <w:szCs w:val="22"/>
          <w:lang w:val="es-ES"/>
        </w:rPr>
      </w:pPr>
      <w:r>
        <w:rPr>
          <w:rFonts w:ascii="Palatino Linotype" w:eastAsia="Calibri" w:hAnsi="Palatino Linotype" w:cs="Arial"/>
          <w:i/>
          <w:sz w:val="22"/>
          <w:szCs w:val="22"/>
          <w:lang w:val="es-ES"/>
        </w:rPr>
        <w:t>Cuenta de la situación financiera que representa el importe de los bienes y derechos que son propiedad de los gobiernos federal, estatal y municipal</w:t>
      </w:r>
      <w:r>
        <w:rPr>
          <w:rFonts w:ascii="Palatino Linotype" w:eastAsia="Calibri" w:hAnsi="Palatino Linotype" w:cs="Arial"/>
          <w:b/>
          <w:i/>
          <w:sz w:val="22"/>
          <w:szCs w:val="22"/>
          <w:lang w:val="es-ES"/>
        </w:rPr>
        <w:t>”</w:t>
      </w:r>
    </w:p>
    <w:p w:rsidR="000718D0" w:rsidRDefault="000718D0">
      <w:pPr>
        <w:ind w:left="851" w:right="850"/>
        <w:jc w:val="both"/>
        <w:rPr>
          <w:rFonts w:ascii="Palatino Linotype" w:eastAsia="Calibri" w:hAnsi="Palatino Linotype" w:cs="Arial"/>
          <w:b/>
          <w:i/>
          <w:sz w:val="22"/>
          <w:szCs w:val="22"/>
          <w:lang w:val="es-ES"/>
        </w:rPr>
      </w:pPr>
    </w:p>
    <w:p w:rsidR="000718D0" w:rsidRDefault="009210CA">
      <w:pPr>
        <w:spacing w:line="360" w:lineRule="auto"/>
        <w:jc w:val="both"/>
        <w:rPr>
          <w:rFonts w:ascii="Palatino Linotype" w:eastAsia="Calibri" w:hAnsi="Palatino Linotype" w:cs="Arial"/>
          <w:lang w:val="es-ES"/>
        </w:rPr>
      </w:pPr>
      <w:r>
        <w:rPr>
          <w:rFonts w:ascii="Palatino Linotype" w:eastAsia="Calibri" w:hAnsi="Palatino Linotype" w:cs="Arial"/>
          <w:lang w:val="es-ES"/>
        </w:rPr>
        <w:t xml:space="preserve">Los conceptos anteriores se complementan con lo dispuesto por el Manual Único de Contabilidad Gubernamental para las Dependencias y Entidades Públicas del Gobierno y Municipios del Estado de México (Décimo Octava Edición), publicado en la Gaceta de Gobierno del Estado de México el día treinta y uno de mayo de dos mil diecinueve, el cual en su página 209, expresa que la finalidad del estado de situación financiera “…es mostrar información relativa a los recursos y obligaciones de un ente público, a una fecha determinada. Se estructura en Activos, Pasivos y Hacienda Pública/Patrimonio. Los activos están ordenados de acuerdo con su disponibilidad en circulantes y no circulantes revelando sus restricciones y, los pasivos, por su </w:t>
      </w:r>
      <w:r>
        <w:rPr>
          <w:rFonts w:ascii="Palatino Linotype" w:eastAsia="Calibri" w:hAnsi="Palatino Linotype" w:cs="Arial"/>
          <w:lang w:val="es-ES"/>
        </w:rPr>
        <w:lastRenderedPageBreak/>
        <w:t xml:space="preserve">exigibilidad igualmente en circulantes y no circulantes, de esta manera se revelan las restricciones a las que el ente público está sujeto, así como sus riesgos financieros”. </w:t>
      </w:r>
    </w:p>
    <w:p w:rsidR="000718D0" w:rsidRDefault="000718D0">
      <w:pPr>
        <w:spacing w:line="360" w:lineRule="auto"/>
        <w:jc w:val="both"/>
        <w:rPr>
          <w:rFonts w:ascii="Palatino Linotype" w:eastAsia="Calibri" w:hAnsi="Palatino Linotype" w:cs="Arial"/>
          <w:lang w:val="es-ES"/>
        </w:rPr>
      </w:pPr>
    </w:p>
    <w:p w:rsidR="000718D0" w:rsidRDefault="009210CA">
      <w:pPr>
        <w:spacing w:line="360" w:lineRule="auto"/>
        <w:jc w:val="both"/>
        <w:rPr>
          <w:rFonts w:ascii="Palatino Linotype" w:eastAsia="Calibri" w:hAnsi="Palatino Linotype" w:cs="Arial"/>
          <w:lang w:val="es-ES"/>
        </w:rPr>
      </w:pPr>
      <w:r>
        <w:rPr>
          <w:rFonts w:ascii="Palatino Linotype" w:eastAsia="Calibri" w:hAnsi="Palatino Linotype" w:cs="Arial"/>
          <w:lang w:val="es-ES"/>
        </w:rPr>
        <w:t>Los elementos citados conllevan a considerar, que el “</w:t>
      </w:r>
      <w:r>
        <w:rPr>
          <w:rFonts w:ascii="Palatino Linotype" w:eastAsia="Calibri" w:hAnsi="Palatino Linotype" w:cs="Arial"/>
          <w:b/>
          <w:lang w:val="es-ES"/>
        </w:rPr>
        <w:t xml:space="preserve">estado de situación financiera” </w:t>
      </w:r>
      <w:r>
        <w:rPr>
          <w:rFonts w:ascii="Palatino Linotype" w:eastAsia="Calibri" w:hAnsi="Palatino Linotype" w:cs="Arial"/>
          <w:lang w:val="es-ES"/>
        </w:rPr>
        <w:t>es el documento contable perteneciente a los Municipios señalados en la solicitud, que refleja su situación financiera, incluyendo su activo, pasivo y patrimonio, con la finalidad de mostrar la posición financiera de la entidad fiscalizable.</w:t>
      </w:r>
    </w:p>
    <w:p w:rsidR="000718D0" w:rsidRDefault="000718D0">
      <w:pPr>
        <w:spacing w:line="360" w:lineRule="auto"/>
        <w:jc w:val="both"/>
        <w:rPr>
          <w:rFonts w:ascii="Palatino Linotype" w:eastAsia="Calibri" w:hAnsi="Palatino Linotype" w:cs="Arial"/>
          <w:lang w:val="es-ES"/>
        </w:rPr>
      </w:pPr>
    </w:p>
    <w:p w:rsidR="000718D0" w:rsidRDefault="009210CA">
      <w:pPr>
        <w:spacing w:line="360" w:lineRule="auto"/>
        <w:jc w:val="both"/>
        <w:rPr>
          <w:rFonts w:ascii="Palatino Linotype" w:hAnsi="Palatino Linotype"/>
          <w:lang w:val="es-ES_tradnl" w:eastAsia="en-US"/>
        </w:rPr>
      </w:pPr>
      <w:r>
        <w:rPr>
          <w:rFonts w:ascii="Palatino Linotype" w:hAnsi="Palatino Linotype"/>
          <w:color w:val="000000"/>
          <w:lang w:val="es-ES"/>
        </w:rPr>
        <w:t>Así pues, es de señalar el</w:t>
      </w:r>
      <w:r>
        <w:rPr>
          <w:rFonts w:ascii="Palatino Linotype" w:eastAsia="Calibri" w:hAnsi="Palatino Linotype" w:cs="Arial"/>
          <w:lang w:val="es-ES"/>
        </w:rPr>
        <w:t xml:space="preserve"> “</w:t>
      </w:r>
      <w:r>
        <w:rPr>
          <w:rFonts w:ascii="Palatino Linotype" w:eastAsia="Calibri" w:hAnsi="Palatino Linotype" w:cs="Arial"/>
          <w:b/>
          <w:lang w:val="es-ES"/>
        </w:rPr>
        <w:t>Estado de Situación Financiera</w:t>
      </w:r>
      <w:r>
        <w:rPr>
          <w:rFonts w:ascii="Palatino Linotype" w:eastAsia="Calibri" w:hAnsi="Palatino Linotype" w:cs="Arial"/>
          <w:lang w:val="es-ES"/>
        </w:rPr>
        <w:t xml:space="preserve">” </w:t>
      </w:r>
      <w:r>
        <w:rPr>
          <w:rFonts w:ascii="Palatino Linotype" w:hAnsi="Palatino Linotype" w:cs="Arial"/>
          <w:lang w:eastAsia="en-US"/>
        </w:rPr>
        <w:t xml:space="preserve">es un documento que se entrega mediante Informe mensual al Órgano Superior de Fiscalización de ésta Entidad, los primeros veinte días posteriores al termino del mes correspondiente, tal y como lo establecen los artículos 1, 2, y 32 de la </w:t>
      </w:r>
      <w:r>
        <w:rPr>
          <w:rFonts w:ascii="Palatino Linotype" w:hAnsi="Palatino Linotype"/>
          <w:lang w:val="es-ES_tradnl" w:eastAsia="en-US"/>
        </w:rPr>
        <w:t>Ley de Fiscalización Superior del Estado de México que al efecto señalan:</w:t>
      </w:r>
    </w:p>
    <w:p w:rsidR="000718D0" w:rsidRDefault="000718D0">
      <w:pPr>
        <w:ind w:left="851"/>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t xml:space="preserve">“Artículo 1.- </w:t>
      </w:r>
      <w:r>
        <w:rPr>
          <w:rFonts w:ascii="Palatino Linotype" w:hAnsi="Palatino Linotype" w:cs="Bookman Old Style"/>
          <w:i/>
          <w:sz w:val="22"/>
          <w:szCs w:val="22"/>
          <w:lang w:eastAsia="en-US"/>
        </w:rPr>
        <w:t>La presente Ley es de orden público e interés general y tiene por objeto establecer disposiciones para fiscalizar, auditar, revisar, substanciar, resolver y sancionar las cuentas y actos relativos a la aplicación de los fondos públicos del Estado y de los Municipios; así como los fondos públicos federales en los términos convenidos con dicho ámbito; asimismo, regular la organización, funcionamiento y atribuciones del órgano encargado de la aplicación de esta Ley.”</w:t>
      </w:r>
    </w:p>
    <w:p w:rsidR="000718D0" w:rsidRDefault="000718D0">
      <w:pPr>
        <w:ind w:left="851" w:right="902"/>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t xml:space="preserve">“Artículo 2.- </w:t>
      </w:r>
      <w:r>
        <w:rPr>
          <w:rFonts w:ascii="Palatino Linotype" w:hAnsi="Palatino Linotype" w:cs="Bookman Old Style"/>
          <w:i/>
          <w:sz w:val="22"/>
          <w:szCs w:val="22"/>
          <w:lang w:eastAsia="en-US"/>
        </w:rPr>
        <w:t>Para los efectos de la presente Ley, se entenderá por:</w:t>
      </w:r>
    </w:p>
    <w:p w:rsidR="000718D0" w:rsidRDefault="009210CA">
      <w:pPr>
        <w:ind w:left="851" w:right="902"/>
        <w:jc w:val="both"/>
        <w:rPr>
          <w:rFonts w:ascii="Palatino Linotype" w:hAnsi="Palatino Linotype" w:cs="Bookman Old Style"/>
          <w:b/>
          <w:bCs/>
          <w:i/>
          <w:sz w:val="22"/>
          <w:szCs w:val="22"/>
          <w:lang w:eastAsia="en-US"/>
        </w:rPr>
      </w:pPr>
      <w:r>
        <w:rPr>
          <w:rFonts w:ascii="Palatino Linotype" w:hAnsi="Palatino Linotype" w:cs="Bookman Old Style"/>
          <w:b/>
          <w:bCs/>
          <w:i/>
          <w:sz w:val="22"/>
          <w:szCs w:val="22"/>
          <w:lang w:eastAsia="en-US"/>
        </w:rPr>
        <w:t>…</w:t>
      </w:r>
    </w:p>
    <w:p w:rsidR="000718D0" w:rsidRDefault="000718D0">
      <w:pPr>
        <w:ind w:left="851" w:right="902"/>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t xml:space="preserve">II. </w:t>
      </w:r>
      <w:r>
        <w:rPr>
          <w:rFonts w:ascii="Palatino Linotype" w:hAnsi="Palatino Linotype" w:cs="Bookman Old Style"/>
          <w:b/>
          <w:i/>
          <w:sz w:val="22"/>
          <w:szCs w:val="22"/>
          <w:lang w:eastAsia="en-US"/>
        </w:rPr>
        <w:t>Municipios</w:t>
      </w:r>
      <w:r>
        <w:rPr>
          <w:rFonts w:ascii="Palatino Linotype" w:hAnsi="Palatino Linotype" w:cs="Bookman Old Style"/>
          <w:i/>
          <w:sz w:val="22"/>
          <w:szCs w:val="22"/>
          <w:lang w:eastAsia="en-US"/>
        </w:rPr>
        <w:t>: A los Municipios del Estado;</w:t>
      </w:r>
    </w:p>
    <w:p w:rsidR="000718D0" w:rsidRDefault="000718D0">
      <w:pPr>
        <w:ind w:left="851" w:right="902"/>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t xml:space="preserve">III. </w:t>
      </w:r>
      <w:r>
        <w:rPr>
          <w:rFonts w:ascii="Palatino Linotype" w:hAnsi="Palatino Linotype" w:cs="Bookman Old Style"/>
          <w:b/>
          <w:i/>
          <w:sz w:val="22"/>
          <w:szCs w:val="22"/>
          <w:lang w:eastAsia="en-US"/>
        </w:rPr>
        <w:t>Órgano Superior</w:t>
      </w:r>
      <w:r>
        <w:rPr>
          <w:rFonts w:ascii="Palatino Linotype" w:hAnsi="Palatino Linotype" w:cs="Bookman Old Style"/>
          <w:i/>
          <w:sz w:val="22"/>
          <w:szCs w:val="22"/>
          <w:lang w:eastAsia="en-US"/>
        </w:rPr>
        <w:t>: Al Órgano Superior de Fiscalización del Estado de México;</w:t>
      </w:r>
    </w:p>
    <w:p w:rsidR="000718D0" w:rsidRDefault="000718D0">
      <w:pPr>
        <w:ind w:left="851" w:right="902"/>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lastRenderedPageBreak/>
        <w:t xml:space="preserve">XI. </w:t>
      </w:r>
      <w:r>
        <w:rPr>
          <w:rFonts w:ascii="Palatino Linotype" w:hAnsi="Palatino Linotype" w:cs="Bookman Old Style"/>
          <w:b/>
          <w:i/>
          <w:sz w:val="22"/>
          <w:szCs w:val="22"/>
          <w:lang w:eastAsia="en-US"/>
        </w:rPr>
        <w:t>Informe Mensual</w:t>
      </w:r>
      <w:r>
        <w:rPr>
          <w:rFonts w:ascii="Palatino Linotype" w:hAnsi="Palatino Linotype" w:cs="Bookman Old Style"/>
          <w:i/>
          <w:sz w:val="22"/>
          <w:szCs w:val="22"/>
          <w:lang w:eastAsia="en-US"/>
        </w:rPr>
        <w:t>: Al documento que mensualmente envían para su análisis al Órgano Superior de Fiscalización de la Legislatura, las Tesorerías Municipales y la Secretaría de Finanzas;</w:t>
      </w:r>
      <w:r>
        <w:rPr>
          <w:rFonts w:ascii="Palatino Linotype" w:hAnsi="Palatino Linotype" w:cs="Bookman Old Style"/>
          <w:b/>
          <w:i/>
          <w:sz w:val="22"/>
          <w:szCs w:val="22"/>
          <w:lang w:eastAsia="en-US"/>
        </w:rPr>
        <w:t>”</w:t>
      </w:r>
    </w:p>
    <w:p w:rsidR="000718D0" w:rsidRDefault="000718D0">
      <w:pPr>
        <w:ind w:left="851" w:right="902"/>
        <w:jc w:val="both"/>
        <w:rPr>
          <w:rFonts w:ascii="Palatino Linotype" w:hAnsi="Palatino Linotype" w:cs="Bookman Old Style"/>
          <w:b/>
          <w:bCs/>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b/>
          <w:bCs/>
          <w:i/>
          <w:sz w:val="22"/>
          <w:szCs w:val="22"/>
          <w:lang w:eastAsia="en-US"/>
        </w:rPr>
        <w:t xml:space="preserve">“Artículo 32.- </w:t>
      </w:r>
      <w:r>
        <w:rPr>
          <w:rFonts w:ascii="Palatino Linotype" w:hAnsi="Palatino Linotype" w:cs="Bookman Old Style"/>
          <w:i/>
          <w:sz w:val="22"/>
          <w:szCs w:val="22"/>
          <w:lang w:eastAsia="en-US"/>
        </w:rPr>
        <w:t>El Gobernador del Estado, por conducto del titular de la dependencia competente, presentará a la Legislatura la cuenta pública del Gobierno del Estado del ejercicio fiscal inmediato anterior, a más tardar el quince de mayo de cada año.</w:t>
      </w:r>
    </w:p>
    <w:p w:rsidR="000718D0" w:rsidRDefault="000718D0">
      <w:pPr>
        <w:ind w:left="851" w:right="902"/>
        <w:jc w:val="both"/>
        <w:rPr>
          <w:rFonts w:ascii="Palatino Linotype" w:hAnsi="Palatino Linotype" w:cs="Bookman Old Style"/>
          <w:i/>
          <w:sz w:val="22"/>
          <w:szCs w:val="22"/>
          <w:lang w:eastAsia="en-US"/>
        </w:rPr>
      </w:pPr>
    </w:p>
    <w:p w:rsidR="000718D0" w:rsidRDefault="009210CA">
      <w:pPr>
        <w:ind w:left="851" w:right="902"/>
        <w:jc w:val="both"/>
        <w:rPr>
          <w:rFonts w:ascii="Palatino Linotype" w:hAnsi="Palatino Linotype" w:cs="Bookman Old Style"/>
          <w:i/>
          <w:sz w:val="22"/>
          <w:szCs w:val="22"/>
          <w:lang w:eastAsia="en-US"/>
        </w:rPr>
      </w:pPr>
      <w:r>
        <w:rPr>
          <w:rFonts w:ascii="Palatino Linotype" w:hAnsi="Palatino Linotype" w:cs="Bookman Old Style"/>
          <w:i/>
          <w:sz w:val="22"/>
          <w:szCs w:val="22"/>
          <w:lang w:eastAsia="en-US"/>
        </w:rPr>
        <w:t xml:space="preserve">Los Presidentes Municipales presentarán a la Legislatura las cuentas públicas anuales de sus respectivos municipios, del ejercicio fiscal inmediato anterior, dentro de los quince primeros días del mes de marzo de cada año; asimismo, </w:t>
      </w:r>
      <w:r>
        <w:rPr>
          <w:rFonts w:ascii="Palatino Linotype" w:hAnsi="Palatino Linotype" w:cs="Bookman Old Style"/>
          <w:b/>
          <w:i/>
          <w:sz w:val="22"/>
          <w:szCs w:val="22"/>
          <w:lang w:eastAsia="en-US"/>
        </w:rPr>
        <w:t>los informes mensuales</w:t>
      </w:r>
      <w:r>
        <w:rPr>
          <w:rFonts w:ascii="Palatino Linotype" w:hAnsi="Palatino Linotype" w:cs="Bookman Old Style"/>
          <w:i/>
          <w:sz w:val="22"/>
          <w:szCs w:val="22"/>
          <w:lang w:eastAsia="en-US"/>
        </w:rPr>
        <w:t xml:space="preserve"> los deberán presentar dentro de </w:t>
      </w:r>
      <w:r>
        <w:rPr>
          <w:rFonts w:ascii="Palatino Linotype" w:hAnsi="Palatino Linotype" w:cs="Bookman Old Style"/>
          <w:b/>
          <w:i/>
          <w:sz w:val="22"/>
          <w:szCs w:val="22"/>
          <w:lang w:eastAsia="en-US"/>
        </w:rPr>
        <w:t>los veinte días posteriores al término del mes correspondiente</w:t>
      </w:r>
      <w:r>
        <w:rPr>
          <w:rFonts w:ascii="Palatino Linotype" w:hAnsi="Palatino Linotype" w:cs="Bookman Old Style"/>
          <w:i/>
          <w:sz w:val="22"/>
          <w:szCs w:val="22"/>
          <w:lang w:eastAsia="en-US"/>
        </w:rPr>
        <w:t>.”</w:t>
      </w:r>
    </w:p>
    <w:p w:rsidR="000718D0" w:rsidRDefault="000718D0">
      <w:pPr>
        <w:ind w:right="49"/>
        <w:jc w:val="both"/>
        <w:rPr>
          <w:rFonts w:ascii="Palatino Linotype" w:hAnsi="Palatino Linotype" w:cs="Arial"/>
          <w:color w:val="000000"/>
          <w:lang w:val="es-ES"/>
        </w:rPr>
      </w:pPr>
    </w:p>
    <w:p w:rsidR="000718D0" w:rsidRDefault="009210CA">
      <w:pPr>
        <w:spacing w:line="360" w:lineRule="auto"/>
        <w:ind w:right="49"/>
        <w:jc w:val="both"/>
        <w:rPr>
          <w:rFonts w:ascii="Palatino Linotype" w:hAnsi="Palatino Linotype" w:cs="Arial"/>
          <w:bCs/>
          <w:color w:val="000000"/>
          <w:lang w:val="es-ES"/>
        </w:rPr>
      </w:pPr>
      <w:r>
        <w:rPr>
          <w:rFonts w:ascii="Palatino Linotype" w:hAnsi="Palatino Linotype" w:cs="Arial"/>
          <w:color w:val="000000"/>
          <w:lang w:val="es-ES"/>
        </w:rPr>
        <w:t xml:space="preserve">Razón por la que al Órgano Superior de Fiscalización de ésta entidad federativa, le asiste la facultad de emitir los </w:t>
      </w:r>
      <w:r>
        <w:rPr>
          <w:rFonts w:ascii="Palatino Linotype" w:hAnsi="Palatino Linotype" w:cs="Arial"/>
          <w:b/>
          <w:color w:val="000000"/>
          <w:lang w:val="es-ES"/>
        </w:rPr>
        <w:t>Lineamientos para la Integración del Informe Mensual</w:t>
      </w:r>
      <w:r>
        <w:rPr>
          <w:rFonts w:ascii="Palatino Linotype" w:hAnsi="Palatino Linotype" w:cs="Arial"/>
          <w:color w:val="000000"/>
          <w:lang w:val="es-ES"/>
        </w:rPr>
        <w:t xml:space="preserve">, en términos la fracción XI del artículo 8 de la Ley de Fiscalización Superior del Estado de México, que señalan: </w:t>
      </w:r>
    </w:p>
    <w:p w:rsidR="000718D0" w:rsidRDefault="000718D0">
      <w:pPr>
        <w:ind w:left="567" w:right="618"/>
        <w:jc w:val="both"/>
        <w:rPr>
          <w:rFonts w:ascii="Palatino Linotype" w:hAnsi="Palatino Linotype" w:cs="Arial"/>
          <w:b/>
          <w:bCs/>
          <w:i/>
          <w:lang w:val="es-ES"/>
        </w:rPr>
      </w:pPr>
    </w:p>
    <w:p w:rsidR="000718D0" w:rsidRDefault="009210CA">
      <w:pPr>
        <w:ind w:left="567" w:right="618"/>
        <w:jc w:val="both"/>
        <w:rPr>
          <w:rFonts w:ascii="Palatino Linotype" w:hAnsi="Palatino Linotype" w:cs="Arial"/>
          <w:i/>
          <w:sz w:val="22"/>
          <w:szCs w:val="22"/>
          <w:lang w:val="es-ES"/>
        </w:rPr>
      </w:pPr>
      <w:r>
        <w:rPr>
          <w:rFonts w:ascii="Palatino Linotype" w:hAnsi="Palatino Linotype" w:cs="Arial"/>
          <w:b/>
          <w:bCs/>
          <w:i/>
          <w:sz w:val="22"/>
          <w:szCs w:val="22"/>
          <w:lang w:val="es-ES"/>
        </w:rPr>
        <w:t xml:space="preserve">“Artículo 8. </w:t>
      </w:r>
      <w:r>
        <w:rPr>
          <w:rFonts w:ascii="Palatino Linotype" w:hAnsi="Palatino Linotype" w:cs="Arial"/>
          <w:i/>
          <w:sz w:val="22"/>
          <w:szCs w:val="22"/>
          <w:lang w:val="es-ES"/>
        </w:rPr>
        <w:t>El Órgano Superior tendrá las siguientes atribuciones:</w:t>
      </w:r>
    </w:p>
    <w:p w:rsidR="000718D0" w:rsidRDefault="009210CA">
      <w:pPr>
        <w:ind w:left="567" w:right="618"/>
        <w:jc w:val="both"/>
        <w:rPr>
          <w:rFonts w:ascii="Palatino Linotype" w:hAnsi="Palatino Linotype" w:cs="Arial"/>
          <w:i/>
          <w:sz w:val="22"/>
          <w:szCs w:val="22"/>
          <w:lang w:val="es-ES"/>
        </w:rPr>
      </w:pPr>
      <w:r>
        <w:rPr>
          <w:rFonts w:ascii="Palatino Linotype" w:hAnsi="Palatino Linotype" w:cs="Arial"/>
          <w:i/>
          <w:sz w:val="22"/>
          <w:szCs w:val="22"/>
          <w:lang w:val="es-ES"/>
        </w:rPr>
        <w:t>…</w:t>
      </w:r>
    </w:p>
    <w:p w:rsidR="000718D0" w:rsidRDefault="009210CA">
      <w:pPr>
        <w:ind w:left="567" w:right="618"/>
        <w:jc w:val="both"/>
        <w:rPr>
          <w:rFonts w:ascii="Palatino Linotype" w:hAnsi="Palatino Linotype" w:cs="Arial"/>
          <w:i/>
          <w:sz w:val="22"/>
          <w:szCs w:val="22"/>
          <w:lang w:val="es-ES"/>
        </w:rPr>
      </w:pPr>
      <w:r>
        <w:rPr>
          <w:rFonts w:ascii="Palatino Linotype" w:hAnsi="Palatino Linotype" w:cs="Arial"/>
          <w:b/>
          <w:bCs/>
          <w:i/>
          <w:sz w:val="22"/>
          <w:szCs w:val="22"/>
          <w:lang w:val="es-ES"/>
        </w:rPr>
        <w:t xml:space="preserve">XI. </w:t>
      </w:r>
      <w:r>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p>
    <w:p w:rsidR="000718D0" w:rsidRDefault="009210CA">
      <w:pPr>
        <w:ind w:left="567" w:right="618"/>
        <w:jc w:val="both"/>
        <w:rPr>
          <w:rFonts w:ascii="Palatino Linotype" w:hAnsi="Palatino Linotype" w:cs="Arial"/>
          <w:bCs/>
          <w:i/>
          <w:color w:val="000000"/>
          <w:sz w:val="22"/>
          <w:szCs w:val="22"/>
          <w:lang w:val="es-ES"/>
        </w:rPr>
      </w:pPr>
      <w:r>
        <w:rPr>
          <w:rFonts w:ascii="Palatino Linotype" w:hAnsi="Palatino Linotype" w:cs="Arial"/>
          <w:color w:val="000000"/>
          <w:sz w:val="22"/>
          <w:szCs w:val="22"/>
          <w:lang w:val="es-ES"/>
        </w:rPr>
        <w:t>…”</w:t>
      </w:r>
    </w:p>
    <w:p w:rsidR="000718D0" w:rsidRDefault="000718D0">
      <w:pPr>
        <w:widowControl w:val="0"/>
        <w:jc w:val="both"/>
        <w:rPr>
          <w:rFonts w:ascii="Palatino Linotype" w:hAnsi="Palatino Linotype" w:cs="Arial"/>
          <w:lang w:val="es-ES"/>
        </w:rPr>
      </w:pPr>
    </w:p>
    <w:p w:rsidR="000718D0" w:rsidRDefault="009210CA">
      <w:pPr>
        <w:spacing w:line="360" w:lineRule="auto"/>
        <w:jc w:val="both"/>
        <w:rPr>
          <w:rFonts w:ascii="Palatino Linotype" w:eastAsia="Calibri" w:hAnsi="Palatino Linotype" w:cs="Arial"/>
          <w:lang w:val="es-ES"/>
        </w:rPr>
      </w:pPr>
      <w:r>
        <w:rPr>
          <w:rFonts w:ascii="Palatino Linotype" w:hAnsi="Palatino Linotype"/>
          <w:lang w:val="es-ES"/>
        </w:rPr>
        <w:t>De esta forma, el Órgano Superior de Fiscalización del Estado de México (OSFEM), emite anualmente los Lineamientos en los cu</w:t>
      </w:r>
      <w:r>
        <w:rPr>
          <w:rFonts w:ascii="Palatino Linotype" w:eastAsia="Calibri" w:hAnsi="Palatino Linotype" w:cs="Bookman Old Style"/>
          <w:lang w:val="es-ES"/>
        </w:rPr>
        <w:t xml:space="preserve">ales </w:t>
      </w:r>
      <w:r>
        <w:rPr>
          <w:rFonts w:ascii="Palatino Linotype" w:eastAsia="Calibri" w:hAnsi="Palatino Linotype" w:cs="Arial"/>
          <w:lang w:val="es-ES"/>
        </w:rPr>
        <w:t xml:space="preserve">definen los criterios, formatos y documentación necesaria para presentar los informes mensuales; homologar la información y </w:t>
      </w:r>
      <w:proofErr w:type="spellStart"/>
      <w:r>
        <w:rPr>
          <w:rFonts w:ascii="Palatino Linotype" w:eastAsia="Calibri" w:hAnsi="Palatino Linotype" w:cs="Arial"/>
          <w:lang w:val="es-ES"/>
        </w:rPr>
        <w:t>eficientar</w:t>
      </w:r>
      <w:proofErr w:type="spellEnd"/>
      <w:r>
        <w:rPr>
          <w:rFonts w:ascii="Palatino Linotype" w:eastAsia="Calibri" w:hAnsi="Palatino Linotype" w:cs="Arial"/>
          <w:lang w:val="es-ES"/>
        </w:rPr>
        <w:t xml:space="preserve"> la fiscalización.</w:t>
      </w:r>
    </w:p>
    <w:p w:rsidR="000718D0" w:rsidRDefault="000718D0">
      <w:pPr>
        <w:spacing w:line="360" w:lineRule="auto"/>
        <w:jc w:val="both"/>
        <w:rPr>
          <w:rFonts w:ascii="Palatino Linotype" w:hAnsi="Palatino Linotype"/>
          <w:lang w:val="es-ES"/>
        </w:rPr>
      </w:pPr>
    </w:p>
    <w:p w:rsidR="000718D0" w:rsidRDefault="009210CA">
      <w:pPr>
        <w:spacing w:line="360" w:lineRule="auto"/>
        <w:jc w:val="both"/>
        <w:rPr>
          <w:rFonts w:ascii="Palatino Linotype" w:hAnsi="Palatino Linotype"/>
          <w:lang w:val="es-ES"/>
        </w:rPr>
      </w:pPr>
      <w:r>
        <w:rPr>
          <w:rFonts w:ascii="Palatino Linotype" w:hAnsi="Palatino Linotype"/>
          <w:lang w:val="es-ES"/>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w:t>
      </w:r>
    </w:p>
    <w:p w:rsidR="000718D0" w:rsidRDefault="000718D0">
      <w:pPr>
        <w:spacing w:line="360" w:lineRule="auto"/>
        <w:jc w:val="both"/>
        <w:rPr>
          <w:rFonts w:ascii="Palatino Linotype" w:hAnsi="Palatino Linotype"/>
          <w:i/>
          <w:lang w:val="es-ES"/>
        </w:rPr>
      </w:pPr>
    </w:p>
    <w:p w:rsidR="000718D0" w:rsidRDefault="00E04EA3">
      <w:pPr>
        <w:spacing w:line="360" w:lineRule="auto"/>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60288" behindDoc="0" locked="0" layoutInCell="1" allowOverlap="1">
                <wp:simplePos x="0" y="0"/>
                <wp:positionH relativeFrom="column">
                  <wp:posOffset>-22860</wp:posOffset>
                </wp:positionH>
                <wp:positionV relativeFrom="paragraph">
                  <wp:posOffset>1778634</wp:posOffset>
                </wp:positionV>
                <wp:extent cx="5810250" cy="3000375"/>
                <wp:effectExtent l="38100" t="19050" r="76200" b="85725"/>
                <wp:wrapNone/>
                <wp:docPr id="39" name="Conector recto 39"/>
                <wp:cNvGraphicFramePr/>
                <a:graphic xmlns:a="http://schemas.openxmlformats.org/drawingml/2006/main">
                  <a:graphicData uri="http://schemas.microsoft.com/office/word/2010/wordprocessingShape">
                    <wps:wsp>
                      <wps:cNvCnPr/>
                      <wps:spPr>
                        <a:xfrm>
                          <a:off x="0" y="0"/>
                          <a:ext cx="5810250" cy="3000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05CE7F" id="Conector recto 3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40.05pt" to="455.7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" strokecolor="#4f81bd [3204]" strokeweight="2pt">
                <v:shadow on="t" color="black" opacity="24903f" origin=",.5" offset="0,.55556mm"/>
              </v:line>
            </w:pict>
          </mc:Fallback>
        </mc:AlternateContent>
      </w:r>
      <w:r w:rsidR="009210CA">
        <w:rPr>
          <w:rFonts w:ascii="Palatino Linotype" w:hAnsi="Palatino Linotype"/>
          <w:color w:val="000000"/>
          <w:lang w:val="es-ES"/>
        </w:rPr>
        <w:t>Asimismo, los Lineamientos para la Integración del Informe Mensual 2019, emitidos por el Órgano Superior de Fiscalización (OSFEM), visibles en la página oficial de dicho Órgano</w:t>
      </w:r>
      <w:r w:rsidR="009210CA">
        <w:rPr>
          <w:rStyle w:val="FootnoteAnchor"/>
          <w:rFonts w:ascii="Palatino Linotype" w:hAnsi="Palatino Linotype"/>
          <w:color w:val="000000"/>
          <w:lang w:val="es-ES"/>
        </w:rPr>
        <w:footnoteReference w:id="1"/>
      </w:r>
      <w:r w:rsidR="009210CA">
        <w:rPr>
          <w:rFonts w:ascii="Palatino Linotype" w:hAnsi="Palatino Linotype"/>
          <w:color w:val="000000"/>
          <w:lang w:val="es-ES"/>
        </w:rPr>
        <w:t xml:space="preserve"> se destaca que dentro de los informes mensuales que los Ayuntamientos tienen la obligación de rendir, se tiene contemplado precisamente la presentación de la Información referente al</w:t>
      </w:r>
      <w:r w:rsidR="009210CA">
        <w:rPr>
          <w:rFonts w:ascii="Palatino Linotype" w:eastAsia="Calibri" w:hAnsi="Palatino Linotype" w:cs="Arial"/>
          <w:bCs/>
          <w:lang w:val="es-ES"/>
        </w:rPr>
        <w:t xml:space="preserve"> documento denominado “Estado de Situación Financiera” detallado en el disco 1, </w:t>
      </w:r>
      <w:r w:rsidR="009210CA">
        <w:rPr>
          <w:rFonts w:ascii="Palatino Linotype" w:hAnsi="Palatino Linotype"/>
          <w:color w:val="000000"/>
          <w:lang w:val="es-ES"/>
        </w:rPr>
        <w:t xml:space="preserve">tal y como se muestra en las siguientes imágenes: </w:t>
      </w:r>
    </w:p>
    <w:p w:rsidR="000718D0" w:rsidRDefault="000718D0">
      <w:pPr>
        <w:spacing w:line="360" w:lineRule="auto"/>
        <w:jc w:val="both"/>
        <w:rPr>
          <w:rFonts w:ascii="Palatino Linotype" w:hAnsi="Palatino Linotype"/>
          <w:color w:val="000000"/>
          <w:lang w:val="es-ES"/>
        </w:rPr>
      </w:pPr>
    </w:p>
    <w:p w:rsidR="000718D0" w:rsidRDefault="00E04EA3">
      <w:pPr>
        <w:spacing w:line="360" w:lineRule="auto"/>
        <w:jc w:val="center"/>
        <w:rPr>
          <w:rFonts w:ascii="Palatino Linotype" w:hAnsi="Palatino Linotype"/>
          <w:color w:val="000000"/>
          <w:lang w:val="es-ES"/>
        </w:rPr>
      </w:pPr>
      <w:r>
        <w:rPr>
          <w:noProof/>
          <w:lang w:eastAsia="es-MX"/>
        </w:rPr>
        <w:lastRenderedPageBreak/>
        <mc:AlternateContent>
          <mc:Choice Requires="wps">
            <w:drawing>
              <wp:anchor distT="0" distB="0" distL="0" distR="0" simplePos="0" relativeHeight="54" behindDoc="0" locked="0" layoutInCell="1" allowOverlap="1">
                <wp:simplePos x="0" y="0"/>
                <wp:positionH relativeFrom="column">
                  <wp:posOffset>615950</wp:posOffset>
                </wp:positionH>
                <wp:positionV relativeFrom="paragraph">
                  <wp:posOffset>744220</wp:posOffset>
                </wp:positionV>
                <wp:extent cx="4314190" cy="234315"/>
                <wp:effectExtent l="76200" t="38100" r="30480" b="90805"/>
                <wp:wrapNone/>
                <wp:docPr id="12" name="Rectángulo redondeado 13"/>
                <wp:cNvGraphicFramePr/>
                <a:graphic xmlns:a="http://schemas.openxmlformats.org/drawingml/2006/main">
                  <a:graphicData uri="http://schemas.microsoft.com/office/word/2010/wordprocessingShape">
                    <wps:wsp>
                      <wps:cNvSpPr/>
                      <wps:spPr>
                        <a:xfrm>
                          <a:off x="0" y="0"/>
                          <a:ext cx="4314190" cy="234315"/>
                        </a:xfrm>
                        <a:prstGeom prst="roundRect">
                          <a:avLst>
                            <a:gd name="adj" fmla="val 16667"/>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6E7DF664" id="Rectángulo redondeado 13" o:spid="_x0000_s1026" style="position:absolute;margin-left:48.5pt;margin-top:58.6pt;width:339.7pt;height:18.45pt;z-index:54;visibility:visible;mso-wrap-style:square;mso-wrap-distance-left:0;mso-wrap-distance-top:0;mso-wrap-distance-right:0;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" filled="f" strokecolor="red" strokeweight=".79mm">
                <v:shadow on="t" color="black" opacity="22937f" origin=",.5" offset="0,.64mm"/>
              </v:roundrect>
            </w:pict>
          </mc:Fallback>
        </mc:AlternateContent>
      </w:r>
      <w:r w:rsidR="009210CA">
        <w:rPr>
          <w:noProof/>
          <w:lang w:eastAsia="es-MX"/>
        </w:rPr>
        <w:drawing>
          <wp:inline distT="0" distB="0" distL="0" distR="0">
            <wp:extent cx="5197475" cy="6248400"/>
            <wp:effectExtent l="0" t="0" r="3175" b="0"/>
            <wp:docPr id="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2"/>
                    <pic:cNvPicPr>
                      <a:picLocks noChangeAspect="1" noChangeArrowheads="1"/>
                    </pic:cNvPicPr>
                  </pic:nvPicPr>
                  <pic:blipFill>
                    <a:blip r:embed="rId18"/>
                    <a:srcRect b="-404"/>
                    <a:stretch>
                      <a:fillRect/>
                    </a:stretch>
                  </pic:blipFill>
                  <pic:spPr bwMode="auto">
                    <a:xfrm>
                      <a:off x="0" y="0"/>
                      <a:ext cx="5197475" cy="6248400"/>
                    </a:xfrm>
                    <a:prstGeom prst="rect">
                      <a:avLst/>
                    </a:prstGeom>
                  </pic:spPr>
                </pic:pic>
              </a:graphicData>
            </a:graphic>
          </wp:inline>
        </w:drawing>
      </w:r>
    </w:p>
    <w:p w:rsidR="000718D0" w:rsidRDefault="009210CA">
      <w:pPr>
        <w:spacing w:line="360" w:lineRule="auto"/>
        <w:jc w:val="center"/>
        <w:rPr>
          <w:rFonts w:ascii="Palatino Linotype" w:hAnsi="Palatino Linotype"/>
          <w:color w:val="000000"/>
          <w:lang w:val="es-ES"/>
        </w:rPr>
      </w:pPr>
      <w:r>
        <w:rPr>
          <w:noProof/>
          <w:lang w:eastAsia="es-MX"/>
        </w:rPr>
        <w:lastRenderedPageBreak/>
        <mc:AlternateContent>
          <mc:Choice Requires="wps">
            <w:drawing>
              <wp:anchor distT="0" distB="0" distL="0" distR="0" simplePos="0" relativeHeight="55" behindDoc="0" locked="0" layoutInCell="1" allowOverlap="1">
                <wp:simplePos x="0" y="0"/>
                <wp:positionH relativeFrom="column">
                  <wp:posOffset>1498600</wp:posOffset>
                </wp:positionH>
                <wp:positionV relativeFrom="paragraph">
                  <wp:posOffset>996950</wp:posOffset>
                </wp:positionV>
                <wp:extent cx="2399665" cy="268605"/>
                <wp:effectExtent l="57150" t="19050" r="20955" b="94615"/>
                <wp:wrapNone/>
                <wp:docPr id="14" name="Elipse 12"/>
                <wp:cNvGraphicFramePr/>
                <a:graphic xmlns:a="http://schemas.openxmlformats.org/drawingml/2006/main">
                  <a:graphicData uri="http://schemas.microsoft.com/office/word/2010/wordprocessingShape">
                    <wps:wsp>
                      <wps:cNvSpPr/>
                      <wps:spPr>
                        <a:xfrm>
                          <a:off x="0" y="0"/>
                          <a:ext cx="2399040" cy="267840"/>
                        </a:xfrm>
                        <a:prstGeom prst="ellipse">
                          <a:avLst/>
                        </a:prstGeom>
                        <a:noFill/>
                        <a:ln w="1908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oval id="shape_0" ID="Elipse 12" stroked="t" style="position:absolute;margin-left:118pt;margin-top:78.5pt;width:188.85pt;height:21.05pt">
                <w10:wrap type="none"/>
                <v:fill o:detectmouseclick="t" on="false"/>
                <v:stroke color="red" weight="19080" joinstyle="round" endcap="flat"/>
                <v:shadow on="t" obscured="f" color="black"/>
              </v:oval>
            </w:pict>
          </mc:Fallback>
        </mc:AlternateContent>
      </w:r>
      <w:r>
        <w:rPr>
          <w:noProof/>
          <w:lang w:eastAsia="es-MX"/>
        </w:rPr>
        <w:drawing>
          <wp:inline distT="0" distB="0" distL="0" distR="0">
            <wp:extent cx="5461635" cy="7452995"/>
            <wp:effectExtent l="0" t="0" r="0" b="0"/>
            <wp:docPr id="1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3"/>
                    <pic:cNvPicPr>
                      <a:picLocks noChangeAspect="1" noChangeArrowheads="1"/>
                    </pic:cNvPicPr>
                  </pic:nvPicPr>
                  <pic:blipFill>
                    <a:blip r:embed="rId19"/>
                    <a:stretch>
                      <a:fillRect/>
                    </a:stretch>
                  </pic:blipFill>
                  <pic:spPr bwMode="auto">
                    <a:xfrm>
                      <a:off x="0" y="0"/>
                      <a:ext cx="5461635" cy="7452995"/>
                    </a:xfrm>
                    <a:prstGeom prst="rect">
                      <a:avLst/>
                    </a:prstGeom>
                  </pic:spPr>
                </pic:pic>
              </a:graphicData>
            </a:graphic>
          </wp:inline>
        </w:drawing>
      </w:r>
      <w:r w:rsidR="00E04EA3">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91440</wp:posOffset>
                </wp:positionH>
                <wp:positionV relativeFrom="paragraph">
                  <wp:posOffset>4041774</wp:posOffset>
                </wp:positionV>
                <wp:extent cx="5772150" cy="3171825"/>
                <wp:effectExtent l="38100" t="19050" r="76200" b="85725"/>
                <wp:wrapNone/>
                <wp:docPr id="40" name="Conector recto 40"/>
                <wp:cNvGraphicFramePr/>
                <a:graphic xmlns:a="http://schemas.openxmlformats.org/drawingml/2006/main">
                  <a:graphicData uri="http://schemas.microsoft.com/office/word/2010/wordprocessingShape">
                    <wps:wsp>
                      <wps:cNvCnPr/>
                      <wps:spPr>
                        <a:xfrm>
                          <a:off x="0" y="0"/>
                          <a:ext cx="5772150" cy="3171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D3DD6B" id="Conector recto 4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2pt,318.25pt" to="461.7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" strokecolor="#4f81bd [3204]" strokeweight="2pt">
                <v:shadow on="t" color="black" opacity="24903f" origin=",.5" offset="0,.55556mm"/>
              </v:line>
            </w:pict>
          </mc:Fallback>
        </mc:AlternateContent>
      </w:r>
      <w:r>
        <w:rPr>
          <w:noProof/>
          <w:lang w:eastAsia="es-MX"/>
        </w:rPr>
        <w:drawing>
          <wp:inline distT="0" distB="0" distL="0" distR="0">
            <wp:extent cx="5278120" cy="3838575"/>
            <wp:effectExtent l="0" t="0" r="0" b="9525"/>
            <wp:docPr id="1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24"/>
                    <pic:cNvPicPr>
                      <a:picLocks noChangeAspect="1" noChangeArrowheads="1"/>
                    </pic:cNvPicPr>
                  </pic:nvPicPr>
                  <pic:blipFill>
                    <a:blip r:embed="rId20"/>
                    <a:stretch>
                      <a:fillRect/>
                    </a:stretch>
                  </pic:blipFill>
                  <pic:spPr bwMode="auto">
                    <a:xfrm>
                      <a:off x="0" y="0"/>
                      <a:ext cx="5278120" cy="3838575"/>
                    </a:xfrm>
                    <a:prstGeom prst="rect">
                      <a:avLst/>
                    </a:prstGeom>
                  </pic:spPr>
                </pic:pic>
              </a:graphicData>
            </a:graphic>
          </wp:inline>
        </w:drawing>
      </w:r>
      <w:r>
        <w:rPr>
          <w:noProof/>
          <w:lang w:eastAsia="es-MX"/>
        </w:rPr>
        <w:lastRenderedPageBreak/>
        <w:drawing>
          <wp:inline distT="0" distB="0" distL="0" distR="0">
            <wp:extent cx="5053965" cy="3600450"/>
            <wp:effectExtent l="0" t="0" r="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5"/>
                    <pic:cNvPicPr>
                      <a:picLocks noChangeAspect="1" noChangeArrowheads="1"/>
                    </pic:cNvPicPr>
                  </pic:nvPicPr>
                  <pic:blipFill>
                    <a:blip r:embed="rId21"/>
                    <a:stretch>
                      <a:fillRect/>
                    </a:stretch>
                  </pic:blipFill>
                  <pic:spPr bwMode="auto">
                    <a:xfrm>
                      <a:off x="0" y="0"/>
                      <a:ext cx="5053965" cy="3600450"/>
                    </a:xfrm>
                    <a:prstGeom prst="rect">
                      <a:avLst/>
                    </a:prstGeom>
                  </pic:spPr>
                </pic:pic>
              </a:graphicData>
            </a:graphic>
          </wp:inline>
        </w:drawing>
      </w: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r>
        <w:rPr>
          <w:rFonts w:ascii="Palatino Linotype" w:eastAsia="Calibri" w:hAnsi="Palatino Linotype" w:cs="Arial"/>
          <w:lang w:val="es-ES"/>
        </w:rPr>
        <w:t xml:space="preserve">En consecuencia, el Estado de situación financiera y la documentación que la conforma debe ser entregado por </w:t>
      </w:r>
      <w:r>
        <w:rPr>
          <w:rFonts w:ascii="Palatino Linotype" w:eastAsia="Calibri" w:hAnsi="Palatino Linotype" w:cs="Arial"/>
          <w:b/>
          <w:lang w:val="es-ES"/>
        </w:rPr>
        <w:t xml:space="preserve">EL SUJETO OBLIGADO </w:t>
      </w:r>
      <w:r>
        <w:rPr>
          <w:rFonts w:ascii="Palatino Linotype" w:eastAsia="Calibri" w:hAnsi="Palatino Linotype" w:cs="Arial"/>
          <w:lang w:val="es-ES"/>
        </w:rPr>
        <w:t>al Órgano Superior de Fiscalización del Estado de México (OSFEM), de manera mensual, de</w:t>
      </w:r>
      <w:r>
        <w:rPr>
          <w:rFonts w:ascii="Palatino Linotype" w:hAnsi="Palatino Linotype" w:cs="Arial"/>
          <w:lang w:val="es-ES"/>
        </w:rPr>
        <w:t xml:space="preserve"> conformidad con el artículo 32 de la Ley de Fiscalización Superior del Estado de México.</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r>
        <w:rPr>
          <w:noProof/>
          <w:lang w:eastAsia="es-MX"/>
        </w:rPr>
        <mc:AlternateContent>
          <mc:Choice Requires="wps">
            <w:drawing>
              <wp:anchor distT="0" distB="0" distL="0" distR="0" simplePos="0" relativeHeight="63" behindDoc="0" locked="0" layoutInCell="1" allowOverlap="1">
                <wp:simplePos x="0" y="0"/>
                <wp:positionH relativeFrom="column">
                  <wp:posOffset>721360</wp:posOffset>
                </wp:positionH>
                <wp:positionV relativeFrom="paragraph">
                  <wp:posOffset>4583430</wp:posOffset>
                </wp:positionV>
                <wp:extent cx="5982970" cy="3096895"/>
                <wp:effectExtent l="38100" t="19050" r="76200" b="85725"/>
                <wp:wrapNone/>
                <wp:docPr id="19" name="Conector recto 5"/>
                <wp:cNvGraphicFramePr/>
                <a:graphic xmlns:a="http://schemas.openxmlformats.org/drawingml/2006/main">
                  <a:graphicData uri="http://schemas.microsoft.com/office/word/2010/wordprocessingShape">
                    <wps:wsp>
                      <wps:cNvCnPr/>
                      <wps:spPr>
                        <a:xfrm>
                          <a:off x="0" y="0"/>
                          <a:ext cx="5982480" cy="309636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27.15pt,266.3pt" to="498.15pt,510.05pt" ID="Conector recto 5" stroked="t" style="position:absolute">
                <v:stroke color="#4f81bd" weight="25560" joinstyle="round" endcap="flat"/>
                <v:fill o:detectmouseclick="t" on="false"/>
                <v:shadow on="t" obscured="f" color="black"/>
              </v:line>
            </w:pict>
          </mc:Fallback>
        </mc:AlternateContent>
      </w:r>
      <w:r>
        <w:rPr>
          <w:rFonts w:ascii="Palatino Linotype" w:hAnsi="Palatino Linotype" w:cs="Arial"/>
          <w:lang w:val="es-ES"/>
        </w:rPr>
        <w:t xml:space="preserve">En este mismo orden de ideas, </w:t>
      </w:r>
      <w:r>
        <w:rPr>
          <w:rFonts w:ascii="Palatino Linotype" w:hAnsi="Palatino Linotype" w:cs="Arial"/>
          <w:b/>
          <w:lang w:val="es-ES"/>
        </w:rPr>
        <w:t>EL SUJETO OBLIGADO</w:t>
      </w:r>
      <w:r>
        <w:rPr>
          <w:rFonts w:ascii="Palatino Linotype" w:hAnsi="Palatino Linotype" w:cs="Arial"/>
          <w:lang w:val="es-ES"/>
        </w:rPr>
        <w:t xml:space="preserve">, dio respuesta señalando que había localizado la información solicitada de los meses </w:t>
      </w:r>
      <w:r>
        <w:rPr>
          <w:rFonts w:ascii="Palatino Linotype" w:hAnsi="Palatino Linotype" w:cs="Arial"/>
        </w:rPr>
        <w:t xml:space="preserve">de agosto a noviembre de 2019, no así, del mes de diciembre de 2019, ya que conforme al numeral 32 de la Ley de Fiscalización Superior del Estado de México, se tenía como fecha límite para presentar el informe mensual de diciembre de 2019, por parte de los entes fiscalizables hasta el 4 de febrero de 2020, esto de conformidad con el Calendario de Obligaciones publicado </w:t>
      </w:r>
      <w:r>
        <w:rPr>
          <w:rFonts w:ascii="Palatino Linotype" w:hAnsi="Palatino Linotype" w:cs="Arial"/>
        </w:rPr>
        <w:lastRenderedPageBreak/>
        <w:t>por el OSFEM</w:t>
      </w:r>
      <w:r>
        <w:rPr>
          <w:rStyle w:val="FootnoteAnchor"/>
          <w:rFonts w:ascii="Palatino Linotype" w:hAnsi="Palatino Linotype" w:cs="Arial"/>
        </w:rPr>
        <w:footnoteReference w:id="2"/>
      </w:r>
      <w:r>
        <w:rPr>
          <w:rFonts w:ascii="Palatino Linotype" w:hAnsi="Palatino Linotype" w:cs="Arial"/>
        </w:rPr>
        <w:t>, como a continuación se observa.</w:t>
      </w: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r>
        <w:rPr>
          <w:noProof/>
          <w:lang w:eastAsia="es-MX"/>
        </w:rPr>
        <w:drawing>
          <wp:inline distT="0" distB="0" distL="0" distR="0">
            <wp:extent cx="5657850" cy="5819775"/>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
                    <pic:cNvPicPr>
                      <a:picLocks noChangeAspect="1" noChangeArrowheads="1"/>
                    </pic:cNvPicPr>
                  </pic:nvPicPr>
                  <pic:blipFill>
                    <a:blip r:embed="rId22"/>
                    <a:srcRect l="18521" t="19090" r="20086" b="16545"/>
                    <a:stretch>
                      <a:fillRect/>
                    </a:stretch>
                  </pic:blipFill>
                  <pic:spPr bwMode="auto">
                    <a:xfrm>
                      <a:off x="0" y="0"/>
                      <a:ext cx="5657850" cy="5819775"/>
                    </a:xfrm>
                    <a:prstGeom prst="rect">
                      <a:avLst/>
                    </a:prstGeom>
                  </pic:spPr>
                </pic:pic>
              </a:graphicData>
            </a:graphic>
          </wp:inline>
        </w:drawing>
      </w:r>
      <w:r>
        <w:rPr>
          <w:noProof/>
          <w:lang w:eastAsia="es-MX"/>
        </w:rPr>
        <mc:AlternateContent>
          <mc:Choice Requires="wps">
            <w:drawing>
              <wp:anchor distT="0" distB="0" distL="0" distR="0" simplePos="0" relativeHeight="62" behindDoc="0" locked="0" layoutInCell="1" allowOverlap="1">
                <wp:simplePos x="0" y="0"/>
                <wp:positionH relativeFrom="column">
                  <wp:posOffset>24765</wp:posOffset>
                </wp:positionH>
                <wp:positionV relativeFrom="paragraph">
                  <wp:posOffset>5522595</wp:posOffset>
                </wp:positionV>
                <wp:extent cx="1763395" cy="287020"/>
                <wp:effectExtent l="57150" t="38100" r="85725" b="95250"/>
                <wp:wrapNone/>
                <wp:docPr id="20" name="Rectángulo 4"/>
                <wp:cNvGraphicFramePr/>
                <a:graphic xmlns:a="http://schemas.openxmlformats.org/drawingml/2006/main">
                  <a:graphicData uri="http://schemas.microsoft.com/office/word/2010/wordprocessingShape">
                    <wps:wsp>
                      <wps:cNvSpPr/>
                      <wps:spPr>
                        <a:xfrm>
                          <a:off x="0" y="0"/>
                          <a:ext cx="1762920" cy="286560"/>
                        </a:xfrm>
                        <a:prstGeom prst="rect">
                          <a:avLst/>
                        </a:prstGeom>
                        <a:noFill/>
                        <a:ln w="3816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4" stroked="t" style="position:absolute;margin-left:1.95pt;margin-top:434.85pt;width:138.75pt;height:22.5pt">
                <w10:wrap type="none"/>
                <v:fill o:detectmouseclick="t" on="false"/>
                <v:stroke color="red" weight="38160" joinstyle="round" endcap="flat"/>
                <v:shadow on="t" obscured="f" color="black"/>
              </v:rect>
            </w:pict>
          </mc:Fallback>
        </mc:AlternateConten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r>
        <w:rPr>
          <w:rFonts w:ascii="Palatino Linotype" w:hAnsi="Palatino Linotype" w:cs="Arial"/>
          <w:lang w:val="es-ES"/>
        </w:rPr>
        <w:t xml:space="preserve">De lo anterior, se observa que los entes fiscalizables tienen como fecha límite para </w:t>
      </w:r>
      <w:r>
        <w:rPr>
          <w:rFonts w:ascii="Palatino Linotype" w:hAnsi="Palatino Linotype" w:cs="Arial"/>
          <w:lang w:val="es-ES"/>
        </w:rPr>
        <w:lastRenderedPageBreak/>
        <w:t xml:space="preserve">rendir el informe mensual correspondiente el día cuatro de febrero de dos mil veinte, por lo que la información solicitada por el particular, concerniente al mes de diciembre de dos ml diecinueve, en la fecha de la solicitud y respuesta, aun no obraba en su archivos, por ello, los sujetos obligados sólo proporcionarán la información pública que se les requiera y </w:t>
      </w:r>
      <w:r>
        <w:rPr>
          <w:rFonts w:ascii="Palatino Linotype" w:hAnsi="Palatino Linotype" w:cs="Arial"/>
          <w:b/>
          <w:lang w:val="es-ES"/>
        </w:rPr>
        <w:t>que obre en sus archivos</w:t>
      </w:r>
      <w:r>
        <w:rPr>
          <w:rFonts w:ascii="Palatino Linotype" w:hAnsi="Palatino Linotype" w:cs="Arial"/>
          <w:lang w:val="es-ES"/>
        </w:rPr>
        <w:t xml:space="preserve"> y en el estado en que ésta se encuentre, de conformidad con el artículo 12 de la Ley Adjetiva.</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lang w:val="es-ES"/>
        </w:rPr>
      </w:pP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lang w:val="es-ES"/>
        </w:rPr>
        <w:t xml:space="preserve">Así mismo, mediante respuesta, </w:t>
      </w:r>
      <w:r>
        <w:rPr>
          <w:rFonts w:ascii="Palatino Linotype" w:hAnsi="Palatino Linotype" w:cs="Arial"/>
          <w:b/>
          <w:lang w:val="es-ES"/>
        </w:rPr>
        <w:t>EL SUJETO OBLIGADO</w:t>
      </w:r>
      <w:r>
        <w:rPr>
          <w:rFonts w:ascii="Palatino Linotype" w:hAnsi="Palatino Linotype" w:cs="Arial"/>
          <w:lang w:val="es-ES"/>
        </w:rPr>
        <w:t xml:space="preserve">, manifestó que el estado de situación financiera, de los municipios señalados en la solicitud, de los meses de agosto a noviembre de 2019, </w:t>
      </w:r>
      <w:r>
        <w:rPr>
          <w:rFonts w:ascii="Palatino Linotype" w:hAnsi="Palatino Linotype" w:cs="Arial"/>
        </w:rPr>
        <w:t>formaban parte del ejercicio de los recursos a cargo de los entes fiscalizables del año 2019 y a la fecha de la solicitud, formaban parte de un proceso de revisión y fiscalización sin concluir, ya que de conformidad con los numerales 32 y 50 de la Ley de Fiscalización Superior del Estado de México, 35 de la Ley Orgánica del Poder Legislativo del Estado Libre y Soberano del México, se contaba con fecha de plazo improrrogable para rendir a la Legislatura el Informe de Resultados de la Fiscalización practicada (revisión a informes mensuales y cuentas públicas anuales; evaluaciones y auditorías practicadas al año 2019 de los entes fiscalizables) al 30 de septiembre de 2020, tal como se advierte a continuación:</w:t>
      </w:r>
    </w:p>
    <w:p w:rsidR="000718D0" w:rsidRDefault="000718D0">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0718D0" w:rsidRDefault="009210CA">
      <w:pPr>
        <w:widowControl w:val="0"/>
        <w:tabs>
          <w:tab w:val="left" w:pos="1701"/>
          <w:tab w:val="left" w:pos="1843"/>
        </w:tabs>
        <w:spacing w:beforeAutospacing="1" w:afterAutospacing="1" w:line="360" w:lineRule="auto"/>
        <w:contextualSpacing/>
        <w:jc w:val="center"/>
        <w:rPr>
          <w:rFonts w:ascii="Palatino Linotype" w:hAnsi="Palatino Linotype" w:cs="Arial"/>
          <w:b/>
          <w:sz w:val="22"/>
          <w:szCs w:val="22"/>
        </w:rPr>
      </w:pPr>
      <w:r>
        <w:rPr>
          <w:rFonts w:ascii="Palatino Linotype" w:hAnsi="Palatino Linotype" w:cs="Arial"/>
          <w:b/>
          <w:sz w:val="22"/>
          <w:szCs w:val="22"/>
        </w:rPr>
        <w:t>Ley de Fiscalización Superior del Estado de México</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b/>
          <w:i/>
          <w:sz w:val="22"/>
          <w:szCs w:val="22"/>
          <w:u w:val="single"/>
        </w:rPr>
      </w:pPr>
      <w:r>
        <w:rPr>
          <w:rFonts w:ascii="Palatino Linotype" w:hAnsi="Palatino Linotype" w:cs="Arial"/>
          <w:b/>
          <w:i/>
          <w:sz w:val="22"/>
          <w:szCs w:val="22"/>
        </w:rPr>
        <w:t>Artículo 50.-</w:t>
      </w:r>
      <w:r>
        <w:rPr>
          <w:rFonts w:ascii="Palatino Linotype" w:hAnsi="Palatino Linotype" w:cs="Arial"/>
          <w:i/>
          <w:sz w:val="22"/>
          <w:szCs w:val="22"/>
        </w:rPr>
        <w:t xml:space="preserve"> </w:t>
      </w:r>
      <w:r>
        <w:rPr>
          <w:rFonts w:ascii="Palatino Linotype" w:hAnsi="Palatino Linotype" w:cs="Arial"/>
          <w:b/>
          <w:i/>
          <w:sz w:val="22"/>
          <w:szCs w:val="22"/>
          <w:u w:val="single"/>
        </w:rPr>
        <w:t>El Órgano Superior tendrá un plazo improrrogable que vence el 30 de septiembre del año en que se entreguen las cuentas públicas, para presentar el Informe de Resultados ante la Comisión de Vigilancia del Órgano Superior de Fiscalización,</w:t>
      </w:r>
      <w:r>
        <w:rPr>
          <w:rFonts w:ascii="Palatino Linotype" w:hAnsi="Palatino Linotype" w:cs="Arial"/>
          <w:i/>
          <w:sz w:val="22"/>
          <w:szCs w:val="22"/>
        </w:rPr>
        <w:t xml:space="preserve"> mismo que tendrá el carácter público y, en consecuencia, deberá ser publicado en medios electrónicos de manera inmediatamente posterior a la entrega que haga el Órgano Superior a la Comisión de </w:t>
      </w:r>
      <w:r>
        <w:rPr>
          <w:rFonts w:ascii="Palatino Linotype" w:hAnsi="Palatino Linotype" w:cs="Arial"/>
          <w:i/>
          <w:sz w:val="22"/>
          <w:szCs w:val="22"/>
        </w:rPr>
        <w:lastRenderedPageBreak/>
        <w:t xml:space="preserve">Vigilancia; </w:t>
      </w:r>
      <w:r>
        <w:rPr>
          <w:rFonts w:ascii="Palatino Linotype" w:hAnsi="Palatino Linotype" w:cs="Arial"/>
          <w:b/>
          <w:i/>
          <w:sz w:val="22"/>
          <w:szCs w:val="22"/>
          <w:u w:val="single"/>
        </w:rPr>
        <w:t>mientras ello no suceda, el Órgano Superior deberá guardar reserva de sus actuaciones e informaciones.</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La revisión, análisis, aclaración y discusión del informe a que hace referencia el párrafo anterior, y el estudio del contenido de la cuenta pública, servirán como principal instrumento para que la Comisión de Vigilancia del Órgano Superior de Fiscalización elabore el dictamen de las cuentas públicas, el cual deberá presentarse ante el Pleno de la Legislatura para su votación y emisión del decreto que tenga por fiscalizadas las cuentas públicas del Estado y Municipios a más tardar el 05 de diciembre del año en que se presente dicho informe.</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La calificación no suspende el trámite de las acciones promovidas o que se promuevan, por parte del Órgano Superior de Fiscalización del Estado de México, mismas que seguirán el procedimiento de acuerdo a las disposiciones legales aplicables.</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La Comisión vigilara la publicación del Informe de Resultados, de todas y cada una de las reuniones de trabajo que realice para analizarlo y del decreto que emita la Legislatura, de manera inmediata a que cada uno acontezca.</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La Comisión dará seguimiento a los informes emitidos por el Órgano Superior, que incluirán de forma cualitativa y cuantitativa las observaciones y recomendaciones así como a los procedimientos resarcitorios y demás acciones promovidas, por el OSFEM de la siguiente forma:</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a) Número de auditorías, tipo de auditoria, alcance y planeación de la misma.</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b) La identificación de la entidad fiscalizable.</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c) Las observaciones resarcitorias y el seguimiento de los mismos hasta su total conclusión.</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d) El comportamiento de la entidad fiscalizable respecto a las observaciones realizadas.</w:t>
      </w: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e) El cumplimiento de los programas auditados mediante auditoria del desempeño.</w:t>
      </w:r>
    </w:p>
    <w:p w:rsidR="000718D0" w:rsidRDefault="000718D0">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p>
    <w:p w:rsidR="000718D0" w:rsidRDefault="009210CA">
      <w:pPr>
        <w:widowControl w:val="0"/>
        <w:tabs>
          <w:tab w:val="left" w:pos="1701"/>
          <w:tab w:val="left" w:pos="1843"/>
        </w:tabs>
        <w:spacing w:beforeAutospacing="1" w:afterAutospacing="1"/>
        <w:ind w:left="851" w:right="899"/>
        <w:contextualSpacing/>
        <w:jc w:val="center"/>
        <w:rPr>
          <w:rFonts w:ascii="Palatino Linotype" w:hAnsi="Palatino Linotype" w:cs="Arial"/>
          <w:b/>
          <w:sz w:val="22"/>
          <w:szCs w:val="22"/>
        </w:rPr>
      </w:pPr>
      <w:r>
        <w:rPr>
          <w:rFonts w:ascii="Palatino Linotype" w:hAnsi="Palatino Linotype" w:cs="Arial"/>
          <w:b/>
          <w:sz w:val="22"/>
          <w:szCs w:val="22"/>
        </w:rPr>
        <w:t xml:space="preserve">Ley Orgánica del Poder Legislativo del Estado Libre y Soberano </w:t>
      </w:r>
    </w:p>
    <w:p w:rsidR="000718D0" w:rsidRDefault="009210CA">
      <w:pPr>
        <w:widowControl w:val="0"/>
        <w:tabs>
          <w:tab w:val="left" w:pos="1701"/>
          <w:tab w:val="left" w:pos="1843"/>
        </w:tabs>
        <w:spacing w:beforeAutospacing="1" w:afterAutospacing="1"/>
        <w:ind w:left="851" w:right="899"/>
        <w:contextualSpacing/>
        <w:jc w:val="center"/>
        <w:rPr>
          <w:rFonts w:ascii="Palatino Linotype" w:hAnsi="Palatino Linotype" w:cs="Arial"/>
          <w:b/>
          <w:i/>
          <w:sz w:val="22"/>
          <w:szCs w:val="22"/>
        </w:rPr>
      </w:pPr>
      <w:proofErr w:type="gramStart"/>
      <w:r>
        <w:rPr>
          <w:rFonts w:ascii="Palatino Linotype" w:hAnsi="Palatino Linotype" w:cs="Arial"/>
          <w:b/>
          <w:sz w:val="22"/>
          <w:szCs w:val="22"/>
        </w:rPr>
        <w:t>del</w:t>
      </w:r>
      <w:proofErr w:type="gramEnd"/>
      <w:r>
        <w:rPr>
          <w:rFonts w:ascii="Palatino Linotype" w:hAnsi="Palatino Linotype" w:cs="Arial"/>
          <w:b/>
          <w:sz w:val="22"/>
          <w:szCs w:val="22"/>
        </w:rPr>
        <w:t xml:space="preserve"> México</w:t>
      </w:r>
    </w:p>
    <w:p w:rsidR="000718D0" w:rsidRDefault="000718D0">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r>
        <w:rPr>
          <w:rFonts w:ascii="Palatino Linotype" w:hAnsi="Palatino Linotype" w:cs="Arial"/>
          <w:b/>
          <w:i/>
          <w:sz w:val="22"/>
          <w:szCs w:val="22"/>
        </w:rPr>
        <w:t>Artículo 35.-</w:t>
      </w:r>
      <w:r>
        <w:rPr>
          <w:rFonts w:ascii="Palatino Linotype" w:hAnsi="Palatino Linotype" w:cs="Arial"/>
          <w:i/>
          <w:sz w:val="22"/>
          <w:szCs w:val="22"/>
        </w:rPr>
        <w:t xml:space="preserve"> La Legislatura recibirá anualmente para su revisión las cuentas de gastos del Estado, correspondiente al año inmediato anterior, a más tardar el 15 de mayo, y de los municipios, dentro de los primeros quince días naturales del mes de marzo. </w:t>
      </w:r>
    </w:p>
    <w:p w:rsidR="000718D0" w:rsidRDefault="000718D0">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p>
    <w:p w:rsidR="000718D0" w:rsidRDefault="009210CA">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lang w:val="es-ES"/>
        </w:rPr>
      </w:pPr>
      <w:r>
        <w:rPr>
          <w:rFonts w:ascii="Palatino Linotype" w:hAnsi="Palatino Linotype" w:cs="Arial"/>
          <w:b/>
          <w:i/>
          <w:sz w:val="22"/>
          <w:szCs w:val="22"/>
        </w:rPr>
        <w:t>La Comisión de Vigilancia del Órgano Superior de Fiscalización deberá celebrar reunión de trabajo para revisar los Informes de Resultados presentados por el Órgano Superior de Fiscalización,</w:t>
      </w:r>
      <w:r>
        <w:rPr>
          <w:rFonts w:ascii="Palatino Linotype" w:hAnsi="Palatino Linotype" w:cs="Arial"/>
          <w:i/>
          <w:sz w:val="22"/>
          <w:szCs w:val="22"/>
        </w:rPr>
        <w:t xml:space="preserve"> a más tardar el 10 de </w:t>
      </w:r>
      <w:r>
        <w:rPr>
          <w:rFonts w:ascii="Palatino Linotype" w:hAnsi="Palatino Linotype" w:cs="Arial"/>
          <w:i/>
          <w:sz w:val="22"/>
          <w:szCs w:val="22"/>
        </w:rPr>
        <w:lastRenderedPageBreak/>
        <w:t>octubre.</w:t>
      </w:r>
    </w:p>
    <w:p w:rsidR="000718D0" w:rsidRDefault="000718D0">
      <w:pPr>
        <w:widowControl w:val="0"/>
        <w:tabs>
          <w:tab w:val="left" w:pos="1701"/>
          <w:tab w:val="left" w:pos="1843"/>
        </w:tabs>
        <w:spacing w:beforeAutospacing="1" w:afterAutospacing="1"/>
        <w:ind w:left="851" w:right="899"/>
        <w:contextualSpacing/>
        <w:jc w:val="both"/>
        <w:rPr>
          <w:rFonts w:ascii="Palatino Linotype" w:hAnsi="Palatino Linotype" w:cs="Arial"/>
          <w:i/>
          <w:sz w:val="22"/>
          <w:szCs w:val="22"/>
        </w:rPr>
      </w:pPr>
    </w:p>
    <w:p w:rsidR="000718D0" w:rsidRDefault="009210CA">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t xml:space="preserve">Atento a lo señalado con anterioridad </w:t>
      </w:r>
      <w:r>
        <w:rPr>
          <w:rFonts w:ascii="Palatino Linotype" w:hAnsi="Palatino Linotype" w:cs="Arial"/>
          <w:b/>
        </w:rPr>
        <w:t>EL SUJETO OBLIGADO</w:t>
      </w:r>
      <w:r>
        <w:rPr>
          <w:rFonts w:ascii="Palatino Linotype" w:hAnsi="Palatino Linotype" w:cs="Arial"/>
        </w:rPr>
        <w:t xml:space="preserve">, clasificó como información reservada mediante el Acta de la Cuarta Sesión Extraordinaria del Comité de Transparencia del </w:t>
      </w:r>
      <w:r>
        <w:rPr>
          <w:rFonts w:ascii="Palatino Linotype" w:hAnsi="Palatino Linotype" w:cs="Arial"/>
          <w:b/>
        </w:rPr>
        <w:t>SUJETO OBLIGADO</w:t>
      </w:r>
      <w:r>
        <w:rPr>
          <w:rFonts w:ascii="Palatino Linotype" w:hAnsi="Palatino Linotype" w:cs="Arial"/>
        </w:rPr>
        <w:t xml:space="preserve"> de fecha 27 de enero de 2020, mediante el cual se confirmó la clasificación como reservada del Estado de Situación Financiera, balanza de comprobación, balanza de comprobación detallada, estado de actividades, estado de flujo efectivo, estado de cambios en la situación financiera, estado comparativo presupuestal de ingresos y estado comparativo presupuestal de egresos, del periodo de agosto a noviembre de 2019, presentados al Órgano Superior de Fiscalización, por los Municipios de Chalco, Valle de Chalco Solidaridad, Ecatepec de Morelos, Coacalco de Berriozábal, La Paz, </w:t>
      </w:r>
      <w:proofErr w:type="spellStart"/>
      <w:r>
        <w:rPr>
          <w:rFonts w:ascii="Palatino Linotype" w:hAnsi="Palatino Linotype" w:cs="Arial"/>
        </w:rPr>
        <w:t>Luvianos</w:t>
      </w:r>
      <w:proofErr w:type="spellEnd"/>
      <w:r>
        <w:rPr>
          <w:rFonts w:ascii="Palatino Linotype" w:hAnsi="Palatino Linotype" w:cs="Arial"/>
        </w:rPr>
        <w:t>, Naucalpan de Juárez y Tlalnepantla de Baz, por el periodo de un año o hasta en tanto cesen los motivos de reserva, al formar parte de la revisión y fiscalización de los municipios señalados mediante la siguiente prueba de daño:</w:t>
      </w:r>
    </w:p>
    <w:p w:rsidR="000718D0" w:rsidRDefault="00E04EA3">
      <w:pPr>
        <w:widowControl w:val="0"/>
        <w:tabs>
          <w:tab w:val="left" w:pos="1701"/>
          <w:tab w:val="left" w:pos="1843"/>
        </w:tabs>
        <w:spacing w:line="360" w:lineRule="auto"/>
        <w:contextualSpacing/>
        <w:jc w:val="both"/>
        <w:rPr>
          <w:rFonts w:ascii="Palatino Linotype" w:hAnsi="Palatino Linotype" w:cs="Arial"/>
        </w:rPr>
      </w:pPr>
      <w:r>
        <w:rPr>
          <w:noProof/>
          <w:lang w:eastAsia="es-MX"/>
        </w:rPr>
        <mc:AlternateContent>
          <mc:Choice Requires="wps">
            <w:drawing>
              <wp:anchor distT="0" distB="0" distL="0" distR="0" simplePos="0" relativeHeight="71" behindDoc="0" locked="0" layoutInCell="1" allowOverlap="1">
                <wp:simplePos x="0" y="0"/>
                <wp:positionH relativeFrom="page">
                  <wp:posOffset>1073150</wp:posOffset>
                </wp:positionH>
                <wp:positionV relativeFrom="paragraph">
                  <wp:posOffset>2190750</wp:posOffset>
                </wp:positionV>
                <wp:extent cx="5573395" cy="366395"/>
                <wp:effectExtent l="57150" t="38100" r="85725" b="92075"/>
                <wp:wrapNone/>
                <wp:docPr id="24" name="Rectángulo 32"/>
                <wp:cNvGraphicFramePr/>
                <a:graphic xmlns:a="http://schemas.openxmlformats.org/drawingml/2006/main">
                  <a:graphicData uri="http://schemas.microsoft.com/office/word/2010/wordprocessingShape">
                    <wps:wsp>
                      <wps:cNvSpPr/>
                      <wps:spPr>
                        <a:xfrm>
                          <a:off x="0" y="0"/>
                          <a:ext cx="5573395" cy="366395"/>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w14:anchorId="2D3E26CE" id="Rectángulo 32" o:spid="_x0000_s1026" style="position:absolute;margin-left:84.5pt;margin-top:172.5pt;width:438.85pt;height:28.85pt;z-index: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" filled="f" strokecolor="red" strokeweight=".79mm">
                <v:stroke joinstyle="round"/>
                <v:shadow on="t" color="black" opacity="22937f" origin=",.5" offset="0,.64mm"/>
                <w10:wrap anchorx="page"/>
              </v:rect>
            </w:pict>
          </mc:Fallback>
        </mc:AlternateContent>
      </w:r>
      <w:r w:rsidR="009210CA">
        <w:rPr>
          <w:noProof/>
          <w:lang w:eastAsia="es-MX"/>
        </w:rPr>
        <mc:AlternateContent>
          <mc:Choice Requires="wps">
            <w:drawing>
              <wp:anchor distT="0" distB="0" distL="0" distR="0" simplePos="0" relativeHeight="69" behindDoc="0" locked="0" layoutInCell="1" allowOverlap="1">
                <wp:simplePos x="0" y="0"/>
                <wp:positionH relativeFrom="column">
                  <wp:posOffset>10160</wp:posOffset>
                </wp:positionH>
                <wp:positionV relativeFrom="paragraph">
                  <wp:posOffset>145415</wp:posOffset>
                </wp:positionV>
                <wp:extent cx="5640705" cy="589915"/>
                <wp:effectExtent l="57150" t="38100" r="75565" b="97155"/>
                <wp:wrapNone/>
                <wp:docPr id="22" name="Rectángulo 31"/>
                <wp:cNvGraphicFramePr/>
                <a:graphic xmlns:a="http://schemas.openxmlformats.org/drawingml/2006/main">
                  <a:graphicData uri="http://schemas.microsoft.com/office/word/2010/wordprocessingShape">
                    <wps:wsp>
                      <wps:cNvSpPr/>
                      <wps:spPr>
                        <a:xfrm>
                          <a:off x="0" y="0"/>
                          <a:ext cx="5640705" cy="589915"/>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w14:anchorId="01A9F2D2" id="Rectángulo 31" o:spid="_x0000_s1026" style="position:absolute;margin-left:.8pt;margin-top:11.45pt;width:444.15pt;height:46.45pt;z-index: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" filled="f" strokecolor="red" strokeweight=".79mm">
                <v:stroke joinstyle="round"/>
                <v:shadow on="t" color="black" opacity="22937f" origin=",.5" offset="0,.64mm"/>
              </v:rect>
            </w:pict>
          </mc:Fallback>
        </mc:AlternateContent>
      </w:r>
      <w:r w:rsidR="009210CA">
        <w:rPr>
          <w:noProof/>
          <w:lang w:eastAsia="es-MX"/>
        </w:rPr>
        <mc:AlternateContent>
          <mc:Choice Requires="wps">
            <w:drawing>
              <wp:anchor distT="0" distB="0" distL="0" distR="0" simplePos="0" relativeHeight="70" behindDoc="0" locked="0" layoutInCell="1" allowOverlap="1">
                <wp:simplePos x="0" y="0"/>
                <wp:positionH relativeFrom="page">
                  <wp:align>center</wp:align>
                </wp:positionH>
                <wp:positionV relativeFrom="paragraph">
                  <wp:posOffset>5513070</wp:posOffset>
                </wp:positionV>
                <wp:extent cx="5573395" cy="401320"/>
                <wp:effectExtent l="57150" t="38100" r="85725" b="95250"/>
                <wp:wrapNone/>
                <wp:docPr id="23" name="Rectángulo 33"/>
                <wp:cNvGraphicFramePr/>
                <a:graphic xmlns:a="http://schemas.openxmlformats.org/drawingml/2006/main">
                  <a:graphicData uri="http://schemas.microsoft.com/office/word/2010/wordprocessingShape">
                    <wps:wsp>
                      <wps:cNvSpPr/>
                      <wps:spPr>
                        <a:xfrm>
                          <a:off x="0" y="0"/>
                          <a:ext cx="5572800" cy="40068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w14:anchorId="38907AE7" id="Rectángulo 33" o:spid="_x0000_s1026" style="position:absolute;margin-left:0;margin-top:434.1pt;width:438.85pt;height:31.6pt;z-index:70;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" filled="f" strokecolor="red" strokeweight=".79mm">
                <v:stroke joinstyle="round"/>
                <v:shadow on="t" color="black" opacity="22937f" origin=",.5" offset="0,.64mm"/>
                <w10:wrap anchorx="page"/>
              </v:rect>
            </w:pict>
          </mc:Fallback>
        </mc:AlternateContent>
      </w:r>
      <w:r w:rsidR="009210CA">
        <w:rPr>
          <w:rFonts w:ascii="Palatino Linotype" w:hAnsi="Palatino Linotype" w:cs="Arial"/>
          <w:sz w:val="6"/>
          <w:szCs w:val="6"/>
        </w:rPr>
        <w:br/>
      </w:r>
      <w:r w:rsidR="009210CA">
        <w:rPr>
          <w:noProof/>
          <w:lang w:eastAsia="es-MX"/>
        </w:rPr>
        <w:drawing>
          <wp:inline distT="0" distB="0" distL="0" distR="0">
            <wp:extent cx="5732780" cy="2867025"/>
            <wp:effectExtent l="0" t="0" r="1270" b="9525"/>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6"/>
                    <pic:cNvPicPr>
                      <a:picLocks noChangeAspect="1" noChangeArrowheads="1"/>
                    </pic:cNvPicPr>
                  </pic:nvPicPr>
                  <pic:blipFill>
                    <a:blip r:embed="rId23"/>
                    <a:srcRect l="27970" t="16225" r="29461" b="5497"/>
                    <a:stretch>
                      <a:fillRect/>
                    </a:stretch>
                  </pic:blipFill>
                  <pic:spPr bwMode="auto">
                    <a:xfrm>
                      <a:off x="0" y="0"/>
                      <a:ext cx="5732780" cy="2867025"/>
                    </a:xfrm>
                    <a:prstGeom prst="rect">
                      <a:avLst/>
                    </a:prstGeom>
                  </pic:spPr>
                </pic:pic>
              </a:graphicData>
            </a:graphic>
          </wp:inline>
        </w:drawing>
      </w:r>
    </w:p>
    <w:p w:rsidR="000718D0" w:rsidRDefault="009210CA">
      <w:pPr>
        <w:spacing w:line="360" w:lineRule="auto"/>
        <w:jc w:val="both"/>
        <w:rPr>
          <w:rFonts w:ascii="Palatino Linotype" w:hAnsi="Palatino Linotype" w:cs="Arial"/>
        </w:rPr>
      </w:pPr>
      <w:r>
        <w:rPr>
          <w:noProof/>
          <w:lang w:eastAsia="es-MX"/>
        </w:rPr>
        <w:lastRenderedPageBreak/>
        <w:drawing>
          <wp:inline distT="0" distB="0" distL="0" distR="0">
            <wp:extent cx="5657850" cy="7315200"/>
            <wp:effectExtent l="0" t="0" r="0" b="0"/>
            <wp:docPr id="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
                    <pic:cNvPicPr>
                      <a:picLocks noChangeAspect="1" noChangeArrowheads="1"/>
                    </pic:cNvPicPr>
                  </pic:nvPicPr>
                  <pic:blipFill>
                    <a:blip r:embed="rId24"/>
                    <a:srcRect l="27970" t="10305" r="29461" b="6599"/>
                    <a:stretch>
                      <a:fillRect/>
                    </a:stretch>
                  </pic:blipFill>
                  <pic:spPr bwMode="auto">
                    <a:xfrm>
                      <a:off x="0" y="0"/>
                      <a:ext cx="5657850" cy="7315200"/>
                    </a:xfrm>
                    <a:prstGeom prst="rect">
                      <a:avLst/>
                    </a:prstGeom>
                  </pic:spPr>
                </pic:pic>
              </a:graphicData>
            </a:graphic>
          </wp:inline>
        </w:drawing>
      </w:r>
      <w:r>
        <w:rPr>
          <w:noProof/>
          <w:lang w:eastAsia="es-MX"/>
        </w:rPr>
        <mc:AlternateContent>
          <mc:Choice Requires="wps">
            <w:drawing>
              <wp:anchor distT="0" distB="0" distL="0" distR="0" simplePos="0" relativeHeight="68" behindDoc="0" locked="0" layoutInCell="1" allowOverlap="1">
                <wp:simplePos x="0" y="0"/>
                <wp:positionH relativeFrom="page">
                  <wp:align>center</wp:align>
                </wp:positionH>
                <wp:positionV relativeFrom="paragraph">
                  <wp:posOffset>3455670</wp:posOffset>
                </wp:positionV>
                <wp:extent cx="5573395" cy="1915795"/>
                <wp:effectExtent l="57150" t="38100" r="85725" b="104775"/>
                <wp:wrapNone/>
                <wp:docPr id="26" name="Rectángulo 30"/>
                <wp:cNvGraphicFramePr/>
                <a:graphic xmlns:a="http://schemas.openxmlformats.org/drawingml/2006/main">
                  <a:graphicData uri="http://schemas.microsoft.com/office/word/2010/wordprocessingShape">
                    <wps:wsp>
                      <wps:cNvSpPr/>
                      <wps:spPr>
                        <a:xfrm>
                          <a:off x="0" y="0"/>
                          <a:ext cx="5572800" cy="191520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30" stroked="t" style="position:absolute;margin-left:86.6pt;margin-top:272.1pt;width:438.75pt;height:150.75pt;mso-position-horizontal:center;mso-position-horizontal-relative:page">
                <w10:wrap type="none"/>
                <v:fill o:detectmouseclick="t" on="false"/>
                <v:stroke color="red" weight="28440" joinstyle="round" endcap="flat"/>
                <v:shadow on="t" obscured="f" color="black"/>
              </v:rect>
            </w:pict>
          </mc:Fallback>
        </mc:AlternateContent>
      </w:r>
    </w:p>
    <w:p w:rsidR="000718D0" w:rsidRDefault="009210CA">
      <w:pPr>
        <w:widowControl w:val="0"/>
        <w:tabs>
          <w:tab w:val="left" w:pos="1701"/>
          <w:tab w:val="left" w:pos="1843"/>
        </w:tabs>
        <w:spacing w:beforeAutospacing="1" w:afterAutospacing="1" w:line="360" w:lineRule="auto"/>
        <w:contextualSpacing/>
        <w:jc w:val="both"/>
        <w:rPr>
          <w:rFonts w:ascii="Palatino Linotype" w:hAnsi="Palatino Linotype" w:cs="Arial"/>
        </w:rPr>
      </w:pPr>
      <w:r>
        <w:rPr>
          <w:noProof/>
          <w:lang w:eastAsia="es-MX"/>
        </w:rPr>
        <w:lastRenderedPageBreak/>
        <w:drawing>
          <wp:inline distT="0" distB="0" distL="0" distR="0">
            <wp:extent cx="5524500" cy="7572375"/>
            <wp:effectExtent l="0" t="0" r="0" b="0"/>
            <wp:docPr id="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8"/>
                    <pic:cNvPicPr>
                      <a:picLocks noChangeAspect="1" noChangeArrowheads="1"/>
                    </pic:cNvPicPr>
                  </pic:nvPicPr>
                  <pic:blipFill>
                    <a:blip r:embed="rId25"/>
                    <a:srcRect l="27970" t="9872" r="30118" b="7032"/>
                    <a:stretch>
                      <a:fillRect/>
                    </a:stretch>
                  </pic:blipFill>
                  <pic:spPr bwMode="auto">
                    <a:xfrm>
                      <a:off x="0" y="0"/>
                      <a:ext cx="5524500" cy="7572375"/>
                    </a:xfrm>
                    <a:prstGeom prst="rect">
                      <a:avLst/>
                    </a:prstGeom>
                  </pic:spPr>
                </pic:pic>
              </a:graphicData>
            </a:graphic>
          </wp:inline>
        </w:drawing>
      </w:r>
      <w:r>
        <w:rPr>
          <w:noProof/>
          <w:lang w:eastAsia="es-MX"/>
        </w:rPr>
        <mc:AlternateContent>
          <mc:Choice Requires="wps">
            <w:drawing>
              <wp:anchor distT="0" distB="0" distL="0" distR="0" simplePos="0" relativeHeight="66" behindDoc="0" locked="0" layoutInCell="1" allowOverlap="1">
                <wp:simplePos x="0" y="0"/>
                <wp:positionH relativeFrom="column">
                  <wp:posOffset>-13335</wp:posOffset>
                </wp:positionH>
                <wp:positionV relativeFrom="paragraph">
                  <wp:posOffset>3398520</wp:posOffset>
                </wp:positionV>
                <wp:extent cx="5573395" cy="1010920"/>
                <wp:effectExtent l="57150" t="38100" r="85725" b="95250"/>
                <wp:wrapNone/>
                <wp:docPr id="28" name="Rectángulo 28"/>
                <wp:cNvGraphicFramePr/>
                <a:graphic xmlns:a="http://schemas.openxmlformats.org/drawingml/2006/main">
                  <a:graphicData uri="http://schemas.microsoft.com/office/word/2010/wordprocessingShape">
                    <wps:wsp>
                      <wps:cNvSpPr/>
                      <wps:spPr>
                        <a:xfrm>
                          <a:off x="0" y="0"/>
                          <a:ext cx="5572800" cy="101016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8" stroked="t" style="position:absolute;margin-left:-1.05pt;margin-top:267.6pt;width:438.75pt;height:79.5pt">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67" behindDoc="0" locked="0" layoutInCell="1" allowOverlap="1">
                <wp:simplePos x="0" y="0"/>
                <wp:positionH relativeFrom="column">
                  <wp:posOffset>-3810</wp:posOffset>
                </wp:positionH>
                <wp:positionV relativeFrom="paragraph">
                  <wp:posOffset>1207770</wp:posOffset>
                </wp:positionV>
                <wp:extent cx="5573395" cy="1677670"/>
                <wp:effectExtent l="57150" t="38100" r="85725" b="95250"/>
                <wp:wrapNone/>
                <wp:docPr id="29" name="Rectángulo 29"/>
                <wp:cNvGraphicFramePr/>
                <a:graphic xmlns:a="http://schemas.openxmlformats.org/drawingml/2006/main">
                  <a:graphicData uri="http://schemas.microsoft.com/office/word/2010/wordprocessingShape">
                    <wps:wsp>
                      <wps:cNvSpPr/>
                      <wps:spPr>
                        <a:xfrm>
                          <a:off x="0" y="0"/>
                          <a:ext cx="5572800" cy="167688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9" stroked="t" style="position:absolute;margin-left:-0.3pt;margin-top:95.1pt;width:438.75pt;height:132pt">
                <w10:wrap type="none"/>
                <v:fill o:detectmouseclick="t" on="false"/>
                <v:stroke color="red" weight="28440" joinstyle="round" endcap="flat"/>
                <v:shadow on="t" obscured="f" color="black"/>
              </v:rect>
            </w:pict>
          </mc:Fallback>
        </mc:AlternateContent>
      </w:r>
    </w:p>
    <w:p w:rsidR="000718D0" w:rsidRDefault="009210CA">
      <w:pPr>
        <w:spacing w:beforeAutospacing="1"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extent cx="5695950" cy="4686300"/>
            <wp:effectExtent l="0" t="0" r="0" b="0"/>
            <wp:docPr id="3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
                    <pic:cNvPicPr>
                      <a:picLocks noChangeAspect="1" noChangeArrowheads="1"/>
                    </pic:cNvPicPr>
                  </pic:nvPicPr>
                  <pic:blipFill>
                    <a:blip r:embed="rId26"/>
                    <a:srcRect l="24187" t="18873" r="25353" b="21078"/>
                    <a:stretch>
                      <a:fillRect/>
                    </a:stretch>
                  </pic:blipFill>
                  <pic:spPr bwMode="auto">
                    <a:xfrm>
                      <a:off x="0" y="0"/>
                      <a:ext cx="5695950" cy="4686300"/>
                    </a:xfrm>
                    <a:prstGeom prst="rect">
                      <a:avLst/>
                    </a:prstGeom>
                  </pic:spPr>
                </pic:pic>
              </a:graphicData>
            </a:graphic>
          </wp:inline>
        </w:drawing>
      </w:r>
      <w:r>
        <w:rPr>
          <w:noProof/>
          <w:lang w:eastAsia="es-MX"/>
        </w:rPr>
        <mc:AlternateContent>
          <mc:Choice Requires="wps">
            <w:drawing>
              <wp:anchor distT="0" distB="0" distL="0" distR="0" simplePos="0" relativeHeight="64" behindDoc="0" locked="0" layoutInCell="1" allowOverlap="1">
                <wp:simplePos x="0" y="0"/>
                <wp:positionH relativeFrom="column">
                  <wp:posOffset>5715</wp:posOffset>
                </wp:positionH>
                <wp:positionV relativeFrom="paragraph">
                  <wp:posOffset>2632710</wp:posOffset>
                </wp:positionV>
                <wp:extent cx="5573395" cy="2020570"/>
                <wp:effectExtent l="57150" t="38100" r="85725" b="95250"/>
                <wp:wrapNone/>
                <wp:docPr id="31" name="Rectángulo 26"/>
                <wp:cNvGraphicFramePr/>
                <a:graphic xmlns:a="http://schemas.openxmlformats.org/drawingml/2006/main">
                  <a:graphicData uri="http://schemas.microsoft.com/office/word/2010/wordprocessingShape">
                    <wps:wsp>
                      <wps:cNvSpPr/>
                      <wps:spPr>
                        <a:xfrm>
                          <a:off x="0" y="0"/>
                          <a:ext cx="5572800" cy="201996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26" stroked="t" style="position:absolute;margin-left:0.45pt;margin-top:207.3pt;width:438.75pt;height:159pt">
                <w10:wrap type="none"/>
                <v:fill o:detectmouseclick="t" on="false"/>
                <v:stroke color="red" weight="28440" joinstyle="round" endcap="flat"/>
                <v:shadow on="t" obscured="f" color="black"/>
              </v:rect>
            </w:pict>
          </mc:Fallback>
        </mc:AlternateContent>
      </w:r>
      <w:r>
        <w:rPr>
          <w:noProof/>
          <w:lang w:eastAsia="es-MX"/>
        </w:rPr>
        <mc:AlternateContent>
          <mc:Choice Requires="wps">
            <w:drawing>
              <wp:anchor distT="0" distB="0" distL="0" distR="0" simplePos="0" relativeHeight="65" behindDoc="0" locked="0" layoutInCell="1" allowOverlap="1">
                <wp:simplePos x="0" y="0"/>
                <wp:positionH relativeFrom="column">
                  <wp:posOffset>-3810</wp:posOffset>
                </wp:positionH>
                <wp:positionV relativeFrom="paragraph">
                  <wp:posOffset>803910</wp:posOffset>
                </wp:positionV>
                <wp:extent cx="5573395" cy="1468120"/>
                <wp:effectExtent l="57150" t="38100" r="85725" b="95250"/>
                <wp:wrapNone/>
                <wp:docPr id="32" name="Rectángulo 27"/>
                <wp:cNvGraphicFramePr/>
                <a:graphic xmlns:a="http://schemas.openxmlformats.org/drawingml/2006/main">
                  <a:graphicData uri="http://schemas.microsoft.com/office/word/2010/wordprocessingShape">
                    <wps:wsp>
                      <wps:cNvSpPr/>
                      <wps:spPr>
                        <a:xfrm>
                          <a:off x="0" y="0"/>
                          <a:ext cx="5572800" cy="1467360"/>
                        </a:xfrm>
                        <a:prstGeom prst="rect">
                          <a:avLst/>
                        </a:prstGeom>
                        <a:noFill/>
                        <a:ln w="28440">
                          <a:solidFill>
                            <a:srgbClr val="FF0000"/>
                          </a:solidFill>
                          <a:round/>
                        </a:ln>
                        <a:effectLst>
                          <a:outerShdw blurRad="40000" dist="23040" dir="5400000" rotWithShape="0">
                            <a:srgbClr val="000000">
                              <a:alpha val="35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rect id="shape_0" ID="Rectángulo 27" stroked="t" style="position:absolute;margin-left:-0.3pt;margin-top:63.3pt;width:438.75pt;height:115.5pt">
                <w10:wrap type="none"/>
                <v:fill o:detectmouseclick="t" on="false"/>
                <v:stroke color="red" weight="28440" joinstyle="round" endcap="flat"/>
                <v:shadow on="t" obscured="f" color="black"/>
              </v:rect>
            </w:pict>
          </mc:Fallback>
        </mc:AlternateContent>
      </w:r>
    </w:p>
    <w:p w:rsidR="000718D0" w:rsidRDefault="000718D0">
      <w:pPr>
        <w:spacing w:beforeAutospacing="1" w:afterAutospacing="1" w:line="360" w:lineRule="auto"/>
        <w:contextualSpacing/>
        <w:jc w:val="both"/>
        <w:rPr>
          <w:rFonts w:ascii="Palatino Linotype" w:eastAsia="Calibri" w:hAnsi="Palatino Linotype" w:cs="Arial"/>
        </w:rPr>
      </w:pPr>
    </w:p>
    <w:p w:rsidR="000718D0" w:rsidRDefault="009210CA">
      <w:pPr>
        <w:spacing w:line="360" w:lineRule="auto"/>
        <w:jc w:val="both"/>
        <w:rPr>
          <w:rFonts w:ascii="Palatino Linotype" w:eastAsia="Calibri" w:hAnsi="Palatino Linotype" w:cs="Tahoma"/>
          <w:color w:val="000000"/>
          <w:lang w:eastAsia="es-MX"/>
        </w:rPr>
      </w:pPr>
      <w:r>
        <w:rPr>
          <w:rFonts w:ascii="Palatino Linotype" w:eastAsia="Calibri" w:hAnsi="Palatino Linotype" w:cs="Tahoma"/>
          <w:color w:val="000000"/>
          <w:lang w:eastAsia="es-MX"/>
        </w:rPr>
        <w:t xml:space="preserve">De dicho acuerdo, se evidencia que conforme al artículo 50 de la Ley de Fiscalización Superior del Estado de México el Órgano Superior tendrá un plazo improrrogable que vence el 30 de septiembre del año en que se entreguen las cuentas públicas, para presentar el Informe de Resultados ante la Comisión de Vigilancia del Órgano Superior de Fiscalización, </w:t>
      </w:r>
      <w:r>
        <w:rPr>
          <w:rFonts w:ascii="Palatino Linotype" w:eastAsia="Calibri" w:hAnsi="Palatino Linotype" w:cs="Tahoma"/>
          <w:i/>
          <w:color w:val="000000"/>
          <w:lang w:eastAsia="es-MX"/>
        </w:rPr>
        <w:t>mismo que tendrá el carácter público y, en consecuencia, deberá ser publicado en medios electrónicos de manera inmediatamente posterior a la entrega que haga el Órgano Superior a la Comisión de Vigilancia</w:t>
      </w:r>
      <w:r>
        <w:rPr>
          <w:rFonts w:ascii="Palatino Linotype" w:eastAsia="Calibri" w:hAnsi="Palatino Linotype" w:cs="Tahoma"/>
          <w:b/>
          <w:i/>
          <w:color w:val="000000"/>
          <w:u w:val="single"/>
          <w:lang w:eastAsia="es-MX"/>
        </w:rPr>
        <w:t xml:space="preserve">; mientras ello no suceda, el Órgano Superior deberá </w:t>
      </w:r>
      <w:r>
        <w:rPr>
          <w:rFonts w:ascii="Palatino Linotype" w:eastAsia="Calibri" w:hAnsi="Palatino Linotype" w:cs="Tahoma"/>
          <w:b/>
          <w:i/>
          <w:color w:val="000000"/>
          <w:u w:val="single"/>
          <w:lang w:eastAsia="es-MX"/>
        </w:rPr>
        <w:lastRenderedPageBreak/>
        <w:t>guardar reserva de sus actuaciones e informaciones</w:t>
      </w:r>
      <w:r>
        <w:rPr>
          <w:rFonts w:ascii="Palatino Linotype" w:eastAsia="Calibri" w:hAnsi="Palatino Linotype" w:cs="Tahoma"/>
          <w:color w:val="000000"/>
          <w:lang w:eastAsia="es-MX"/>
        </w:rPr>
        <w:t>, es decir, la propia Ley exige la reserva de la información que conforma el estado de situación financiera de los entes fiscalizables por parte del SUJETO OBLIGADO, hasta en tanto no se haya concluido el proceso de revisión y fiscalización de los mismos y sea presentado el Informe de Resultados ante la Comisión de Vigilancia, por ello se acredita la justificación fundada y motivada de la clasificación como reservada por un año o hasta que cesen los motivos de la reserva, en virtud de que el Comité de Transparencia acreditó mediante la prueba de daño que realizó en el Acuerdo correspondiente, al tratarse de un proceso de fiscalización que está en trámite y no ha concluido, por tanto se cumplieron los requisitos de fundamentación y motivación.</w:t>
      </w:r>
    </w:p>
    <w:p w:rsidR="000718D0" w:rsidRDefault="009210CA">
      <w:pPr>
        <w:spacing w:beforeAutospacing="1" w:afterAutospacing="1" w:line="360" w:lineRule="auto"/>
        <w:jc w:val="both"/>
        <w:rPr>
          <w:rFonts w:ascii="Palatino Linotype" w:hAnsi="Palatino Linotype"/>
        </w:rPr>
      </w:pPr>
      <w:r>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0718D0" w:rsidRDefault="009210CA">
      <w:pPr>
        <w:spacing w:beforeAutospacing="1" w:afterAutospacing="1" w:line="360" w:lineRule="auto"/>
        <w:jc w:val="both"/>
        <w:rPr>
          <w:rFonts w:ascii="Palatino Linotype" w:hAnsi="Palatino Linotype"/>
          <w:bCs/>
        </w:rPr>
      </w:pPr>
      <w:r>
        <w:rPr>
          <w:rFonts w:ascii="Palatino Linotype" w:hAnsi="Palatino Linotype"/>
          <w:bCs/>
        </w:rPr>
        <w:t xml:space="preserve">Por todo lo anterior, la reserva de la información implica una clasificación, la cual debe entenderse como el proceso mediante el cual </w:t>
      </w:r>
      <w:r>
        <w:rPr>
          <w:rFonts w:ascii="Palatino Linotype" w:hAnsi="Palatino Linotype"/>
          <w:b/>
          <w:bCs/>
        </w:rPr>
        <w:t>EL SUJETO OBLIGADO</w:t>
      </w:r>
      <w:r>
        <w:rPr>
          <w:rFonts w:ascii="Palatino Linotype" w:hAnsi="Palatino Linotype"/>
          <w:bCs/>
        </w:rPr>
        <w:t xml:space="preserve"> determina que la información en su poder </w:t>
      </w:r>
      <w:proofErr w:type="spellStart"/>
      <w:r>
        <w:rPr>
          <w:rFonts w:ascii="Palatino Linotype" w:hAnsi="Palatino Linotype"/>
          <w:bCs/>
        </w:rPr>
        <w:t>actualiza</w:t>
      </w:r>
      <w:proofErr w:type="spellEnd"/>
      <w:r>
        <w:rPr>
          <w:rFonts w:ascii="Palatino Linotype" w:hAnsi="Palatino Linotype"/>
          <w:bCs/>
        </w:rPr>
        <w:t xml:space="preserve"> alguno de los supuestos conforme a las normas aplicables.</w:t>
      </w:r>
    </w:p>
    <w:p w:rsidR="000718D0" w:rsidRDefault="009210CA">
      <w:pPr>
        <w:spacing w:beforeAutospacing="1" w:afterAutospacing="1" w:line="360" w:lineRule="auto"/>
        <w:jc w:val="both"/>
        <w:rPr>
          <w:rFonts w:ascii="Palatino Linotype" w:hAnsi="Palatino Linotype"/>
          <w:bCs/>
        </w:rPr>
      </w:pPr>
      <w:r>
        <w:rPr>
          <w:rFonts w:ascii="Palatino Linotype" w:hAnsi="Palatino Linotype"/>
          <w:bCs/>
        </w:rPr>
        <w:t xml:space="preserve">Así las cosas, con el fin de cumplir con los presupuestos de fundamentación y motivación que debe regir las actuaciones de este Instituto, como autoridad, es necesario justificar que la divulgación de la información representa un riesgo real, </w:t>
      </w:r>
      <w:r>
        <w:rPr>
          <w:rFonts w:ascii="Palatino Linotype" w:hAnsi="Palatino Linotype"/>
          <w:bCs/>
        </w:rPr>
        <w:lastRenderedPageBreak/>
        <w:t>demostrable e identificable del perjuicio significativo al interés público o a la seguridad pública: que el riesgo de perjuicio que supondría la divulgación supera el interés público general de que se difunda y que la limitación se adecua al principio de proporcionalidad y representa el medio menos restrictivo disponible para evitar el perjuicio, situación que se justificó mediante la prueba de daño adjunta a la respuesta.</w:t>
      </w:r>
    </w:p>
    <w:p w:rsidR="000718D0" w:rsidRDefault="009210CA">
      <w:pPr>
        <w:spacing w:beforeAutospacing="1" w:afterAutospacing="1" w:line="360" w:lineRule="auto"/>
        <w:jc w:val="both"/>
        <w:rPr>
          <w:rFonts w:ascii="Palatino Linotype" w:hAnsi="Palatino Linotype"/>
          <w:b/>
          <w:bCs/>
        </w:rPr>
      </w:pPr>
      <w:r>
        <w:rPr>
          <w:rFonts w:ascii="Palatino Linotype" w:hAnsi="Palatino Linotype"/>
          <w:bCs/>
        </w:rPr>
        <w:t>Así, de conformidad con los parámetros del</w:t>
      </w:r>
      <w:r>
        <w:rPr>
          <w:rFonts w:ascii="Palatino Linotype" w:hAnsi="Palatino Linotype"/>
        </w:rPr>
        <w:t xml:space="preserve"> artículo 113, fracción</w:t>
      </w:r>
      <w:r>
        <w:t xml:space="preserve"> VI</w:t>
      </w:r>
      <w:r>
        <w:rPr>
          <w:rFonts w:ascii="Palatino Linotype" w:hAnsi="Palatino Linotype"/>
        </w:rPr>
        <w:t xml:space="preserve"> de la Ley General de Transparencia y Acceso a la Información Pública, en el cual, se señala que  deberá considerase como información reservada aquella cuya publicación o</w:t>
      </w:r>
      <w:r>
        <w:rPr>
          <w:rFonts w:ascii="Palatino Linotype" w:hAnsi="Palatino Linotype"/>
          <w:bCs/>
        </w:rPr>
        <w:t>bstruya las actividades de verificación, inspección y auditoría relativas al cumplimiento de las</w:t>
      </w:r>
      <w:r>
        <w:rPr>
          <w:rFonts w:ascii="Palatino Linotype" w:hAnsi="Palatino Linotype"/>
        </w:rPr>
        <w:t xml:space="preserve"> </w:t>
      </w:r>
      <w:r>
        <w:rPr>
          <w:rFonts w:ascii="Palatino Linotype" w:hAnsi="Palatino Linotype"/>
          <w:bCs/>
        </w:rPr>
        <w:t xml:space="preserve">leyes o afecte la recaudación de contribuciones, en sintonía con el artículo 140, fracción V, numeral 1 de la Ley de Transparencia y Acceso a la Información Pública del Estado de México y Municipios, que prevé que el acceso a la información pública será restringido excepcionalmente, cuando aquella cuya divulgación obstruya o pueda causar un serio perjuicio a, las actividades de fiscalización, verificación, inspección, comprobación y auditoría sobre el cumplimiento de las Leyes, en relación con lo estipulado por los Lineamientos generales en materia de clasificación y desclasificación de la información, así como para la elaboración de versiones públicas, en su artículo séptimo, numeral 1, refiere que </w:t>
      </w:r>
      <w:r>
        <w:rPr>
          <w:rFonts w:ascii="Palatino Linotype" w:hAnsi="Palatino Linotype"/>
          <w:bCs/>
          <w:i/>
        </w:rPr>
        <w:t>la clasificación de la información se llevará a cabo en el momento en que</w:t>
      </w:r>
      <w:r>
        <w:rPr>
          <w:rFonts w:ascii="Palatino Linotype" w:hAnsi="Palatino Linotype"/>
          <w:bCs/>
        </w:rPr>
        <w:t xml:space="preserve">  </w:t>
      </w:r>
      <w:r>
        <w:rPr>
          <w:rFonts w:ascii="Palatino Linotype" w:hAnsi="Palatino Linotype"/>
          <w:bCs/>
          <w:i/>
        </w:rPr>
        <w:t xml:space="preserve">se reciba una solicitud de acceso a la información; </w:t>
      </w:r>
      <w:r>
        <w:rPr>
          <w:rFonts w:ascii="Palatino Linotype" w:hAnsi="Palatino Linotype"/>
          <w:bCs/>
        </w:rPr>
        <w:t>situación que</w:t>
      </w:r>
      <w:r>
        <w:rPr>
          <w:rFonts w:ascii="Palatino Linotype" w:hAnsi="Palatino Linotype"/>
          <w:bCs/>
          <w:i/>
        </w:rPr>
        <w:t xml:space="preserve"> </w:t>
      </w:r>
      <w:r>
        <w:rPr>
          <w:rFonts w:ascii="Palatino Linotype" w:hAnsi="Palatino Linotype"/>
          <w:bCs/>
        </w:rPr>
        <w:t xml:space="preserve">se actualizó en el presente caso y que oportunamente se analizó por </w:t>
      </w:r>
      <w:r>
        <w:rPr>
          <w:rFonts w:ascii="Palatino Linotype" w:hAnsi="Palatino Linotype"/>
          <w:b/>
          <w:bCs/>
        </w:rPr>
        <w:t>EL SUJETO OBLIGADO.</w:t>
      </w:r>
    </w:p>
    <w:p w:rsidR="000718D0" w:rsidRDefault="009210CA">
      <w:pPr>
        <w:spacing w:beforeAutospacing="1" w:afterAutospacing="1" w:line="360" w:lineRule="auto"/>
        <w:jc w:val="both"/>
        <w:rPr>
          <w:rFonts w:ascii="Palatino Linotype" w:eastAsia="Calibri" w:hAnsi="Palatino Linotype" w:cs="Tahoma"/>
          <w:color w:val="000000"/>
          <w:lang w:eastAsia="es-MX"/>
        </w:rPr>
      </w:pPr>
      <w:r>
        <w:rPr>
          <w:rFonts w:ascii="Palatino Linotype" w:hAnsi="Palatino Linotype"/>
          <w:bCs/>
        </w:rPr>
        <w:t xml:space="preserve">De la misma forma, los Lineamientos antes citados, en su artículo vigésimo cuarto, concatenado al artículo 113, fracción VI de la Ley General, refiere que podrá considerarse como reservada, aquella información cuya difusión obstruya las </w:t>
      </w:r>
      <w:r>
        <w:rPr>
          <w:rFonts w:ascii="Palatino Linotype" w:hAnsi="Palatino Linotype"/>
          <w:bCs/>
        </w:rPr>
        <w:lastRenderedPageBreak/>
        <w:t xml:space="preserve">actividades de verificación, inspección y auditoría relativas al cumplimiento de las leyes, lo que en el presente caso, se justifica, al ser la propia </w:t>
      </w:r>
      <w:r>
        <w:rPr>
          <w:rFonts w:ascii="Palatino Linotype" w:eastAsia="Calibri" w:hAnsi="Palatino Linotype" w:cs="Tahoma"/>
          <w:color w:val="000000"/>
          <w:lang w:eastAsia="es-MX"/>
        </w:rPr>
        <w:t>Ley de Fiscalización Superior del Estado de México en su artículo 50, que señala que el Órgano Superior de Fiscalización</w:t>
      </w:r>
      <w:r>
        <w:t xml:space="preserve"> </w:t>
      </w:r>
      <w:r>
        <w:rPr>
          <w:rFonts w:ascii="Palatino Linotype" w:eastAsia="Calibri" w:hAnsi="Palatino Linotype" w:cs="Tahoma"/>
          <w:color w:val="000000"/>
          <w:lang w:eastAsia="es-MX"/>
        </w:rPr>
        <w:t xml:space="preserve">deberá guardar reserva de sus actuaciones e informaciones, en el proceso de verificación y fiscalización de los entres fiscalizable, hasta en tanto, sea entregado el Informe de Resultados ante la Comisión de Vigilancia del Órgano Superior de Fiscalización, mismo que tendrá el carácter público y, en consecuencia, deberá ser publicado en medios electrónicos de manera inmediatamente posterior a su entrega. Por lo que, se advierte que </w:t>
      </w:r>
      <w:r>
        <w:rPr>
          <w:rFonts w:ascii="Palatino Linotype" w:eastAsia="Calibri" w:hAnsi="Palatino Linotype" w:cs="Tahoma"/>
          <w:b/>
          <w:color w:val="000000"/>
          <w:lang w:eastAsia="es-MX"/>
        </w:rPr>
        <w:t>EL SUJETO OBLIGADO</w:t>
      </w:r>
      <w:r>
        <w:rPr>
          <w:rFonts w:ascii="Palatino Linotype" w:eastAsia="Calibri" w:hAnsi="Palatino Linotype" w:cs="Tahoma"/>
          <w:color w:val="000000"/>
          <w:lang w:eastAsia="es-MX"/>
        </w:rPr>
        <w:t>, realizó el análisis de la información requerida por el particular, determinando la clasificación de la información como reservada, atendiendo los requisitos de legalidad y formalidad que dicta la Ley de la materia.</w:t>
      </w:r>
    </w:p>
    <w:p w:rsidR="000718D0" w:rsidRDefault="009210CA">
      <w:pPr>
        <w:spacing w:beforeAutospacing="1" w:afterAutospacing="1" w:line="360" w:lineRule="auto"/>
        <w:jc w:val="both"/>
        <w:rPr>
          <w:rFonts w:ascii="Palatino Linotype" w:hAnsi="Palatino Linotype"/>
          <w:bCs/>
        </w:rPr>
      </w:pPr>
      <w:r>
        <w:rPr>
          <w:rFonts w:ascii="Palatino Linotype" w:hAnsi="Palatino Linotype"/>
          <w:lang w:val="es-ES"/>
        </w:rPr>
        <w:t xml:space="preserve">De tal manera, derivado del análisis del requerimiento formulado por </w:t>
      </w:r>
      <w:r>
        <w:rPr>
          <w:rFonts w:ascii="Palatino Linotype" w:hAnsi="Palatino Linotype"/>
          <w:b/>
          <w:lang w:val="es-ES"/>
        </w:rPr>
        <w:t>EL RECURRENTE</w:t>
      </w:r>
      <w:r>
        <w:rPr>
          <w:rFonts w:ascii="Palatino Linotype" w:hAnsi="Palatino Linotype"/>
          <w:lang w:val="es-ES"/>
        </w:rPr>
        <w:t xml:space="preserve"> y la respuesta proporcionada por </w:t>
      </w:r>
      <w:r>
        <w:rPr>
          <w:rFonts w:ascii="Palatino Linotype" w:hAnsi="Palatino Linotype"/>
          <w:b/>
          <w:lang w:val="es-ES"/>
        </w:rPr>
        <w:t>EL SUJETO OBLIGADO,</w:t>
      </w:r>
      <w:r>
        <w:rPr>
          <w:rFonts w:ascii="Palatino Linotype" w:hAnsi="Palatino Linotype"/>
          <w:lang w:val="es-ES"/>
        </w:rPr>
        <w:t xml:space="preserve"> este Instituto advierte que la misma fue congruente, privilegiando los principios de simplicidad, rapidez, gratuidad del procedimiento, auxilio y orientación a los particulares, con el objeto de otorgar la protección más amplia del derecho de las personas, estipulados en el artículo 150 de la Ley de Transparencia y Acceso a la Información Pública del Estado de México y Municipios, como se transcribe a continuación:</w:t>
      </w:r>
    </w:p>
    <w:p w:rsidR="000718D0" w:rsidRDefault="000718D0">
      <w:pPr>
        <w:spacing w:beforeAutospacing="1" w:afterAutospacing="1" w:line="360" w:lineRule="auto"/>
        <w:contextualSpacing/>
        <w:jc w:val="both"/>
        <w:rPr>
          <w:rFonts w:ascii="Palatino Linotype" w:hAnsi="Palatino Linotype"/>
          <w:lang w:val="es-ES"/>
        </w:rPr>
      </w:pPr>
    </w:p>
    <w:p w:rsidR="000718D0" w:rsidRDefault="009210CA">
      <w:pPr>
        <w:spacing w:beforeAutospacing="1" w:afterAutospacing="1"/>
        <w:ind w:left="851" w:right="902"/>
        <w:contextualSpacing/>
        <w:jc w:val="both"/>
        <w:rPr>
          <w:rFonts w:ascii="Palatino Linotype" w:hAnsi="Palatino Linotype"/>
          <w:i/>
          <w:iCs/>
          <w:color w:val="212121"/>
          <w:sz w:val="21"/>
          <w:szCs w:val="21"/>
          <w:lang w:val="es-ES" w:eastAsia="es-MX"/>
        </w:rPr>
      </w:pPr>
      <w:r>
        <w:rPr>
          <w:rFonts w:ascii="Palatino Linotype" w:hAnsi="Palatino Linotype" w:cs="Arial"/>
          <w:b/>
          <w:bCs/>
          <w:i/>
          <w:sz w:val="21"/>
          <w:szCs w:val="21"/>
          <w:lang w:val="es-ES"/>
        </w:rPr>
        <w:t>“Artículo 150.</w:t>
      </w:r>
      <w:r>
        <w:rPr>
          <w:rFonts w:ascii="Palatino Linotype" w:hAnsi="Palatino Linotype" w:cs="Arial"/>
          <w:bCs/>
          <w:i/>
          <w:sz w:val="21"/>
          <w:szCs w:val="21"/>
          <w:lang w:val="es-ES"/>
        </w:rPr>
        <w:t xml:space="preserve"> </w:t>
      </w:r>
      <w:r>
        <w:rPr>
          <w:rFonts w:ascii="Palatino Linotype" w:hAnsi="Palatino Linotype"/>
          <w:i/>
          <w:iCs/>
          <w:color w:val="212121"/>
          <w:sz w:val="21"/>
          <w:szCs w:val="21"/>
          <w:lang w:val="es-ES" w:eastAsia="es-MX"/>
        </w:rPr>
        <w:t xml:space="preserve">El procedimiento de acceso a la información es la garantía primaria del derecho en cuestión y se rige por los principios de simplicidad, rapidez gratuidad del procedimiento, auxilio y orientación a los particulares, así como atención adecuada a las </w:t>
      </w:r>
      <w:r>
        <w:rPr>
          <w:rFonts w:ascii="Palatino Linotype" w:hAnsi="Palatino Linotype"/>
          <w:i/>
          <w:iCs/>
          <w:color w:val="212121"/>
          <w:sz w:val="21"/>
          <w:szCs w:val="21"/>
          <w:lang w:val="es-ES" w:eastAsia="es-MX"/>
        </w:rPr>
        <w:lastRenderedPageBreak/>
        <w:t>personas con discapacidad y a los hablantes de lengua indígena con el objeto de otorgar la protección más amplia del derecho de las personas.”(Sic)</w:t>
      </w:r>
    </w:p>
    <w:p w:rsidR="000718D0" w:rsidRDefault="009210CA">
      <w:pPr>
        <w:pStyle w:val="Prrafodelista"/>
        <w:widowControl w:val="0"/>
        <w:spacing w:before="200" w:after="200" w:line="360" w:lineRule="auto"/>
        <w:ind w:left="0"/>
        <w:jc w:val="both"/>
        <w:rPr>
          <w:rFonts w:ascii="Palatino Linotype" w:hAnsi="Palatino Linotype"/>
        </w:rPr>
      </w:pPr>
      <w:r>
        <w:rPr>
          <w:rFonts w:ascii="Palatino Linotype" w:hAnsi="Palatino Linotype" w:cs="Arial"/>
        </w:rPr>
        <w:t>En consecuencia, se advierte que a través de la respuesta proporcionada por</w:t>
      </w:r>
      <w:r>
        <w:rPr>
          <w:rFonts w:ascii="Palatino Linotype" w:hAnsi="Palatino Linotype" w:cs="Arial"/>
          <w:b/>
        </w:rPr>
        <w:t xml:space="preserve"> 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se colmó el derecho de acceso a la información pública del solicitante; </w:t>
      </w:r>
      <w:r>
        <w:rPr>
          <w:rFonts w:ascii="Palatino Linotype" w:hAnsi="Palatino Linotype"/>
        </w:rPr>
        <w:t xml:space="preserve">por ende, es claro que las razones o motivos de inconformidad hechos valer por </w:t>
      </w:r>
      <w:r>
        <w:rPr>
          <w:rFonts w:ascii="Palatino Linotype" w:hAnsi="Palatino Linotype"/>
          <w:b/>
        </w:rPr>
        <w:t>EL RECURRENTE</w:t>
      </w:r>
      <w:r>
        <w:rPr>
          <w:rFonts w:ascii="Palatino Linotype" w:hAnsi="Palatino Linotype"/>
        </w:rPr>
        <w:t xml:space="preserve"> devienen </w:t>
      </w:r>
      <w:r>
        <w:rPr>
          <w:rFonts w:ascii="Palatino Linotype" w:hAnsi="Palatino Linotype"/>
          <w:b/>
        </w:rPr>
        <w:t>infundados</w:t>
      </w:r>
      <w:r>
        <w:rPr>
          <w:rFonts w:ascii="Palatino Linotype" w:hAnsi="Palatino Linotype"/>
        </w:rPr>
        <w:t xml:space="preserve">; por lo que, lo procedente es </w:t>
      </w:r>
      <w:r>
        <w:rPr>
          <w:rFonts w:ascii="Palatino Linotype" w:hAnsi="Palatino Linotype"/>
          <w:b/>
        </w:rPr>
        <w:t xml:space="preserve">CONFIRMAR </w:t>
      </w:r>
      <w:r>
        <w:rPr>
          <w:rFonts w:ascii="Palatino Linotype" w:hAnsi="Palatino Linotype"/>
        </w:rPr>
        <w:t xml:space="preserve">la respuesta del </w:t>
      </w:r>
      <w:r>
        <w:rPr>
          <w:rFonts w:ascii="Palatino Linotype" w:hAnsi="Palatino Linotype"/>
          <w:b/>
        </w:rPr>
        <w:t xml:space="preserve">SUJETO OBLIGADO, </w:t>
      </w:r>
      <w:r>
        <w:rPr>
          <w:rFonts w:ascii="Palatino Linotype" w:hAnsi="Palatino Linotype"/>
        </w:rPr>
        <w:t>no obstante se debe señalar que el particular, de estimarlo pertinente, pude en cualquier momento realizar la solicitud de acceso a la información al Municipio generador de la información.</w:t>
      </w:r>
    </w:p>
    <w:p w:rsidR="000718D0" w:rsidRDefault="009210CA">
      <w:pPr>
        <w:spacing w:line="360" w:lineRule="auto"/>
        <w:jc w:val="both"/>
        <w:rPr>
          <w:rFonts w:ascii="Palatino Linotype" w:eastAsia="Calibri" w:hAnsi="Palatino Linotype" w:cs="Arial"/>
        </w:rPr>
      </w:pPr>
      <w:r>
        <w:rPr>
          <w:rFonts w:ascii="Palatino Linotype" w:eastAsia="Calibri" w:hAnsi="Palatino Linotype" w:cs="Arial"/>
        </w:rPr>
        <w:t xml:space="preserve">Así, con fundamento en lo prescrito en los artículos 5, párrafos </w:t>
      </w:r>
      <w:r>
        <w:rPr>
          <w:rFonts w:ascii="Palatino Linotype" w:hAnsi="Palatino Linotype"/>
        </w:rPr>
        <w:t xml:space="preserve">vigésimo segundo, vigésimo tercero y vigésimo cuarto, fracciones IV y V </w:t>
      </w:r>
      <w:r>
        <w:rPr>
          <w:rFonts w:ascii="Palatino Linotype" w:eastAsia="Calibri" w:hAnsi="Palatino Linotype" w:cs="Arial"/>
        </w:rPr>
        <w:t xml:space="preserve">de la Constitución Política del Estado Libre y Soberano de México; </w:t>
      </w:r>
      <w:r>
        <w:rPr>
          <w:rFonts w:ascii="Palatino Linotype" w:hAnsi="Palatino Linotype" w:cs="Arial"/>
        </w:rPr>
        <w:t>2, fracción II, 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0718D0" w:rsidRPr="00E04EA3" w:rsidRDefault="000718D0">
      <w:pPr>
        <w:spacing w:line="360" w:lineRule="auto"/>
        <w:jc w:val="center"/>
        <w:rPr>
          <w:rFonts w:ascii="Palatino Linotype" w:hAnsi="Palatino Linotype" w:cs="Arial"/>
          <w:b/>
          <w:spacing w:val="44"/>
          <w:sz w:val="28"/>
        </w:rPr>
      </w:pPr>
    </w:p>
    <w:p w:rsidR="000718D0" w:rsidRDefault="009210CA">
      <w:pPr>
        <w:spacing w:line="360" w:lineRule="auto"/>
        <w:jc w:val="center"/>
        <w:rPr>
          <w:rFonts w:ascii="Palatino Linotype" w:eastAsia="Calibri" w:hAnsi="Palatino Linotype" w:cs="Arial"/>
        </w:rPr>
      </w:pPr>
      <w:r>
        <w:rPr>
          <w:rFonts w:ascii="Palatino Linotype" w:hAnsi="Palatino Linotype" w:cs="Arial"/>
          <w:b/>
          <w:spacing w:val="44"/>
          <w:sz w:val="28"/>
          <w:lang w:val="pt-BR"/>
        </w:rPr>
        <w:t>RESUELVE</w:t>
      </w:r>
    </w:p>
    <w:p w:rsidR="000718D0" w:rsidRDefault="009210CA">
      <w:pPr>
        <w:pStyle w:val="Prrafodelista"/>
        <w:widowControl w:val="0"/>
        <w:numPr>
          <w:ilvl w:val="0"/>
          <w:numId w:val="3"/>
        </w:numPr>
        <w:tabs>
          <w:tab w:val="left" w:pos="1701"/>
        </w:tabs>
        <w:spacing w:line="360" w:lineRule="auto"/>
        <w:ind w:left="0" w:firstLine="0"/>
        <w:jc w:val="both"/>
        <w:rPr>
          <w:rFonts w:ascii="Palatino Linotype" w:hAnsi="Palatino Linotype" w:cs="Arial"/>
        </w:rPr>
      </w:pPr>
      <w:r>
        <w:rPr>
          <w:rFonts w:ascii="Palatino Linotype" w:hAnsi="Palatino Linotype" w:cs="Arial"/>
        </w:rPr>
        <w:t>Resultan</w:t>
      </w:r>
      <w:r>
        <w:rPr>
          <w:rFonts w:ascii="Palatino Linotype" w:hAnsi="Palatino Linotype" w:cs="Arial"/>
          <w:b/>
        </w:rPr>
        <w:t xml:space="preserve"> infundadas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eastAsia="Calibri" w:hAnsi="Palatino Linotype"/>
          <w:b/>
          <w:szCs w:val="22"/>
          <w:lang w:eastAsia="en-US"/>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0718D0" w:rsidRDefault="000718D0">
      <w:pPr>
        <w:pStyle w:val="Prrafodelista"/>
        <w:widowControl w:val="0"/>
        <w:tabs>
          <w:tab w:val="left" w:pos="1701"/>
        </w:tabs>
        <w:spacing w:line="360" w:lineRule="auto"/>
        <w:ind w:left="0"/>
        <w:jc w:val="both"/>
        <w:rPr>
          <w:rFonts w:ascii="Palatino Linotype" w:hAnsi="Palatino Linotype" w:cs="Arial"/>
        </w:rPr>
      </w:pPr>
    </w:p>
    <w:p w:rsidR="000718D0" w:rsidRDefault="009210CA">
      <w:pPr>
        <w:pStyle w:val="Prrafodelista"/>
        <w:widowControl w:val="0"/>
        <w:numPr>
          <w:ilvl w:val="0"/>
          <w:numId w:val="3"/>
        </w:numPr>
        <w:tabs>
          <w:tab w:val="left" w:pos="1701"/>
        </w:tabs>
        <w:spacing w:line="360" w:lineRule="auto"/>
        <w:ind w:left="0" w:firstLine="0"/>
        <w:jc w:val="both"/>
        <w:rPr>
          <w:rFonts w:ascii="Palatino Linotype" w:hAnsi="Palatino Linotype" w:cs="Arial"/>
          <w:b/>
          <w:sz w:val="28"/>
          <w:szCs w:val="28"/>
        </w:rPr>
      </w:pPr>
      <w:r>
        <w:rPr>
          <w:rFonts w:ascii="Palatino Linotype" w:hAnsi="Palatino Linotype" w:cs="Arial"/>
        </w:rPr>
        <w:t xml:space="preserve">Se </w:t>
      </w:r>
      <w:r>
        <w:rPr>
          <w:rFonts w:ascii="Palatino Linotype" w:hAnsi="Palatino Linotype" w:cs="Arial"/>
          <w:b/>
        </w:rPr>
        <w:t>CONFIRMA</w:t>
      </w:r>
      <w:r>
        <w:rPr>
          <w:rFonts w:ascii="Palatino Linotype" w:hAnsi="Palatino Linotype" w:cs="Arial"/>
        </w:rPr>
        <w:t xml:space="preserve"> la respuesta otorgada por </w:t>
      </w:r>
      <w:r>
        <w:rPr>
          <w:rFonts w:ascii="Palatino Linotype" w:hAnsi="Palatino Linotype" w:cs="Arial"/>
          <w:b/>
        </w:rPr>
        <w:t xml:space="preserve">EL SUJETO OBLIGADO </w:t>
      </w:r>
      <w:r>
        <w:rPr>
          <w:rFonts w:ascii="Palatino Linotype" w:hAnsi="Palatino Linotype" w:cs="Arial"/>
        </w:rPr>
        <w:t>a la</w:t>
      </w:r>
      <w:r>
        <w:rPr>
          <w:rFonts w:ascii="Palatino Linotype" w:hAnsi="Palatino Linotype" w:cs="Arial"/>
          <w:b/>
        </w:rPr>
        <w:t xml:space="preserve"> </w:t>
      </w:r>
      <w:r>
        <w:rPr>
          <w:rFonts w:ascii="Palatino Linotype" w:hAnsi="Palatino Linotype" w:cs="Arial"/>
        </w:rPr>
        <w:t>solicitud de acceso a la información pública número</w:t>
      </w:r>
      <w:r>
        <w:rPr>
          <w:rFonts w:ascii="Verdana" w:hAnsi="Verdana"/>
          <w:b/>
          <w:bCs/>
          <w:color w:val="FF0000"/>
        </w:rPr>
        <w:t xml:space="preserve"> </w:t>
      </w:r>
      <w:r>
        <w:rPr>
          <w:rFonts w:ascii="Palatino Linotype" w:hAnsi="Palatino Linotype"/>
          <w:b/>
          <w:bCs/>
        </w:rPr>
        <w:t>00016/PLEGISLA/IP/2020.</w:t>
      </w:r>
    </w:p>
    <w:p w:rsidR="000718D0" w:rsidRDefault="000718D0">
      <w:pPr>
        <w:pStyle w:val="Prrafodelista"/>
        <w:widowControl w:val="0"/>
        <w:tabs>
          <w:tab w:val="left" w:pos="1701"/>
        </w:tabs>
        <w:spacing w:line="360" w:lineRule="auto"/>
        <w:ind w:left="0"/>
        <w:jc w:val="both"/>
        <w:rPr>
          <w:rFonts w:ascii="Palatino Linotype" w:hAnsi="Palatino Linotype" w:cs="Arial"/>
          <w:b/>
          <w:sz w:val="28"/>
          <w:szCs w:val="28"/>
        </w:rPr>
      </w:pPr>
    </w:p>
    <w:p w:rsidR="000718D0" w:rsidRDefault="009210CA">
      <w:pPr>
        <w:pStyle w:val="Prrafodelista"/>
        <w:widowControl w:val="0"/>
        <w:numPr>
          <w:ilvl w:val="0"/>
          <w:numId w:val="3"/>
        </w:numPr>
        <w:tabs>
          <w:tab w:val="left" w:pos="1701"/>
        </w:tabs>
        <w:spacing w:line="360" w:lineRule="auto"/>
        <w:ind w:left="0" w:firstLine="0"/>
        <w:jc w:val="both"/>
        <w:rPr>
          <w:rFonts w:ascii="Palatino Linotype" w:hAnsi="Palatino Linotype"/>
          <w:highlight w:val="white"/>
        </w:rPr>
      </w:pPr>
      <w:r>
        <w:rPr>
          <w:rFonts w:ascii="Palatino Linotype" w:hAnsi="Palatino Linotype" w:cs="Arial"/>
          <w:b/>
          <w:lang w:val="es-ES_tradnl"/>
        </w:rPr>
        <w:lastRenderedPageBreak/>
        <w:t>Notifíquese</w:t>
      </w:r>
      <w:r>
        <w:rPr>
          <w:rFonts w:ascii="Palatino Linotype" w:hAnsi="Palatino Linotype" w:cs="Arial"/>
          <w:lang w:val="es-ES_tradnl"/>
        </w:rPr>
        <w:t xml:space="preserve"> la presente resolución al Titular de la Unidad de Transparencia del </w:t>
      </w:r>
      <w:r>
        <w:rPr>
          <w:rFonts w:ascii="Palatino Linotype" w:hAnsi="Palatino Linotype" w:cs="Arial"/>
          <w:b/>
          <w:lang w:val="es-ES_tradnl"/>
        </w:rPr>
        <w:t>SUJETO OBLIGADO</w:t>
      </w:r>
      <w:r>
        <w:rPr>
          <w:rFonts w:ascii="Palatino Linotype" w:hAnsi="Palatino Linotype" w:cs="Arial"/>
          <w:lang w:val="es-ES_tradnl"/>
        </w:rPr>
        <w:t xml:space="preserve"> para su conocimiento.</w:t>
      </w:r>
    </w:p>
    <w:p w:rsidR="000718D0" w:rsidRDefault="000718D0">
      <w:pPr>
        <w:pStyle w:val="Prrafodelista"/>
        <w:widowControl w:val="0"/>
        <w:tabs>
          <w:tab w:val="left" w:pos="1701"/>
        </w:tabs>
        <w:spacing w:line="360" w:lineRule="auto"/>
        <w:ind w:left="0"/>
        <w:jc w:val="both"/>
        <w:rPr>
          <w:rFonts w:ascii="Palatino Linotype" w:hAnsi="Palatino Linotype"/>
          <w:highlight w:val="white"/>
        </w:rPr>
      </w:pPr>
    </w:p>
    <w:p w:rsidR="000718D0" w:rsidRDefault="009210CA">
      <w:pPr>
        <w:pStyle w:val="Prrafodelista"/>
        <w:widowControl w:val="0"/>
        <w:numPr>
          <w:ilvl w:val="0"/>
          <w:numId w:val="3"/>
        </w:numPr>
        <w:tabs>
          <w:tab w:val="left" w:pos="1418"/>
          <w:tab w:val="left" w:pos="1701"/>
        </w:tabs>
        <w:spacing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 </w:t>
      </w:r>
      <w:r>
        <w:rPr>
          <w:rFonts w:ascii="Palatino Linotype" w:hAnsi="Palatino Linotype" w:cs="Arial"/>
          <w:b/>
        </w:rPr>
        <w:t>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0718D0" w:rsidRDefault="009210CA">
      <w:pPr>
        <w:pStyle w:val="Prrafodelista"/>
        <w:widowControl w:val="0"/>
        <w:numPr>
          <w:ilvl w:val="0"/>
          <w:numId w:val="3"/>
        </w:numPr>
        <w:spacing w:line="360" w:lineRule="auto"/>
        <w:ind w:left="0" w:firstLine="0"/>
        <w:jc w:val="both"/>
        <w:rPr>
          <w:rFonts w:ascii="Palatino Linotype" w:hAnsi="Palatino Linotype"/>
          <w:szCs w:val="17"/>
          <w:lang w:eastAsia="es-ES_tradnl"/>
        </w:rPr>
      </w:pPr>
      <w:r>
        <w:rPr>
          <w:rFonts w:ascii="Palatino Linotype" w:eastAsia="Calibri" w:hAnsi="Palatino Linotype" w:cs="Arial"/>
        </w:rPr>
        <w:t xml:space="preserve">Hágase del conocimiento del </w:t>
      </w:r>
      <w:r>
        <w:rPr>
          <w:rFonts w:ascii="Palatino Linotype" w:eastAsia="Calibri" w:hAnsi="Palatino Linotype" w:cs="Arial"/>
          <w:b/>
        </w:rPr>
        <w:t>RECURRENTE</w:t>
      </w:r>
      <w:r>
        <w:rPr>
          <w:rFonts w:ascii="Palatino Linotype" w:eastAsia="Calibri" w:hAnsi="Palatino Linotype" w:cs="Arial"/>
        </w:rPr>
        <w:t xml:space="preserve"> </w:t>
      </w:r>
      <w:r>
        <w:rPr>
          <w:rFonts w:ascii="Palatino Linotype" w:hAnsi="Palatino Linotype"/>
          <w:color w:val="222222"/>
          <w:shd w:val="clear" w:color="auto" w:fill="FFFFFF"/>
        </w:rPr>
        <w:t>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0718D0" w:rsidRDefault="000718D0">
      <w:pPr>
        <w:pStyle w:val="Prrafodelista"/>
        <w:widowControl w:val="0"/>
        <w:spacing w:line="360" w:lineRule="auto"/>
        <w:ind w:left="0"/>
        <w:jc w:val="both"/>
        <w:rPr>
          <w:rFonts w:ascii="Palatino Linotype" w:hAnsi="Palatino Linotype"/>
          <w:szCs w:val="17"/>
          <w:lang w:eastAsia="es-ES_tradnl"/>
        </w:rPr>
      </w:pPr>
    </w:p>
    <w:p w:rsidR="000718D0" w:rsidRDefault="009210CA">
      <w:pPr>
        <w:spacing w:line="360" w:lineRule="auto"/>
        <w:jc w:val="both"/>
        <w:rPr>
          <w:rFonts w:ascii="Palatino Linotype" w:eastAsia="Calibri" w:hAnsi="Palatino Linotype" w:cs="Arial"/>
        </w:rPr>
      </w:pPr>
      <w:r>
        <w:rPr>
          <w:rFonts w:ascii="Palatino Linotype" w:hAnsi="Palatino Linotype" w:cs="Arial"/>
        </w:rPr>
        <w:t>ASÍ LO RESUELVE, POR MAYORÍA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EMITIENDO OPINIÓN PARTICULAR Y LUIS GUSTAVO PARRA NORIEGA EMITIENDO VOTO EN CONTRA CON VOTO DISIDENTE, EN LA DÉCIMA TERCERA SESIÓN ORDINARIA CELEBRADA EL DÍA DOCE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p w:rsidR="000718D0" w:rsidRDefault="009210CA">
      <w:pPr>
        <w:tabs>
          <w:tab w:val="left" w:pos="1517"/>
        </w:tabs>
        <w:jc w:val="both"/>
        <w:rPr>
          <w:rFonts w:ascii="Palatino Linotype" w:hAnsi="Palatino Linotype" w:cs="Arial"/>
        </w:rPr>
      </w:pPr>
      <w:r>
        <w:rPr>
          <w:rFonts w:ascii="Palatino Linotype" w:hAnsi="Palatino Linotype" w:cs="Arial"/>
        </w:rPr>
        <w:tab/>
      </w:r>
    </w:p>
    <w:p w:rsidR="000718D0" w:rsidRDefault="000718D0">
      <w:pPr>
        <w:jc w:val="both"/>
        <w:rPr>
          <w:rFonts w:ascii="Palatino Linotype" w:hAnsi="Palatino Linotype" w:cs="Arial"/>
        </w:rPr>
      </w:pPr>
    </w:p>
    <w:p w:rsidR="00460C26" w:rsidRDefault="00460C26">
      <w:pPr>
        <w:jc w:val="both"/>
        <w:rPr>
          <w:rFonts w:ascii="Palatino Linotype" w:hAnsi="Palatino Linotype" w:cs="Arial"/>
        </w:rPr>
      </w:pPr>
    </w:p>
    <w:p w:rsidR="000718D0" w:rsidRDefault="000718D0">
      <w:pPr>
        <w:jc w:val="both"/>
        <w:rPr>
          <w:rFonts w:ascii="Palatino Linotype" w:hAnsi="Palatino Linotype" w:cs="Arial"/>
        </w:rPr>
      </w:pPr>
    </w:p>
    <w:tbl>
      <w:tblPr>
        <w:tblW w:w="9214" w:type="dxa"/>
        <w:jc w:val="center"/>
        <w:tblLook w:val="04A0" w:firstRow="1" w:lastRow="0" w:firstColumn="1" w:lastColumn="0" w:noHBand="0" w:noVBand="1"/>
      </w:tblPr>
      <w:tblGrid>
        <w:gridCol w:w="4757"/>
        <w:gridCol w:w="4457"/>
      </w:tblGrid>
      <w:tr w:rsidR="000718D0">
        <w:trPr>
          <w:jc w:val="center"/>
        </w:trPr>
        <w:tc>
          <w:tcPr>
            <w:tcW w:w="9213" w:type="dxa"/>
            <w:gridSpan w:val="2"/>
            <w:shd w:val="clear" w:color="auto" w:fill="auto"/>
          </w:tcPr>
          <w:p w:rsidR="000718D0" w:rsidRDefault="000718D0">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0718D0" w:rsidRDefault="009210CA">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0718D0" w:rsidRDefault="009210CA" w:rsidP="00460C2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0718D0">
        <w:trPr>
          <w:jc w:val="center"/>
        </w:trPr>
        <w:tc>
          <w:tcPr>
            <w:tcW w:w="4756" w:type="dxa"/>
            <w:shd w:val="clear" w:color="auto" w:fill="auto"/>
          </w:tcPr>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460C26" w:rsidRDefault="00460C26">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0718D0">
        <w:trPr>
          <w:jc w:val="center"/>
        </w:trPr>
        <w:tc>
          <w:tcPr>
            <w:tcW w:w="4756" w:type="dxa"/>
            <w:shd w:val="clear" w:color="auto" w:fill="auto"/>
          </w:tcPr>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0718D0" w:rsidRDefault="000718D0">
            <w:pPr>
              <w:jc w:val="center"/>
              <w:rPr>
                <w:rFonts w:ascii="Palatino Linotype" w:hAnsi="Palatino Linotype" w:cs="Arial"/>
                <w:b/>
                <w:color w:val="000000" w:themeColor="text1"/>
                <w:lang w:val="es-ES_tradnl"/>
              </w:rPr>
            </w:pPr>
          </w:p>
          <w:p w:rsidR="000718D0" w:rsidRDefault="000718D0">
            <w:pPr>
              <w:jc w:val="center"/>
              <w:rPr>
                <w:rFonts w:ascii="Palatino Linotype" w:hAnsi="Palatino Linotype" w:cs="Arial"/>
                <w:b/>
                <w:color w:val="000000" w:themeColor="text1"/>
                <w:lang w:val="es-ES_tradnl"/>
              </w:rPr>
            </w:pPr>
          </w:p>
          <w:p w:rsidR="000718D0" w:rsidRDefault="000718D0">
            <w:pPr>
              <w:jc w:val="center"/>
              <w:rPr>
                <w:rFonts w:ascii="Palatino Linotype" w:hAnsi="Palatino Linotype" w:cs="Arial"/>
                <w:b/>
                <w:color w:val="000000" w:themeColor="text1"/>
                <w:lang w:val="es-ES_tradnl"/>
              </w:rPr>
            </w:pPr>
          </w:p>
          <w:p w:rsidR="000718D0" w:rsidRDefault="000718D0">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0718D0">
        <w:trPr>
          <w:jc w:val="center"/>
        </w:trPr>
        <w:tc>
          <w:tcPr>
            <w:tcW w:w="9213" w:type="dxa"/>
            <w:gridSpan w:val="2"/>
            <w:shd w:val="clear" w:color="auto" w:fill="auto"/>
          </w:tcPr>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0718D0" w:rsidRDefault="000718D0" w:rsidP="00460C26">
            <w:pPr>
              <w:jc w:val="center"/>
              <w:rPr>
                <w:rFonts w:ascii="Palatino Linotype" w:hAnsi="Palatino Linotype" w:cs="Arial"/>
                <w:b/>
                <w:color w:val="000000" w:themeColor="text1"/>
                <w:lang w:val="es-ES_tradnl"/>
              </w:rPr>
            </w:pPr>
          </w:p>
          <w:p w:rsidR="00460C26" w:rsidRDefault="00460C26" w:rsidP="00460C26">
            <w:pPr>
              <w:jc w:val="center"/>
              <w:rPr>
                <w:rFonts w:ascii="Palatino Linotype" w:hAnsi="Palatino Linotype" w:cs="Arial"/>
                <w:b/>
                <w:color w:val="000000" w:themeColor="text1"/>
                <w:lang w:val="es-ES_tradnl"/>
              </w:rPr>
            </w:pPr>
          </w:p>
          <w:p w:rsidR="00460C26" w:rsidRDefault="00460C26" w:rsidP="00460C26">
            <w:pPr>
              <w:jc w:val="center"/>
              <w:rPr>
                <w:rFonts w:ascii="Palatino Linotype" w:hAnsi="Palatino Linotype" w:cs="Arial"/>
                <w:b/>
                <w:color w:val="000000" w:themeColor="text1"/>
                <w:lang w:val="es-ES_tradnl"/>
              </w:rPr>
            </w:pPr>
          </w:p>
          <w:p w:rsidR="000718D0" w:rsidRDefault="009210C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0718D0" w:rsidRDefault="009210C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0718D0" w:rsidRDefault="000718D0">
      <w:pPr>
        <w:jc w:val="both"/>
        <w:rPr>
          <w:rFonts w:ascii="Palatino Linotype" w:hAnsi="Palatino Linotype" w:cs="Arial"/>
          <w:sz w:val="22"/>
          <w:szCs w:val="22"/>
          <w:lang w:val="es-ES"/>
        </w:rPr>
      </w:pPr>
    </w:p>
    <w:p w:rsidR="000718D0" w:rsidRDefault="009210CA">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doce de agosto de dos mil veinte, emitida en el recurso de revisión número 00837/INFOEM/IP/RR/2020. </w:t>
      </w:r>
    </w:p>
    <w:p w:rsidR="000718D0" w:rsidRDefault="009210CA">
      <w:pPr>
        <w:spacing w:line="360" w:lineRule="auto"/>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0718D0">
      <w:headerReference w:type="default" r:id="rId27"/>
      <w:footerReference w:type="default" r:id="rId28"/>
      <w:headerReference w:type="first" r:id="rId29"/>
      <w:footerReference w:type="first" r:id="rId3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57" w:rsidRDefault="004F5857">
      <w:r>
        <w:separator/>
      </w:r>
    </w:p>
  </w:endnote>
  <w:endnote w:type="continuationSeparator" w:id="0">
    <w:p w:rsidR="004F5857" w:rsidRDefault="004F5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D0" w:rsidRDefault="009210CA">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54347">
      <w:rPr>
        <w:rFonts w:ascii="Palatino Linotype" w:hAnsi="Palatino Linotype" w:cs="Arial"/>
        <w:bCs/>
        <w:noProof/>
        <w:sz w:val="22"/>
        <w:szCs w:val="22"/>
      </w:rPr>
      <w:t>14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54347">
      <w:rPr>
        <w:rFonts w:ascii="Palatino Linotype" w:hAnsi="Palatino Linotype" w:cs="Arial"/>
        <w:bCs/>
        <w:noProof/>
        <w:sz w:val="22"/>
        <w:szCs w:val="22"/>
      </w:rPr>
      <w:t>43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D0" w:rsidRDefault="009210CA">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554347">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554347">
      <w:rPr>
        <w:rFonts w:ascii="Palatino Linotype" w:hAnsi="Palatino Linotype" w:cs="Arial"/>
        <w:bCs/>
        <w:noProof/>
        <w:sz w:val="22"/>
        <w:szCs w:val="22"/>
      </w:rPr>
      <w:t>43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57" w:rsidRDefault="004F5857">
      <w:pPr>
        <w:rPr>
          <w:sz w:val="12"/>
        </w:rPr>
      </w:pPr>
      <w:r>
        <w:separator/>
      </w:r>
    </w:p>
  </w:footnote>
  <w:footnote w:type="continuationSeparator" w:id="0">
    <w:p w:rsidR="004F5857" w:rsidRDefault="004F5857">
      <w:pPr>
        <w:rPr>
          <w:sz w:val="12"/>
        </w:rPr>
      </w:pPr>
      <w:r>
        <w:continuationSeparator/>
      </w:r>
    </w:p>
  </w:footnote>
  <w:footnote w:id="1">
    <w:p w:rsidR="000718D0" w:rsidRDefault="009210CA">
      <w:pPr>
        <w:pStyle w:val="Textonotapie"/>
        <w:rPr>
          <w:rFonts w:ascii="Palatino Linotype" w:hAnsi="Palatino Linotype"/>
          <w:sz w:val="18"/>
          <w:szCs w:val="18"/>
        </w:rPr>
      </w:pPr>
      <w:r>
        <w:rPr>
          <w:rStyle w:val="FootnoteCharacters"/>
        </w:rPr>
        <w:footnoteRef/>
      </w:r>
      <w:r>
        <w:t xml:space="preserve"> </w:t>
      </w:r>
      <w:hyperlink r:id="rId1">
        <w:r>
          <w:rPr>
            <w:rStyle w:val="Hipervnculo"/>
            <w:rFonts w:ascii="Palatino Linotype" w:hAnsi="Palatino Linotype"/>
            <w:sz w:val="18"/>
            <w:szCs w:val="18"/>
          </w:rPr>
          <w:t>https://www.osfem.gob.mx/04_Normatividad/doc/Normatividad/2019/19.-LineamInfMensualMpal_2019.pdf</w:t>
        </w:r>
      </w:hyperlink>
    </w:p>
  </w:footnote>
  <w:footnote w:id="2">
    <w:p w:rsidR="000718D0" w:rsidRDefault="009210CA">
      <w:pPr>
        <w:pStyle w:val="Textonotapie"/>
        <w:rPr>
          <w:rFonts w:ascii="Palatino Linotype" w:hAnsi="Palatino Linotype"/>
          <w:spacing w:val="-20"/>
        </w:rPr>
      </w:pPr>
      <w:r>
        <w:rPr>
          <w:rStyle w:val="FootnoteCharacters"/>
        </w:rPr>
        <w:footnoteRef/>
      </w:r>
      <w:r>
        <w:rPr>
          <w:rFonts w:ascii="Palatino Linotype" w:hAnsi="Palatino Linotype"/>
        </w:rPr>
        <w:t xml:space="preserve"> </w:t>
      </w:r>
      <w:r>
        <w:rPr>
          <w:rFonts w:ascii="Palatino Linotype" w:hAnsi="Palatino Linotype"/>
          <w:spacing w:val="-20"/>
        </w:rPr>
        <w:t xml:space="preserve">Visible en la página electrónica </w:t>
      </w:r>
      <w:hyperlink r:id="rId2">
        <w:r>
          <w:rPr>
            <w:rFonts w:ascii="Palatino Linotype" w:eastAsia="Times New Roman" w:hAnsi="Palatino Linotype" w:cs="Times New Roman"/>
            <w:color w:val="0000FF"/>
            <w:spacing w:val="-20"/>
            <w:u w:val="single"/>
            <w:lang w:eastAsia="es-ES"/>
          </w:rPr>
          <w:t>https://www.osfem.gob.mx/09_Iconografia/doc/InfoEnt/03_CalObligPer2020.pdf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D0" w:rsidRDefault="009210C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47" behindDoc="1" locked="0" layoutInCell="1" allowOverlap="1">
          <wp:simplePos x="0" y="0"/>
          <wp:positionH relativeFrom="column">
            <wp:align>center</wp:align>
          </wp:positionH>
          <wp:positionV relativeFrom="margin">
            <wp:align>center</wp:align>
          </wp:positionV>
          <wp:extent cx="6858635" cy="9144635"/>
          <wp:effectExtent l="0" t="0" r="0" b="0"/>
          <wp:wrapNone/>
          <wp:docPr id="3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0718D0">
      <w:tc>
        <w:tcPr>
          <w:tcW w:w="3259" w:type="dxa"/>
          <w:vMerge w:val="restart"/>
        </w:tcPr>
        <w:p w:rsidR="000718D0" w:rsidRDefault="009210C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0718D0" w:rsidRDefault="009210CA">
          <w:pPr>
            <w:jc w:val="both"/>
            <w:rPr>
              <w:rFonts w:ascii="Palatino Linotype" w:hAnsi="Palatino Linotype"/>
              <w:b/>
              <w:sz w:val="22"/>
              <w:szCs w:val="22"/>
              <w:lang w:val="es-ES_tradnl"/>
            </w:rPr>
          </w:pPr>
          <w:r>
            <w:rPr>
              <w:rFonts w:ascii="Palatino Linotype" w:hAnsi="Palatino Linotype"/>
              <w:b/>
              <w:sz w:val="22"/>
              <w:szCs w:val="22"/>
              <w:lang w:val="es-ES_tradnl"/>
            </w:rPr>
            <w:t>00837/INFOEM/IP/RR/2020</w:t>
          </w:r>
        </w:p>
      </w:tc>
    </w:tr>
    <w:tr w:rsidR="000718D0">
      <w:tc>
        <w:tcPr>
          <w:tcW w:w="3259" w:type="dxa"/>
          <w:vMerge/>
        </w:tcPr>
        <w:p w:rsidR="000718D0" w:rsidRDefault="000718D0">
          <w:pPr>
            <w:rPr>
              <w:rFonts w:ascii="Palatino Linotype" w:hAnsi="Palatino Linotype"/>
              <w:b/>
              <w:sz w:val="22"/>
              <w:szCs w:val="22"/>
              <w:lang w:val="es-ES_tradnl"/>
            </w:rPr>
          </w:pPr>
        </w:p>
      </w:tc>
      <w:tc>
        <w:tcPr>
          <w:tcW w:w="2551"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0718D0" w:rsidRDefault="009210CA">
          <w:pPr>
            <w:jc w:val="both"/>
            <w:rPr>
              <w:rFonts w:ascii="Palatino Linotype" w:hAnsi="Palatino Linotype"/>
              <w:b/>
              <w:sz w:val="22"/>
              <w:szCs w:val="22"/>
            </w:rPr>
          </w:pPr>
          <w:r>
            <w:rPr>
              <w:rFonts w:ascii="Palatino Linotype" w:hAnsi="Palatino Linotype"/>
              <w:b/>
              <w:sz w:val="22"/>
              <w:szCs w:val="22"/>
              <w:lang w:val="es-ES_tradnl"/>
            </w:rPr>
            <w:t>Poder Legislativo</w:t>
          </w:r>
        </w:p>
      </w:tc>
    </w:tr>
    <w:tr w:rsidR="000718D0">
      <w:trPr>
        <w:trHeight w:val="228"/>
      </w:trPr>
      <w:tc>
        <w:tcPr>
          <w:tcW w:w="3259" w:type="dxa"/>
          <w:vMerge/>
        </w:tcPr>
        <w:p w:rsidR="000718D0" w:rsidRDefault="000718D0">
          <w:pPr>
            <w:rPr>
              <w:rFonts w:ascii="Palatino Linotype" w:hAnsi="Palatino Linotype"/>
              <w:b/>
              <w:sz w:val="22"/>
              <w:szCs w:val="22"/>
              <w:lang w:val="es-ES_tradnl"/>
            </w:rPr>
          </w:pPr>
        </w:p>
      </w:tc>
      <w:tc>
        <w:tcPr>
          <w:tcW w:w="2551"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0718D0" w:rsidRDefault="009210C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0718D0" w:rsidRDefault="000718D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8D0" w:rsidRDefault="009210CA">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3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0718D0">
      <w:tc>
        <w:tcPr>
          <w:tcW w:w="4251" w:type="dxa"/>
          <w:vMerge w:val="restart"/>
          <w:shd w:val="clear" w:color="auto" w:fill="auto"/>
        </w:tcPr>
        <w:p w:rsidR="000718D0" w:rsidRDefault="009210C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0718D0" w:rsidRDefault="009210CA">
          <w:pPr>
            <w:jc w:val="both"/>
            <w:rPr>
              <w:rFonts w:ascii="Palatino Linotype" w:hAnsi="Palatino Linotype"/>
              <w:b/>
              <w:sz w:val="22"/>
              <w:szCs w:val="22"/>
              <w:lang w:val="es-ES_tradnl"/>
            </w:rPr>
          </w:pPr>
          <w:r>
            <w:rPr>
              <w:rFonts w:ascii="Palatino Linotype" w:hAnsi="Palatino Linotype"/>
              <w:b/>
              <w:bCs/>
              <w:sz w:val="22"/>
              <w:szCs w:val="22"/>
            </w:rPr>
            <w:t>00837/INFOEM/IP/RR/2020</w:t>
          </w:r>
        </w:p>
      </w:tc>
    </w:tr>
    <w:tr w:rsidR="000718D0">
      <w:tc>
        <w:tcPr>
          <w:tcW w:w="4251" w:type="dxa"/>
          <w:vMerge/>
          <w:shd w:val="clear" w:color="auto" w:fill="auto"/>
        </w:tcPr>
        <w:p w:rsidR="000718D0" w:rsidRDefault="000718D0">
          <w:pPr>
            <w:rPr>
              <w:rFonts w:ascii="Palatino Linotype" w:hAnsi="Palatino Linotype"/>
              <w:b/>
              <w:sz w:val="22"/>
              <w:szCs w:val="22"/>
              <w:lang w:val="es-ES_tradnl"/>
            </w:rPr>
          </w:pPr>
        </w:p>
      </w:tc>
      <w:tc>
        <w:tcPr>
          <w:tcW w:w="2552"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0718D0" w:rsidRDefault="00554347">
          <w:pPr>
            <w:jc w:val="both"/>
            <w:rPr>
              <w:rFonts w:ascii="Palatino Linotype" w:hAnsi="Palatino Linotype"/>
              <w:b/>
              <w:sz w:val="22"/>
              <w:szCs w:val="22"/>
              <w:lang w:val="es-ES_tradnl"/>
            </w:rPr>
          </w:pPr>
          <w:r>
            <w:rPr>
              <w:rFonts w:ascii="Palatino Linotype" w:hAnsi="Palatino Linotype"/>
              <w:b/>
              <w:sz w:val="22"/>
              <w:szCs w:val="22"/>
              <w:lang w:val="es-ES_tradnl"/>
            </w:rPr>
            <w:t>XXXXXXX XXXX XXXXX</w:t>
          </w:r>
        </w:p>
      </w:tc>
    </w:tr>
    <w:tr w:rsidR="000718D0">
      <w:trPr>
        <w:trHeight w:val="228"/>
      </w:trPr>
      <w:tc>
        <w:tcPr>
          <w:tcW w:w="4251" w:type="dxa"/>
          <w:vMerge/>
          <w:shd w:val="clear" w:color="auto" w:fill="auto"/>
        </w:tcPr>
        <w:p w:rsidR="000718D0" w:rsidRDefault="000718D0">
          <w:pPr>
            <w:rPr>
              <w:rFonts w:ascii="Palatino Linotype" w:hAnsi="Palatino Linotype"/>
              <w:b/>
              <w:sz w:val="22"/>
              <w:szCs w:val="22"/>
              <w:lang w:val="es-ES_tradnl"/>
            </w:rPr>
          </w:pPr>
        </w:p>
      </w:tc>
      <w:tc>
        <w:tcPr>
          <w:tcW w:w="2552"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0718D0" w:rsidRDefault="009210CA">
          <w:pPr>
            <w:jc w:val="both"/>
            <w:rPr>
              <w:rFonts w:ascii="Palatino Linotype" w:hAnsi="Palatino Linotype"/>
              <w:b/>
              <w:sz w:val="22"/>
              <w:szCs w:val="22"/>
            </w:rPr>
          </w:pPr>
          <w:r>
            <w:rPr>
              <w:rFonts w:ascii="Palatino Linotype" w:hAnsi="Palatino Linotype"/>
              <w:b/>
              <w:sz w:val="22"/>
              <w:szCs w:val="22"/>
              <w:lang w:val="es-ES_tradnl"/>
            </w:rPr>
            <w:t>Poder Legislativo</w:t>
          </w:r>
        </w:p>
      </w:tc>
    </w:tr>
    <w:tr w:rsidR="000718D0">
      <w:tc>
        <w:tcPr>
          <w:tcW w:w="4251" w:type="dxa"/>
          <w:vMerge/>
          <w:shd w:val="clear" w:color="auto" w:fill="auto"/>
        </w:tcPr>
        <w:p w:rsidR="000718D0" w:rsidRDefault="000718D0">
          <w:pPr>
            <w:rPr>
              <w:rFonts w:ascii="Palatino Linotype" w:hAnsi="Palatino Linotype"/>
              <w:b/>
              <w:sz w:val="22"/>
              <w:szCs w:val="22"/>
              <w:lang w:val="es-ES_tradnl"/>
            </w:rPr>
          </w:pPr>
        </w:p>
      </w:tc>
      <w:tc>
        <w:tcPr>
          <w:tcW w:w="2552" w:type="dxa"/>
          <w:shd w:val="clear" w:color="auto" w:fill="auto"/>
        </w:tcPr>
        <w:p w:rsidR="000718D0" w:rsidRDefault="009210C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0718D0" w:rsidRDefault="009210C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0718D0" w:rsidRDefault="000718D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82978"/>
    <w:multiLevelType w:val="multilevel"/>
    <w:tmpl w:val="8B166068"/>
    <w:lvl w:ilvl="0">
      <w:start w:val="1"/>
      <w:numFmt w:val="ordinalText"/>
      <w:lvlText w:val="%1."/>
      <w:lvlJc w:val="left"/>
      <w:pPr>
        <w:ind w:left="720" w:hanging="360"/>
      </w:pPr>
      <w:rPr>
        <w:rFonts w:hint="default"/>
        <w:b/>
        <w: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4C2822"/>
    <w:multiLevelType w:val="multilevel"/>
    <w:tmpl w:val="1EBED112"/>
    <w:lvl w:ilvl="0">
      <w:start w:val="1"/>
      <w:numFmt w:val="ordinalText"/>
      <w:lvlText w:val="%1."/>
      <w:lvlJc w:val="left"/>
      <w:pPr>
        <w:ind w:left="720" w:hanging="360"/>
      </w:pPr>
      <w:rPr>
        <w:rFonts w:hint="default"/>
        <w:b/>
        <w:caps/>
        <w:smallCaps w:val="0"/>
        <w:strike w:val="0"/>
        <w:dstrike w:val="0"/>
        <w:outline w:val="0"/>
        <w:emboss w:val="0"/>
        <w:imprint w:val="0"/>
        <w:spacing w:val="0"/>
        <w:w w:val="100"/>
        <w:kern w:val="0"/>
        <w:position w:val="0"/>
        <w:sz w:val="28"/>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sz w:val="24"/>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sz w:val="24"/>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sz w:val="24"/>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sz w:val="24"/>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sz w:val="24"/>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sz w:val="24"/>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sz w:val="24"/>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sz w:val="24"/>
        <w:vertAlign w:val="baseline"/>
      </w:rPr>
    </w:lvl>
  </w:abstractNum>
  <w:abstractNum w:abstractNumId="2" w15:restartNumberingAfterBreak="0">
    <w:nsid w:val="4E5135D3"/>
    <w:multiLevelType w:val="multilevel"/>
    <w:tmpl w:val="458447B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6F11FD6"/>
    <w:multiLevelType w:val="multilevel"/>
    <w:tmpl w:val="00FC20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75D482B"/>
    <w:multiLevelType w:val="multilevel"/>
    <w:tmpl w:val="6696EA00"/>
    <w:lvl w:ilvl="0">
      <w:start w:val="1"/>
      <w:numFmt w:val="upperRoman"/>
      <w:lvlText w:val="%1."/>
      <w:lvlJc w:val="left"/>
      <w:pPr>
        <w:ind w:left="720" w:hanging="360"/>
      </w:pPr>
      <w:rPr>
        <w:rFonts w:hint="default"/>
        <w:b/>
        <w:bCs/>
        <w:i w:val="0"/>
        <w:strike w:val="0"/>
        <w:dstrike w:val="0"/>
        <w:color w:val="00000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B079AC"/>
    <w:multiLevelType w:val="multilevel"/>
    <w:tmpl w:val="399A1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93129B"/>
    <w:multiLevelType w:val="multilevel"/>
    <w:tmpl w:val="CF9AF17C"/>
    <w:lvl w:ilvl="0">
      <w:start w:val="1"/>
      <w:numFmt w:val="bullet"/>
      <w:lvlText w:val=""/>
      <w:lvlJc w:val="left"/>
      <w:pPr>
        <w:ind w:left="1069" w:hanging="360"/>
      </w:pPr>
      <w:rPr>
        <w:rFonts w:ascii="Symbol" w:hAnsi="Symbol" w:cs="Symbol" w:hint="default"/>
        <w:color w:val="auto"/>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D0"/>
    <w:rsid w:val="000718D0"/>
    <w:rsid w:val="00460C26"/>
    <w:rsid w:val="004F5857"/>
    <w:rsid w:val="00554347"/>
    <w:rsid w:val="009210CA"/>
    <w:rsid w:val="00E04EA3"/>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56977-5DBC-4EAE-8B54-86DEC274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styleId="nfasis">
    <w:name w:val="Emphasis"/>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Text">
    <w:name w:val="Text"/>
    <w:basedOn w:val="Normal"/>
    <w:link w:val="TextChar"/>
    <w:qFormat/>
    <w:rsid w:val="00B93B76"/>
    <w:pPr>
      <w:spacing w:after="240"/>
    </w:pPr>
    <w:rPr>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9_Iconografia/doc/InfoEnt/03_CalObligPer2020.pdf" TargetMode="External"/><Relationship Id="rId1" Type="http://schemas.openxmlformats.org/officeDocument/2006/relationships/hyperlink" Target="https://www.osfem.gob.mx/04_Normatividad/doc/Normatividad/2019/19.-LineamInfMensualMpal_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0B8DD-5FB5-4886-9A5A-44B6A0C43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6794</Words>
  <Characters>37367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LUISITO</cp:lastModifiedBy>
  <cp:revision>2</cp:revision>
  <cp:lastPrinted>2020-01-22T19:55:00Z</cp:lastPrinted>
  <dcterms:created xsi:type="dcterms:W3CDTF">2020-08-26T20:37:00Z</dcterms:created>
  <dcterms:modified xsi:type="dcterms:W3CDTF">2020-08-26T20:37:00Z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