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3E" w:rsidRDefault="001C34A3">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41523E" w:rsidRDefault="0041523E">
      <w:pPr>
        <w:spacing w:line="360" w:lineRule="auto"/>
        <w:jc w:val="both"/>
        <w:rPr>
          <w:rFonts w:ascii="Palatino Linotype" w:hAnsi="Palatino Linotype"/>
        </w:rPr>
      </w:pPr>
    </w:p>
    <w:p w:rsidR="0041523E" w:rsidRDefault="001C34A3">
      <w:pPr>
        <w:spacing w:line="360" w:lineRule="auto"/>
        <w:jc w:val="both"/>
        <w:rPr>
          <w:rFonts w:ascii="Palatino Linotype" w:hAnsi="Palatino Linotype"/>
        </w:rPr>
      </w:pPr>
      <w:r>
        <w:rPr>
          <w:rFonts w:ascii="Palatino Linotype" w:hAnsi="Palatino Linotype"/>
        </w:rPr>
        <w:t xml:space="preserve">VISTO el expediente formado con motivo del recurso de revisión </w:t>
      </w:r>
      <w:r>
        <w:rPr>
          <w:rFonts w:ascii="Palatino Linotype" w:hAnsi="Palatino Linotype"/>
          <w:b/>
        </w:rPr>
        <w:t>01262/INFOEM/IP/RR/2020</w:t>
      </w:r>
      <w:r>
        <w:rPr>
          <w:rFonts w:ascii="Palatino Linotype" w:hAnsi="Palatino Linotype"/>
        </w:rPr>
        <w:t xml:space="preserve">, promovido por el C. </w:t>
      </w:r>
      <w:r w:rsidR="00887478" w:rsidRPr="00887478">
        <w:rPr>
          <w:rFonts w:ascii="Palatino Linotype" w:hAnsi="Palatino Linotype"/>
          <w:b/>
        </w:rPr>
        <w:t>xxxxxx xxxxx xxxxxxx</w:t>
      </w:r>
      <w:r>
        <w:rPr>
          <w:rFonts w:ascii="Palatino Linotype" w:hAnsi="Palatino Linotype"/>
        </w:rPr>
        <w:t xml:space="preserve">, en lo sucesivo </w:t>
      </w:r>
      <w:r>
        <w:rPr>
          <w:rFonts w:ascii="Palatino Linotype" w:hAnsi="Palatino Linotype"/>
          <w:b/>
        </w:rPr>
        <w:t>EL RECURRENTE,</w:t>
      </w:r>
      <w:r>
        <w:rPr>
          <w:rFonts w:ascii="Palatino Linotype" w:hAnsi="Palatino Linotype"/>
        </w:rPr>
        <w:t xml:space="preserve"> en contra de la respuesta emitida por la</w:t>
      </w:r>
      <w:r>
        <w:rPr>
          <w:rFonts w:ascii="Palatino Linotype" w:hAnsi="Palatino Linotype"/>
          <w:b/>
        </w:rPr>
        <w:t xml:space="preserve"> Fiscalía General de Justicia del Estado de México</w:t>
      </w:r>
      <w:r>
        <w:rPr>
          <w:rFonts w:ascii="Palatino Linotype" w:hAnsi="Palatino Linotype"/>
        </w:rPr>
        <w:t>, en l</w:t>
      </w:r>
      <w:r>
        <w:rPr>
          <w:rFonts w:ascii="Palatino Linotype" w:hAnsi="Palatino Linotype"/>
        </w:rPr>
        <w:t xml:space="preserve">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41523E" w:rsidRDefault="0041523E">
      <w:pPr>
        <w:tabs>
          <w:tab w:val="left" w:pos="9072"/>
        </w:tabs>
        <w:spacing w:line="360" w:lineRule="auto"/>
        <w:jc w:val="both"/>
        <w:rPr>
          <w:rFonts w:ascii="Palatino Linotype" w:hAnsi="Palatino Linotype"/>
        </w:rPr>
      </w:pPr>
    </w:p>
    <w:p w:rsidR="0041523E" w:rsidRDefault="001C34A3">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41523E" w:rsidRDefault="0041523E">
      <w:pPr>
        <w:spacing w:line="360" w:lineRule="auto"/>
        <w:jc w:val="center"/>
        <w:rPr>
          <w:rFonts w:ascii="Palatino Linotype" w:hAnsi="Palatino Linotype"/>
          <w:b/>
          <w:bCs/>
          <w:spacing w:val="60"/>
        </w:rPr>
      </w:pPr>
    </w:p>
    <w:p w:rsidR="0041523E" w:rsidRDefault="001C34A3">
      <w:pPr>
        <w:pStyle w:val="Prrafodelista"/>
        <w:numPr>
          <w:ilvl w:val="0"/>
          <w:numId w:val="1"/>
        </w:numPr>
        <w:spacing w:line="360" w:lineRule="auto"/>
        <w:jc w:val="both"/>
        <w:rPr>
          <w:rFonts w:ascii="Palatino Linotype" w:hAnsi="Palatino Linotype" w:cs="Arial"/>
        </w:rPr>
      </w:pPr>
      <w:r>
        <w:rPr>
          <w:rFonts w:ascii="Palatino Linotype" w:hAnsi="Palatino Linotype"/>
        </w:rPr>
        <w:t xml:space="preserve">En fecha cinco de febrero de dos mil veinte, </w:t>
      </w:r>
      <w:r>
        <w:rPr>
          <w:rFonts w:ascii="Palatino Linotype" w:hAnsi="Palatino Linotype"/>
          <w:b/>
        </w:rPr>
        <w:t>LA RECURRENTE</w:t>
      </w:r>
      <w:r>
        <w:rPr>
          <w:rFonts w:ascii="Palatino Linotype" w:hAnsi="Palatino Linotype"/>
        </w:rPr>
        <w:t xml:space="preserve"> presentó a través del Sistema de Acceso a la Información Mexiquense, en lo subs</w:t>
      </w:r>
      <w:r>
        <w:rPr>
          <w:rFonts w:ascii="Palatino Linotype" w:hAnsi="Palatino Linotype"/>
        </w:rPr>
        <w:t xml:space="preserve">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Pr>
          <w:rFonts w:ascii="Palatino Linotype" w:hAnsi="Palatino Linotype"/>
          <w:b/>
          <w:bCs/>
        </w:rPr>
        <w:t>00099/FGJ/IP/2020,</w:t>
      </w:r>
      <w:r>
        <w:rPr>
          <w:rFonts w:ascii="Palatino Linotype" w:hAnsi="Palatino Linotype"/>
        </w:rPr>
        <w:t xml:space="preserve"> mediante la cual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41523E" w:rsidRDefault="0041523E">
      <w:pPr>
        <w:pStyle w:val="Prrafodelista"/>
        <w:spacing w:line="360" w:lineRule="auto"/>
        <w:ind w:left="851" w:right="899"/>
        <w:jc w:val="both"/>
        <w:rPr>
          <w:rFonts w:ascii="Palatino Linotype" w:hAnsi="Palatino Linotype" w:cs="Arial"/>
          <w:i/>
        </w:rPr>
      </w:pPr>
    </w:p>
    <w:p w:rsidR="0041523E" w:rsidRDefault="001C34A3">
      <w:pPr>
        <w:pStyle w:val="Prrafodelista"/>
        <w:ind w:left="709" w:right="757"/>
        <w:jc w:val="both"/>
        <w:rPr>
          <w:rFonts w:ascii="Palatino Linotype" w:hAnsi="Palatino Linotype" w:cs="Arial"/>
          <w:i/>
          <w:sz w:val="22"/>
        </w:rPr>
      </w:pPr>
      <w:r>
        <w:rPr>
          <w:rFonts w:ascii="Palatino Linotype" w:hAnsi="Palatino Linotype" w:cs="Arial"/>
          <w:i/>
          <w:sz w:val="22"/>
        </w:rPr>
        <w:t>“cualquier documento donde consten las estadísticas o porcent</w:t>
      </w:r>
      <w:r>
        <w:rPr>
          <w:rFonts w:ascii="Palatino Linotype" w:hAnsi="Palatino Linotype" w:cs="Arial"/>
          <w:i/>
          <w:sz w:val="22"/>
        </w:rPr>
        <w:t>ajes de los delitos que ameritan pena privativa de libertad, incluyendo aquellos que se encuentran en juicio, aquellos que se encuentran en proceso y lo que ya se dicto sanción o resolución.”</w:t>
      </w:r>
    </w:p>
    <w:p w:rsidR="0041523E" w:rsidRDefault="001C34A3">
      <w:pPr>
        <w:pStyle w:val="Prrafodelista"/>
        <w:spacing w:line="360" w:lineRule="auto"/>
        <w:ind w:left="709" w:right="757"/>
        <w:jc w:val="both"/>
        <w:rPr>
          <w:rFonts w:ascii="Palatino Linotype" w:hAnsi="Palatino Linotype"/>
        </w:rPr>
      </w:pPr>
      <w:r>
        <w:rPr>
          <w:rFonts w:ascii="Palatino Linotype" w:hAnsi="Palatino Linotype"/>
        </w:rPr>
        <w:tab/>
      </w:r>
    </w:p>
    <w:p w:rsidR="0041523E" w:rsidRDefault="001C34A3">
      <w:pPr>
        <w:pStyle w:val="Prrafodelista"/>
        <w:spacing w:line="360" w:lineRule="auto"/>
        <w:ind w:left="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Ley de la </w:t>
      </w:r>
      <w:r>
        <w:rPr>
          <w:rFonts w:ascii="Palatino Linotype" w:hAnsi="Palatino Linotype" w:cs="Arial"/>
        </w:rPr>
        <w:lastRenderedPageBreak/>
        <w:t xml:space="preserve">materia, la Titular de la Unidad de Transparencia turnó la solicitud de información a la Directora General de Información, Planeación, Programación y </w:t>
      </w:r>
      <w:r>
        <w:rPr>
          <w:rFonts w:ascii="Palatino Linotype" w:hAnsi="Palatino Linotype" w:cs="Arial"/>
        </w:rPr>
        <w:t xml:space="preserve">Evaluación, servidor público habilitada, a través del turno con número de folio </w:t>
      </w:r>
      <w:r>
        <w:rPr>
          <w:rFonts w:ascii="Palatino Linotype" w:hAnsi="Palatino Linotype" w:cs="Arial"/>
          <w:b/>
          <w:bCs/>
        </w:rPr>
        <w:t xml:space="preserve">00099/FGJ/IP/2020/TSP/0001, </w:t>
      </w:r>
      <w:r>
        <w:rPr>
          <w:rFonts w:ascii="Palatino Linotype" w:hAnsi="Palatino Linotype" w:cs="Arial"/>
          <w:bCs/>
        </w:rPr>
        <w:t>el cual</w:t>
      </w:r>
      <w:r>
        <w:rPr>
          <w:rFonts w:ascii="Palatino Linotype" w:hAnsi="Palatino Linotype" w:cs="Arial"/>
          <w:b/>
          <w:bCs/>
        </w:rPr>
        <w:t xml:space="preserve"> </w:t>
      </w:r>
      <w:r>
        <w:rPr>
          <w:rFonts w:ascii="Palatino Linotype" w:hAnsi="Palatino Linotype" w:cs="Arial"/>
        </w:rPr>
        <w:t xml:space="preserve">fue atendido por el servidor público de referencia, tal y como se ilustra con la imagen inserta: </w:t>
      </w:r>
    </w:p>
    <w:p w:rsidR="0041523E" w:rsidRDefault="0041523E">
      <w:pPr>
        <w:pStyle w:val="Prrafodelista"/>
        <w:spacing w:line="360" w:lineRule="auto"/>
        <w:ind w:left="0"/>
        <w:rPr>
          <w:rFonts w:ascii="Palatino Linotype" w:hAnsi="Palatino Linotype"/>
          <w:lang w:eastAsia="es-MX"/>
        </w:rPr>
      </w:pPr>
    </w:p>
    <w:p w:rsidR="0041523E" w:rsidRDefault="001C34A3">
      <w:pPr>
        <w:pStyle w:val="Prrafodelista"/>
        <w:spacing w:line="360" w:lineRule="auto"/>
        <w:ind w:left="0"/>
        <w:jc w:val="center"/>
        <w:rPr>
          <w:rFonts w:ascii="Palatino Linotype" w:hAnsi="Palatino Linotype" w:cs="Arial"/>
        </w:rPr>
      </w:pPr>
      <w:r>
        <w:rPr>
          <w:noProof/>
          <w:lang w:eastAsia="es-MX"/>
        </w:rPr>
        <w:drawing>
          <wp:inline distT="0" distB="0" distL="0" distR="0">
            <wp:extent cx="5791835" cy="64770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8"/>
                    <a:stretch>
                      <a:fillRect/>
                    </a:stretch>
                  </pic:blipFill>
                  <pic:spPr bwMode="auto">
                    <a:xfrm>
                      <a:off x="0" y="0"/>
                      <a:ext cx="5791835" cy="647700"/>
                    </a:xfrm>
                    <a:prstGeom prst="rect">
                      <a:avLst/>
                    </a:prstGeom>
                  </pic:spPr>
                </pic:pic>
              </a:graphicData>
            </a:graphic>
          </wp:inline>
        </w:drawing>
      </w:r>
      <w:r>
        <w:rPr>
          <w:lang w:eastAsia="es-MX"/>
        </w:rPr>
        <w:t xml:space="preserve">  </w:t>
      </w:r>
    </w:p>
    <w:p w:rsidR="0041523E" w:rsidRDefault="0041523E">
      <w:pPr>
        <w:spacing w:line="360" w:lineRule="auto"/>
        <w:jc w:val="both"/>
        <w:rPr>
          <w:rFonts w:ascii="Palatino Linotype" w:hAnsi="Palatino Linotype" w:cs="Arial"/>
        </w:rPr>
      </w:pPr>
    </w:p>
    <w:p w:rsidR="0041523E" w:rsidRDefault="001C34A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dio respuesta a la solicitud de acceso a la información, en fecha veintiséis de febrero de dos mil veinte, en los términos que a continuación se citan:</w:t>
      </w:r>
    </w:p>
    <w:p w:rsidR="0041523E" w:rsidRDefault="001C34A3">
      <w:pPr>
        <w:ind w:left="709" w:right="757"/>
        <w:jc w:val="right"/>
        <w:rPr>
          <w:rFonts w:ascii="Palatino Linotype" w:hAnsi="Palatino Linotype" w:cs="Arial"/>
          <w:i/>
          <w:sz w:val="22"/>
        </w:rPr>
      </w:pPr>
      <w:r>
        <w:rPr>
          <w:rFonts w:ascii="Palatino Linotype" w:hAnsi="Palatino Linotype" w:cs="Arial"/>
          <w:i/>
          <w:sz w:val="22"/>
        </w:rPr>
        <w:t>“Metepec, México a 26 de Febrero de 2020</w:t>
      </w:r>
    </w:p>
    <w:p w:rsidR="0041523E" w:rsidRDefault="001C34A3">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887478" w:rsidRPr="00887478">
        <w:rPr>
          <w:rFonts w:ascii="Palatino Linotype" w:hAnsi="Palatino Linotype" w:cs="Arial"/>
          <w:i/>
          <w:sz w:val="22"/>
        </w:rPr>
        <w:t>xxxxxx xxxxx xxxxxxx</w:t>
      </w:r>
    </w:p>
    <w:p w:rsidR="0041523E" w:rsidRDefault="001C34A3">
      <w:pPr>
        <w:ind w:left="709" w:right="757"/>
        <w:jc w:val="right"/>
        <w:rPr>
          <w:rFonts w:ascii="Palatino Linotype" w:hAnsi="Palatino Linotype" w:cs="Arial"/>
          <w:i/>
          <w:sz w:val="22"/>
        </w:rPr>
      </w:pPr>
      <w:r>
        <w:rPr>
          <w:rFonts w:ascii="Palatino Linotype" w:hAnsi="Palatino Linotype" w:cs="Arial"/>
          <w:i/>
          <w:sz w:val="22"/>
        </w:rPr>
        <w:t>Folio de la solicitud: 00099/FGJ/IP/2020</w:t>
      </w:r>
    </w:p>
    <w:p w:rsidR="0041523E" w:rsidRDefault="0041523E">
      <w:pPr>
        <w:ind w:left="709" w:right="757"/>
        <w:jc w:val="right"/>
        <w:rPr>
          <w:rFonts w:ascii="Palatino Linotype" w:hAnsi="Palatino Linotype" w:cs="Arial"/>
          <w:i/>
          <w:sz w:val="22"/>
        </w:rPr>
      </w:pPr>
    </w:p>
    <w:p w:rsidR="0041523E" w:rsidRDefault="001C34A3">
      <w:pPr>
        <w:ind w:left="709" w:right="757"/>
        <w:jc w:val="both"/>
        <w:rPr>
          <w:rFonts w:ascii="Palatino Linotype" w:hAnsi="Palatino Linotype" w:cs="Arial"/>
          <w:i/>
          <w:sz w:val="22"/>
        </w:rPr>
      </w:pPr>
      <w:r>
        <w:rPr>
          <w:rFonts w:ascii="Palatino Linotype" w:hAnsi="Palatino Linotype" w:cs="Arial"/>
          <w:i/>
          <w:sz w:val="22"/>
        </w:rPr>
        <w:t xml:space="preserve">En respuesta a la solicitud recibida, nos permitimos hacer de su conocimiento que con fundamento en el artículo 53, Fracciones: </w:t>
      </w:r>
      <w:r>
        <w:rPr>
          <w:rFonts w:ascii="Palatino Linotype" w:hAnsi="Palatino Linotype" w:cs="Arial"/>
          <w:i/>
          <w:sz w:val="22"/>
        </w:rPr>
        <w:t>II, V y VI de la Ley de Transparencia y Acceso a la Información Pública del Estado de México y Municipios, le contestamos que:</w:t>
      </w:r>
    </w:p>
    <w:p w:rsidR="0041523E" w:rsidRDefault="0041523E">
      <w:pPr>
        <w:ind w:left="709" w:right="757"/>
        <w:jc w:val="both"/>
        <w:rPr>
          <w:rFonts w:ascii="Palatino Linotype" w:hAnsi="Palatino Linotype" w:cs="Arial"/>
          <w:i/>
          <w:sz w:val="22"/>
        </w:rPr>
      </w:pPr>
    </w:p>
    <w:p w:rsidR="0041523E" w:rsidRDefault="001C34A3">
      <w:pPr>
        <w:ind w:left="709" w:right="757"/>
        <w:jc w:val="both"/>
        <w:rPr>
          <w:rFonts w:ascii="Palatino Linotype" w:hAnsi="Palatino Linotype" w:cs="Arial"/>
          <w:i/>
          <w:sz w:val="22"/>
        </w:rPr>
      </w:pPr>
      <w:r>
        <w:rPr>
          <w:rFonts w:ascii="Palatino Linotype" w:hAnsi="Palatino Linotype" w:cs="Arial"/>
          <w:i/>
          <w:sz w:val="22"/>
        </w:rPr>
        <w:t xml:space="preserve">Toluca de Lerdo, Estado de México; a 26 de febrero de 2020 Número de oficio: 350/MAIP/FGJ/2020 </w:t>
      </w:r>
      <w:r w:rsidR="00887478" w:rsidRPr="00887478">
        <w:rPr>
          <w:rFonts w:ascii="Palatino Linotype" w:hAnsi="Palatino Linotype" w:cs="Arial"/>
          <w:i/>
          <w:sz w:val="22"/>
        </w:rPr>
        <w:t xml:space="preserve">xxxxxx xxxxx xxxxxxx </w:t>
      </w:r>
      <w:r>
        <w:rPr>
          <w:rFonts w:ascii="Palatino Linotype" w:hAnsi="Palatino Linotype" w:cs="Arial"/>
          <w:i/>
          <w:sz w:val="22"/>
        </w:rPr>
        <w:t>Hago referen</w:t>
      </w:r>
      <w:r>
        <w:rPr>
          <w:rFonts w:ascii="Palatino Linotype" w:hAnsi="Palatino Linotype" w:cs="Arial"/>
          <w:i/>
          <w:sz w:val="22"/>
        </w:rPr>
        <w:t>cia al contenido de su solicitud de información pública, presentada el 5 de febrero del año 2020, ante el Módulo de Transparencia y Acceso a la Información Pública de la Fiscalía General de Justicia del Estado de México, misma que fue registrada en el Sist</w:t>
      </w:r>
      <w:r>
        <w:rPr>
          <w:rFonts w:ascii="Palatino Linotype" w:hAnsi="Palatino Linotype" w:cs="Arial"/>
          <w:i/>
          <w:sz w:val="22"/>
        </w:rPr>
        <w:t xml:space="preserve">ema de Acceso a la Información Mexiquense (SAIMEX), bajo el folio 00099/FGJ/IP/2020, en la que pide lo siguiente: “cualquier documento donde consten las estadísticas o porcentajes de los delitos que ameritan pena privativa de libertad, incluyendo aquellos </w:t>
      </w:r>
      <w:r>
        <w:rPr>
          <w:rFonts w:ascii="Palatino Linotype" w:hAnsi="Palatino Linotype" w:cs="Arial"/>
          <w:i/>
          <w:sz w:val="22"/>
        </w:rPr>
        <w:t xml:space="preserve">que se encuentran en juicio, aquellos que se encuentran en proceso y lo que ya se dicto sanción o resolución.” (sic) </w:t>
      </w:r>
      <w:r>
        <w:rPr>
          <w:rFonts w:ascii="Palatino Linotype" w:hAnsi="Palatino Linotype" w:cs="Arial"/>
          <w:i/>
          <w:sz w:val="22"/>
        </w:rPr>
        <w:lastRenderedPageBreak/>
        <w:t xml:space="preserve">Al respecto, esta Fiscalía General de Justicia del Estado de México, con fundamento en los artículos 1, 4 y 163 de la Ley de Transparencia </w:t>
      </w:r>
      <w:r>
        <w:rPr>
          <w:rFonts w:ascii="Palatino Linotype" w:hAnsi="Palatino Linotype" w:cs="Arial"/>
          <w:i/>
          <w:sz w:val="22"/>
        </w:rPr>
        <w:t xml:space="preserve">y Acceso a la Información Pública del Estado de México y Municipios, hace de su conocimiento que de acuerdo a lo informado por la Directora General de Información, Planeación, Programación y Evaluación, Servidora Pública Habilitada, no procesa información </w:t>
      </w:r>
      <w:r>
        <w:rPr>
          <w:rFonts w:ascii="Palatino Linotype" w:hAnsi="Palatino Linotype" w:cs="Arial"/>
          <w:i/>
          <w:sz w:val="22"/>
        </w:rPr>
        <w:t>relativa a estadística o porcentaje de delitos que ameriten pena privativa de libertad, por lo que no es posible atender su petición en los términos que requiere y esta Institución no se encuentra obligada a procesar, resumir, efectuar cálculos o practicar</w:t>
      </w:r>
      <w:r>
        <w:rPr>
          <w:rFonts w:ascii="Palatino Linotype" w:hAnsi="Palatino Linotype" w:cs="Arial"/>
          <w:i/>
          <w:sz w:val="22"/>
        </w:rPr>
        <w:t xml:space="preserve"> investigaciones conforme al interés del solicitante, tal y como lo dispone el artículo 12 de la Ley de Transparencia antes invocada, que establece lo siguiente: “Artículo 12. (…) Los sujetos obligados sólo proporcionarán la información pública que se les </w:t>
      </w:r>
      <w:r>
        <w:rPr>
          <w:rFonts w:ascii="Palatino Linotype" w:hAnsi="Palatino Linotype" w:cs="Arial"/>
          <w:i/>
          <w:sz w:val="22"/>
        </w:rPr>
        <w:t>requiera y que obre en sus archivos y en el estado en que ésta se encuentre. La obligación de proporcionar información no comprende el procesamiento de la misma, ni el presentarla conforme al interés del solicitante; no estarán obligados a generarla, resum</w:t>
      </w:r>
      <w:r>
        <w:rPr>
          <w:rFonts w:ascii="Palatino Linotype" w:hAnsi="Palatino Linotype" w:cs="Arial"/>
          <w:i/>
          <w:sz w:val="22"/>
        </w:rPr>
        <w:t>irla, efectuar cálculos o practicar investigaciones.” Sin otro particular, le reitero la seguridad de mi distinguida consideración. A T E N T A M E N T E YAMILIT LEYVA GUTIÉRREZ TITULAR DE LA UNIDAD DE TRANSPARENCIA YLG/LGCG</w:t>
      </w:r>
    </w:p>
    <w:p w:rsidR="0041523E" w:rsidRDefault="0041523E">
      <w:pPr>
        <w:ind w:left="709" w:right="757"/>
        <w:jc w:val="both"/>
        <w:rPr>
          <w:rFonts w:ascii="Palatino Linotype" w:hAnsi="Palatino Linotype" w:cs="Arial"/>
          <w:i/>
          <w:sz w:val="22"/>
        </w:rPr>
      </w:pPr>
    </w:p>
    <w:p w:rsidR="0041523E" w:rsidRDefault="001C34A3">
      <w:pPr>
        <w:ind w:left="709" w:right="757"/>
        <w:jc w:val="both"/>
        <w:rPr>
          <w:rFonts w:ascii="Palatino Linotype" w:hAnsi="Palatino Linotype" w:cs="Arial"/>
          <w:i/>
          <w:sz w:val="22"/>
        </w:rPr>
      </w:pPr>
      <w:r>
        <w:rPr>
          <w:rFonts w:ascii="Palatino Linotype" w:hAnsi="Palatino Linotype" w:cs="Arial"/>
          <w:i/>
          <w:sz w:val="22"/>
        </w:rPr>
        <w:t>ATENTAMENTE</w:t>
      </w:r>
    </w:p>
    <w:p w:rsidR="0041523E" w:rsidRDefault="001C34A3">
      <w:pPr>
        <w:ind w:left="709" w:right="757"/>
        <w:jc w:val="both"/>
        <w:rPr>
          <w:rFonts w:ascii="Palatino Linotype" w:hAnsi="Palatino Linotype" w:cs="Arial"/>
          <w:i/>
          <w:sz w:val="22"/>
        </w:rPr>
      </w:pPr>
      <w:r>
        <w:rPr>
          <w:rFonts w:ascii="Palatino Linotype" w:hAnsi="Palatino Linotype" w:cs="Arial"/>
          <w:i/>
          <w:sz w:val="22"/>
        </w:rPr>
        <w:t>YAMILIT LEYVA GUTI</w:t>
      </w:r>
      <w:r>
        <w:rPr>
          <w:rFonts w:ascii="Palatino Linotype" w:hAnsi="Palatino Linotype" w:cs="Arial"/>
          <w:i/>
          <w:sz w:val="22"/>
        </w:rPr>
        <w:t>ÉRREZ”</w:t>
      </w:r>
    </w:p>
    <w:p w:rsidR="0041523E" w:rsidRDefault="0041523E">
      <w:pPr>
        <w:spacing w:line="360" w:lineRule="auto"/>
        <w:ind w:left="709" w:right="757"/>
        <w:jc w:val="both"/>
        <w:rPr>
          <w:rFonts w:ascii="Palatino Linotype" w:hAnsi="Palatino Linotype" w:cs="Arial"/>
          <w:i/>
          <w:sz w:val="22"/>
        </w:rPr>
      </w:pPr>
    </w:p>
    <w:p w:rsidR="0041523E" w:rsidRDefault="001C34A3">
      <w:pPr>
        <w:pStyle w:val="Prrafodelista"/>
        <w:numPr>
          <w:ilvl w:val="0"/>
          <w:numId w:val="1"/>
        </w:numPr>
        <w:spacing w:line="360" w:lineRule="auto"/>
        <w:jc w:val="both"/>
        <w:rPr>
          <w:rFonts w:ascii="Palatino Linotype" w:hAnsi="Palatino Linotype" w:cs="Arial"/>
        </w:rPr>
      </w:pPr>
      <w:r>
        <w:rPr>
          <w:rFonts w:ascii="Palatino Linotype" w:hAnsi="Palatino Linotype"/>
        </w:rPr>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veintisiete de febrero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012</w:t>
      </w:r>
      <w:r>
        <w:rPr>
          <w:rFonts w:ascii="Palatino Linotype" w:hAnsi="Palatino Linotype" w:cs="Arial"/>
          <w:b/>
          <w:bCs/>
        </w:rPr>
        <w:t>62/INFOEM/IP/RR/2020</w:t>
      </w:r>
      <w:r>
        <w:rPr>
          <w:rFonts w:ascii="Palatino Linotype" w:hAnsi="Palatino Linotype" w:cs="Arial"/>
        </w:rPr>
        <w:t>, en el que señaló como acto impugnado lo siguiente:</w:t>
      </w:r>
    </w:p>
    <w:p w:rsidR="0041523E" w:rsidRDefault="0041523E">
      <w:pPr>
        <w:pStyle w:val="Prrafodelista"/>
        <w:spacing w:line="360" w:lineRule="auto"/>
        <w:ind w:left="0"/>
        <w:jc w:val="both"/>
        <w:rPr>
          <w:rFonts w:ascii="Palatino Linotype" w:hAnsi="Palatino Linotype" w:cs="Arial"/>
        </w:rPr>
      </w:pPr>
    </w:p>
    <w:p w:rsidR="0041523E" w:rsidRDefault="001C34A3">
      <w:pPr>
        <w:ind w:left="709" w:right="757"/>
        <w:jc w:val="both"/>
        <w:rPr>
          <w:rFonts w:ascii="Palatino Linotype" w:hAnsi="Palatino Linotype"/>
          <w:i/>
          <w:color w:val="000000"/>
          <w:sz w:val="22"/>
        </w:rPr>
      </w:pPr>
      <w:r>
        <w:rPr>
          <w:rFonts w:ascii="Palatino Linotype" w:hAnsi="Palatino Linotype"/>
          <w:i/>
          <w:color w:val="000000"/>
          <w:sz w:val="22"/>
        </w:rPr>
        <w:t>“La omisión de entrega de la información solicitada.”</w:t>
      </w:r>
    </w:p>
    <w:p w:rsidR="0041523E" w:rsidRDefault="0041523E">
      <w:pPr>
        <w:spacing w:line="360" w:lineRule="auto"/>
        <w:ind w:right="757"/>
        <w:jc w:val="both"/>
        <w:rPr>
          <w:rFonts w:ascii="Palatino Linotype" w:hAnsi="Palatino Linotype" w:cs="Arial"/>
          <w:spacing w:val="-6"/>
          <w:lang w:eastAsia="es-MX"/>
        </w:rPr>
      </w:pPr>
    </w:p>
    <w:p w:rsidR="0041523E" w:rsidRDefault="001C34A3">
      <w:pPr>
        <w:spacing w:line="360" w:lineRule="auto"/>
        <w:ind w:right="757"/>
        <w:jc w:val="both"/>
        <w:rPr>
          <w:rFonts w:ascii="Palatino Linotype" w:hAnsi="Palatino Linotype" w:cs="Arial"/>
        </w:rPr>
      </w:pPr>
      <w:r>
        <w:rPr>
          <w:rFonts w:ascii="Palatino Linotype" w:hAnsi="Palatino Linotype" w:cs="Arial"/>
          <w:spacing w:val="-6"/>
          <w:lang w:eastAsia="es-MX"/>
        </w:rPr>
        <w:t>A</w:t>
      </w:r>
      <w:r>
        <w:rPr>
          <w:rFonts w:ascii="Palatino Linotype" w:hAnsi="Palatino Linotype" w:cs="Arial"/>
          <w:lang w:eastAsia="es-MX"/>
        </w:rPr>
        <w:t xml:space="preserve">simismo, manifestó como </w:t>
      </w:r>
      <w:r>
        <w:rPr>
          <w:rFonts w:ascii="Palatino Linotype" w:hAnsi="Palatino Linotype" w:cs="Arial"/>
        </w:rPr>
        <w:t>razones o motivos de inconformidad:</w:t>
      </w:r>
    </w:p>
    <w:p w:rsidR="0041523E" w:rsidRDefault="0041523E">
      <w:pPr>
        <w:pStyle w:val="Prrafodelista"/>
        <w:spacing w:line="360" w:lineRule="auto"/>
        <w:ind w:left="709" w:right="757"/>
        <w:jc w:val="both"/>
        <w:rPr>
          <w:rFonts w:ascii="Palatino Linotype" w:hAnsi="Palatino Linotype" w:cs="Arial"/>
          <w:i/>
          <w:spacing w:val="-6"/>
          <w:lang w:eastAsia="es-MX"/>
        </w:rPr>
      </w:pPr>
    </w:p>
    <w:p w:rsidR="0041523E" w:rsidRDefault="001C34A3">
      <w:pPr>
        <w:pStyle w:val="Prrafodelista"/>
        <w:ind w:left="709" w:right="757"/>
        <w:jc w:val="both"/>
        <w:rPr>
          <w:rFonts w:ascii="Palatino Linotype" w:hAnsi="Palatino Linotype" w:cs="Arial"/>
          <w:i/>
          <w:spacing w:val="-6"/>
          <w:sz w:val="22"/>
          <w:lang w:eastAsia="es-MX"/>
        </w:rPr>
      </w:pPr>
      <w:r>
        <w:rPr>
          <w:rFonts w:ascii="Palatino Linotype" w:hAnsi="Palatino Linotype" w:cs="Arial"/>
          <w:i/>
          <w:spacing w:val="-6"/>
          <w:sz w:val="22"/>
          <w:lang w:eastAsia="es-MX"/>
        </w:rPr>
        <w:lastRenderedPageBreak/>
        <w:t xml:space="preserve">“Argumenta la fiscalia que no procesa información. cuando es la </w:t>
      </w:r>
      <w:r>
        <w:rPr>
          <w:rFonts w:ascii="Palatino Linotype" w:hAnsi="Palatino Linotype" w:cs="Arial"/>
          <w:i/>
          <w:spacing w:val="-6"/>
          <w:sz w:val="22"/>
          <w:lang w:eastAsia="es-MX"/>
        </w:rPr>
        <w:t>misma quien la genera y por ende deber tener lo información solicitada”</w:t>
      </w:r>
    </w:p>
    <w:p w:rsidR="0041523E" w:rsidRDefault="0041523E">
      <w:pPr>
        <w:spacing w:line="360" w:lineRule="auto"/>
        <w:ind w:right="757"/>
        <w:jc w:val="both"/>
        <w:rPr>
          <w:rFonts w:ascii="Palatino Linotype" w:hAnsi="Palatino Linotype" w:cs="Arial"/>
          <w:i/>
          <w:spacing w:val="-6"/>
          <w:lang w:eastAsia="es-MX"/>
        </w:rPr>
      </w:pPr>
    </w:p>
    <w:p w:rsidR="0041523E" w:rsidRDefault="001C34A3">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w:t>
      </w:r>
      <w:r>
        <w:rPr>
          <w:rFonts w:ascii="Palatino Linotype" w:hAnsi="Palatino Linotype" w:cs="Arial"/>
        </w:rPr>
        <w:t xml:space="preserve">en fecha </w:t>
      </w:r>
      <w:r>
        <w:rPr>
          <w:rFonts w:ascii="Palatino Linotype" w:hAnsi="Palatino Linotype"/>
        </w:rPr>
        <w:t>veintisiete de febrero de dos mil veinte</w:t>
      </w:r>
      <w:r>
        <w:rPr>
          <w:rFonts w:ascii="Palatino Linotype" w:hAnsi="Palatino Linotype" w:cs="Arial"/>
        </w:rPr>
        <w:t xml:space="preserv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w:t>
      </w:r>
      <w:r>
        <w:rPr>
          <w:rFonts w:ascii="Palatino Linotype" w:hAnsi="Palatino Linotype" w:cs="Arial"/>
          <w:b/>
        </w:rPr>
        <w:t>R</w:t>
      </w:r>
      <w:r>
        <w:rPr>
          <w:rFonts w:ascii="Palatino Linotype" w:hAnsi="Palatino Linotype" w:cs="Arial"/>
        </w:rPr>
        <w:t>, a efecto de que decretara su admisión o desechamiento.</w:t>
      </w:r>
    </w:p>
    <w:p w:rsidR="0041523E" w:rsidRDefault="0041523E">
      <w:pPr>
        <w:pStyle w:val="Prrafodelista"/>
        <w:spacing w:line="360" w:lineRule="auto"/>
        <w:ind w:left="0"/>
        <w:jc w:val="both"/>
        <w:rPr>
          <w:rFonts w:ascii="Palatino Linotype" w:hAnsi="Palatino Linotype" w:cs="Arial"/>
        </w:rPr>
      </w:pPr>
    </w:p>
    <w:p w:rsidR="0041523E" w:rsidRDefault="001C34A3">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En fecha cinco de marzo de dos mil veinte, atento a lo dispuesto en el artículo 185, fracciones I, II y IV de la </w:t>
      </w:r>
      <w:r>
        <w:rPr>
          <w:rFonts w:ascii="Palatino Linotype" w:hAnsi="Palatino Linotype"/>
        </w:rPr>
        <w:t>Ley de Transparencia y Acceso a la Información Pública del Estado de México y Munici</w:t>
      </w:r>
      <w:r>
        <w:rPr>
          <w:rFonts w:ascii="Palatino Linotype" w:hAnsi="Palatino Linotype"/>
        </w:rPr>
        <w:t>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w:t>
      </w:r>
      <w:r>
        <w:rPr>
          <w:rFonts w:ascii="Palatino Linotype" w:hAnsi="Palatino Linotype" w:cs="Arial"/>
          <w:b/>
        </w:rPr>
        <w:t>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41523E" w:rsidRDefault="0041523E">
      <w:pPr>
        <w:pStyle w:val="Prrafodelista"/>
        <w:spacing w:line="360" w:lineRule="auto"/>
        <w:rPr>
          <w:rFonts w:ascii="Palatino Linotype" w:hAnsi="Palatino Linotype" w:cs="Arial"/>
        </w:rPr>
      </w:pPr>
    </w:p>
    <w:p w:rsidR="0041523E" w:rsidRDefault="001C34A3" w:rsidP="00887478">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desprende que dentro del término c</w:t>
      </w:r>
      <w:r>
        <w:rPr>
          <w:rFonts w:ascii="Palatino Linotype" w:hAnsi="Palatino Linotype" w:cs="Arial"/>
        </w:rPr>
        <w:t xml:space="preserve">oncedido a las partes </w:t>
      </w:r>
      <w:r>
        <w:rPr>
          <w:rFonts w:ascii="Palatino Linotype" w:hAnsi="Palatino Linotype" w:cs="Arial"/>
          <w:b/>
        </w:rPr>
        <w:t xml:space="preserve">EL RECURRENTE </w:t>
      </w:r>
      <w:r>
        <w:rPr>
          <w:rFonts w:ascii="Palatino Linotype" w:hAnsi="Palatino Linotype" w:cs="Arial"/>
        </w:rPr>
        <w:t xml:space="preserve">no presentó </w:t>
      </w:r>
      <w:r>
        <w:rPr>
          <w:rFonts w:ascii="Palatino Linotype" w:hAnsi="Palatino Linotype"/>
        </w:rPr>
        <w:t>manifestaciones</w:t>
      </w:r>
      <w:r>
        <w:rPr>
          <w:rFonts w:ascii="Palatino Linotype" w:hAnsi="Palatino Linotype" w:cs="Arial"/>
        </w:rPr>
        <w:t xml:space="preserve"> y alegatos, ni ofreció los medios de prueba que a su derecho convinieran. Por su parte </w:t>
      </w:r>
      <w:r>
        <w:rPr>
          <w:rFonts w:ascii="Palatino Linotype" w:hAnsi="Palatino Linotype" w:cs="Arial"/>
          <w:b/>
        </w:rPr>
        <w:t xml:space="preserve">EL SUJETO </w:t>
      </w:r>
      <w:r>
        <w:rPr>
          <w:rFonts w:ascii="Palatino Linotype" w:hAnsi="Palatino Linotype" w:cs="Arial"/>
          <w:b/>
        </w:rPr>
        <w:lastRenderedPageBreak/>
        <w:t>OBLIGADO,</w:t>
      </w:r>
      <w:r>
        <w:rPr>
          <w:rFonts w:ascii="Palatino Linotype" w:hAnsi="Palatino Linotype" w:cs="Arial"/>
        </w:rPr>
        <w:t xml:space="preserve"> rindió su Informe Justificado en fecha diecisiete de marzo de dos mil veinte, al que </w:t>
      </w:r>
      <w:r>
        <w:rPr>
          <w:rFonts w:ascii="Palatino Linotype" w:hAnsi="Palatino Linotype" w:cs="Arial"/>
        </w:rPr>
        <w:t xml:space="preserve">adjuntó los archivos electrónicos denominados </w:t>
      </w:r>
      <w:r>
        <w:rPr>
          <w:rFonts w:ascii="Palatino Linotype" w:hAnsi="Palatino Linotype" w:cs="Arial"/>
          <w:i/>
        </w:rPr>
        <w:t xml:space="preserve">INF. JUST. RR01262. </w:t>
      </w:r>
      <w:r w:rsidR="00887478" w:rsidRPr="00887478">
        <w:rPr>
          <w:rFonts w:ascii="Palatino Linotype" w:hAnsi="Palatino Linotype" w:cs="Arial"/>
          <w:i/>
        </w:rPr>
        <w:t>xxxxxx xxxxx xxxxxxx</w:t>
      </w:r>
      <w:r>
        <w:rPr>
          <w:rFonts w:ascii="Palatino Linotype" w:hAnsi="Palatino Linotype" w:cs="Arial"/>
          <w:i/>
        </w:rPr>
        <w:t xml:space="preserve">.pdf </w:t>
      </w:r>
      <w:r>
        <w:rPr>
          <w:rFonts w:ascii="Palatino Linotype" w:hAnsi="Palatino Linotype" w:cs="Arial"/>
        </w:rPr>
        <w:t xml:space="preserve">y </w:t>
      </w:r>
      <w:r>
        <w:rPr>
          <w:rFonts w:ascii="Palatino Linotype" w:hAnsi="Palatino Linotype" w:cs="Arial"/>
          <w:i/>
        </w:rPr>
        <w:t xml:space="preserve">OF. DE REMISIÓN RR01262.- </w:t>
      </w:r>
      <w:r w:rsidR="00887478" w:rsidRPr="00887478">
        <w:rPr>
          <w:rFonts w:ascii="Palatino Linotype" w:hAnsi="Palatino Linotype" w:cs="Arial"/>
          <w:i/>
        </w:rPr>
        <w:t>xxxxxx xxxxx xxxxxxx</w:t>
      </w:r>
      <w:r>
        <w:rPr>
          <w:rFonts w:ascii="Palatino Linotype" w:hAnsi="Palatino Linotype" w:cs="Arial"/>
          <w:i/>
        </w:rPr>
        <w:t>. SOL. 99.pdf</w:t>
      </w:r>
      <w:r>
        <w:rPr>
          <w:rFonts w:ascii="Palatino Linotype" w:hAnsi="Palatino Linotype" w:cs="Arial"/>
        </w:rPr>
        <w:t>, mismos que no fueron puestos a disposición del particular por no actualizar lo dispuesto por la fracci</w:t>
      </w:r>
      <w:r>
        <w:rPr>
          <w:rFonts w:ascii="Palatino Linotype" w:hAnsi="Palatino Linotype" w:cs="Arial"/>
        </w:rPr>
        <w:t>ón III del artículo 185 de la Ley de Transparencia y Acceso a la Información Pública del Estado de México y Municipios; por lo que, a fin de que el ciudadano cuente con todas y cada una de las constancias que integran el expediente electrónico de la recurs</w:t>
      </w:r>
      <w:r>
        <w:rPr>
          <w:rFonts w:ascii="Palatino Linotype" w:hAnsi="Palatino Linotype" w:cs="Arial"/>
        </w:rPr>
        <w:t>o de revisión, dichos documentos se harán del conocimiento al momento de la notificación de la presente:</w:t>
      </w:r>
    </w:p>
    <w:p w:rsidR="0041523E" w:rsidRDefault="0041523E">
      <w:pPr>
        <w:pStyle w:val="Prrafodelista"/>
        <w:spacing w:line="360" w:lineRule="auto"/>
        <w:ind w:left="0"/>
        <w:jc w:val="both"/>
        <w:rPr>
          <w:rFonts w:ascii="Palatino Linotype" w:hAnsi="Palatino Linotype" w:cs="Arial"/>
        </w:rPr>
      </w:pPr>
    </w:p>
    <w:p w:rsidR="0041523E" w:rsidRDefault="00887478">
      <w:pPr>
        <w:rPr>
          <w:rFonts w:ascii="Palatino Linotype" w:hAnsi="Palatino Linotype" w:cs="Arial"/>
        </w:rPr>
      </w:pPr>
      <w:r>
        <w:rPr>
          <w:noProof/>
          <w:lang w:eastAsia="es-MX"/>
        </w:rPr>
        <w:drawing>
          <wp:inline distT="0" distB="0" distL="0" distR="0" wp14:anchorId="7CD845FF" wp14:editId="10A2E1C2">
            <wp:extent cx="5791835" cy="20212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21205"/>
                    </a:xfrm>
                    <a:prstGeom prst="rect">
                      <a:avLst/>
                    </a:prstGeom>
                  </pic:spPr>
                </pic:pic>
              </a:graphicData>
            </a:graphic>
          </wp:inline>
        </w:drawing>
      </w:r>
    </w:p>
    <w:p w:rsidR="0041523E" w:rsidRDefault="0041523E">
      <w:pPr>
        <w:rPr>
          <w:rFonts w:ascii="Palatino Linotype" w:hAnsi="Palatino Linotype" w:cs="Arial"/>
        </w:rPr>
      </w:pPr>
    </w:p>
    <w:p w:rsidR="0041523E" w:rsidRDefault="001C34A3" w:rsidP="00887478">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 xml:space="preserve">Transcurrido el plazo señalado en el párrafo anterior y, una vez analizado el estado procesal que guardaba el expediente, en fecha doce de agosto, </w:t>
      </w:r>
      <w:r>
        <w:rPr>
          <w:rFonts w:ascii="Palatino Linotype" w:hAnsi="Palatino Linotype" w:cs="Arial"/>
        </w:rPr>
        <w:t>la Comisionada Ponente acordó el cierre de instrucción, así como la remisión del mismo a efecto de ser resuelto, de conformidad con lo establecido en el artículo 1</w:t>
      </w:r>
      <w:bookmarkStart w:id="0" w:name="_GoBack"/>
      <w:bookmarkEnd w:id="0"/>
      <w:r>
        <w:rPr>
          <w:rFonts w:ascii="Palatino Linotype" w:hAnsi="Palatino Linotype" w:cs="Arial"/>
        </w:rPr>
        <w:t>85 fracciones VI y VIII de la Ley de Transparencia y Acceso a la Información Pública del Esta</w:t>
      </w:r>
      <w:r>
        <w:rPr>
          <w:rFonts w:ascii="Palatino Linotype" w:hAnsi="Palatino Linotype" w:cs="Arial"/>
        </w:rPr>
        <w:t>do de México y Municipios.</w:t>
      </w:r>
    </w:p>
    <w:p w:rsidR="0041523E" w:rsidRDefault="0041523E">
      <w:pPr>
        <w:pStyle w:val="Prrafodelista"/>
        <w:spacing w:line="360" w:lineRule="auto"/>
        <w:ind w:left="0"/>
        <w:jc w:val="both"/>
        <w:rPr>
          <w:rFonts w:ascii="Palatino Linotype" w:hAnsi="Palatino Linotype"/>
        </w:rPr>
      </w:pPr>
    </w:p>
    <w:p w:rsidR="0041523E" w:rsidRDefault="001C34A3">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41523E" w:rsidRDefault="0041523E">
      <w:pPr>
        <w:spacing w:line="360" w:lineRule="auto"/>
        <w:jc w:val="center"/>
        <w:rPr>
          <w:rFonts w:ascii="Palatino Linotype" w:hAnsi="Palatino Linotype"/>
          <w:b/>
          <w:bCs/>
          <w:spacing w:val="60"/>
        </w:rPr>
      </w:pPr>
    </w:p>
    <w:p w:rsidR="0041523E" w:rsidRDefault="001C34A3">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w:t>
      </w:r>
      <w:r>
        <w:rPr>
          <w:rFonts w:ascii="Palatino Linotype" w:hAnsi="Palatino Linotype"/>
        </w:rPr>
        <w:t>a lo dispuesto en los artículos 6, Apartado A de la Constitución Política de los Estados Unidos Mexicanos; 5, vigésimo segundo, vigésimo tercero y vigésimo cuarto, fracciones IV y V de la Constitución Política del Estado Libre y Soberano de México; 2, frac</w:t>
      </w:r>
      <w:r>
        <w:rPr>
          <w:rFonts w:ascii="Palatino Linotype" w:hAnsi="Palatino Linotype"/>
        </w:rPr>
        <w:t>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w:t>
      </w:r>
      <w:r>
        <w:rPr>
          <w:rFonts w:ascii="Palatino Linotype" w:hAnsi="Palatino Linotype" w:cs="Arial"/>
        </w:rPr>
        <w:t>rencia, Acceso a la Información Pública y Protección de Datos Personales del Estado de México y Municipios.</w:t>
      </w:r>
    </w:p>
    <w:p w:rsidR="0041523E" w:rsidRDefault="0041523E">
      <w:pPr>
        <w:pStyle w:val="Prrafodelista"/>
        <w:widowControl w:val="0"/>
        <w:spacing w:line="360" w:lineRule="auto"/>
        <w:ind w:left="0"/>
        <w:jc w:val="both"/>
        <w:rPr>
          <w:rFonts w:ascii="Palatino Linotype" w:hAnsi="Palatino Linotype" w:cs="Arial"/>
        </w:rPr>
      </w:pPr>
    </w:p>
    <w:p w:rsidR="0041523E" w:rsidRDefault="001C34A3">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rPr>
        <w:t>, quien es la misma persona qu</w:t>
      </w:r>
      <w:r>
        <w:rPr>
          <w:rFonts w:ascii="Palatino Linotype" w:hAnsi="Palatino Linotype" w:cs="Arial"/>
        </w:rPr>
        <w:t xml:space="preserve">e formuló la solicitud de información pública número </w:t>
      </w:r>
      <w:r>
        <w:rPr>
          <w:rFonts w:ascii="Palatino Linotype" w:hAnsi="Palatino Linotype" w:cs="Arial"/>
          <w:b/>
          <w:bCs/>
        </w:rPr>
        <w:t xml:space="preserve">00099/FGJ/IP/2020 </w:t>
      </w:r>
      <w:r>
        <w:rPr>
          <w:rFonts w:ascii="Palatino Linotype" w:hAnsi="Palatino Linotype" w:cs="Arial"/>
        </w:rPr>
        <w:t>al</w:t>
      </w:r>
      <w:r>
        <w:rPr>
          <w:rFonts w:ascii="Palatino Linotype" w:hAnsi="Palatino Linotype" w:cs="Arial"/>
          <w:b/>
        </w:rPr>
        <w:t xml:space="preserve"> SUJETO OBLIGADO</w:t>
      </w:r>
      <w:r>
        <w:rPr>
          <w:rFonts w:ascii="Palatino Linotype" w:hAnsi="Palatino Linotype" w:cs="Arial"/>
        </w:rPr>
        <w:t>.</w:t>
      </w:r>
    </w:p>
    <w:p w:rsidR="0041523E" w:rsidRDefault="0041523E">
      <w:pPr>
        <w:pStyle w:val="Prrafodelista"/>
        <w:widowControl w:val="0"/>
        <w:spacing w:line="360" w:lineRule="auto"/>
        <w:ind w:left="0"/>
        <w:jc w:val="both"/>
        <w:rPr>
          <w:rFonts w:ascii="Palatino Linotype" w:hAnsi="Palatino Linotype" w:cs="Arial"/>
        </w:rPr>
      </w:pPr>
    </w:p>
    <w:p w:rsidR="0041523E" w:rsidRDefault="001C34A3">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w:t>
      </w:r>
      <w:r>
        <w:rPr>
          <w:rFonts w:ascii="Palatino Linotype" w:hAnsi="Palatino Linotype" w:cs="Arial"/>
        </w:rPr>
        <w:t>nocimiento de la respuesta impugnada, tal y como lo prevé el artículo 178 de la Ley de Transparencia y Acceso a la Información Pública del Estado de México y Municipios, que establece:</w:t>
      </w:r>
    </w:p>
    <w:p w:rsidR="0041523E" w:rsidRDefault="0041523E">
      <w:pPr>
        <w:pStyle w:val="Prrafodelista"/>
        <w:widowControl w:val="0"/>
        <w:spacing w:line="360" w:lineRule="auto"/>
        <w:ind w:left="0"/>
        <w:jc w:val="both"/>
        <w:rPr>
          <w:rFonts w:ascii="Palatino Linotype" w:hAnsi="Palatino Linotype" w:cs="Arial"/>
        </w:rPr>
      </w:pPr>
    </w:p>
    <w:p w:rsidR="0041523E" w:rsidRDefault="001C34A3">
      <w:pPr>
        <w:ind w:left="709" w:right="757"/>
        <w:jc w:val="both"/>
        <w:rPr>
          <w:rFonts w:ascii="Palatino Linotype" w:hAnsi="Palatino Linotype" w:cs="Arial"/>
          <w:i/>
          <w:sz w:val="22"/>
        </w:rPr>
      </w:pPr>
      <w:r>
        <w:rPr>
          <w:rFonts w:ascii="Palatino Linotype" w:hAnsi="Palatino Linotype" w:cs="Arial"/>
          <w:i/>
          <w:sz w:val="22"/>
        </w:rPr>
        <w:lastRenderedPageBreak/>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w:t>
      </w:r>
      <w:r>
        <w:rPr>
          <w:rFonts w:ascii="Palatino Linotype" w:hAnsi="Palatino Linotype" w:cs="Arial"/>
          <w:i/>
          <w:sz w:val="22"/>
        </w:rPr>
        <w:t xml:space="preserve">s de su representante, de manera directa o por medios electrónicos, recurso de revisión ante el Instituto o ante la Unidad de Transparencia que haya conocido de la solicitud dentro de los quince días hábiles, siguientes a la fecha de la notificación de la </w:t>
      </w:r>
      <w:r>
        <w:rPr>
          <w:rFonts w:ascii="Palatino Linotype" w:hAnsi="Palatino Linotype" w:cs="Arial"/>
          <w:i/>
          <w:sz w:val="22"/>
        </w:rPr>
        <w:t>respuesta.</w:t>
      </w:r>
    </w:p>
    <w:p w:rsidR="0041523E" w:rsidRDefault="0041523E">
      <w:pPr>
        <w:ind w:left="709" w:right="757"/>
        <w:jc w:val="both"/>
        <w:rPr>
          <w:rFonts w:ascii="Palatino Linotype" w:hAnsi="Palatino Linotype" w:cs="Arial"/>
          <w:i/>
          <w:sz w:val="22"/>
        </w:rPr>
      </w:pPr>
    </w:p>
    <w:p w:rsidR="0041523E" w:rsidRDefault="001C34A3">
      <w:pPr>
        <w:ind w:left="709" w:right="757"/>
        <w:jc w:val="both"/>
        <w:rPr>
          <w:rFonts w:ascii="Palatino Linotype" w:hAnsi="Palatino Linotype" w:cs="Arial"/>
          <w:i/>
          <w:sz w:val="22"/>
        </w:rPr>
      </w:pPr>
      <w:r>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cualquier momento, acompañado con el documento que pruebe la fecha </w:t>
      </w:r>
      <w:r>
        <w:rPr>
          <w:rFonts w:ascii="Palatino Linotype" w:hAnsi="Palatino Linotype" w:cs="Arial"/>
          <w:i/>
          <w:sz w:val="22"/>
        </w:rPr>
        <w:t>en que presentó la solicitud.</w:t>
      </w:r>
    </w:p>
    <w:p w:rsidR="0041523E" w:rsidRDefault="0041523E">
      <w:pPr>
        <w:ind w:left="709" w:right="757"/>
        <w:jc w:val="both"/>
        <w:rPr>
          <w:rFonts w:ascii="Palatino Linotype" w:hAnsi="Palatino Linotype" w:cs="Arial"/>
          <w:i/>
          <w:sz w:val="22"/>
        </w:rPr>
      </w:pPr>
    </w:p>
    <w:p w:rsidR="0041523E" w:rsidRDefault="001C34A3">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41523E" w:rsidRDefault="0041523E">
      <w:pPr>
        <w:spacing w:line="360" w:lineRule="auto"/>
        <w:jc w:val="both"/>
        <w:rPr>
          <w:rFonts w:ascii="Palatino Linotype" w:hAnsi="Palatino Linotype" w:cs="Arial"/>
        </w:rPr>
      </w:pPr>
    </w:p>
    <w:p w:rsidR="0041523E" w:rsidRDefault="001C34A3">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w:t>
      </w:r>
      <w:r>
        <w:rPr>
          <w:rFonts w:ascii="Palatino Linotype" w:hAnsi="Palatino Linotype" w:cs="Arial"/>
          <w:b/>
        </w:rPr>
        <w:t>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veintiséis de febrero de dos mil veinte</w:t>
      </w:r>
      <w:r>
        <w:rPr>
          <w:rFonts w:ascii="Palatino Linotype" w:hAnsi="Palatino Linotype" w:cs="Arial"/>
        </w:rPr>
        <w:t xml:space="preserve">; el plazo de quince días hábiles que el artículo 178 de la Ley de la materia otorga al </w:t>
      </w:r>
      <w:r>
        <w:rPr>
          <w:rFonts w:ascii="Palatino Linotype" w:hAnsi="Palatino Linotype" w:cs="Arial"/>
          <w:b/>
        </w:rPr>
        <w:t>RECURRENTE</w:t>
      </w:r>
      <w:r>
        <w:rPr>
          <w:rFonts w:ascii="Palatino Linotype" w:hAnsi="Palatino Linotype" w:cs="Arial"/>
        </w:rPr>
        <w:t xml:space="preserve"> para presentar el recurso de revisión, transcurri</w:t>
      </w:r>
      <w:r>
        <w:rPr>
          <w:rFonts w:ascii="Palatino Linotype" w:hAnsi="Palatino Linotype" w:cs="Arial"/>
        </w:rPr>
        <w:t xml:space="preserve">ó del </w:t>
      </w:r>
      <w:r>
        <w:rPr>
          <w:rFonts w:ascii="Palatino Linotype" w:hAnsi="Palatino Linotype" w:cs="Arial"/>
          <w:b/>
        </w:rPr>
        <w:t>veintisiete de febrero al tres de agosto de dos mil veinte</w:t>
      </w:r>
      <w:r>
        <w:rPr>
          <w:rFonts w:ascii="Palatino Linotype" w:hAnsi="Palatino Linotype" w:cs="Arial"/>
        </w:rPr>
        <w:t>, sin contemplar en el cómputo los días veintinueve de febrero, uno, siete, ocho, catorce, quince, veintiuno y veintidós de marzo; dieciocho, diecinueve, veinticinco y veintiséis de julio; así</w:t>
      </w:r>
      <w:r>
        <w:rPr>
          <w:rFonts w:ascii="Palatino Linotype" w:hAnsi="Palatino Linotype" w:cs="Arial"/>
        </w:rPr>
        <w:t xml:space="preserve"> como, uno y dos de agosto de dos mil veinte, por corresponder a sábados y domingos, considerados como días inhábiles, en términos del artículo 3, fracción X de la Ley de Transparencia y Acceso a la Información Pública del Estado de México y Municipios; as</w:t>
      </w:r>
      <w:r>
        <w:rPr>
          <w:rFonts w:ascii="Palatino Linotype" w:hAnsi="Palatino Linotype" w:cs="Arial"/>
        </w:rPr>
        <w:t>í como, el dieciséis de marzo de dos mil veinte por ser considerados como día inhábil por suspensión de labores, y los días veinte, veintiuno, veintidós, veintitrés, veinticuatro, veintisiete, veintiocho, veintinueve, treinta y treinta y uno de julio por c</w:t>
      </w:r>
      <w:r>
        <w:rPr>
          <w:rFonts w:ascii="Palatino Linotype" w:hAnsi="Palatino Linotype" w:cs="Arial"/>
        </w:rPr>
        <w:t xml:space="preserve">orresponder al primer periodo vacacional en términos del Calendario Oficial en Materia de Transparencia, Acceso a la Información Pública y Protección de Datos Personales del </w:t>
      </w:r>
      <w:r>
        <w:rPr>
          <w:rFonts w:ascii="Palatino Linotype" w:hAnsi="Palatino Linotype" w:cs="Arial"/>
        </w:rPr>
        <w:lastRenderedPageBreak/>
        <w:t>Estado de México y Municipios, publicado en el Periódico Oficial “Gaceta del Gobie</w:t>
      </w:r>
      <w:r>
        <w:rPr>
          <w:rFonts w:ascii="Palatino Linotype" w:hAnsi="Palatino Linotype" w:cs="Arial"/>
        </w:rPr>
        <w:t>rno”, el diecinueve de diciembre de dos mil diecinueve; asimismo, el día nueve de marzo de dos mil veinte, conforme al acuerdo INFOEM/ORD/08/V/2020, aprobado en la Octava Sesión Ordinaria de fecha cinco de marzo de dos mil veinte, por medio del cual el Ple</w:t>
      </w:r>
      <w:r>
        <w:rPr>
          <w:rFonts w:ascii="Palatino Linotype" w:hAnsi="Palatino Linotype" w:cs="Arial"/>
        </w:rPr>
        <w:t>no de este Instituto estableció que no correrían términos para el trámite y desahogo de los procedimientos en materia de acceso a la información y protección de datos personales; y, del veintitrés de marzo al diecisiete de julio de dos mil veinte; por susp</w:t>
      </w:r>
      <w:r>
        <w:rPr>
          <w:rFonts w:ascii="Palatino Linotype" w:hAnsi="Palatino Linotype" w:cs="Arial"/>
        </w:rPr>
        <w:t>ensión de plazos, ante la situación de la epidemia de la enfermedad generada por el virus SARS-CoV-2 (COVID-19), que originó la emergencia sanitaria por causa de fuerza mayor y medidas de seguridad.</w:t>
      </w:r>
    </w:p>
    <w:p w:rsidR="0041523E" w:rsidRDefault="001C34A3">
      <w:pPr>
        <w:spacing w:line="360" w:lineRule="auto"/>
        <w:ind w:right="709"/>
        <w:jc w:val="both"/>
        <w:rPr>
          <w:rFonts w:ascii="Palatino Linotype" w:hAnsi="Palatino Linotype" w:cs="Arial"/>
        </w:rPr>
      </w:pPr>
      <w:r>
        <w:rPr>
          <w:rFonts w:ascii="Palatino Linotype" w:hAnsi="Palatino Linotype" w:cs="Arial"/>
        </w:rPr>
        <w:t>En ese tenor, si el recurso de revisión que nos ocupa, se</w:t>
      </w:r>
      <w:r>
        <w:rPr>
          <w:rFonts w:ascii="Palatino Linotype" w:hAnsi="Palatino Linotype" w:cs="Arial"/>
        </w:rPr>
        <w:t xml:space="preserve"> interpuso el</w:t>
      </w:r>
      <w:r>
        <w:rPr>
          <w:rFonts w:ascii="Palatino Linotype" w:hAnsi="Palatino Linotype" w:cs="Arial"/>
          <w:b/>
        </w:rPr>
        <w:t xml:space="preserve"> </w:t>
      </w:r>
      <w:r>
        <w:rPr>
          <w:rFonts w:ascii="Palatino Linotype" w:hAnsi="Palatino Linotype" w:cs="Arial"/>
          <w:b/>
          <w:u w:val="single"/>
        </w:rPr>
        <w:t>veintisiete de febrero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41523E" w:rsidRDefault="0041523E">
      <w:pPr>
        <w:spacing w:line="360" w:lineRule="auto"/>
        <w:ind w:right="709"/>
        <w:jc w:val="both"/>
        <w:rPr>
          <w:rFonts w:ascii="Palatino Linotype" w:hAnsi="Palatino Linotype" w:cs="Arial"/>
          <w:i/>
        </w:rPr>
      </w:pPr>
    </w:p>
    <w:p w:rsidR="0041523E" w:rsidRDefault="001C34A3">
      <w:pPr>
        <w:pStyle w:val="Prrafodelista"/>
        <w:widowControl w:val="0"/>
        <w:numPr>
          <w:ilvl w:val="0"/>
          <w:numId w:val="8"/>
        </w:numPr>
        <w:tabs>
          <w:tab w:val="left" w:pos="1701"/>
          <w:tab w:val="left" w:pos="1843"/>
        </w:tabs>
        <w:spacing w:line="360" w:lineRule="auto"/>
        <w:ind w:left="0" w:firstLine="0"/>
        <w:jc w:val="both"/>
        <w:rPr>
          <w:rFonts w:ascii="Palatino Linotype" w:hAnsi="Palatino Linotype"/>
          <w:lang w:eastAsia="es-MX"/>
        </w:rPr>
      </w:pPr>
      <w:r>
        <w:rPr>
          <w:rFonts w:ascii="Palatino Linotype" w:hAnsi="Palatino Linotype"/>
          <w:lang w:eastAsia="es-MX"/>
        </w:rPr>
        <w:t>Del análisis efectuado, se advie</w:t>
      </w:r>
      <w:r>
        <w:rPr>
          <w:rFonts w:ascii="Palatino Linotype" w:hAnsi="Palatino Linotype"/>
          <w:lang w:eastAsia="es-MX"/>
        </w:rPr>
        <w:t>rte que resulta procedente la interposición del recurso y se concluye la acreditación plena de todos y cada uno de los elementos formales exigidos por el artículo 180 de la Ley de Transparencia y Acceso a la Información Pública del Estado de México y Munic</w:t>
      </w:r>
      <w:r>
        <w:rPr>
          <w:rFonts w:ascii="Palatino Linotype" w:hAnsi="Palatino Linotype"/>
          <w:lang w:eastAsia="es-MX"/>
        </w:rPr>
        <w:t>ipios, en atención a que fue presentado mediante el formato visible en </w:t>
      </w:r>
      <w:r>
        <w:rPr>
          <w:rFonts w:ascii="Palatino Linotype" w:hAnsi="Palatino Linotype"/>
          <w:b/>
          <w:lang w:eastAsia="es-MX"/>
        </w:rPr>
        <w:t>EL SAIMEX</w:t>
      </w:r>
      <w:r>
        <w:rPr>
          <w:rFonts w:ascii="Palatino Linotype" w:hAnsi="Palatino Linotype"/>
          <w:lang w:eastAsia="es-MX"/>
        </w:rPr>
        <w:t>.</w:t>
      </w:r>
    </w:p>
    <w:p w:rsidR="0041523E" w:rsidRDefault="0041523E">
      <w:pPr>
        <w:pStyle w:val="Prrafodelista"/>
        <w:spacing w:line="360" w:lineRule="auto"/>
        <w:ind w:left="0"/>
        <w:jc w:val="both"/>
        <w:rPr>
          <w:rFonts w:ascii="Palatino Linotype" w:hAnsi="Palatino Linotype"/>
        </w:rPr>
      </w:pPr>
    </w:p>
    <w:p w:rsidR="0041523E" w:rsidRDefault="001C34A3">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eastAsia="Arial Unicode MS" w:hAnsi="Palatino Linotype" w:cs="Arial"/>
        </w:rPr>
        <w:lastRenderedPageBreak/>
        <w:t>se advierte que es procedente, toda vez que se actualiza la hipótesis prevista en la fracción I, del artículo 179 de la Ley de la materia, que a la letra dice:</w:t>
      </w:r>
    </w:p>
    <w:p w:rsidR="0041523E" w:rsidRDefault="0041523E">
      <w:pPr>
        <w:pStyle w:val="Prrafodelista"/>
        <w:widowControl w:val="0"/>
        <w:ind w:left="0"/>
        <w:jc w:val="both"/>
        <w:rPr>
          <w:rFonts w:ascii="Palatino Linotype" w:eastAsia="Arial Unicode MS" w:hAnsi="Palatino Linotype" w:cs="Arial"/>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41523E" w:rsidRDefault="0041523E">
      <w:pPr>
        <w:widowControl w:val="0"/>
        <w:ind w:left="709" w:right="757"/>
        <w:jc w:val="both"/>
        <w:rPr>
          <w:rFonts w:ascii="Palatino Linotype" w:eastAsia="Arial Unicode MS" w:hAnsi="Palatino Linotype" w:cs="Arial"/>
          <w:i/>
          <w:sz w:val="22"/>
        </w:rPr>
      </w:pPr>
    </w:p>
    <w:p w:rsidR="0041523E" w:rsidRDefault="001C34A3">
      <w:pPr>
        <w:widowControl w:val="0"/>
        <w:spacing w:line="360" w:lineRule="auto"/>
        <w:ind w:left="709" w:right="757"/>
        <w:jc w:val="both"/>
        <w:rPr>
          <w:rFonts w:ascii="Palatino Linotype" w:eastAsia="Arial Unicode MS" w:hAnsi="Palatino Linotype" w:cs="Arial"/>
          <w:b/>
          <w:bCs/>
          <w:i/>
          <w:sz w:val="22"/>
          <w:u w:val="single"/>
        </w:rPr>
      </w:pPr>
      <w:r>
        <w:rPr>
          <w:rFonts w:ascii="Palatino Linotype" w:eastAsia="Arial Unicode MS" w:hAnsi="Palatino Linotype" w:cs="Arial"/>
          <w:b/>
          <w:bCs/>
          <w:i/>
          <w:sz w:val="22"/>
          <w:u w:val="single"/>
        </w:rPr>
        <w:t>I. La negativa a la información solicitada;;</w:t>
      </w:r>
    </w:p>
    <w:p w:rsidR="0041523E" w:rsidRDefault="0041523E">
      <w:pPr>
        <w:widowControl w:val="0"/>
        <w:spacing w:line="360" w:lineRule="auto"/>
        <w:ind w:right="757"/>
        <w:jc w:val="both"/>
        <w:rPr>
          <w:rFonts w:ascii="Palatino Linotype" w:eastAsia="Arial Unicode MS" w:hAnsi="Palatino Linotype" w:cs="Arial"/>
          <w:b/>
          <w:i/>
          <w:sz w:val="22"/>
          <w:u w:val="single"/>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la respuesta del </w:t>
      </w:r>
      <w:r>
        <w:rPr>
          <w:rFonts w:ascii="Palatino Linotype" w:eastAsia="Arial Unicode MS" w:hAnsi="Palatino Linotype" w:cs="Arial"/>
          <w:b/>
        </w:rPr>
        <w:t xml:space="preserve">SUJETO OBLIGADO </w:t>
      </w:r>
      <w:r>
        <w:rPr>
          <w:rFonts w:ascii="Palatino Linotype" w:eastAsia="Arial Unicode MS" w:hAnsi="Palatino Linotype" w:cs="Arial"/>
        </w:rPr>
        <w:t xml:space="preserve">no satisface el requerimiento del particular, y por ende no colma el derecho de acceso a la información pública del </w:t>
      </w:r>
      <w:r>
        <w:rPr>
          <w:rFonts w:ascii="Palatino Linotype" w:eastAsia="Arial Unicode MS" w:hAnsi="Palatino Linotype" w:cs="Arial"/>
          <w:b/>
        </w:rPr>
        <w:t xml:space="preserve"> RECURRENTE</w:t>
      </w:r>
      <w:r>
        <w:rPr>
          <w:rFonts w:ascii="Palatino Linotype" w:eastAsia="Arial Unicode MS" w:hAnsi="Palatino Linotype" w:cs="Arial"/>
          <w:b/>
        </w:rPr>
        <w:t>.</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w:t>
      </w:r>
      <w:r>
        <w:rPr>
          <w:rFonts w:ascii="Palatino Linotype" w:hAnsi="Palatino Linotype" w:cs="Arial"/>
        </w:rPr>
        <w:t xml:space="preserv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Pr>
          <w:rFonts w:ascii="Palatino Linotype" w:hAnsi="Palatino Linotype"/>
        </w:rPr>
        <w:t>la estadística de los delitos que ameritan pena priv</w:t>
      </w:r>
      <w:r>
        <w:rPr>
          <w:rFonts w:ascii="Palatino Linotype" w:hAnsi="Palatino Linotype"/>
        </w:rPr>
        <w:t>ativa de libertad, incluyendo aquellos que se encuentren en juicio y en los que se haya dictado sentencia definitiva.</w:t>
      </w:r>
    </w:p>
    <w:p w:rsidR="0041523E" w:rsidRDefault="0041523E">
      <w:pPr>
        <w:spacing w:line="360" w:lineRule="auto"/>
        <w:jc w:val="both"/>
        <w:rPr>
          <w:rFonts w:ascii="Palatino Linotype" w:hAnsi="Palatino Linotype"/>
          <w:lang w:val="es-ES"/>
        </w:rPr>
      </w:pPr>
    </w:p>
    <w:p w:rsidR="0041523E" w:rsidRDefault="001C34A3">
      <w:pPr>
        <w:spacing w:line="360" w:lineRule="auto"/>
        <w:jc w:val="both"/>
        <w:rPr>
          <w:rFonts w:ascii="Palatino Linotype" w:hAnsi="Palatino Linotype"/>
          <w:lang w:val="es-ES"/>
        </w:rPr>
      </w:pPr>
      <w:r>
        <w:rPr>
          <w:rFonts w:ascii="Palatino Linotype" w:hAnsi="Palatino Linotype"/>
          <w:lang w:val="es-ES"/>
        </w:rPr>
        <w:t xml:space="preserve">Precisado lo anterior, se observa que en su respuesta, </w:t>
      </w:r>
      <w:r>
        <w:rPr>
          <w:rFonts w:ascii="Palatino Linotype" w:hAnsi="Palatino Linotype"/>
          <w:b/>
          <w:lang w:val="es-ES"/>
        </w:rPr>
        <w:t xml:space="preserve">EL SUJETO OBLIGADO </w:t>
      </w:r>
      <w:r>
        <w:rPr>
          <w:rFonts w:ascii="Palatino Linotype" w:hAnsi="Palatino Linotype"/>
          <w:lang w:val="es-ES"/>
        </w:rPr>
        <w:t>negó la información bajo el argumento de que no se encontraba c</w:t>
      </w:r>
      <w:r>
        <w:rPr>
          <w:rFonts w:ascii="Palatino Linotype" w:hAnsi="Palatino Linotype"/>
          <w:lang w:val="es-ES"/>
        </w:rPr>
        <w:t xml:space="preserve">onstreñido a procesar, </w:t>
      </w:r>
      <w:r>
        <w:rPr>
          <w:rFonts w:ascii="Palatino Linotype" w:hAnsi="Palatino Linotype"/>
          <w:lang w:val="es-ES"/>
        </w:rPr>
        <w:lastRenderedPageBreak/>
        <w:t>resumir, efectuar cálculos o practicar investigaciones conforme al interés del solicitante.</w:t>
      </w:r>
    </w:p>
    <w:p w:rsidR="0041523E" w:rsidRDefault="0041523E">
      <w:pPr>
        <w:widowControl w:val="0"/>
        <w:spacing w:line="360" w:lineRule="auto"/>
        <w:jc w:val="both"/>
        <w:rPr>
          <w:rFonts w:ascii="Palatino Linotype" w:hAnsi="Palatino Linotype" w:cs="Arial"/>
          <w:lang w:val="es-ES"/>
        </w:rPr>
      </w:pPr>
    </w:p>
    <w:p w:rsidR="0041523E" w:rsidRDefault="001C34A3">
      <w:pPr>
        <w:widowControl w:val="0"/>
        <w:spacing w:line="360" w:lineRule="auto"/>
        <w:jc w:val="both"/>
        <w:rPr>
          <w:rFonts w:ascii="Palatino Linotype" w:hAnsi="Palatino Linotype"/>
        </w:rPr>
      </w:pPr>
      <w:r>
        <w:rPr>
          <w:rFonts w:ascii="Palatino Linotype" w:hAnsi="Palatino Linotype" w:cs="Arial"/>
          <w:lang w:val="es-ES"/>
        </w:rPr>
        <w:t>Inconforme con dicha respuesta,</w:t>
      </w:r>
      <w:r>
        <w:rPr>
          <w:rFonts w:ascii="Palatino Linotype" w:hAnsi="Palatino Linotype" w:cs="Arial"/>
          <w:b/>
          <w:lang w:val="es-ES"/>
        </w:rPr>
        <w:t xml:space="preserve"> EL RECURRENTE</w:t>
      </w:r>
      <w:r>
        <w:rPr>
          <w:rFonts w:ascii="Palatino Linotype" w:hAnsi="Palatino Linotype" w:cs="Arial"/>
          <w:lang w:val="es-ES"/>
        </w:rPr>
        <w:t xml:space="preserve"> procedió a interponer el presente recurso de revisión, adoleciéndose toralmente </w:t>
      </w:r>
      <w:r>
        <w:rPr>
          <w:rFonts w:ascii="Palatino Linotype" w:hAnsi="Palatino Linotype"/>
        </w:rPr>
        <w:t xml:space="preserve">que no le fue </w:t>
      </w:r>
      <w:r>
        <w:rPr>
          <w:rFonts w:ascii="Palatino Linotype" w:hAnsi="Palatino Linotype"/>
        </w:rPr>
        <w:t>proporcionada la información requerida.</w:t>
      </w:r>
    </w:p>
    <w:p w:rsidR="0041523E" w:rsidRDefault="0041523E">
      <w:pPr>
        <w:widowControl w:val="0"/>
        <w:spacing w:line="360" w:lineRule="auto"/>
        <w:jc w:val="both"/>
        <w:rPr>
          <w:rFonts w:ascii="Palatino Linotype" w:hAnsi="Palatino Linotype"/>
        </w:rPr>
      </w:pPr>
    </w:p>
    <w:p w:rsidR="0041523E" w:rsidRDefault="001C34A3">
      <w:pPr>
        <w:spacing w:line="360" w:lineRule="auto"/>
        <w:jc w:val="both"/>
        <w:rPr>
          <w:rFonts w:ascii="Palatino Linotype" w:hAnsi="Palatino Linotype" w:cs="Arial"/>
          <w:lang w:eastAsia="es-MX"/>
        </w:rPr>
      </w:pPr>
      <w:r>
        <w:rPr>
          <w:rFonts w:ascii="Palatino Linotype" w:hAnsi="Palatino Linotype" w:cs="Arial"/>
          <w:lang w:eastAsia="es-MX"/>
        </w:rPr>
        <w:t xml:space="preserve">Como refuerzo de su respuesta, </w:t>
      </w:r>
      <w:r>
        <w:rPr>
          <w:rFonts w:ascii="Palatino Linotype" w:hAnsi="Palatino Linotype" w:cs="Arial"/>
          <w:b/>
          <w:lang w:eastAsia="es-MX"/>
        </w:rPr>
        <w:t xml:space="preserve">EL SUJETO OBLIGADO </w:t>
      </w:r>
      <w:r>
        <w:rPr>
          <w:rFonts w:ascii="Palatino Linotype" w:hAnsi="Palatino Linotype" w:cs="Arial"/>
          <w:lang w:eastAsia="es-MX"/>
        </w:rPr>
        <w:t xml:space="preserve">a través de su informe Justificado argumentó que dentro de las funciones y atribuciones de la Fiscalía no está la de determinar que delitos ameritan pena privativa </w:t>
      </w:r>
      <w:r>
        <w:rPr>
          <w:rFonts w:ascii="Palatino Linotype" w:hAnsi="Palatino Linotype" w:cs="Arial"/>
          <w:lang w:eastAsia="es-MX"/>
        </w:rPr>
        <w:t>de libertad ya que quien determina a quienes van hacer acreedores de la pena privativa de la libertad por la comisión de un delito, son los Órganos Jurisdiccionales, después de haber analizado la secuela procesal y aun si se determina una condena, dicha si</w:t>
      </w:r>
      <w:r>
        <w:rPr>
          <w:rFonts w:ascii="Palatino Linotype" w:hAnsi="Palatino Linotype" w:cs="Arial"/>
          <w:lang w:eastAsia="es-MX"/>
        </w:rPr>
        <w:t>tuación es recurrible con los medios de defensa que establezca la Ley aplicable al caso; haciendo énfasis en que la Fiscalía, únicamente coadyuva con las Instituciones de impartición de Justicia, para la investigación de los delitos y la persecución de los</w:t>
      </w:r>
      <w:r>
        <w:rPr>
          <w:rFonts w:ascii="Palatino Linotype" w:hAnsi="Palatino Linotype" w:cs="Arial"/>
          <w:lang w:eastAsia="es-MX"/>
        </w:rPr>
        <w:t xml:space="preserve"> imputados, sin tener la facultad de llevar el proceso de los juicios que se encuentran en trámite sino únicamente los que obtuvieron resolución condenatoria y no exclusivamente la pena privativa.</w:t>
      </w:r>
    </w:p>
    <w:p w:rsidR="0041523E" w:rsidRDefault="0041523E">
      <w:pPr>
        <w:spacing w:line="360" w:lineRule="auto"/>
        <w:jc w:val="both"/>
        <w:rPr>
          <w:rFonts w:ascii="Palatino Linotype" w:hAnsi="Palatino Linotype" w:cs="Arial"/>
          <w:lang w:eastAsia="es-MX"/>
        </w:rPr>
      </w:pPr>
    </w:p>
    <w:p w:rsidR="0041523E" w:rsidRDefault="001C34A3">
      <w:pPr>
        <w:spacing w:line="360" w:lineRule="auto"/>
        <w:jc w:val="both"/>
        <w:rPr>
          <w:rFonts w:ascii="Palatino Linotype" w:hAnsi="Palatino Linotype" w:cs="Arial"/>
          <w:lang w:eastAsia="es-MX"/>
        </w:rPr>
      </w:pPr>
      <w:r>
        <w:rPr>
          <w:rFonts w:ascii="Palatino Linotype" w:hAnsi="Palatino Linotype" w:cs="Arial"/>
          <w:lang w:eastAsia="es-MX"/>
        </w:rPr>
        <w:t xml:space="preserve">Cabe señalar que </w:t>
      </w:r>
      <w:r>
        <w:rPr>
          <w:rFonts w:ascii="Palatino Linotype" w:hAnsi="Palatino Linotype" w:cs="Arial"/>
          <w:b/>
          <w:lang w:eastAsia="es-MX"/>
        </w:rPr>
        <w:t xml:space="preserve">EL SUJETO OBLIGADO </w:t>
      </w:r>
      <w:r>
        <w:rPr>
          <w:rFonts w:ascii="Palatino Linotype" w:hAnsi="Palatino Linotype" w:cs="Arial"/>
          <w:lang w:eastAsia="es-MX"/>
        </w:rPr>
        <w:t>proporcionó una liga e</w:t>
      </w:r>
      <w:r>
        <w:rPr>
          <w:rFonts w:ascii="Palatino Linotype" w:hAnsi="Palatino Linotype" w:cs="Arial"/>
          <w:lang w:eastAsia="es-MX"/>
        </w:rPr>
        <w:t xml:space="preserve">lectrónica de la que se desprende el Informe de Gestión de la Fiscalía, que si bien no colma el requerimiento del particular, si </w:t>
      </w:r>
      <w:r>
        <w:rPr>
          <w:rFonts w:ascii="Palatino Linotype" w:hAnsi="Palatino Linotype" w:cs="Arial"/>
          <w:b/>
          <w:lang w:eastAsia="es-MX"/>
        </w:rPr>
        <w:t>se advierte una estadística de las resoluciones condenatorias</w:t>
      </w:r>
      <w:r>
        <w:rPr>
          <w:rFonts w:ascii="Palatino Linotype" w:hAnsi="Palatino Linotype" w:cs="Arial"/>
          <w:lang w:eastAsia="es-MX"/>
        </w:rPr>
        <w:t xml:space="preserve"> con el que se puede presumir que cuenta con la información preten</w:t>
      </w:r>
      <w:r>
        <w:rPr>
          <w:rFonts w:ascii="Palatino Linotype" w:hAnsi="Palatino Linotype" w:cs="Arial"/>
          <w:lang w:eastAsia="es-MX"/>
        </w:rPr>
        <w:t>dida por el particular.</w:t>
      </w:r>
    </w:p>
    <w:p w:rsidR="0041523E" w:rsidRDefault="0041523E">
      <w:pPr>
        <w:spacing w:line="360" w:lineRule="auto"/>
        <w:jc w:val="both"/>
        <w:rPr>
          <w:rFonts w:ascii="Palatino Linotype" w:hAnsi="Palatino Linotype" w:cs="Arial"/>
          <w:lang w:eastAsia="es-MX"/>
        </w:rPr>
      </w:pPr>
    </w:p>
    <w:p w:rsidR="0041523E" w:rsidRDefault="001C34A3">
      <w:pPr>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En ese contexto, esta Ponencia considera conveniente entrar al estudio de los rubros que integran la solicitud de mérito del hoy </w:t>
      </w:r>
      <w:r>
        <w:rPr>
          <w:rFonts w:ascii="Palatino Linotype" w:hAnsi="Palatino Linotype" w:cs="Arial"/>
          <w:b/>
          <w:lang w:eastAsia="es-MX"/>
        </w:rPr>
        <w:t>RECURRENTE</w:t>
      </w:r>
      <w:r>
        <w:rPr>
          <w:rFonts w:ascii="Palatino Linotype" w:hAnsi="Palatino Linotype" w:cs="Arial"/>
          <w:lang w:eastAsia="es-MX"/>
        </w:rPr>
        <w:t xml:space="preserve">, a fin de verificar si la respuesta del </w:t>
      </w:r>
      <w:r>
        <w:rPr>
          <w:rFonts w:ascii="Palatino Linotype" w:hAnsi="Palatino Linotype" w:cs="Arial"/>
          <w:b/>
          <w:lang w:eastAsia="es-MX"/>
        </w:rPr>
        <w:t>SUJETO OBLIGADO</w:t>
      </w:r>
      <w:r>
        <w:rPr>
          <w:rFonts w:ascii="Palatino Linotype" w:hAnsi="Palatino Linotype" w:cs="Arial"/>
          <w:lang w:eastAsia="es-MX"/>
        </w:rPr>
        <w:t xml:space="preserve"> satisfizo el derecho de acceso a la</w:t>
      </w:r>
      <w:r>
        <w:rPr>
          <w:rFonts w:ascii="Palatino Linotype" w:hAnsi="Palatino Linotype" w:cs="Arial"/>
          <w:lang w:eastAsia="es-MX"/>
        </w:rPr>
        <w:t xml:space="preserve"> información pública del particular.</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cabe precisar que se obvia el análisis de la competencia por parte del </w:t>
      </w:r>
      <w:r>
        <w:rPr>
          <w:rFonts w:ascii="Palatino Linotype" w:eastAsia="Arial Unicode MS" w:hAnsi="Palatino Linotype" w:cs="Arial"/>
          <w:b/>
        </w:rPr>
        <w:t>SUJETO OBLIGADO,</w:t>
      </w:r>
      <w:r>
        <w:rPr>
          <w:rFonts w:ascii="Palatino Linotype" w:eastAsia="Arial Unicode MS" w:hAnsi="Palatino Linotype" w:cs="Arial"/>
        </w:rPr>
        <w:t xml:space="preserve"> para generar, administrar o poseer la información solicitada, dado que éste ha asumido la misma, en razón de lo manifestado en su informe justificado, así como la información proporcionada a través de la liga electrónica señalada, pues se advierte que es </w:t>
      </w:r>
      <w:r>
        <w:rPr>
          <w:rFonts w:ascii="Palatino Linotype" w:eastAsia="Arial Unicode MS" w:hAnsi="Palatino Linotype" w:cs="Arial"/>
        </w:rPr>
        <w:t>coincidente con la solicitada por el particular.</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Toda la información generada, obteni</w:t>
      </w:r>
      <w:r>
        <w:rPr>
          <w:rFonts w:ascii="Palatino Linotype" w:eastAsia="Arial Unicode MS" w:hAnsi="Palatino Linotype" w:cs="Arial"/>
          <w:i/>
          <w:sz w:val="22"/>
        </w:rPr>
        <w:t>da, adquirida, transformada, administrada o en posesión de los sujetos obligados es pública y accesible de manera permanente a cualquier persona, en los términos y condiciones que se establezcan en los tratados internacionales de los que el Estado mexicano</w:t>
      </w:r>
      <w:r>
        <w:rPr>
          <w:rFonts w:ascii="Palatino Linotype" w:eastAsia="Arial Unicode MS" w:hAnsi="Palatino Linotype" w:cs="Arial"/>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w:t>
      </w:r>
      <w:r>
        <w:rPr>
          <w:rFonts w:ascii="Palatino Linotype" w:eastAsia="Arial Unicode MS" w:hAnsi="Palatino Linotype" w:cs="Arial"/>
          <w:i/>
          <w:sz w:val="22"/>
        </w:rPr>
        <w:t>en los términos de las causas legítimas y estrictamente necesarias previstas por esta Ley...”</w:t>
      </w:r>
    </w:p>
    <w:p w:rsidR="0041523E" w:rsidRDefault="0041523E">
      <w:pPr>
        <w:widowControl w:val="0"/>
        <w:spacing w:line="360" w:lineRule="auto"/>
        <w:ind w:left="709" w:right="757"/>
        <w:jc w:val="both"/>
        <w:rPr>
          <w:rFonts w:ascii="Palatino Linotype" w:eastAsia="Arial Unicode MS" w:hAnsi="Palatino Linotype" w:cs="Arial"/>
          <w:i/>
          <w:sz w:val="22"/>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De lo anterior, se desprende, que la información generada, obtenida, adquirida, transmitida, administrada o en posesión de los Sujetos Obligados, será accesible </w:t>
      </w:r>
      <w:r>
        <w:rPr>
          <w:rFonts w:ascii="Palatino Linotype" w:eastAsia="Arial Unicode MS" w:hAnsi="Palatino Linotype" w:cs="Arial"/>
        </w:rPr>
        <w:t xml:space="preserve">de manera permanente a cualquier persona, privilegiando el principio de máxima </w:t>
      </w:r>
      <w:r>
        <w:rPr>
          <w:rFonts w:ascii="Palatino Linotype" w:eastAsia="Arial Unicode MS" w:hAnsi="Palatino Linotype" w:cs="Arial"/>
        </w:rPr>
        <w:lastRenderedPageBreak/>
        <w:t>publicidad de la información.</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Lo anterior, conforme al artículo 12 de la Ley de la materia que establece que los Sujetos Obligados sólo proporcionarán la información que genere</w:t>
      </w:r>
      <w:r>
        <w:rPr>
          <w:rFonts w:ascii="Palatino Linotype" w:eastAsia="Arial Unicode MS" w:hAnsi="Palatino Linotype" w:cs="Arial"/>
        </w:rPr>
        <w:t xml:space="preserve">n, recopilen, administren, manejen, procesen, archiven o conserven, que se les requiera y que obre en sus archivos y en el estado en el que se encuentre, sin que haya obligación de generarla, resumirla, efectuar cálculos o practicar investigaciones; tal y </w:t>
      </w:r>
      <w:r>
        <w:rPr>
          <w:rFonts w:ascii="Palatino Linotype" w:eastAsia="Arial Unicode MS" w:hAnsi="Palatino Linotype" w:cs="Arial"/>
        </w:rPr>
        <w:t xml:space="preserve">como se señala a continuación: </w:t>
      </w:r>
    </w:p>
    <w:p w:rsidR="0041523E" w:rsidRDefault="0041523E">
      <w:pPr>
        <w:widowControl w:val="0"/>
        <w:ind w:left="709" w:right="757"/>
        <w:jc w:val="both"/>
        <w:rPr>
          <w:rFonts w:ascii="Palatino Linotype" w:eastAsia="Arial Unicode MS" w:hAnsi="Palatino Linotype" w:cs="Arial"/>
          <w:i/>
          <w:sz w:val="22"/>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w:t>
      </w: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w:t>
      </w:r>
      <w:r>
        <w:rPr>
          <w:rFonts w:ascii="Palatino Linotype" w:eastAsia="Arial Unicode MS" w:hAnsi="Palatino Linotype" w:cs="Arial"/>
          <w:i/>
          <w:sz w:val="22"/>
        </w:rPr>
        <w:t>igados sólo proporcionarán la información pública que se les requiera y que obre en sus archivos y en el estado en que ésta se encuentre. La obligación de proporcionar información no comprende el procesamiento de la misma, ni el presentarla conforme al int</w:t>
      </w:r>
      <w:r>
        <w:rPr>
          <w:rFonts w:ascii="Palatino Linotype" w:eastAsia="Arial Unicode MS" w:hAnsi="Palatino Linotype" w:cs="Arial"/>
          <w:i/>
          <w:sz w:val="22"/>
        </w:rPr>
        <w:t>erés del solicitante; no estarán obligados a generarla, resumirla, efectuar cálculos o practicar investigaciones.”</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En síntesis, el derecho de acceso a la información pública se satisface en aquellos casos en que se entregue el soporte documental en que co</w:t>
      </w:r>
      <w:r>
        <w:rPr>
          <w:rFonts w:ascii="Palatino Linotype" w:eastAsia="Arial Unicode MS" w:hAnsi="Palatino Linotype" w:cs="Arial"/>
        </w:rPr>
        <w:t>nste la información pública, toda vez que los Sujetos Obligados no tienen el deber de generar, poseer o administrar la información pública con el grado de detalle que se señala en la solicitud de información pública; esto es, que no tienen el deber de gene</w:t>
      </w:r>
      <w:r>
        <w:rPr>
          <w:rFonts w:ascii="Palatino Linotype" w:eastAsia="Arial Unicode MS" w:hAnsi="Palatino Linotype" w:cs="Arial"/>
        </w:rPr>
        <w:t xml:space="preserve">rar un documento </w:t>
      </w:r>
      <w:r>
        <w:rPr>
          <w:rFonts w:ascii="Palatino Linotype" w:eastAsia="Arial Unicode MS" w:hAnsi="Palatino Linotype" w:cs="Arial"/>
          <w:i/>
        </w:rPr>
        <w:t>ad hoc</w:t>
      </w:r>
      <w:r>
        <w:rPr>
          <w:rFonts w:ascii="Palatino Linotype" w:eastAsia="Arial Unicode MS" w:hAnsi="Palatino Linotype" w:cs="Arial"/>
        </w:rPr>
        <w:t>, para satisfacer el derecho de acceso a la información pública.</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Como apoyo a lo anterior, es aplicable el Criterio 03-17, emitido por el Pleno del Instituto Nacional de Transparencia, Acceso a la Información y Protección de Datos P</w:t>
      </w:r>
      <w:r>
        <w:rPr>
          <w:rFonts w:ascii="Palatino Linotype" w:eastAsia="Arial Unicode MS" w:hAnsi="Palatino Linotype" w:cs="Arial"/>
        </w:rPr>
        <w:t xml:space="preserve">ersonales, que dice: </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de elaborar documentos ad hoc para atender las solicitudes de acceso a la información. </w:t>
      </w:r>
      <w:r>
        <w:rPr>
          <w:rFonts w:ascii="Palatino Linotype" w:eastAsia="Arial Unicode MS" w:hAnsi="Palatino Linotype" w:cs="Arial"/>
          <w:i/>
          <w:sz w:val="22"/>
        </w:rPr>
        <w:t>Los artículos 129 de la Ley General de Transparencia y Acceso a la Información Pública y 130, párrafo cuarto, de la Ley Fede</w:t>
      </w:r>
      <w:r>
        <w:rPr>
          <w:rFonts w:ascii="Palatino Linotype" w:eastAsia="Arial Unicode MS" w:hAnsi="Palatino Linotype" w:cs="Arial"/>
          <w:i/>
          <w:sz w:val="22"/>
        </w:rPr>
        <w:t>ral de Transparencia y Acceso a la Información Pública, señalan que los sujetos obligados deberán otorgar acceso a los documentos que se encuentren en sus archivos o que estén obligados a documentar, de acuerdo con sus facultades, competencias o funciones,</w:t>
      </w:r>
      <w:r>
        <w:rPr>
          <w:rFonts w:ascii="Palatino Linotype" w:eastAsia="Arial Unicode MS" w:hAnsi="Palatino Linotype" w:cs="Arial"/>
          <w:i/>
          <w:sz w:val="22"/>
        </w:rPr>
        <w:t xml:space="preserve"> conforme a las características físicas de la información o del lugar donde se encuentre. Por lo anterior, los sujetos obligados deben garantizar el derecho de acceso a la información del particular, proporcionando la información con la que cuentan en el f</w:t>
      </w:r>
      <w:r>
        <w:rPr>
          <w:rFonts w:ascii="Palatino Linotype" w:eastAsia="Arial Unicode MS" w:hAnsi="Palatino Linotype" w:cs="Arial"/>
          <w:i/>
          <w:sz w:val="22"/>
        </w:rPr>
        <w:t>ormato en que la misma obre en sus archivos; sin necesidad de elaborar documentos ad hoc para atender las solicitudes de información.</w:t>
      </w:r>
    </w:p>
    <w:p w:rsidR="0041523E" w:rsidRDefault="0041523E">
      <w:pPr>
        <w:widowControl w:val="0"/>
        <w:ind w:left="709" w:right="757"/>
        <w:jc w:val="both"/>
        <w:rPr>
          <w:rFonts w:ascii="Palatino Linotype" w:eastAsia="Arial Unicode MS" w:hAnsi="Palatino Linotype" w:cs="Arial"/>
          <w:b/>
          <w:i/>
          <w:sz w:val="22"/>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41523E" w:rsidRDefault="0041523E">
      <w:pPr>
        <w:widowControl w:val="0"/>
        <w:ind w:left="709" w:right="757"/>
        <w:jc w:val="both"/>
        <w:rPr>
          <w:rFonts w:ascii="Palatino Linotype" w:eastAsia="Arial Unicode MS" w:hAnsi="Palatino Linotype" w:cs="Arial"/>
          <w:i/>
          <w:sz w:val="22"/>
        </w:rPr>
      </w:pPr>
    </w:p>
    <w:p w:rsidR="0041523E" w:rsidRDefault="001C34A3">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 xml:space="preserve">RRA 0050/16. Instituto Nacional para la Evaluación de la Educación. 13 julio de 2016. Por unanimidad. </w:t>
      </w:r>
      <w:r>
        <w:rPr>
          <w:rFonts w:ascii="Palatino Linotype" w:eastAsia="Arial Unicode MS" w:hAnsi="Palatino Linotype" w:cs="Arial"/>
          <w:i/>
          <w:sz w:val="22"/>
        </w:rPr>
        <w:t>Comisionado Ponente: Francisco Javier Acuña Llamas.</w:t>
      </w:r>
    </w:p>
    <w:p w:rsidR="0041523E" w:rsidRDefault="001C34A3">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41523E" w:rsidRDefault="001C34A3">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1889/16.</w:t>
      </w:r>
      <w:r>
        <w:rPr>
          <w:rFonts w:ascii="Palatino Linotype" w:eastAsia="Arial Unicode MS" w:hAnsi="Palatino Linotype" w:cs="Arial"/>
          <w:i/>
          <w:sz w:val="22"/>
        </w:rPr>
        <w:t xml:space="preserve"> Secretaría de Hacienda y Crédito Público. 05 de octubre de 2016. Por unanimidad. Comisionada Ponente. Ximena Puente de la Mora.”</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No obstante lo anterior, es de destacar que no constituye impedimento para los Sujetos Obligados procesar, sintetizar, efectu</w:t>
      </w:r>
      <w:r>
        <w:rPr>
          <w:rFonts w:ascii="Palatino Linotype" w:eastAsia="Arial Unicode MS" w:hAnsi="Palatino Linotype" w:cs="Arial"/>
        </w:rPr>
        <w:t>ar investigaciones o cálculos en su intensión de satisfacer el derecho de acceso a la información pública; esto es así, en atención a que el artículo 12 de la Ley de la materia, establece que los sujetos obligados tienen el deber de entregar la información</w:t>
      </w:r>
      <w:r>
        <w:rPr>
          <w:rFonts w:ascii="Palatino Linotype" w:eastAsia="Arial Unicode MS" w:hAnsi="Palatino Linotype" w:cs="Arial"/>
        </w:rPr>
        <w:t xml:space="preserve"> pública solicitada en la forma en que la generaron, poseen o administran; sin embargo, el precepto legal en cita, no prohíbe a los sujetos obligados efectuar investigaciones, cálculos, sintetizar o procesar la información pública con el objeto de entregar</w:t>
      </w:r>
      <w:r>
        <w:rPr>
          <w:rFonts w:ascii="Palatino Linotype" w:eastAsia="Arial Unicode MS" w:hAnsi="Palatino Linotype" w:cs="Arial"/>
        </w:rPr>
        <w:t xml:space="preserve">la a quien la solicite; por ende, a los Sujetos Obligados les asiste la facultad potestativa de practicar investigaciones, cálculos, sintetizar o procesar la </w:t>
      </w:r>
      <w:r>
        <w:rPr>
          <w:rFonts w:ascii="Palatino Linotype" w:eastAsia="Arial Unicode MS" w:hAnsi="Palatino Linotype" w:cs="Arial"/>
        </w:rPr>
        <w:lastRenderedPageBreak/>
        <w:t>información pública a efecto de entregarla a quien la solicite a través de esta vía.</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Asimismo, el</w:t>
      </w:r>
      <w:r>
        <w:rPr>
          <w:rFonts w:ascii="Palatino Linotype" w:eastAsia="Arial Unicode MS" w:hAnsi="Palatino Linotype" w:cs="Arial"/>
        </w:rPr>
        <w:t xml:space="preserve"> artículo 24 de la Ley de la materia, señala que los Sujetos Obligados sólo proporcionarán la información pública que generen, administren o posean en el ejercicio de sus atribuciones; por consiguiente, la información pública se encuentra a disposición de </w:t>
      </w:r>
      <w:r>
        <w:rPr>
          <w:rFonts w:ascii="Palatino Linotype" w:eastAsia="Arial Unicode MS" w:hAnsi="Palatino Linotype" w:cs="Arial"/>
        </w:rPr>
        <w:t>cualquier persona, lo que implica que es deber de los Sujetos Obligados, garantizar a toda persona el derecho de acceso a la información pública.</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esta misma tesitura, es de subrayar que el derecho de acceso a la información pública, consiste en que la </w:t>
      </w:r>
      <w:r>
        <w:rPr>
          <w:rFonts w:ascii="Palatino Linotype" w:eastAsia="Arial Unicode MS" w:hAnsi="Palatino Linotype" w:cs="Arial"/>
        </w:rPr>
        <w:t xml:space="preserve">información solicitada conste en un soporte documental en cualquiera de sus formas, a saber: expedientes, reportes, estudios, actas, resoluciones, oficios, correspondencia, acuerdos, directivas, directrices, circulares, contratos, convenios, instructivos, </w:t>
      </w:r>
      <w:r>
        <w:rPr>
          <w:rFonts w:ascii="Palatino Linotype" w:eastAsia="Arial Unicode MS" w:hAnsi="Palatino Linotype" w:cs="Arial"/>
        </w:rPr>
        <w:t>notas, memorandos, estadísticas o bien, cualquier otro registro que documente el ejercicio de las facultades, funciones y competencias de los sujetos obligados; los que podrán estar en cualquier medio, sea escrito, impreso, sonoro, visual, electrónico, inf</w:t>
      </w:r>
      <w:r>
        <w:rPr>
          <w:rFonts w:ascii="Palatino Linotype" w:eastAsia="Arial Unicode MS" w:hAnsi="Palatino Linotype" w:cs="Arial"/>
        </w:rPr>
        <w:t xml:space="preserve">ormático u holográfico, de conformidad con el artículo 3, fracción XI de la Ley de la materia, el cual dispone lo siguiente: </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presente Ley se entenderá por:</w:t>
      </w:r>
    </w:p>
    <w:p w:rsidR="0041523E" w:rsidRDefault="0041523E">
      <w:pPr>
        <w:widowControl w:val="0"/>
        <w:spacing w:line="276" w:lineRule="auto"/>
        <w:ind w:left="709" w:right="757"/>
        <w:jc w:val="both"/>
        <w:rPr>
          <w:rFonts w:ascii="Palatino Linotype" w:eastAsia="Arial Unicode MS" w:hAnsi="Palatino Linotype" w:cs="Arial"/>
          <w:i/>
          <w:sz w:val="22"/>
        </w:rPr>
      </w:pPr>
    </w:p>
    <w:p w:rsidR="0041523E" w:rsidRDefault="001C34A3">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Los expedientes, reportes, estudios, actas, re</w:t>
      </w:r>
      <w:r>
        <w:rPr>
          <w:rFonts w:ascii="Palatino Linotype" w:eastAsia="Arial Unicode MS" w:hAnsi="Palatino Linotype" w:cs="Arial"/>
          <w:i/>
          <w:sz w:val="22"/>
        </w:rPr>
        <w:t xml:space="preserve">soluciones, oficios, correspondencia, acuerdos, directivas, directrices, circulares, contratos, convenios, instructivos, notas, memorandos, estadísticas o bien, cualquier otro registro que documente el ejercicio de las facultades, funciones y competencias </w:t>
      </w:r>
      <w:r>
        <w:rPr>
          <w:rFonts w:ascii="Palatino Linotype" w:eastAsia="Arial Unicode MS" w:hAnsi="Palatino Linotype" w:cs="Arial"/>
          <w:i/>
          <w:sz w:val="22"/>
        </w:rPr>
        <w:t xml:space="preserve">de los sujetos obligados, sus servidores públicos e integrantes, sin importar su fuente o fecha de elaboración. Los documentos podrán estar en cualquier medio, sea escrito, impreso, </w:t>
      </w:r>
      <w:r>
        <w:rPr>
          <w:rFonts w:ascii="Palatino Linotype" w:eastAsia="Arial Unicode MS" w:hAnsi="Palatino Linotype" w:cs="Arial"/>
          <w:i/>
          <w:sz w:val="22"/>
        </w:rPr>
        <w:lastRenderedPageBreak/>
        <w:t>sonoro, visual, electrónico, informático u holográfico;”</w:t>
      </w:r>
    </w:p>
    <w:p w:rsidR="0041523E" w:rsidRDefault="0041523E">
      <w:pPr>
        <w:widowControl w:val="0"/>
        <w:spacing w:line="360" w:lineRule="auto"/>
        <w:ind w:left="709" w:right="757"/>
        <w:jc w:val="both"/>
        <w:rPr>
          <w:rFonts w:ascii="Palatino Linotype" w:eastAsia="Arial Unicode MS" w:hAnsi="Palatino Linotype" w:cs="Arial"/>
          <w:i/>
          <w:sz w:val="22"/>
        </w:rPr>
      </w:pPr>
    </w:p>
    <w:p w:rsidR="0041523E" w:rsidRDefault="001C34A3">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w:t>
      </w:r>
      <w:r>
        <w:rPr>
          <w:rFonts w:ascii="Palatino Linotype" w:eastAsia="Arial Unicode MS" w:hAnsi="Palatino Linotype" w:cs="Arial"/>
        </w:rPr>
        <w:t xml:space="preserve">, el criterio de interpretación en el orden administrativo número 0002-11, emitido por Acuerdo del Pleno del Instituto de Transparencia y Acceso a la Información Pública del Estado de México y Municipios, publicado en el Periódico Oficial del Gobierno del </w:t>
      </w:r>
      <w:r>
        <w:rPr>
          <w:rFonts w:ascii="Palatino Linotype" w:eastAsia="Arial Unicode MS" w:hAnsi="Palatino Linotype" w:cs="Arial"/>
        </w:rPr>
        <w:t>Estado Libre y Soberano de México “Gaceta del Gobierno” el diecinueve de octubre de dos mil once, cuyo rubro y texto dispone:</w:t>
      </w:r>
    </w:p>
    <w:p w:rsidR="0041523E" w:rsidRDefault="0041523E">
      <w:pPr>
        <w:widowControl w:val="0"/>
        <w:spacing w:line="360" w:lineRule="auto"/>
        <w:jc w:val="both"/>
        <w:rPr>
          <w:rFonts w:ascii="Palatino Linotype" w:eastAsia="Arial Unicode MS" w:hAnsi="Palatino Linotype" w:cs="Arial"/>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0002-11 </w:t>
      </w:r>
    </w:p>
    <w:p w:rsidR="0041523E" w:rsidRDefault="0041523E">
      <w:pPr>
        <w:widowControl w:val="0"/>
        <w:ind w:left="709" w:right="757"/>
        <w:jc w:val="both"/>
        <w:rPr>
          <w:rFonts w:ascii="Palatino Linotype" w:eastAsia="Arial Unicode MS" w:hAnsi="Palatino Linotype" w:cs="Arial"/>
          <w:i/>
          <w:sz w:val="22"/>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 CONCEPTO DE, EN MATERIA DE TRANSPARENCIA. INTERPRETACIÓN SISTEMÁTICA DE LOS ARTÍCULOS 2°</w:t>
      </w:r>
      <w:r>
        <w:rPr>
          <w:rFonts w:ascii="Palatino Linotype" w:eastAsia="Arial Unicode MS" w:hAnsi="Palatino Linotype" w:cs="Arial"/>
          <w:b/>
          <w:i/>
          <w:sz w:val="22"/>
        </w:rPr>
        <w:t>, FRACCIÓN V, XV, Y XVI, 3°, 4°, 11 Y 41</w:t>
      </w:r>
      <w:r>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w:t>
      </w:r>
      <w:r>
        <w:rPr>
          <w:rFonts w:ascii="Palatino Linotype" w:eastAsia="Arial Unicode MS" w:hAnsi="Palatino Linotype" w:cs="Arial"/>
          <w:i/>
          <w:sz w:val="22"/>
        </w:rPr>
        <w:t>inistrados, generados o en posesión de los órganos u organismos públicos, en virtud del ejercicio de sus funciones de derecho público, sin importar su fuente, soporte o fecha de elaboración.</w:t>
      </w:r>
    </w:p>
    <w:p w:rsidR="0041523E" w:rsidRDefault="0041523E">
      <w:pPr>
        <w:widowControl w:val="0"/>
        <w:ind w:left="709" w:right="757"/>
        <w:jc w:val="both"/>
        <w:rPr>
          <w:rFonts w:ascii="Palatino Linotype" w:eastAsia="Arial Unicode MS" w:hAnsi="Palatino Linotype" w:cs="Arial"/>
          <w:i/>
          <w:sz w:val="22"/>
        </w:rPr>
      </w:pP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En consecuencia el acceso a la información se refiere a que se </w:t>
      </w:r>
      <w:r>
        <w:rPr>
          <w:rFonts w:ascii="Palatino Linotype" w:eastAsia="Arial Unicode MS" w:hAnsi="Palatino Linotype" w:cs="Arial"/>
          <w:i/>
          <w:sz w:val="22"/>
        </w:rPr>
        <w:t>cumplan cualquiera de los siguientes tres supuestos:</w:t>
      </w: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w:t>
      </w:r>
      <w:r>
        <w:rPr>
          <w:rFonts w:ascii="Palatino Linotype" w:eastAsia="Arial Unicode MS" w:hAnsi="Palatino Linotype" w:cs="Arial"/>
          <w:i/>
          <w:sz w:val="22"/>
        </w:rPr>
        <w:t>da en cualquier soporte documental, que en ejercicio de las atribuciones conferidas, sea administrada por los Sujetos Obligados, y</w:t>
      </w:r>
    </w:p>
    <w:p w:rsidR="0041523E" w:rsidRDefault="001C34A3">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3) Que se trate de información registrada en cualquier soporte documental, que en ejercicio de las atribuciones conferidas, s</w:t>
      </w:r>
      <w:r>
        <w:rPr>
          <w:rFonts w:ascii="Palatino Linotype" w:eastAsia="Arial Unicode MS" w:hAnsi="Palatino Linotype" w:cs="Arial"/>
          <w:i/>
          <w:sz w:val="22"/>
        </w:rPr>
        <w:t xml:space="preserve">e encuentre en posesión de los Sujetos Obligados.” </w:t>
      </w:r>
      <w:r>
        <w:rPr>
          <w:rFonts w:ascii="Palatino Linotype" w:eastAsia="Arial Unicode MS" w:hAnsi="Palatino Linotype" w:cs="Arial"/>
          <w:sz w:val="22"/>
        </w:rPr>
        <w:t>(Sic)</w:t>
      </w:r>
    </w:p>
    <w:p w:rsidR="0041523E" w:rsidRDefault="0041523E">
      <w:pPr>
        <w:widowControl w:val="0"/>
        <w:ind w:left="709" w:right="757"/>
        <w:jc w:val="both"/>
        <w:rPr>
          <w:rFonts w:ascii="Palatino Linotype" w:eastAsia="Arial Unicode MS" w:hAnsi="Palatino Linotype" w:cs="Arial"/>
          <w:sz w:val="22"/>
        </w:rPr>
      </w:pPr>
    </w:p>
    <w:p w:rsidR="0041523E" w:rsidRDefault="001C34A3">
      <w:pPr>
        <w:widowControl w:val="0"/>
        <w:ind w:left="709" w:right="757"/>
        <w:jc w:val="both"/>
        <w:rPr>
          <w:rFonts w:ascii="Palatino Linotype" w:eastAsia="Arial Unicode MS" w:hAnsi="Palatino Linotype" w:cs="Arial"/>
          <w:sz w:val="22"/>
        </w:rPr>
      </w:pPr>
      <w:r>
        <w:rPr>
          <w:rFonts w:ascii="Palatino Linotype" w:eastAsia="Arial Unicode MS" w:hAnsi="Palatino Linotype" w:cs="Arial"/>
          <w:sz w:val="22"/>
        </w:rPr>
        <w:t>(Énfasis Añadido)</w:t>
      </w:r>
    </w:p>
    <w:p w:rsidR="0041523E" w:rsidRDefault="0041523E">
      <w:pPr>
        <w:widowControl w:val="0"/>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la respuesta del </w:t>
      </w:r>
      <w:r>
        <w:rPr>
          <w:rFonts w:ascii="Palatino Linotype" w:hAnsi="Palatino Linotype" w:cs="Arial"/>
          <w:b/>
          <w:lang w:eastAsia="es-MX"/>
        </w:rPr>
        <w:t xml:space="preserve">EL SUJETO OBLIGADO </w:t>
      </w:r>
      <w:r>
        <w:rPr>
          <w:rFonts w:ascii="Palatino Linotype" w:hAnsi="Palatino Linotype" w:cs="Arial"/>
          <w:lang w:eastAsia="es-MX"/>
        </w:rPr>
        <w:t xml:space="preserve">a fin de verificar si el requerimiento ha sido colmado total o parcialmente por éste y entonces </w:t>
      </w:r>
      <w:r>
        <w:rPr>
          <w:rFonts w:ascii="Palatino Linotype" w:hAnsi="Palatino Linotype" w:cs="Arial"/>
          <w:lang w:eastAsia="es-MX"/>
        </w:rPr>
        <w:lastRenderedPageBreak/>
        <w:t xml:space="preserve">de </w:t>
      </w:r>
      <w:r>
        <w:rPr>
          <w:rFonts w:ascii="Palatino Linotype" w:hAnsi="Palatino Linotype" w:cs="Arial"/>
          <w:lang w:eastAsia="es-MX"/>
        </w:rPr>
        <w:t>aquellos puntos que no hayan sido atendidos, analizar la procedencia o no de la entrega de los documentos así como los términos en que se deberá realizar la misma.</w:t>
      </w:r>
    </w:p>
    <w:p w:rsidR="0041523E" w:rsidRDefault="0041523E">
      <w:pPr>
        <w:widowControl w:val="0"/>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Precisado lo anterior, es menester pronunciarse respecto a la información proporcionada, se</w:t>
      </w:r>
      <w:r>
        <w:rPr>
          <w:rFonts w:ascii="Palatino Linotype" w:eastAsia="Arial Unicode MS" w:hAnsi="Palatino Linotype" w:cs="Arial"/>
        </w:rPr>
        <w:t xml:space="preserve"> advierte que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 xml:space="preserve">SUJETO OBLIGADO </w:t>
      </w:r>
      <w:r>
        <w:rPr>
          <w:rFonts w:ascii="Palatino Linotype" w:eastAsia="Arial Unicode MS" w:hAnsi="Palatino Linotype" w:cs="Arial"/>
        </w:rPr>
        <w:t>genera, posee y administra la información requerida, sin embargo de sus manifestaciones vertidas en Informe Justificado, este señala que no se encuentra constreñido a remitir la información en los términos requeridos por el</w:t>
      </w:r>
      <w:r>
        <w:rPr>
          <w:rFonts w:ascii="Palatino Linotype" w:eastAsia="Arial Unicode MS" w:hAnsi="Palatino Linotype" w:cs="Arial"/>
        </w:rPr>
        <w:t xml:space="preserve"> particular, por lo que lo procedente es verificar dentro de las funciones y atribuciones de la Fiscalía General de Justicia del Estado de México, el grado de desagregación en que se genera la información relativa a los delitos que ameritan pena privativa </w:t>
      </w:r>
      <w:r>
        <w:rPr>
          <w:rFonts w:ascii="Palatino Linotype" w:eastAsia="Arial Unicode MS" w:hAnsi="Palatino Linotype" w:cs="Arial"/>
        </w:rPr>
        <w:t>de la libertad.</w:t>
      </w:r>
    </w:p>
    <w:p w:rsidR="0041523E" w:rsidRDefault="0041523E">
      <w:pPr>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En primer término, es de señalar que dentro de las de las atribuciones de la Fiscalía General de Justicia del Estado de México de conformidad con su Ley, se encuentra la de coadyuvar con las instituciones de Procuración de Justicia de la F</w:t>
      </w:r>
      <w:r>
        <w:rPr>
          <w:rFonts w:ascii="Palatino Linotype" w:eastAsia="Arial Unicode MS" w:hAnsi="Palatino Linotype" w:cs="Arial"/>
        </w:rPr>
        <w:t>ederación y de las entidades federativas, en la investigación de los delitos y en la persecución de los imputados, en los términos de su normatividad y de los convenios correspondientes y demás instrumentos jurídicos que se formalicen al respecto.</w:t>
      </w:r>
    </w:p>
    <w:p w:rsidR="0041523E" w:rsidRDefault="0041523E">
      <w:pPr>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En esta</w:t>
      </w:r>
      <w:r>
        <w:rPr>
          <w:rFonts w:ascii="Palatino Linotype" w:eastAsia="Arial Unicode MS" w:hAnsi="Palatino Linotype" w:cs="Arial"/>
        </w:rPr>
        <w:t xml:space="preserve"> tesitura, la Ley de la Fiscalía señala que el Ministerio Público tendrá, además de las funciones, atribuciones y obligaciones que le señalen la Constitución Federal, la Constitución del Estado, los instrumentos jurídicos internacionales vinculantes para e</w:t>
      </w:r>
      <w:r>
        <w:rPr>
          <w:rFonts w:ascii="Palatino Linotype" w:eastAsia="Arial Unicode MS" w:hAnsi="Palatino Linotype" w:cs="Arial"/>
        </w:rPr>
        <w:t xml:space="preserve">l Estado Mexicano, el Código Nacional, las leyes nacionales y generales, y otros ordenamientos jurídicos estatales aplicables, la de hacer la clasificación legal de los </w:t>
      </w:r>
      <w:r>
        <w:rPr>
          <w:rFonts w:ascii="Palatino Linotype" w:eastAsia="Arial Unicode MS" w:hAnsi="Palatino Linotype" w:cs="Arial"/>
        </w:rPr>
        <w:lastRenderedPageBreak/>
        <w:t>hechos que le sean denunciados y una vez cerciorado de que el mismo pueda ser constitut</w:t>
      </w:r>
      <w:r>
        <w:rPr>
          <w:rFonts w:ascii="Palatino Linotype" w:eastAsia="Arial Unicode MS" w:hAnsi="Palatino Linotype" w:cs="Arial"/>
        </w:rPr>
        <w:t>ivo de delito, iniciar la investigación y realizar las diligencias necesarias sin dilación alguna, poner a disposición de la autoridad judicial a las personas, conforme a las disposiciones jurídicas aplicables y registrar sus actuaciones en el sistema info</w:t>
      </w:r>
      <w:r>
        <w:rPr>
          <w:rFonts w:ascii="Palatino Linotype" w:eastAsia="Arial Unicode MS" w:hAnsi="Palatino Linotype" w:cs="Arial"/>
        </w:rPr>
        <w:t>rmático de la Fiscalía, bajo el número interno de control o el número único de causa que genere el Ministerio Público y alimentarlo con la información requerida, a fin de generar y operar bancos de datos y compartir la información con unidades operativas e</w:t>
      </w:r>
      <w:r>
        <w:rPr>
          <w:rFonts w:ascii="Palatino Linotype" w:eastAsia="Arial Unicode MS" w:hAnsi="Palatino Linotype" w:cs="Arial"/>
        </w:rPr>
        <w:t>specíficas, de conformidad con las disposiciones jurídicas aplicables y la normatividad que emita la o el Fiscal General.</w:t>
      </w:r>
    </w:p>
    <w:p w:rsidR="0041523E" w:rsidRDefault="0041523E">
      <w:pPr>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Asimismo, en específico del ejercicio de la acción penal, el Ministerio Público deberá preparar debidamente la judicialización del ca</w:t>
      </w:r>
      <w:r>
        <w:rPr>
          <w:rFonts w:ascii="Palatino Linotype" w:eastAsia="Arial Unicode MS" w:hAnsi="Palatino Linotype" w:cs="Arial"/>
        </w:rPr>
        <w:t>so, a través de los datos de prueba que establezcan el hecho delictivo ocurrido y la participación de la o el imputado a través de un debido registro de la investigación, aportando los datos o elementos de prueba suficientes para obtener resoluciones favor</w:t>
      </w:r>
      <w:r>
        <w:rPr>
          <w:rFonts w:ascii="Palatino Linotype" w:eastAsia="Arial Unicode MS" w:hAnsi="Palatino Linotype" w:cs="Arial"/>
        </w:rPr>
        <w:t>ables al interés social o los medios de prueba y su legal desahogo para la debida comprobación en juicio de la existencia del delito y la plena responsabilidad de la o el imputado, las circunstancias en que hubiese sido cometido, la existencia de los daños</w:t>
      </w:r>
      <w:r>
        <w:rPr>
          <w:rFonts w:ascii="Palatino Linotype" w:eastAsia="Arial Unicode MS" w:hAnsi="Palatino Linotype" w:cs="Arial"/>
        </w:rPr>
        <w:t xml:space="preserve">, así como para la fijación del monto de su reparación, el decomiso de los bienes afectos, así como </w:t>
      </w:r>
      <w:r>
        <w:rPr>
          <w:rFonts w:ascii="Palatino Linotype" w:eastAsia="Arial Unicode MS" w:hAnsi="Palatino Linotype" w:cs="Arial"/>
          <w:b/>
        </w:rPr>
        <w:t>para la procedencia de las demás penas</w:t>
      </w:r>
      <w:r>
        <w:rPr>
          <w:rFonts w:ascii="Palatino Linotype" w:eastAsia="Arial Unicode MS" w:hAnsi="Palatino Linotype" w:cs="Arial"/>
        </w:rPr>
        <w:t xml:space="preserve"> y medidas de seguridad.</w:t>
      </w:r>
    </w:p>
    <w:p w:rsidR="0041523E" w:rsidRDefault="0041523E">
      <w:pPr>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Ahora bien, la manifestación del </w:t>
      </w:r>
      <w:r>
        <w:rPr>
          <w:rFonts w:ascii="Palatino Linotype" w:eastAsia="Arial Unicode MS" w:hAnsi="Palatino Linotype" w:cs="Arial"/>
          <w:b/>
        </w:rPr>
        <w:t xml:space="preserve">SUJETO OBLIGADO </w:t>
      </w:r>
      <w:r>
        <w:rPr>
          <w:rFonts w:ascii="Palatino Linotype" w:eastAsia="Arial Unicode MS" w:hAnsi="Palatino Linotype" w:cs="Arial"/>
        </w:rPr>
        <w:t>respecto a que serán los Órganos Jurisdicci</w:t>
      </w:r>
      <w:r>
        <w:rPr>
          <w:rFonts w:ascii="Palatino Linotype" w:eastAsia="Arial Unicode MS" w:hAnsi="Palatino Linotype" w:cs="Arial"/>
        </w:rPr>
        <w:t xml:space="preserve">onales impartidores de justicia quienes determinaran las sanciones y penas a los delitos que se consignen ante los jueces competentes, una vez </w:t>
      </w:r>
      <w:r>
        <w:rPr>
          <w:rFonts w:ascii="Palatino Linotype" w:eastAsia="Arial Unicode MS" w:hAnsi="Palatino Linotype" w:cs="Arial"/>
        </w:rPr>
        <w:lastRenderedPageBreak/>
        <w:t>desahogados los juicios y agotadas las instancias que correspondan, si bien es cierta, también lo es que éste asu</w:t>
      </w:r>
      <w:r>
        <w:rPr>
          <w:rFonts w:ascii="Palatino Linotype" w:eastAsia="Arial Unicode MS" w:hAnsi="Palatino Linotype" w:cs="Arial"/>
        </w:rPr>
        <w:t>me conocer aquellos delitos en que se obtuvo una pena privativa de la libertad, lo anterior en razón de que conforme al informe de gestión de la Fiscalía que se refiere dentro del Informe Justificado se señala entre otras cosas que; de enero a diciembre de</w:t>
      </w:r>
      <w:r>
        <w:rPr>
          <w:rFonts w:ascii="Palatino Linotype" w:eastAsia="Arial Unicode MS" w:hAnsi="Palatino Linotype" w:cs="Arial"/>
        </w:rPr>
        <w:t>l año 2019 se judicializaron 444 carpetas de investigación, de las cuales en 126 se logró la vinculación a proceso de los imputados, se obtuvieron 23 sentencias condenatorias, con 35 sentenciados, entre las que destacan: una por el delito de secuestro expr</w:t>
      </w:r>
      <w:r>
        <w:rPr>
          <w:rFonts w:ascii="Palatino Linotype" w:eastAsia="Arial Unicode MS" w:hAnsi="Palatino Linotype" w:cs="Arial"/>
        </w:rPr>
        <w:t xml:space="preserve">és, </w:t>
      </w:r>
      <w:r>
        <w:rPr>
          <w:rFonts w:ascii="Palatino Linotype" w:eastAsia="Arial Unicode MS" w:hAnsi="Palatino Linotype" w:cs="Arial"/>
          <w:b/>
        </w:rPr>
        <w:t>con 60 años de prisión</w:t>
      </w:r>
      <w:r>
        <w:rPr>
          <w:rFonts w:ascii="Palatino Linotype" w:eastAsia="Arial Unicode MS" w:hAnsi="Palatino Linotype" w:cs="Arial"/>
        </w:rPr>
        <w:t xml:space="preserve">; otra por secuestro con </w:t>
      </w:r>
      <w:r>
        <w:rPr>
          <w:rFonts w:ascii="Palatino Linotype" w:eastAsia="Arial Unicode MS" w:hAnsi="Palatino Linotype" w:cs="Arial"/>
          <w:b/>
        </w:rPr>
        <w:t>50 años de prisión</w:t>
      </w:r>
      <w:r>
        <w:rPr>
          <w:rFonts w:ascii="Palatino Linotype" w:eastAsia="Arial Unicode MS" w:hAnsi="Palatino Linotype" w:cs="Arial"/>
        </w:rPr>
        <w:t xml:space="preserve">; 2 más por el delito de homicidio, ambas </w:t>
      </w:r>
      <w:r>
        <w:rPr>
          <w:rFonts w:ascii="Palatino Linotype" w:eastAsia="Arial Unicode MS" w:hAnsi="Palatino Linotype" w:cs="Arial"/>
          <w:b/>
        </w:rPr>
        <w:t>con 40 años de prisión</w:t>
      </w:r>
      <w:r>
        <w:rPr>
          <w:rFonts w:ascii="Palatino Linotype" w:eastAsia="Arial Unicode MS" w:hAnsi="Palatino Linotype" w:cs="Arial"/>
        </w:rPr>
        <w:t xml:space="preserve">; una por el delito violación, </w:t>
      </w:r>
      <w:r>
        <w:rPr>
          <w:rFonts w:ascii="Palatino Linotype" w:eastAsia="Arial Unicode MS" w:hAnsi="Palatino Linotype" w:cs="Arial"/>
          <w:b/>
        </w:rPr>
        <w:t>con 33 años de prisión</w:t>
      </w:r>
      <w:r>
        <w:rPr>
          <w:rFonts w:ascii="Palatino Linotype" w:eastAsia="Arial Unicode MS" w:hAnsi="Palatino Linotype" w:cs="Arial"/>
        </w:rPr>
        <w:t>, y 11 más por el delito de abuso de autoridad, en estas últimas se ob</w:t>
      </w:r>
      <w:r>
        <w:rPr>
          <w:rFonts w:ascii="Palatino Linotype" w:eastAsia="Arial Unicode MS" w:hAnsi="Palatino Linotype" w:cs="Arial"/>
        </w:rPr>
        <w:t xml:space="preserve">tuvo una sentencia de </w:t>
      </w:r>
      <w:r>
        <w:rPr>
          <w:rFonts w:ascii="Palatino Linotype" w:eastAsia="Arial Unicode MS" w:hAnsi="Palatino Linotype" w:cs="Arial"/>
          <w:b/>
        </w:rPr>
        <w:t>10 años de prisión</w:t>
      </w:r>
      <w:r>
        <w:rPr>
          <w:rFonts w:ascii="Palatino Linotype" w:eastAsia="Arial Unicode MS" w:hAnsi="Palatino Linotype" w:cs="Arial"/>
        </w:rPr>
        <w:t xml:space="preserve"> en el mayor de los casos y en el menor de </w:t>
      </w:r>
      <w:r>
        <w:rPr>
          <w:rFonts w:ascii="Palatino Linotype" w:eastAsia="Arial Unicode MS" w:hAnsi="Palatino Linotype" w:cs="Arial"/>
          <w:b/>
        </w:rPr>
        <w:t>cuatro</w:t>
      </w:r>
      <w:r>
        <w:rPr>
          <w:rFonts w:ascii="Palatino Linotype" w:eastAsia="Arial Unicode MS" w:hAnsi="Palatino Linotype" w:cs="Arial"/>
        </w:rPr>
        <w:t xml:space="preserve">, así como una por el delito de cohecho, </w:t>
      </w:r>
      <w:r>
        <w:rPr>
          <w:rFonts w:ascii="Palatino Linotype" w:eastAsia="Arial Unicode MS" w:hAnsi="Palatino Linotype" w:cs="Arial"/>
          <w:b/>
        </w:rPr>
        <w:t>con prisión de un año</w:t>
      </w:r>
      <w:r>
        <w:rPr>
          <w:rFonts w:ascii="Palatino Linotype" w:eastAsia="Arial Unicode MS" w:hAnsi="Palatino Linotype" w:cs="Arial"/>
        </w:rPr>
        <w:t>.</w:t>
      </w:r>
    </w:p>
    <w:p w:rsidR="0041523E" w:rsidRDefault="0041523E">
      <w:pPr>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Asimismo se señala que por cuanto hace a los delitos de feminicidios, en el 2019 se obtuvieron 32 sent</w:t>
      </w:r>
      <w:r>
        <w:rPr>
          <w:rFonts w:ascii="Palatino Linotype" w:eastAsia="Arial Unicode MS" w:hAnsi="Palatino Linotype" w:cs="Arial"/>
        </w:rPr>
        <w:t xml:space="preserve">encias condenatorias con penalidades que oscilan entre los </w:t>
      </w:r>
      <w:r>
        <w:rPr>
          <w:rFonts w:ascii="Palatino Linotype" w:eastAsia="Arial Unicode MS" w:hAnsi="Palatino Linotype" w:cs="Arial"/>
          <w:b/>
        </w:rPr>
        <w:t>40 y 88 años de prisión</w:t>
      </w:r>
      <w:r>
        <w:rPr>
          <w:rFonts w:ascii="Palatino Linotype" w:eastAsia="Arial Unicode MS" w:hAnsi="Palatino Linotype" w:cs="Arial"/>
        </w:rPr>
        <w:t>.</w:t>
      </w:r>
    </w:p>
    <w:p w:rsidR="0041523E" w:rsidRDefault="0041523E">
      <w:pPr>
        <w:spacing w:line="360" w:lineRule="auto"/>
        <w:jc w:val="both"/>
        <w:rPr>
          <w:rFonts w:ascii="Palatino Linotype" w:eastAsia="Arial Unicode MS" w:hAnsi="Palatino Linotype" w:cs="Arial"/>
        </w:rPr>
      </w:pP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último, se contiene una estadística de las sentencias condenatorias que se obtuvieron en los meses de enero a diciembre de 2019, clasificadas por Municipio en delitos </w:t>
      </w:r>
      <w:r>
        <w:rPr>
          <w:rFonts w:ascii="Palatino Linotype" w:eastAsia="Arial Unicode MS" w:hAnsi="Palatino Linotype" w:cs="Arial"/>
        </w:rPr>
        <w:t>de alto impacto como robo con violencia, robo de vehículo, robo a transporte de pasajeros, homicidio doloso, secuestro, extorsión, violación y feminicidio.</w:t>
      </w:r>
      <w:r>
        <w:rPr>
          <w:rFonts w:ascii="Palatino Linotype" w:eastAsia="Arial Unicode MS" w:hAnsi="Palatino Linotype" w:cs="Arial"/>
        </w:rPr>
        <w:br/>
      </w:r>
    </w:p>
    <w:p w:rsidR="0041523E" w:rsidRDefault="001C34A3">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tanto, se advierte, que </w:t>
      </w:r>
      <w:r>
        <w:rPr>
          <w:rFonts w:ascii="Palatino Linotype" w:eastAsia="Arial Unicode MS" w:hAnsi="Palatino Linotype" w:cs="Arial"/>
          <w:b/>
        </w:rPr>
        <w:t xml:space="preserve">EL SUJETO OBLIGADO </w:t>
      </w:r>
      <w:r>
        <w:rPr>
          <w:rFonts w:ascii="Palatino Linotype" w:eastAsia="Arial Unicode MS" w:hAnsi="Palatino Linotype" w:cs="Arial"/>
        </w:rPr>
        <w:t>debe contar con la información requerida, de los del</w:t>
      </w:r>
      <w:r>
        <w:rPr>
          <w:rFonts w:ascii="Palatino Linotype" w:eastAsia="Arial Unicode MS" w:hAnsi="Palatino Linotype" w:cs="Arial"/>
        </w:rPr>
        <w:t xml:space="preserve">itos en los que se obtuvieron sentencias condenatorias con penas </w:t>
      </w:r>
      <w:r>
        <w:rPr>
          <w:rFonts w:ascii="Palatino Linotype" w:eastAsia="Arial Unicode MS" w:hAnsi="Palatino Linotype" w:cs="Arial"/>
        </w:rPr>
        <w:lastRenderedPageBreak/>
        <w:t>privativas de la libertad, toda vez que le fue posible integrar el informe de gestión en comento</w:t>
      </w:r>
      <w:r>
        <w:rPr>
          <w:rFonts w:ascii="Palatino Linotype" w:hAnsi="Palatino Linotype" w:cs="Arial"/>
        </w:rPr>
        <w:t>, aunado a que este asumió  que coadyuva con las Instituciones de impartición de Justicia, para</w:t>
      </w:r>
      <w:r>
        <w:rPr>
          <w:rFonts w:ascii="Palatino Linotype" w:hAnsi="Palatino Linotype" w:cs="Arial"/>
        </w:rPr>
        <w:t xml:space="preserve"> la investigación de los delitos y la persecución de los imputados, por lo que si bien la Fiscalía, no procesa los juicios que se encuentran en trámite, tiene conocimiento de los que obtuvieron resolución condenatoria y no exclusivamente la pena privativa </w:t>
      </w:r>
      <w:r>
        <w:rPr>
          <w:rFonts w:ascii="Palatino Linotype" w:hAnsi="Palatino Linotype" w:cs="Arial"/>
        </w:rPr>
        <w:t xml:space="preserve">ya que es parte dentro del procedimiento, por ende será necesario que para obtener la información requerida por el particular, </w:t>
      </w:r>
      <w:r>
        <w:rPr>
          <w:rFonts w:ascii="Palatino Linotype" w:hAnsi="Palatino Linotype" w:cs="Arial"/>
          <w:b/>
        </w:rPr>
        <w:t xml:space="preserve">EL SUJETO OBLIGADO </w:t>
      </w:r>
      <w:r>
        <w:rPr>
          <w:rFonts w:ascii="Palatino Linotype" w:hAnsi="Palatino Linotype"/>
        </w:rPr>
        <w:t xml:space="preserve">turnará la solicitud de información a todas las áreas que en su caso pudieran contar con la información, ello </w:t>
      </w:r>
      <w:r>
        <w:rPr>
          <w:rFonts w:ascii="Palatino Linotype" w:hAnsi="Palatino Linotype"/>
        </w:rPr>
        <w:t xml:space="preserve">en términos del artículo 162 de la </w:t>
      </w:r>
      <w:r>
        <w:rPr>
          <w:rFonts w:ascii="Palatino Linotype" w:hAnsi="Palatino Linotype" w:cs="Arial"/>
        </w:rPr>
        <w:t>de la Ley de Transparencia y Acceso a la Información Pública del Estado de México y Municipios</w:t>
      </w:r>
      <w:r>
        <w:rPr>
          <w:rFonts w:ascii="Palatino Linotype" w:hAnsi="Palatino Linotype"/>
        </w:rPr>
        <w:t>, que literalmente establece:</w:t>
      </w:r>
    </w:p>
    <w:p w:rsidR="0041523E" w:rsidRDefault="0041523E">
      <w:pPr>
        <w:spacing w:line="360" w:lineRule="auto"/>
        <w:jc w:val="both"/>
        <w:rPr>
          <w:rFonts w:ascii="Palatino Linotype" w:hAnsi="Palatino Linotype" w:cs="Arial"/>
          <w:b/>
        </w:rPr>
      </w:pPr>
    </w:p>
    <w:p w:rsidR="0041523E" w:rsidRDefault="001C34A3">
      <w:pPr>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 xml:space="preserve">Las unidades de transparencia deberán garantizar que las solicitudes se turnen a </w:t>
      </w:r>
      <w:r>
        <w:rPr>
          <w:rFonts w:ascii="Palatino Linotype" w:eastAsiaTheme="minorEastAsia" w:hAnsi="Palatino Linotype" w:cs="Arial"/>
          <w:i/>
          <w:sz w:val="22"/>
          <w:szCs w:val="22"/>
        </w:rPr>
        <w:t>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b/>
          <w:i/>
          <w:sz w:val="22"/>
          <w:szCs w:val="22"/>
        </w:rPr>
        <w:t>”</w:t>
      </w:r>
    </w:p>
    <w:p w:rsidR="0041523E" w:rsidRDefault="0041523E">
      <w:pPr>
        <w:spacing w:line="360" w:lineRule="auto"/>
        <w:ind w:left="851" w:right="899"/>
        <w:jc w:val="both"/>
        <w:rPr>
          <w:rFonts w:ascii="Palatino Linotype" w:hAnsi="Palatino Linotype"/>
          <w:b/>
          <w:i/>
          <w:sz w:val="22"/>
          <w:szCs w:val="22"/>
        </w:rPr>
      </w:pPr>
    </w:p>
    <w:p w:rsidR="0041523E" w:rsidRDefault="001C34A3">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 xml:space="preserve">conforme al </w:t>
      </w:r>
      <w:r>
        <w:rPr>
          <w:rFonts w:ascii="Palatino Linotype" w:hAnsi="Palatino Linotype" w:cs="Arial"/>
        </w:rPr>
        <w:t>precepto legal referido, las Unidades de Transparencia deben garantizar que las solicitudes se turnen a todas las Áreas competentes que cuenten con la información o deban tenerla de acuerdo a sus facultades, competencias y funciones, con el objeto de que r</w:t>
      </w:r>
      <w:r>
        <w:rPr>
          <w:rFonts w:ascii="Palatino Linotype" w:hAnsi="Palatino Linotype" w:cs="Arial"/>
        </w:rPr>
        <w:t>ealicen una búsqueda exhaustiva y razonable de la información solicitada.</w:t>
      </w:r>
    </w:p>
    <w:p w:rsidR="0041523E" w:rsidRDefault="0041523E">
      <w:pPr>
        <w:spacing w:line="360" w:lineRule="auto"/>
        <w:jc w:val="both"/>
        <w:rPr>
          <w:rFonts w:ascii="Palatino Linotype" w:hAnsi="Palatino Linotype" w:cs="Arial"/>
        </w:rPr>
      </w:pPr>
    </w:p>
    <w:p w:rsidR="0041523E" w:rsidRDefault="001C34A3">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En relación a ello, la Dirección General de Información, Planeación, Programación y Evaluación, será de manera enunciativa más no limitativa, la competente para atender </w:t>
      </w:r>
      <w:r>
        <w:rPr>
          <w:rFonts w:ascii="Palatino Linotype" w:eastAsia="Arial Unicode MS" w:hAnsi="Palatino Linotype" w:cs="Arial"/>
          <w:lang w:val="es-ES"/>
        </w:rPr>
        <w:lastRenderedPageBreak/>
        <w:t>la solicitud</w:t>
      </w:r>
      <w:r>
        <w:rPr>
          <w:rFonts w:ascii="Palatino Linotype" w:eastAsia="Arial Unicode MS" w:hAnsi="Palatino Linotype" w:cs="Arial"/>
          <w:lang w:val="es-ES"/>
        </w:rPr>
        <w:t xml:space="preserve"> de mérito en virtud de que esta de conformidad con el Manual General de Organización de la Procuraduría General de Justicia del Estado de México, aplicable, quien tendrá las facultades de revisar y validar la </w:t>
      </w:r>
      <w:r>
        <w:rPr>
          <w:rFonts w:ascii="Palatino Linotype" w:eastAsia="Arial Unicode MS" w:hAnsi="Palatino Linotype" w:cs="Arial"/>
          <w:b/>
          <w:lang w:val="es-ES"/>
        </w:rPr>
        <w:t>información estadística que generen las unidad</w:t>
      </w:r>
      <w:r>
        <w:rPr>
          <w:rFonts w:ascii="Palatino Linotype" w:eastAsia="Arial Unicode MS" w:hAnsi="Palatino Linotype" w:cs="Arial"/>
          <w:b/>
          <w:lang w:val="es-ES"/>
        </w:rPr>
        <w:t>es administrativas de la Fiscalía y mantener su actualización permanente, así como tener bajo su mando al Departamento de Información y Estadística, mismo que tiene como objeto el de concentrar y consultar la información de los sistemas informáticos y unid</w:t>
      </w:r>
      <w:r>
        <w:rPr>
          <w:rFonts w:ascii="Palatino Linotype" w:eastAsia="Arial Unicode MS" w:hAnsi="Palatino Linotype" w:cs="Arial"/>
          <w:b/>
          <w:lang w:val="es-ES"/>
        </w:rPr>
        <w:t>ades, tanto administrativas como operativas de la Fiscalía</w:t>
      </w:r>
      <w:r>
        <w:rPr>
          <w:rFonts w:ascii="Palatino Linotype" w:eastAsia="Arial Unicode MS" w:hAnsi="Palatino Linotype" w:cs="Arial"/>
          <w:lang w:val="es-ES"/>
        </w:rPr>
        <w:t>, para la interpretación de datos que permitan identificar y medir los parámetros de incidencia delictiva en comparativo con otras entidades. Dentro de las funciones de este departamento están las d</w:t>
      </w:r>
      <w:r>
        <w:rPr>
          <w:rFonts w:ascii="Palatino Linotype" w:eastAsia="Arial Unicode MS" w:hAnsi="Palatino Linotype" w:cs="Arial"/>
          <w:lang w:val="es-ES"/>
        </w:rPr>
        <w:t>e actualizar la base de datos estadísticos que refleje información referente a la incidencia delictiva de la entidad; Brindar la información requerida por el Procurador relacionada con hechos o sucesos que puedan ser evaluados y debatidos por la opinión, p</w:t>
      </w:r>
      <w:r>
        <w:rPr>
          <w:rFonts w:ascii="Palatino Linotype" w:eastAsia="Arial Unicode MS" w:hAnsi="Palatino Linotype" w:cs="Arial"/>
          <w:lang w:val="es-ES"/>
        </w:rPr>
        <w:t>ública; así como proporcionar la información solicitada a través del Portal de Transparencia y Acceso a la Información Pública.</w:t>
      </w:r>
    </w:p>
    <w:p w:rsidR="0041523E" w:rsidRDefault="0041523E">
      <w:pPr>
        <w:spacing w:line="360" w:lineRule="auto"/>
        <w:jc w:val="both"/>
        <w:rPr>
          <w:rFonts w:ascii="Palatino Linotype" w:eastAsia="Arial Unicode MS" w:hAnsi="Palatino Linotype" w:cs="Arial"/>
          <w:lang w:val="es-ES"/>
        </w:rPr>
      </w:pPr>
    </w:p>
    <w:p w:rsidR="0041523E" w:rsidRDefault="001C34A3">
      <w:pPr>
        <w:spacing w:line="360" w:lineRule="auto"/>
        <w:jc w:val="both"/>
        <w:rPr>
          <w:rFonts w:ascii="Palatino Linotype" w:hAnsi="Palatino Linotype" w:cs="Arial"/>
          <w:lang w:val="es-ES"/>
        </w:rPr>
      </w:pPr>
      <w:r>
        <w:rPr>
          <w:rFonts w:ascii="Palatino Linotype" w:eastAsia="Arial Unicode MS" w:hAnsi="Palatino Linotype" w:cs="Arial"/>
          <w:lang w:val="es-ES"/>
        </w:rPr>
        <w:t>Cabe destacar que la Titular de la Dirección citada, se pronunció en respuesta a la solicitud, sin negar contar con la informac</w:t>
      </w:r>
      <w:r>
        <w:rPr>
          <w:rFonts w:ascii="Palatino Linotype" w:eastAsia="Arial Unicode MS" w:hAnsi="Palatino Linotype" w:cs="Arial"/>
          <w:lang w:val="es-ES"/>
        </w:rPr>
        <w:t xml:space="preserve">ión, puesto que únicamente se limitó a señalar que no se encontraba obligada al procesamiento de la información en los términos requeridos por el particular; sin embargo, </w:t>
      </w:r>
      <w:r>
        <w:rPr>
          <w:rFonts w:ascii="Palatino Linotype" w:hAnsi="Palatino Linotype"/>
          <w:lang w:val="es-ES"/>
        </w:rPr>
        <w:t xml:space="preserve">es necesario hacer hincapié que, </w:t>
      </w:r>
      <w:r>
        <w:rPr>
          <w:rFonts w:ascii="Palatino Linotype" w:hAnsi="Palatino Linotype" w:cs="Arial"/>
          <w:lang w:val="es-ES"/>
        </w:rPr>
        <w:t xml:space="preserve">en todo momento, los Sujetos Obligados, al analizar </w:t>
      </w:r>
      <w:r>
        <w:rPr>
          <w:rFonts w:ascii="Palatino Linotype" w:hAnsi="Palatino Linotype" w:cs="Arial"/>
          <w:lang w:val="es-ES"/>
        </w:rPr>
        <w:t>las solicitudes de información a ellos planteadas, deben verificar si puede o no tratarse de información que generen, posean o administren en el ejercicio de sus atribuciones o funciones y, en tal virtud, cuando haya información relacionada con la solicitu</w:t>
      </w:r>
      <w:r>
        <w:rPr>
          <w:rFonts w:ascii="Palatino Linotype" w:hAnsi="Palatino Linotype" w:cs="Arial"/>
          <w:lang w:val="es-ES"/>
        </w:rPr>
        <w:t xml:space="preserve">d, o bien, una </w:t>
      </w:r>
      <w:r>
        <w:rPr>
          <w:rFonts w:ascii="Palatino Linotype" w:hAnsi="Palatino Linotype" w:cs="Arial"/>
          <w:b/>
          <w:lang w:val="es-ES"/>
        </w:rPr>
        <w:t>expresión documental</w:t>
      </w:r>
      <w:r>
        <w:rPr>
          <w:rFonts w:ascii="Palatino Linotype" w:hAnsi="Palatino Linotype" w:cs="Arial"/>
          <w:lang w:val="es-ES"/>
        </w:rPr>
        <w:t xml:space="preserve">, </w:t>
      </w:r>
      <w:r>
        <w:rPr>
          <w:rFonts w:ascii="Palatino Linotype" w:hAnsi="Palatino Linotype" w:cs="Arial"/>
          <w:lang w:val="es-ES"/>
        </w:rPr>
        <w:lastRenderedPageBreak/>
        <w:t>deben atenderlas. Lo anterior, tiene apoyo en el criterio 16/17, emitido por el Pleno del INAI, el cual menciona lo siguiente:</w:t>
      </w:r>
    </w:p>
    <w:p w:rsidR="0041523E" w:rsidRDefault="0041523E">
      <w:pPr>
        <w:spacing w:line="360" w:lineRule="auto"/>
        <w:jc w:val="both"/>
        <w:rPr>
          <w:rFonts w:ascii="Palatino Linotype" w:hAnsi="Palatino Linotype" w:cs="Arial"/>
          <w:lang w:val="es-ES"/>
        </w:rPr>
      </w:pPr>
    </w:p>
    <w:p w:rsidR="0041523E" w:rsidRDefault="001C34A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 xml:space="preserve">Expresión documental. </w:t>
      </w:r>
      <w:r>
        <w:rPr>
          <w:rFonts w:ascii="Palatino Linotype" w:hAnsi="Palatino Linotype" w:cs="Arial"/>
          <w:i/>
          <w:sz w:val="22"/>
          <w:szCs w:val="22"/>
          <w:lang w:val="es-ES"/>
        </w:rPr>
        <w:t>Cuando los particulares presenten solicitudes de acceso a la informa</w:t>
      </w:r>
      <w:r>
        <w:rPr>
          <w:rFonts w:ascii="Palatino Linotype" w:hAnsi="Palatino Linotype" w:cs="Arial"/>
          <w:i/>
          <w:sz w:val="22"/>
          <w:szCs w:val="22"/>
          <w:lang w:val="es-ES"/>
        </w:rPr>
        <w:t xml:space="preserve">ción sin identificar de forma precisa la documentación que pudiera contener la información de su interés, o bien, la solicitud constituya una consulta, pero la respuesta pudiera obrar en algún documento en poder de los sujetos obligados, éstos deben dar a </w:t>
      </w:r>
      <w:r>
        <w:rPr>
          <w:rFonts w:ascii="Palatino Linotype" w:hAnsi="Palatino Linotype" w:cs="Arial"/>
          <w:i/>
          <w:sz w:val="22"/>
          <w:szCs w:val="22"/>
          <w:lang w:val="es-ES"/>
        </w:rPr>
        <w:t xml:space="preserve">dichas solicitudes una interpretación que les otorgue una expresión documental. </w:t>
      </w:r>
    </w:p>
    <w:p w:rsidR="0041523E" w:rsidRDefault="0041523E">
      <w:pPr>
        <w:ind w:left="709" w:right="757"/>
        <w:jc w:val="both"/>
        <w:rPr>
          <w:rFonts w:ascii="Palatino Linotype" w:hAnsi="Palatino Linotype" w:cs="Arial"/>
          <w:i/>
          <w:sz w:val="22"/>
          <w:szCs w:val="22"/>
          <w:lang w:val="es-ES"/>
        </w:rPr>
      </w:pPr>
    </w:p>
    <w:p w:rsidR="0041523E" w:rsidRDefault="001C34A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Resoluciones:</w:t>
      </w:r>
    </w:p>
    <w:p w:rsidR="0041523E" w:rsidRDefault="0041523E">
      <w:pPr>
        <w:ind w:left="709" w:right="757"/>
        <w:jc w:val="both"/>
        <w:rPr>
          <w:rFonts w:ascii="Palatino Linotype" w:hAnsi="Palatino Linotype" w:cs="Arial"/>
          <w:i/>
          <w:sz w:val="22"/>
          <w:szCs w:val="22"/>
          <w:lang w:val="es-ES"/>
        </w:rPr>
      </w:pPr>
    </w:p>
    <w:p w:rsidR="0041523E" w:rsidRDefault="001C34A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0774/16. Secretaría de Salud. 31 de agosto de 2016. Por unanimidad. Comisionada Ponente María Patricia Kurczyn Villalobos.</w:t>
      </w:r>
    </w:p>
    <w:p w:rsidR="0041523E" w:rsidRDefault="001C34A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r>
      <w:r>
        <w:rPr>
          <w:rFonts w:ascii="Palatino Linotype" w:hAnsi="Palatino Linotype" w:cs="Arial"/>
          <w:i/>
          <w:sz w:val="22"/>
          <w:szCs w:val="22"/>
          <w:lang w:val="es-ES"/>
        </w:rPr>
        <w:t xml:space="preserve">RRA 0143/17. Universidad Autónoma Agraria Antonio Narro. 22 de febrero de 2017. Por unanimidad. Comisionado Ponente Oscar Mauricio Guerra Ford. </w:t>
      </w:r>
    </w:p>
    <w:p w:rsidR="0041523E" w:rsidRDefault="001C34A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0540/17. Secretaría de Economía. 08 de marzo del 2017. Por unanimidad. Comisionado Ponente Francisco Javi</w:t>
      </w:r>
      <w:r>
        <w:rPr>
          <w:rFonts w:ascii="Palatino Linotype" w:hAnsi="Palatino Linotype" w:cs="Arial"/>
          <w:i/>
          <w:sz w:val="22"/>
          <w:szCs w:val="22"/>
          <w:lang w:val="es-ES"/>
        </w:rPr>
        <w:t>er Acuña Llamas.” (Sic)</w:t>
      </w:r>
    </w:p>
    <w:p w:rsidR="0041523E" w:rsidRDefault="0041523E">
      <w:pPr>
        <w:ind w:left="709" w:right="757"/>
        <w:jc w:val="both"/>
        <w:rPr>
          <w:rFonts w:ascii="Palatino Linotype" w:hAnsi="Palatino Linotype" w:cs="Arial"/>
          <w:sz w:val="22"/>
          <w:szCs w:val="22"/>
          <w:lang w:val="es-ES"/>
        </w:rPr>
      </w:pPr>
    </w:p>
    <w:p w:rsidR="0041523E" w:rsidRDefault="001C34A3">
      <w:pPr>
        <w:ind w:left="709" w:right="757"/>
        <w:jc w:val="both"/>
        <w:rPr>
          <w:rFonts w:ascii="Palatino Linotype" w:hAnsi="Palatino Linotype" w:cs="Arial"/>
          <w:sz w:val="22"/>
          <w:szCs w:val="22"/>
          <w:lang w:val="es-ES"/>
        </w:rPr>
      </w:pPr>
      <w:r>
        <w:rPr>
          <w:rFonts w:ascii="Palatino Linotype" w:hAnsi="Palatino Linotype" w:cs="Arial"/>
          <w:sz w:val="22"/>
          <w:szCs w:val="22"/>
          <w:lang w:val="es-ES"/>
        </w:rPr>
        <w:t>(Énfasis añadido)</w:t>
      </w:r>
    </w:p>
    <w:p w:rsidR="0041523E" w:rsidRDefault="0041523E">
      <w:pPr>
        <w:spacing w:line="360" w:lineRule="auto"/>
        <w:ind w:left="567" w:right="618"/>
        <w:jc w:val="both"/>
        <w:rPr>
          <w:rFonts w:ascii="Palatino Linotype" w:hAnsi="Palatino Linotype" w:cs="Arial"/>
          <w:sz w:val="22"/>
          <w:szCs w:val="22"/>
          <w:lang w:val="es-ES"/>
        </w:rPr>
      </w:pPr>
    </w:p>
    <w:p w:rsidR="0041523E" w:rsidRDefault="001C34A3">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razón de lo anterior, esta Ponencia Resolutora estima que la respuesta otorgada por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carece de una debida fundamentación y motivación, pues no remite los documentos solicitados, o aquellos de</w:t>
      </w:r>
      <w:r>
        <w:rPr>
          <w:rFonts w:ascii="Palatino Linotype" w:eastAsia="Calibri" w:hAnsi="Palatino Linotype"/>
          <w:szCs w:val="22"/>
          <w:lang w:eastAsia="en-US"/>
        </w:rPr>
        <w:t xml:space="preserve"> los que se pueda advertir la información.</w:t>
      </w:r>
    </w:p>
    <w:p w:rsidR="0041523E" w:rsidRDefault="0041523E">
      <w:pPr>
        <w:spacing w:line="360" w:lineRule="auto"/>
        <w:jc w:val="both"/>
        <w:rPr>
          <w:rFonts w:ascii="Palatino Linotype" w:eastAsia="Calibri" w:hAnsi="Palatino Linotype"/>
          <w:szCs w:val="22"/>
          <w:lang w:eastAsia="en-US"/>
        </w:rPr>
      </w:pPr>
    </w:p>
    <w:p w:rsidR="0041523E" w:rsidRDefault="001C34A3">
      <w:pPr>
        <w:widowControl w:val="0"/>
        <w:tabs>
          <w:tab w:val="left" w:pos="1276"/>
        </w:tabs>
        <w:spacing w:line="360" w:lineRule="auto"/>
        <w:jc w:val="both"/>
        <w:rPr>
          <w:rFonts w:ascii="Palatino Linotype" w:hAnsi="Palatino Linotype" w:cs="Arial"/>
        </w:rPr>
      </w:pPr>
      <w:r>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41523E" w:rsidRDefault="0041523E">
      <w:pPr>
        <w:widowControl w:val="0"/>
        <w:tabs>
          <w:tab w:val="left" w:pos="1276"/>
        </w:tabs>
        <w:spacing w:line="360" w:lineRule="auto"/>
        <w:jc w:val="both"/>
        <w:rPr>
          <w:rFonts w:ascii="Palatino Linotype" w:hAnsi="Palatino Linotype" w:cs="Arial"/>
        </w:rPr>
      </w:pPr>
    </w:p>
    <w:p w:rsidR="0041523E" w:rsidRDefault="001C34A3">
      <w:pPr>
        <w:widowControl w:val="0"/>
        <w:tabs>
          <w:tab w:val="left" w:pos="1276"/>
        </w:tabs>
        <w:ind w:left="709" w:right="757"/>
        <w:jc w:val="both"/>
        <w:rPr>
          <w:rFonts w:ascii="Palatino Linotype" w:hAnsi="Palatino Linotype" w:cs="Arial"/>
          <w:i/>
          <w:sz w:val="22"/>
        </w:rPr>
      </w:pPr>
      <w:r>
        <w:rPr>
          <w:rFonts w:ascii="Palatino Linotype" w:hAnsi="Palatino Linotype" w:cs="Arial"/>
          <w:b/>
          <w:i/>
          <w:sz w:val="22"/>
        </w:rPr>
        <w:t>“</w:t>
      </w:r>
      <w:r>
        <w:rPr>
          <w:rFonts w:ascii="Palatino Linotype" w:hAnsi="Palatino Linotype" w:cs="Arial"/>
          <w:b/>
          <w:i/>
          <w:sz w:val="22"/>
        </w:rPr>
        <w:t>FUNDAMENTACIÓN Y MOTIVACIÓN.</w:t>
      </w:r>
      <w:r>
        <w:rPr>
          <w:rFonts w:ascii="Palatino Linotype" w:hAnsi="Palatino Linotype" w:cs="Arial"/>
          <w:i/>
          <w:sz w:val="22"/>
        </w:rPr>
        <w:t xml:space="preserve"> La debida fundamentación y motivación legal, deben entenderse, por lo primero, la cita del precepto legal aplicable al caso, y por </w:t>
      </w:r>
      <w:r>
        <w:rPr>
          <w:rFonts w:ascii="Palatino Linotype" w:hAnsi="Palatino Linotype" w:cs="Arial"/>
          <w:i/>
          <w:sz w:val="22"/>
        </w:rPr>
        <w:lastRenderedPageBreak/>
        <w:t>lo segundo, las razones, motivos o circunstancias especiales que llevaron a la autoridad a concl</w:t>
      </w:r>
      <w:r>
        <w:rPr>
          <w:rFonts w:ascii="Palatino Linotype" w:hAnsi="Palatino Linotype" w:cs="Arial"/>
          <w:i/>
          <w:sz w:val="22"/>
        </w:rPr>
        <w:t>uir que el caso particular encuadra en el supuesto previsto por la norma legal invocada como fundamento…” (Sic)</w:t>
      </w:r>
    </w:p>
    <w:p w:rsidR="0041523E" w:rsidRDefault="0041523E">
      <w:pPr>
        <w:widowControl w:val="0"/>
        <w:tabs>
          <w:tab w:val="left" w:pos="1276"/>
        </w:tabs>
        <w:spacing w:line="360" w:lineRule="auto"/>
        <w:ind w:left="851" w:right="899"/>
        <w:jc w:val="both"/>
        <w:rPr>
          <w:rFonts w:ascii="Palatino Linotype" w:hAnsi="Palatino Linotype" w:cs="Arial"/>
          <w:i/>
          <w:sz w:val="22"/>
        </w:rPr>
      </w:pPr>
    </w:p>
    <w:p w:rsidR="0041523E" w:rsidRDefault="001C34A3">
      <w:pPr>
        <w:widowControl w:val="0"/>
        <w:tabs>
          <w:tab w:val="left" w:pos="1276"/>
        </w:tabs>
        <w:spacing w:line="360" w:lineRule="auto"/>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w:t>
      </w:r>
      <w:r>
        <w:rPr>
          <w:rFonts w:ascii="Palatino Linotype" w:hAnsi="Palatino Linotype" w:cs="Arial"/>
        </w:rPr>
        <w:t>ebida motivación cuando se expresan las razones, motivos o circunstancias que tomó en cuenta la autoridad para adecuar el hecho a los fundamentos de derecho, sirviendo de sustento la diversa jurisprudencia dictada por el Poder Judicial de la Federación que</w:t>
      </w:r>
      <w:r>
        <w:rPr>
          <w:rFonts w:ascii="Palatino Linotype" w:hAnsi="Palatino Linotype" w:cs="Arial"/>
        </w:rPr>
        <w:t xml:space="preserve"> sostiene que la finalidad de la fundamentación o motivación es la de explicar, justificar, posibilitar la defensa y comunicar la decisión de la autoridad:</w:t>
      </w:r>
    </w:p>
    <w:p w:rsidR="0041523E" w:rsidRDefault="0041523E">
      <w:pPr>
        <w:widowControl w:val="0"/>
        <w:tabs>
          <w:tab w:val="left" w:pos="1276"/>
        </w:tabs>
        <w:spacing w:line="360" w:lineRule="auto"/>
        <w:jc w:val="both"/>
        <w:rPr>
          <w:rFonts w:ascii="Palatino Linotype" w:hAnsi="Palatino Linotype" w:cs="Arial"/>
        </w:rPr>
      </w:pPr>
    </w:p>
    <w:p w:rsidR="0041523E" w:rsidRDefault="001C34A3">
      <w:pPr>
        <w:widowControl w:val="0"/>
        <w:tabs>
          <w:tab w:val="left" w:pos="1276"/>
        </w:tabs>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FUNDAMENTACIÓN Y MOTIVACIÓN. EL ASPECTO FORMAL DE LA GARANTÍA Y SU FINALIDAD SE TRADUCEN EN EXPLIC</w:t>
      </w:r>
      <w:r>
        <w:rPr>
          <w:rFonts w:ascii="Palatino Linotype" w:hAnsi="Palatino Linotype" w:cs="Arial"/>
          <w:b/>
          <w:i/>
          <w:sz w:val="22"/>
        </w:rPr>
        <w:t>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w:t>
      </w:r>
      <w:r>
        <w:rPr>
          <w:rFonts w:ascii="Palatino Linotype" w:hAnsi="Palatino Linotype" w:cs="Arial"/>
          <w:i/>
          <w:sz w:val="22"/>
        </w:rPr>
        <w:t>onozca el "para qué" de la conducta de la autoridad, lo que se traduce en darle a conocer en detalle y de manera completa la esencia de todas las circunstancias y condiciones que determinaron el acto de voluntad, de manera que sea evidente y muy claro para</w:t>
      </w:r>
      <w:r>
        <w:rPr>
          <w:rFonts w:ascii="Palatino Linotype" w:hAnsi="Palatino Linotype" w:cs="Arial"/>
          <w:i/>
          <w:sz w:val="22"/>
        </w:rPr>
        <w:t xml:space="preserve"> el afectado poder cuestionar y controvertir el mérito de la decisión, permitiéndole una real y auténtica defensa. Por tanto, no basta que el acto de autoridad apenas observe una motivación pro forma pero de una manera incongruente, insuficiente o imprecis</w:t>
      </w:r>
      <w:r>
        <w:rPr>
          <w:rFonts w:ascii="Palatino Linotype" w:hAnsi="Palatino Linotype" w:cs="Arial"/>
          <w:i/>
          <w:sz w:val="22"/>
        </w:rPr>
        <w:t>a, que impida la finalidad del conocimiento, comprobación y defensa pertinente, ni es válido exigirle una amplitud o abundancia superflua, pues es suficiente la expresión de lo estrictamente necesario para explicar, justificar y posibilitar la defensa, así</w:t>
      </w:r>
      <w:r>
        <w:rPr>
          <w:rFonts w:ascii="Palatino Linotype" w:hAnsi="Palatino Linotype" w:cs="Arial"/>
          <w:i/>
          <w:sz w:val="22"/>
        </w:rPr>
        <w:t xml:space="preserve"> como para comunicar la decisión a efecto de que se considere debidamente fundado y motivado, exponiendo los hechos relevantes para decidir, citando la norma habilitante y un argumento mínimo pero suficiente para acreditar el razonamiento del que se deduzc</w:t>
      </w:r>
      <w:r>
        <w:rPr>
          <w:rFonts w:ascii="Palatino Linotype" w:hAnsi="Palatino Linotype" w:cs="Arial"/>
          <w:i/>
          <w:sz w:val="22"/>
        </w:rPr>
        <w:t>a la relación de pertenencia lógica de los hechos al derecho invocado, que es la subsunción.”(Sic)</w:t>
      </w:r>
    </w:p>
    <w:p w:rsidR="0041523E" w:rsidRDefault="0041523E">
      <w:pPr>
        <w:widowControl w:val="0"/>
        <w:tabs>
          <w:tab w:val="left" w:pos="1276"/>
        </w:tabs>
        <w:spacing w:line="360" w:lineRule="auto"/>
        <w:ind w:left="851" w:right="899"/>
        <w:jc w:val="both"/>
        <w:rPr>
          <w:rFonts w:ascii="Palatino Linotype" w:hAnsi="Palatino Linotype" w:cs="Arial"/>
          <w:i/>
          <w:sz w:val="22"/>
        </w:rPr>
      </w:pPr>
    </w:p>
    <w:p w:rsidR="0041523E" w:rsidRDefault="001C34A3">
      <w:pPr>
        <w:widowControl w:val="0"/>
        <w:tabs>
          <w:tab w:val="left" w:pos="1276"/>
        </w:tabs>
        <w:spacing w:line="360" w:lineRule="auto"/>
        <w:jc w:val="both"/>
        <w:rPr>
          <w:rFonts w:ascii="Palatino Linotype" w:hAnsi="Palatino Linotype" w:cs="Arial"/>
        </w:rPr>
      </w:pPr>
      <w:r>
        <w:rPr>
          <w:rFonts w:ascii="Palatino Linotype" w:hAnsi="Palatino Linotype" w:cs="Arial"/>
        </w:rPr>
        <w:t xml:space="preserve">Por lo cual, la fundamentación y motivación implica que, en el acto de autoridad, </w:t>
      </w:r>
      <w:r>
        <w:rPr>
          <w:rFonts w:ascii="Palatino Linotype" w:hAnsi="Palatino Linotype" w:cs="Arial"/>
        </w:rPr>
        <w:lastRenderedPageBreak/>
        <w:t>además de contenerse los supuestos jurídicos aplicables, debe de explicars</w:t>
      </w:r>
      <w:r>
        <w:rPr>
          <w:rFonts w:ascii="Palatino Linotype" w:hAnsi="Palatino Linotype" w:cs="Arial"/>
        </w:rPr>
        <w:t>e claramente por qué a través de la utilización de la norma se emitió el acto. De este modo, la persona que se siente afectada pueda impugnar la decisión, permitiéndole una real y auténtica defensa.</w:t>
      </w:r>
    </w:p>
    <w:p w:rsidR="0041523E" w:rsidRDefault="0041523E">
      <w:pPr>
        <w:widowControl w:val="0"/>
        <w:tabs>
          <w:tab w:val="left" w:pos="1276"/>
        </w:tabs>
        <w:spacing w:line="360" w:lineRule="auto"/>
        <w:jc w:val="both"/>
        <w:rPr>
          <w:rFonts w:ascii="Palatino Linotype" w:hAnsi="Palatino Linotype" w:cs="Arial"/>
        </w:rPr>
      </w:pPr>
    </w:p>
    <w:p w:rsidR="0041523E" w:rsidRDefault="001C34A3">
      <w:pPr>
        <w:widowControl w:val="0"/>
        <w:tabs>
          <w:tab w:val="left" w:pos="1276"/>
        </w:tabs>
        <w:spacing w:line="360" w:lineRule="auto"/>
        <w:jc w:val="both"/>
        <w:rPr>
          <w:rFonts w:ascii="Palatino Linotype" w:hAnsi="Palatino Linotype"/>
        </w:rPr>
      </w:pPr>
      <w:r>
        <w:rPr>
          <w:rFonts w:ascii="Palatino Linotype" w:hAnsi="Palatino Linotype" w:cs="Arial"/>
        </w:rPr>
        <w:t xml:space="preserve">Ahora bien, no se omite mencionar que </w:t>
      </w:r>
      <w:r>
        <w:rPr>
          <w:rFonts w:ascii="Palatino Linotype" w:hAnsi="Palatino Linotype"/>
        </w:rPr>
        <w:t>los artículos 18 y</w:t>
      </w:r>
      <w:r>
        <w:rPr>
          <w:rFonts w:ascii="Palatino Linotype" w:hAnsi="Palatino Linotype"/>
        </w:rPr>
        <w:t xml:space="preserve"> 19 de la Ley de Transparencia y Acceso a la Información Pública del Estado de México y Municipios establecen que los sujetos obligados deben documentar todo acto que derive del ejercicio de sus facultades, competencias o funciones y que se presume que la </w:t>
      </w:r>
      <w:r>
        <w:rPr>
          <w:rFonts w:ascii="Palatino Linotype" w:hAnsi="Palatino Linotype"/>
        </w:rPr>
        <w:t>información debe existir si se refiere a dichas facultades, competencias y/o funciones.</w:t>
      </w:r>
    </w:p>
    <w:p w:rsidR="0041523E" w:rsidRDefault="0041523E">
      <w:pPr>
        <w:widowControl w:val="0"/>
        <w:tabs>
          <w:tab w:val="left" w:pos="1276"/>
        </w:tabs>
        <w:spacing w:line="360" w:lineRule="auto"/>
        <w:jc w:val="both"/>
        <w:rPr>
          <w:rFonts w:ascii="Palatino Linotype" w:hAnsi="Palatino Linotype" w:cs="Arial"/>
        </w:rPr>
      </w:pPr>
    </w:p>
    <w:p w:rsidR="0041523E" w:rsidRDefault="001C34A3">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Consecuentemente, este Instituto estima que lo dable es ordenar al </w:t>
      </w:r>
      <w:r>
        <w:rPr>
          <w:rFonts w:ascii="Palatino Linotype" w:eastAsia="Calibri" w:hAnsi="Palatino Linotype"/>
          <w:b/>
          <w:szCs w:val="22"/>
          <w:lang w:eastAsia="en-US"/>
        </w:rPr>
        <w:t>SUJETO OBLIGADO</w:t>
      </w:r>
      <w:r>
        <w:rPr>
          <w:rFonts w:ascii="Palatino Linotype" w:eastAsia="Calibri" w:hAnsi="Palatino Linotype"/>
          <w:szCs w:val="22"/>
          <w:lang w:eastAsia="en-US"/>
        </w:rPr>
        <w:t xml:space="preserve"> haga entrega de la expresión documental que satisfaga el derecho de acceso a la información, en </w:t>
      </w:r>
      <w:r>
        <w:rPr>
          <w:rFonts w:ascii="Palatino Linotype" w:eastAsia="Calibri" w:hAnsi="Palatino Linotype"/>
          <w:b/>
          <w:szCs w:val="22"/>
          <w:lang w:eastAsia="en-US"/>
        </w:rPr>
        <w:t>versión pública</w:t>
      </w:r>
      <w:r>
        <w:rPr>
          <w:rFonts w:ascii="Palatino Linotype" w:eastAsia="Calibri" w:hAnsi="Palatino Linotype"/>
          <w:szCs w:val="22"/>
          <w:lang w:eastAsia="en-US"/>
        </w:rPr>
        <w:t>, de ser procedente.</w:t>
      </w:r>
    </w:p>
    <w:p w:rsidR="0041523E" w:rsidRDefault="0041523E">
      <w:pPr>
        <w:spacing w:line="360" w:lineRule="auto"/>
        <w:jc w:val="both"/>
        <w:rPr>
          <w:rFonts w:ascii="Palatino Linotype" w:eastAsia="Arial Unicode MS" w:hAnsi="Palatino Linotype" w:cs="Arial"/>
          <w:lang w:val="es-ES"/>
        </w:rPr>
      </w:pPr>
    </w:p>
    <w:p w:rsidR="0041523E" w:rsidRDefault="001C34A3">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Lo anterior, en razón de que ante la incerteza de que la información requerida contenga datos personales, se considera pro</w:t>
      </w:r>
      <w:r>
        <w:rPr>
          <w:rFonts w:ascii="Palatino Linotype" w:eastAsia="Arial Unicode MS" w:hAnsi="Palatino Linotype" w:cs="Arial"/>
          <w:lang w:val="es-ES"/>
        </w:rPr>
        <w:t xml:space="preserve">cedente ordenar que estos deberán ser entregados en </w:t>
      </w:r>
      <w:r>
        <w:rPr>
          <w:rFonts w:ascii="Palatino Linotype" w:eastAsia="Arial Unicode MS" w:hAnsi="Palatino Linotype" w:cs="Arial"/>
          <w:b/>
          <w:lang w:val="es-ES"/>
        </w:rPr>
        <w:t>versión pública</w:t>
      </w:r>
      <w:r>
        <w:rPr>
          <w:rFonts w:ascii="Palatino Linotype" w:eastAsia="Arial Unicode MS" w:hAnsi="Palatino Linotype" w:cs="Arial"/>
          <w:lang w:val="es-ES"/>
        </w:rPr>
        <w:t>, esto es, omitirá, eliminará o suprimirá la información personal de particulares, susceptibles de ser clasificadas como confidencial o cualquier otro dato que ponga en riesgo la vida, segu</w:t>
      </w:r>
      <w:r>
        <w:rPr>
          <w:rFonts w:ascii="Palatino Linotype" w:eastAsia="Arial Unicode MS" w:hAnsi="Palatino Linotype" w:cs="Arial"/>
          <w:lang w:val="es-ES"/>
        </w:rPr>
        <w:t>ridad o salud de dicha persona.</w:t>
      </w:r>
    </w:p>
    <w:p w:rsidR="0041523E" w:rsidRDefault="0041523E">
      <w:pPr>
        <w:spacing w:line="360" w:lineRule="auto"/>
        <w:jc w:val="both"/>
        <w:rPr>
          <w:rFonts w:ascii="Palatino Linotype" w:eastAsia="Arial Unicode MS" w:hAnsi="Palatino Linotype" w:cs="Arial"/>
          <w:lang w:val="es-ES"/>
        </w:rPr>
      </w:pPr>
    </w:p>
    <w:p w:rsidR="0041523E" w:rsidRDefault="001C34A3">
      <w:pPr>
        <w:pStyle w:val="Prrafodelista"/>
        <w:widowControl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w:t>
      </w:r>
      <w:r>
        <w:rPr>
          <w:rFonts w:ascii="Palatino Linotype" w:eastAsia="Arial Unicode MS" w:hAnsi="Palatino Linotype" w:cs="Arial"/>
        </w:rPr>
        <w:t>tir, eliminar o suprimir la</w:t>
      </w:r>
      <w:r>
        <w:rPr>
          <w:rFonts w:ascii="Palatino Linotype" w:hAnsi="Palatino Linotype"/>
          <w:color w:val="000000"/>
        </w:rPr>
        <w:t xml:space="preserve"> </w:t>
      </w:r>
      <w:r>
        <w:rPr>
          <w:rFonts w:ascii="Palatino Linotype" w:hAnsi="Palatino Linotype"/>
          <w:color w:val="000000"/>
        </w:rPr>
        <w:lastRenderedPageBreak/>
        <w:t xml:space="preserve">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w:t>
      </w:r>
      <w:r>
        <w:rPr>
          <w:rFonts w:ascii="Palatino Linotype" w:hAnsi="Palatino Linotype" w:cs="Arial"/>
          <w:lang w:val="es-ES_tradnl"/>
        </w:rPr>
        <w:t>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fracciones II y III d</w:t>
      </w:r>
      <w:r>
        <w:rPr>
          <w:rFonts w:ascii="Palatino Linotype" w:hAnsi="Palatino Linotype" w:cs="Arial"/>
          <w:lang w:val="es-ES_tradnl"/>
        </w:rPr>
        <w:t>e la Ley de Transparencia y Acceso a la Información Pública del Estado de México y Municipios, así como los numerales Segundo, fracción XVIII, y del Cuarto al Décimo Primero de los Lineamientos Generales en materia de Clasificación y Desclasificación de la</w:t>
      </w:r>
      <w:r>
        <w:rPr>
          <w:rFonts w:ascii="Palatino Linotype" w:hAnsi="Palatino Linotype" w:cs="Arial"/>
          <w:lang w:val="es-ES_tradnl"/>
        </w:rPr>
        <w:t xml:space="preserve"> Información, así como para la elaboración de Versiones Públicas, que literalmente expresan:</w:t>
      </w:r>
    </w:p>
    <w:p w:rsidR="0041523E" w:rsidRDefault="0041523E">
      <w:pPr>
        <w:pStyle w:val="Prrafodelista"/>
        <w:widowControl w:val="0"/>
        <w:spacing w:line="360" w:lineRule="auto"/>
        <w:ind w:left="0"/>
        <w:jc w:val="both"/>
        <w:rPr>
          <w:rFonts w:ascii="Palatino Linotype" w:hAnsi="Palatino Linotype" w:cs="Arial"/>
          <w:lang w:val="es-ES_tradnl"/>
        </w:rPr>
      </w:pPr>
    </w:p>
    <w:p w:rsidR="0041523E" w:rsidRDefault="001C34A3">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41523E" w:rsidRDefault="0041523E">
      <w:pPr>
        <w:ind w:left="709" w:right="757"/>
        <w:jc w:val="center"/>
        <w:rPr>
          <w:rFonts w:ascii="Palatino Linotype" w:hAnsi="Palatino Linotype" w:cs="Arial"/>
          <w:b/>
          <w:i/>
          <w:sz w:val="22"/>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w:t>
      </w:r>
      <w:r>
        <w:rPr>
          <w:rFonts w:ascii="Palatino Linotype" w:hAnsi="Palatino Linotype" w:cs="Arial"/>
          <w:i/>
          <w:sz w:val="22"/>
          <w:szCs w:val="22"/>
          <w:lang w:eastAsia="es-MX"/>
        </w:rPr>
        <w:t xml:space="preserve"> o</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41523E" w:rsidRDefault="0041523E">
      <w:pPr>
        <w:ind w:left="709" w:right="757"/>
        <w:jc w:val="center"/>
        <w:rPr>
          <w:rFonts w:ascii="Palatino Linotype" w:hAnsi="Palatino Linotype" w:cs="Arial"/>
          <w:b/>
          <w:i/>
          <w:sz w:val="22"/>
          <w:szCs w:val="22"/>
          <w:lang w:eastAsia="es-MX"/>
        </w:rPr>
      </w:pPr>
    </w:p>
    <w:p w:rsidR="0041523E" w:rsidRDefault="001C34A3">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w:t>
      </w:r>
      <w:r>
        <w:rPr>
          <w:rFonts w:ascii="Palatino Linotype" w:hAnsi="Palatino Linotype" w:cs="Arial"/>
          <w:b/>
          <w:i/>
          <w:sz w:val="22"/>
        </w:rPr>
        <w:t>icas</w:t>
      </w:r>
    </w:p>
    <w:p w:rsidR="0041523E" w:rsidRDefault="0041523E">
      <w:pPr>
        <w:ind w:left="709" w:right="757"/>
        <w:jc w:val="both"/>
        <w:rPr>
          <w:rFonts w:ascii="Palatino Linotype" w:hAnsi="Palatino Linotype" w:cs="Arial"/>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w:t>
      </w:r>
      <w:r>
        <w:rPr>
          <w:rFonts w:ascii="Palatino Linotype" w:hAnsi="Palatino Linotype" w:cs="Arial"/>
          <w:i/>
          <w:sz w:val="22"/>
          <w:szCs w:val="22"/>
          <w:lang w:eastAsia="es-MX"/>
        </w:rPr>
        <w:lastRenderedPageBreak/>
        <w:t xml:space="preserve">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w:t>
      </w:r>
      <w:r>
        <w:rPr>
          <w:rFonts w:ascii="Palatino Linotype" w:hAnsi="Palatino Linotype" w:cs="Arial"/>
          <w:i/>
          <w:sz w:val="22"/>
          <w:szCs w:val="22"/>
          <w:lang w:eastAsia="es-MX"/>
        </w:rPr>
        <w:t xml:space="preserve">emita el </w:t>
      </w:r>
      <w:r>
        <w:rPr>
          <w:rFonts w:ascii="Palatino Linotype" w:hAnsi="Palatino Linotype" w:cs="Arial"/>
          <w:bCs/>
          <w:i/>
          <w:sz w:val="22"/>
        </w:rPr>
        <w:t>Comité</w:t>
      </w:r>
      <w:r>
        <w:rPr>
          <w:rFonts w:ascii="Palatino Linotype" w:hAnsi="Palatino Linotype" w:cs="Arial"/>
          <w:i/>
          <w:sz w:val="22"/>
          <w:szCs w:val="22"/>
          <w:lang w:eastAsia="es-MX"/>
        </w:rPr>
        <w:t xml:space="preserve"> de Transparencia.</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w:t>
      </w:r>
      <w:r>
        <w:rPr>
          <w:rFonts w:ascii="Palatino Linotype" w:hAnsi="Palatino Linotype" w:cs="Arial"/>
          <w:i/>
          <w:sz w:val="22"/>
          <w:szCs w:val="22"/>
          <w:lang w:eastAsia="es-MX"/>
        </w:rPr>
        <w:t>as disposiciones contenidas en los presentes lineamientos, así como en aquellas disposiciones legales aplicables a la materia en el ámbito de sus respectivas competencias, en tanto estas últimas no contravengan lo dispuesto en la Ley General.</w:t>
      </w:r>
    </w:p>
    <w:p w:rsidR="0041523E" w:rsidRDefault="0041523E">
      <w:pPr>
        <w:ind w:left="709" w:right="757"/>
        <w:jc w:val="both"/>
        <w:rPr>
          <w:rFonts w:ascii="Palatino Linotype" w:hAnsi="Palatino Linotype" w:cs="Arial"/>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w:t>
      </w:r>
      <w:r>
        <w:rPr>
          <w:rFonts w:ascii="Palatino Linotype" w:hAnsi="Palatino Linotype" w:cs="Arial"/>
          <w:i/>
          <w:sz w:val="22"/>
          <w:szCs w:val="22"/>
          <w:lang w:eastAsia="es-MX"/>
        </w:rPr>
        <w:t xml:space="preserve">obligados deberán aplicar, de manera estricta, las excepciones al derecho de acceso a la </w:t>
      </w:r>
      <w:r>
        <w:rPr>
          <w:rFonts w:ascii="Palatino Linotype" w:hAnsi="Palatino Linotype" w:cs="Arial"/>
          <w:bCs/>
          <w:i/>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w:t>
      </w:r>
      <w:r>
        <w:rPr>
          <w:rFonts w:ascii="Palatino Linotype" w:hAnsi="Palatino Linotype" w:cs="Arial"/>
          <w:i/>
          <w:sz w:val="22"/>
          <w:szCs w:val="22"/>
          <w:lang w:eastAsia="es-MX"/>
        </w:rPr>
        <w:t xml:space="preserve">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w:t>
      </w:r>
      <w:r>
        <w:rPr>
          <w:rFonts w:ascii="Palatino Linotype" w:hAnsi="Palatino Linotype" w:cs="Arial"/>
          <w:i/>
          <w:sz w:val="22"/>
          <w:szCs w:val="22"/>
          <w:lang w:eastAsia="es-MX"/>
        </w:rPr>
        <w:t>d de acceso o al momento en que generen versiones públicas para dar cumplimiento a las obligaciones de transparencia, observando lo dispuesto en la Ley General y las demás disposiciones aplicables en la materia.</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w:t>
      </w:r>
      <w:r>
        <w:rPr>
          <w:rFonts w:ascii="Palatino Linotype" w:hAnsi="Palatino Linotype" w:cs="Arial"/>
          <w:i/>
          <w:sz w:val="22"/>
          <w:szCs w:val="22"/>
          <w:lang w:eastAsia="es-MX"/>
        </w:rPr>
        <w:t xml:space="preserve">ir acuerdos de carácter general ni particular que clasifiquen </w:t>
      </w:r>
      <w:r>
        <w:rPr>
          <w:rFonts w:ascii="Palatino Linotype" w:hAnsi="Palatino Linotype" w:cs="Arial"/>
          <w:bCs/>
          <w:i/>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w:t>
      </w:r>
      <w:r>
        <w:rPr>
          <w:rFonts w:ascii="Palatino Linotype" w:hAnsi="Palatino Linotype" w:cs="Arial"/>
          <w:i/>
          <w:sz w:val="22"/>
          <w:szCs w:val="22"/>
          <w:lang w:eastAsia="es-MX"/>
        </w:rPr>
        <w:t xml:space="preserve">forme a un análisis caso por caso, mediante la aplicación </w:t>
      </w:r>
      <w:r>
        <w:rPr>
          <w:rFonts w:ascii="Palatino Linotype" w:hAnsi="Palatino Linotype" w:cs="Arial"/>
          <w:bCs/>
          <w:i/>
          <w:sz w:val="22"/>
        </w:rPr>
        <w:t>de</w:t>
      </w:r>
      <w:r>
        <w:rPr>
          <w:rFonts w:ascii="Palatino Linotype" w:hAnsi="Palatino Linotype" w:cs="Arial"/>
          <w:i/>
          <w:sz w:val="22"/>
          <w:szCs w:val="22"/>
          <w:lang w:eastAsia="es-MX"/>
        </w:rPr>
        <w:t xml:space="preserve"> la prueba de daño y de interés público.</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sz w:val="22"/>
        </w:rPr>
        <w:t>mediante</w:t>
      </w:r>
      <w:r>
        <w:rPr>
          <w:rFonts w:ascii="Palatino Linotype" w:hAnsi="Palatino Linotype" w:cs="Arial"/>
          <w:i/>
          <w:sz w:val="22"/>
          <w:szCs w:val="22"/>
          <w:lang w:eastAsia="es-MX"/>
        </w:rPr>
        <w:t xml:space="preserve"> resolución de autoridad competente, o</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41523E" w:rsidRDefault="0041523E">
      <w:pPr>
        <w:ind w:left="709" w:right="757"/>
        <w:jc w:val="both"/>
        <w:rPr>
          <w:rFonts w:ascii="Palatino Linotype" w:hAnsi="Palatino Linotype" w:cs="Arial"/>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w:t>
      </w:r>
      <w:r>
        <w:rPr>
          <w:rFonts w:ascii="Palatino Linotype" w:hAnsi="Palatino Linotype" w:cs="Arial"/>
          <w:i/>
          <w:sz w:val="22"/>
          <w:szCs w:val="22"/>
          <w:lang w:eastAsia="es-MX"/>
        </w:rPr>
        <w:t xml:space="preserve">titulares de las áreas deberán revisar la clasificación al momento de la recepción de una solicitud de </w:t>
      </w:r>
      <w:r>
        <w:rPr>
          <w:rFonts w:ascii="Palatino Linotype" w:hAnsi="Palatino Linotype" w:cs="Arial"/>
          <w:bCs/>
          <w:i/>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Octavo.</w:t>
      </w:r>
      <w:r>
        <w:rPr>
          <w:rFonts w:ascii="Palatino Linotype" w:hAnsi="Palatino Linotype" w:cs="Arial"/>
          <w:i/>
          <w:sz w:val="22"/>
          <w:szCs w:val="22"/>
          <w:lang w:eastAsia="es-MX"/>
        </w:rPr>
        <w:t xml:space="preserve"> Para fundar la clasificación de la informaci</w:t>
      </w:r>
      <w:r>
        <w:rPr>
          <w:rFonts w:ascii="Palatino Linotype" w:hAnsi="Palatino Linotype" w:cs="Arial"/>
          <w:i/>
          <w:sz w:val="22"/>
          <w:szCs w:val="22"/>
          <w:lang w:eastAsia="es-MX"/>
        </w:rPr>
        <w:t xml:space="preserve">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sz w:val="22"/>
        </w:rPr>
        <w:t>expresamente</w:t>
      </w:r>
      <w:r>
        <w:rPr>
          <w:rFonts w:ascii="Palatino Linotype" w:hAnsi="Palatino Linotype" w:cs="Arial"/>
          <w:i/>
          <w:sz w:val="22"/>
          <w:szCs w:val="22"/>
          <w:lang w:eastAsia="es-MX"/>
        </w:rPr>
        <w:t xml:space="preserve"> le otorga el carácter de reservada o confidencial.</w:t>
      </w:r>
    </w:p>
    <w:p w:rsidR="0041523E" w:rsidRDefault="001C34A3">
      <w:pPr>
        <w:ind w:left="709" w:right="757"/>
        <w:jc w:val="both"/>
        <w:rPr>
          <w:rFonts w:ascii="Palatino Linotype" w:hAnsi="Palatino Linotype" w:cs="Arial"/>
          <w:bCs/>
          <w:i/>
          <w:sz w:val="22"/>
        </w:rPr>
      </w:pPr>
      <w:r>
        <w:rPr>
          <w:rFonts w:ascii="Palatino Linotype" w:hAnsi="Palatino Linotype" w:cs="Arial"/>
          <w:i/>
          <w:sz w:val="22"/>
          <w:szCs w:val="22"/>
          <w:lang w:eastAsia="es-MX"/>
        </w:rPr>
        <w:t xml:space="preserve">Para </w:t>
      </w:r>
      <w:r>
        <w:rPr>
          <w:rFonts w:ascii="Palatino Linotype" w:hAnsi="Palatino Linotype" w:cs="Arial"/>
          <w:bCs/>
          <w:i/>
          <w:sz w:val="22"/>
        </w:rPr>
        <w:t>motivar la clasificación se deberán señalar las r</w:t>
      </w:r>
      <w:r>
        <w:rPr>
          <w:rFonts w:ascii="Palatino Linotype" w:hAnsi="Palatino Linotype" w:cs="Arial"/>
          <w:bCs/>
          <w:i/>
          <w:sz w:val="22"/>
        </w:rPr>
        <w:t xml:space="preserve">azones o circunstancias especiales que lo </w:t>
      </w:r>
      <w:r>
        <w:rPr>
          <w:rFonts w:ascii="Palatino Linotype" w:hAnsi="Palatino Linotype" w:cs="Arial"/>
          <w:i/>
          <w:sz w:val="22"/>
          <w:szCs w:val="22"/>
          <w:lang w:eastAsia="es-MX"/>
        </w:rPr>
        <w:t>llevaron</w:t>
      </w:r>
      <w:r>
        <w:rPr>
          <w:rFonts w:ascii="Palatino Linotype" w:hAnsi="Palatino Linotype" w:cs="Arial"/>
          <w:bCs/>
          <w:i/>
          <w:sz w:val="22"/>
        </w:rPr>
        <w:t xml:space="preserve"> a concluir que el caso particular se ajusta al supuesto previsto por la norma legal invocada como fundamento.</w:t>
      </w:r>
    </w:p>
    <w:p w:rsidR="0041523E" w:rsidRDefault="0041523E">
      <w:pPr>
        <w:ind w:left="709" w:right="757"/>
        <w:jc w:val="both"/>
        <w:rPr>
          <w:rFonts w:ascii="Palatino Linotype" w:hAnsi="Palatino Linotype" w:cs="Arial"/>
          <w:bCs/>
          <w:i/>
          <w:sz w:val="22"/>
        </w:rPr>
      </w:pPr>
    </w:p>
    <w:p w:rsidR="0041523E" w:rsidRDefault="001C34A3">
      <w:pPr>
        <w:ind w:left="709" w:right="757"/>
        <w:jc w:val="both"/>
        <w:rPr>
          <w:rFonts w:ascii="Palatino Linotype" w:hAnsi="Palatino Linotype" w:cs="Arial"/>
          <w:bCs/>
          <w:i/>
          <w:sz w:val="22"/>
        </w:rPr>
      </w:pPr>
      <w:r>
        <w:rPr>
          <w:rFonts w:ascii="Palatino Linotype" w:hAnsi="Palatino Linotype" w:cs="Arial"/>
          <w:bCs/>
          <w:i/>
          <w:sz w:val="22"/>
        </w:rPr>
        <w:t>En caso de referirse a información reservada, la motivación de la clasificación también deberá</w:t>
      </w:r>
      <w:r>
        <w:rPr>
          <w:rFonts w:ascii="Palatino Linotype" w:hAnsi="Palatino Linotype" w:cs="Arial"/>
          <w:bCs/>
          <w:i/>
          <w:sz w:val="22"/>
        </w:rPr>
        <w:t xml:space="preserve">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rPr>
        <w:t xml:space="preserve"> </w:t>
      </w:r>
      <w:r>
        <w:rPr>
          <w:rFonts w:ascii="Palatino Linotype" w:hAnsi="Palatino Linotype" w:cs="Arial"/>
          <w:i/>
          <w:sz w:val="22"/>
          <w:szCs w:val="22"/>
          <w:lang w:eastAsia="es-MX"/>
        </w:rPr>
        <w:t>reserva</w:t>
      </w:r>
      <w:r>
        <w:rPr>
          <w:rFonts w:ascii="Palatino Linotype" w:hAnsi="Palatino Linotype" w:cs="Arial"/>
          <w:bCs/>
          <w:i/>
          <w:sz w:val="22"/>
        </w:rPr>
        <w:t>.</w:t>
      </w:r>
    </w:p>
    <w:p w:rsidR="0041523E" w:rsidRDefault="0041523E">
      <w:pPr>
        <w:ind w:left="709" w:right="757"/>
        <w:jc w:val="both"/>
        <w:rPr>
          <w:rFonts w:ascii="Palatino Linotype" w:hAnsi="Palatino Linotype" w:cs="Arial"/>
          <w:i/>
          <w:sz w:val="22"/>
          <w:szCs w:val="22"/>
          <w:lang w:eastAsia="es-MX"/>
        </w:rPr>
      </w:pPr>
    </w:p>
    <w:p w:rsidR="0041523E" w:rsidRDefault="001C34A3">
      <w:pPr>
        <w:ind w:left="709" w:right="757"/>
        <w:jc w:val="both"/>
        <w:rPr>
          <w:rFonts w:ascii="Palatino Linotype" w:hAnsi="Palatino Linotype" w:cs="Arial"/>
          <w:bCs/>
          <w:i/>
          <w:sz w:val="22"/>
        </w:rPr>
      </w:pPr>
      <w:r>
        <w:rPr>
          <w:rFonts w:ascii="Palatino Linotype" w:hAnsi="Palatino Linotype" w:cs="Arial"/>
          <w:i/>
          <w:sz w:val="22"/>
          <w:szCs w:val="22"/>
          <w:lang w:eastAsia="es-MX"/>
        </w:rPr>
        <w:t>Tratándose</w:t>
      </w:r>
      <w:r>
        <w:rPr>
          <w:rFonts w:ascii="Palatino Linotype" w:hAnsi="Palatino Linotype" w:cs="Arial"/>
          <w:bCs/>
          <w:i/>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sz w:val="22"/>
        </w:rPr>
        <w:t xml:space="preserve"> </w:t>
      </w:r>
      <w:r>
        <w:rPr>
          <w:rFonts w:ascii="Palatino Linotype" w:hAnsi="Palatino Linotype" w:cs="Arial"/>
          <w:i/>
          <w:sz w:val="22"/>
          <w:szCs w:val="22"/>
          <w:lang w:eastAsia="es-MX"/>
        </w:rPr>
        <w:t>su</w:t>
      </w:r>
      <w:r>
        <w:rPr>
          <w:rFonts w:ascii="Palatino Linotype" w:hAnsi="Palatino Linotype" w:cs="Arial"/>
          <w:bCs/>
          <w:i/>
          <w:sz w:val="22"/>
        </w:rPr>
        <w:t xml:space="preserve"> conservación permanente por tener valor histórico, ésta co</w:t>
      </w:r>
      <w:r>
        <w:rPr>
          <w:rFonts w:ascii="Palatino Linotype" w:hAnsi="Palatino Linotype" w:cs="Arial"/>
          <w:bCs/>
          <w:i/>
          <w:sz w:val="22"/>
        </w:rPr>
        <w:t>nservará tal carácter de conformidad con la normativa aplicable en materia de archivos.</w:t>
      </w:r>
    </w:p>
    <w:p w:rsidR="0041523E" w:rsidRDefault="0041523E">
      <w:pPr>
        <w:ind w:left="709" w:right="757"/>
        <w:jc w:val="both"/>
        <w:rPr>
          <w:rFonts w:ascii="Palatino Linotype" w:hAnsi="Palatino Linotype" w:cs="Arial"/>
          <w:bCs/>
          <w:i/>
          <w:sz w:val="22"/>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Cs/>
          <w:i/>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w:t>
      </w:r>
      <w:r>
        <w:rPr>
          <w:rFonts w:ascii="Palatino Linotype" w:hAnsi="Palatino Linotype" w:cs="Arial"/>
          <w:i/>
          <w:sz w:val="22"/>
          <w:szCs w:val="22"/>
          <w:lang w:eastAsia="es-MX"/>
        </w:rPr>
        <w:t>iguiendo los procedimientos establecidos en el Capítulo IX de los presentes lineamientos.</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w:t>
      </w:r>
      <w:r>
        <w:rPr>
          <w:rFonts w:ascii="Palatino Linotype" w:hAnsi="Palatino Linotype" w:cs="Arial"/>
          <w:i/>
          <w:sz w:val="22"/>
        </w:rPr>
        <w:t>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w:t>
      </w:r>
      <w:r>
        <w:rPr>
          <w:rFonts w:ascii="Palatino Linotype" w:hAnsi="Palatino Linotype" w:cs="Arial"/>
          <w:i/>
          <w:sz w:val="22"/>
          <w:szCs w:val="22"/>
          <w:lang w:eastAsia="es-MX"/>
        </w:rPr>
        <w:t xml:space="preserve"> de Archivos.</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w:t>
      </w:r>
      <w:r>
        <w:rPr>
          <w:rFonts w:ascii="Palatino Linotype" w:hAnsi="Palatino Linotype" w:cs="Arial"/>
          <w:i/>
          <w:sz w:val="22"/>
          <w:szCs w:val="22"/>
          <w:lang w:eastAsia="es-MX"/>
        </w:rPr>
        <w:t>entre sujetos obligados para el ejercicio de sus atribuciones, los documentos que se encuentren clasificados deberán llevar la leyenda correspondiente de conformidad con lo dispuesto en el Capítulo VIII de los presentes lineamientos.</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1523E" w:rsidRDefault="0041523E">
      <w:pPr>
        <w:ind w:left="709" w:right="757"/>
        <w:jc w:val="center"/>
        <w:rPr>
          <w:rFonts w:ascii="Palatino Linotype" w:hAnsi="Palatino Linotype" w:cs="Arial"/>
          <w:b/>
          <w:i/>
          <w:sz w:val="22"/>
          <w:szCs w:val="22"/>
          <w:lang w:eastAsia="es-MX"/>
        </w:rPr>
      </w:pPr>
    </w:p>
    <w:p w:rsidR="0041523E" w:rsidRDefault="001C34A3">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lastRenderedPageBreak/>
        <w:t>CAPÍTULO VIII</w:t>
      </w:r>
    </w:p>
    <w:p w:rsidR="0041523E" w:rsidRDefault="001C34A3">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DE </w:t>
      </w:r>
      <w:r>
        <w:rPr>
          <w:rFonts w:ascii="Palatino Linotype" w:hAnsi="Palatino Linotype" w:cs="Arial"/>
          <w:b/>
          <w:i/>
          <w:sz w:val="22"/>
          <w:szCs w:val="22"/>
          <w:lang w:eastAsia="es-MX"/>
        </w:rPr>
        <w:t>LA LEYENDA DE CLASIFICACIÓN</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1523E" w:rsidRDefault="0041523E">
      <w:pPr>
        <w:ind w:left="709" w:right="757"/>
        <w:jc w:val="both"/>
        <w:rPr>
          <w:rFonts w:ascii="Palatino Linotype" w:hAnsi="Palatino Linotype" w:cs="Arial"/>
          <w:b/>
          <w:i/>
          <w:sz w:val="22"/>
          <w:szCs w:val="22"/>
          <w:lang w:eastAsia="es-MX"/>
        </w:rPr>
      </w:pPr>
    </w:p>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41523E" w:rsidRDefault="0041523E">
      <w:pPr>
        <w:ind w:left="709" w:right="757"/>
        <w:jc w:val="both"/>
        <w:rPr>
          <w:rFonts w:ascii="Palatino Linotype" w:hAnsi="Palatino Linotype" w:cs="Arial"/>
          <w:i/>
          <w:sz w:val="22"/>
          <w:szCs w:val="22"/>
          <w:lang w:eastAsia="es-MX"/>
        </w:rPr>
      </w:pPr>
    </w:p>
    <w:tbl>
      <w:tblPr>
        <w:tblW w:w="8628" w:type="dxa"/>
        <w:tblInd w:w="709" w:type="dxa"/>
        <w:tblLook w:val="04A0" w:firstRow="1" w:lastRow="0" w:firstColumn="1" w:lastColumn="0" w:noHBand="0" w:noVBand="1"/>
      </w:tblPr>
      <w:tblGrid>
        <w:gridCol w:w="1838"/>
        <w:gridCol w:w="2332"/>
        <w:gridCol w:w="4458"/>
      </w:tblGrid>
      <w:tr w:rsidR="0041523E">
        <w:tc>
          <w:tcPr>
            <w:tcW w:w="1837" w:type="dxa"/>
            <w:tcBorders>
              <w:bottom w:val="single" w:sz="4" w:space="0" w:color="000000"/>
              <w:right w:val="single" w:sz="4" w:space="0" w:color="000000"/>
            </w:tcBorders>
          </w:tcPr>
          <w:p w:rsidR="0041523E" w:rsidRDefault="0041523E">
            <w:pPr>
              <w:spacing w:line="252" w:lineRule="auto"/>
              <w:ind w:right="757"/>
              <w:jc w:val="both"/>
              <w:rPr>
                <w:rFonts w:ascii="Palatino Linotype" w:hAnsi="Palatino Linotype" w:cs="Arial"/>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b/>
                <w:i/>
              </w:rPr>
            </w:pPr>
            <w:r>
              <w:rPr>
                <w:rFonts w:ascii="Palatino Linotype" w:hAnsi="Palatino Linotype"/>
                <w:b/>
                <w:i/>
                <w:sz w:val="22"/>
                <w:szCs w:val="22"/>
              </w:rPr>
              <w:t>Concepto</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b/>
                <w:i/>
              </w:rPr>
            </w:pPr>
            <w:r>
              <w:rPr>
                <w:rFonts w:ascii="Palatino Linotype" w:hAnsi="Palatino Linotype"/>
                <w:b/>
                <w:i/>
                <w:sz w:val="22"/>
                <w:szCs w:val="22"/>
              </w:rPr>
              <w:t>Dónde:</w:t>
            </w:r>
          </w:p>
        </w:tc>
      </w:tr>
      <w:tr w:rsidR="0041523E">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41523E" w:rsidRDefault="001C34A3">
            <w:pPr>
              <w:spacing w:line="252" w:lineRule="auto"/>
              <w:ind w:right="757"/>
              <w:jc w:val="center"/>
              <w:rPr>
                <w:rFonts w:ascii="Palatino Linotype" w:hAnsi="Palatino Linotype" w:cs="Arial"/>
                <w:b/>
                <w:i/>
                <w:lang w:eastAsia="es-MX"/>
              </w:rPr>
            </w:pPr>
            <w:r>
              <w:rPr>
                <w:rFonts w:ascii="Palatino Linotype" w:hAnsi="Palatino Linotype" w:cs="Arial"/>
                <w:b/>
                <w:i/>
                <w:sz w:val="22"/>
                <w:szCs w:val="22"/>
                <w:lang w:eastAsia="es-MX"/>
              </w:rPr>
              <w:t xml:space="preserve">Sello oficial o </w:t>
            </w:r>
            <w:r>
              <w:rPr>
                <w:rFonts w:ascii="Palatino Linotype" w:hAnsi="Palatino Linotype" w:cs="Arial"/>
                <w:b/>
                <w:i/>
                <w:sz w:val="22"/>
                <w:szCs w:val="22"/>
                <w:lang w:eastAsia="es-MX"/>
              </w:rPr>
              <w:t>logotipo del sujeto obligado</w:t>
            </w: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Fecha de clasificación</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Área</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señalará el nombre del área del cual es titular quien clasifica.</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 xml:space="preserve">Información </w:t>
            </w:r>
            <w:r>
              <w:rPr>
                <w:rFonts w:ascii="Palatino Linotype" w:hAnsi="Palatino Linotype" w:cs="Arial"/>
                <w:i/>
                <w:sz w:val="22"/>
                <w:szCs w:val="22"/>
                <w:lang w:eastAsia="es-MX"/>
              </w:rPr>
              <w:t>reservada</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w:t>
            </w:r>
            <w:r>
              <w:rPr>
                <w:rFonts w:ascii="Palatino Linotype" w:hAnsi="Palatino Linotype" w:cs="Arial"/>
                <w:i/>
                <w:sz w:val="22"/>
                <w:szCs w:val="22"/>
                <w:lang w:eastAsia="es-MX"/>
              </w:rPr>
              <w:t xml:space="preserve"> tachará este apartado.</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Periodo de reserva</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Fundamento legal</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 xml:space="preserve">Se señalará el nombre del ordenamiento, el o los artículos, fracción(es), </w:t>
            </w:r>
            <w:r>
              <w:rPr>
                <w:rFonts w:ascii="Palatino Linotype" w:hAnsi="Palatino Linotype" w:cs="Arial"/>
                <w:i/>
                <w:sz w:val="22"/>
                <w:szCs w:val="22"/>
                <w:lang w:eastAsia="es-MX"/>
              </w:rPr>
              <w:t>párrafo(s) con base en los cuales se sustente la reserva.</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Ampliación del periodo de reserva</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w:t>
            </w:r>
            <w:r>
              <w:rPr>
                <w:rFonts w:ascii="Palatino Linotype" w:hAnsi="Palatino Linotype" w:cs="Arial"/>
                <w:i/>
                <w:sz w:val="22"/>
                <w:szCs w:val="22"/>
                <w:lang w:eastAsia="es-MX"/>
              </w:rPr>
              <w:t>serva.</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Confidencial</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w:t>
            </w:r>
            <w:r>
              <w:rPr>
                <w:rFonts w:ascii="Palatino Linotype" w:hAnsi="Palatino Linotype" w:cs="Arial"/>
                <w:i/>
                <w:sz w:val="22"/>
                <w:szCs w:val="22"/>
                <w:lang w:eastAsia="es-MX"/>
              </w:rPr>
              <w:t>ón confidencial, se tachará este apartado.</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Fundamento legal</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Rúbrica del titular del área</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 xml:space="preserve">Rúbrica autógrafa de </w:t>
            </w:r>
            <w:r>
              <w:rPr>
                <w:rFonts w:ascii="Palatino Linotype" w:hAnsi="Palatino Linotype" w:cs="Arial"/>
                <w:i/>
                <w:sz w:val="22"/>
                <w:szCs w:val="22"/>
                <w:lang w:eastAsia="es-MX"/>
              </w:rPr>
              <w:t>quien clasifica.</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Fecha de desclasificación</w:t>
            </w:r>
          </w:p>
        </w:tc>
        <w:tc>
          <w:tcPr>
            <w:tcW w:w="4459"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both"/>
              <w:rPr>
                <w:rFonts w:ascii="Palatino Linotype" w:hAnsi="Palatino Linotype" w:cs="Arial"/>
                <w:i/>
                <w:lang w:eastAsia="es-MX"/>
              </w:rPr>
            </w:pPr>
            <w:r>
              <w:rPr>
                <w:rFonts w:ascii="Palatino Linotype" w:hAnsi="Palatino Linotype" w:cs="Arial"/>
                <w:i/>
                <w:sz w:val="22"/>
                <w:szCs w:val="22"/>
                <w:lang w:eastAsia="es-MX"/>
              </w:rPr>
              <w:t>Se anotará la fecha en que se desclasifica el documento.</w:t>
            </w:r>
          </w:p>
        </w:tc>
      </w:tr>
      <w:tr w:rsidR="0041523E">
        <w:tc>
          <w:tcPr>
            <w:tcW w:w="1837" w:type="dxa"/>
            <w:vMerge/>
            <w:tcBorders>
              <w:top w:val="single" w:sz="4" w:space="0" w:color="000000"/>
              <w:left w:val="single" w:sz="4" w:space="0" w:color="000000"/>
              <w:bottom w:val="single" w:sz="4" w:space="0" w:color="000000"/>
              <w:right w:val="single" w:sz="4" w:space="0" w:color="000000"/>
            </w:tcBorders>
            <w:vAlign w:val="center"/>
          </w:tcPr>
          <w:p w:rsidR="0041523E" w:rsidRDefault="0041523E">
            <w:pPr>
              <w:spacing w:line="252" w:lineRule="auto"/>
              <w:rPr>
                <w:rFonts w:ascii="Palatino Linotype" w:hAnsi="Palatino Linotype" w:cs="Arial"/>
                <w:b/>
                <w:i/>
                <w:lang w:eastAsia="es-MX"/>
              </w:rPr>
            </w:pPr>
          </w:p>
        </w:tc>
        <w:tc>
          <w:tcPr>
            <w:tcW w:w="2332" w:type="dxa"/>
            <w:tcBorders>
              <w:top w:val="single" w:sz="4" w:space="0" w:color="000000"/>
              <w:left w:val="single" w:sz="4" w:space="0" w:color="000000"/>
              <w:bottom w:val="single" w:sz="4" w:space="0" w:color="000000"/>
              <w:right w:val="single" w:sz="4" w:space="0" w:color="000000"/>
            </w:tcBorders>
          </w:tcPr>
          <w:p w:rsidR="0041523E" w:rsidRDefault="001C34A3">
            <w:pPr>
              <w:spacing w:line="252" w:lineRule="auto"/>
              <w:ind w:right="757"/>
              <w:jc w:val="center"/>
              <w:rPr>
                <w:rFonts w:ascii="Palatino Linotype" w:hAnsi="Palatino Linotype" w:cs="Arial"/>
                <w:i/>
                <w:lang w:eastAsia="es-MX"/>
              </w:rPr>
            </w:pPr>
            <w:r>
              <w:rPr>
                <w:rFonts w:ascii="Palatino Linotype" w:hAnsi="Palatino Linotype" w:cs="Arial"/>
                <w:i/>
                <w:sz w:val="22"/>
                <w:szCs w:val="22"/>
                <w:lang w:eastAsia="es-MX"/>
              </w:rPr>
              <w:t>Rúbrica y cargo del servidor público</w:t>
            </w:r>
          </w:p>
        </w:tc>
        <w:tc>
          <w:tcPr>
            <w:tcW w:w="4459" w:type="dxa"/>
            <w:tcBorders>
              <w:top w:val="single" w:sz="4" w:space="0" w:color="000000"/>
              <w:left w:val="single" w:sz="4" w:space="0" w:color="000000"/>
              <w:bottom w:val="single" w:sz="4" w:space="0" w:color="000000"/>
              <w:right w:val="single" w:sz="4" w:space="0" w:color="000000"/>
            </w:tcBorders>
            <w:vAlign w:val="center"/>
          </w:tcPr>
          <w:p w:rsidR="0041523E" w:rsidRDefault="001C34A3">
            <w:pPr>
              <w:spacing w:line="252" w:lineRule="auto"/>
              <w:ind w:right="757"/>
              <w:rPr>
                <w:rFonts w:ascii="Palatino Linotype" w:hAnsi="Palatino Linotype" w:cs="Arial"/>
                <w:i/>
                <w:lang w:eastAsia="es-MX"/>
              </w:rPr>
            </w:pPr>
            <w:r>
              <w:rPr>
                <w:rFonts w:ascii="Palatino Linotype" w:hAnsi="Palatino Linotype" w:cs="Arial"/>
                <w:i/>
                <w:sz w:val="22"/>
                <w:szCs w:val="22"/>
                <w:lang w:eastAsia="es-MX"/>
              </w:rPr>
              <w:t>Rúbrica autógrafa de quien desclasifica.</w:t>
            </w:r>
          </w:p>
        </w:tc>
      </w:tr>
    </w:tbl>
    <w:p w:rsidR="0041523E" w:rsidRDefault="001C34A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1523E" w:rsidRDefault="0041523E">
      <w:pPr>
        <w:ind w:left="709" w:right="757"/>
        <w:jc w:val="both"/>
        <w:rPr>
          <w:rFonts w:ascii="Palatino Linotype" w:hAnsi="Palatino Linotype" w:cs="Arial"/>
          <w:i/>
          <w:sz w:val="22"/>
          <w:szCs w:val="22"/>
          <w:lang w:eastAsia="es-MX"/>
        </w:rPr>
      </w:pPr>
    </w:p>
    <w:p w:rsidR="0041523E" w:rsidRDefault="001C34A3">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41523E" w:rsidRDefault="0041523E">
      <w:pPr>
        <w:spacing w:line="360" w:lineRule="auto"/>
        <w:ind w:left="709" w:right="757"/>
        <w:jc w:val="both"/>
        <w:rPr>
          <w:rFonts w:ascii="Palatino Linotype" w:hAnsi="Palatino Linotype" w:cs="Arial"/>
          <w:sz w:val="22"/>
          <w:szCs w:val="22"/>
          <w:lang w:eastAsia="es-MX"/>
        </w:rPr>
      </w:pPr>
    </w:p>
    <w:p w:rsidR="0041523E" w:rsidRDefault="001C34A3">
      <w:pPr>
        <w:pStyle w:val="Prrafodelista"/>
        <w:widowControl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 xml:space="preserve">EL SUJETO </w:t>
      </w:r>
      <w:r>
        <w:rPr>
          <w:rFonts w:ascii="Palatino Linotype" w:hAnsi="Palatino Linotype"/>
          <w:b/>
        </w:rPr>
        <w:t>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w:t>
      </w:r>
      <w:r>
        <w:rPr>
          <w:rFonts w:ascii="Palatino Linotype" w:hAnsi="Palatino Linotype" w:cs="Arial"/>
        </w:rPr>
        <w:t>undamentos y razones que llevaron a la autoridad a testar, suprimir o eliminar datos de dicho soporte documental, ya que el no hacerlo, implica que lo entregado no es legal ni formalmente una versión pública, sino más bien una documentación ilegible, incom</w:t>
      </w:r>
      <w:r>
        <w:rPr>
          <w:rFonts w:ascii="Palatino Linotype" w:hAnsi="Palatino Linotype" w:cs="Arial"/>
        </w:rPr>
        <w:t xml:space="preserve">pleta o tachada; pues no señalar las razones por las que no se aprecian determinados datos, ya sea </w:t>
      </w:r>
      <w:r>
        <w:rPr>
          <w:rFonts w:ascii="Palatino Linotype" w:hAnsi="Palatino Linotype" w:cs="Arial"/>
        </w:rPr>
        <w:lastRenderedPageBreak/>
        <w:t>porque se testan o suprimen, deja al solicitante en estado de incertidumbre, al no conocer o comprender porque no aparecen en la documentación respectiva, es</w:t>
      </w:r>
      <w:r>
        <w:rPr>
          <w:rFonts w:ascii="Palatino Linotype" w:hAnsi="Palatino Linotype" w:cs="Arial"/>
        </w:rPr>
        <w:t xml:space="preserve"> decir, si no se exponen de manera puntual las razones de ello se estaría violentando desde un inicio el derecho de acceso a la información del solicitante.</w:t>
      </w:r>
    </w:p>
    <w:p w:rsidR="0041523E" w:rsidRDefault="0041523E">
      <w:pPr>
        <w:pStyle w:val="Prrafodelista"/>
        <w:widowControl w:val="0"/>
        <w:spacing w:line="360" w:lineRule="auto"/>
        <w:ind w:left="0"/>
        <w:jc w:val="both"/>
        <w:rPr>
          <w:rFonts w:ascii="Palatino Linotype" w:hAnsi="Palatino Linotype" w:cs="Arial"/>
        </w:rPr>
      </w:pPr>
    </w:p>
    <w:p w:rsidR="0041523E" w:rsidRDefault="001C34A3">
      <w:pPr>
        <w:pStyle w:val="Prrafodelista"/>
        <w:widowControl w:val="0"/>
        <w:spacing w:line="360" w:lineRule="auto"/>
        <w:ind w:left="0"/>
        <w:jc w:val="both"/>
        <w:rPr>
          <w:rFonts w:ascii="Palatino Linotype" w:hAnsi="Palatino Linotype" w:cs="Arial"/>
        </w:rPr>
      </w:pPr>
      <w:r>
        <w:rPr>
          <w:rFonts w:ascii="Palatino Linotype" w:hAnsi="Palatino Linotype"/>
        </w:rPr>
        <w:t>Precisado lo anterior, entre los datos que de manera enunciativa más no limitativa, pudieran conte</w:t>
      </w:r>
      <w:r>
        <w:rPr>
          <w:rFonts w:ascii="Palatino Linotype" w:hAnsi="Palatino Linotype"/>
        </w:rPr>
        <w:t xml:space="preserve">nerse en </w:t>
      </w:r>
      <w:r>
        <w:rPr>
          <w:rFonts w:ascii="Palatino Linotype" w:eastAsia="Arial Unicode MS" w:hAnsi="Palatino Linotype" w:cs="Arial"/>
        </w:rPr>
        <w:t>los documentos</w:t>
      </w:r>
      <w:r>
        <w:rPr>
          <w:rFonts w:ascii="Palatino Linotype" w:eastAsia="Arial Unicode MS" w:hAnsi="Palatino Linotype" w:cs="Arial"/>
          <w:b/>
        </w:rPr>
        <w:t xml:space="preserve"> </w:t>
      </w:r>
      <w:r>
        <w:rPr>
          <w:rFonts w:ascii="Palatino Linotype" w:hAnsi="Palatino Linotype"/>
        </w:rPr>
        <w:t xml:space="preserve">que se ordena entregar en versión pública, se encuentran </w:t>
      </w:r>
      <w:r>
        <w:rPr>
          <w:rFonts w:ascii="Palatino Linotype" w:hAnsi="Palatino Linotype" w:cs="Arial"/>
          <w:b/>
        </w:rPr>
        <w:t>los</w:t>
      </w:r>
      <w:r>
        <w:rPr>
          <w:rFonts w:ascii="Palatino Linotype" w:hAnsi="Palatino Linotype" w:cs="Arial"/>
        </w:rPr>
        <w:t xml:space="preserve"> </w:t>
      </w:r>
      <w:r>
        <w:rPr>
          <w:rFonts w:ascii="Palatino Linotype" w:hAnsi="Palatino Linotype" w:cs="Arial"/>
          <w:b/>
        </w:rPr>
        <w:t>domicilios particulares</w:t>
      </w:r>
      <w:r>
        <w:rPr>
          <w:rFonts w:ascii="Palatino Linotype" w:hAnsi="Palatino Linotype" w:cs="Arial"/>
        </w:rPr>
        <w:t xml:space="preserve">, </w:t>
      </w:r>
      <w:r>
        <w:rPr>
          <w:rFonts w:ascii="Palatino Linotype" w:hAnsi="Palatino Linotype" w:cs="Arial"/>
          <w:b/>
        </w:rPr>
        <w:t>huellas digitales</w:t>
      </w:r>
      <w:r>
        <w:rPr>
          <w:rFonts w:ascii="Palatino Linotype" w:hAnsi="Palatino Linotype" w:cs="Arial"/>
        </w:rPr>
        <w:t xml:space="preserve">, </w:t>
      </w:r>
      <w:r>
        <w:rPr>
          <w:rFonts w:ascii="Palatino Linotype" w:hAnsi="Palatino Linotype" w:cs="Arial"/>
          <w:b/>
        </w:rPr>
        <w:t xml:space="preserve">nombres de particulares, correos electrónicos, teléfonos particulares, </w:t>
      </w:r>
      <w:r>
        <w:rPr>
          <w:rFonts w:ascii="Palatino Linotype" w:hAnsi="Palatino Linotype" w:cs="Arial"/>
        </w:rPr>
        <w:t xml:space="preserve">entre otros,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41523E" w:rsidRDefault="0041523E">
      <w:pPr>
        <w:pStyle w:val="Prrafodelista"/>
        <w:widowControl w:val="0"/>
        <w:spacing w:line="360" w:lineRule="auto"/>
        <w:ind w:left="0"/>
        <w:jc w:val="both"/>
        <w:rPr>
          <w:rFonts w:ascii="Palatino Linotype" w:hAnsi="Palatino Linotype" w:cs="Arial"/>
        </w:rPr>
      </w:pPr>
    </w:p>
    <w:p w:rsidR="0041523E" w:rsidRDefault="001C34A3">
      <w:pPr>
        <w:spacing w:line="360" w:lineRule="auto"/>
        <w:ind w:right="49"/>
        <w:jc w:val="both"/>
        <w:rPr>
          <w:rFonts w:ascii="Palatino Linotype" w:hAnsi="Palatino Linotype" w:cs="Arial"/>
        </w:rPr>
      </w:pPr>
      <w:r>
        <w:rPr>
          <w:rFonts w:ascii="Palatino Linotype" w:eastAsia="Arial Unicode MS" w:hAnsi="Palatino Linotype" w:cs="Arial"/>
          <w:szCs w:val="22"/>
        </w:rPr>
        <w:t xml:space="preserve">En cuanto hace a los datos de particulares, </w:t>
      </w:r>
      <w:r>
        <w:rPr>
          <w:rFonts w:ascii="Palatino Linotype" w:hAnsi="Palatino Linotype" w:cs="Arial"/>
          <w:lang w:eastAsia="es-MX"/>
        </w:rPr>
        <w:t>son susceptibles de ser clasificados como información confidencial en términos del artículo 4, fracción XI de la Ley de Protección d</w:t>
      </w:r>
      <w:r>
        <w:rPr>
          <w:rFonts w:ascii="Palatino Linotype" w:hAnsi="Palatino Linotype" w:cs="Arial"/>
          <w:lang w:eastAsia="es-MX"/>
        </w:rPr>
        <w:t>e Datos Personales en Posesión de Sujetos Obligados del Estado de México y Municipios y 3 fracciones XXI y XXIII y 143 de la Ley de Transparencia y Acceso a la Información Pública del Estado de México y Municipios:</w:t>
      </w:r>
    </w:p>
    <w:p w:rsidR="0041523E" w:rsidRDefault="0041523E">
      <w:pPr>
        <w:ind w:left="709" w:right="757"/>
        <w:jc w:val="both"/>
        <w:rPr>
          <w:rFonts w:ascii="Palatino Linotype" w:hAnsi="Palatino Linotype" w:cs="Arial"/>
          <w:i/>
          <w:sz w:val="22"/>
          <w:lang w:eastAsia="es-MX"/>
        </w:rPr>
      </w:pPr>
    </w:p>
    <w:p w:rsidR="0041523E" w:rsidRDefault="001C34A3">
      <w:pPr>
        <w:ind w:left="709" w:right="757"/>
        <w:jc w:val="both"/>
        <w:rPr>
          <w:rFonts w:ascii="Palatino Linotype" w:hAnsi="Palatino Linotype" w:cs="Arial"/>
          <w:i/>
          <w:sz w:val="22"/>
          <w:lang w:eastAsia="es-MX"/>
        </w:rPr>
      </w:pPr>
      <w:r>
        <w:rPr>
          <w:rFonts w:ascii="Palatino Linotype" w:hAnsi="Palatino Linotype" w:cs="Arial"/>
          <w:i/>
          <w:sz w:val="22"/>
          <w:lang w:eastAsia="es-MX"/>
        </w:rPr>
        <w:t>“Artículo 4. Para los efectos de esta Le</w:t>
      </w:r>
      <w:r>
        <w:rPr>
          <w:rFonts w:ascii="Palatino Linotype" w:hAnsi="Palatino Linotype" w:cs="Arial"/>
          <w:i/>
          <w:sz w:val="22"/>
          <w:lang w:eastAsia="es-MX"/>
        </w:rPr>
        <w:t>y se entenderá por:</w:t>
      </w:r>
    </w:p>
    <w:p w:rsidR="0041523E" w:rsidRDefault="001C34A3">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41523E" w:rsidRDefault="001C34A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XI. </w:t>
      </w:r>
      <w:r>
        <w:rPr>
          <w:rFonts w:ascii="Palatino Linotype" w:hAnsi="Palatino Linotype" w:cs="Arial"/>
          <w:b/>
          <w:i/>
          <w:sz w:val="22"/>
          <w:lang w:eastAsia="es-MX"/>
        </w:rPr>
        <w:t>Datos personales</w:t>
      </w:r>
      <w:r>
        <w:rPr>
          <w:rFonts w:ascii="Palatino Linotype" w:hAnsi="Palatino Linotype" w:cs="Arial"/>
          <w:i/>
          <w:sz w:val="22"/>
          <w:lang w:eastAsia="es-MX"/>
        </w:rPr>
        <w:t>: a la información concerniente a una persona física o jurídica colectiva identificada o identificable, establecida en cualquier formato o modalidad, y que esté almacenada en los sistemas y bases de datos, se considerará que una persona es identificable cu</w:t>
      </w:r>
      <w:r>
        <w:rPr>
          <w:rFonts w:ascii="Palatino Linotype" w:hAnsi="Palatino Linotype" w:cs="Arial"/>
          <w:i/>
          <w:sz w:val="22"/>
          <w:lang w:eastAsia="es-MX"/>
        </w:rPr>
        <w:t xml:space="preserve">ando su identidad pueda determinarse directa o indirectamente a través de cualquier documento informativo físico o electrónico. </w:t>
      </w:r>
    </w:p>
    <w:p w:rsidR="0041523E" w:rsidRDefault="0041523E">
      <w:pPr>
        <w:ind w:left="709" w:right="757"/>
        <w:jc w:val="both"/>
        <w:rPr>
          <w:rFonts w:ascii="Palatino Linotype" w:hAnsi="Palatino Linotype" w:cs="Arial"/>
          <w:i/>
          <w:sz w:val="22"/>
          <w:lang w:eastAsia="es-MX"/>
        </w:rPr>
      </w:pPr>
    </w:p>
    <w:p w:rsidR="0041523E" w:rsidRDefault="001C34A3">
      <w:pPr>
        <w:ind w:left="709" w:right="757"/>
        <w:jc w:val="both"/>
        <w:rPr>
          <w:rFonts w:ascii="Palatino Linotype" w:hAnsi="Palatino Linotype" w:cs="Arial"/>
          <w:i/>
          <w:sz w:val="22"/>
          <w:lang w:eastAsia="es-MX"/>
        </w:rPr>
      </w:pPr>
      <w:r>
        <w:rPr>
          <w:rFonts w:ascii="Palatino Linotype" w:hAnsi="Palatino Linotype" w:cs="Arial"/>
          <w:i/>
          <w:sz w:val="22"/>
          <w:lang w:eastAsia="es-MX"/>
        </w:rPr>
        <w:t>Artículo 3. Para los efectos de la presente Ley se entenderá por:</w:t>
      </w:r>
    </w:p>
    <w:p w:rsidR="0041523E" w:rsidRDefault="0041523E">
      <w:pPr>
        <w:ind w:left="709" w:right="757"/>
        <w:jc w:val="both"/>
        <w:rPr>
          <w:rFonts w:ascii="Palatino Linotype" w:hAnsi="Palatino Linotype" w:cs="Arial"/>
          <w:i/>
          <w:sz w:val="22"/>
          <w:lang w:eastAsia="es-MX"/>
        </w:rPr>
      </w:pPr>
    </w:p>
    <w:p w:rsidR="0041523E" w:rsidRDefault="001C34A3">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41523E" w:rsidRDefault="0041523E">
      <w:pPr>
        <w:ind w:left="709" w:right="757"/>
        <w:jc w:val="both"/>
        <w:rPr>
          <w:rFonts w:ascii="Palatino Linotype" w:hAnsi="Palatino Linotype" w:cs="Arial"/>
          <w:i/>
          <w:sz w:val="22"/>
          <w:lang w:eastAsia="es-MX"/>
        </w:rPr>
      </w:pPr>
    </w:p>
    <w:p w:rsidR="0041523E" w:rsidRDefault="001C34A3">
      <w:pPr>
        <w:ind w:left="709" w:right="757"/>
        <w:jc w:val="both"/>
        <w:rPr>
          <w:rFonts w:ascii="Palatino Linotype" w:hAnsi="Palatino Linotype" w:cs="Arial"/>
          <w:b/>
          <w:i/>
          <w:sz w:val="22"/>
          <w:lang w:eastAsia="es-MX"/>
        </w:rPr>
      </w:pPr>
      <w:r>
        <w:rPr>
          <w:rFonts w:ascii="Palatino Linotype" w:hAnsi="Palatino Linotype" w:cs="Arial"/>
          <w:b/>
          <w:i/>
          <w:sz w:val="22"/>
          <w:lang w:eastAsia="es-MX"/>
        </w:rPr>
        <w:lastRenderedPageBreak/>
        <w:t>XXI. Información confidencial: Se considera como informa</w:t>
      </w:r>
      <w:r>
        <w:rPr>
          <w:rFonts w:ascii="Palatino Linotype" w:hAnsi="Palatino Linotype" w:cs="Arial"/>
          <w:b/>
          <w:i/>
          <w:sz w:val="22"/>
          <w:lang w:eastAsia="es-MX"/>
        </w:rPr>
        <w:t>ción confidencial los secretos bancario, fiduciario, industrial, comercial, fiscal, bursátil y postal, cuya titularidad corresponda a particulares, sujetos de derecho internacional o a sujetos obligados cuando no involucren el ejercicio de recursos público</w:t>
      </w:r>
      <w:r>
        <w:rPr>
          <w:rFonts w:ascii="Palatino Linotype" w:hAnsi="Palatino Linotype" w:cs="Arial"/>
          <w:b/>
          <w:i/>
          <w:sz w:val="22"/>
          <w:lang w:eastAsia="es-MX"/>
        </w:rPr>
        <w:t xml:space="preserve">s; </w:t>
      </w:r>
    </w:p>
    <w:p w:rsidR="0041523E" w:rsidRDefault="0041523E">
      <w:pPr>
        <w:ind w:left="709" w:right="757"/>
        <w:jc w:val="both"/>
        <w:rPr>
          <w:rFonts w:ascii="Palatino Linotype" w:hAnsi="Palatino Linotype" w:cs="Arial"/>
          <w:i/>
          <w:sz w:val="22"/>
          <w:lang w:eastAsia="es-MX"/>
        </w:rPr>
      </w:pPr>
    </w:p>
    <w:p w:rsidR="0041523E" w:rsidRDefault="001C34A3">
      <w:pPr>
        <w:ind w:left="709" w:right="757"/>
        <w:jc w:val="both"/>
        <w:rPr>
          <w:rFonts w:ascii="Palatino Linotype" w:hAnsi="Palatino Linotype" w:cs="Arial"/>
          <w:i/>
          <w:sz w:val="22"/>
          <w:lang w:eastAsia="es-MX"/>
        </w:rPr>
      </w:pPr>
      <w:r>
        <w:rPr>
          <w:rFonts w:ascii="Palatino Linotype" w:hAnsi="Palatino Linotype" w:cs="Arial"/>
          <w:i/>
          <w:sz w:val="22"/>
          <w:lang w:eastAsia="es-MX"/>
        </w:rPr>
        <w:t>XXII. Información de interés público: Se refiere a la información que resulta relevante o beneficiosa para la sociedad y no simplemente de interés individual, cuya divulgación resulta útil para que el público comprenda las actividades que llevan a cab</w:t>
      </w:r>
      <w:r>
        <w:rPr>
          <w:rFonts w:ascii="Palatino Linotype" w:hAnsi="Palatino Linotype" w:cs="Arial"/>
          <w:i/>
          <w:sz w:val="22"/>
          <w:lang w:eastAsia="es-MX"/>
        </w:rPr>
        <w:t>o los sujetos obligados;</w:t>
      </w:r>
    </w:p>
    <w:p w:rsidR="0041523E" w:rsidRDefault="0041523E">
      <w:pPr>
        <w:ind w:left="709" w:right="757"/>
        <w:jc w:val="both"/>
        <w:rPr>
          <w:rFonts w:ascii="Palatino Linotype" w:hAnsi="Palatino Linotype" w:cs="Arial"/>
          <w:i/>
          <w:sz w:val="22"/>
          <w:lang w:eastAsia="es-MX"/>
        </w:rPr>
      </w:pPr>
    </w:p>
    <w:p w:rsidR="0041523E" w:rsidRDefault="001C34A3">
      <w:pPr>
        <w:ind w:left="709" w:right="757"/>
        <w:jc w:val="both"/>
        <w:rPr>
          <w:rFonts w:ascii="Palatino Linotype" w:hAnsi="Palatino Linotype" w:cs="Arial"/>
          <w:i/>
          <w:sz w:val="22"/>
          <w:lang w:eastAsia="es-MX"/>
        </w:rPr>
      </w:pPr>
      <w:r>
        <w:rPr>
          <w:rFonts w:ascii="Palatino Linotype" w:hAnsi="Palatino Linotype" w:cs="Arial"/>
          <w:b/>
          <w:i/>
          <w:sz w:val="22"/>
          <w:lang w:eastAsia="es-MX"/>
        </w:rPr>
        <w:t>XXIII. Información privada: La contenida en documentos públicos o privados que refiera a la vida privada y/o los datos personales, que no son de acceso público</w:t>
      </w:r>
      <w:r>
        <w:rPr>
          <w:rFonts w:ascii="Palatino Linotype" w:hAnsi="Palatino Linotype" w:cs="Arial"/>
          <w:i/>
          <w:sz w:val="22"/>
          <w:lang w:eastAsia="es-MX"/>
        </w:rPr>
        <w:t>;”</w:t>
      </w:r>
    </w:p>
    <w:p w:rsidR="0041523E" w:rsidRDefault="0041523E">
      <w:pPr>
        <w:spacing w:line="360" w:lineRule="auto"/>
        <w:ind w:left="709" w:right="757"/>
        <w:jc w:val="both"/>
        <w:rPr>
          <w:rFonts w:ascii="Palatino Linotype" w:hAnsi="Palatino Linotype" w:cs="Arial"/>
          <w:i/>
          <w:sz w:val="22"/>
          <w:lang w:eastAsia="es-MX"/>
        </w:rPr>
      </w:pPr>
    </w:p>
    <w:p w:rsidR="0041523E" w:rsidRDefault="001C34A3">
      <w:pPr>
        <w:ind w:left="709" w:right="902"/>
        <w:jc w:val="both"/>
        <w:rPr>
          <w:rFonts w:ascii="Palatino Linotype" w:hAnsi="Palatino Linotype" w:cs="Arial"/>
          <w:i/>
          <w:sz w:val="22"/>
        </w:rPr>
      </w:pPr>
      <w:r>
        <w:rPr>
          <w:rFonts w:ascii="Palatino Linotype" w:hAnsi="Palatino Linotype" w:cs="Arial"/>
          <w:b/>
          <w:i/>
          <w:sz w:val="22"/>
        </w:rPr>
        <w:t>Artículo 143. Para los efectos de esta Ley se considera información</w:t>
      </w:r>
      <w:r>
        <w:rPr>
          <w:rFonts w:ascii="Palatino Linotype" w:hAnsi="Palatino Linotype" w:cs="Arial"/>
          <w:b/>
          <w:i/>
          <w:sz w:val="22"/>
        </w:rPr>
        <w:t xml:space="preserve"> confidencial</w:t>
      </w:r>
      <w:r>
        <w:rPr>
          <w:rFonts w:ascii="Palatino Linotype" w:hAnsi="Palatino Linotype" w:cs="Arial"/>
          <w:i/>
          <w:sz w:val="22"/>
        </w:rPr>
        <w:t>, la clasificada como tal, de manera permanente, por su naturaleza, cuando:</w:t>
      </w:r>
    </w:p>
    <w:p w:rsidR="0041523E" w:rsidRDefault="0041523E">
      <w:pPr>
        <w:ind w:left="709" w:right="902"/>
        <w:jc w:val="both"/>
        <w:rPr>
          <w:rFonts w:ascii="Palatino Linotype" w:hAnsi="Palatino Linotype" w:cs="Arial"/>
          <w:b/>
          <w:i/>
          <w:sz w:val="22"/>
        </w:rPr>
      </w:pPr>
    </w:p>
    <w:p w:rsidR="0041523E" w:rsidRDefault="001C34A3">
      <w:pPr>
        <w:ind w:left="709" w:right="902"/>
        <w:jc w:val="both"/>
        <w:rPr>
          <w:rFonts w:ascii="Palatino Linotype" w:hAnsi="Palatino Linotype" w:cs="Arial"/>
          <w:b/>
          <w:i/>
          <w:sz w:val="22"/>
        </w:rPr>
      </w:pPr>
      <w:r>
        <w:rPr>
          <w:rFonts w:ascii="Palatino Linotype" w:hAnsi="Palatino Linotype" w:cs="Arial"/>
          <w:b/>
          <w:i/>
          <w:sz w:val="22"/>
        </w:rPr>
        <w:t>I. Se refiera a la información privada y los datos personales concernientes a una persona física o jurídica colectiva identificada o identificable;</w:t>
      </w:r>
    </w:p>
    <w:p w:rsidR="0041523E" w:rsidRDefault="001C34A3">
      <w:pPr>
        <w:ind w:left="709" w:right="902"/>
        <w:jc w:val="both"/>
        <w:rPr>
          <w:rFonts w:ascii="Palatino Linotype" w:hAnsi="Palatino Linotype" w:cs="Arial"/>
          <w:i/>
          <w:sz w:val="22"/>
        </w:rPr>
      </w:pPr>
      <w:r>
        <w:rPr>
          <w:rFonts w:ascii="Palatino Linotype" w:hAnsi="Palatino Linotype" w:cs="Arial"/>
          <w:i/>
          <w:sz w:val="22"/>
        </w:rPr>
        <w:t xml:space="preserve">II. Los secretos </w:t>
      </w:r>
      <w:r>
        <w:rPr>
          <w:rFonts w:ascii="Palatino Linotype" w:hAnsi="Palatino Linotype" w:cs="Arial"/>
          <w:i/>
          <w:sz w:val="22"/>
        </w:rPr>
        <w:t>bancario, fiduciario, industrial, comercial, fiscal, bursátil y postal, cuya titularidad corresponda a particulares, sujetos de derecho internacional o a sujetos obligados cuando no involucren el ejercicio de recursos públicos; y</w:t>
      </w:r>
    </w:p>
    <w:p w:rsidR="0041523E" w:rsidRDefault="001C34A3">
      <w:pPr>
        <w:ind w:left="709" w:right="902"/>
        <w:jc w:val="both"/>
        <w:rPr>
          <w:rFonts w:ascii="Palatino Linotype" w:hAnsi="Palatino Linotype" w:cs="Arial"/>
          <w:i/>
          <w:sz w:val="22"/>
        </w:rPr>
      </w:pPr>
      <w:r>
        <w:rPr>
          <w:rFonts w:ascii="Palatino Linotype" w:hAnsi="Palatino Linotype" w:cs="Arial"/>
          <w:i/>
          <w:sz w:val="22"/>
        </w:rPr>
        <w:t xml:space="preserve">III. La que presenten los </w:t>
      </w:r>
      <w:r>
        <w:rPr>
          <w:rFonts w:ascii="Palatino Linotype" w:hAnsi="Palatino Linotype" w:cs="Arial"/>
          <w:i/>
          <w:sz w:val="22"/>
        </w:rPr>
        <w:t>particulares a los sujetos obligados, de conformidad con lo dispuesto por las leyes o los tratados internacionales.</w:t>
      </w:r>
    </w:p>
    <w:p w:rsidR="0041523E" w:rsidRDefault="0041523E">
      <w:pPr>
        <w:ind w:left="709" w:right="902"/>
        <w:jc w:val="both"/>
        <w:rPr>
          <w:rFonts w:ascii="Palatino Linotype" w:hAnsi="Palatino Linotype" w:cs="Arial"/>
          <w:i/>
          <w:sz w:val="22"/>
        </w:rPr>
      </w:pPr>
    </w:p>
    <w:p w:rsidR="0041523E" w:rsidRDefault="001C34A3">
      <w:pPr>
        <w:ind w:left="709" w:right="902"/>
        <w:jc w:val="both"/>
        <w:rPr>
          <w:rFonts w:ascii="Palatino Linotype" w:hAnsi="Palatino Linotype" w:cs="Arial"/>
          <w:i/>
          <w:sz w:val="22"/>
        </w:rPr>
      </w:pPr>
      <w:r>
        <w:rPr>
          <w:rFonts w:ascii="Palatino Linotype" w:hAnsi="Palatino Linotype" w:cs="Arial"/>
          <w:i/>
          <w:sz w:val="22"/>
        </w:rPr>
        <w:t>La información confidencial no estará́ sujeta a temporalidad alguna y sólo podrán tener acceso a ella los titulares de la misma, sus repres</w:t>
      </w:r>
      <w:r>
        <w:rPr>
          <w:rFonts w:ascii="Palatino Linotype" w:hAnsi="Palatino Linotype" w:cs="Arial"/>
          <w:i/>
          <w:sz w:val="22"/>
        </w:rPr>
        <w:t>entantes y los servidores públicos facultados para ello.</w:t>
      </w:r>
    </w:p>
    <w:p w:rsidR="0041523E" w:rsidRDefault="0041523E">
      <w:pPr>
        <w:ind w:left="709" w:right="902"/>
        <w:jc w:val="both"/>
        <w:rPr>
          <w:rFonts w:ascii="Palatino Linotype" w:hAnsi="Palatino Linotype" w:cs="Arial"/>
          <w:i/>
          <w:sz w:val="22"/>
        </w:rPr>
      </w:pPr>
    </w:p>
    <w:p w:rsidR="0041523E" w:rsidRDefault="001C34A3">
      <w:pPr>
        <w:ind w:left="709" w:right="902"/>
        <w:jc w:val="both"/>
        <w:rPr>
          <w:rFonts w:ascii="Palatino Linotype" w:hAnsi="Palatino Linotype" w:cs="Arial"/>
          <w:i/>
          <w:sz w:val="22"/>
        </w:rPr>
      </w:pPr>
      <w:r>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w:t>
      </w:r>
      <w:r>
        <w:rPr>
          <w:rFonts w:ascii="Palatino Linotype" w:hAnsi="Palatino Linotype" w:cs="Arial"/>
          <w:i/>
          <w:sz w:val="22"/>
        </w:rPr>
        <w:t>ca.”</w:t>
      </w:r>
    </w:p>
    <w:p w:rsidR="0041523E" w:rsidRDefault="0041523E">
      <w:pPr>
        <w:pStyle w:val="Prrafodelista"/>
        <w:widowControl w:val="0"/>
        <w:spacing w:line="360" w:lineRule="auto"/>
        <w:ind w:left="0"/>
        <w:jc w:val="both"/>
        <w:rPr>
          <w:rFonts w:ascii="Palatino Linotype" w:hAnsi="Palatino Linotype" w:cs="Arial"/>
        </w:rPr>
      </w:pPr>
    </w:p>
    <w:p w:rsidR="0041523E" w:rsidRDefault="001C34A3">
      <w:pPr>
        <w:spacing w:line="360" w:lineRule="auto"/>
        <w:jc w:val="both"/>
        <w:rPr>
          <w:rFonts w:ascii="Palatino Linotype" w:hAnsi="Palatino Linotype" w:cs="Arial"/>
        </w:rPr>
      </w:pPr>
      <w:r>
        <w:rPr>
          <w:rFonts w:ascii="Palatino Linotype" w:hAnsi="Palatino Linotype" w:cs="Arial"/>
        </w:rPr>
        <w:t xml:space="preserve">En cuanto a la huella dactilar, el INAI emitió la Guía para el tratamiento de datos biométricos en la cual estipuló que dentro de los datos biométricos que refieren a </w:t>
      </w:r>
      <w:r>
        <w:rPr>
          <w:rFonts w:ascii="Palatino Linotype" w:hAnsi="Palatino Linotype" w:cs="Arial"/>
        </w:rPr>
        <w:lastRenderedPageBreak/>
        <w:t xml:space="preserve">características físicas y fisiológicas se encuentra la huella dactilar, la retina, </w:t>
      </w:r>
      <w:r>
        <w:rPr>
          <w:rFonts w:ascii="Palatino Linotype" w:hAnsi="Palatino Linotype" w:cs="Arial"/>
        </w:rPr>
        <w:t>el iris, la geometría de la mano o de los dedos, la estructura de las venas de la mano, la forma de las orejas, la piel o textura de la superficie dérmica, el ADN, la composición química del olor corporal y el patrón vascular, pulsación cardíaca, entre otr</w:t>
      </w:r>
      <w:r>
        <w:rPr>
          <w:rFonts w:ascii="Palatino Linotype" w:hAnsi="Palatino Linotype" w:cs="Arial"/>
        </w:rPr>
        <w:t>os.</w:t>
      </w:r>
    </w:p>
    <w:p w:rsidR="0041523E" w:rsidRDefault="0041523E">
      <w:pPr>
        <w:spacing w:line="360" w:lineRule="auto"/>
        <w:jc w:val="both"/>
        <w:rPr>
          <w:rFonts w:ascii="Palatino Linotype" w:hAnsi="Palatino Linotype" w:cs="Arial"/>
        </w:rPr>
      </w:pPr>
    </w:p>
    <w:p w:rsidR="0041523E" w:rsidRDefault="001C34A3">
      <w:pPr>
        <w:spacing w:line="360" w:lineRule="auto"/>
        <w:jc w:val="both"/>
        <w:rPr>
          <w:rFonts w:ascii="Palatino Linotype" w:hAnsi="Palatino Linotype" w:cs="Arial"/>
        </w:rPr>
      </w:pPr>
      <w:r>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w:t>
      </w:r>
      <w:r>
        <w:rPr>
          <w:rFonts w:ascii="Palatino Linotype" w:hAnsi="Palatino Linotype" w:cs="Arial"/>
        </w:rPr>
        <w:t>cuentran dispuestas de modo único. Cuando se registra una huella dactilar en un sistema de reconocimiento, ésta aparece como una serie de líneas oscuras que representan las crestas y de líneas blancas que representan los valles, ubicados entre las crestas.</w:t>
      </w:r>
      <w:r>
        <w:rPr>
          <w:rFonts w:ascii="Palatino Linotype" w:hAnsi="Palatino Linotype" w:cs="Arial"/>
        </w:rPr>
        <w:t xml:space="preserve"> A menudo, las crestas son más cortas y se detienen y comienzan abruptamente. Esta combinación de crestas y valles, con sus correspondientes ubicaciones, direcciones, bifurcaciones, inicios y finales -las minucias-, resultan en un patrón único de caracterí</w:t>
      </w:r>
      <w:r>
        <w:rPr>
          <w:rFonts w:ascii="Palatino Linotype" w:hAnsi="Palatino Linotype" w:cs="Arial"/>
        </w:rPr>
        <w:t>sticas de cada huella dactilar. Las minucias son, entonces, aquellos puntos de interés en toda huella digital.</w:t>
      </w:r>
    </w:p>
    <w:p w:rsidR="0041523E" w:rsidRDefault="0041523E">
      <w:pPr>
        <w:spacing w:line="360" w:lineRule="auto"/>
        <w:jc w:val="both"/>
        <w:rPr>
          <w:rFonts w:ascii="Palatino Linotype" w:hAnsi="Palatino Linotype" w:cs="Arial"/>
        </w:rPr>
      </w:pPr>
    </w:p>
    <w:p w:rsidR="0041523E" w:rsidRDefault="001C34A3">
      <w:pPr>
        <w:spacing w:line="360" w:lineRule="auto"/>
        <w:jc w:val="both"/>
        <w:rPr>
          <w:rFonts w:ascii="Palatino Linotype" w:hAnsi="Palatino Linotype" w:cs="Arial"/>
        </w:rPr>
      </w:pPr>
      <w:r>
        <w:rPr>
          <w:rFonts w:ascii="Palatino Linotype" w:hAnsi="Palatino Linotype" w:cs="Arial"/>
        </w:rPr>
        <w:t>En ese sentido, podemos concluir que las huellas dactilares refieren y están asociadas a una persona física en lo particular; por lo tanto, dich</w:t>
      </w:r>
      <w:r>
        <w:rPr>
          <w:rFonts w:ascii="Palatino Linotype" w:hAnsi="Palatino Linotype" w:cs="Arial"/>
        </w:rPr>
        <w:t>o dato personal sensible debe ser protegido mediante la elaboración de la versión pública correspondiente.</w:t>
      </w:r>
    </w:p>
    <w:p w:rsidR="0041523E" w:rsidRDefault="0041523E">
      <w:pPr>
        <w:spacing w:line="360" w:lineRule="auto"/>
        <w:jc w:val="both"/>
        <w:rPr>
          <w:rFonts w:ascii="Palatino Linotype" w:hAnsi="Palatino Linotype" w:cs="Arial"/>
          <w:lang w:eastAsia="es-MX"/>
        </w:rPr>
      </w:pPr>
    </w:p>
    <w:p w:rsidR="0041523E" w:rsidRDefault="001C34A3">
      <w:pPr>
        <w:spacing w:line="360" w:lineRule="auto"/>
        <w:ind w:right="-93"/>
        <w:jc w:val="both"/>
        <w:rPr>
          <w:rFonts w:ascii="Palatino Linotype" w:hAnsi="Palatino Linotype" w:cs="Arial"/>
          <w:lang w:eastAsia="es-MX"/>
        </w:rPr>
      </w:pPr>
      <w:r>
        <w:rPr>
          <w:rFonts w:ascii="Palatino Linotype" w:hAnsi="Palatino Linotype"/>
        </w:rPr>
        <w:t xml:space="preserve">En </w:t>
      </w:r>
      <w:r>
        <w:rPr>
          <w:rFonts w:ascii="Palatino Linotype" w:hAnsi="Palatino Linotype" w:cs="Arial"/>
          <w:lang w:eastAsia="es-MX"/>
        </w:rPr>
        <w:t>lo que respecta al domicilio de una persona física (domicilio particular), conforme a lo dispuesto por el artículo 2.17 del Código Civil del Esta</w:t>
      </w:r>
      <w:r>
        <w:rPr>
          <w:rFonts w:ascii="Palatino Linotype" w:hAnsi="Palatino Linotype" w:cs="Arial"/>
          <w:lang w:eastAsia="es-MX"/>
        </w:rPr>
        <w:t>do de México, éste “</w:t>
      </w:r>
      <w:r>
        <w:rPr>
          <w:rFonts w:ascii="Palatino Linotype" w:hAnsi="Palatino Linotype" w:cs="Arial"/>
          <w:i/>
          <w:lang w:eastAsia="es-MX"/>
        </w:rPr>
        <w:t xml:space="preserve">es el lugar </w:t>
      </w:r>
      <w:r>
        <w:rPr>
          <w:rFonts w:ascii="Palatino Linotype" w:hAnsi="Palatino Linotype" w:cs="Arial"/>
          <w:i/>
          <w:lang w:eastAsia="es-MX"/>
        </w:rPr>
        <w:lastRenderedPageBreak/>
        <w:t>donde reside con el propósito de establecerse en él; a falta de éste, el lugar en que tiene el principal asiento de sus negocios; y a falta de uno y otro, el lugar en que se halle</w:t>
      </w:r>
      <w:r>
        <w:rPr>
          <w:rFonts w:ascii="Palatino Linotype" w:hAnsi="Palatino Linotype" w:cs="Arial"/>
          <w:lang w:eastAsia="es-MX"/>
        </w:rPr>
        <w:t>”</w:t>
      </w:r>
    </w:p>
    <w:p w:rsidR="0041523E" w:rsidRDefault="0041523E">
      <w:pPr>
        <w:spacing w:line="360" w:lineRule="auto"/>
        <w:ind w:right="-93"/>
        <w:jc w:val="both"/>
        <w:rPr>
          <w:rFonts w:ascii="Palatino Linotype" w:hAnsi="Palatino Linotype" w:cs="Arial"/>
          <w:lang w:eastAsia="es-MX"/>
        </w:rPr>
      </w:pPr>
    </w:p>
    <w:p w:rsidR="0041523E" w:rsidRDefault="001C34A3">
      <w:pPr>
        <w:spacing w:line="360" w:lineRule="auto"/>
        <w:ind w:right="-93"/>
        <w:jc w:val="both"/>
        <w:rPr>
          <w:rFonts w:ascii="Palatino Linotype" w:hAnsi="Palatino Linotype" w:cs="Arial"/>
          <w:lang w:eastAsia="es-MX"/>
        </w:rPr>
      </w:pPr>
      <w:r>
        <w:rPr>
          <w:rFonts w:ascii="Palatino Linotype" w:hAnsi="Palatino Linotype" w:cs="Arial"/>
          <w:lang w:eastAsia="es-MX"/>
        </w:rPr>
        <w:t>Por su parte, el Instituto Nacional de Est</w:t>
      </w:r>
      <w:r>
        <w:rPr>
          <w:rFonts w:ascii="Palatino Linotype" w:hAnsi="Palatino Linotype" w:cs="Arial"/>
          <w:lang w:eastAsia="es-MX"/>
        </w:rPr>
        <w:t xml:space="preserve">adística y Geografía, define como Domicilio geográfico, el espacio al interior de una localidad o referido a una vía de comunicación que ocupa un inmueble (edificación o terreno) donde pueden establecerse una o más personas o unidades económicas, a fin de </w:t>
      </w:r>
      <w:r>
        <w:rPr>
          <w:rFonts w:ascii="Palatino Linotype" w:hAnsi="Palatino Linotype" w:cs="Arial"/>
          <w:lang w:eastAsia="es-MX"/>
        </w:rPr>
        <w:t>dar cumplimiento a sus obligaciones o derechos. El domicilio geográfico deberá comprender atributos del ámbito urbano-rural, y deberá aplicarse para el concepto de un lugar localizable espacialmente, donde alguien o algo se considere establecido:</w:t>
      </w:r>
    </w:p>
    <w:p w:rsidR="0041523E" w:rsidRDefault="0041523E">
      <w:pPr>
        <w:spacing w:line="360" w:lineRule="auto"/>
        <w:ind w:right="-93"/>
        <w:jc w:val="both"/>
        <w:rPr>
          <w:rFonts w:ascii="Palatino Linotype" w:hAnsi="Palatino Linotype" w:cs="Arial"/>
          <w:lang w:eastAsia="es-MX"/>
        </w:rPr>
      </w:pPr>
    </w:p>
    <w:p w:rsidR="0041523E" w:rsidRDefault="001C34A3">
      <w:pPr>
        <w:spacing w:line="360" w:lineRule="auto"/>
        <w:ind w:right="-93"/>
        <w:jc w:val="both"/>
      </w:pPr>
      <w:r>
        <w:t>Los comp</w:t>
      </w:r>
      <w:r>
        <w:t>onentes que integran el Domicilio Geográfico son:</w:t>
      </w:r>
    </w:p>
    <w:p w:rsidR="0041523E" w:rsidRDefault="0041523E">
      <w:pPr>
        <w:spacing w:line="360" w:lineRule="auto"/>
        <w:ind w:right="-93"/>
        <w:jc w:val="both"/>
      </w:pPr>
    </w:p>
    <w:tbl>
      <w:tblPr>
        <w:tblStyle w:val="Tablaconcuadrcula"/>
        <w:tblW w:w="9295" w:type="dxa"/>
        <w:jc w:val="center"/>
        <w:tblLook w:val="04A0" w:firstRow="1" w:lastRow="0" w:firstColumn="1" w:lastColumn="0" w:noHBand="0" w:noVBand="1"/>
      </w:tblPr>
      <w:tblGrid>
        <w:gridCol w:w="2022"/>
        <w:gridCol w:w="3402"/>
        <w:gridCol w:w="3871"/>
      </w:tblGrid>
      <w:tr w:rsidR="0041523E">
        <w:trPr>
          <w:jc w:val="center"/>
        </w:trPr>
        <w:tc>
          <w:tcPr>
            <w:tcW w:w="2022" w:type="dxa"/>
            <w:tcBorders>
              <w:top w:val="nil"/>
              <w:left w:val="nil"/>
              <w:bottom w:val="nil"/>
              <w:right w:val="nil"/>
            </w:tcBorders>
            <w:vAlign w:val="center"/>
          </w:tcPr>
          <w:p w:rsidR="0041523E" w:rsidRDefault="001C34A3">
            <w:pPr>
              <w:spacing w:line="360" w:lineRule="auto"/>
              <w:ind w:right="-93"/>
              <w:jc w:val="center"/>
              <w:rPr>
                <w:b/>
              </w:rPr>
            </w:pPr>
            <w:r>
              <w:rPr>
                <w:rFonts w:eastAsiaTheme="minorHAnsi"/>
                <w:b/>
                <w:szCs w:val="22"/>
                <w:lang w:eastAsia="en-US"/>
              </w:rPr>
              <w:t>ESPACIALES</w:t>
            </w:r>
          </w:p>
        </w:tc>
        <w:tc>
          <w:tcPr>
            <w:tcW w:w="3402" w:type="dxa"/>
            <w:tcBorders>
              <w:top w:val="nil"/>
              <w:left w:val="nil"/>
              <w:bottom w:val="nil"/>
              <w:right w:val="nil"/>
            </w:tcBorders>
            <w:vAlign w:val="center"/>
          </w:tcPr>
          <w:p w:rsidR="0041523E" w:rsidRDefault="001C34A3">
            <w:pPr>
              <w:spacing w:line="360" w:lineRule="auto"/>
              <w:ind w:right="-93"/>
              <w:jc w:val="center"/>
              <w:rPr>
                <w:b/>
              </w:rPr>
            </w:pPr>
            <w:r>
              <w:rPr>
                <w:rFonts w:eastAsiaTheme="minorHAnsi"/>
                <w:b/>
                <w:szCs w:val="22"/>
                <w:lang w:eastAsia="en-US"/>
              </w:rPr>
              <w:t>DE REFERENCIA</w:t>
            </w:r>
          </w:p>
        </w:tc>
        <w:tc>
          <w:tcPr>
            <w:tcW w:w="3871" w:type="dxa"/>
            <w:tcBorders>
              <w:top w:val="nil"/>
              <w:left w:val="nil"/>
              <w:bottom w:val="nil"/>
              <w:right w:val="nil"/>
            </w:tcBorders>
            <w:vAlign w:val="center"/>
          </w:tcPr>
          <w:p w:rsidR="0041523E" w:rsidRDefault="001C34A3">
            <w:pPr>
              <w:spacing w:line="360" w:lineRule="auto"/>
              <w:ind w:right="-93"/>
              <w:jc w:val="center"/>
              <w:rPr>
                <w:b/>
              </w:rPr>
            </w:pPr>
            <w:r>
              <w:rPr>
                <w:rFonts w:eastAsiaTheme="minorHAnsi"/>
                <w:b/>
                <w:szCs w:val="22"/>
                <w:lang w:eastAsia="en-US"/>
              </w:rPr>
              <w:t>GEOESTADÍSTICOS</w:t>
            </w:r>
          </w:p>
        </w:tc>
      </w:tr>
      <w:tr w:rsidR="0041523E">
        <w:trPr>
          <w:jc w:val="center"/>
        </w:trPr>
        <w:tc>
          <w:tcPr>
            <w:tcW w:w="202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Vialidad</w:t>
            </w:r>
          </w:p>
        </w:tc>
        <w:tc>
          <w:tcPr>
            <w:tcW w:w="340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Número Exterior</w:t>
            </w:r>
          </w:p>
        </w:tc>
        <w:tc>
          <w:tcPr>
            <w:tcW w:w="3871"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Área Geoestadística Estatal</w:t>
            </w:r>
          </w:p>
        </w:tc>
      </w:tr>
      <w:tr w:rsidR="0041523E">
        <w:trPr>
          <w:jc w:val="center"/>
        </w:trPr>
        <w:tc>
          <w:tcPr>
            <w:tcW w:w="202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Carretera</w:t>
            </w:r>
          </w:p>
        </w:tc>
        <w:tc>
          <w:tcPr>
            <w:tcW w:w="340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Número Interior</w:t>
            </w:r>
          </w:p>
        </w:tc>
        <w:tc>
          <w:tcPr>
            <w:tcW w:w="3871"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Área Geoestadística Municipal</w:t>
            </w:r>
          </w:p>
        </w:tc>
      </w:tr>
      <w:tr w:rsidR="0041523E">
        <w:trPr>
          <w:jc w:val="center"/>
        </w:trPr>
        <w:tc>
          <w:tcPr>
            <w:tcW w:w="202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Camino</w:t>
            </w:r>
          </w:p>
        </w:tc>
        <w:tc>
          <w:tcPr>
            <w:tcW w:w="340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Asentamiento Humano</w:t>
            </w:r>
          </w:p>
        </w:tc>
        <w:tc>
          <w:tcPr>
            <w:tcW w:w="3871"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Localidad</w:t>
            </w:r>
          </w:p>
        </w:tc>
      </w:tr>
      <w:tr w:rsidR="0041523E">
        <w:trPr>
          <w:jc w:val="center"/>
        </w:trPr>
        <w:tc>
          <w:tcPr>
            <w:tcW w:w="2022" w:type="dxa"/>
            <w:tcBorders>
              <w:top w:val="nil"/>
              <w:left w:val="nil"/>
              <w:bottom w:val="nil"/>
              <w:right w:val="nil"/>
            </w:tcBorders>
            <w:vAlign w:val="center"/>
          </w:tcPr>
          <w:p w:rsidR="0041523E" w:rsidRDefault="0041523E">
            <w:pPr>
              <w:pStyle w:val="Prrafodelista"/>
              <w:spacing w:line="360" w:lineRule="auto"/>
              <w:ind w:left="720" w:right="-93"/>
              <w:jc w:val="both"/>
              <w:rPr>
                <w:rFonts w:eastAsiaTheme="minorHAnsi"/>
                <w:szCs w:val="22"/>
                <w:lang w:eastAsia="en-US"/>
              </w:rPr>
            </w:pPr>
          </w:p>
        </w:tc>
        <w:tc>
          <w:tcPr>
            <w:tcW w:w="340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eastAsiaTheme="minorHAnsi"/>
                <w:szCs w:val="22"/>
                <w:lang w:eastAsia="en-US"/>
              </w:rPr>
            </w:pPr>
            <w:r>
              <w:rPr>
                <w:rFonts w:eastAsiaTheme="minorHAnsi"/>
                <w:szCs w:val="22"/>
                <w:lang w:eastAsia="en-US"/>
              </w:rPr>
              <w:t>Código Postal</w:t>
            </w:r>
          </w:p>
        </w:tc>
        <w:tc>
          <w:tcPr>
            <w:tcW w:w="3871" w:type="dxa"/>
            <w:tcBorders>
              <w:top w:val="nil"/>
              <w:left w:val="nil"/>
              <w:bottom w:val="nil"/>
              <w:right w:val="nil"/>
            </w:tcBorders>
            <w:vAlign w:val="center"/>
          </w:tcPr>
          <w:p w:rsidR="0041523E" w:rsidRDefault="0041523E">
            <w:pPr>
              <w:pStyle w:val="Prrafodelista"/>
              <w:spacing w:line="360" w:lineRule="auto"/>
              <w:ind w:left="720" w:right="-93"/>
              <w:jc w:val="both"/>
              <w:rPr>
                <w:rFonts w:eastAsiaTheme="minorHAnsi"/>
                <w:szCs w:val="22"/>
                <w:lang w:eastAsia="en-US"/>
              </w:rPr>
            </w:pPr>
          </w:p>
        </w:tc>
      </w:tr>
      <w:tr w:rsidR="0041523E">
        <w:trPr>
          <w:jc w:val="center"/>
        </w:trPr>
        <w:tc>
          <w:tcPr>
            <w:tcW w:w="2022" w:type="dxa"/>
            <w:tcBorders>
              <w:top w:val="nil"/>
              <w:left w:val="nil"/>
              <w:bottom w:val="nil"/>
              <w:right w:val="nil"/>
            </w:tcBorders>
            <w:vAlign w:val="center"/>
          </w:tcPr>
          <w:p w:rsidR="0041523E" w:rsidRDefault="0041523E">
            <w:pPr>
              <w:pStyle w:val="Prrafodelista"/>
              <w:spacing w:line="360" w:lineRule="auto"/>
              <w:ind w:left="720" w:right="-93"/>
              <w:jc w:val="both"/>
              <w:rPr>
                <w:rFonts w:eastAsiaTheme="minorHAnsi"/>
                <w:szCs w:val="22"/>
                <w:lang w:eastAsia="en-US"/>
              </w:rPr>
            </w:pPr>
          </w:p>
        </w:tc>
        <w:tc>
          <w:tcPr>
            <w:tcW w:w="3402" w:type="dxa"/>
            <w:tcBorders>
              <w:top w:val="nil"/>
              <w:left w:val="nil"/>
              <w:bottom w:val="nil"/>
              <w:right w:val="nil"/>
            </w:tcBorders>
            <w:vAlign w:val="center"/>
          </w:tcPr>
          <w:p w:rsidR="0041523E" w:rsidRDefault="001C34A3">
            <w:pPr>
              <w:pStyle w:val="Prrafodelista"/>
              <w:numPr>
                <w:ilvl w:val="0"/>
                <w:numId w:val="3"/>
              </w:numPr>
              <w:spacing w:line="360" w:lineRule="auto"/>
              <w:ind w:left="720" w:right="-93" w:hanging="360"/>
              <w:jc w:val="both"/>
              <w:rPr>
                <w:rFonts w:ascii="Palatino Linotype" w:hAnsi="Palatino Linotype" w:cs="Arial"/>
                <w:lang w:eastAsia="es-MX"/>
              </w:rPr>
            </w:pPr>
            <w:r>
              <w:rPr>
                <w:rFonts w:eastAsiaTheme="minorHAnsi"/>
                <w:szCs w:val="22"/>
                <w:lang w:eastAsia="en-US"/>
              </w:rPr>
              <w:t>Descripción de Ubicación</w:t>
            </w:r>
          </w:p>
        </w:tc>
        <w:tc>
          <w:tcPr>
            <w:tcW w:w="3871" w:type="dxa"/>
            <w:tcBorders>
              <w:top w:val="nil"/>
              <w:left w:val="nil"/>
              <w:bottom w:val="nil"/>
              <w:right w:val="nil"/>
            </w:tcBorders>
            <w:vAlign w:val="center"/>
          </w:tcPr>
          <w:p w:rsidR="0041523E" w:rsidRDefault="0041523E">
            <w:pPr>
              <w:pStyle w:val="Prrafodelista"/>
              <w:spacing w:line="360" w:lineRule="auto"/>
              <w:ind w:left="720" w:right="-93"/>
              <w:jc w:val="both"/>
              <w:rPr>
                <w:rFonts w:eastAsiaTheme="minorHAnsi"/>
                <w:szCs w:val="22"/>
                <w:lang w:eastAsia="en-US"/>
              </w:rPr>
            </w:pPr>
          </w:p>
        </w:tc>
      </w:tr>
    </w:tbl>
    <w:p w:rsidR="0041523E" w:rsidRDefault="0041523E">
      <w:pPr>
        <w:spacing w:line="360" w:lineRule="auto"/>
        <w:ind w:right="-93"/>
        <w:jc w:val="both"/>
        <w:rPr>
          <w:rFonts w:ascii="Palatino Linotype" w:hAnsi="Palatino Linotype" w:cs="Arial"/>
          <w:lang w:eastAsia="es-MX"/>
        </w:rPr>
      </w:pPr>
    </w:p>
    <w:p w:rsidR="0041523E" w:rsidRDefault="001C34A3">
      <w:pPr>
        <w:spacing w:line="360" w:lineRule="auto"/>
        <w:ind w:right="-93"/>
        <w:jc w:val="both"/>
        <w:rPr>
          <w:rFonts w:ascii="Palatino Linotype" w:hAnsi="Palatino Linotype" w:cs="Arial"/>
          <w:lang w:eastAsia="es-MX"/>
        </w:rPr>
      </w:pPr>
      <w:r>
        <w:rPr>
          <w:rFonts w:ascii="Palatino Linotype" w:hAnsi="Palatino Linotype" w:cs="Arial"/>
          <w:lang w:eastAsia="es-MX"/>
        </w:rPr>
        <w:t xml:space="preserve">En ese sentido, el dato sobre el domicilio particular si es información de carácter confidencial, en términos de lo dispuesto por la fracción I del artículo 143 de la Ley de la materia, así como el artículo 4, fracciones XI </w:t>
      </w:r>
      <w:r>
        <w:rPr>
          <w:rFonts w:ascii="Palatino Linotype" w:hAnsi="Palatino Linotype" w:cs="Arial"/>
          <w:lang w:eastAsia="es-MX"/>
        </w:rPr>
        <w:t xml:space="preserve">y XII de la Ley de Protección de Datos Personales en Posesión de Sujetos Obligados del Estado de México y Municipios, en </w:t>
      </w:r>
      <w:r>
        <w:rPr>
          <w:rFonts w:ascii="Palatino Linotype" w:hAnsi="Palatino Linotype" w:cs="Arial"/>
          <w:lang w:eastAsia="es-MX"/>
        </w:rPr>
        <w:lastRenderedPageBreak/>
        <w:t>virtud de que constituye información que incide en la intimidad de un individuo identificado.</w:t>
      </w:r>
    </w:p>
    <w:p w:rsidR="0041523E" w:rsidRDefault="0041523E">
      <w:pPr>
        <w:spacing w:line="360" w:lineRule="auto"/>
        <w:jc w:val="both"/>
        <w:rPr>
          <w:rFonts w:ascii="Palatino Linotype" w:hAnsi="Palatino Linotype"/>
        </w:rPr>
      </w:pPr>
    </w:p>
    <w:p w:rsidR="0041523E" w:rsidRDefault="001C34A3">
      <w:pPr>
        <w:spacing w:line="360" w:lineRule="auto"/>
        <w:jc w:val="both"/>
        <w:rPr>
          <w:rFonts w:ascii="Palatino Linotype" w:hAnsi="Palatino Linotype" w:cs="Arial"/>
        </w:rPr>
      </w:pPr>
      <w:r>
        <w:rPr>
          <w:rFonts w:ascii="Palatino Linotype" w:hAnsi="Palatino Linotype" w:cs="Arial"/>
        </w:rPr>
        <w:t>Es importante señalar que, para acredita</w:t>
      </w:r>
      <w:r>
        <w:rPr>
          <w:rFonts w:ascii="Palatino Linotype" w:hAnsi="Palatino Linotype" w:cs="Arial"/>
        </w:rPr>
        <w:t>r dichos supuestos jurídicos se debe fundar y motivar correctamente la categorización de la información. Por tanto, la fundamentación y motivación consiste en la obligación que tiene todo ente público de expresar los preceptos jurídicos aplicables al asunt</w:t>
      </w:r>
      <w:r>
        <w:rPr>
          <w:rFonts w:ascii="Palatino Linotype" w:hAnsi="Palatino Linotype" w:cs="Arial"/>
        </w:rPr>
        <w:t>o motivo del acto y las razones o argumentos de su actuar.</w:t>
      </w:r>
    </w:p>
    <w:p w:rsidR="0041523E" w:rsidRDefault="0041523E">
      <w:pPr>
        <w:spacing w:line="360" w:lineRule="auto"/>
        <w:jc w:val="both"/>
        <w:rPr>
          <w:rFonts w:ascii="Palatino Linotype" w:hAnsi="Palatino Linotype" w:cs="Arial"/>
        </w:rPr>
      </w:pPr>
    </w:p>
    <w:p w:rsidR="0041523E" w:rsidRDefault="001C34A3">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 xml:space="preserve">que la sustente, en el que se expongan los </w:t>
      </w:r>
      <w:r>
        <w:rPr>
          <w:rFonts w:ascii="Palatino Linotype" w:hAnsi="Palatino Linotype" w:cs="Arial"/>
          <w:lang w:val="es-ES"/>
        </w:rPr>
        <w:t>fundamentos y razones que llevaron a la autoridad a testar, suprimir o eliminar datos de dicho soporte documental, ya que el no hacerlo implica que lo entregado no es legal ni formalmente una versión pública, sino más bien una documentación ilegible, incom</w:t>
      </w:r>
      <w:r>
        <w:rPr>
          <w:rFonts w:ascii="Palatino Linotype" w:hAnsi="Palatino Linotype" w:cs="Arial"/>
          <w:lang w:val="es-ES"/>
        </w:rPr>
        <w:t>pleta o tachada; pues no señalar las razones por las que no se aprecian determinados datos, ya sea porque se testan o suprimen, deja al solicitante en estado de incertidumbre, al no conocer o comprender porque no aparecen en la documentación respectiva, es</w:t>
      </w:r>
      <w:r>
        <w:rPr>
          <w:rFonts w:ascii="Palatino Linotype" w:hAnsi="Palatino Linotype" w:cs="Arial"/>
          <w:lang w:val="es-ES"/>
        </w:rPr>
        <w:t xml:space="preserve"> decir, si no se exponen de manera puntual las razones de ello se estaría violentando desde un inicio el derecho de acceso a la información del solicitante.</w:t>
      </w:r>
    </w:p>
    <w:p w:rsidR="0041523E" w:rsidRDefault="0041523E">
      <w:pPr>
        <w:widowControl w:val="0"/>
        <w:spacing w:line="360" w:lineRule="auto"/>
        <w:jc w:val="both"/>
        <w:rPr>
          <w:rFonts w:ascii="Palatino Linotype" w:eastAsia="Calibri" w:hAnsi="Palatino Linotype" w:cs="Arial"/>
        </w:rPr>
      </w:pPr>
    </w:p>
    <w:p w:rsidR="0041523E" w:rsidRDefault="001C34A3">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No se omite mencionar que, </w:t>
      </w:r>
      <w:r>
        <w:rPr>
          <w:rFonts w:ascii="Palatino Linotype" w:eastAsia="Calibri" w:hAnsi="Palatino Linotype" w:cs="Arial"/>
          <w:b/>
        </w:rPr>
        <w:t xml:space="preserve">EL SUJETO OBLIGADO </w:t>
      </w:r>
      <w:r>
        <w:rPr>
          <w:rFonts w:ascii="Palatino Linotype" w:eastAsia="Calibri" w:hAnsi="Palatino Linotype" w:cs="Arial"/>
        </w:rPr>
        <w:t xml:space="preserve">únicamente se encuentra constreñido a hacer entrega </w:t>
      </w:r>
      <w:r>
        <w:rPr>
          <w:rFonts w:ascii="Palatino Linotype" w:eastAsia="Calibri" w:hAnsi="Palatino Linotype" w:cs="Arial"/>
        </w:rPr>
        <w:t xml:space="preserve">de la información al grado de desagregación que le sea posible, y que para este caso será de los delitos en los que se haya obtenido una </w:t>
      </w:r>
      <w:r>
        <w:rPr>
          <w:rFonts w:ascii="Palatino Linotype" w:eastAsia="Calibri" w:hAnsi="Palatino Linotype" w:cs="Arial"/>
        </w:rPr>
        <w:lastRenderedPageBreak/>
        <w:t>sentencia definitiva en las que se determine una pena privativa de la libertad; pues si bien en cierto, dentro del catá</w:t>
      </w:r>
      <w:r>
        <w:rPr>
          <w:rFonts w:ascii="Palatino Linotype" w:eastAsia="Calibri" w:hAnsi="Palatino Linotype" w:cs="Arial"/>
        </w:rPr>
        <w:t>logo de delitos que contempla el Código Penal vigente en la entidad se considera la interposición de penas privativas de la libertad, estos no podrán ser considerados dentro de la estadística a entregar aun cuando la Fiscalía tenga conocimiento del hecho d</w:t>
      </w:r>
      <w:r>
        <w:rPr>
          <w:rFonts w:ascii="Palatino Linotype" w:eastAsia="Calibri" w:hAnsi="Palatino Linotype" w:cs="Arial"/>
        </w:rPr>
        <w:t>elictuoso hasta en tanto no se haya determinado la responsabilidad del imputado y haya quedado firme la sentencia correspondiente.</w:t>
      </w:r>
    </w:p>
    <w:p w:rsidR="0041523E" w:rsidRDefault="0041523E">
      <w:pPr>
        <w:widowControl w:val="0"/>
        <w:spacing w:line="360" w:lineRule="auto"/>
        <w:jc w:val="both"/>
        <w:rPr>
          <w:rFonts w:ascii="Palatino Linotype" w:eastAsia="Calibri" w:hAnsi="Palatino Linotype" w:cs="Arial"/>
        </w:rPr>
      </w:pPr>
    </w:p>
    <w:p w:rsidR="0041523E" w:rsidRDefault="001C34A3">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w:t>
      </w:r>
      <w:r>
        <w:rPr>
          <w:rFonts w:ascii="Palatino Linotype" w:eastAsia="Calibri" w:hAnsi="Palatino Linotype" w:cs="Arial"/>
        </w:rPr>
        <w:t>ión en los términos descritos en el cuerpo de la resolución del recurso de revisión que nos ocupa.</w:t>
      </w:r>
    </w:p>
    <w:p w:rsidR="0041523E" w:rsidRDefault="0041523E">
      <w:pPr>
        <w:widowControl w:val="0"/>
        <w:spacing w:line="360" w:lineRule="auto"/>
        <w:jc w:val="both"/>
        <w:rPr>
          <w:rFonts w:ascii="Palatino Linotype" w:eastAsia="Calibri" w:hAnsi="Palatino Linotype" w:cs="Arial"/>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w:t>
      </w:r>
      <w:r>
        <w:rPr>
          <w:rFonts w:ascii="Palatino Linotype" w:eastAsia="Calibri" w:hAnsi="Palatino Linotype" w:cs="Arial"/>
        </w:rPr>
        <w:t xml:space="preserve"> Política del Estado Libre y Soberano de México; 2, fracción II, 29, 36, fracciones I y II, 176, 178, 179, 181, 185, fracción I, 186 y 188 de la Ley de Transparencia y Acceso a la Información Pública del Estado de México y Municipios, este Pleno:</w:t>
      </w:r>
    </w:p>
    <w:p w:rsidR="0041523E" w:rsidRDefault="0041523E">
      <w:pPr>
        <w:spacing w:line="360" w:lineRule="auto"/>
        <w:jc w:val="center"/>
        <w:rPr>
          <w:rFonts w:ascii="Palatino Linotype" w:eastAsia="Calibri" w:hAnsi="Palatino Linotype" w:cs="Arial"/>
          <w:b/>
          <w:sz w:val="28"/>
        </w:rPr>
      </w:pPr>
    </w:p>
    <w:p w:rsidR="0041523E" w:rsidRDefault="001C34A3">
      <w:pPr>
        <w:spacing w:line="360" w:lineRule="auto"/>
        <w:jc w:val="center"/>
        <w:rPr>
          <w:rFonts w:ascii="Palatino Linotype" w:eastAsia="Calibri" w:hAnsi="Palatino Linotype" w:cs="Arial"/>
          <w:b/>
          <w:sz w:val="28"/>
          <w:lang w:val="pt-BR"/>
        </w:rPr>
      </w:pPr>
      <w:r>
        <w:rPr>
          <w:rFonts w:ascii="Palatino Linotype" w:eastAsia="Calibri" w:hAnsi="Palatino Linotype" w:cs="Arial"/>
          <w:b/>
          <w:sz w:val="28"/>
          <w:lang w:val="pt-BR"/>
        </w:rPr>
        <w:t xml:space="preserve">R E S U </w:t>
      </w:r>
      <w:r>
        <w:rPr>
          <w:rFonts w:ascii="Palatino Linotype" w:eastAsia="Calibri" w:hAnsi="Palatino Linotype" w:cs="Arial"/>
          <w:b/>
          <w:sz w:val="28"/>
          <w:lang w:val="pt-BR"/>
        </w:rPr>
        <w:t>E L V E</w:t>
      </w:r>
    </w:p>
    <w:p w:rsidR="0041523E" w:rsidRDefault="0041523E">
      <w:pPr>
        <w:spacing w:line="360" w:lineRule="auto"/>
        <w:jc w:val="center"/>
        <w:rPr>
          <w:rFonts w:ascii="Palatino Linotype" w:eastAsia="Calibri" w:hAnsi="Palatino Linotype" w:cs="Arial"/>
          <w:b/>
          <w:sz w:val="28"/>
          <w:lang w:val="pt-BR"/>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b/>
          <w:sz w:val="28"/>
          <w:lang w:val="pt-BR"/>
        </w:rPr>
        <w:lastRenderedPageBreak/>
        <w:t>PRIMERO</w:t>
      </w:r>
      <w:r>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parcialmente 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41523E" w:rsidRDefault="0041523E">
      <w:pPr>
        <w:spacing w:line="360" w:lineRule="auto"/>
        <w:jc w:val="both"/>
        <w:rPr>
          <w:rFonts w:ascii="Palatino Linotype" w:eastAsia="Calibri" w:hAnsi="Palatino Linotype" w:cs="Arial"/>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 xml:space="preserve">REVOCA </w:t>
      </w:r>
      <w:r>
        <w:rPr>
          <w:rFonts w:ascii="Palatino Linotype" w:eastAsia="Calibri" w:hAnsi="Palatino Linotype" w:cs="Arial"/>
        </w:rPr>
        <w:t xml:space="preserve">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w:t>
      </w:r>
      <w:r>
        <w:rPr>
          <w:rFonts w:ascii="Palatino Linotype" w:eastAsia="Calibri" w:hAnsi="Palatino Linotype" w:cs="Arial"/>
        </w:rPr>
        <w:t xml:space="preserve">itud de información </w:t>
      </w:r>
      <w:r>
        <w:rPr>
          <w:rFonts w:ascii="Palatino Linotype" w:eastAsia="Calibri" w:hAnsi="Palatino Linotype" w:cs="Arial"/>
          <w:b/>
          <w:bCs/>
        </w:rPr>
        <w:t xml:space="preserve">00099/FGJ/IP/2020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vía </w:t>
      </w:r>
      <w:r>
        <w:rPr>
          <w:rFonts w:ascii="Palatino Linotype" w:eastAsia="Calibri" w:hAnsi="Palatino Linotype" w:cs="Arial"/>
          <w:b/>
        </w:rPr>
        <w:t>SAIMEX</w:t>
      </w:r>
      <w:r>
        <w:rPr>
          <w:rFonts w:ascii="Palatino Linotype" w:eastAsia="Calibri" w:hAnsi="Palatino Linotype" w:cs="Arial"/>
        </w:rPr>
        <w:t xml:space="preserve">, previa </w:t>
      </w:r>
      <w:r>
        <w:rPr>
          <w:rFonts w:ascii="Palatino Linotype" w:eastAsia="Calibri" w:hAnsi="Palatino Linotype" w:cs="Arial"/>
          <w:b/>
        </w:rPr>
        <w:t>búsqueda exhaustiva y razonable</w:t>
      </w:r>
      <w:r>
        <w:rPr>
          <w:rFonts w:ascii="Palatino Linotype" w:eastAsia="Calibri" w:hAnsi="Palatino Linotype" w:cs="Arial"/>
        </w:rPr>
        <w:t xml:space="preserve">, en </w:t>
      </w:r>
      <w:r>
        <w:rPr>
          <w:rFonts w:ascii="Palatino Linotype" w:eastAsia="Calibri" w:hAnsi="Palatino Linotype" w:cs="Arial"/>
          <w:b/>
        </w:rPr>
        <w:t>versión pública</w:t>
      </w:r>
      <w:r>
        <w:rPr>
          <w:rFonts w:ascii="Palatino Linotype" w:eastAsia="Calibri" w:hAnsi="Palatino Linotype" w:cs="Arial"/>
        </w:rPr>
        <w:t xml:space="preserve"> de ser procedente, al mayor grado de desagrega</w:t>
      </w:r>
      <w:r>
        <w:rPr>
          <w:rFonts w:ascii="Palatino Linotype" w:eastAsia="Calibri" w:hAnsi="Palatino Linotype" w:cs="Arial"/>
        </w:rPr>
        <w:t>ción posible, lo siguiente:</w:t>
      </w:r>
    </w:p>
    <w:p w:rsidR="0041523E" w:rsidRDefault="0041523E">
      <w:pPr>
        <w:spacing w:line="360" w:lineRule="auto"/>
        <w:jc w:val="both"/>
        <w:rPr>
          <w:rFonts w:ascii="Palatino Linotype" w:eastAsia="Calibri" w:hAnsi="Palatino Linotype" w:cs="Arial"/>
          <w:sz w:val="22"/>
        </w:rPr>
      </w:pPr>
    </w:p>
    <w:p w:rsidR="0041523E" w:rsidRDefault="001C34A3">
      <w:pPr>
        <w:ind w:left="709" w:right="757"/>
        <w:jc w:val="both"/>
        <w:rPr>
          <w:rFonts w:ascii="Palatino Linotype" w:eastAsia="Calibri" w:hAnsi="Palatino Linotype" w:cs="Arial"/>
          <w:i/>
          <w:sz w:val="22"/>
        </w:rPr>
      </w:pPr>
      <w:r>
        <w:rPr>
          <w:rFonts w:ascii="Palatino Linotype" w:eastAsia="Calibri" w:hAnsi="Palatino Linotype" w:cs="Arial"/>
          <w:i/>
          <w:sz w:val="22"/>
        </w:rPr>
        <w:t xml:space="preserve">“El documento o documentos donde conste la incidencia de delitos que ameritaron pena privativa de la libertad de los sentenciados, por el periodo que va del 5 de febrero de 2019 al 5 de febrero de 2020. </w:t>
      </w:r>
    </w:p>
    <w:p w:rsidR="0041523E" w:rsidRDefault="0041523E">
      <w:pPr>
        <w:ind w:left="709" w:right="757"/>
        <w:jc w:val="both"/>
        <w:rPr>
          <w:rFonts w:ascii="Palatino Linotype" w:hAnsi="Palatino Linotype"/>
          <w:bCs/>
          <w:i/>
          <w:sz w:val="22"/>
        </w:rPr>
      </w:pPr>
    </w:p>
    <w:p w:rsidR="0041523E" w:rsidRDefault="001C34A3">
      <w:pPr>
        <w:ind w:left="709" w:right="757"/>
        <w:jc w:val="both"/>
        <w:rPr>
          <w:rFonts w:ascii="Palatino Linotype" w:eastAsia="Calibri" w:hAnsi="Palatino Linotype" w:cs="Arial"/>
          <w:i/>
          <w:sz w:val="22"/>
        </w:rPr>
      </w:pPr>
      <w:r>
        <w:rPr>
          <w:rFonts w:ascii="Palatino Linotype" w:hAnsi="Palatino Linotype"/>
          <w:bCs/>
          <w:i/>
          <w:sz w:val="22"/>
        </w:rPr>
        <w:t xml:space="preserve">Debiendo notificar al </w:t>
      </w:r>
      <w:r>
        <w:rPr>
          <w:rFonts w:ascii="Palatino Linotype" w:hAnsi="Palatino Linotype"/>
          <w:b/>
          <w:bCs/>
          <w:i/>
          <w:sz w:val="22"/>
        </w:rPr>
        <w:t>RECURRENTE</w:t>
      </w:r>
      <w:r>
        <w:rPr>
          <w:rFonts w:ascii="Palatino Linotype" w:hAnsi="Palatino Linotype"/>
          <w:bCs/>
          <w:i/>
          <w:sz w:val="22"/>
        </w:rPr>
        <w:t xml:space="preserve"> el Acuerdo de Clasificación de la información que emita el Comité de Transparencia con motivo de la versión pública.</w:t>
      </w:r>
    </w:p>
    <w:p w:rsidR="0041523E" w:rsidRDefault="0041523E">
      <w:pPr>
        <w:spacing w:line="360" w:lineRule="auto"/>
        <w:ind w:left="709" w:right="757"/>
        <w:jc w:val="both"/>
        <w:rPr>
          <w:rFonts w:ascii="Palatino Linotype" w:eastAsia="Calibri" w:hAnsi="Palatino Linotype" w:cs="Arial"/>
          <w:i/>
          <w:sz w:val="22"/>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al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w:t>
      </w:r>
      <w:r>
        <w:rPr>
          <w:rFonts w:ascii="Palatino Linotype" w:eastAsia="Calibri" w:hAnsi="Palatino Linotype" w:cs="Arial"/>
        </w:rPr>
        <w:t xml:space="preserve"> párrafo y 189 párrafo segundo de la Ley de Transparencia y Acceso a la Información Pública del Estado de México y Municipios, dé cumplimiento a lo ordenado dentro del plazo de diez días hábiles, debiendo informar a este Instituto en un plazo de tres días </w:t>
      </w:r>
      <w:r>
        <w:rPr>
          <w:rFonts w:ascii="Palatino Linotype" w:eastAsia="Calibri" w:hAnsi="Palatino Linotype" w:cs="Arial"/>
        </w:rPr>
        <w:t>hábiles siguientes sobre el cumplimiento dado a la presente resolución.</w:t>
      </w:r>
    </w:p>
    <w:p w:rsidR="0041523E" w:rsidRDefault="0041523E">
      <w:pPr>
        <w:spacing w:line="360" w:lineRule="auto"/>
        <w:jc w:val="both"/>
        <w:rPr>
          <w:rFonts w:ascii="Palatino Linotype" w:eastAsia="Calibri" w:hAnsi="Palatino Linotype" w:cs="Arial"/>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al </w:t>
      </w:r>
      <w:r>
        <w:rPr>
          <w:rFonts w:ascii="Palatino Linotype" w:eastAsia="Calibri" w:hAnsi="Palatino Linotype" w:cs="Arial"/>
          <w:b/>
        </w:rPr>
        <w:t>RECURRENTE</w:t>
      </w:r>
      <w:r>
        <w:rPr>
          <w:rFonts w:ascii="Palatino Linotype" w:eastAsia="Calibri" w:hAnsi="Palatino Linotype" w:cs="Arial"/>
        </w:rPr>
        <w:t xml:space="preserve"> la presente resolución y el informe justificado, vía </w:t>
      </w:r>
      <w:r>
        <w:rPr>
          <w:rFonts w:ascii="Palatino Linotype" w:eastAsia="Calibri" w:hAnsi="Palatino Linotype" w:cs="Arial"/>
          <w:b/>
        </w:rPr>
        <w:t>SAIMEX</w:t>
      </w:r>
      <w:r>
        <w:rPr>
          <w:rFonts w:ascii="Palatino Linotype" w:eastAsia="Calibri" w:hAnsi="Palatino Linotype" w:cs="Arial"/>
        </w:rPr>
        <w:t>.</w:t>
      </w:r>
    </w:p>
    <w:p w:rsidR="0041523E" w:rsidRDefault="0041523E">
      <w:pPr>
        <w:spacing w:line="360" w:lineRule="auto"/>
        <w:jc w:val="both"/>
        <w:rPr>
          <w:rFonts w:ascii="Palatino Linotype" w:eastAsia="Calibri" w:hAnsi="Palatino Linotype" w:cs="Arial"/>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w:t>
      </w:r>
      <w:r>
        <w:rPr>
          <w:rFonts w:ascii="Palatino Linotype" w:eastAsia="Calibri" w:hAnsi="Palatino Linotype" w:cs="Arial"/>
          <w:b/>
        </w:rPr>
        <w:t>Hágase</w:t>
      </w:r>
      <w:r>
        <w:rPr>
          <w:rFonts w:ascii="Palatino Linotype" w:eastAsia="Calibri" w:hAnsi="Palatino Linotype" w:cs="Arial"/>
        </w:rPr>
        <w:t xml:space="preserve"> </w:t>
      </w:r>
      <w:r>
        <w:rPr>
          <w:rFonts w:ascii="Palatino Linotype" w:eastAsia="Calibri" w:hAnsi="Palatino Linotype" w:cs="Arial"/>
          <w:b/>
        </w:rPr>
        <w:t>del conocimiento</w:t>
      </w:r>
      <w:r>
        <w:rPr>
          <w:rFonts w:ascii="Palatino Linotype" w:eastAsia="Calibri" w:hAnsi="Palatino Linotype" w:cs="Arial"/>
        </w:rPr>
        <w:t xml:space="preserve">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w:t>
      </w:r>
      <w:r>
        <w:rPr>
          <w:rFonts w:ascii="Palatino Linotype" w:eastAsia="Calibri" w:hAnsi="Palatino Linotype" w:cs="Arial"/>
        </w:rPr>
        <w:t xml:space="preserve"> el artículo 196 de la Ley de Transparencia y Acceso a la Información Pública del Estado de México y Municipios, podrá impugnar la presente resolución vía Juicio de Amparo en los términos de las leyes aplicables.</w:t>
      </w:r>
    </w:p>
    <w:p w:rsidR="0041523E" w:rsidRDefault="0041523E">
      <w:pPr>
        <w:spacing w:line="360" w:lineRule="auto"/>
        <w:jc w:val="both"/>
        <w:rPr>
          <w:rFonts w:ascii="Palatino Linotype" w:eastAsia="Calibri" w:hAnsi="Palatino Linotype" w:cs="Arial"/>
          <w:b/>
          <w:sz w:val="28"/>
        </w:rPr>
      </w:pPr>
    </w:p>
    <w:p w:rsidR="0041523E" w:rsidRDefault="001C34A3">
      <w:pPr>
        <w:spacing w:line="360" w:lineRule="auto"/>
        <w:jc w:val="both"/>
        <w:rPr>
          <w:rFonts w:ascii="Palatino Linotype" w:hAnsi="Palatino Linotype"/>
          <w:lang w:eastAsia="es-ES_tradnl"/>
        </w:rPr>
      </w:pPr>
      <w:r>
        <w:rPr>
          <w:rFonts w:ascii="Palatino Linotype" w:eastAsia="Calibri" w:hAnsi="Palatino Linotype" w:cs="Arial"/>
          <w:b/>
          <w:sz w:val="28"/>
        </w:rPr>
        <w:t>SEXTO</w:t>
      </w:r>
      <w:r>
        <w:rPr>
          <w:rFonts w:ascii="Palatino Linotype" w:eastAsia="Calibri" w:hAnsi="Palatino Linotype" w:cs="Arial"/>
        </w:rPr>
        <w:t xml:space="preserve">. </w:t>
      </w:r>
      <w:r>
        <w:rPr>
          <w:rFonts w:ascii="Palatino Linotype" w:hAnsi="Palatino Linotype"/>
          <w:lang w:eastAsia="es-ES_tradnl"/>
        </w:rPr>
        <w:t>Con fundamento en el artículo 198 d</w:t>
      </w:r>
      <w:r>
        <w:rPr>
          <w:rFonts w:ascii="Palatino Linotype" w:hAnsi="Palatino Linotype"/>
          <w:lang w:eastAsia="es-ES_tradnl"/>
        </w:rPr>
        <w:t xml:space="preserve">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w:t>
      </w:r>
      <w:r>
        <w:rPr>
          <w:rFonts w:ascii="Palatino Linotype" w:hAnsi="Palatino Linotype"/>
          <w:lang w:eastAsia="es-ES_tradnl"/>
        </w:rPr>
        <w:t>los artículos 213, 214, 216 y 217 de dicha Ley.</w:t>
      </w:r>
    </w:p>
    <w:p w:rsidR="0041523E" w:rsidRDefault="0041523E">
      <w:pPr>
        <w:spacing w:line="360" w:lineRule="auto"/>
        <w:jc w:val="both"/>
        <w:rPr>
          <w:rFonts w:ascii="Palatino Linotype" w:eastAsia="Calibri" w:hAnsi="Palatino Linotype" w:cs="Arial"/>
        </w:rPr>
      </w:pPr>
    </w:p>
    <w:p w:rsidR="0041523E" w:rsidRDefault="0041523E">
      <w:pPr>
        <w:spacing w:line="360" w:lineRule="auto"/>
        <w:jc w:val="both"/>
        <w:rPr>
          <w:rFonts w:ascii="Palatino Linotype" w:eastAsia="Calibri" w:hAnsi="Palatino Linotype" w:cs="Arial"/>
        </w:rPr>
      </w:pPr>
    </w:p>
    <w:p w:rsidR="0041523E" w:rsidRDefault="001C34A3">
      <w:pPr>
        <w:spacing w:line="360" w:lineRule="auto"/>
        <w:jc w:val="both"/>
        <w:rPr>
          <w:rFonts w:ascii="Palatino Linotype" w:eastAsia="Calibri" w:hAnsi="Palatino Linotype" w:cs="Arial"/>
        </w:rPr>
      </w:pPr>
      <w:r>
        <w:rPr>
          <w:rFonts w:ascii="Palatino Linotype" w:eastAsia="Calibri" w:hAnsi="Palatino Linotype" w:cs="Arial"/>
        </w:rPr>
        <w:t>ASÍ LO RESUELVE, POR UNANIMIDAD DE VOTOS, EL PLENO DEL INSTITUTO DE TRANSPARENCIA, ACCESO A LA INFORMACIÓN PÚBLICA Y PROTECCIÓN D</w:t>
      </w:r>
      <w:r>
        <w:rPr>
          <w:rFonts w:ascii="Palatino Linotype" w:eastAsia="Calibri" w:hAnsi="Palatino Linotype" w:cs="Arial"/>
        </w:rPr>
        <w:t xml:space="preserve">E DATOS PERSONALES DEL ESTADO DE MÉXICO Y MUNICIPIOS, CONFORMADO POR LOS </w:t>
      </w:r>
      <w:r>
        <w:rPr>
          <w:rFonts w:ascii="Palatino Linotype" w:eastAsia="Calibri" w:hAnsi="Palatino Linotype" w:cs="Arial"/>
        </w:rPr>
        <w:t>COMISIONADOS ZULEMA MARTÍNEZ SÁNCHEZ; EVA ABAID YAPUR; JOSÉ GUADALUPE LUNA HERNÁNDEZ; JAVIER MARTÍNEZ CRUZ Y LUIS GUSTAVO PARRA NORIEGA; EN LA DÉCIMA CUARTA SESIÓN ORDINARIA CELEBRADA EL DIECINUEVE DE AGOSTO DE DOS MIL VEINTE, ANTE EL SECRETARIO TÉCNICO DE</w:t>
      </w:r>
      <w:r>
        <w:rPr>
          <w:rFonts w:ascii="Palatino Linotype" w:eastAsia="Calibri" w:hAnsi="Palatino Linotype" w:cs="Arial"/>
        </w:rPr>
        <w:t>L PLENO, ALEXIS TAPIA RAMÍREZ.</w:t>
      </w:r>
    </w:p>
    <w:tbl>
      <w:tblPr>
        <w:tblW w:w="10365" w:type="dxa"/>
        <w:jc w:val="center"/>
        <w:tblLook w:val="04A0" w:firstRow="1" w:lastRow="0" w:firstColumn="1" w:lastColumn="0" w:noHBand="0" w:noVBand="1"/>
      </w:tblPr>
      <w:tblGrid>
        <w:gridCol w:w="5182"/>
        <w:gridCol w:w="5183"/>
      </w:tblGrid>
      <w:tr w:rsidR="0041523E">
        <w:trPr>
          <w:jc w:val="center"/>
        </w:trPr>
        <w:tc>
          <w:tcPr>
            <w:tcW w:w="10364" w:type="dxa"/>
            <w:gridSpan w:val="2"/>
          </w:tcPr>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1C34A3">
            <w:pPr>
              <w:spacing w:line="276" w:lineRule="auto"/>
              <w:jc w:val="center"/>
              <w:rPr>
                <w:rFonts w:ascii="Palatino Linotype" w:hAnsi="Palatino Linotype" w:cs="Arial"/>
                <w:b/>
              </w:rPr>
            </w:pPr>
            <w:r>
              <w:rPr>
                <w:rFonts w:ascii="Palatino Linotype" w:hAnsi="Palatino Linotype" w:cs="Arial"/>
                <w:b/>
              </w:rPr>
              <w:t>Zulema Martínez Sánchez</w:t>
            </w:r>
          </w:p>
          <w:p w:rsidR="0041523E" w:rsidRDefault="001C34A3">
            <w:pPr>
              <w:spacing w:line="276" w:lineRule="auto"/>
              <w:jc w:val="center"/>
              <w:rPr>
                <w:rFonts w:ascii="Palatino Linotype" w:hAnsi="Palatino Linotype" w:cs="Arial"/>
                <w:b/>
              </w:rPr>
            </w:pPr>
            <w:r>
              <w:rPr>
                <w:rFonts w:ascii="Palatino Linotype" w:hAnsi="Palatino Linotype" w:cs="Arial"/>
              </w:rPr>
              <w:t>Comisionada Presidenta</w:t>
            </w:r>
          </w:p>
          <w:p w:rsidR="0041523E" w:rsidRDefault="001C34A3">
            <w:pPr>
              <w:spacing w:line="276" w:lineRule="auto"/>
              <w:jc w:val="center"/>
              <w:rPr>
                <w:rFonts w:ascii="Palatino Linotype" w:hAnsi="Palatino Linotype" w:cs="Arial"/>
                <w:b/>
              </w:rPr>
            </w:pPr>
            <w:r>
              <w:rPr>
                <w:rFonts w:ascii="Palatino Linotype" w:hAnsi="Palatino Linotype" w:cs="Arial"/>
                <w:b/>
              </w:rPr>
              <w:t xml:space="preserve">(RÚBRICA) </w:t>
            </w:r>
          </w:p>
        </w:tc>
      </w:tr>
      <w:tr w:rsidR="0041523E">
        <w:trPr>
          <w:jc w:val="center"/>
        </w:trPr>
        <w:tc>
          <w:tcPr>
            <w:tcW w:w="5182" w:type="dxa"/>
          </w:tcPr>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1C34A3">
            <w:pPr>
              <w:spacing w:line="276" w:lineRule="auto"/>
              <w:jc w:val="center"/>
              <w:rPr>
                <w:rFonts w:ascii="Palatino Linotype" w:hAnsi="Palatino Linotype" w:cs="Arial"/>
                <w:b/>
              </w:rPr>
            </w:pPr>
            <w:r>
              <w:rPr>
                <w:rFonts w:ascii="Palatino Linotype" w:hAnsi="Palatino Linotype" w:cs="Arial"/>
                <w:b/>
              </w:rPr>
              <w:t>Eva Abaid Yapur</w:t>
            </w:r>
          </w:p>
          <w:p w:rsidR="0041523E" w:rsidRDefault="001C34A3">
            <w:pPr>
              <w:spacing w:line="276" w:lineRule="auto"/>
              <w:jc w:val="center"/>
              <w:rPr>
                <w:rFonts w:ascii="Palatino Linotype" w:hAnsi="Palatino Linotype" w:cs="Arial"/>
              </w:rPr>
            </w:pPr>
            <w:r>
              <w:rPr>
                <w:rFonts w:ascii="Palatino Linotype" w:hAnsi="Palatino Linotype" w:cs="Arial"/>
              </w:rPr>
              <w:t>Comisionada</w:t>
            </w:r>
          </w:p>
          <w:p w:rsidR="0041523E" w:rsidRDefault="001C34A3">
            <w:pPr>
              <w:spacing w:line="276" w:lineRule="auto"/>
              <w:jc w:val="center"/>
              <w:rPr>
                <w:rFonts w:ascii="Palatino Linotype" w:hAnsi="Palatino Linotype" w:cs="Arial"/>
                <w:b/>
              </w:rPr>
            </w:pPr>
            <w:r>
              <w:rPr>
                <w:rFonts w:ascii="Palatino Linotype" w:hAnsi="Palatino Linotype" w:cs="Arial"/>
                <w:b/>
              </w:rPr>
              <w:t>(RÚBRICA)</w:t>
            </w:r>
          </w:p>
        </w:tc>
        <w:tc>
          <w:tcPr>
            <w:tcW w:w="5182" w:type="dxa"/>
          </w:tcPr>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1C34A3">
            <w:pPr>
              <w:spacing w:line="276" w:lineRule="auto"/>
              <w:jc w:val="center"/>
              <w:rPr>
                <w:rFonts w:ascii="Palatino Linotype" w:hAnsi="Palatino Linotype" w:cs="Arial"/>
                <w:b/>
              </w:rPr>
            </w:pPr>
            <w:r>
              <w:rPr>
                <w:rFonts w:ascii="Palatino Linotype" w:hAnsi="Palatino Linotype" w:cs="Arial"/>
                <w:b/>
              </w:rPr>
              <w:t>José Guadalupe Luna Hernández</w:t>
            </w:r>
          </w:p>
          <w:p w:rsidR="0041523E" w:rsidRDefault="001C34A3">
            <w:pPr>
              <w:spacing w:line="276" w:lineRule="auto"/>
              <w:jc w:val="center"/>
              <w:rPr>
                <w:rFonts w:ascii="Palatino Linotype" w:hAnsi="Palatino Linotype" w:cs="Arial"/>
              </w:rPr>
            </w:pPr>
            <w:r>
              <w:rPr>
                <w:rFonts w:ascii="Palatino Linotype" w:hAnsi="Palatino Linotype" w:cs="Arial"/>
              </w:rPr>
              <w:t>Comisionado</w:t>
            </w:r>
          </w:p>
          <w:p w:rsidR="0041523E" w:rsidRDefault="001C34A3">
            <w:pPr>
              <w:spacing w:line="276" w:lineRule="auto"/>
              <w:jc w:val="center"/>
              <w:rPr>
                <w:rFonts w:ascii="Palatino Linotype" w:hAnsi="Palatino Linotype" w:cs="Arial"/>
                <w:b/>
              </w:rPr>
            </w:pPr>
            <w:r>
              <w:rPr>
                <w:rFonts w:ascii="Palatino Linotype" w:hAnsi="Palatino Linotype" w:cs="Arial"/>
                <w:b/>
              </w:rPr>
              <w:t>(RÚBRICA)</w:t>
            </w:r>
          </w:p>
        </w:tc>
      </w:tr>
      <w:tr w:rsidR="0041523E">
        <w:trPr>
          <w:jc w:val="center"/>
        </w:trPr>
        <w:tc>
          <w:tcPr>
            <w:tcW w:w="5182" w:type="dxa"/>
          </w:tcPr>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41523E">
            <w:pPr>
              <w:spacing w:line="276" w:lineRule="auto"/>
              <w:jc w:val="center"/>
              <w:rPr>
                <w:rFonts w:ascii="Palatino Linotype" w:hAnsi="Palatino Linotype" w:cs="Arial"/>
                <w:b/>
              </w:rPr>
            </w:pPr>
          </w:p>
          <w:p w:rsidR="0041523E" w:rsidRDefault="001C34A3">
            <w:pPr>
              <w:spacing w:line="276" w:lineRule="auto"/>
              <w:jc w:val="center"/>
              <w:rPr>
                <w:rFonts w:ascii="Palatino Linotype" w:hAnsi="Palatino Linotype" w:cs="Arial"/>
                <w:b/>
              </w:rPr>
            </w:pPr>
            <w:r>
              <w:rPr>
                <w:rFonts w:ascii="Palatino Linotype" w:hAnsi="Palatino Linotype" w:cs="Arial"/>
                <w:b/>
              </w:rPr>
              <w:t>Javier Martínez Cruz</w:t>
            </w:r>
          </w:p>
          <w:p w:rsidR="0041523E" w:rsidRDefault="001C34A3">
            <w:pPr>
              <w:spacing w:line="276" w:lineRule="auto"/>
              <w:jc w:val="center"/>
              <w:rPr>
                <w:rFonts w:ascii="Palatino Linotype" w:hAnsi="Palatino Linotype" w:cs="Arial"/>
              </w:rPr>
            </w:pPr>
            <w:r>
              <w:rPr>
                <w:rFonts w:ascii="Palatino Linotype" w:hAnsi="Palatino Linotype" w:cs="Arial"/>
              </w:rPr>
              <w:t>Comisionado</w:t>
            </w:r>
          </w:p>
          <w:p w:rsidR="0041523E" w:rsidRDefault="001C34A3">
            <w:pPr>
              <w:spacing w:line="276" w:lineRule="auto"/>
              <w:jc w:val="center"/>
              <w:rPr>
                <w:rFonts w:ascii="Palatino Linotype" w:hAnsi="Palatino Linotype" w:cs="Arial"/>
                <w:b/>
              </w:rPr>
            </w:pPr>
            <w:r>
              <w:rPr>
                <w:rFonts w:ascii="Palatino Linotype" w:hAnsi="Palatino Linotype" w:cs="Arial"/>
                <w:b/>
              </w:rPr>
              <w:t>(RÚBRICA)</w:t>
            </w:r>
          </w:p>
          <w:p w:rsidR="0041523E" w:rsidRDefault="0041523E">
            <w:pPr>
              <w:spacing w:line="276" w:lineRule="auto"/>
              <w:rPr>
                <w:rFonts w:ascii="Palatino Linotype" w:hAnsi="Palatino Linotype" w:cs="Arial"/>
                <w:b/>
              </w:rPr>
            </w:pPr>
          </w:p>
        </w:tc>
        <w:tc>
          <w:tcPr>
            <w:tcW w:w="5182" w:type="dxa"/>
          </w:tcPr>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1C34A3">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41523E" w:rsidRDefault="001C34A3">
            <w:pPr>
              <w:spacing w:line="276" w:lineRule="auto"/>
              <w:jc w:val="center"/>
              <w:rPr>
                <w:rFonts w:ascii="Palatino Linotype" w:hAnsi="Palatino Linotype" w:cs="Arial"/>
              </w:rPr>
            </w:pPr>
            <w:r>
              <w:rPr>
                <w:rFonts w:ascii="Palatino Linotype" w:hAnsi="Palatino Linotype" w:cs="Arial"/>
              </w:rPr>
              <w:t>Comisionado</w:t>
            </w:r>
          </w:p>
          <w:p w:rsidR="0041523E" w:rsidRDefault="001C34A3">
            <w:pPr>
              <w:spacing w:line="276" w:lineRule="auto"/>
              <w:jc w:val="center"/>
              <w:rPr>
                <w:rFonts w:ascii="Palatino Linotype" w:hAnsi="Palatino Linotype" w:cs="Arial"/>
                <w:b/>
              </w:rPr>
            </w:pPr>
            <w:r>
              <w:rPr>
                <w:rFonts w:ascii="Palatino Linotype" w:hAnsi="Palatino Linotype" w:cs="Arial"/>
                <w:b/>
              </w:rPr>
              <w:t>(RÚBRICA)</w:t>
            </w: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p w:rsidR="0041523E" w:rsidRDefault="0041523E">
            <w:pPr>
              <w:spacing w:line="276" w:lineRule="auto"/>
              <w:rPr>
                <w:rFonts w:ascii="Palatino Linotype" w:hAnsi="Palatino Linotype" w:cs="Arial"/>
                <w:b/>
              </w:rPr>
            </w:pPr>
          </w:p>
        </w:tc>
      </w:tr>
      <w:tr w:rsidR="0041523E">
        <w:trPr>
          <w:jc w:val="center"/>
        </w:trPr>
        <w:tc>
          <w:tcPr>
            <w:tcW w:w="10364" w:type="dxa"/>
            <w:gridSpan w:val="2"/>
          </w:tcPr>
          <w:p w:rsidR="0041523E" w:rsidRDefault="001C34A3">
            <w:pPr>
              <w:spacing w:line="276" w:lineRule="auto"/>
              <w:jc w:val="center"/>
              <w:rPr>
                <w:rFonts w:ascii="Palatino Linotype" w:hAnsi="Palatino Linotype" w:cs="Arial"/>
                <w:b/>
              </w:rPr>
            </w:pPr>
            <w:r>
              <w:rPr>
                <w:rFonts w:ascii="Palatino Linotype" w:hAnsi="Palatino Linotype" w:cs="Arial"/>
                <w:b/>
              </w:rPr>
              <w:t>Alexis Tapia Ramírez</w:t>
            </w:r>
          </w:p>
          <w:p w:rsidR="0041523E" w:rsidRDefault="001C34A3">
            <w:pPr>
              <w:spacing w:line="276" w:lineRule="auto"/>
              <w:jc w:val="center"/>
              <w:rPr>
                <w:rFonts w:ascii="Palatino Linotype" w:hAnsi="Palatino Linotype" w:cs="Arial"/>
              </w:rPr>
            </w:pPr>
            <w:r>
              <w:rPr>
                <w:rFonts w:ascii="Palatino Linotype" w:hAnsi="Palatino Linotype" w:cs="Arial"/>
              </w:rPr>
              <w:t>Secretario Técnico del Pleno</w:t>
            </w:r>
          </w:p>
          <w:p w:rsidR="0041523E" w:rsidRDefault="001C34A3">
            <w:pPr>
              <w:spacing w:line="276" w:lineRule="auto"/>
              <w:jc w:val="center"/>
              <w:rPr>
                <w:rFonts w:ascii="Palatino Linotype" w:hAnsi="Palatino Linotype" w:cs="Arial"/>
                <w:b/>
              </w:rPr>
            </w:pPr>
            <w:r>
              <w:rPr>
                <w:rFonts w:ascii="Palatino Linotype" w:hAnsi="Palatino Linotype" w:cs="Arial"/>
                <w:b/>
              </w:rPr>
              <w:t>(RÚBRICA)</w:t>
            </w:r>
          </w:p>
          <w:p w:rsidR="0041523E" w:rsidRDefault="0041523E">
            <w:pPr>
              <w:spacing w:line="276" w:lineRule="auto"/>
              <w:rPr>
                <w:rFonts w:ascii="Palatino Linotype" w:hAnsi="Palatino Linotype" w:cs="Arial"/>
              </w:rPr>
            </w:pPr>
          </w:p>
          <w:p w:rsidR="0041523E" w:rsidRDefault="0041523E">
            <w:pPr>
              <w:spacing w:line="276" w:lineRule="auto"/>
              <w:rPr>
                <w:rFonts w:ascii="Palatino Linotype" w:hAnsi="Palatino Linotype" w:cs="Arial"/>
              </w:rPr>
            </w:pPr>
          </w:p>
        </w:tc>
      </w:tr>
    </w:tbl>
    <w:p w:rsidR="0041523E" w:rsidRDefault="001C34A3">
      <w:pPr>
        <w:jc w:val="both"/>
        <w:rPr>
          <w:rFonts w:ascii="Palatino Linotype" w:hAnsi="Palatino Linotype" w:cs="Arial"/>
          <w:sz w:val="22"/>
        </w:rPr>
      </w:pPr>
      <w:r>
        <w:rPr>
          <w:rFonts w:ascii="Palatino Linotype" w:hAnsi="Palatino Linotype" w:cs="Arial"/>
          <w:sz w:val="22"/>
        </w:rPr>
        <w:lastRenderedPageBreak/>
        <w:t xml:space="preserve">Esta hoja corresponde a la resolución de fecha diecinueve de agosto de dos mil veinte, emitida en el recurso de revisión número 01262/INFOEM/IP/RR/2020.  </w:t>
      </w:r>
    </w:p>
    <w:p w:rsidR="0041523E" w:rsidRDefault="001C34A3">
      <w:pPr>
        <w:spacing w:after="200" w:line="360" w:lineRule="auto"/>
        <w:jc w:val="both"/>
        <w:rPr>
          <w:rFonts w:ascii="Palatino Linotype" w:hAnsi="Palatino Linotype" w:cs="Arial"/>
        </w:rPr>
      </w:pPr>
      <w:r>
        <w:rPr>
          <w:rFonts w:ascii="Palatino Linotype" w:hAnsi="Palatino Linotype" w:cs="Arial"/>
          <w:sz w:val="22"/>
        </w:rPr>
        <w:t>YSM/ATU</w:t>
      </w:r>
    </w:p>
    <w:sectPr w:rsidR="0041523E">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A3" w:rsidRDefault="001C34A3">
      <w:r>
        <w:separator/>
      </w:r>
    </w:p>
  </w:endnote>
  <w:endnote w:type="continuationSeparator" w:id="0">
    <w:p w:rsidR="001C34A3" w:rsidRDefault="001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3E" w:rsidRDefault="001C34A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87478">
      <w:rPr>
        <w:rFonts w:ascii="Palatino Linotype" w:hAnsi="Palatino Linotype" w:cs="Arial"/>
        <w:bCs/>
        <w:noProof/>
        <w:sz w:val="22"/>
        <w:szCs w:val="22"/>
      </w:rPr>
      <w:t>32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87478">
      <w:rPr>
        <w:rFonts w:ascii="Palatino Linotype" w:hAnsi="Palatino Linotype" w:cs="Arial"/>
        <w:bCs/>
        <w:noProof/>
        <w:sz w:val="22"/>
        <w:szCs w:val="22"/>
      </w:rPr>
      <w:t>38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3E" w:rsidRDefault="001C34A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87478">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87478">
      <w:rPr>
        <w:rFonts w:ascii="Palatino Linotype" w:hAnsi="Palatino Linotype" w:cs="Arial"/>
        <w:bCs/>
        <w:noProof/>
        <w:sz w:val="22"/>
        <w:szCs w:val="22"/>
      </w:rPr>
      <w:t>38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A3" w:rsidRDefault="001C34A3">
      <w:r>
        <w:separator/>
      </w:r>
    </w:p>
  </w:footnote>
  <w:footnote w:type="continuationSeparator" w:id="0">
    <w:p w:rsidR="001C34A3" w:rsidRDefault="001C3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3E" w:rsidRDefault="001C34A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4"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8"/>
      <w:gridCol w:w="2552"/>
      <w:gridCol w:w="3724"/>
    </w:tblGrid>
    <w:tr w:rsidR="0041523E">
      <w:tc>
        <w:tcPr>
          <w:tcW w:w="3258" w:type="dxa"/>
          <w:vMerge w:val="restart"/>
        </w:tcPr>
        <w:p w:rsidR="0041523E" w:rsidRDefault="001C34A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 xml:space="preserve">Recurso de </w:t>
          </w:r>
          <w:r>
            <w:rPr>
              <w:rFonts w:ascii="Palatino Linotype" w:hAnsi="Palatino Linotype"/>
              <w:b/>
              <w:sz w:val="22"/>
              <w:szCs w:val="22"/>
              <w:lang w:val="es-ES_tradnl"/>
            </w:rPr>
            <w:t>revisión:</w:t>
          </w:r>
        </w:p>
      </w:tc>
      <w:tc>
        <w:tcPr>
          <w:tcW w:w="3724" w:type="dxa"/>
          <w:shd w:val="clear" w:color="auto" w:fill="auto"/>
          <w:vAlign w:val="center"/>
        </w:tcPr>
        <w:p w:rsidR="0041523E" w:rsidRDefault="001C34A3">
          <w:pPr>
            <w:jc w:val="both"/>
            <w:rPr>
              <w:rFonts w:ascii="Palatino Linotype" w:hAnsi="Palatino Linotype"/>
              <w:b/>
              <w:sz w:val="22"/>
              <w:szCs w:val="22"/>
              <w:lang w:val="es-ES_tradnl"/>
            </w:rPr>
          </w:pPr>
          <w:r>
            <w:rPr>
              <w:rFonts w:ascii="Palatino Linotype" w:hAnsi="Palatino Linotype"/>
              <w:b/>
              <w:sz w:val="22"/>
              <w:szCs w:val="22"/>
              <w:lang w:val="es-ES_tradnl"/>
            </w:rPr>
            <w:t>01262/INFOEM/IP/RR/2020</w:t>
          </w:r>
        </w:p>
      </w:tc>
    </w:tr>
    <w:tr w:rsidR="0041523E">
      <w:tc>
        <w:tcPr>
          <w:tcW w:w="3258" w:type="dxa"/>
          <w:vMerge/>
        </w:tcPr>
        <w:p w:rsidR="0041523E" w:rsidRDefault="0041523E">
          <w:pPr>
            <w:rPr>
              <w:rFonts w:ascii="Palatino Linotype" w:hAnsi="Palatino Linotype"/>
              <w:b/>
              <w:sz w:val="22"/>
              <w:szCs w:val="22"/>
              <w:lang w:val="es-ES_tradnl"/>
            </w:rPr>
          </w:pPr>
        </w:p>
      </w:tc>
      <w:tc>
        <w:tcPr>
          <w:tcW w:w="2552"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41523E" w:rsidRDefault="001C34A3">
          <w:pPr>
            <w:ind w:right="-107"/>
            <w:jc w:val="both"/>
            <w:rPr>
              <w:rFonts w:ascii="Palatino Linotype" w:hAnsi="Palatino Linotype"/>
              <w:b/>
            </w:rPr>
          </w:pPr>
          <w:r>
            <w:rPr>
              <w:rFonts w:ascii="Palatino Linotype" w:hAnsi="Palatino Linotype"/>
              <w:b/>
              <w:sz w:val="22"/>
              <w:szCs w:val="22"/>
              <w:lang w:val="es-ES_tradnl"/>
            </w:rPr>
            <w:t>Fiscalía General de Justicia del Estado de México</w:t>
          </w:r>
        </w:p>
      </w:tc>
    </w:tr>
    <w:tr w:rsidR="0041523E">
      <w:trPr>
        <w:trHeight w:val="228"/>
      </w:trPr>
      <w:tc>
        <w:tcPr>
          <w:tcW w:w="3258" w:type="dxa"/>
          <w:vMerge/>
        </w:tcPr>
        <w:p w:rsidR="0041523E" w:rsidRDefault="0041523E">
          <w:pPr>
            <w:rPr>
              <w:rFonts w:ascii="Palatino Linotype" w:hAnsi="Palatino Linotype"/>
              <w:b/>
              <w:sz w:val="22"/>
              <w:szCs w:val="22"/>
              <w:lang w:val="es-ES_tradnl"/>
            </w:rPr>
          </w:pPr>
        </w:p>
      </w:tc>
      <w:tc>
        <w:tcPr>
          <w:tcW w:w="2552"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41523E" w:rsidRDefault="001C34A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1523E" w:rsidRDefault="0041523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3E" w:rsidRDefault="0041523E">
    <w:pPr>
      <w:rPr>
        <w:rFonts w:ascii="Palatino Linotype" w:hAnsi="Palatino Linotype"/>
        <w:sz w:val="28"/>
        <w:szCs w:val="28"/>
      </w:rPr>
    </w:pPr>
  </w:p>
  <w:tbl>
    <w:tblPr>
      <w:tblW w:w="10490" w:type="dxa"/>
      <w:tblInd w:w="-1276" w:type="dxa"/>
      <w:tblLook w:val="04A0" w:firstRow="1" w:lastRow="0" w:firstColumn="1" w:lastColumn="0" w:noHBand="0" w:noVBand="1"/>
    </w:tblPr>
    <w:tblGrid>
      <w:gridCol w:w="4251"/>
      <w:gridCol w:w="2551"/>
      <w:gridCol w:w="3688"/>
    </w:tblGrid>
    <w:tr w:rsidR="0041523E">
      <w:tc>
        <w:tcPr>
          <w:tcW w:w="4251" w:type="dxa"/>
          <w:vMerge w:val="restart"/>
          <w:shd w:val="clear" w:color="auto" w:fill="auto"/>
        </w:tcPr>
        <w:p w:rsidR="0041523E" w:rsidRDefault="001C34A3">
          <w:pPr>
            <w:rPr>
              <w:rFonts w:ascii="Palatino Linotype" w:hAnsi="Palatino Linotype"/>
              <w:b/>
              <w:sz w:val="22"/>
              <w:szCs w:val="22"/>
              <w:lang w:val="es-ES_tradnl"/>
            </w:rPr>
          </w:pPr>
          <w:r>
            <w:rPr>
              <w:noProof/>
              <w:lang w:eastAsia="es-MX"/>
            </w:rPr>
            <w:drawing>
              <wp:inline distT="0" distB="0" distL="0" distR="0" wp14:anchorId="4AC2CB70" wp14:editId="2E03704A">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8" w:type="dxa"/>
          <w:shd w:val="clear" w:color="auto" w:fill="auto"/>
          <w:vAlign w:val="center"/>
        </w:tcPr>
        <w:p w:rsidR="0041523E" w:rsidRDefault="001C34A3">
          <w:pPr>
            <w:jc w:val="both"/>
            <w:rPr>
              <w:rFonts w:ascii="Palatino Linotype" w:hAnsi="Palatino Linotype"/>
              <w:b/>
              <w:sz w:val="22"/>
              <w:szCs w:val="22"/>
              <w:lang w:val="es-ES_tradnl"/>
            </w:rPr>
          </w:pPr>
          <w:r>
            <w:rPr>
              <w:rFonts w:ascii="Palatino Linotype" w:hAnsi="Palatino Linotype"/>
              <w:b/>
              <w:sz w:val="22"/>
              <w:szCs w:val="22"/>
              <w:lang w:val="es-ES_tradnl"/>
            </w:rPr>
            <w:t>01262/INFOEM/IP/RR/2020</w:t>
          </w:r>
        </w:p>
      </w:tc>
    </w:tr>
    <w:tr w:rsidR="0041523E">
      <w:tc>
        <w:tcPr>
          <w:tcW w:w="4251" w:type="dxa"/>
          <w:vMerge/>
          <w:shd w:val="clear" w:color="auto" w:fill="auto"/>
        </w:tcPr>
        <w:p w:rsidR="0041523E" w:rsidRDefault="0041523E">
          <w:pPr>
            <w:rPr>
              <w:rFonts w:ascii="Palatino Linotype" w:hAnsi="Palatino Linotype"/>
              <w:b/>
              <w:sz w:val="22"/>
              <w:szCs w:val="22"/>
              <w:lang w:val="es-ES_tradnl"/>
            </w:rPr>
          </w:pPr>
        </w:p>
      </w:tc>
      <w:tc>
        <w:tcPr>
          <w:tcW w:w="2551"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8" w:type="dxa"/>
          <w:shd w:val="clear" w:color="auto" w:fill="auto"/>
          <w:vAlign w:val="center"/>
        </w:tcPr>
        <w:p w:rsidR="0041523E" w:rsidRDefault="00887478" w:rsidP="00887478">
          <w:pPr>
            <w:spacing w:line="360" w:lineRule="auto"/>
            <w:ind w:left="34" w:right="-107"/>
            <w:jc w:val="both"/>
            <w:rPr>
              <w:rFonts w:ascii="Palatino Linotype" w:hAnsi="Palatino Linotype"/>
            </w:rPr>
          </w:pPr>
          <w:r>
            <w:rPr>
              <w:rFonts w:ascii="Palatino Linotype" w:hAnsi="Palatino Linotype"/>
              <w:noProof/>
              <w:sz w:val="28"/>
              <w:szCs w:val="28"/>
              <w:lang w:eastAsia="es-MX"/>
            </w:rPr>
            <w:drawing>
              <wp:anchor distT="0" distB="0" distL="0" distR="0" simplePos="0" relativeHeight="35" behindDoc="1" locked="0" layoutInCell="1" allowOverlap="1" wp14:anchorId="54F7903D" wp14:editId="38654755">
                <wp:simplePos x="0" y="0"/>
                <wp:positionH relativeFrom="column">
                  <wp:posOffset>-4060825</wp:posOffset>
                </wp:positionH>
                <wp:positionV relativeFrom="margin">
                  <wp:posOffset>104775</wp:posOffset>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b/>
              <w:sz w:val="22"/>
              <w:szCs w:val="22"/>
              <w:lang w:val="es-ES_tradnl"/>
            </w:rPr>
            <w:t>xxxxxx</w:t>
          </w:r>
          <w:r w:rsidR="001C34A3">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1C34A3">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41523E">
      <w:trPr>
        <w:trHeight w:val="228"/>
      </w:trPr>
      <w:tc>
        <w:tcPr>
          <w:tcW w:w="4251" w:type="dxa"/>
          <w:vMerge/>
          <w:shd w:val="clear" w:color="auto" w:fill="auto"/>
        </w:tcPr>
        <w:p w:rsidR="0041523E" w:rsidRDefault="0041523E">
          <w:pPr>
            <w:rPr>
              <w:rFonts w:ascii="Palatino Linotype" w:hAnsi="Palatino Linotype"/>
              <w:b/>
              <w:sz w:val="22"/>
              <w:szCs w:val="22"/>
              <w:lang w:val="es-ES_tradnl"/>
            </w:rPr>
          </w:pPr>
        </w:p>
      </w:tc>
      <w:tc>
        <w:tcPr>
          <w:tcW w:w="2551"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8" w:type="dxa"/>
          <w:shd w:val="clear" w:color="auto" w:fill="auto"/>
          <w:vAlign w:val="center"/>
        </w:tcPr>
        <w:p w:rsidR="0041523E" w:rsidRDefault="001C34A3">
          <w:pPr>
            <w:jc w:val="both"/>
            <w:rPr>
              <w:rFonts w:ascii="Palatino Linotype" w:hAnsi="Palatino Linotype"/>
              <w:b/>
              <w:sz w:val="22"/>
              <w:szCs w:val="22"/>
            </w:rPr>
          </w:pPr>
          <w:r>
            <w:rPr>
              <w:rFonts w:ascii="Palatino Linotype" w:hAnsi="Palatino Linotype"/>
              <w:b/>
              <w:sz w:val="22"/>
              <w:szCs w:val="22"/>
            </w:rPr>
            <w:t xml:space="preserve">Fiscalía </w:t>
          </w:r>
          <w:r>
            <w:rPr>
              <w:rFonts w:ascii="Palatino Linotype" w:hAnsi="Palatino Linotype"/>
              <w:b/>
              <w:sz w:val="22"/>
              <w:szCs w:val="22"/>
            </w:rPr>
            <w:t>General de Justicia del Estado de México</w:t>
          </w:r>
        </w:p>
      </w:tc>
    </w:tr>
    <w:tr w:rsidR="0041523E">
      <w:tc>
        <w:tcPr>
          <w:tcW w:w="4251" w:type="dxa"/>
          <w:vMerge/>
          <w:shd w:val="clear" w:color="auto" w:fill="auto"/>
        </w:tcPr>
        <w:p w:rsidR="0041523E" w:rsidRDefault="0041523E">
          <w:pPr>
            <w:rPr>
              <w:rFonts w:ascii="Palatino Linotype" w:hAnsi="Palatino Linotype"/>
              <w:b/>
              <w:sz w:val="22"/>
              <w:szCs w:val="22"/>
              <w:lang w:val="es-ES_tradnl"/>
            </w:rPr>
          </w:pPr>
        </w:p>
      </w:tc>
      <w:tc>
        <w:tcPr>
          <w:tcW w:w="2551" w:type="dxa"/>
          <w:shd w:val="clear" w:color="auto" w:fill="auto"/>
        </w:tcPr>
        <w:p w:rsidR="0041523E" w:rsidRDefault="001C34A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8" w:type="dxa"/>
          <w:shd w:val="clear" w:color="auto" w:fill="auto"/>
        </w:tcPr>
        <w:p w:rsidR="0041523E" w:rsidRDefault="001C34A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1523E" w:rsidRDefault="0041523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455A"/>
    <w:multiLevelType w:val="multilevel"/>
    <w:tmpl w:val="A7D8B338"/>
    <w:lvl w:ilvl="0">
      <w:start w:val="1"/>
      <w:numFmt w:val="upperRoman"/>
      <w:suff w:val="nothing"/>
      <w:lvlText w:val="%1."/>
      <w:lvlJc w:val="left"/>
      <w:pPr>
        <w:ind w:left="720" w:hanging="360"/>
      </w:pPr>
      <w:rPr>
        <w:rFonts w:cs="Wingdings"/>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nsid w:val="0ABD2B23"/>
    <w:multiLevelType w:val="multilevel"/>
    <w:tmpl w:val="1562AA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036490"/>
    <w:multiLevelType w:val="multilevel"/>
    <w:tmpl w:val="5D9822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B91030D"/>
    <w:multiLevelType w:val="multilevel"/>
    <w:tmpl w:val="8ACE73EC"/>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DA25FB"/>
    <w:multiLevelType w:val="multilevel"/>
    <w:tmpl w:val="6EA6628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BF44D02"/>
    <w:multiLevelType w:val="multilevel"/>
    <w:tmpl w:val="3B989DD2"/>
    <w:lvl w:ilvl="0">
      <w:start w:val="1"/>
      <w:numFmt w:val="ordinalText"/>
      <w:suff w:val="space"/>
      <w:lvlText w:val="%1."/>
      <w:lvlJc w:val="left"/>
      <w:pPr>
        <w:ind w:left="1920" w:hanging="360"/>
      </w:pPr>
      <w:rPr>
        <w:rFonts w:cs="Symbo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3"/>
    <w:lvlOverride w:ilvl="0">
      <w:lvl w:ilvl="0">
        <w:start w:val="1"/>
        <w:numFmt w:val="upperRoman"/>
        <w:suff w:val="nothing"/>
        <w:lvlText w:val="%1."/>
        <w:lvlJc w:val="left"/>
        <w:pPr>
          <w:ind w:left="720" w:hanging="360"/>
        </w:pPr>
        <w:rPr>
          <w:rFonts w:cs="Wingdings"/>
        </w:rPr>
      </w:lvl>
    </w:lvlOverride>
    <w:lvlOverride w:ilvl="1">
      <w:lvl w:ilvl="1">
        <w:start w:val="1"/>
        <w:numFmt w:val="lowerLetter"/>
        <w:suff w:val="nothing"/>
        <w:lvlText w:val="%2."/>
        <w:lvlJc w:val="left"/>
        <w:pPr>
          <w:ind w:left="1440" w:hanging="360"/>
        </w:pPr>
      </w:lvl>
    </w:lvlOverride>
    <w:lvlOverride w:ilvl="2">
      <w:lvl w:ilvl="2">
        <w:start w:val="1"/>
        <w:numFmt w:val="lowerRoman"/>
        <w:suff w:val="nothing"/>
        <w:lvlText w:val="%3."/>
        <w:lvlJc w:val="right"/>
        <w:pPr>
          <w:ind w:left="2160" w:hanging="180"/>
        </w:pPr>
      </w:lvl>
    </w:lvlOverride>
    <w:lvlOverride w:ilvl="3">
      <w:lvl w:ilvl="3">
        <w:start w:val="1"/>
        <w:numFmt w:val="decimal"/>
        <w:suff w:val="nothing"/>
        <w:lvlText w:val="%4."/>
        <w:lvlJc w:val="left"/>
        <w:pPr>
          <w:ind w:left="2880" w:hanging="360"/>
        </w:pPr>
      </w:lvl>
    </w:lvlOverride>
    <w:lvlOverride w:ilvl="4">
      <w:lvl w:ilvl="4">
        <w:start w:val="1"/>
        <w:numFmt w:val="lowerLetter"/>
        <w:suff w:val="nothing"/>
        <w:lvlText w:val="%5."/>
        <w:lvlJc w:val="left"/>
        <w:pPr>
          <w:ind w:left="3600" w:hanging="360"/>
        </w:pPr>
      </w:lvl>
    </w:lvlOverride>
    <w:lvlOverride w:ilvl="5">
      <w:lvl w:ilvl="5">
        <w:start w:val="1"/>
        <w:numFmt w:val="lowerRoman"/>
        <w:suff w:val="nothing"/>
        <w:lvlText w:val="%6."/>
        <w:lvlJc w:val="right"/>
        <w:pPr>
          <w:ind w:left="4320" w:hanging="180"/>
        </w:pPr>
      </w:lvl>
    </w:lvlOverride>
    <w:lvlOverride w:ilvl="6">
      <w:lvl w:ilvl="6">
        <w:start w:val="1"/>
        <w:numFmt w:val="decimal"/>
        <w:suff w:val="nothing"/>
        <w:lvlText w:val="%7."/>
        <w:lvlJc w:val="left"/>
        <w:pPr>
          <w:ind w:left="5040" w:hanging="360"/>
        </w:pPr>
      </w:lvl>
    </w:lvlOverride>
    <w:lvlOverride w:ilvl="7">
      <w:lvl w:ilvl="7">
        <w:start w:val="1"/>
        <w:numFmt w:val="lowerLetter"/>
        <w:suff w:val="nothing"/>
        <w:lvlText w:val="%8."/>
        <w:lvlJc w:val="left"/>
        <w:pPr>
          <w:ind w:left="5760" w:hanging="360"/>
        </w:pPr>
      </w:lvl>
    </w:lvlOverride>
    <w:lvlOverride w:ilvl="8">
      <w:lvl w:ilvl="8">
        <w:start w:val="1"/>
        <w:numFmt w:val="lowerRoman"/>
        <w:suff w:val="nothing"/>
        <w:lvlText w:val="%9."/>
        <w:lvlJc w:val="right"/>
        <w:pPr>
          <w:ind w:left="6480" w:hanging="180"/>
        </w:pPr>
      </w:lvl>
    </w:lvlOverride>
  </w:num>
  <w:num w:numId="8">
    <w:abstractNumId w:val="4"/>
    <w:lvlOverride w:ilvl="0">
      <w:lvl w:ilvl="0">
        <w:start w:val="1"/>
        <w:numFmt w:val="ordinalText"/>
        <w:suff w:val="space"/>
        <w:lvlText w:val="%1."/>
        <w:lvlJc w:val="left"/>
        <w:pPr>
          <w:ind w:left="1920" w:hanging="360"/>
        </w:pPr>
        <w:rPr>
          <w:rFonts w:cs="Symbol"/>
        </w:rPr>
      </w:lvl>
    </w:lvlOverride>
    <w:lvlOverride w:ilvl="1">
      <w:lvl w:ilvl="1">
        <w:start w:val="1"/>
        <w:numFmt w:val="decimal"/>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3E"/>
    <w:rsid w:val="001C34A3"/>
    <w:rsid w:val="0041523E"/>
    <w:rsid w:val="00887478"/>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74817-B519-4550-8049-892A3F77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87EB-1AB1-408A-8732-90B90AD7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9425</Words>
  <Characters>51840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2020-08-31T20:49:00Z</dcterms:created>
  <dcterms:modified xsi:type="dcterms:W3CDTF">2020-08-31T20:49:00Z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