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796" w:rsidRDefault="008E2E55">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w:t>
      </w:r>
      <w:bookmarkStart w:id="0" w:name="_GoBack"/>
      <w:bookmarkEnd w:id="0"/>
      <w:r>
        <w:rPr>
          <w:rFonts w:ascii="Palatino Linotype" w:hAnsi="Palatino Linotype"/>
        </w:rPr>
        <w:t>rmación Pública y Protección de Datos Personales del Estado de México y Municipios, con domicilio en Metepec, Estado de México, de fecha doce de agosto de dos mil veinte.</w:t>
      </w:r>
    </w:p>
    <w:p w:rsidR="00422796" w:rsidRDefault="008E2E55">
      <w:pPr>
        <w:spacing w:beforeAutospacing="1" w:afterAutospacing="1" w:line="360" w:lineRule="auto"/>
        <w:jc w:val="both"/>
        <w:rPr>
          <w:rFonts w:ascii="Palatino Linotype" w:hAnsi="Palatino Linotype"/>
        </w:rPr>
      </w:pPr>
      <w:r>
        <w:rPr>
          <w:rFonts w:ascii="Palatino Linotype" w:hAnsi="Palatino Linotype"/>
          <w:b/>
        </w:rPr>
        <w:t>VISTOS</w:t>
      </w:r>
      <w:r>
        <w:rPr>
          <w:rFonts w:ascii="Palatino Linotype" w:hAnsi="Palatino Linotype"/>
        </w:rPr>
        <w:t xml:space="preserve"> los expedientes formados con motivo de los Recursos de Revisión </w:t>
      </w:r>
      <w:r>
        <w:rPr>
          <w:rFonts w:ascii="Palatino Linotype" w:hAnsi="Palatino Linotype"/>
          <w:b/>
          <w:spacing w:val="-20"/>
        </w:rPr>
        <w:t xml:space="preserve">01322/INFOEM/IP/RR/2020, 01323/INFOEM/IP/RR/2020, 01324/INFOEM/IP/RR/2020, 01325/INFOEM/IP/RR/2020 </w:t>
      </w:r>
      <w:r>
        <w:rPr>
          <w:rFonts w:ascii="Palatino Linotype" w:hAnsi="Palatino Linotype"/>
          <w:spacing w:val="-20"/>
        </w:rPr>
        <w:t xml:space="preserve">y </w:t>
      </w:r>
      <w:r>
        <w:rPr>
          <w:rFonts w:ascii="Palatino Linotype" w:hAnsi="Palatino Linotype"/>
          <w:b/>
          <w:spacing w:val="-20"/>
        </w:rPr>
        <w:t>01328/INFOEM/IP/RR/2020</w:t>
      </w:r>
      <w:r>
        <w:rPr>
          <w:rFonts w:ascii="Palatino Linotype" w:hAnsi="Palatino Linotype"/>
        </w:rPr>
        <w:t xml:space="preserve">, promovidos por </w:t>
      </w:r>
      <w:r w:rsidR="00003F61">
        <w:rPr>
          <w:rFonts w:ascii="Palatino Linotype" w:hAnsi="Palatino Linotype"/>
          <w:b/>
        </w:rPr>
        <w:t>XXXXX XXXXXX XX</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rPr>
        <w:t xml:space="preserve">, en contra de las respuestas del </w:t>
      </w:r>
      <w:r>
        <w:rPr>
          <w:rFonts w:ascii="Palatino Linotype" w:hAnsi="Palatino Linotype"/>
          <w:b/>
          <w:bCs/>
        </w:rPr>
        <w:t>Ayuntamiento de Zumpango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422796" w:rsidRDefault="008E2E55">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422796" w:rsidRDefault="008E2E55">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 diecisiete de febrero</w:t>
      </w:r>
      <w:r>
        <w:rPr>
          <w:rFonts w:ascii="Palatino Linotype" w:hAnsi="Palatino Linotype"/>
        </w:rPr>
        <w:t xml:space="preserve">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las solicitudes de acceso a la información pública, a las que se les asignó los números </w:t>
      </w:r>
      <w:r>
        <w:rPr>
          <w:rFonts w:ascii="Palatino Linotype" w:hAnsi="Palatino Linotype"/>
          <w:b/>
          <w:bCs/>
          <w:spacing w:val="-20"/>
        </w:rPr>
        <w:t xml:space="preserve">00036/ZUMPANGO/IP/2020, 00037/ZUMPANGO/IP/2020, 00038/ZUMPANGO/IP/2020, 00039/ZUMPANGO/IP/2020 </w:t>
      </w:r>
      <w:r>
        <w:rPr>
          <w:rFonts w:ascii="Palatino Linotype" w:hAnsi="Palatino Linotype"/>
          <w:bCs/>
          <w:spacing w:val="-20"/>
        </w:rPr>
        <w:t>y</w:t>
      </w:r>
      <w:r>
        <w:rPr>
          <w:rFonts w:ascii="Palatino Linotype" w:hAnsi="Palatino Linotype"/>
          <w:b/>
          <w:bCs/>
          <w:spacing w:val="-20"/>
        </w:rPr>
        <w:t xml:space="preserve"> 00047/ZUMPANGO/IP/2020</w:t>
      </w:r>
      <w:r>
        <w:rPr>
          <w:rFonts w:ascii="Palatino Linotype" w:hAnsi="Palatino Linotype"/>
        </w:rPr>
        <w:t xml:space="preserve">, mediante las cuales requirió, vía </w:t>
      </w:r>
      <w:r>
        <w:rPr>
          <w:rFonts w:ascii="Palatino Linotype" w:hAnsi="Palatino Linotype"/>
          <w:b/>
        </w:rPr>
        <w:t>SAIMEX</w:t>
      </w:r>
      <w:r>
        <w:rPr>
          <w:rFonts w:ascii="Palatino Linotype" w:hAnsi="Palatino Linotype"/>
        </w:rPr>
        <w:t>, lo siguiente:</w:t>
      </w:r>
    </w:p>
    <w:p w:rsidR="00422796" w:rsidRDefault="008E2E55">
      <w:pPr>
        <w:spacing w:beforeAutospacing="1" w:afterAutospacing="1"/>
        <w:ind w:right="709"/>
        <w:jc w:val="both"/>
        <w:rPr>
          <w:rFonts w:ascii="Palatino Linotype" w:hAnsi="Palatino Linotype" w:cs="Arial"/>
          <w:i/>
          <w:sz w:val="22"/>
          <w:szCs w:val="22"/>
        </w:rPr>
      </w:pPr>
      <w:r>
        <w:rPr>
          <w:rFonts w:ascii="Palatino Linotype" w:hAnsi="Palatino Linotype"/>
          <w:b/>
          <w:bCs/>
        </w:rPr>
        <w:t>00036/ZUMPANGO/IP/2020</w:t>
      </w:r>
    </w:p>
    <w:p w:rsidR="00422796" w:rsidRDefault="008E2E55">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“REQUIERO LOS EXPEDIENTES DE OBRAS PÚBLICAS EN GENERAL DEL PRIMER TRIMESTRE 2019.” (Sic)</w:t>
      </w:r>
    </w:p>
    <w:p w:rsidR="00422796" w:rsidRDefault="008E2E55">
      <w:pPr>
        <w:spacing w:beforeAutospacing="1" w:afterAutospacing="1"/>
        <w:ind w:right="709"/>
        <w:jc w:val="both"/>
        <w:rPr>
          <w:rFonts w:ascii="Palatino Linotype" w:hAnsi="Palatino Linotype" w:cs="Arial"/>
          <w:i/>
          <w:sz w:val="22"/>
          <w:szCs w:val="22"/>
        </w:rPr>
      </w:pPr>
      <w:r>
        <w:rPr>
          <w:rFonts w:ascii="Palatino Linotype" w:hAnsi="Palatino Linotype"/>
          <w:b/>
          <w:bCs/>
        </w:rPr>
        <w:t>00037/ZUMPANGO/IP/2020</w:t>
      </w:r>
    </w:p>
    <w:p w:rsidR="00422796" w:rsidRDefault="008E2E55">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lastRenderedPageBreak/>
        <w:t>“REQUIERO LOS EXPEDIENTES DE OBRAS PÚBLICAS EN GENERAL DEL SEGUNDO TRIMESTRE 2019.” (Sic)</w:t>
      </w:r>
    </w:p>
    <w:p w:rsidR="00422796" w:rsidRDefault="008E2E55">
      <w:pPr>
        <w:spacing w:beforeAutospacing="1" w:afterAutospacing="1"/>
        <w:ind w:right="709"/>
        <w:jc w:val="both"/>
        <w:rPr>
          <w:rFonts w:ascii="Palatino Linotype" w:hAnsi="Palatino Linotype" w:cs="Arial"/>
          <w:i/>
          <w:sz w:val="22"/>
          <w:szCs w:val="22"/>
        </w:rPr>
      </w:pPr>
      <w:r>
        <w:rPr>
          <w:rFonts w:ascii="Palatino Linotype" w:hAnsi="Palatino Linotype"/>
          <w:b/>
          <w:bCs/>
        </w:rPr>
        <w:t>00038/ZUMPANGO/IP/2020</w:t>
      </w:r>
    </w:p>
    <w:p w:rsidR="00422796" w:rsidRDefault="008E2E55">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“REQUIERO LOS EXPEDIENTES DE OBRAS PÚBLICAS EN GENERAL DEL TERCER TRIMESTRE DE 2019.” (Sic)</w:t>
      </w:r>
    </w:p>
    <w:p w:rsidR="00422796" w:rsidRDefault="008E2E55">
      <w:pPr>
        <w:spacing w:beforeAutospacing="1" w:afterAutospacing="1"/>
        <w:ind w:right="709"/>
        <w:jc w:val="both"/>
        <w:rPr>
          <w:rFonts w:ascii="Palatino Linotype" w:hAnsi="Palatino Linotype"/>
          <w:b/>
          <w:bCs/>
        </w:rPr>
      </w:pPr>
      <w:r>
        <w:rPr>
          <w:rFonts w:ascii="Palatino Linotype" w:hAnsi="Palatino Linotype"/>
          <w:b/>
          <w:bCs/>
        </w:rPr>
        <w:t>00039/ZUMPANGO/IP/2020</w:t>
      </w:r>
    </w:p>
    <w:p w:rsidR="00422796" w:rsidRDefault="008E2E55">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“REQUIERO LOES EXPEDIENTES DE OBRAS PÚBLICAS DEL CUARTO TRIMESTRE 2019.” (Sic)</w:t>
      </w:r>
    </w:p>
    <w:p w:rsidR="00422796" w:rsidRDefault="008E2E55">
      <w:pPr>
        <w:spacing w:beforeAutospacing="1" w:afterAutospacing="1"/>
        <w:ind w:right="709"/>
        <w:jc w:val="both"/>
        <w:rPr>
          <w:rFonts w:ascii="Palatino Linotype" w:hAnsi="Palatino Linotype"/>
          <w:b/>
          <w:bCs/>
        </w:rPr>
      </w:pPr>
      <w:r>
        <w:rPr>
          <w:rFonts w:ascii="Palatino Linotype" w:hAnsi="Palatino Linotype"/>
          <w:b/>
          <w:bCs/>
        </w:rPr>
        <w:t>00047/ZUMPANGO/IP/2020</w:t>
      </w:r>
    </w:p>
    <w:p w:rsidR="00422796" w:rsidRDefault="008E2E55">
      <w:pPr>
        <w:spacing w:beforeAutospacing="1" w:afterAutospacing="1"/>
        <w:ind w:left="851" w:right="709"/>
        <w:jc w:val="both"/>
        <w:rPr>
          <w:rFonts w:ascii="Palatino Linotype" w:hAnsi="Palatino Linotype" w:cs="Arial"/>
          <w:i/>
          <w:sz w:val="22"/>
          <w:szCs w:val="22"/>
        </w:rPr>
      </w:pPr>
      <w:r>
        <w:rPr>
          <w:rFonts w:ascii="Palatino Linotype" w:hAnsi="Palatino Linotype" w:cs="Arial"/>
          <w:i/>
          <w:sz w:val="22"/>
          <w:szCs w:val="22"/>
        </w:rPr>
        <w:t>“REQUIERO LOS EXPEDIENTES DE LAS LICITACIONES POR CUALQUIER MODALIDAD SE REALIZARON EN EL AÑO 2019 DE BIENES, SERVICIOS Y OBRA PÚBLICA.” (Sic)</w:t>
      </w:r>
    </w:p>
    <w:p w:rsidR="00422796" w:rsidRDefault="008E2E55">
      <w:pPr>
        <w:pStyle w:val="Prrafodelista"/>
        <w:numPr>
          <w:ilvl w:val="0"/>
          <w:numId w:val="10"/>
        </w:numPr>
        <w:spacing w:before="240" w:after="240" w:line="360" w:lineRule="auto"/>
        <w:ind w:left="0" w:firstLine="0"/>
        <w:jc w:val="both"/>
        <w:rPr>
          <w:rFonts w:ascii="Palatino Linotype" w:hAnsi="Palatino Linotype" w:cs="Arial"/>
        </w:rPr>
      </w:pPr>
      <w:r>
        <w:rPr>
          <w:rFonts w:ascii="Palatino Linotype" w:hAnsi="Palatino Linotype" w:cs="Arial"/>
        </w:rPr>
        <w:t xml:space="preserve">De las constancias que integran los expedientes electrónicos del </w:t>
      </w:r>
      <w:r>
        <w:rPr>
          <w:rFonts w:ascii="Palatino Linotype" w:hAnsi="Palatino Linotype" w:cs="Arial"/>
          <w:b/>
        </w:rPr>
        <w:t>SAIMEX</w:t>
      </w:r>
      <w:r>
        <w:rPr>
          <w:rFonts w:ascii="Palatino Linotype" w:hAnsi="Palatino Linotype" w:cs="Arial"/>
        </w:rPr>
        <w:t xml:space="preserve">, se advierte que, en fecha diecisiete de febrero de dos mil veinte, el Titular de la Unidad de Transparencia del </w:t>
      </w:r>
      <w:r>
        <w:rPr>
          <w:rFonts w:ascii="Palatino Linotype" w:hAnsi="Palatino Linotype" w:cs="Arial"/>
          <w:b/>
        </w:rPr>
        <w:t>SUJETO OBLIGADO</w:t>
      </w:r>
      <w:r>
        <w:rPr>
          <w:rFonts w:ascii="Palatino Linotype" w:hAnsi="Palatino Linotype" w:cs="Arial"/>
        </w:rPr>
        <w:t xml:space="preserve">, mediante los folios números </w:t>
      </w:r>
      <w:r>
        <w:rPr>
          <w:rFonts w:ascii="Palatino Linotype" w:hAnsi="Palatino Linotype"/>
          <w:b/>
          <w:bCs/>
          <w:spacing w:val="-20"/>
        </w:rPr>
        <w:t xml:space="preserve">00036/ZUMPANGO/IP/2020/TSP/0001, 00037/ZUMPANGO/IP/2020TSP/0001, 00038/ZUMPANGO/IP/2020/TSP/0001, 00039/ZUMPANGO/IP/2020/TSP/0001 </w:t>
      </w:r>
      <w:r>
        <w:rPr>
          <w:rFonts w:ascii="Palatino Linotype" w:hAnsi="Palatino Linotype"/>
          <w:bCs/>
          <w:spacing w:val="-20"/>
        </w:rPr>
        <w:t>y</w:t>
      </w:r>
      <w:r>
        <w:rPr>
          <w:rFonts w:ascii="Palatino Linotype" w:hAnsi="Palatino Linotype"/>
          <w:b/>
          <w:bCs/>
          <w:spacing w:val="-20"/>
        </w:rPr>
        <w:t xml:space="preserve"> 00047/ZUMPANGO/IP/2020/TSP/0001, </w:t>
      </w:r>
      <w:r>
        <w:rPr>
          <w:rFonts w:ascii="Palatino Linotype" w:hAnsi="Palatino Linotype"/>
          <w:bCs/>
        </w:rPr>
        <w:t>turnó los requerimientos de información al Director de Obras Públicas, en su calidad de Servidor Público Habilitado</w:t>
      </w:r>
      <w:r>
        <w:rPr>
          <w:rStyle w:val="FootnoteAnchor"/>
          <w:rFonts w:ascii="Palatino Linotype" w:hAnsi="Palatino Linotype"/>
          <w:bCs/>
        </w:rPr>
        <w:footnoteReference w:id="1"/>
      </w:r>
      <w:r>
        <w:rPr>
          <w:rFonts w:ascii="Palatino Linotype" w:hAnsi="Palatino Linotype"/>
          <w:bCs/>
        </w:rPr>
        <w:t>, a fin de satisfacer el derecho de acceso a la información del particular. Sirve de sustento a lo anterior, la siguiente imagen ilustrativa:</w:t>
      </w:r>
    </w:p>
    <w:p w:rsidR="00422796" w:rsidRDefault="008E2E55">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extent cx="5867400" cy="895350"/>
            <wp:effectExtent l="0" t="0" r="0" b="0"/>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4"/>
                    <pic:cNvPicPr>
                      <a:picLocks noChangeAspect="1" noChangeArrowheads="1"/>
                    </pic:cNvPicPr>
                  </pic:nvPicPr>
                  <pic:blipFill>
                    <a:blip r:embed="rId8"/>
                    <a:srcRect l="13156" t="30719" r="13168" b="54090"/>
                    <a:stretch>
                      <a:fillRect/>
                    </a:stretch>
                  </pic:blipFill>
                  <pic:spPr bwMode="auto">
                    <a:xfrm>
                      <a:off x="0" y="0"/>
                      <a:ext cx="5867400" cy="895350"/>
                    </a:xfrm>
                    <a:prstGeom prst="rect">
                      <a:avLst/>
                    </a:prstGeom>
                  </pic:spPr>
                </pic:pic>
              </a:graphicData>
            </a:graphic>
          </wp:inline>
        </w:drawing>
      </w:r>
    </w:p>
    <w:p w:rsidR="00422796" w:rsidRDefault="008E2E55">
      <w:pPr>
        <w:pStyle w:val="Prrafodelista"/>
        <w:numPr>
          <w:ilvl w:val="0"/>
          <w:numId w:val="10"/>
        </w:numPr>
        <w:spacing w:before="240" w:after="240" w:line="360" w:lineRule="auto"/>
        <w:ind w:left="0" w:firstLine="0"/>
        <w:jc w:val="both"/>
        <w:rPr>
          <w:rFonts w:ascii="Palatino Linotype" w:hAnsi="Palatino Linotype" w:cs="Arial"/>
        </w:rPr>
      </w:pPr>
      <w:r>
        <w:rPr>
          <w:rFonts w:ascii="Palatino Linotype" w:hAnsi="Palatino Linotype" w:cs="Arial"/>
        </w:rPr>
        <w:t xml:space="preserve">Posteriormente, en fecha veintiséis de febrero de dos mil veinte, </w:t>
      </w:r>
      <w:r>
        <w:rPr>
          <w:rFonts w:ascii="Palatino Linotype" w:hAnsi="Palatino Linotype" w:cs="Arial"/>
          <w:b/>
        </w:rPr>
        <w:t>EL</w:t>
      </w:r>
      <w:r>
        <w:rPr>
          <w:rFonts w:ascii="Palatino Linotype" w:hAnsi="Palatino Linotype" w:cs="Arial"/>
        </w:rPr>
        <w:t xml:space="preserve"> </w:t>
      </w:r>
      <w:r>
        <w:rPr>
          <w:rFonts w:ascii="Palatino Linotype" w:hAnsi="Palatino Linotype" w:cs="Arial"/>
          <w:b/>
        </w:rPr>
        <w:t xml:space="preserve">SUJETO OBLIGADO </w:t>
      </w:r>
      <w:r>
        <w:rPr>
          <w:rFonts w:ascii="Palatino Linotype" w:hAnsi="Palatino Linotype" w:cs="Arial"/>
        </w:rPr>
        <w:t xml:space="preserve">dio respuesta a las solicitudes de acceso a la información pública, en los siguientes términos: </w:t>
      </w:r>
    </w:p>
    <w:p w:rsidR="00422796" w:rsidRDefault="008E2E55">
      <w:pPr>
        <w:spacing w:beforeAutospacing="1" w:afterAutospacing="1"/>
        <w:ind w:right="709"/>
        <w:jc w:val="both"/>
        <w:rPr>
          <w:rFonts w:ascii="Palatino Linotype" w:hAnsi="Palatino Linotype"/>
          <w:b/>
          <w:bCs/>
        </w:rPr>
      </w:pPr>
      <w:r>
        <w:rPr>
          <w:rFonts w:ascii="Palatino Linotype" w:hAnsi="Palatino Linotype"/>
          <w:b/>
          <w:bCs/>
        </w:rPr>
        <w:t>00036/ZUMPANGO/IP/2020</w:t>
      </w:r>
    </w:p>
    <w:p w:rsidR="00422796" w:rsidRDefault="008E2E55">
      <w:pPr>
        <w:spacing w:afterAutospacing="1"/>
        <w:ind w:left="851" w:right="899"/>
        <w:jc w:val="both"/>
        <w:rPr>
          <w:rFonts w:ascii="Palatino Linotype" w:hAnsi="Palatino Linotype" w:cs="Arial"/>
          <w:i/>
          <w:sz w:val="22"/>
          <w:szCs w:val="22"/>
        </w:rPr>
      </w:pPr>
      <w:r>
        <w:rPr>
          <w:rFonts w:ascii="Palatino Linotype" w:hAnsi="Palatino Linotype" w:cs="Arial"/>
          <w:i/>
          <w:sz w:val="22"/>
          <w:szCs w:val="22"/>
        </w:rPr>
        <w:t>“SE ADJUNTA OFICIO Y 04 EXPEDIENTES TÉCNICOS.” (Sic)</w:t>
      </w:r>
    </w:p>
    <w:p w:rsidR="00422796" w:rsidRDefault="008E2E55">
      <w:pPr>
        <w:spacing w:beforeAutospacing="1" w:afterAutospacing="1" w:line="360" w:lineRule="auto"/>
        <w:ind w:right="51"/>
        <w:jc w:val="both"/>
        <w:rPr>
          <w:rFonts w:ascii="Palatino Linotype" w:hAnsi="Palatino Linotype" w:cs="Arial"/>
        </w:rPr>
      </w:pPr>
      <w:r>
        <w:rPr>
          <w:rFonts w:ascii="Palatino Linotype" w:hAnsi="Palatino Linotype" w:cs="Arial"/>
        </w:rPr>
        <w:t xml:space="preserve">Asimismo, </w:t>
      </w:r>
      <w:r>
        <w:rPr>
          <w:rFonts w:ascii="Palatino Linotype" w:hAnsi="Palatino Linotype" w:cs="Arial"/>
          <w:b/>
        </w:rPr>
        <w:t>EL SUJETO OBLIGADO</w:t>
      </w:r>
      <w:r>
        <w:rPr>
          <w:rFonts w:ascii="Palatino Linotype" w:hAnsi="Palatino Linotype" w:cs="Arial"/>
        </w:rPr>
        <w:t xml:space="preserve"> adjuntó a su respuesta los siguientes archivos electrónicos:</w:t>
      </w:r>
    </w:p>
    <w:p w:rsidR="00422796" w:rsidRDefault="008E2E55">
      <w:pPr>
        <w:pStyle w:val="Prrafodelista"/>
        <w:numPr>
          <w:ilvl w:val="0"/>
          <w:numId w:val="6"/>
        </w:numPr>
        <w:spacing w:beforeAutospacing="1" w:afterAutospacing="1" w:line="360" w:lineRule="auto"/>
        <w:ind w:right="51"/>
        <w:jc w:val="both"/>
        <w:rPr>
          <w:rFonts w:ascii="Palatino Linotype" w:hAnsi="Palatino Linotype" w:cs="Arial"/>
          <w:i/>
        </w:rPr>
      </w:pPr>
      <w:r>
        <w:rPr>
          <w:rFonts w:ascii="Palatino Linotype" w:hAnsi="Palatino Linotype" w:cs="Arial"/>
          <w:i/>
        </w:rPr>
        <w:t>oficiosolicitud36.pdf</w:t>
      </w:r>
    </w:p>
    <w:p w:rsidR="00422796" w:rsidRDefault="00156D2A">
      <w:pPr>
        <w:spacing w:beforeAutospacing="1" w:afterAutospacing="1" w:line="360" w:lineRule="auto"/>
        <w:ind w:right="51"/>
        <w:jc w:val="both"/>
        <w:rPr>
          <w:rFonts w:ascii="Palatino Linotype" w:hAnsi="Palatino Linotype" w:cs="Arial"/>
          <w:i/>
        </w:rPr>
      </w:pPr>
      <w:r>
        <w:rPr>
          <w:rFonts w:ascii="Palatino Linotype" w:hAnsi="Palatino Linotype" w:cs="Arial"/>
          <w:i/>
          <w:noProof/>
          <w:lang w:eastAsia="es-MX"/>
        </w:rPr>
        <mc:AlternateContent>
          <mc:Choice Requires="wps">
            <w:drawing>
              <wp:anchor distT="0" distB="0" distL="0" distR="0" simplePos="0" relativeHeight="105" behindDoc="0" locked="0" layoutInCell="1" allowOverlap="1" wp14:anchorId="010048EA">
                <wp:simplePos x="0" y="0"/>
                <wp:positionH relativeFrom="column">
                  <wp:posOffset>76835</wp:posOffset>
                </wp:positionH>
                <wp:positionV relativeFrom="paragraph">
                  <wp:posOffset>53340</wp:posOffset>
                </wp:positionV>
                <wp:extent cx="5649595" cy="2886710"/>
                <wp:effectExtent l="38100" t="19050" r="66675" b="85725"/>
                <wp:wrapNone/>
                <wp:docPr id="2" name="Conector recto 15"/>
                <wp:cNvGraphicFramePr/>
                <a:graphic xmlns:a="http://schemas.openxmlformats.org/drawingml/2006/main">
                  <a:graphicData uri="http://schemas.microsoft.com/office/word/2010/wordprocessingShape">
                    <wps:wsp>
                      <wps:cNvCnPr/>
                      <wps:spPr>
                        <a:xfrm>
                          <a:off x="0" y="0"/>
                          <a:ext cx="5649595" cy="288671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03CE701A" id="Conector recto 15" o:spid="_x0000_s1026" style="position:absolute;z-index:105;visibility:visible;mso-wrap-style:square;mso-wrap-distance-left:0;mso-wrap-distance-top:0;mso-wrap-distance-right:0;mso-wrap-distance-bottom:0;mso-position-horizontal:absolute;mso-position-horizontal-relative:text;mso-position-vertical:absolute;mso-position-vertical-relative:text" from="6.05pt,4.2pt" to="450.9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" strokecolor="#4f81bd [3204]" strokeweight="2pt">
                <v:shadow on="t" color="black" opacity="24903f" origin=",.5" offset="0,.55556mm"/>
              </v:line>
            </w:pict>
          </mc:Fallback>
        </mc:AlternateContent>
      </w:r>
    </w:p>
    <w:p w:rsidR="00422796" w:rsidRDefault="008E2E55">
      <w:pPr>
        <w:pStyle w:val="Prrafodelista"/>
        <w:spacing w:beforeAutospacing="1" w:afterAutospacing="1" w:line="360" w:lineRule="auto"/>
        <w:ind w:left="720" w:right="51"/>
        <w:jc w:val="both"/>
        <w:rPr>
          <w:rFonts w:ascii="Palatino Linotype" w:hAnsi="Palatino Linotype" w:cs="Arial"/>
        </w:rPr>
      </w:pPr>
      <w:r>
        <w:rPr>
          <w:noProof/>
          <w:lang w:eastAsia="es-MX"/>
        </w:rPr>
        <w:lastRenderedPageBreak/>
        <w:drawing>
          <wp:inline distT="0" distB="0" distL="0" distR="0">
            <wp:extent cx="5153025" cy="7191375"/>
            <wp:effectExtent l="0" t="0" r="0"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pic:cNvPicPr>
                      <a:picLocks noChangeAspect="1" noChangeArrowheads="1"/>
                    </pic:cNvPicPr>
                  </pic:nvPicPr>
                  <pic:blipFill>
                    <a:blip r:embed="rId9"/>
                    <a:srcRect l="35197" t="20477" r="35208" b="10497"/>
                    <a:stretch>
                      <a:fillRect/>
                    </a:stretch>
                  </pic:blipFill>
                  <pic:spPr bwMode="auto">
                    <a:xfrm>
                      <a:off x="0" y="0"/>
                      <a:ext cx="5153025" cy="7191375"/>
                    </a:xfrm>
                    <a:prstGeom prst="rect">
                      <a:avLst/>
                    </a:prstGeom>
                  </pic:spPr>
                </pic:pic>
              </a:graphicData>
            </a:graphic>
          </wp:inline>
        </w:drawing>
      </w:r>
    </w:p>
    <w:p w:rsidR="00422796" w:rsidRDefault="008E2E55">
      <w:pPr>
        <w:pStyle w:val="Prrafodelista"/>
        <w:numPr>
          <w:ilvl w:val="0"/>
          <w:numId w:val="6"/>
        </w:numPr>
        <w:spacing w:beforeAutospacing="1" w:line="360" w:lineRule="auto"/>
        <w:ind w:right="51"/>
        <w:jc w:val="both"/>
        <w:rPr>
          <w:rFonts w:ascii="Palatino Linotype" w:hAnsi="Palatino Linotype" w:cs="Arial"/>
        </w:rPr>
      </w:pPr>
      <w:r>
        <w:rPr>
          <w:rFonts w:ascii="Palatino Linotype" w:hAnsi="Palatino Linotype" w:cs="Arial"/>
          <w:i/>
        </w:rPr>
        <w:lastRenderedPageBreak/>
        <w:t>fismdf11.pdf</w:t>
      </w:r>
      <w:r>
        <w:rPr>
          <w:rFonts w:ascii="Palatino Linotype" w:hAnsi="Palatino Linotype" w:cs="Arial"/>
        </w:rPr>
        <w:t xml:space="preserve">, correspondiente al expediente técnico de la obra </w:t>
      </w:r>
      <w:r>
        <w:rPr>
          <w:rFonts w:ascii="Palatino Linotype" w:hAnsi="Palatino Linotype" w:cs="Arial"/>
          <w:i/>
        </w:rPr>
        <w:t>“CONSTRUCCIÓN DE PAVIMENTO ASFALTICO EN COLONIA SAN JUAN DE GUADALUPE, CALLES BENITO JUAREZ, MANUEL AVILA CAMACHO Y PLUTARCO ELIAS CALLES” (Sic),</w:t>
      </w:r>
      <w:r>
        <w:rPr>
          <w:rFonts w:ascii="Palatino Linotype" w:hAnsi="Palatino Linotype" w:cs="Arial"/>
        </w:rPr>
        <w:t xml:space="preserve"> constante de 3 fojas útiles.</w:t>
      </w:r>
    </w:p>
    <w:p w:rsidR="00422796" w:rsidRDefault="008E2E55">
      <w:pPr>
        <w:pStyle w:val="Prrafodelista"/>
        <w:numPr>
          <w:ilvl w:val="0"/>
          <w:numId w:val="6"/>
        </w:numPr>
        <w:spacing w:line="360" w:lineRule="auto"/>
        <w:ind w:right="51"/>
        <w:jc w:val="both"/>
        <w:rPr>
          <w:rFonts w:ascii="Palatino Linotype" w:hAnsi="Palatino Linotype" w:cs="Arial"/>
        </w:rPr>
      </w:pPr>
      <w:r>
        <w:rPr>
          <w:rFonts w:ascii="Palatino Linotype" w:hAnsi="Palatino Linotype" w:cs="Arial"/>
          <w:i/>
        </w:rPr>
        <w:t>fismdf02.pdf</w:t>
      </w:r>
      <w:r>
        <w:rPr>
          <w:rFonts w:ascii="Palatino Linotype" w:hAnsi="Palatino Linotype" w:cs="Arial"/>
        </w:rPr>
        <w:t xml:space="preserve">, correspondiente al expediente técnico de la obra </w:t>
      </w:r>
      <w:r>
        <w:rPr>
          <w:rFonts w:ascii="Palatino Linotype" w:hAnsi="Palatino Linotype" w:cs="Arial"/>
          <w:i/>
        </w:rPr>
        <w:t>“CONSTRUCCIÓN DE DRENAJE EN COLONIA LOS ROMEROS, CALLE HALCON, GAVILANES GALANDRIAS Y JILGUEROS” (Sic),</w:t>
      </w:r>
      <w:r>
        <w:rPr>
          <w:rFonts w:ascii="Palatino Linotype" w:hAnsi="Palatino Linotype" w:cs="Arial"/>
        </w:rPr>
        <w:t xml:space="preserve"> constante de 3 fojas útiles.</w:t>
      </w:r>
    </w:p>
    <w:p w:rsidR="00422796" w:rsidRDefault="008E2E55">
      <w:pPr>
        <w:pStyle w:val="Prrafodelista"/>
        <w:numPr>
          <w:ilvl w:val="0"/>
          <w:numId w:val="6"/>
        </w:numPr>
        <w:spacing w:line="360" w:lineRule="auto"/>
        <w:ind w:right="51"/>
        <w:jc w:val="both"/>
        <w:rPr>
          <w:rFonts w:ascii="Palatino Linotype" w:hAnsi="Palatino Linotype" w:cs="Arial"/>
        </w:rPr>
      </w:pPr>
      <w:r>
        <w:rPr>
          <w:rFonts w:ascii="Palatino Linotype" w:hAnsi="Palatino Linotype" w:cs="Arial"/>
          <w:i/>
        </w:rPr>
        <w:t>fismdf03.pdf</w:t>
      </w:r>
      <w:r>
        <w:rPr>
          <w:rFonts w:ascii="Palatino Linotype" w:hAnsi="Palatino Linotype" w:cs="Arial"/>
        </w:rPr>
        <w:t xml:space="preserve">, correspondiente al expediente técnico de la obra </w:t>
      </w:r>
      <w:r>
        <w:rPr>
          <w:rFonts w:ascii="Palatino Linotype" w:hAnsi="Palatino Linotype" w:cs="Arial"/>
          <w:i/>
        </w:rPr>
        <w:t>“CONSTRUCCIÓN DE COLECTOR SANITARIO SAN BARTOLO, EN CAMINO REAL A ZUMPANGO, CALLE SAN ISIDRO, CALLE SIN NOMBRE Y CALLE SAN JUDAS TADEO” (Sic),</w:t>
      </w:r>
      <w:r>
        <w:rPr>
          <w:rFonts w:ascii="Palatino Linotype" w:hAnsi="Palatino Linotype" w:cs="Arial"/>
        </w:rPr>
        <w:t xml:space="preserve"> constante de 3 fojas útiles.</w:t>
      </w:r>
    </w:p>
    <w:p w:rsidR="00422796" w:rsidRDefault="008E2E55">
      <w:pPr>
        <w:pStyle w:val="Prrafodelista"/>
        <w:numPr>
          <w:ilvl w:val="0"/>
          <w:numId w:val="6"/>
        </w:numPr>
        <w:spacing w:afterAutospacing="1" w:line="360" w:lineRule="auto"/>
        <w:ind w:right="51"/>
        <w:jc w:val="both"/>
        <w:rPr>
          <w:rFonts w:ascii="Palatino Linotype" w:hAnsi="Palatino Linotype" w:cs="Arial"/>
        </w:rPr>
      </w:pPr>
      <w:r>
        <w:rPr>
          <w:rFonts w:ascii="Palatino Linotype" w:hAnsi="Palatino Linotype" w:cs="Arial"/>
          <w:i/>
        </w:rPr>
        <w:t>fismdf01.pdf</w:t>
      </w:r>
      <w:r>
        <w:rPr>
          <w:rFonts w:ascii="Palatino Linotype" w:hAnsi="Palatino Linotype" w:cs="Arial"/>
        </w:rPr>
        <w:t xml:space="preserve">, correspondiente al expediente técnico de la obra </w:t>
      </w:r>
      <w:r>
        <w:rPr>
          <w:rFonts w:ascii="Palatino Linotype" w:hAnsi="Palatino Linotype" w:cs="Arial"/>
          <w:i/>
        </w:rPr>
        <w:t>“CONSTRUCCIÓN DE DERANJE SAN BARTOLO, (PROLONGACION CUITLAHUAC), DESDE MIGUEL HIDALGO HASTA CALLE SIN NOMBRE” (Sic),</w:t>
      </w:r>
      <w:r>
        <w:rPr>
          <w:rFonts w:ascii="Palatino Linotype" w:hAnsi="Palatino Linotype" w:cs="Arial"/>
        </w:rPr>
        <w:t xml:space="preserve"> constante de 3 fojas útiles.</w:t>
      </w:r>
    </w:p>
    <w:p w:rsidR="00422796" w:rsidRDefault="008E2E55">
      <w:pPr>
        <w:spacing w:beforeAutospacing="1" w:afterAutospacing="1"/>
        <w:ind w:right="709"/>
        <w:jc w:val="both"/>
        <w:rPr>
          <w:rFonts w:ascii="Palatino Linotype" w:hAnsi="Palatino Linotype" w:cs="Arial"/>
          <w:i/>
          <w:sz w:val="22"/>
          <w:szCs w:val="22"/>
        </w:rPr>
      </w:pPr>
      <w:r>
        <w:rPr>
          <w:rFonts w:ascii="Palatino Linotype" w:hAnsi="Palatino Linotype"/>
          <w:b/>
          <w:bCs/>
        </w:rPr>
        <w:t>00037/ZUMPANGO/IP/2020</w:t>
      </w:r>
    </w:p>
    <w:p w:rsidR="00422796" w:rsidRDefault="008E2E55">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“SE ADJUNTA OFICIO Y 11 EXPEDIENTES TECNICO.” (Sic)</w:t>
      </w:r>
    </w:p>
    <w:p w:rsidR="00422796" w:rsidRDefault="008E2E55">
      <w:pPr>
        <w:spacing w:beforeAutospacing="1" w:afterAutospacing="1" w:line="360" w:lineRule="auto"/>
        <w:ind w:right="51"/>
        <w:jc w:val="both"/>
        <w:rPr>
          <w:rFonts w:ascii="Palatino Linotype" w:hAnsi="Palatino Linotype" w:cs="Arial"/>
        </w:rPr>
      </w:pPr>
      <w:r>
        <w:rPr>
          <w:rFonts w:ascii="Palatino Linotype" w:hAnsi="Palatino Linotype" w:cs="Arial"/>
        </w:rPr>
        <w:t xml:space="preserve">Asimismo, </w:t>
      </w:r>
      <w:r>
        <w:rPr>
          <w:rFonts w:ascii="Palatino Linotype" w:hAnsi="Palatino Linotype" w:cs="Arial"/>
          <w:b/>
        </w:rPr>
        <w:t>EL SUJETO OBLIGADO</w:t>
      </w:r>
      <w:r>
        <w:rPr>
          <w:rFonts w:ascii="Palatino Linotype" w:hAnsi="Palatino Linotype" w:cs="Arial"/>
        </w:rPr>
        <w:t xml:space="preserve"> adjuntó a su respuesta los siguientes archivos electrónicos:</w:t>
      </w:r>
    </w:p>
    <w:p w:rsidR="00422796" w:rsidRDefault="008E2E55">
      <w:pPr>
        <w:pStyle w:val="Prrafodelista"/>
        <w:numPr>
          <w:ilvl w:val="0"/>
          <w:numId w:val="6"/>
        </w:numPr>
        <w:spacing w:beforeAutospacing="1" w:afterAutospacing="1" w:line="360" w:lineRule="auto"/>
        <w:ind w:right="51"/>
        <w:jc w:val="both"/>
        <w:rPr>
          <w:rFonts w:ascii="Palatino Linotype" w:hAnsi="Palatino Linotype" w:cs="Arial"/>
          <w:i/>
        </w:rPr>
      </w:pPr>
      <w:r>
        <w:rPr>
          <w:rFonts w:ascii="Palatino Linotype" w:hAnsi="Palatino Linotype" w:cs="Arial"/>
          <w:i/>
        </w:rPr>
        <w:t>oficiosolicitud37.pdf</w:t>
      </w:r>
    </w:p>
    <w:p w:rsidR="00422796" w:rsidRDefault="008E2E55">
      <w:pPr>
        <w:pStyle w:val="Prrafodelista"/>
        <w:spacing w:beforeAutospacing="1" w:afterAutospacing="1" w:line="360" w:lineRule="auto"/>
        <w:ind w:left="720" w:right="51"/>
        <w:jc w:val="both"/>
        <w:rPr>
          <w:rFonts w:ascii="Palatino Linotype" w:hAnsi="Palatino Linotype" w:cs="Arial"/>
        </w:rPr>
      </w:pPr>
      <w:r>
        <w:rPr>
          <w:noProof/>
          <w:lang w:eastAsia="es-MX"/>
        </w:rPr>
        <w:lastRenderedPageBreak/>
        <w:drawing>
          <wp:inline distT="0" distB="0" distL="0" distR="0">
            <wp:extent cx="5248275" cy="7000875"/>
            <wp:effectExtent l="0" t="0" r="0" b="0"/>
            <wp:docPr id="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6"/>
                    <pic:cNvPicPr>
                      <a:picLocks noChangeAspect="1" noChangeArrowheads="1"/>
                    </pic:cNvPicPr>
                  </pic:nvPicPr>
                  <pic:blipFill>
                    <a:blip r:embed="rId10"/>
                    <a:srcRect l="35197" t="21058" r="35045" b="10497"/>
                    <a:stretch>
                      <a:fillRect/>
                    </a:stretch>
                  </pic:blipFill>
                  <pic:spPr bwMode="auto">
                    <a:xfrm>
                      <a:off x="0" y="0"/>
                      <a:ext cx="5248275" cy="7000875"/>
                    </a:xfrm>
                    <a:prstGeom prst="rect">
                      <a:avLst/>
                    </a:prstGeom>
                  </pic:spPr>
                </pic:pic>
              </a:graphicData>
            </a:graphic>
          </wp:inline>
        </w:drawing>
      </w:r>
    </w:p>
    <w:p w:rsidR="00422796" w:rsidRDefault="008E2E55">
      <w:pPr>
        <w:pStyle w:val="Prrafodelista"/>
        <w:numPr>
          <w:ilvl w:val="0"/>
          <w:numId w:val="6"/>
        </w:numPr>
        <w:spacing w:beforeAutospacing="1" w:afterAutospacing="1" w:line="360" w:lineRule="auto"/>
        <w:ind w:right="51"/>
        <w:jc w:val="both"/>
        <w:rPr>
          <w:rFonts w:ascii="Palatino Linotype" w:hAnsi="Palatino Linotype" w:cs="Arial"/>
        </w:rPr>
      </w:pPr>
      <w:r>
        <w:rPr>
          <w:rFonts w:ascii="Palatino Linotype" w:hAnsi="Palatino Linotype" w:cs="Arial"/>
          <w:i/>
        </w:rPr>
        <w:lastRenderedPageBreak/>
        <w:t>repo 01.pdf, fismdf 14.pdf, repo 02.pdf, fismdf 08.pdf, fismdf 15.pdf, fismdf 16.pdf, fismdf 12.pdf, repo 03.pdf, fismdf 07.pdf, fismdf 13.pdf, fismdf 10.pdf,</w:t>
      </w:r>
      <w:r>
        <w:rPr>
          <w:rFonts w:ascii="Palatino Linotype" w:hAnsi="Palatino Linotype" w:cs="Arial"/>
        </w:rPr>
        <w:t xml:space="preserve"> correspondientes a 11 expedientes técnicos de diversas obras, mismos que no se plasman en obvio de representaciones innecesarias, dada su extensión. </w:t>
      </w:r>
    </w:p>
    <w:p w:rsidR="00422796" w:rsidRDefault="008E2E55">
      <w:pPr>
        <w:spacing w:beforeAutospacing="1" w:afterAutospacing="1"/>
        <w:ind w:right="709"/>
        <w:jc w:val="both"/>
        <w:rPr>
          <w:rFonts w:ascii="Palatino Linotype" w:hAnsi="Palatino Linotype" w:cs="Arial"/>
          <w:i/>
          <w:sz w:val="22"/>
          <w:szCs w:val="22"/>
        </w:rPr>
      </w:pPr>
      <w:r>
        <w:rPr>
          <w:rFonts w:ascii="Palatino Linotype" w:hAnsi="Palatino Linotype"/>
          <w:b/>
          <w:bCs/>
        </w:rPr>
        <w:t>00038/ZUMPANGO/IP/2020</w:t>
      </w:r>
    </w:p>
    <w:p w:rsidR="00422796" w:rsidRDefault="008E2E55">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“SE ADJUNTA OFICIO Y 14 EXPEDIENTES TÉCNICOS. (Sic)</w:t>
      </w:r>
    </w:p>
    <w:p w:rsidR="00422796" w:rsidRDefault="008E2E55">
      <w:pPr>
        <w:spacing w:beforeAutospacing="1" w:afterAutospacing="1" w:line="360" w:lineRule="auto"/>
        <w:ind w:right="51"/>
        <w:jc w:val="both"/>
        <w:rPr>
          <w:rFonts w:ascii="Palatino Linotype" w:hAnsi="Palatino Linotype" w:cs="Arial"/>
        </w:rPr>
      </w:pPr>
      <w:bookmarkStart w:id="1" w:name="_Ref531692384"/>
      <w:bookmarkStart w:id="2" w:name="_Ref516764469"/>
      <w:bookmarkStart w:id="3" w:name="_Ref507070922"/>
      <w:bookmarkEnd w:id="1"/>
      <w:bookmarkEnd w:id="2"/>
      <w:r>
        <w:rPr>
          <w:rFonts w:ascii="Palatino Linotype" w:hAnsi="Palatino Linotype" w:cs="Arial"/>
        </w:rPr>
        <w:t xml:space="preserve">Asimismo, </w:t>
      </w:r>
      <w:r>
        <w:rPr>
          <w:rFonts w:ascii="Palatino Linotype" w:hAnsi="Palatino Linotype" w:cs="Arial"/>
          <w:b/>
        </w:rPr>
        <w:t>EL SUJETO OBLIGADO</w:t>
      </w:r>
      <w:r>
        <w:rPr>
          <w:rFonts w:ascii="Palatino Linotype" w:hAnsi="Palatino Linotype" w:cs="Arial"/>
        </w:rPr>
        <w:t xml:space="preserve"> adjuntó a su respuesta los siguientes archivos electrónicos:</w:t>
      </w:r>
    </w:p>
    <w:p w:rsidR="00422796" w:rsidRDefault="00156D2A">
      <w:pPr>
        <w:pStyle w:val="Prrafodelista"/>
        <w:numPr>
          <w:ilvl w:val="0"/>
          <w:numId w:val="6"/>
        </w:numPr>
        <w:spacing w:beforeAutospacing="1" w:afterAutospacing="1" w:line="360" w:lineRule="auto"/>
        <w:ind w:right="51"/>
        <w:jc w:val="both"/>
        <w:rPr>
          <w:rFonts w:ascii="Palatino Linotype" w:hAnsi="Palatino Linotype" w:cs="Arial"/>
          <w:i/>
        </w:rPr>
      </w:pPr>
      <w:r>
        <w:rPr>
          <w:rFonts w:ascii="Palatino Linotype" w:hAnsi="Palatino Linotype" w:cs="Arial"/>
          <w:i/>
          <w:noProof/>
          <w:lang w:eastAsia="es-MX"/>
        </w:rPr>
        <mc:AlternateContent>
          <mc:Choice Requires="wps">
            <w:drawing>
              <wp:anchor distT="0" distB="0" distL="0" distR="0" simplePos="0" relativeHeight="106" behindDoc="0" locked="0" layoutInCell="1" allowOverlap="1" wp14:anchorId="3F253BCE">
                <wp:simplePos x="0" y="0"/>
                <wp:positionH relativeFrom="column">
                  <wp:posOffset>139065</wp:posOffset>
                </wp:positionH>
                <wp:positionV relativeFrom="paragraph">
                  <wp:posOffset>305435</wp:posOffset>
                </wp:positionV>
                <wp:extent cx="5829300" cy="3924300"/>
                <wp:effectExtent l="38100" t="19050" r="76200" b="95250"/>
                <wp:wrapNone/>
                <wp:docPr id="5" name="Conector recto 18"/>
                <wp:cNvGraphicFramePr/>
                <a:graphic xmlns:a="http://schemas.openxmlformats.org/drawingml/2006/main">
                  <a:graphicData uri="http://schemas.microsoft.com/office/word/2010/wordprocessingShape">
                    <wps:wsp>
                      <wps:cNvCnPr/>
                      <wps:spPr>
                        <a:xfrm>
                          <a:off x="0" y="0"/>
                          <a:ext cx="5829300" cy="3924300"/>
                        </a:xfrm>
                        <a:prstGeom prst="line">
                          <a:avLst/>
                        </a:prstGeom>
                        <a:ln>
                          <a:round/>
                        </a:ln>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3688D54" id="Conector recto 18" o:spid="_x0000_s1026" style="position:absolute;z-index:10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0.95pt,24.05pt" to="469.95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" strokecolor="#4f81bd [3204]" strokeweight="2pt">
                <v:shadow on="t" color="black" opacity="24903f" origin=",.5" offset="0,.55556mm"/>
              </v:line>
            </w:pict>
          </mc:Fallback>
        </mc:AlternateContent>
      </w:r>
      <w:r w:rsidR="008E2E55">
        <w:rPr>
          <w:rFonts w:ascii="Palatino Linotype" w:hAnsi="Palatino Linotype" w:cs="Arial"/>
          <w:i/>
        </w:rPr>
        <w:t>oficiosolicitud38.pdf</w:t>
      </w:r>
    </w:p>
    <w:p w:rsidR="00422796" w:rsidRDefault="00422796">
      <w:pPr>
        <w:spacing w:beforeAutospacing="1" w:afterAutospacing="1" w:line="360" w:lineRule="auto"/>
        <w:ind w:right="51"/>
        <w:jc w:val="both"/>
        <w:rPr>
          <w:rFonts w:ascii="Palatino Linotype" w:hAnsi="Palatino Linotype" w:cs="Arial"/>
          <w:i/>
        </w:rPr>
      </w:pPr>
    </w:p>
    <w:p w:rsidR="00422796" w:rsidRDefault="008E2E55">
      <w:pPr>
        <w:pStyle w:val="Prrafodelista"/>
        <w:spacing w:beforeAutospacing="1" w:afterAutospacing="1" w:line="360" w:lineRule="auto"/>
        <w:ind w:left="720" w:right="51"/>
        <w:jc w:val="both"/>
        <w:rPr>
          <w:rFonts w:ascii="Palatino Linotype" w:hAnsi="Palatino Linotype" w:cs="Arial"/>
        </w:rPr>
      </w:pPr>
      <w:r>
        <w:rPr>
          <w:noProof/>
          <w:lang w:eastAsia="es-MX"/>
        </w:rPr>
        <w:lastRenderedPageBreak/>
        <w:drawing>
          <wp:inline distT="0" distB="0" distL="0" distR="0">
            <wp:extent cx="5276850" cy="7038975"/>
            <wp:effectExtent l="0" t="0" r="0" b="0"/>
            <wp:docPr id="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7"/>
                    <pic:cNvPicPr>
                      <a:picLocks noChangeAspect="1" noChangeArrowheads="1"/>
                    </pic:cNvPicPr>
                  </pic:nvPicPr>
                  <pic:blipFill>
                    <a:blip r:embed="rId11"/>
                    <a:srcRect l="34544" t="20773" r="35540" b="11373"/>
                    <a:stretch>
                      <a:fillRect/>
                    </a:stretch>
                  </pic:blipFill>
                  <pic:spPr bwMode="auto">
                    <a:xfrm>
                      <a:off x="0" y="0"/>
                      <a:ext cx="5276850" cy="7038975"/>
                    </a:xfrm>
                    <a:prstGeom prst="rect">
                      <a:avLst/>
                    </a:prstGeom>
                  </pic:spPr>
                </pic:pic>
              </a:graphicData>
            </a:graphic>
          </wp:inline>
        </w:drawing>
      </w:r>
    </w:p>
    <w:p w:rsidR="00422796" w:rsidRDefault="008E2E55">
      <w:pPr>
        <w:pStyle w:val="Prrafodelista"/>
        <w:numPr>
          <w:ilvl w:val="0"/>
          <w:numId w:val="6"/>
        </w:numPr>
        <w:spacing w:beforeAutospacing="1" w:afterAutospacing="1" w:line="360" w:lineRule="auto"/>
        <w:ind w:right="51"/>
        <w:jc w:val="both"/>
        <w:rPr>
          <w:rFonts w:ascii="Palatino Linotype" w:hAnsi="Palatino Linotype" w:cs="Arial"/>
        </w:rPr>
      </w:pPr>
      <w:r>
        <w:rPr>
          <w:rFonts w:ascii="Palatino Linotype" w:hAnsi="Palatino Linotype" w:cs="Arial"/>
          <w:i/>
        </w:rPr>
        <w:lastRenderedPageBreak/>
        <w:t>fismdf 06.pdf, fismdf 05.pdf, repo 07.pdf, repo 05.pdf, fismdf 04.pdf, repo 08.pdf, fismdf 18.pdf, repo 09.pdf, repo 04.pdf, fismdf 17.pdf, fismdf 09.pdf, fismdf 19.pdf y repo 06.pdf</w:t>
      </w:r>
      <w:r>
        <w:rPr>
          <w:rFonts w:ascii="Palatino Linotype" w:hAnsi="Palatino Linotype" w:cs="Arial"/>
        </w:rPr>
        <w:t xml:space="preserve">, correspondientes a 11 expedientes técnicos de diversas obras, mismos que no se plasman en obvio de representaciones innecesarias, dada su extensión. </w:t>
      </w:r>
    </w:p>
    <w:p w:rsidR="00422796" w:rsidRDefault="008E2E55">
      <w:pPr>
        <w:spacing w:beforeAutospacing="1" w:afterAutospacing="1"/>
        <w:ind w:right="709"/>
        <w:jc w:val="both"/>
        <w:rPr>
          <w:rFonts w:ascii="Palatino Linotype" w:hAnsi="Palatino Linotype" w:cs="Arial"/>
          <w:i/>
          <w:sz w:val="22"/>
          <w:szCs w:val="22"/>
        </w:rPr>
      </w:pPr>
      <w:r>
        <w:rPr>
          <w:rFonts w:ascii="Palatino Linotype" w:hAnsi="Palatino Linotype"/>
          <w:b/>
          <w:bCs/>
        </w:rPr>
        <w:t>00039/ZUMPANGO/IP/2020</w:t>
      </w:r>
    </w:p>
    <w:p w:rsidR="00422796" w:rsidRDefault="008E2E55">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“SE ADJUNTA OFICIO Y 54 EXPEDIENTES TÉCNICOS EXPEDIENTES CUARTO TRIMESTRE EXPEDIENTES TÉCNICOS RECURSOS PROPIOS EXPEDIENTES TÉCNICOS RECURSOS PROPIOS. (Sic)</w:t>
      </w:r>
    </w:p>
    <w:p w:rsidR="00422796" w:rsidRDefault="008E2E55">
      <w:pPr>
        <w:spacing w:beforeAutospacing="1" w:afterAutospacing="1" w:line="360" w:lineRule="auto"/>
        <w:ind w:right="51"/>
        <w:jc w:val="both"/>
        <w:rPr>
          <w:rFonts w:ascii="Palatino Linotype" w:hAnsi="Palatino Linotype" w:cs="Arial"/>
        </w:rPr>
      </w:pPr>
      <w:r>
        <w:rPr>
          <w:rFonts w:ascii="Palatino Linotype" w:hAnsi="Palatino Linotype" w:cs="Arial"/>
        </w:rPr>
        <w:t xml:space="preserve">Asimismo, </w:t>
      </w:r>
      <w:r>
        <w:rPr>
          <w:rFonts w:ascii="Palatino Linotype" w:hAnsi="Palatino Linotype" w:cs="Arial"/>
          <w:b/>
        </w:rPr>
        <w:t>EL SUJETO OBLIGADO</w:t>
      </w:r>
      <w:r>
        <w:rPr>
          <w:rFonts w:ascii="Palatino Linotype" w:hAnsi="Palatino Linotype" w:cs="Arial"/>
        </w:rPr>
        <w:t xml:space="preserve"> adjuntó a su respuesta los siguientes archivos electrónicos:</w:t>
      </w:r>
    </w:p>
    <w:p w:rsidR="00422796" w:rsidRDefault="00156D2A">
      <w:pPr>
        <w:pStyle w:val="Prrafodelista"/>
        <w:numPr>
          <w:ilvl w:val="0"/>
          <w:numId w:val="6"/>
        </w:numPr>
        <w:spacing w:beforeAutospacing="1" w:afterAutospacing="1" w:line="360" w:lineRule="auto"/>
        <w:ind w:right="51"/>
        <w:jc w:val="both"/>
        <w:rPr>
          <w:rFonts w:ascii="Palatino Linotype" w:hAnsi="Palatino Linotype" w:cs="Arial"/>
          <w:i/>
        </w:rPr>
      </w:pPr>
      <w:r>
        <w:rPr>
          <w:rFonts w:ascii="Palatino Linotype" w:hAnsi="Palatino Linotype" w:cs="Arial"/>
          <w:i/>
          <w:noProof/>
          <w:lang w:eastAsia="es-MX"/>
        </w:rPr>
        <mc:AlternateContent>
          <mc:Choice Requires="wps">
            <w:drawing>
              <wp:anchor distT="0" distB="0" distL="0" distR="0" simplePos="0" relativeHeight="107" behindDoc="0" locked="0" layoutInCell="1" allowOverlap="1" wp14:anchorId="62034C01">
                <wp:simplePos x="0" y="0"/>
                <wp:positionH relativeFrom="column">
                  <wp:posOffset>-22860</wp:posOffset>
                </wp:positionH>
                <wp:positionV relativeFrom="paragraph">
                  <wp:posOffset>353059</wp:posOffset>
                </wp:positionV>
                <wp:extent cx="5924550" cy="3267075"/>
                <wp:effectExtent l="38100" t="19050" r="76200" b="85725"/>
                <wp:wrapNone/>
                <wp:docPr id="7" name="Conector recto 20"/>
                <wp:cNvGraphicFramePr/>
                <a:graphic xmlns:a="http://schemas.openxmlformats.org/drawingml/2006/main">
                  <a:graphicData uri="http://schemas.microsoft.com/office/word/2010/wordprocessingShape">
                    <wps:wsp>
                      <wps:cNvCnPr/>
                      <wps:spPr>
                        <a:xfrm>
                          <a:off x="0" y="0"/>
                          <a:ext cx="5924550" cy="3267075"/>
                        </a:xfrm>
                        <a:prstGeom prst="line">
                          <a:avLst/>
                        </a:prstGeom>
                        <a:ln>
                          <a:round/>
                        </a:ln>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B305388" id="Conector recto 20" o:spid="_x0000_s1026" style="position:absolute;z-index:10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pt,27.8pt" to="464.7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" strokecolor="#4f81bd [3204]" strokeweight="2pt">
                <v:shadow on="t" color="black" opacity="24903f" origin=",.5" offset="0,.55556mm"/>
              </v:line>
            </w:pict>
          </mc:Fallback>
        </mc:AlternateContent>
      </w:r>
      <w:r w:rsidR="008E2E55">
        <w:rPr>
          <w:rFonts w:ascii="Palatino Linotype" w:hAnsi="Palatino Linotype" w:cs="Arial"/>
          <w:i/>
        </w:rPr>
        <w:t>oficiosolicitud39.pdf</w:t>
      </w:r>
    </w:p>
    <w:p w:rsidR="00422796" w:rsidRDefault="00422796">
      <w:pPr>
        <w:spacing w:beforeAutospacing="1" w:afterAutospacing="1" w:line="360" w:lineRule="auto"/>
        <w:ind w:right="51"/>
        <w:jc w:val="both"/>
        <w:rPr>
          <w:rFonts w:ascii="Palatino Linotype" w:hAnsi="Palatino Linotype" w:cs="Arial"/>
          <w:i/>
        </w:rPr>
      </w:pPr>
    </w:p>
    <w:p w:rsidR="00422796" w:rsidRDefault="008E2E55">
      <w:pPr>
        <w:pStyle w:val="Prrafodelista"/>
        <w:spacing w:beforeAutospacing="1" w:afterAutospacing="1" w:line="360" w:lineRule="auto"/>
        <w:ind w:left="720" w:right="51"/>
        <w:jc w:val="both"/>
        <w:rPr>
          <w:rFonts w:ascii="Palatino Linotype" w:hAnsi="Palatino Linotype" w:cs="Arial"/>
        </w:rPr>
      </w:pPr>
      <w:r>
        <w:rPr>
          <w:noProof/>
          <w:lang w:eastAsia="es-MX"/>
        </w:rPr>
        <w:lastRenderedPageBreak/>
        <w:drawing>
          <wp:inline distT="0" distB="0" distL="0" distR="0">
            <wp:extent cx="5238750" cy="7105650"/>
            <wp:effectExtent l="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pic:cNvPicPr>
                      <a:picLocks noChangeAspect="1" noChangeArrowheads="1"/>
                    </pic:cNvPicPr>
                  </pic:nvPicPr>
                  <pic:blipFill>
                    <a:blip r:embed="rId12"/>
                    <a:srcRect l="35197" t="21058" r="35208" b="10497"/>
                    <a:stretch>
                      <a:fillRect/>
                    </a:stretch>
                  </pic:blipFill>
                  <pic:spPr bwMode="auto">
                    <a:xfrm>
                      <a:off x="0" y="0"/>
                      <a:ext cx="5238750" cy="7105650"/>
                    </a:xfrm>
                    <a:prstGeom prst="rect">
                      <a:avLst/>
                    </a:prstGeom>
                  </pic:spPr>
                </pic:pic>
              </a:graphicData>
            </a:graphic>
          </wp:inline>
        </w:drawing>
      </w:r>
    </w:p>
    <w:p w:rsidR="00422796" w:rsidRDefault="008E2E55">
      <w:pPr>
        <w:pStyle w:val="Prrafodelista"/>
        <w:numPr>
          <w:ilvl w:val="0"/>
          <w:numId w:val="6"/>
        </w:numPr>
        <w:spacing w:beforeAutospacing="1" w:afterAutospacing="1" w:line="360" w:lineRule="auto"/>
        <w:ind w:right="51"/>
        <w:jc w:val="both"/>
        <w:rPr>
          <w:rFonts w:ascii="Palatino Linotype" w:hAnsi="Palatino Linotype" w:cs="Arial"/>
        </w:rPr>
      </w:pPr>
      <w:r>
        <w:rPr>
          <w:rFonts w:ascii="Palatino Linotype" w:hAnsi="Palatino Linotype" w:cs="Arial"/>
          <w:i/>
        </w:rPr>
        <w:lastRenderedPageBreak/>
        <w:t>fise 1.pdf, fortamun 07.pdf, fortamun 04.pdf, fefom 03.pdf, fortamun 06.pdf, fefom 01.pdf, fortamun 05.pdf, fortamun 03.pdf, fefom 06.pdf, fefom 02.pdf, fortamun 02.pdf, fefom 05.pdf, fismdf 20.pdf, fise 2.pdf, fortamun 01.pdf, fefom 04.pdf, fise 3.pdf, fismdf 21.pdf, fise 4.pdf, fortamun 11.pdf, fortamun 08.pdf, pad 01.pdf, fortamun 13.pdf, fortamun 10.pdf, pad 02.pdf, fortamun 12.pdf, fortamun 14.pdf, fortamun 09.pdf, repo 27.pdf, repo 10.pdf, repo 12.pdf, repo 13.pdf, repo 21.pdf, repo 17.pdf, repo 14.pdf, repo 26.pdf, repo 24.pdf, repo 20.pdf, repo 22.pdf, repo 16.pdf, repo 18.pdf, repo 28.pdf, repo 25.pdf, repo 23.pdf, repo 19.pdf, repo 29.pdf, repo 11.pdf, repo 15.pdf, repo 31.pdf, repo 34.pdf, repo 32.pdf, repo 30.pdf, repo 35.pdf y repo 33.pdf</w:t>
      </w:r>
      <w:r>
        <w:rPr>
          <w:rFonts w:ascii="Palatino Linotype" w:hAnsi="Palatino Linotype" w:cs="Arial"/>
        </w:rPr>
        <w:t xml:space="preserve">, correspondientes a 54 expedientes técnicos de diversas obras, mismos que no se plasman en obvio de representaciones innecesarias, dada su extensión. </w:t>
      </w:r>
    </w:p>
    <w:p w:rsidR="00422796" w:rsidRDefault="008E2E55">
      <w:pPr>
        <w:spacing w:beforeAutospacing="1" w:afterAutospacing="1"/>
        <w:ind w:right="899"/>
        <w:jc w:val="both"/>
        <w:rPr>
          <w:rFonts w:ascii="Palatino Linotype" w:hAnsi="Palatino Linotype"/>
          <w:b/>
          <w:bCs/>
        </w:rPr>
      </w:pPr>
      <w:r>
        <w:rPr>
          <w:rFonts w:ascii="Palatino Linotype" w:hAnsi="Palatino Linotype"/>
          <w:b/>
          <w:bCs/>
        </w:rPr>
        <w:t>00047/ZUMPANGO/IP/2020</w:t>
      </w:r>
    </w:p>
    <w:p w:rsidR="00422796" w:rsidRDefault="008E2E55">
      <w:pPr>
        <w:spacing w:beforeAutospacing="1" w:afterAutospacing="1"/>
        <w:ind w:left="851" w:right="899"/>
        <w:jc w:val="both"/>
        <w:rPr>
          <w:rFonts w:ascii="Palatino Linotype" w:hAnsi="Palatino Linotype" w:cs="Arial"/>
          <w:i/>
          <w:sz w:val="22"/>
          <w:szCs w:val="22"/>
        </w:rPr>
      </w:pPr>
      <w:r>
        <w:rPr>
          <w:rFonts w:ascii="Palatino Linotype" w:hAnsi="Palatino Linotype" w:cs="Arial"/>
          <w:i/>
          <w:sz w:val="22"/>
          <w:szCs w:val="22"/>
        </w:rPr>
        <w:t>“SE ADJUNTA OFICIO Y RELACION DE EXPEDIENTES RELATIVOS A LA CONTRATACIÓN DE OBRAS PUBLICAS (LICITACIÓN PUBLICA, INVITACIÓN RESTRINGIDA Y ADJUDICACIÓN DIRECTA)” (Sic)</w:t>
      </w:r>
    </w:p>
    <w:p w:rsidR="00422796" w:rsidRDefault="008E2E55">
      <w:pPr>
        <w:spacing w:beforeAutospacing="1" w:afterAutospacing="1" w:line="360" w:lineRule="auto"/>
        <w:ind w:right="51"/>
        <w:jc w:val="both"/>
        <w:rPr>
          <w:rFonts w:ascii="Palatino Linotype" w:hAnsi="Palatino Linotype" w:cs="Arial"/>
        </w:rPr>
      </w:pPr>
      <w:r>
        <w:rPr>
          <w:rFonts w:ascii="Palatino Linotype" w:hAnsi="Palatino Linotype" w:cs="Arial"/>
        </w:rPr>
        <w:t xml:space="preserve">Asimismo, </w:t>
      </w:r>
      <w:r>
        <w:rPr>
          <w:rFonts w:ascii="Palatino Linotype" w:hAnsi="Palatino Linotype" w:cs="Arial"/>
          <w:b/>
        </w:rPr>
        <w:t>EL SUJETO OBLIGADO</w:t>
      </w:r>
      <w:r>
        <w:rPr>
          <w:rFonts w:ascii="Palatino Linotype" w:hAnsi="Palatino Linotype" w:cs="Arial"/>
        </w:rPr>
        <w:t xml:space="preserve"> adjuntó a su respuesta los siguientes archivos electrónicos:</w:t>
      </w:r>
    </w:p>
    <w:p w:rsidR="00422796" w:rsidRDefault="00156D2A">
      <w:pPr>
        <w:pStyle w:val="Prrafodelista"/>
        <w:numPr>
          <w:ilvl w:val="0"/>
          <w:numId w:val="6"/>
        </w:numPr>
        <w:spacing w:beforeAutospacing="1" w:afterAutospacing="1" w:line="360" w:lineRule="auto"/>
        <w:ind w:right="51"/>
        <w:jc w:val="both"/>
        <w:rPr>
          <w:rFonts w:ascii="Palatino Linotype" w:hAnsi="Palatino Linotype" w:cs="Arial"/>
          <w:i/>
        </w:rPr>
      </w:pPr>
      <w:r>
        <w:rPr>
          <w:rFonts w:ascii="Palatino Linotype" w:hAnsi="Palatino Linotype" w:cs="Arial"/>
          <w:i/>
          <w:noProof/>
          <w:lang w:eastAsia="es-MX"/>
        </w:rPr>
        <mc:AlternateContent>
          <mc:Choice Requires="wps">
            <w:drawing>
              <wp:anchor distT="0" distB="0" distL="0" distR="0" simplePos="0" relativeHeight="108" behindDoc="0" locked="0" layoutInCell="1" allowOverlap="1" wp14:anchorId="2FD292E8">
                <wp:simplePos x="0" y="0"/>
                <wp:positionH relativeFrom="column">
                  <wp:posOffset>-22861</wp:posOffset>
                </wp:positionH>
                <wp:positionV relativeFrom="paragraph">
                  <wp:posOffset>340995</wp:posOffset>
                </wp:positionV>
                <wp:extent cx="5991225" cy="1447800"/>
                <wp:effectExtent l="38100" t="38100" r="47625" b="95250"/>
                <wp:wrapNone/>
                <wp:docPr id="9" name="Conector recto 24"/>
                <wp:cNvGraphicFramePr/>
                <a:graphic xmlns:a="http://schemas.openxmlformats.org/drawingml/2006/main">
                  <a:graphicData uri="http://schemas.microsoft.com/office/word/2010/wordprocessingShape">
                    <wps:wsp>
                      <wps:cNvCnPr/>
                      <wps:spPr>
                        <a:xfrm>
                          <a:off x="0" y="0"/>
                          <a:ext cx="5991225" cy="1447800"/>
                        </a:xfrm>
                        <a:prstGeom prst="line">
                          <a:avLst/>
                        </a:prstGeom>
                        <a:ln>
                          <a:round/>
                        </a:ln>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DDCF675" id="Conector recto 24" o:spid="_x0000_s1026" style="position:absolute;z-index:1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pt,26.85pt" to="469.9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" strokecolor="#4f81bd [3204]" strokeweight="2pt">
                <v:shadow on="t" color="black" opacity="24903f" origin=",.5" offset="0,.55556mm"/>
              </v:line>
            </w:pict>
          </mc:Fallback>
        </mc:AlternateContent>
      </w:r>
      <w:r w:rsidR="008E2E55">
        <w:rPr>
          <w:rFonts w:ascii="Palatino Linotype" w:hAnsi="Palatino Linotype" w:cs="Arial"/>
          <w:i/>
        </w:rPr>
        <w:t>oficiosolicitud47.pdf</w:t>
      </w:r>
    </w:p>
    <w:p w:rsidR="00422796" w:rsidRDefault="00422796">
      <w:pPr>
        <w:spacing w:beforeAutospacing="1" w:afterAutospacing="1" w:line="360" w:lineRule="auto"/>
        <w:ind w:right="51"/>
        <w:jc w:val="both"/>
        <w:rPr>
          <w:rFonts w:ascii="Palatino Linotype" w:hAnsi="Palatino Linotype" w:cs="Arial"/>
          <w:i/>
        </w:rPr>
      </w:pPr>
    </w:p>
    <w:p w:rsidR="00422796" w:rsidRDefault="008E2E55">
      <w:pPr>
        <w:pStyle w:val="Prrafodelista"/>
        <w:spacing w:beforeAutospacing="1" w:afterAutospacing="1" w:line="360" w:lineRule="auto"/>
        <w:ind w:left="720" w:right="51"/>
        <w:jc w:val="both"/>
        <w:rPr>
          <w:rFonts w:ascii="Palatino Linotype" w:hAnsi="Palatino Linotype" w:cs="Arial"/>
        </w:rPr>
      </w:pPr>
      <w:r>
        <w:rPr>
          <w:noProof/>
          <w:lang w:eastAsia="es-MX"/>
        </w:rPr>
        <w:lastRenderedPageBreak/>
        <w:drawing>
          <wp:inline distT="0" distB="0" distL="0" distR="0">
            <wp:extent cx="5229225" cy="7239000"/>
            <wp:effectExtent l="0" t="0" r="0" b="0"/>
            <wp:docPr id="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6"/>
                    <pic:cNvPicPr>
                      <a:picLocks noChangeAspect="1" noChangeArrowheads="1"/>
                    </pic:cNvPicPr>
                  </pic:nvPicPr>
                  <pic:blipFill>
                    <a:blip r:embed="rId13"/>
                    <a:srcRect l="34378" t="21058" r="35706" b="10792"/>
                    <a:stretch>
                      <a:fillRect/>
                    </a:stretch>
                  </pic:blipFill>
                  <pic:spPr bwMode="auto">
                    <a:xfrm>
                      <a:off x="0" y="0"/>
                      <a:ext cx="5229225" cy="7239000"/>
                    </a:xfrm>
                    <a:prstGeom prst="rect">
                      <a:avLst/>
                    </a:prstGeom>
                  </pic:spPr>
                </pic:pic>
              </a:graphicData>
            </a:graphic>
          </wp:inline>
        </w:drawing>
      </w:r>
    </w:p>
    <w:p w:rsidR="00422796" w:rsidRDefault="008E2E55">
      <w:pPr>
        <w:pStyle w:val="Prrafodelista"/>
        <w:numPr>
          <w:ilvl w:val="0"/>
          <w:numId w:val="6"/>
        </w:numPr>
        <w:spacing w:beforeAutospacing="1" w:afterAutospacing="1" w:line="360" w:lineRule="auto"/>
        <w:ind w:right="51"/>
        <w:jc w:val="both"/>
        <w:rPr>
          <w:rFonts w:ascii="Palatino Linotype" w:hAnsi="Palatino Linotype" w:cs="Arial"/>
        </w:rPr>
      </w:pPr>
      <w:r>
        <w:rPr>
          <w:rFonts w:ascii="Palatino Linotype" w:hAnsi="Palatino Linotype" w:cs="Arial"/>
        </w:rPr>
        <w:lastRenderedPageBreak/>
        <w:t>De igual forma, remitió un listado de 82 Procedimientos de Adjudicación de Obras Públicas diversas, constante de 3 fojas útiles.</w:t>
      </w:r>
    </w:p>
    <w:p w:rsidR="00422796" w:rsidRDefault="008E2E55">
      <w:pPr>
        <w:pStyle w:val="Prrafodelista"/>
        <w:numPr>
          <w:ilvl w:val="0"/>
          <w:numId w:val="10"/>
        </w:numPr>
        <w:spacing w:beforeAutospacing="1" w:afterAutospacing="1" w:line="360" w:lineRule="auto"/>
        <w:ind w:left="0" w:right="49" w:firstLine="0"/>
        <w:jc w:val="both"/>
        <w:rPr>
          <w:rFonts w:ascii="Palatino Linotype" w:hAnsi="Palatino Linotype" w:cs="Arial"/>
          <w:i/>
          <w:sz w:val="22"/>
          <w:szCs w:val="22"/>
        </w:rPr>
      </w:pPr>
      <w:r>
        <w:rPr>
          <w:rFonts w:ascii="Palatino Linotype" w:hAnsi="Palatino Linotype"/>
        </w:rPr>
        <w:t xml:space="preserve">Inconforme con las respuestas, en fecha tres de marzo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los recursos de revisión objeto del </w:t>
      </w:r>
      <w:r>
        <w:rPr>
          <w:rFonts w:ascii="Palatino Linotype" w:hAnsi="Palatino Linotype" w:cs="Arial"/>
        </w:rPr>
        <w:t>presente</w:t>
      </w:r>
      <w:r>
        <w:rPr>
          <w:rFonts w:ascii="Palatino Linotype" w:hAnsi="Palatino Linotype"/>
        </w:rPr>
        <w:t xml:space="preserve"> estudio, a los que se les asignaron los </w:t>
      </w:r>
      <w:r>
        <w:rPr>
          <w:rFonts w:ascii="Palatino Linotype" w:hAnsi="Palatino Linotype" w:cs="Arial"/>
        </w:rPr>
        <w:t>números al rubro citados, en los que señaló como actos impugnados los siguientes:</w:t>
      </w:r>
      <w:bookmarkEnd w:id="3"/>
    </w:p>
    <w:p w:rsidR="00422796" w:rsidRDefault="008E2E55">
      <w:pPr>
        <w:pStyle w:val="Prrafodelista"/>
        <w:spacing w:beforeAutospacing="1" w:afterAutospacing="1"/>
        <w:ind w:left="0" w:right="49"/>
        <w:jc w:val="both"/>
        <w:rPr>
          <w:rFonts w:ascii="Palatino Linotype" w:hAnsi="Palatino Linotype" w:cs="Arial"/>
          <w:i/>
          <w:sz w:val="22"/>
          <w:szCs w:val="22"/>
        </w:rPr>
      </w:pPr>
      <w:r>
        <w:rPr>
          <w:rFonts w:ascii="Palatino Linotype" w:hAnsi="Palatino Linotype"/>
          <w:b/>
        </w:rPr>
        <w:t>01322/INFOEM/IP/RR/2020</w:t>
      </w:r>
    </w:p>
    <w:p w:rsidR="00422796" w:rsidRDefault="008E2E55">
      <w:pPr>
        <w:spacing w:beforeAutospacing="1" w:afterAutospacing="1"/>
        <w:ind w:left="851" w:right="-93"/>
        <w:jc w:val="both"/>
        <w:rPr>
          <w:rFonts w:ascii="Palatino Linotype" w:hAnsi="Palatino Linotype" w:cs="Arial"/>
          <w:i/>
          <w:sz w:val="22"/>
          <w:szCs w:val="22"/>
        </w:rPr>
      </w:pPr>
      <w:r>
        <w:rPr>
          <w:rFonts w:ascii="Palatino Linotype" w:hAnsi="Palatino Linotype" w:cs="Arial"/>
          <w:i/>
          <w:sz w:val="22"/>
          <w:szCs w:val="22"/>
        </w:rPr>
        <w:t>“LOS EXPEDIENTES ESTÁN INCOMPLETOS” (Sic)</w:t>
      </w:r>
    </w:p>
    <w:p w:rsidR="00422796" w:rsidRPr="00156D2A" w:rsidRDefault="008E2E55">
      <w:pPr>
        <w:spacing w:beforeAutospacing="1" w:afterAutospacing="1"/>
        <w:ind w:right="-93"/>
        <w:jc w:val="both"/>
        <w:rPr>
          <w:rFonts w:ascii="Palatino Linotype" w:hAnsi="Palatino Linotype"/>
          <w:b/>
          <w:lang w:val="pt-BR"/>
        </w:rPr>
      </w:pPr>
      <w:r w:rsidRPr="00156D2A">
        <w:rPr>
          <w:rFonts w:ascii="Palatino Linotype" w:hAnsi="Palatino Linotype"/>
          <w:b/>
          <w:lang w:val="pt-BR"/>
        </w:rPr>
        <w:t>01323/INFOEM/IP/RR/2020</w:t>
      </w:r>
    </w:p>
    <w:p w:rsidR="00422796" w:rsidRPr="00156D2A" w:rsidRDefault="008E2E55">
      <w:pPr>
        <w:spacing w:beforeAutospacing="1" w:afterAutospacing="1"/>
        <w:ind w:left="851" w:right="-93"/>
        <w:jc w:val="both"/>
        <w:rPr>
          <w:rFonts w:ascii="Palatino Linotype" w:hAnsi="Palatino Linotype" w:cs="Arial"/>
          <w:i/>
          <w:sz w:val="22"/>
          <w:szCs w:val="22"/>
          <w:lang w:val="pt-BR"/>
        </w:rPr>
      </w:pPr>
      <w:r w:rsidRPr="00156D2A">
        <w:rPr>
          <w:rFonts w:ascii="Palatino Linotype" w:hAnsi="Palatino Linotype" w:cs="Arial"/>
          <w:i/>
          <w:sz w:val="22"/>
          <w:szCs w:val="22"/>
          <w:lang w:val="pt-BR"/>
        </w:rPr>
        <w:t>“INCOMPLETA” (Sic)</w:t>
      </w:r>
    </w:p>
    <w:p w:rsidR="00422796" w:rsidRPr="00156D2A" w:rsidRDefault="008E2E55">
      <w:pPr>
        <w:spacing w:beforeAutospacing="1" w:afterAutospacing="1"/>
        <w:ind w:right="-93"/>
        <w:jc w:val="both"/>
        <w:rPr>
          <w:rFonts w:ascii="Palatino Linotype" w:hAnsi="Palatino Linotype"/>
          <w:b/>
          <w:lang w:val="pt-BR"/>
        </w:rPr>
      </w:pPr>
      <w:r w:rsidRPr="00156D2A">
        <w:rPr>
          <w:rFonts w:ascii="Palatino Linotype" w:hAnsi="Palatino Linotype"/>
          <w:b/>
          <w:lang w:val="pt-BR"/>
        </w:rPr>
        <w:t>01324/INFOEM/IP/RR/2020</w:t>
      </w:r>
    </w:p>
    <w:p w:rsidR="00422796" w:rsidRPr="00156D2A" w:rsidRDefault="008E2E55">
      <w:pPr>
        <w:spacing w:beforeAutospacing="1" w:afterAutospacing="1"/>
        <w:ind w:left="851" w:right="-93"/>
        <w:jc w:val="both"/>
        <w:rPr>
          <w:rFonts w:ascii="Palatino Linotype" w:hAnsi="Palatino Linotype" w:cs="Arial"/>
          <w:i/>
          <w:sz w:val="22"/>
          <w:szCs w:val="22"/>
          <w:lang w:val="pt-BR"/>
        </w:rPr>
      </w:pPr>
      <w:r w:rsidRPr="00156D2A">
        <w:rPr>
          <w:rFonts w:ascii="Palatino Linotype" w:hAnsi="Palatino Linotype" w:cs="Arial"/>
          <w:i/>
          <w:sz w:val="22"/>
          <w:szCs w:val="22"/>
          <w:lang w:val="pt-BR"/>
        </w:rPr>
        <w:t>“INCOMPLETA” (Sic)</w:t>
      </w:r>
    </w:p>
    <w:p w:rsidR="00422796" w:rsidRPr="00156D2A" w:rsidRDefault="008E2E55">
      <w:pPr>
        <w:spacing w:beforeAutospacing="1" w:afterAutospacing="1"/>
        <w:ind w:right="-93"/>
        <w:jc w:val="both"/>
        <w:rPr>
          <w:rFonts w:ascii="Palatino Linotype" w:hAnsi="Palatino Linotype"/>
          <w:b/>
          <w:lang w:val="pt-BR"/>
        </w:rPr>
      </w:pPr>
      <w:r w:rsidRPr="00156D2A">
        <w:rPr>
          <w:rFonts w:ascii="Palatino Linotype" w:hAnsi="Palatino Linotype"/>
          <w:b/>
          <w:lang w:val="pt-BR"/>
        </w:rPr>
        <w:t>01325/INFOEM/IP/RR/2020</w:t>
      </w:r>
    </w:p>
    <w:p w:rsidR="00422796" w:rsidRPr="00156D2A" w:rsidRDefault="008E2E55">
      <w:pPr>
        <w:spacing w:beforeAutospacing="1" w:afterAutospacing="1"/>
        <w:ind w:left="851" w:right="-93"/>
        <w:jc w:val="both"/>
        <w:rPr>
          <w:rFonts w:ascii="Palatino Linotype" w:hAnsi="Palatino Linotype" w:cs="Arial"/>
          <w:i/>
          <w:sz w:val="22"/>
          <w:szCs w:val="22"/>
          <w:lang w:val="pt-BR"/>
        </w:rPr>
      </w:pPr>
      <w:r w:rsidRPr="00156D2A">
        <w:rPr>
          <w:rFonts w:ascii="Palatino Linotype" w:hAnsi="Palatino Linotype" w:cs="Arial"/>
          <w:i/>
          <w:sz w:val="22"/>
          <w:szCs w:val="22"/>
          <w:lang w:val="pt-BR"/>
        </w:rPr>
        <w:t>“INCOMPLETA” (Sic)</w:t>
      </w:r>
    </w:p>
    <w:p w:rsidR="00422796" w:rsidRDefault="008E2E55">
      <w:pPr>
        <w:spacing w:beforeAutospacing="1" w:afterAutospacing="1"/>
        <w:ind w:right="-93"/>
        <w:jc w:val="both"/>
        <w:rPr>
          <w:rFonts w:ascii="Palatino Linotype" w:hAnsi="Palatino Linotype"/>
          <w:b/>
        </w:rPr>
      </w:pPr>
      <w:r>
        <w:rPr>
          <w:rFonts w:ascii="Palatino Linotype" w:hAnsi="Palatino Linotype"/>
          <w:b/>
        </w:rPr>
        <w:t>01328/INFOEM/IP/RR/2020</w:t>
      </w:r>
    </w:p>
    <w:p w:rsidR="00422796" w:rsidRDefault="008E2E55">
      <w:pPr>
        <w:spacing w:beforeAutospacing="1" w:afterAutospacing="1"/>
        <w:ind w:left="851" w:right="-93"/>
        <w:jc w:val="both"/>
        <w:rPr>
          <w:rFonts w:ascii="Palatino Linotype" w:hAnsi="Palatino Linotype" w:cs="Arial"/>
          <w:i/>
          <w:sz w:val="22"/>
          <w:szCs w:val="22"/>
        </w:rPr>
      </w:pPr>
      <w:r>
        <w:rPr>
          <w:rFonts w:ascii="Palatino Linotype" w:hAnsi="Palatino Linotype" w:cs="Arial"/>
          <w:i/>
          <w:sz w:val="22"/>
          <w:szCs w:val="22"/>
        </w:rPr>
        <w:t>“NO SE ENCUENTRA LA PRESENTACIÓN” (Sic)</w:t>
      </w:r>
    </w:p>
    <w:p w:rsidR="00422796" w:rsidRDefault="008E2E55">
      <w:pPr>
        <w:pStyle w:val="Prrafodelista"/>
        <w:spacing w:beforeAutospacing="1" w:afterAutospacing="1" w:line="360" w:lineRule="auto"/>
        <w:ind w:left="0"/>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422796" w:rsidRDefault="008E2E55">
      <w:pPr>
        <w:spacing w:beforeAutospacing="1" w:afterAutospacing="1"/>
        <w:ind w:right="49"/>
        <w:jc w:val="both"/>
        <w:rPr>
          <w:rFonts w:ascii="Palatino Linotype" w:hAnsi="Palatino Linotype" w:cs="Arial"/>
          <w:i/>
          <w:sz w:val="22"/>
          <w:szCs w:val="22"/>
        </w:rPr>
      </w:pPr>
      <w:r>
        <w:rPr>
          <w:rFonts w:ascii="Palatino Linotype" w:hAnsi="Palatino Linotype"/>
          <w:b/>
        </w:rPr>
        <w:t>01322/INFOEM/IP/RR/2020</w:t>
      </w:r>
    </w:p>
    <w:p w:rsidR="00422796" w:rsidRDefault="008E2E55">
      <w:pPr>
        <w:pStyle w:val="Prrafodelista"/>
        <w:spacing w:beforeAutospacing="1" w:afterAutospacing="1"/>
        <w:ind w:left="502" w:right="899"/>
        <w:jc w:val="both"/>
        <w:rPr>
          <w:rFonts w:ascii="Palatino Linotype" w:hAnsi="Palatino Linotype" w:cs="Arial"/>
          <w:i/>
          <w:sz w:val="22"/>
          <w:szCs w:val="22"/>
        </w:rPr>
      </w:pPr>
      <w:r>
        <w:rPr>
          <w:rFonts w:ascii="Palatino Linotype" w:hAnsi="Palatino Linotype" w:cs="Arial"/>
          <w:i/>
          <w:sz w:val="22"/>
          <w:szCs w:val="22"/>
        </w:rPr>
        <w:lastRenderedPageBreak/>
        <w:t>“LOS MUNICIPIOS DEBERÁN ENTREGAR LA INFORMACIÓN DE ACUERDO A LOS LINEAMIENTOS QUE EMITE EL OSFEM PARA LA ENTREGA DE INFORMES MENSUALES” (Sic)</w:t>
      </w:r>
    </w:p>
    <w:p w:rsidR="00422796" w:rsidRDefault="008E2E55">
      <w:pPr>
        <w:spacing w:beforeAutospacing="1" w:afterAutospacing="1"/>
        <w:ind w:right="-93"/>
        <w:jc w:val="both"/>
        <w:rPr>
          <w:rFonts w:ascii="Palatino Linotype" w:hAnsi="Palatino Linotype"/>
          <w:b/>
        </w:rPr>
      </w:pPr>
      <w:r>
        <w:rPr>
          <w:rFonts w:ascii="Palatino Linotype" w:hAnsi="Palatino Linotype"/>
          <w:b/>
        </w:rPr>
        <w:t>01323/INFOEM/IP/RR/2020</w:t>
      </w:r>
    </w:p>
    <w:p w:rsidR="00422796" w:rsidRDefault="008E2E55">
      <w:pPr>
        <w:pStyle w:val="Prrafodelista"/>
        <w:spacing w:beforeAutospacing="1" w:afterAutospacing="1"/>
        <w:ind w:left="502" w:right="899"/>
        <w:jc w:val="both"/>
        <w:rPr>
          <w:rFonts w:ascii="Palatino Linotype" w:hAnsi="Palatino Linotype" w:cs="Arial"/>
          <w:i/>
          <w:sz w:val="22"/>
          <w:szCs w:val="22"/>
        </w:rPr>
      </w:pPr>
      <w:r>
        <w:rPr>
          <w:rFonts w:ascii="Palatino Linotype" w:hAnsi="Palatino Linotype" w:cs="Arial"/>
          <w:i/>
          <w:sz w:val="22"/>
          <w:szCs w:val="22"/>
        </w:rPr>
        <w:t>“LOS MUNICIPIOS DEBERÁN ENTREGAR LA INFORMACIÓN DE ACUERDO A LOS LINEAMIENTOS QUE EMITE EL OSFEM PARA LA ENTREGA DE INFORMES MENSUALES” (Sic)</w:t>
      </w:r>
    </w:p>
    <w:p w:rsidR="00422796" w:rsidRDefault="008E2E55">
      <w:pPr>
        <w:spacing w:beforeAutospacing="1" w:afterAutospacing="1"/>
        <w:ind w:right="-93"/>
        <w:jc w:val="both"/>
        <w:rPr>
          <w:rFonts w:ascii="Palatino Linotype" w:hAnsi="Palatino Linotype"/>
          <w:b/>
        </w:rPr>
      </w:pPr>
      <w:r>
        <w:rPr>
          <w:rFonts w:ascii="Palatino Linotype" w:hAnsi="Palatino Linotype"/>
          <w:b/>
        </w:rPr>
        <w:t>01324/INFOEM/IP/RR/2020</w:t>
      </w:r>
    </w:p>
    <w:p w:rsidR="00422796" w:rsidRDefault="008E2E55">
      <w:pPr>
        <w:pStyle w:val="Prrafodelista"/>
        <w:spacing w:beforeAutospacing="1" w:afterAutospacing="1"/>
        <w:ind w:left="502" w:right="899"/>
        <w:jc w:val="both"/>
        <w:rPr>
          <w:rFonts w:ascii="Palatino Linotype" w:hAnsi="Palatino Linotype" w:cs="Arial"/>
          <w:i/>
          <w:sz w:val="22"/>
          <w:szCs w:val="22"/>
        </w:rPr>
      </w:pPr>
      <w:r>
        <w:rPr>
          <w:rFonts w:ascii="Palatino Linotype" w:hAnsi="Palatino Linotype" w:cs="Arial"/>
          <w:i/>
          <w:sz w:val="22"/>
          <w:szCs w:val="22"/>
        </w:rPr>
        <w:t>“LOS MUNICIPIOS DEBERÁN ENTREGAR LA INFORMACIÓN DE ACUERDO A LOS LINEAMIENTOS QUE EMITE EL OSFEM PARA LA ENTREGA DE INFORMES MENSUALES” (Sic)</w:t>
      </w:r>
    </w:p>
    <w:p w:rsidR="00422796" w:rsidRDefault="008E2E55">
      <w:pPr>
        <w:spacing w:beforeAutospacing="1" w:afterAutospacing="1"/>
        <w:ind w:right="-93"/>
        <w:jc w:val="both"/>
        <w:rPr>
          <w:rFonts w:ascii="Palatino Linotype" w:hAnsi="Palatino Linotype"/>
          <w:b/>
        </w:rPr>
      </w:pPr>
      <w:r>
        <w:rPr>
          <w:rFonts w:ascii="Palatino Linotype" w:hAnsi="Palatino Linotype"/>
          <w:b/>
        </w:rPr>
        <w:t>01325/INFOEM/IP/RR/2020</w:t>
      </w:r>
    </w:p>
    <w:p w:rsidR="00422796" w:rsidRDefault="008E2E55">
      <w:pPr>
        <w:pStyle w:val="Prrafodelista"/>
        <w:spacing w:beforeAutospacing="1" w:afterAutospacing="1"/>
        <w:ind w:left="502" w:right="899"/>
        <w:jc w:val="both"/>
        <w:rPr>
          <w:rFonts w:ascii="Palatino Linotype" w:hAnsi="Palatino Linotype" w:cs="Arial"/>
          <w:i/>
          <w:sz w:val="22"/>
          <w:szCs w:val="22"/>
        </w:rPr>
      </w:pPr>
      <w:r>
        <w:rPr>
          <w:rFonts w:ascii="Palatino Linotype" w:hAnsi="Palatino Linotype" w:cs="Arial"/>
          <w:i/>
          <w:sz w:val="22"/>
          <w:szCs w:val="22"/>
        </w:rPr>
        <w:t>“LOS MUNICIPIOS DEBERÁN ENTREGAR LA INFORMACIÓN DE ACUERDO A LOS LINEAMIENTOS QUE EMITE EL OSFEM PARA LA ENTREGA DE INFORMES MENSUALES” (Sic)</w:t>
      </w:r>
    </w:p>
    <w:p w:rsidR="00422796" w:rsidRDefault="008E2E55">
      <w:pPr>
        <w:spacing w:beforeAutospacing="1" w:afterAutospacing="1"/>
        <w:ind w:right="-93"/>
        <w:jc w:val="both"/>
        <w:rPr>
          <w:rFonts w:ascii="Palatino Linotype" w:hAnsi="Palatino Linotype"/>
          <w:b/>
        </w:rPr>
      </w:pPr>
      <w:r>
        <w:rPr>
          <w:rFonts w:ascii="Palatino Linotype" w:hAnsi="Palatino Linotype"/>
          <w:b/>
        </w:rPr>
        <w:t>01328/INFOEM/IP/RR/2020</w:t>
      </w:r>
    </w:p>
    <w:p w:rsidR="00422796" w:rsidRDefault="008E2E55">
      <w:pPr>
        <w:pStyle w:val="Prrafodelista"/>
        <w:spacing w:beforeAutospacing="1" w:afterAutospacing="1"/>
        <w:ind w:left="502" w:right="-93"/>
        <w:jc w:val="both"/>
        <w:rPr>
          <w:rFonts w:ascii="Palatino Linotype" w:hAnsi="Palatino Linotype" w:cs="Arial"/>
          <w:i/>
          <w:sz w:val="22"/>
          <w:szCs w:val="22"/>
        </w:rPr>
      </w:pPr>
      <w:r>
        <w:rPr>
          <w:rFonts w:ascii="Palatino Linotype" w:hAnsi="Palatino Linotype" w:cs="Arial"/>
          <w:i/>
          <w:sz w:val="22"/>
          <w:szCs w:val="22"/>
        </w:rPr>
        <w:t>“NO SE ENCUENTRA LA PRESENTACIÓN” (Sic)</w:t>
      </w:r>
    </w:p>
    <w:p w:rsidR="00422796" w:rsidRDefault="008E2E55">
      <w:pPr>
        <w:pStyle w:val="Prrafodelista"/>
        <w:widowControl w:val="0"/>
        <w:numPr>
          <w:ilvl w:val="0"/>
          <w:numId w:val="10"/>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 tres</w:t>
      </w:r>
      <w:r>
        <w:rPr>
          <w:rFonts w:ascii="Palatino Linotype" w:hAnsi="Palatino Linotype"/>
        </w:rPr>
        <w:t xml:space="preserve"> de marzo de dos mil veinte</w:t>
      </w:r>
      <w:r>
        <w:rPr>
          <w:rFonts w:ascii="Palatino Linotype" w:hAnsi="Palatino Linotype" w:cs="Arial"/>
        </w:rPr>
        <w:t>, los recursos de que se trata se enviaron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turnándose,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el recurso de revisión </w:t>
      </w:r>
      <w:r>
        <w:rPr>
          <w:rFonts w:ascii="Palatino Linotype" w:hAnsi="Palatino Linotype"/>
          <w:b/>
        </w:rPr>
        <w:t xml:space="preserve">01322/INFOEM/IP/RR/2020 </w:t>
      </w:r>
      <w:r>
        <w:rPr>
          <w:rFonts w:ascii="Palatino Linotype" w:hAnsi="Palatino Linotype"/>
        </w:rPr>
        <w:t xml:space="preserve">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b/>
        </w:rPr>
        <w:t xml:space="preserve">, </w:t>
      </w:r>
      <w:r>
        <w:rPr>
          <w:rFonts w:ascii="Palatino Linotype" w:hAnsi="Palatino Linotype"/>
        </w:rPr>
        <w:t>los recursos de revisión</w:t>
      </w:r>
      <w:r>
        <w:rPr>
          <w:rFonts w:ascii="Palatino Linotype" w:hAnsi="Palatino Linotype" w:cs="Arial"/>
          <w:lang w:val="es-ES_tradnl"/>
        </w:rPr>
        <w:t xml:space="preserve"> </w:t>
      </w:r>
      <w:r>
        <w:rPr>
          <w:rFonts w:ascii="Palatino Linotype" w:hAnsi="Palatino Linotype"/>
          <w:b/>
        </w:rPr>
        <w:t xml:space="preserve">01323/INFOEM/IP/RR/2020 </w:t>
      </w:r>
      <w:r>
        <w:rPr>
          <w:rFonts w:ascii="Palatino Linotype" w:hAnsi="Palatino Linotype"/>
        </w:rPr>
        <w:t xml:space="preserve">y </w:t>
      </w:r>
      <w:r>
        <w:rPr>
          <w:rFonts w:ascii="Palatino Linotype" w:hAnsi="Palatino Linotype"/>
          <w:b/>
        </w:rPr>
        <w:t xml:space="preserve">01328/INFOEM/IP/RR/2020 </w:t>
      </w:r>
      <w:r>
        <w:rPr>
          <w:rFonts w:ascii="Palatino Linotype" w:hAnsi="Palatino Linotype"/>
        </w:rPr>
        <w:t xml:space="preserve">al Comisionado </w:t>
      </w:r>
      <w:r>
        <w:rPr>
          <w:rFonts w:ascii="Palatino Linotype" w:hAnsi="Palatino Linotype"/>
          <w:b/>
        </w:rPr>
        <w:t xml:space="preserve">JOSÉ GUADALUPE LUNA </w:t>
      </w:r>
      <w:r>
        <w:rPr>
          <w:rFonts w:ascii="Palatino Linotype" w:hAnsi="Palatino Linotype"/>
          <w:b/>
        </w:rPr>
        <w:lastRenderedPageBreak/>
        <w:t xml:space="preserve">HERNÁNDEZ; </w:t>
      </w:r>
      <w:r>
        <w:rPr>
          <w:rFonts w:ascii="Palatino Linotype" w:hAnsi="Palatino Linotype"/>
        </w:rPr>
        <w:t xml:space="preserve">el recurso de revisión </w:t>
      </w:r>
      <w:r>
        <w:rPr>
          <w:rFonts w:ascii="Palatino Linotype" w:hAnsi="Palatino Linotype"/>
          <w:b/>
        </w:rPr>
        <w:t>01324/INFOEM/IP/RR/2020</w:t>
      </w:r>
      <w:r>
        <w:rPr>
          <w:rFonts w:ascii="Palatino Linotype" w:hAnsi="Palatino Linotype"/>
        </w:rPr>
        <w:t xml:space="preserve"> al Comisionado </w:t>
      </w:r>
      <w:r>
        <w:rPr>
          <w:rFonts w:ascii="Palatino Linotype" w:hAnsi="Palatino Linotype"/>
          <w:b/>
        </w:rPr>
        <w:t xml:space="preserve">JAVIER MARTÍNEZ CRUZ </w:t>
      </w:r>
      <w:r>
        <w:rPr>
          <w:rFonts w:ascii="Palatino Linotype" w:hAnsi="Palatino Linotype"/>
        </w:rPr>
        <w:t>y, finalmente,</w:t>
      </w:r>
      <w:r>
        <w:rPr>
          <w:rFonts w:ascii="Palatino Linotype" w:hAnsi="Palatino Linotype"/>
          <w:b/>
        </w:rPr>
        <w:t xml:space="preserve"> </w:t>
      </w:r>
      <w:r>
        <w:rPr>
          <w:rFonts w:ascii="Palatino Linotype" w:hAnsi="Palatino Linotype"/>
        </w:rPr>
        <w:t>el recurso de revisión</w:t>
      </w:r>
      <w:r>
        <w:rPr>
          <w:rFonts w:ascii="Palatino Linotype" w:hAnsi="Palatino Linotype"/>
          <w:b/>
        </w:rPr>
        <w:t xml:space="preserve"> 01325/INFOEM/IP/RR/2020 </w:t>
      </w:r>
      <w:r>
        <w:rPr>
          <w:rFonts w:ascii="Palatino Linotype" w:hAnsi="Palatino Linotype"/>
        </w:rPr>
        <w:t>a la</w:t>
      </w:r>
      <w:r>
        <w:rPr>
          <w:rFonts w:ascii="Palatino Linotype" w:hAnsi="Palatino Linotype"/>
          <w:b/>
        </w:rPr>
        <w:t xml:space="preserve"> </w:t>
      </w:r>
      <w:r>
        <w:rPr>
          <w:rFonts w:ascii="Palatino Linotype" w:hAnsi="Palatino Linotype"/>
        </w:rPr>
        <w:t>comisionada</w:t>
      </w:r>
      <w:r>
        <w:rPr>
          <w:rFonts w:ascii="Palatino Linotype" w:hAnsi="Palatino Linotype"/>
          <w:b/>
        </w:rPr>
        <w:t xml:space="preserve"> ZULEMA MARTÍNEZ SÁNCHEZ</w:t>
      </w:r>
      <w:r>
        <w:rPr>
          <w:rFonts w:ascii="Palatino Linotype" w:hAnsi="Palatino Linotype" w:cs="Arial"/>
          <w:lang w:val="es-ES_tradnl"/>
        </w:rPr>
        <w:t>, a efecto de que decretaran su admisión o desechamiento.</w:t>
      </w:r>
    </w:p>
    <w:p w:rsidR="00422796" w:rsidRDefault="008E2E55">
      <w:pPr>
        <w:pStyle w:val="Prrafodelista"/>
        <w:widowControl w:val="0"/>
        <w:numPr>
          <w:ilvl w:val="0"/>
          <w:numId w:val="10"/>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diez de marzo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 los referidos recursos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 los expedientes respectivos, mismos que se pusieron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convinieran</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los Informes Justificados correspondientes.</w:t>
      </w:r>
    </w:p>
    <w:p w:rsidR="00422796" w:rsidRDefault="008E2E55">
      <w:pPr>
        <w:pStyle w:val="Prrafodelista"/>
        <w:numPr>
          <w:ilvl w:val="0"/>
          <w:numId w:val="10"/>
        </w:numPr>
        <w:spacing w:before="240" w:after="240" w:line="360" w:lineRule="auto"/>
        <w:ind w:left="0" w:firstLine="0"/>
        <w:jc w:val="both"/>
        <w:rPr>
          <w:rFonts w:ascii="Palatino Linotype" w:hAnsi="Palatino Linotype" w:cs="Arial"/>
        </w:rPr>
      </w:pPr>
      <w:r>
        <w:rPr>
          <w:rFonts w:ascii="Palatino Linotype" w:hAnsi="Palatino Linotype" w:cs="Arial"/>
        </w:rPr>
        <w:t xml:space="preserve">De las constancias que obran en los expedientes electrónicos del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xml:space="preserve"> no rindió sus Informes Justificados;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422796" w:rsidRDefault="008E2E55">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rPr>
        <w:t xml:space="preserve">Por economía procesal y a fin de evitar la emisión de resoluciones contradictorias, el Pleno de este Instituto determinó la acumulación de los recursos de revisión </w:t>
      </w:r>
      <w:r>
        <w:rPr>
          <w:rFonts w:ascii="Palatino Linotype" w:hAnsi="Palatino Linotype"/>
          <w:b/>
          <w:spacing w:val="-20"/>
        </w:rPr>
        <w:t xml:space="preserve">01322/INFOEM/IP/RR/2020, 01323/INFOEM/IP/RR/2020, 01324/INFOEM/IP/RR/2020, 01325/INFOEM/IP/RR/2020 </w:t>
      </w:r>
      <w:r>
        <w:rPr>
          <w:rFonts w:ascii="Palatino Linotype" w:hAnsi="Palatino Linotype"/>
          <w:spacing w:val="-20"/>
        </w:rPr>
        <w:t xml:space="preserve">y </w:t>
      </w:r>
      <w:r>
        <w:rPr>
          <w:rFonts w:ascii="Palatino Linotype" w:hAnsi="Palatino Linotype"/>
          <w:b/>
          <w:spacing w:val="-20"/>
        </w:rPr>
        <w:t>01328/INFOEM/IP/RR/2020</w:t>
      </w:r>
      <w:r>
        <w:rPr>
          <w:rFonts w:ascii="Palatino Linotype" w:hAnsi="Palatino Linotype" w:cs="Arial"/>
          <w:b/>
          <w:bCs/>
        </w:rPr>
        <w:t xml:space="preserve">, </w:t>
      </w:r>
      <w:r>
        <w:rPr>
          <w:rFonts w:ascii="Palatino Linotype" w:hAnsi="Palatino Linotype"/>
        </w:rPr>
        <w:t xml:space="preserve">en la Novena Sesión Ordinaria, de fecha once de marzo de dos mil veinte, turnándose a la Comisionada </w:t>
      </w:r>
      <w:r>
        <w:rPr>
          <w:rFonts w:ascii="Palatino Linotype" w:hAnsi="Palatino Linotype"/>
          <w:b/>
        </w:rPr>
        <w:t>EVA ABAID YAPUR</w:t>
      </w:r>
      <w:r>
        <w:rPr>
          <w:rFonts w:ascii="Palatino Linotype" w:hAnsi="Palatino Linotype"/>
        </w:rPr>
        <w:t xml:space="preserve"> para que formulara y presentara el proyecto de resolución correspondiente, </w:t>
      </w:r>
      <w:r>
        <w:rPr>
          <w:rFonts w:ascii="Palatino Linotype" w:hAnsi="Palatino Linotype"/>
        </w:rPr>
        <w:lastRenderedPageBreak/>
        <w:t>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p>
    <w:p w:rsidR="00422796" w:rsidRDefault="008E2E55">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guardaban los expedientes, en fecha </w:t>
      </w:r>
      <w:r w:rsidR="00156D2A">
        <w:rPr>
          <w:rFonts w:ascii="Palatino Linotype" w:hAnsi="Palatino Linotype" w:cs="Arial"/>
        </w:rPr>
        <w:t>tres de agosto</w:t>
      </w:r>
      <w:r w:rsidRPr="00156D2A">
        <w:rPr>
          <w:rFonts w:ascii="Palatino Linotype" w:hAnsi="Palatino Linotype" w:cs="Arial"/>
        </w:rPr>
        <w:t xml:space="preserve"> de dos</w:t>
      </w:r>
      <w:r>
        <w:rPr>
          <w:rFonts w:ascii="Palatino Linotype" w:hAnsi="Palatino Linotype" w:cs="Arial"/>
        </w:rPr>
        <w:t xml:space="preserve">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 los mismos a efecto </w:t>
      </w:r>
      <w:r>
        <w:rPr>
          <w:rFonts w:ascii="Palatino Linotype" w:hAnsi="Palatino Linotype" w:cs="Arial"/>
          <w:lang w:val="es-ES_tradnl"/>
        </w:rPr>
        <w:t>de</w:t>
      </w:r>
      <w:r>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r>
        <w:rPr>
          <w:rFonts w:ascii="Palatino Linotype" w:hAnsi="Palatino Linotype"/>
        </w:rPr>
        <w:t>; y,</w:t>
      </w:r>
    </w:p>
    <w:p w:rsidR="00422796" w:rsidRDefault="008E2E55">
      <w:pPr>
        <w:pStyle w:val="Prrafodelista"/>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422796" w:rsidRDefault="008E2E55">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422796" w:rsidRDefault="008E2E55">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lastRenderedPageBreak/>
        <w:t xml:space="preserve"> Interés.</w:t>
      </w:r>
      <w:r>
        <w:rPr>
          <w:rFonts w:ascii="Palatino Linotype" w:hAnsi="Palatino Linotype" w:cs="Arial"/>
        </w:rPr>
        <w:t xml:space="preserve"> Los </w:t>
      </w:r>
      <w:r>
        <w:rPr>
          <w:rFonts w:ascii="Palatino Linotype" w:hAnsi="Palatino Linotype"/>
        </w:rPr>
        <w:t>recursos</w:t>
      </w:r>
      <w:r>
        <w:rPr>
          <w:rFonts w:ascii="Palatino Linotype" w:hAnsi="Palatino Linotype" w:cs="Arial"/>
        </w:rPr>
        <w:t xml:space="preserve"> de revisión fueron </w:t>
      </w:r>
      <w:r>
        <w:rPr>
          <w:rFonts w:ascii="Palatino Linotype" w:hAnsi="Palatino Linotype"/>
        </w:rPr>
        <w:t>interpuestos</w:t>
      </w:r>
      <w:r>
        <w:rPr>
          <w:rFonts w:ascii="Palatino Linotype" w:hAnsi="Palatino Linotype" w:cs="Arial"/>
        </w:rPr>
        <w:t xml:space="preserve"> por parte legítima, en atención a que fueron </w:t>
      </w:r>
      <w:r>
        <w:rPr>
          <w:rFonts w:ascii="Palatino Linotype" w:hAnsi="Palatino Linotype"/>
        </w:rPr>
        <w:t>presentados</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las solicitudes de información pública</w:t>
      </w:r>
      <w:r>
        <w:rPr>
          <w:rFonts w:ascii="Palatino Linotype" w:hAnsi="Palatino Linotype" w:cs="Arial"/>
          <w:lang w:val="es-ES_tradnl"/>
        </w:rPr>
        <w:t>.</w:t>
      </w:r>
    </w:p>
    <w:p w:rsidR="00422796" w:rsidRDefault="008E2E55">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cs="Arial"/>
          <w:lang w:val="es-ES_tradnl"/>
        </w:rPr>
      </w:pPr>
      <w:r>
        <w:rPr>
          <w:rFonts w:ascii="Palatino Linotype" w:hAnsi="Palatino Linotype" w:cs="Arial"/>
          <w:b/>
        </w:rPr>
        <w:t xml:space="preserve"> Justificación de la acumulación de los recursos.</w:t>
      </w:r>
      <w:r>
        <w:rPr>
          <w:rFonts w:ascii="Palatino Linotype" w:hAnsi="Palatino Linotype" w:cs="Arial"/>
        </w:rPr>
        <w:t xml:space="preserve"> De las constancias que obran en los expedientes electrónicos del </w:t>
      </w:r>
      <w:r>
        <w:rPr>
          <w:rFonts w:ascii="Palatino Linotype" w:hAnsi="Palatino Linotype" w:cs="Arial"/>
          <w:b/>
        </w:rPr>
        <w:t>SAIMEX</w:t>
      </w:r>
      <w:r>
        <w:rPr>
          <w:rFonts w:ascii="Palatino Linotype" w:hAnsi="Palatino Linotype" w:cs="Arial"/>
        </w:rPr>
        <w:t>, se advierte que los recursos de revisión</w:t>
      </w:r>
      <w:r>
        <w:rPr>
          <w:rFonts w:ascii="Palatino Linotype" w:hAnsi="Palatino Linotype"/>
        </w:rPr>
        <w:t xml:space="preserve"> </w:t>
      </w:r>
      <w:r>
        <w:rPr>
          <w:rFonts w:ascii="Palatino Linotype" w:hAnsi="Palatino Linotype" w:cs="Arial"/>
        </w:rPr>
        <w:t xml:space="preserve">fueron presentados por el mismo </w:t>
      </w:r>
      <w:r>
        <w:rPr>
          <w:rFonts w:ascii="Palatino Linotype" w:hAnsi="Palatino Linotype" w:cs="Arial"/>
          <w:b/>
        </w:rPr>
        <w:t xml:space="preserve">RECURRENTE </w:t>
      </w:r>
      <w:r>
        <w:rPr>
          <w:rFonts w:ascii="Palatino Linotype" w:hAnsi="Palatino Linotype" w:cs="Arial"/>
        </w:rPr>
        <w:t xml:space="preserve">ante el mismo </w:t>
      </w:r>
      <w:r>
        <w:rPr>
          <w:rFonts w:ascii="Palatino Linotype" w:hAnsi="Palatino Linotype" w:cs="Arial"/>
          <w:b/>
        </w:rPr>
        <w:t>SUJETO OBLIGADO</w:t>
      </w:r>
      <w:r>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rsidR="00422796" w:rsidRDefault="008E2E55">
      <w:pPr>
        <w:tabs>
          <w:tab w:val="center" w:pos="4252"/>
          <w:tab w:val="right" w:pos="8504"/>
        </w:tabs>
        <w:spacing w:beforeAutospacing="1" w:afterAutospacing="1" w:line="360" w:lineRule="auto"/>
        <w:jc w:val="both"/>
        <w:rPr>
          <w:rFonts w:ascii="Palatino Linotype" w:eastAsiaTheme="minorEastAsia" w:hAnsi="Palatino Linotype" w:cs="Arial"/>
        </w:rPr>
      </w:pPr>
      <w:r>
        <w:rPr>
          <w:rFonts w:ascii="Palatino Linotype" w:eastAsiaTheme="minorEastAsia" w:hAnsi="Palatino Linotype" w:cs="Arial"/>
          <w:sz w:val="22"/>
          <w:szCs w:val="22"/>
        </w:rPr>
        <w:t xml:space="preserve">De </w:t>
      </w:r>
      <w:r>
        <w:rPr>
          <w:rFonts w:ascii="Palatino Linotype" w:eastAsiaTheme="minorEastAsia" w:hAnsi="Palatino Linotype" w:cs="Arial"/>
        </w:rPr>
        <w:t>lo dispuesto en la normativa anterior, dicha acumulación procede cuando:</w:t>
      </w:r>
    </w:p>
    <w:p w:rsidR="00422796" w:rsidRDefault="008E2E55">
      <w:pPr>
        <w:numPr>
          <w:ilvl w:val="0"/>
          <w:numId w:val="5"/>
        </w:numPr>
        <w:tabs>
          <w:tab w:val="center" w:pos="4252"/>
          <w:tab w:val="right" w:pos="8504"/>
        </w:tabs>
        <w:spacing w:beforeAutospacing="1" w:line="360" w:lineRule="auto"/>
        <w:ind w:left="851" w:hanging="142"/>
        <w:jc w:val="both"/>
        <w:rPr>
          <w:rFonts w:ascii="Palatino Linotype" w:eastAsiaTheme="minorEastAsia" w:hAnsi="Palatino Linotype" w:cs="Arial"/>
        </w:rPr>
      </w:pPr>
      <w:r>
        <w:rPr>
          <w:rFonts w:ascii="Palatino Linotype" w:eastAsiaTheme="minorEastAsia" w:hAnsi="Palatino Linotype" w:cs="Arial"/>
        </w:rPr>
        <w:t>El solicitante y la información referida sean las mismas;</w:t>
      </w:r>
    </w:p>
    <w:p w:rsidR="00422796" w:rsidRDefault="008E2E55">
      <w:pPr>
        <w:numPr>
          <w:ilvl w:val="0"/>
          <w:numId w:val="5"/>
        </w:numPr>
        <w:tabs>
          <w:tab w:val="center" w:pos="4252"/>
          <w:tab w:val="right" w:pos="8504"/>
        </w:tabs>
        <w:spacing w:line="360" w:lineRule="auto"/>
        <w:ind w:left="851" w:hanging="142"/>
        <w:jc w:val="both"/>
        <w:rPr>
          <w:rFonts w:ascii="Palatino Linotype" w:eastAsiaTheme="minorEastAsia" w:hAnsi="Palatino Linotype" w:cs="Arial"/>
        </w:rPr>
      </w:pPr>
      <w:r>
        <w:rPr>
          <w:rFonts w:ascii="Palatino Linotype" w:eastAsiaTheme="minorEastAsia" w:hAnsi="Palatino Linotype" w:cs="Arial"/>
          <w:b/>
        </w:rPr>
        <w:t>Las partes o los actos impugnados sean iguales</w:t>
      </w:r>
      <w:r>
        <w:rPr>
          <w:rFonts w:ascii="Palatino Linotype" w:eastAsiaTheme="minorEastAsia" w:hAnsi="Palatino Linotype" w:cs="Arial"/>
        </w:rPr>
        <w:t>;</w:t>
      </w:r>
    </w:p>
    <w:p w:rsidR="00422796" w:rsidRDefault="008E2E55">
      <w:pPr>
        <w:numPr>
          <w:ilvl w:val="0"/>
          <w:numId w:val="5"/>
        </w:numPr>
        <w:tabs>
          <w:tab w:val="center" w:pos="4252"/>
          <w:tab w:val="right" w:pos="8504"/>
        </w:tabs>
        <w:spacing w:line="360" w:lineRule="auto"/>
        <w:ind w:left="851" w:hanging="142"/>
        <w:jc w:val="both"/>
        <w:rPr>
          <w:rFonts w:ascii="Palatino Linotype" w:eastAsiaTheme="minorEastAsia" w:hAnsi="Palatino Linotype" w:cs="Arial"/>
        </w:rPr>
      </w:pPr>
      <w:r>
        <w:rPr>
          <w:rFonts w:ascii="Palatino Linotype" w:eastAsiaTheme="minorEastAsia" w:hAnsi="Palatino Linotype" w:cs="Arial"/>
        </w:rPr>
        <w:t xml:space="preserve">Cuando se trate del mismo solicitante, el mismo Sujeto Obligado, </w:t>
      </w:r>
      <w:r>
        <w:rPr>
          <w:rFonts w:ascii="Palatino Linotype" w:eastAsiaTheme="minorEastAsia" w:hAnsi="Palatino Linotype" w:cs="Arial"/>
          <w:b/>
        </w:rPr>
        <w:t>aunque se trate de solicitudes diversas</w:t>
      </w:r>
      <w:r>
        <w:rPr>
          <w:rFonts w:ascii="Palatino Linotype" w:eastAsiaTheme="minorEastAsia" w:hAnsi="Palatino Linotype" w:cs="Arial"/>
        </w:rPr>
        <w:t>; y,</w:t>
      </w:r>
    </w:p>
    <w:p w:rsidR="00422796" w:rsidRDefault="008E2E55">
      <w:pPr>
        <w:numPr>
          <w:ilvl w:val="0"/>
          <w:numId w:val="5"/>
        </w:numPr>
        <w:tabs>
          <w:tab w:val="center" w:pos="4252"/>
          <w:tab w:val="right" w:pos="8504"/>
        </w:tabs>
        <w:spacing w:afterAutospacing="1" w:line="360" w:lineRule="auto"/>
        <w:ind w:left="851" w:hanging="142"/>
        <w:jc w:val="both"/>
        <w:rPr>
          <w:rFonts w:ascii="Palatino Linotype" w:eastAsiaTheme="minorEastAsia" w:hAnsi="Palatino Linotype" w:cs="Arial"/>
        </w:rPr>
      </w:pPr>
      <w:r>
        <w:rPr>
          <w:rFonts w:ascii="Palatino Linotype" w:eastAsiaTheme="minorEastAsia" w:hAnsi="Palatino Linotype" w:cs="Arial"/>
          <w:b/>
        </w:rPr>
        <w:t>Resulte conveniente la resolución unificada de los asuntos</w:t>
      </w:r>
      <w:r>
        <w:rPr>
          <w:rFonts w:ascii="Palatino Linotype" w:eastAsiaTheme="minorEastAsia" w:hAnsi="Palatino Linotype" w:cs="Arial"/>
          <w:i/>
        </w:rPr>
        <w:t>.</w:t>
      </w:r>
    </w:p>
    <w:p w:rsidR="00422796" w:rsidRDefault="008E2E55">
      <w:pPr>
        <w:tabs>
          <w:tab w:val="center" w:pos="4252"/>
          <w:tab w:val="right" w:pos="8504"/>
        </w:tabs>
        <w:spacing w:beforeAutospacing="1" w:afterAutospacing="1" w:line="360" w:lineRule="auto"/>
        <w:jc w:val="both"/>
        <w:rPr>
          <w:rFonts w:ascii="Palatino Linotype" w:eastAsiaTheme="minorEastAsia" w:hAnsi="Palatino Linotype" w:cs="Arial"/>
        </w:rPr>
      </w:pPr>
      <w:r>
        <w:rPr>
          <w:rFonts w:ascii="Palatino Linotype" w:eastAsiaTheme="minorEastAsia" w:hAnsi="Palatino Linotype" w:cs="Arial"/>
        </w:rPr>
        <w:lastRenderedPageBreak/>
        <w:t xml:space="preserve">Así, tal y como se mencionó anteriormente, los Recursos de Revisión que nos ocupan fueron interpuestos por el mismo </w:t>
      </w:r>
      <w:r>
        <w:rPr>
          <w:rFonts w:ascii="Palatino Linotype" w:eastAsiaTheme="minorEastAsia" w:hAnsi="Palatino Linotype" w:cs="Arial"/>
          <w:b/>
        </w:rPr>
        <w:t>RECURRENTE</w:t>
      </w:r>
      <w:r>
        <w:rPr>
          <w:rFonts w:ascii="Palatino Linotype" w:eastAsiaTheme="minorEastAsia" w:hAnsi="Palatino Linotype" w:cs="Arial"/>
        </w:rPr>
        <w:t xml:space="preserve"> ante el mismo </w:t>
      </w:r>
      <w:r>
        <w:rPr>
          <w:rFonts w:ascii="Palatino Linotype" w:eastAsiaTheme="minorEastAsia" w:hAnsi="Palatino Linotype" w:cs="Arial"/>
          <w:b/>
        </w:rPr>
        <w:t>SUJETO OBLIGADO</w:t>
      </w:r>
      <w:r>
        <w:rPr>
          <w:rFonts w:ascii="Palatino Linotype" w:eastAsiaTheme="minorEastAsia" w:hAnsi="Palatino Linotype" w:cs="Arial"/>
        </w:rPr>
        <w:t xml:space="preserve">; por lo que, resulta conveniente su resolución conjunta. </w:t>
      </w:r>
    </w:p>
    <w:p w:rsidR="00422796" w:rsidRDefault="008E2E55">
      <w:pPr>
        <w:pStyle w:val="Prrafodelista"/>
        <w:widowControl w:val="0"/>
        <w:numPr>
          <w:ilvl w:val="0"/>
          <w:numId w:val="1"/>
        </w:numPr>
        <w:tabs>
          <w:tab w:val="left" w:pos="993"/>
          <w:tab w:val="left" w:pos="1701"/>
        </w:tabs>
        <w:spacing w:before="240" w:afterAutospacing="1" w:line="360" w:lineRule="auto"/>
        <w:ind w:left="0" w:right="49" w:firstLine="0"/>
        <w:jc w:val="both"/>
        <w:rPr>
          <w:rFonts w:ascii="Palatino Linotype" w:hAnsi="Palatino Linotype" w:cs="Arial"/>
        </w:rPr>
      </w:pPr>
      <w:r>
        <w:rPr>
          <w:rFonts w:ascii="Palatino Linotype" w:hAnsi="Palatino Linotype" w:cs="Arial"/>
          <w:b/>
          <w:color w:val="000000"/>
        </w:rPr>
        <w:t>Oportunidad.</w:t>
      </w:r>
      <w:r>
        <w:rPr>
          <w:rFonts w:ascii="Palatino Linotype" w:hAnsi="Palatino Linotype" w:cs="Arial"/>
          <w:color w:val="000000"/>
        </w:rPr>
        <w:t xml:space="preserve"> Los recursos de revisión fueron interpuestos dentro del plazo de quince días hábiles contados a partir del día siguiente en que </w:t>
      </w:r>
      <w:r>
        <w:rPr>
          <w:rFonts w:ascii="Palatino Linotype" w:hAnsi="Palatino Linotype" w:cs="Arial"/>
          <w:b/>
          <w:color w:val="000000"/>
        </w:rPr>
        <w:t>EL RECURRENTE</w:t>
      </w:r>
      <w:r>
        <w:rPr>
          <w:rFonts w:ascii="Palatino Linotype" w:hAnsi="Palatino Linotype" w:cs="Arial"/>
          <w:color w:val="000000"/>
        </w:rPr>
        <w:t xml:space="preserve"> tuvo conocimiento de las respuestas impugnadas; tal y como, lo prevé el artículo 178 de la Ley de Transparencia y Acceso a la Información Pública del Estado de México y Municipios, que establece: </w:t>
      </w:r>
    </w:p>
    <w:p w:rsidR="00422796" w:rsidRDefault="008E2E55">
      <w:pPr>
        <w:pStyle w:val="Prrafodelista"/>
        <w:ind w:left="851" w:right="899"/>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22796" w:rsidRDefault="008E2E55">
      <w:pPr>
        <w:pStyle w:val="Prrafodelista"/>
        <w:ind w:left="851" w:right="899"/>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22796" w:rsidRDefault="008E2E55">
      <w:pPr>
        <w:pStyle w:val="Prrafodelista"/>
        <w:ind w:left="851" w:right="899"/>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422796" w:rsidRDefault="008E2E55">
      <w:pPr>
        <w:spacing w:beforeAutospacing="1" w:afterAutospacing="1" w:line="360" w:lineRule="auto"/>
        <w:jc w:val="both"/>
        <w:rPr>
          <w:rFonts w:ascii="Palatino Linotype" w:hAnsi="Palatino Linotype"/>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las respuestas a las solicitudes anteriormente citadas,</w:t>
      </w:r>
      <w:r>
        <w:rPr>
          <w:rFonts w:ascii="Palatino Linotype" w:hAnsi="Palatino Linotype"/>
          <w:b/>
          <w:bCs/>
        </w:rPr>
        <w:t xml:space="preserve"> </w:t>
      </w:r>
      <w:r>
        <w:rPr>
          <w:rFonts w:ascii="Palatino Linotype" w:hAnsi="Palatino Linotype" w:cs="Arial"/>
        </w:rPr>
        <w:t>el día</w:t>
      </w:r>
      <w:r>
        <w:rPr>
          <w:rFonts w:ascii="Palatino Linotype" w:hAnsi="Palatino Linotype" w:cs="Arial"/>
          <w:b/>
        </w:rPr>
        <w:t xml:space="preserve"> veintiséis de febrero de dos mil diecinueve</w:t>
      </w:r>
      <w:r>
        <w:rPr>
          <w:rFonts w:ascii="Palatino Linotype" w:hAnsi="Palatino Linotype" w:cs="Arial"/>
        </w:rPr>
        <w:t>; así,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los respectivos recursos de revisión, transcurrió del </w:t>
      </w:r>
      <w:r>
        <w:rPr>
          <w:rFonts w:ascii="Palatino Linotype" w:hAnsi="Palatino Linotype" w:cs="Arial"/>
          <w:b/>
        </w:rPr>
        <w:t>veintisiete de febrero de dos mil diecinueve al veintitrés de marzo de dos mil veinte</w:t>
      </w:r>
      <w:r>
        <w:rPr>
          <w:rFonts w:ascii="Palatino Linotype" w:hAnsi="Palatino Linotype" w:cs="Arial"/>
        </w:rPr>
        <w:t xml:space="preserve">; sin contemplar en el cómputo los días veintinueve de febrero, uno, siete, ocho, catorce y quince de marzo de dos mil veinte, por corresponder a sábados y domingos, </w:t>
      </w:r>
      <w:r>
        <w:rPr>
          <w:rFonts w:ascii="Palatino Linotype" w:hAnsi="Palatino Linotype" w:cs="Arial"/>
        </w:rPr>
        <w:lastRenderedPageBreak/>
        <w:t xml:space="preserve">considerados como días inhábiles, en términos del artículo 3, fracción X de la </w:t>
      </w:r>
      <w:r>
        <w:rPr>
          <w:rFonts w:ascii="Palatino Linotype" w:hAnsi="Palatino Linotype"/>
        </w:rPr>
        <w:t>Ley de Transparencia y Acceso a la Información Pública del Estado de México y Municipios; así como, los días dos, nueve y dieciséis de marzo de dos mil veinte, por ser considerados como suspensión de labores,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 y en términos del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w:t>
      </w:r>
    </w:p>
    <w:p w:rsidR="00422796" w:rsidRDefault="008E2E55">
      <w:pPr>
        <w:spacing w:beforeAutospacing="1" w:afterAutospacing="1" w:line="360" w:lineRule="auto"/>
        <w:jc w:val="both"/>
        <w:rPr>
          <w:rFonts w:ascii="Palatino Linotype" w:hAnsi="Palatino Linotype" w:cs="Arial"/>
          <w:b/>
          <w:color w:val="000000"/>
        </w:rPr>
      </w:pPr>
      <w:r>
        <w:rPr>
          <w:rFonts w:ascii="Palatino Linotype" w:hAnsi="Palatino Linotype" w:cs="Arial"/>
        </w:rPr>
        <w:t>En ese tenor, si los recursos de revisión que nos ocupan, se interpusieron el día</w:t>
      </w:r>
      <w:r>
        <w:rPr>
          <w:rFonts w:ascii="Palatino Linotype" w:hAnsi="Palatino Linotype" w:cs="Arial"/>
          <w:b/>
        </w:rPr>
        <w:t xml:space="preserve"> tres</w:t>
      </w:r>
      <w:r>
        <w:rPr>
          <w:rFonts w:ascii="Palatino Linotype" w:hAnsi="Palatino Linotype" w:cs="Arial"/>
          <w:b/>
          <w:u w:val="single"/>
        </w:rPr>
        <w:t xml:space="preserve"> de marzo de dos mil veinte</w:t>
      </w:r>
      <w:r>
        <w:rPr>
          <w:rFonts w:ascii="Palatino Linotype" w:hAnsi="Palatino Linotype" w:cs="Arial"/>
        </w:rPr>
        <w:t>, éstos se encuentran dentro de los márgenes temporales previstos en el precepto legal citado en el párrafo anterior y, por tanto, su interposición se considera oportuna.</w:t>
      </w:r>
    </w:p>
    <w:p w:rsidR="00422796" w:rsidRDefault="008E2E55">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b/>
          <w:lang w:val="es-ES"/>
        </w:rPr>
      </w:pPr>
      <w:r>
        <w:rPr>
          <w:rFonts w:ascii="Palatino Linotype" w:hAnsi="Palatino Linotype" w:cs="Arial"/>
          <w:b/>
        </w:rPr>
        <w:t xml:space="preserve">Procedibilidad. </w:t>
      </w:r>
      <w:r>
        <w:rPr>
          <w:rFonts w:ascii="Palatino Linotype" w:hAnsi="Palatino Linotype" w:cs="Arial"/>
          <w:lang w:val="es-ES"/>
        </w:rPr>
        <w:t xml:space="preserve">Se considera importante abordar el análisis de los requisitos de procedibilidad de los Recursos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establece lo siguiente:</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lastRenderedPageBreak/>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422796" w:rsidRDefault="008E2E55">
      <w:pPr>
        <w:spacing w:line="276" w:lineRule="auto"/>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rsidR="00422796" w:rsidRDefault="008E2E55">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rsidR="00422796" w:rsidRDefault="008E2E55">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rsidR="00422796" w:rsidRDefault="008E2E55">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t xml:space="preserve">En principio, de una interpretación del artículo transcrito se observan los requisitos que deberán contener los recursos de revisión; sobre el particular, de la revisión de los expedientes electrónicos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422796" w:rsidRDefault="008E2E55">
      <w:pPr>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w:t>
      </w:r>
      <w:r>
        <w:rPr>
          <w:rFonts w:ascii="Palatino Linotype" w:hAnsi="Palatino Linotype"/>
          <w:lang w:val="es-ES"/>
        </w:rPr>
        <w:lastRenderedPageBreak/>
        <w:t xml:space="preserve">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22796" w:rsidRDefault="008E2E55">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Estados Unidos Mexicanos</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422796" w:rsidRDefault="008E2E55">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422796" w:rsidRDefault="008E2E55">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422796" w:rsidRDefault="008E2E55">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22796" w:rsidRDefault="008E2E55">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w:t>
      </w:r>
      <w:r>
        <w:rPr>
          <w:rFonts w:ascii="Palatino Linotype" w:hAnsi="Palatino Linotype" w:cs="Arial"/>
          <w:i/>
          <w:sz w:val="22"/>
          <w:szCs w:val="22"/>
          <w:lang w:val="es-ES"/>
        </w:rPr>
        <w:lastRenderedPageBreak/>
        <w:t>datos personales en posesión de los sujetos obligados en los términos que establezca la ley.</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rsidR="00422796" w:rsidRDefault="008E2E55">
      <w:pPr>
        <w:spacing w:line="276" w:lineRule="auto"/>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422796" w:rsidRDefault="008E2E55">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rsidR="00422796" w:rsidRDefault="008E2E55">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rsidR="00422796" w:rsidRDefault="008E2E55">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rsidR="00422796" w:rsidRDefault="008E2E55">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422796" w:rsidRDefault="008E2E55">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rsidR="00422796" w:rsidRDefault="008E2E55">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22796" w:rsidRDefault="008E2E55">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422796" w:rsidRDefault="008E2E55">
      <w:pPr>
        <w:spacing w:line="276" w:lineRule="auto"/>
        <w:ind w:left="851" w:right="992"/>
        <w:contextualSpacing/>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422796" w:rsidRDefault="008E2E55">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lastRenderedPageBreak/>
        <w:t>IV. Se establecerán mecanismos de acceso a la información y procedimientos de revisión expeditos que se sustanciarán ante el organismo autónomo especializado e imparcial que establece esta Constitución.</w:t>
      </w:r>
    </w:p>
    <w:p w:rsidR="00422796" w:rsidRDefault="008E2E55">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422796" w:rsidRDefault="008E2E55">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rsidR="00422796" w:rsidRDefault="008E2E55">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22796" w:rsidRDefault="008E2E55">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rsidR="00422796" w:rsidRDefault="008E2E55">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 xml:space="preserve">Todas las autoridades, en el ámbito de sus competencias, tienen la obligación de promover, respetar, proteger y garantizar los derechos humanos de conformidad con los principios de universalidad, </w:t>
      </w:r>
      <w:r>
        <w:rPr>
          <w:rFonts w:ascii="Palatino Linotype" w:hAnsi="Palatino Linotype" w:cs="Arial"/>
          <w:b/>
          <w:i/>
          <w:sz w:val="22"/>
          <w:szCs w:val="22"/>
          <w:u w:val="single"/>
          <w:lang w:val="es-ES"/>
        </w:rPr>
        <w:lastRenderedPageBreak/>
        <w:t>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422796" w:rsidRDefault="008E2E55">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422796" w:rsidRDefault="008E2E55">
      <w:pPr>
        <w:spacing w:before="240" w:after="240"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lastRenderedPageBreak/>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resuelven los presentes recursos de revisión, resulta intrascendente el nombre de la persona que los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w:t>
      </w:r>
      <w:r>
        <w:rPr>
          <w:rFonts w:ascii="Palatino Linotype" w:hAnsi="Palatino Linotype"/>
          <w:lang w:val="es-ES"/>
        </w:rPr>
        <w:lastRenderedPageBreak/>
        <w:t xml:space="preserve">se acredita en las constancias electrónicas de los expedientes, de las que se desprende que </w:t>
      </w:r>
      <w:r>
        <w:rPr>
          <w:rFonts w:ascii="Palatino Linotype" w:hAnsi="Palatino Linotype"/>
          <w:b/>
          <w:lang w:val="es-ES"/>
        </w:rPr>
        <w:t>EL RECURRENTE</w:t>
      </w:r>
      <w:r>
        <w:rPr>
          <w:rFonts w:ascii="Palatino Linotype" w:hAnsi="Palatino Linotype"/>
          <w:lang w:val="es-ES"/>
        </w:rPr>
        <w:t>, es la misma persona que realizó las solicitudes de acceso a la información pública que ahora se impugnan.</w:t>
      </w:r>
    </w:p>
    <w:p w:rsidR="00422796" w:rsidRDefault="008E2E55">
      <w:pPr>
        <w:spacing w:before="240" w:after="240" w:line="360" w:lineRule="auto"/>
        <w:jc w:val="both"/>
        <w:rPr>
          <w:rFonts w:ascii="Palatino Linotype" w:hAnsi="Palatino Linotype"/>
          <w:lang w:val="es-ES"/>
        </w:rPr>
      </w:pPr>
      <w:r>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los presentes casos, al haber sido presentados los recursos de revisión vía </w:t>
      </w:r>
      <w:r>
        <w:rPr>
          <w:rFonts w:ascii="Palatino Linotype" w:hAnsi="Palatino Linotype"/>
          <w:b/>
          <w:lang w:val="es-ES"/>
        </w:rPr>
        <w:t>SAIMEX</w:t>
      </w:r>
      <w:r>
        <w:rPr>
          <w:rFonts w:ascii="Palatino Linotype" w:hAnsi="Palatino Linotype"/>
          <w:lang w:val="es-ES"/>
        </w:rPr>
        <w:t>, dicho requisito resulta innecesario.</w:t>
      </w:r>
    </w:p>
    <w:p w:rsidR="00422796" w:rsidRDefault="008E2E55">
      <w:pPr>
        <w:pStyle w:val="Prrafodelista"/>
        <w:widowControl w:val="0"/>
        <w:numPr>
          <w:ilvl w:val="0"/>
          <w:numId w:val="1"/>
        </w:numPr>
        <w:tabs>
          <w:tab w:val="left" w:pos="1276"/>
        </w:tabs>
        <w:spacing w:before="240" w:afterAutospacing="1" w:line="360" w:lineRule="auto"/>
        <w:ind w:left="0" w:right="49" w:firstLine="0"/>
        <w:jc w:val="both"/>
        <w:rPr>
          <w:rFonts w:ascii="Palatino Linotype" w:hAnsi="Palatino Linotype" w:cs="Arial"/>
        </w:rPr>
      </w:pPr>
      <w:r>
        <w:rPr>
          <w:rFonts w:ascii="Palatino Linotype" w:hAnsi="Palatino Linotype" w:cs="Arial"/>
          <w:b/>
        </w:rPr>
        <w:t>Estudio y resolución del asunto</w:t>
      </w:r>
      <w:r>
        <w:rPr>
          <w:rFonts w:ascii="Palatino Linotype" w:hAnsi="Palatino Linotype" w:cs="Arial"/>
          <w:b/>
          <w:color w:val="000000" w:themeColor="text1"/>
        </w:rPr>
        <w:t>.</w:t>
      </w:r>
      <w:r>
        <w:rPr>
          <w:rFonts w:ascii="Palatino Linotype" w:hAnsi="Palatino Linotype" w:cs="Arial"/>
        </w:rPr>
        <w:t xml:space="preserve"> Tal y como quedó plasmado en los resultandos de la presente resolución, el particular requirió del </w:t>
      </w:r>
      <w:r>
        <w:rPr>
          <w:rFonts w:ascii="Palatino Linotype" w:hAnsi="Palatino Linotype" w:cs="Arial"/>
          <w:b/>
        </w:rPr>
        <w:t>SUJETO OBLIGADO</w:t>
      </w:r>
      <w:r>
        <w:rPr>
          <w:rFonts w:ascii="Palatino Linotype" w:hAnsi="Palatino Linotype" w:cs="Arial"/>
        </w:rPr>
        <w:t xml:space="preserve"> la siguiente información:</w:t>
      </w:r>
    </w:p>
    <w:p w:rsidR="00422796" w:rsidRDefault="008E2E55">
      <w:pPr>
        <w:widowControl w:val="0"/>
        <w:tabs>
          <w:tab w:val="left" w:pos="1276"/>
        </w:tabs>
        <w:spacing w:before="240" w:afterAutospacing="1" w:line="360" w:lineRule="auto"/>
        <w:ind w:left="851" w:right="49"/>
        <w:jc w:val="both"/>
        <w:rPr>
          <w:rFonts w:ascii="Palatino Linotype" w:hAnsi="Palatino Linotype" w:cs="Arial"/>
        </w:rPr>
      </w:pPr>
      <w:r>
        <w:rPr>
          <w:rFonts w:ascii="Palatino Linotype" w:hAnsi="Palatino Linotype" w:cs="Arial"/>
        </w:rPr>
        <w:t>1. Los expedientes de obra pública generados en el 2019; y,</w:t>
      </w:r>
    </w:p>
    <w:p w:rsidR="00422796" w:rsidRDefault="008E2E55">
      <w:pPr>
        <w:widowControl w:val="0"/>
        <w:tabs>
          <w:tab w:val="left" w:pos="1276"/>
        </w:tabs>
        <w:spacing w:before="240" w:afterAutospacing="1" w:line="360" w:lineRule="auto"/>
        <w:ind w:left="851" w:right="49"/>
        <w:jc w:val="both"/>
        <w:rPr>
          <w:rFonts w:ascii="Palatino Linotype" w:hAnsi="Palatino Linotype" w:cs="Arial"/>
        </w:rPr>
      </w:pPr>
      <w:r>
        <w:rPr>
          <w:rFonts w:ascii="Palatino Linotype" w:hAnsi="Palatino Linotype" w:cs="Arial"/>
        </w:rPr>
        <w:t>2. Los expedientes generados por la adquisición y arrendamiento de bienes y la contratación de servicios de cualquier naturaleza, en el año 2019</w:t>
      </w:r>
      <w:r>
        <w:rPr>
          <w:rStyle w:val="FootnoteAnchor"/>
        </w:rPr>
        <w:footnoteReference w:id="2"/>
      </w:r>
      <w:r>
        <w:t>.</w:t>
      </w:r>
    </w:p>
    <w:p w:rsidR="00422796" w:rsidRDefault="008E2E55">
      <w:pPr>
        <w:pStyle w:val="Prrafodelista"/>
        <w:widowControl w:val="0"/>
        <w:tabs>
          <w:tab w:val="left" w:pos="1276"/>
        </w:tabs>
        <w:spacing w:before="240" w:afterAutospacing="1" w:line="360" w:lineRule="auto"/>
        <w:ind w:left="0" w:right="49"/>
        <w:jc w:val="both"/>
        <w:rPr>
          <w:rFonts w:ascii="Palatino Linotype" w:hAnsi="Palatino Linotype" w:cs="Arial"/>
        </w:rPr>
      </w:pPr>
      <w:r>
        <w:rPr>
          <w:rFonts w:ascii="Palatino Linotype" w:hAnsi="Palatino Linotype" w:cs="Arial"/>
        </w:rPr>
        <w:t xml:space="preserve">Al respecto, </w:t>
      </w:r>
      <w:r>
        <w:rPr>
          <w:rFonts w:ascii="Palatino Linotype" w:hAnsi="Palatino Linotype" w:cs="Arial"/>
          <w:b/>
        </w:rPr>
        <w:t>EL SUJETO OBLIGADO</w:t>
      </w:r>
      <w:r>
        <w:rPr>
          <w:rFonts w:ascii="Palatino Linotype" w:hAnsi="Palatino Linotype" w:cs="Arial"/>
        </w:rPr>
        <w:t xml:space="preserve"> respondió al particular mediante la entrega de </w:t>
      </w:r>
      <w:r>
        <w:rPr>
          <w:rFonts w:ascii="Palatino Linotype" w:hAnsi="Palatino Linotype" w:cs="Arial"/>
        </w:rPr>
        <w:lastRenderedPageBreak/>
        <w:t>82 expedientes técnicos de obra pública diversos, correspondientes al año 2019. Asimismo, se destaca que respecto a la solicitud de acceso a la información marcada con el numeral 2, no se manifestó al respecto, puesto que únicamente remitió una matriz donde se observa un listado que contempla obras públicas.</w:t>
      </w:r>
    </w:p>
    <w:p w:rsidR="00422796" w:rsidRDefault="008E2E55">
      <w:pPr>
        <w:pStyle w:val="Prrafodelista"/>
        <w:widowControl w:val="0"/>
        <w:tabs>
          <w:tab w:val="left" w:pos="1276"/>
        </w:tabs>
        <w:spacing w:before="240" w:afterAutospacing="1" w:line="360" w:lineRule="auto"/>
        <w:ind w:left="0" w:right="49"/>
        <w:jc w:val="both"/>
        <w:rPr>
          <w:rFonts w:ascii="Palatino Linotype" w:hAnsi="Palatino Linotype" w:cs="Arial"/>
        </w:rPr>
      </w:pPr>
      <w:r>
        <w:rPr>
          <w:rFonts w:ascii="Palatino Linotype" w:hAnsi="Palatino Linotype" w:cs="Arial"/>
        </w:rPr>
        <w:t xml:space="preserve">Inconforme con dichas respuesta, el hoy </w:t>
      </w:r>
      <w:r>
        <w:rPr>
          <w:rFonts w:ascii="Palatino Linotype" w:hAnsi="Palatino Linotype" w:cs="Arial"/>
          <w:b/>
        </w:rPr>
        <w:t>RECURRENTE</w:t>
      </w:r>
      <w:r>
        <w:rPr>
          <w:rFonts w:ascii="Palatino Linotype" w:hAnsi="Palatino Linotype" w:cs="Arial"/>
        </w:rPr>
        <w:t xml:space="preserve"> interpuso los medios de defensa de mérito, en los cuales, en lo que interesa manifestó que la información resultaba incompleta aunado a que se tenía que entregar de acuerdo a lo remitido en los informes mensuales que se rinden al Órgano Superior de Fiscalización del Estado de México (OSFEM).</w:t>
      </w:r>
    </w:p>
    <w:p w:rsidR="00422796" w:rsidRDefault="008E2E55">
      <w:pPr>
        <w:pStyle w:val="Prrafodelista"/>
        <w:widowControl w:val="0"/>
        <w:tabs>
          <w:tab w:val="left" w:pos="1276"/>
        </w:tabs>
        <w:spacing w:before="240" w:afterAutospacing="1" w:line="360" w:lineRule="auto"/>
        <w:ind w:left="0" w:right="49"/>
        <w:jc w:val="both"/>
        <w:rPr>
          <w:rFonts w:ascii="Palatino Linotype" w:hAnsi="Palatino Linotype" w:cs="Arial"/>
        </w:rPr>
      </w:pPr>
      <w:r>
        <w:rPr>
          <w:rFonts w:ascii="Palatino Linotype" w:hAnsi="Palatino Linotype" w:cs="Arial"/>
        </w:rPr>
        <w:t xml:space="preserve">Cabe destacarse que </w:t>
      </w:r>
      <w:r>
        <w:rPr>
          <w:rFonts w:ascii="Palatino Linotype" w:hAnsi="Palatino Linotype" w:cs="Arial"/>
          <w:b/>
        </w:rPr>
        <w:t>EL SUJETO OBLIGADO</w:t>
      </w:r>
      <w:r>
        <w:rPr>
          <w:rFonts w:ascii="Palatino Linotype" w:hAnsi="Palatino Linotype" w:cs="Arial"/>
        </w:rPr>
        <w:t xml:space="preserve"> no rindió su Informe Justificado;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422796" w:rsidRDefault="008E2E55">
      <w:pPr>
        <w:pStyle w:val="Prrafodelista"/>
        <w:widowControl w:val="0"/>
        <w:tabs>
          <w:tab w:val="left" w:pos="1276"/>
        </w:tabs>
        <w:spacing w:before="240" w:afterAutospacing="1" w:line="360" w:lineRule="auto"/>
        <w:ind w:left="0" w:right="49"/>
        <w:jc w:val="both"/>
        <w:rPr>
          <w:rFonts w:ascii="Palatino Linotype" w:hAnsi="Palatino Linotype" w:cs="Arial"/>
        </w:rPr>
      </w:pPr>
      <w:r>
        <w:rPr>
          <w:rFonts w:ascii="Palatino Linotype" w:hAnsi="Palatino Linotype" w:cs="Arial"/>
        </w:rPr>
        <w:t xml:space="preserve">Bajo ese contexto, este Instituto analizó la totalidad de constancias que integran los expedientes electrónicos del </w:t>
      </w:r>
      <w:r>
        <w:rPr>
          <w:rFonts w:ascii="Palatino Linotype" w:hAnsi="Palatino Linotype" w:cs="Arial"/>
          <w:b/>
        </w:rPr>
        <w:t>SAIMEX</w:t>
      </w:r>
      <w:r>
        <w:rPr>
          <w:rFonts w:ascii="Palatino Linotype" w:hAnsi="Palatino Linotype" w:cs="Arial"/>
        </w:rPr>
        <w:t xml:space="preserve"> y advirtió que las razones o motivos de inconformidad hechos valer por </w:t>
      </w:r>
      <w:r>
        <w:rPr>
          <w:rFonts w:ascii="Palatino Linotype" w:hAnsi="Palatino Linotype" w:cs="Arial"/>
          <w:b/>
        </w:rPr>
        <w:t>EL RECURRENTE</w:t>
      </w:r>
      <w:r>
        <w:rPr>
          <w:rFonts w:ascii="Palatino Linotype" w:hAnsi="Palatino Linotype" w:cs="Arial"/>
        </w:rPr>
        <w:t xml:space="preserve"> devienen </w:t>
      </w:r>
      <w:r>
        <w:rPr>
          <w:rFonts w:ascii="Palatino Linotype" w:hAnsi="Palatino Linotype" w:cs="Arial"/>
          <w:b/>
        </w:rPr>
        <w:t>parcialmente fundados</w:t>
      </w:r>
      <w:r>
        <w:rPr>
          <w:rFonts w:ascii="Palatino Linotype" w:hAnsi="Palatino Linotype" w:cs="Arial"/>
        </w:rPr>
        <w:t xml:space="preserve"> y suficientes para </w:t>
      </w:r>
      <w:r>
        <w:rPr>
          <w:rFonts w:ascii="Palatino Linotype" w:hAnsi="Palatino Linotype" w:cs="Arial"/>
          <w:b/>
        </w:rPr>
        <w:t>MODIFICAR</w:t>
      </w:r>
      <w:r>
        <w:rPr>
          <w:rFonts w:ascii="Palatino Linotype" w:hAnsi="Palatino Linotype" w:cs="Arial"/>
        </w:rPr>
        <w:t xml:space="preserve"> las respuestas del </w:t>
      </w:r>
      <w:r>
        <w:rPr>
          <w:rFonts w:ascii="Palatino Linotype" w:hAnsi="Palatino Linotype" w:cs="Arial"/>
          <w:b/>
        </w:rPr>
        <w:t>SUJETO OBLIGADO</w:t>
      </w:r>
      <w:r>
        <w:rPr>
          <w:rFonts w:ascii="Palatino Linotype" w:hAnsi="Palatino Linotype" w:cs="Arial"/>
        </w:rPr>
        <w:t>, en atención a las consideraciones de hecho y de derecho que se detallan a continuación:</w:t>
      </w:r>
    </w:p>
    <w:p w:rsidR="00422796" w:rsidRDefault="008E2E55">
      <w:pPr>
        <w:pStyle w:val="Prrafodelista"/>
        <w:widowControl w:val="0"/>
        <w:tabs>
          <w:tab w:val="left" w:pos="1276"/>
        </w:tabs>
        <w:spacing w:before="240" w:afterAutospacing="1" w:line="360" w:lineRule="auto"/>
        <w:ind w:left="0" w:right="49"/>
        <w:jc w:val="both"/>
        <w:rPr>
          <w:rFonts w:ascii="Palatino Linotype" w:hAnsi="Palatino Linotype" w:cs="Arial"/>
        </w:rPr>
      </w:pPr>
      <w:r>
        <w:rPr>
          <w:rFonts w:ascii="Palatino Linotype" w:hAnsi="Palatino Linotype" w:cs="Arial"/>
        </w:rPr>
        <w:t xml:space="preserve">Por cuanto hace a la solicitud de acceso a la información, marcada con el numeral 1, relativa a los expedientes generados con motivos de las obras públicas del año 2019, esta Autoridad advirtió que, si bien es cierto, que </w:t>
      </w:r>
      <w:r>
        <w:rPr>
          <w:rFonts w:ascii="Palatino Linotype" w:hAnsi="Palatino Linotype" w:cs="Arial"/>
          <w:b/>
        </w:rPr>
        <w:t>EL SUJETO OBLIGADO</w:t>
      </w:r>
      <w:r>
        <w:rPr>
          <w:rFonts w:ascii="Palatino Linotype" w:hAnsi="Palatino Linotype" w:cs="Arial"/>
        </w:rPr>
        <w:t xml:space="preserve"> remitió 82 expedientes técnicos de diversas obras; también lo es, que los expedientes entregados </w:t>
      </w:r>
      <w:r>
        <w:rPr>
          <w:rFonts w:ascii="Palatino Linotype" w:hAnsi="Palatino Linotype" w:cs="Arial"/>
        </w:rPr>
        <w:lastRenderedPageBreak/>
        <w:t xml:space="preserve">no corresponden a lo solicitado, puesto que el particular requirió los expedientes generados por cada obra pública, no así los expedientes técnicos, los cuales incluso fungen como anexos. </w:t>
      </w:r>
    </w:p>
    <w:p w:rsidR="00422796" w:rsidRDefault="008E2E55">
      <w:pPr>
        <w:spacing w:line="360" w:lineRule="auto"/>
        <w:jc w:val="both"/>
        <w:rPr>
          <w:rFonts w:ascii="Palatino Linotype" w:eastAsia="Calibri" w:hAnsi="Palatino Linotype" w:cs="Arial"/>
          <w:lang w:eastAsia="es-MX"/>
        </w:rPr>
      </w:pPr>
      <w:r>
        <w:rPr>
          <w:rFonts w:ascii="Palatino Linotype" w:hAnsi="Palatino Linotype" w:cs="Arial"/>
          <w:lang w:eastAsia="es-MX"/>
        </w:rPr>
        <w:t>Como cuestión preliminar, debe precisarse que</w:t>
      </w:r>
      <w:r>
        <w:rPr>
          <w:rFonts w:ascii="Palatino Linotype" w:hAnsi="Palatino Linotype"/>
          <w:b/>
        </w:rPr>
        <w:t xml:space="preserve"> </w:t>
      </w:r>
      <w:r>
        <w:rPr>
          <w:rFonts w:ascii="Palatino Linotype" w:hAnsi="Palatino Linotype" w:cs="Arial"/>
          <w:lang w:eastAsia="es-MX"/>
        </w:rPr>
        <w:t xml:space="preserve">de conformidad con lo establecido en </w:t>
      </w:r>
      <w:r>
        <w:rPr>
          <w:rFonts w:ascii="Palatino Linotype" w:eastAsia="Calibri" w:hAnsi="Palatino Linotype" w:cs="Arial"/>
          <w:lang w:eastAsia="es-MX"/>
        </w:rPr>
        <w:t>el artículo 31 de la Ley Orgánica Municipal del Estado de México, establece lo siguiente:</w:t>
      </w:r>
    </w:p>
    <w:p w:rsidR="00422796" w:rsidRDefault="00422796">
      <w:pPr>
        <w:ind w:left="709" w:right="709"/>
        <w:jc w:val="both"/>
        <w:rPr>
          <w:rFonts w:ascii="Palatino Linotype" w:hAnsi="Palatino Linotype"/>
          <w:i/>
          <w:sz w:val="22"/>
          <w:szCs w:val="22"/>
        </w:rPr>
      </w:pPr>
    </w:p>
    <w:p w:rsidR="00422796" w:rsidRDefault="008E2E55">
      <w:pPr>
        <w:ind w:left="709" w:right="709"/>
        <w:jc w:val="both"/>
        <w:rPr>
          <w:rFonts w:ascii="Palatino Linotype" w:hAnsi="Palatino Linotype"/>
          <w:i/>
          <w:sz w:val="22"/>
          <w:szCs w:val="22"/>
        </w:rPr>
      </w:pPr>
      <w:r>
        <w:rPr>
          <w:rFonts w:ascii="Palatino Linotype" w:hAnsi="Palatino Linotype"/>
          <w:b/>
          <w:i/>
          <w:sz w:val="22"/>
          <w:szCs w:val="22"/>
        </w:rPr>
        <w:t>Artículo 31</w:t>
      </w:r>
      <w:r>
        <w:rPr>
          <w:rFonts w:ascii="Palatino Linotype" w:hAnsi="Palatino Linotype"/>
          <w:i/>
          <w:sz w:val="22"/>
          <w:szCs w:val="22"/>
        </w:rPr>
        <w:t xml:space="preserve">.- </w:t>
      </w:r>
      <w:r>
        <w:rPr>
          <w:rFonts w:ascii="Palatino Linotype" w:hAnsi="Palatino Linotype"/>
          <w:b/>
          <w:i/>
          <w:sz w:val="22"/>
          <w:szCs w:val="22"/>
        </w:rPr>
        <w:t>Son atribuciones de los ayuntamientos</w:t>
      </w:r>
      <w:r>
        <w:rPr>
          <w:rFonts w:ascii="Palatino Linotype" w:hAnsi="Palatino Linotype"/>
          <w:i/>
          <w:sz w:val="22"/>
          <w:szCs w:val="22"/>
        </w:rPr>
        <w:t>:</w:t>
      </w:r>
    </w:p>
    <w:p w:rsidR="00422796" w:rsidRDefault="008E2E55">
      <w:pPr>
        <w:ind w:left="709" w:right="709"/>
        <w:jc w:val="both"/>
        <w:rPr>
          <w:rFonts w:ascii="Palatino Linotype" w:hAnsi="Palatino Linotype"/>
          <w:i/>
          <w:sz w:val="22"/>
          <w:szCs w:val="22"/>
        </w:rPr>
      </w:pPr>
      <w:r>
        <w:rPr>
          <w:rFonts w:ascii="Palatino Linotype" w:hAnsi="Palatino Linotype"/>
          <w:i/>
          <w:sz w:val="22"/>
          <w:szCs w:val="22"/>
        </w:rPr>
        <w:t>…</w:t>
      </w:r>
    </w:p>
    <w:p w:rsidR="00422796" w:rsidRDefault="008E2E55">
      <w:pPr>
        <w:ind w:left="709" w:right="709"/>
        <w:jc w:val="both"/>
        <w:rPr>
          <w:rFonts w:ascii="Palatino Linotype" w:hAnsi="Palatino Linotype"/>
          <w:i/>
          <w:sz w:val="22"/>
          <w:szCs w:val="22"/>
        </w:rPr>
      </w:pPr>
      <w:r>
        <w:rPr>
          <w:rFonts w:ascii="Palatino Linotype" w:hAnsi="Palatino Linotype"/>
          <w:b/>
          <w:i/>
          <w:sz w:val="22"/>
          <w:szCs w:val="22"/>
        </w:rPr>
        <w:t>VII</w:t>
      </w:r>
      <w:r>
        <w:rPr>
          <w:rFonts w:ascii="Palatino Linotype" w:hAnsi="Palatino Linotype"/>
          <w:i/>
          <w:sz w:val="22"/>
          <w:szCs w:val="22"/>
        </w:rPr>
        <w:t xml:space="preserve">. Convenir, </w:t>
      </w:r>
      <w:r>
        <w:rPr>
          <w:rFonts w:ascii="Palatino Linotype" w:hAnsi="Palatino Linotype"/>
          <w:b/>
          <w:i/>
          <w:sz w:val="22"/>
          <w:szCs w:val="22"/>
        </w:rPr>
        <w:t>contratar</w:t>
      </w:r>
      <w:r>
        <w:rPr>
          <w:rFonts w:ascii="Palatino Linotype" w:hAnsi="Palatino Linotype"/>
          <w:i/>
          <w:sz w:val="22"/>
          <w:szCs w:val="22"/>
        </w:rPr>
        <w:t xml:space="preserve"> o concesionar, en términos de ley, </w:t>
      </w:r>
      <w:r>
        <w:rPr>
          <w:rFonts w:ascii="Palatino Linotype" w:hAnsi="Palatino Linotype"/>
          <w:b/>
          <w:i/>
          <w:sz w:val="22"/>
          <w:szCs w:val="22"/>
        </w:rPr>
        <w:t>la ejecución de obras</w:t>
      </w:r>
      <w:r>
        <w:rPr>
          <w:rFonts w:ascii="Palatino Linotype" w:hAnsi="Palatino Linotype"/>
          <w:i/>
          <w:sz w:val="22"/>
          <w:szCs w:val="22"/>
        </w:rPr>
        <w:t xml:space="preserve"> y la prestación de servicios públicos, con el Estado, con otros municipios de la entidad o con particulares, recabando, cuando proceda, la autorización de la Legislatura del Estado;</w:t>
      </w:r>
    </w:p>
    <w:p w:rsidR="00422796" w:rsidRDefault="008E2E55">
      <w:pPr>
        <w:ind w:left="709" w:right="709"/>
        <w:jc w:val="both"/>
        <w:rPr>
          <w:rFonts w:ascii="Palatino Linotype" w:hAnsi="Palatino Linotype"/>
          <w:i/>
          <w:sz w:val="22"/>
          <w:szCs w:val="22"/>
        </w:rPr>
      </w:pPr>
      <w:r>
        <w:rPr>
          <w:rFonts w:ascii="Palatino Linotype" w:hAnsi="Palatino Linotype"/>
          <w:i/>
          <w:sz w:val="22"/>
          <w:szCs w:val="22"/>
        </w:rPr>
        <w:t>…</w:t>
      </w:r>
    </w:p>
    <w:p w:rsidR="00422796" w:rsidRDefault="008E2E55">
      <w:pPr>
        <w:ind w:left="709" w:right="709"/>
        <w:jc w:val="both"/>
        <w:rPr>
          <w:rFonts w:ascii="Palatino Linotype" w:hAnsi="Palatino Linotype"/>
          <w:i/>
          <w:sz w:val="22"/>
          <w:szCs w:val="22"/>
        </w:rPr>
      </w:pPr>
      <w:r>
        <w:rPr>
          <w:rFonts w:ascii="Palatino Linotype" w:hAnsi="Palatino Linotype"/>
          <w:b/>
          <w:i/>
          <w:sz w:val="22"/>
          <w:szCs w:val="22"/>
        </w:rPr>
        <w:t>VIII</w:t>
      </w:r>
      <w:r>
        <w:rPr>
          <w:rFonts w:ascii="Palatino Linotype" w:hAnsi="Palatino Linotype"/>
          <w:i/>
          <w:sz w:val="22"/>
          <w:szCs w:val="22"/>
        </w:rPr>
        <w:t xml:space="preserve">. Concluir las obras iniciadas por administraciones anteriores y dar mantenimiento a la infraestructura e instalaciones de los servicios públicos municipales; </w:t>
      </w:r>
    </w:p>
    <w:p w:rsidR="00422796" w:rsidRDefault="008E2E55">
      <w:pPr>
        <w:ind w:left="709" w:right="709"/>
        <w:jc w:val="both"/>
        <w:rPr>
          <w:rFonts w:ascii="Palatino Linotype" w:hAnsi="Palatino Linotype"/>
          <w:i/>
          <w:sz w:val="22"/>
          <w:szCs w:val="22"/>
        </w:rPr>
      </w:pPr>
      <w:r>
        <w:rPr>
          <w:rFonts w:ascii="Palatino Linotype" w:hAnsi="Palatino Linotype"/>
          <w:i/>
          <w:sz w:val="22"/>
          <w:szCs w:val="22"/>
        </w:rPr>
        <w:t>…</w:t>
      </w:r>
    </w:p>
    <w:p w:rsidR="00422796" w:rsidRDefault="008E2E55">
      <w:pPr>
        <w:ind w:left="709" w:right="709"/>
        <w:jc w:val="both"/>
        <w:rPr>
          <w:rFonts w:ascii="Palatino Linotype" w:hAnsi="Palatino Linotype" w:cs="Arial"/>
          <w:sz w:val="22"/>
          <w:szCs w:val="22"/>
          <w:lang w:eastAsia="es-MX"/>
        </w:rPr>
      </w:pPr>
      <w:r>
        <w:rPr>
          <w:rFonts w:ascii="Palatino Linotype" w:hAnsi="Palatino Linotype"/>
          <w:b/>
          <w:i/>
          <w:sz w:val="22"/>
          <w:szCs w:val="22"/>
        </w:rPr>
        <w:t>XVIII</w:t>
      </w:r>
      <w:r>
        <w:rPr>
          <w:rFonts w:ascii="Palatino Linotype" w:hAnsi="Palatino Linotype"/>
          <w:i/>
          <w:sz w:val="22"/>
          <w:szCs w:val="22"/>
        </w:rPr>
        <w:t xml:space="preserve">. </w:t>
      </w:r>
      <w:r>
        <w:rPr>
          <w:rFonts w:ascii="Palatino Linotype" w:hAnsi="Palatino Linotype"/>
          <w:b/>
          <w:i/>
          <w:sz w:val="22"/>
          <w:szCs w:val="22"/>
        </w:rPr>
        <w:t>Administrar su hacienda en términos de ley</w:t>
      </w:r>
      <w:r>
        <w:rPr>
          <w:rFonts w:ascii="Palatino Linotype" w:hAnsi="Palatino Linotype"/>
          <w:i/>
          <w:sz w:val="22"/>
          <w:szCs w:val="22"/>
        </w:rPr>
        <w:t xml:space="preserve">, y controlar a través del presidente y síndico la </w:t>
      </w:r>
      <w:r>
        <w:rPr>
          <w:rFonts w:ascii="Palatino Linotype" w:hAnsi="Palatino Linotype"/>
          <w:b/>
          <w:i/>
          <w:sz w:val="22"/>
          <w:szCs w:val="22"/>
        </w:rPr>
        <w:t>aplicación del presupuesto de egresos</w:t>
      </w:r>
      <w:r>
        <w:rPr>
          <w:rFonts w:ascii="Palatino Linotype" w:hAnsi="Palatino Linotype"/>
          <w:i/>
          <w:sz w:val="22"/>
          <w:szCs w:val="22"/>
        </w:rPr>
        <w:t xml:space="preserve"> del municipio;</w:t>
      </w:r>
      <w:r>
        <w:rPr>
          <w:rFonts w:ascii="Palatino Linotype" w:hAnsi="Palatino Linotype"/>
          <w:i/>
          <w:sz w:val="22"/>
          <w:szCs w:val="22"/>
        </w:rPr>
        <w:br/>
      </w:r>
      <w:r>
        <w:rPr>
          <w:rFonts w:ascii="Palatino Linotype" w:hAnsi="Palatino Linotype" w:cs="Arial"/>
          <w:sz w:val="22"/>
          <w:szCs w:val="22"/>
          <w:lang w:eastAsia="es-MX"/>
        </w:rPr>
        <w:t>(Énfasis añadido)</w:t>
      </w:r>
    </w:p>
    <w:p w:rsidR="00422796" w:rsidRDefault="00422796">
      <w:pPr>
        <w:spacing w:line="360" w:lineRule="auto"/>
        <w:ind w:left="709" w:right="709"/>
        <w:jc w:val="both"/>
        <w:rPr>
          <w:rFonts w:ascii="Palatino Linotype" w:hAnsi="Palatino Linotype" w:cs="Arial"/>
          <w:sz w:val="22"/>
          <w:szCs w:val="22"/>
          <w:lang w:eastAsia="es-MX"/>
        </w:rPr>
      </w:pPr>
    </w:p>
    <w:p w:rsidR="00422796" w:rsidRDefault="008E2E55">
      <w:pPr>
        <w:spacing w:line="360" w:lineRule="auto"/>
        <w:jc w:val="both"/>
        <w:rPr>
          <w:rFonts w:ascii="Palatino Linotype" w:hAnsi="Palatino Linotype" w:cs="Arial"/>
        </w:rPr>
      </w:pPr>
      <w:r>
        <w:rPr>
          <w:rFonts w:ascii="Palatino Linotype" w:hAnsi="Palatino Linotype" w:cs="Arial"/>
        </w:rPr>
        <w:t>Del precepto anteriormente citado se advierte que, los Ayuntamientos tienen la atribución de contratar la ejecución de obras, concluir aquellas que no fueron terminadas en administraciones anteriores y administrar los recursos obtenidos de su hacienda, en los términos de la legislación aplicable.</w:t>
      </w:r>
    </w:p>
    <w:p w:rsidR="00422796" w:rsidRDefault="008E2E55">
      <w:pPr>
        <w:spacing w:beforeAutospacing="1" w:afterAutospacing="1" w:line="360" w:lineRule="auto"/>
        <w:jc w:val="both"/>
        <w:rPr>
          <w:rFonts w:ascii="Palatino Linotype" w:hAnsi="Palatino Linotype" w:cs="Arial"/>
        </w:rPr>
      </w:pPr>
      <w:r>
        <w:rPr>
          <w:rFonts w:ascii="Palatino Linotype" w:hAnsi="Palatino Linotype" w:cs="Arial"/>
        </w:rPr>
        <w:t>En mérito de lo expuesto, esta Ponencia Resolutora considera conveniente hacer mención de lo establecido en los artículos 12.1 fracción III, 12.8 primer párrafo, 12.20, 12.21, 12.38, 12.60 y 12.64 del Reglamento del Libro Décimo Segundo del Código Administrativo del Estado de México, los cuales se transcriben a continuación:</w:t>
      </w:r>
    </w:p>
    <w:p w:rsidR="00422796" w:rsidRDefault="008E2E55">
      <w:pPr>
        <w:ind w:left="851" w:right="902"/>
        <w:jc w:val="both"/>
        <w:rPr>
          <w:rFonts w:ascii="Palatino Linotype" w:hAnsi="Palatino Linotype"/>
          <w:i/>
          <w:sz w:val="22"/>
          <w:szCs w:val="22"/>
          <w:lang w:eastAsia="es-MX"/>
        </w:rPr>
      </w:pPr>
      <w:r>
        <w:rPr>
          <w:rFonts w:ascii="Palatino Linotype" w:hAnsi="Palatino Linotype"/>
          <w:b/>
          <w:i/>
          <w:sz w:val="22"/>
          <w:szCs w:val="22"/>
          <w:lang w:eastAsia="es-MX"/>
        </w:rPr>
        <w:lastRenderedPageBreak/>
        <w:t>“Artículo 12.1.-</w:t>
      </w:r>
      <w:r>
        <w:rPr>
          <w:rFonts w:ascii="Palatino Linotype" w:hAnsi="Palatino Linotype"/>
          <w:i/>
          <w:sz w:val="22"/>
          <w:szCs w:val="22"/>
          <w:lang w:eastAsia="es-MX"/>
        </w:rPr>
        <w:t xml:space="preserve"> </w:t>
      </w:r>
      <w:r>
        <w:rPr>
          <w:rFonts w:ascii="Palatino Linotype" w:hAnsi="Palatino Linotype"/>
          <w:b/>
          <w:i/>
          <w:sz w:val="22"/>
          <w:szCs w:val="22"/>
          <w:u w:val="single"/>
          <w:lang w:eastAsia="es-MX"/>
        </w:rPr>
        <w:t>Este Libro tiene por objeto regular los actos relativos a la</w:t>
      </w:r>
      <w:r>
        <w:rPr>
          <w:rFonts w:ascii="Palatino Linotype" w:hAnsi="Palatino Linotype"/>
          <w:i/>
          <w:sz w:val="22"/>
          <w:szCs w:val="22"/>
          <w:lang w:eastAsia="es-MX"/>
        </w:rPr>
        <w:t xml:space="preserve"> planeación, programación, presupuestación, adjudicación, </w:t>
      </w:r>
      <w:r>
        <w:rPr>
          <w:rFonts w:ascii="Palatino Linotype" w:hAnsi="Palatino Linotype"/>
          <w:b/>
          <w:i/>
          <w:sz w:val="22"/>
          <w:szCs w:val="22"/>
          <w:u w:val="single"/>
          <w:lang w:eastAsia="es-MX"/>
        </w:rPr>
        <w:t>contratación</w:t>
      </w:r>
      <w:r>
        <w:rPr>
          <w:rFonts w:ascii="Palatino Linotype" w:hAnsi="Palatino Linotype"/>
          <w:i/>
          <w:sz w:val="22"/>
          <w:szCs w:val="22"/>
          <w:lang w:eastAsia="es-MX"/>
        </w:rPr>
        <w:t xml:space="preserve">, ejecución y control </w:t>
      </w:r>
      <w:r>
        <w:rPr>
          <w:rFonts w:ascii="Palatino Linotype" w:hAnsi="Palatino Linotype"/>
          <w:b/>
          <w:i/>
          <w:sz w:val="22"/>
          <w:szCs w:val="22"/>
          <w:u w:val="single"/>
          <w:lang w:eastAsia="es-MX"/>
        </w:rPr>
        <w:t>de la obra pública, así como los servicios relacionados con la misma</w:t>
      </w:r>
      <w:r>
        <w:rPr>
          <w:rFonts w:ascii="Palatino Linotype" w:hAnsi="Palatino Linotype"/>
          <w:i/>
          <w:sz w:val="22"/>
          <w:szCs w:val="22"/>
          <w:lang w:eastAsia="es-MX"/>
        </w:rPr>
        <w:t xml:space="preserve"> que, por sí o </w:t>
      </w:r>
      <w:r>
        <w:rPr>
          <w:rFonts w:ascii="Palatino Linotype" w:hAnsi="Palatino Linotype"/>
          <w:b/>
          <w:i/>
          <w:sz w:val="22"/>
          <w:szCs w:val="22"/>
          <w:u w:val="single"/>
          <w:lang w:eastAsia="es-MX"/>
        </w:rPr>
        <w:t>por conducto de terceros, realicen</w:t>
      </w:r>
      <w:r>
        <w:rPr>
          <w:rFonts w:ascii="Palatino Linotype" w:hAnsi="Palatino Linotype"/>
          <w:b/>
          <w:i/>
          <w:sz w:val="22"/>
          <w:szCs w:val="22"/>
          <w:lang w:eastAsia="es-MX"/>
        </w:rPr>
        <w:t>:</w:t>
      </w:r>
    </w:p>
    <w:p w:rsidR="00422796" w:rsidRDefault="008E2E55">
      <w:pPr>
        <w:ind w:left="851" w:right="902"/>
        <w:jc w:val="both"/>
        <w:rPr>
          <w:rFonts w:ascii="Palatino Linotype" w:hAnsi="Palatino Linotype"/>
          <w:i/>
          <w:sz w:val="22"/>
          <w:szCs w:val="22"/>
          <w:lang w:eastAsia="es-MX"/>
        </w:rPr>
      </w:pPr>
      <w:r>
        <w:rPr>
          <w:rFonts w:ascii="Palatino Linotype" w:hAnsi="Palatino Linotype" w:cs="Arial"/>
          <w:i/>
          <w:sz w:val="22"/>
          <w:szCs w:val="22"/>
          <w:lang w:eastAsia="es-MX"/>
        </w:rPr>
        <w:t>[…]</w:t>
      </w:r>
    </w:p>
    <w:p w:rsidR="00422796" w:rsidRDefault="008E2E55">
      <w:pPr>
        <w:ind w:left="851" w:right="902"/>
        <w:jc w:val="both"/>
        <w:rPr>
          <w:rFonts w:ascii="Palatino Linotype" w:hAnsi="Palatino Linotype"/>
          <w:b/>
          <w:i/>
          <w:sz w:val="22"/>
          <w:szCs w:val="22"/>
          <w:lang w:eastAsia="es-MX"/>
        </w:rPr>
      </w:pPr>
      <w:r>
        <w:rPr>
          <w:rFonts w:ascii="Palatino Linotype" w:hAnsi="Palatino Linotype"/>
          <w:b/>
          <w:i/>
          <w:sz w:val="22"/>
          <w:szCs w:val="22"/>
          <w:lang w:eastAsia="es-MX"/>
        </w:rPr>
        <w:t xml:space="preserve">III. </w:t>
      </w:r>
      <w:r>
        <w:rPr>
          <w:rFonts w:ascii="Palatino Linotype" w:hAnsi="Palatino Linotype"/>
          <w:b/>
          <w:i/>
          <w:sz w:val="22"/>
          <w:szCs w:val="22"/>
          <w:u w:val="single"/>
          <w:lang w:eastAsia="es-MX"/>
        </w:rPr>
        <w:t>Los ayuntamientos de los municipios del Estado</w:t>
      </w:r>
      <w:r>
        <w:rPr>
          <w:rFonts w:ascii="Palatino Linotype" w:hAnsi="Palatino Linotype"/>
          <w:i/>
          <w:sz w:val="22"/>
          <w:szCs w:val="22"/>
          <w:lang w:eastAsia="es-MX"/>
        </w:rPr>
        <w:t>;</w:t>
      </w:r>
    </w:p>
    <w:p w:rsidR="00422796" w:rsidRDefault="008E2E55">
      <w:pPr>
        <w:ind w:left="851" w:right="902"/>
        <w:jc w:val="both"/>
        <w:rPr>
          <w:rFonts w:ascii="Palatino Linotype" w:hAnsi="Palatino Linotype"/>
          <w:i/>
          <w:sz w:val="22"/>
          <w:szCs w:val="22"/>
          <w:lang w:eastAsia="es-MX"/>
        </w:rPr>
      </w:pPr>
      <w:r>
        <w:rPr>
          <w:rFonts w:ascii="Palatino Linotype" w:hAnsi="Palatino Linotype"/>
          <w:b/>
          <w:i/>
          <w:sz w:val="22"/>
          <w:szCs w:val="22"/>
          <w:lang w:eastAsia="es-MX"/>
        </w:rPr>
        <w:t>Artículo 12.8.-</w:t>
      </w:r>
      <w:r>
        <w:rPr>
          <w:rFonts w:ascii="Palatino Linotype" w:hAnsi="Palatino Linotype"/>
          <w:i/>
          <w:sz w:val="22"/>
          <w:szCs w:val="22"/>
          <w:lang w:eastAsia="es-MX"/>
        </w:rPr>
        <w:t xml:space="preserve"> </w:t>
      </w:r>
      <w:r>
        <w:rPr>
          <w:rFonts w:ascii="Palatino Linotype" w:hAnsi="Palatino Linotype"/>
          <w:b/>
          <w:i/>
          <w:sz w:val="22"/>
          <w:szCs w:val="22"/>
          <w:u w:val="single"/>
          <w:lang w:eastAsia="es-MX"/>
        </w:rPr>
        <w:t>Corresponde</w:t>
      </w:r>
      <w:r>
        <w:rPr>
          <w:rFonts w:ascii="Palatino Linotype" w:hAnsi="Palatino Linotype"/>
          <w:i/>
          <w:sz w:val="22"/>
          <w:szCs w:val="22"/>
          <w:lang w:eastAsia="es-MX"/>
        </w:rPr>
        <w:t xml:space="preserve"> a la Secretaría del Ramo y </w:t>
      </w:r>
      <w:r>
        <w:rPr>
          <w:rFonts w:ascii="Palatino Linotype" w:hAnsi="Palatino Linotype"/>
          <w:b/>
          <w:i/>
          <w:sz w:val="22"/>
          <w:szCs w:val="22"/>
          <w:u w:val="single"/>
          <w:lang w:eastAsia="es-MX"/>
        </w:rPr>
        <w:t>a los ayuntamientos</w:t>
      </w:r>
      <w:r>
        <w:rPr>
          <w:rFonts w:ascii="Palatino Linotype" w:hAnsi="Palatino Linotype"/>
          <w:i/>
          <w:sz w:val="22"/>
          <w:szCs w:val="22"/>
          <w:lang w:eastAsia="es-MX"/>
        </w:rPr>
        <w:t xml:space="preserve">, en el ámbito de sus respectivas competencias, </w:t>
      </w:r>
      <w:r>
        <w:rPr>
          <w:rFonts w:ascii="Palatino Linotype" w:hAnsi="Palatino Linotype"/>
          <w:b/>
          <w:i/>
          <w:sz w:val="22"/>
          <w:szCs w:val="22"/>
          <w:u w:val="single"/>
          <w:lang w:eastAsia="es-MX"/>
        </w:rPr>
        <w:t>ejecutar la obra pública, mediante contrato con terceros o por administración directa</w:t>
      </w:r>
      <w:r>
        <w:rPr>
          <w:rFonts w:ascii="Palatino Linotype" w:hAnsi="Palatino Linotype"/>
          <w:i/>
          <w:sz w:val="22"/>
          <w:szCs w:val="22"/>
          <w:lang w:eastAsia="es-MX"/>
        </w:rPr>
        <w:t>.</w:t>
      </w:r>
    </w:p>
    <w:p w:rsidR="00422796" w:rsidRDefault="008E2E55">
      <w:pPr>
        <w:ind w:left="851" w:right="902"/>
        <w:jc w:val="both"/>
        <w:rPr>
          <w:rFonts w:ascii="Palatino Linotype" w:hAnsi="Palatino Linotype"/>
          <w:i/>
          <w:sz w:val="22"/>
          <w:szCs w:val="22"/>
          <w:lang w:eastAsia="es-MX"/>
        </w:rPr>
      </w:pPr>
      <w:r>
        <w:rPr>
          <w:rFonts w:ascii="Palatino Linotype" w:hAnsi="Palatino Linotype"/>
          <w:i/>
          <w:sz w:val="22"/>
          <w:szCs w:val="22"/>
          <w:lang w:eastAsia="es-MX"/>
        </w:rPr>
        <w:t>[…]</w:t>
      </w:r>
    </w:p>
    <w:p w:rsidR="00422796" w:rsidRDefault="008E2E55">
      <w:pPr>
        <w:ind w:left="851" w:right="902"/>
        <w:jc w:val="both"/>
        <w:rPr>
          <w:rFonts w:ascii="Palatino Linotype" w:hAnsi="Palatino Linotype"/>
          <w:i/>
          <w:sz w:val="22"/>
          <w:szCs w:val="22"/>
          <w:lang w:eastAsia="es-MX"/>
        </w:rPr>
      </w:pPr>
      <w:r>
        <w:rPr>
          <w:rFonts w:ascii="Palatino Linotype" w:hAnsi="Palatino Linotype"/>
          <w:b/>
          <w:i/>
          <w:sz w:val="22"/>
          <w:szCs w:val="22"/>
          <w:lang w:eastAsia="es-MX"/>
        </w:rPr>
        <w:t>Artículo 12.20.-</w:t>
      </w:r>
      <w:r>
        <w:rPr>
          <w:rFonts w:ascii="Palatino Linotype" w:hAnsi="Palatino Linotype"/>
          <w:i/>
          <w:sz w:val="22"/>
          <w:szCs w:val="22"/>
          <w:lang w:eastAsia="es-MX"/>
        </w:rPr>
        <w:t xml:space="preserve"> </w:t>
      </w:r>
      <w:r>
        <w:rPr>
          <w:rFonts w:ascii="Palatino Linotype" w:hAnsi="Palatino Linotype"/>
          <w:b/>
          <w:i/>
          <w:sz w:val="22"/>
          <w:szCs w:val="22"/>
          <w:u w:val="single"/>
          <w:lang w:eastAsia="es-MX"/>
        </w:rPr>
        <w:t>Los contratos a que se refiere este Libro, se adjudicarán a través de licitaciones públicas</w:t>
      </w:r>
      <w:r>
        <w:rPr>
          <w:rFonts w:ascii="Palatino Linotype" w:hAnsi="Palatino Linotype"/>
          <w:i/>
          <w:sz w:val="22"/>
          <w:szCs w:val="22"/>
          <w:lang w:eastAsia="es-MX"/>
        </w:rPr>
        <w:t>, mediante convocatoria pública.</w:t>
      </w:r>
    </w:p>
    <w:p w:rsidR="00422796" w:rsidRDefault="008E2E55">
      <w:pPr>
        <w:ind w:left="851" w:right="902"/>
        <w:jc w:val="both"/>
        <w:rPr>
          <w:rFonts w:ascii="Palatino Linotype" w:hAnsi="Palatino Linotype"/>
          <w:b/>
          <w:i/>
          <w:sz w:val="22"/>
          <w:szCs w:val="22"/>
          <w:lang w:eastAsia="es-MX"/>
        </w:rPr>
      </w:pPr>
      <w:r>
        <w:rPr>
          <w:rFonts w:ascii="Palatino Linotype" w:hAnsi="Palatino Linotype"/>
          <w:b/>
          <w:i/>
          <w:sz w:val="22"/>
          <w:szCs w:val="22"/>
          <w:lang w:eastAsia="es-MX"/>
        </w:rPr>
        <w:t>Artículo 12.21.-</w:t>
      </w:r>
      <w:r>
        <w:rPr>
          <w:rFonts w:ascii="Palatino Linotype" w:hAnsi="Palatino Linotype"/>
          <w:i/>
          <w:sz w:val="22"/>
          <w:szCs w:val="22"/>
          <w:lang w:eastAsia="es-MX"/>
        </w:rPr>
        <w:t xml:space="preserve"> Las dependencias, entidades y </w:t>
      </w:r>
      <w:r>
        <w:rPr>
          <w:rFonts w:ascii="Palatino Linotype" w:hAnsi="Palatino Linotype"/>
          <w:b/>
          <w:i/>
          <w:sz w:val="22"/>
          <w:szCs w:val="22"/>
          <w:u w:val="single"/>
          <w:lang w:eastAsia="es-MX"/>
        </w:rPr>
        <w:t>ayuntamientos podrán adjudicar contratos para la ejecución de obra pública</w:t>
      </w:r>
      <w:r>
        <w:rPr>
          <w:rFonts w:ascii="Palatino Linotype" w:hAnsi="Palatino Linotype"/>
          <w:b/>
          <w:i/>
          <w:sz w:val="22"/>
          <w:szCs w:val="22"/>
          <w:lang w:eastAsia="es-MX"/>
        </w:rPr>
        <w:t xml:space="preserve"> </w:t>
      </w:r>
      <w:r>
        <w:rPr>
          <w:rFonts w:ascii="Palatino Linotype" w:hAnsi="Palatino Linotype"/>
          <w:i/>
          <w:sz w:val="22"/>
          <w:szCs w:val="22"/>
          <w:lang w:eastAsia="es-MX"/>
        </w:rPr>
        <w:t>o servicios relacionados con la misma mediante las excepciones al procedimiento de licitación siguientes</w:t>
      </w:r>
      <w:r>
        <w:rPr>
          <w:rFonts w:ascii="Palatino Linotype" w:hAnsi="Palatino Linotype"/>
          <w:b/>
          <w:i/>
          <w:sz w:val="22"/>
          <w:szCs w:val="22"/>
          <w:lang w:eastAsia="es-MX"/>
        </w:rPr>
        <w:t>:</w:t>
      </w:r>
    </w:p>
    <w:p w:rsidR="00422796" w:rsidRDefault="008E2E55">
      <w:pPr>
        <w:ind w:left="851" w:right="902"/>
        <w:jc w:val="both"/>
        <w:rPr>
          <w:rFonts w:ascii="Palatino Linotype" w:hAnsi="Palatino Linotype"/>
          <w:i/>
          <w:sz w:val="22"/>
          <w:szCs w:val="22"/>
          <w:lang w:eastAsia="es-MX"/>
        </w:rPr>
      </w:pPr>
      <w:r>
        <w:rPr>
          <w:rFonts w:ascii="Palatino Linotype" w:hAnsi="Palatino Linotype"/>
          <w:b/>
          <w:i/>
          <w:sz w:val="22"/>
          <w:szCs w:val="22"/>
          <w:lang w:eastAsia="es-MX"/>
        </w:rPr>
        <w:t xml:space="preserve">I. </w:t>
      </w:r>
      <w:r>
        <w:rPr>
          <w:rFonts w:ascii="Palatino Linotype" w:hAnsi="Palatino Linotype"/>
          <w:b/>
          <w:i/>
          <w:sz w:val="22"/>
          <w:szCs w:val="22"/>
          <w:u w:val="single"/>
          <w:lang w:eastAsia="es-MX"/>
        </w:rPr>
        <w:t>Invitación restringida</w:t>
      </w:r>
      <w:r>
        <w:rPr>
          <w:rFonts w:ascii="Palatino Linotype" w:hAnsi="Palatino Linotype"/>
          <w:i/>
          <w:sz w:val="22"/>
          <w:szCs w:val="22"/>
          <w:lang w:eastAsia="es-MX"/>
        </w:rPr>
        <w:t>;</w:t>
      </w:r>
    </w:p>
    <w:p w:rsidR="00422796" w:rsidRDefault="008E2E55">
      <w:pPr>
        <w:ind w:left="851" w:right="902"/>
        <w:jc w:val="both"/>
        <w:rPr>
          <w:rFonts w:ascii="Palatino Linotype" w:hAnsi="Palatino Linotype"/>
          <w:i/>
          <w:sz w:val="22"/>
          <w:szCs w:val="22"/>
          <w:lang w:eastAsia="es-MX"/>
        </w:rPr>
      </w:pPr>
      <w:r>
        <w:rPr>
          <w:rFonts w:ascii="Palatino Linotype" w:hAnsi="Palatino Linotype"/>
          <w:b/>
          <w:i/>
          <w:sz w:val="22"/>
          <w:szCs w:val="22"/>
          <w:lang w:eastAsia="es-MX"/>
        </w:rPr>
        <w:t xml:space="preserve">II. </w:t>
      </w:r>
      <w:r>
        <w:rPr>
          <w:rFonts w:ascii="Palatino Linotype" w:hAnsi="Palatino Linotype"/>
          <w:b/>
          <w:i/>
          <w:sz w:val="22"/>
          <w:szCs w:val="22"/>
          <w:u w:val="single"/>
          <w:lang w:eastAsia="es-MX"/>
        </w:rPr>
        <w:t>Adjudicación directa</w:t>
      </w:r>
      <w:r>
        <w:rPr>
          <w:rFonts w:ascii="Palatino Linotype" w:hAnsi="Palatino Linotype"/>
          <w:i/>
          <w:sz w:val="22"/>
          <w:szCs w:val="22"/>
          <w:lang w:eastAsia="es-MX"/>
        </w:rPr>
        <w:t>.</w:t>
      </w:r>
    </w:p>
    <w:p w:rsidR="00422796" w:rsidRDefault="008E2E55">
      <w:pPr>
        <w:ind w:left="851" w:right="902"/>
        <w:jc w:val="both"/>
        <w:rPr>
          <w:rFonts w:ascii="Palatino Linotype" w:hAnsi="Palatino Linotype"/>
          <w:b/>
          <w:i/>
          <w:sz w:val="22"/>
          <w:szCs w:val="22"/>
          <w:lang w:eastAsia="es-MX"/>
        </w:rPr>
      </w:pPr>
      <w:r>
        <w:rPr>
          <w:rFonts w:ascii="Palatino Linotype" w:hAnsi="Palatino Linotype"/>
          <w:b/>
          <w:i/>
          <w:sz w:val="22"/>
          <w:szCs w:val="22"/>
          <w:lang w:eastAsia="es-MX"/>
        </w:rPr>
        <w:t>Artículo 12.64.-</w:t>
      </w:r>
      <w:r>
        <w:rPr>
          <w:rFonts w:ascii="Palatino Linotype" w:hAnsi="Palatino Linotype"/>
          <w:i/>
          <w:sz w:val="22"/>
          <w:szCs w:val="22"/>
          <w:lang w:eastAsia="es-MX"/>
        </w:rPr>
        <w:t xml:space="preserve"> Las dependencias, entidades y </w:t>
      </w:r>
      <w:r>
        <w:rPr>
          <w:rFonts w:ascii="Palatino Linotype" w:hAnsi="Palatino Linotype"/>
          <w:b/>
          <w:i/>
          <w:sz w:val="22"/>
          <w:szCs w:val="22"/>
          <w:u w:val="single"/>
          <w:lang w:eastAsia="es-MX"/>
        </w:rPr>
        <w:t>ayuntamientos conservarán, archivando en forma ordenada la documentación comprobatoria de los actos y contratos materia de este Libro, cuando menos por el lapso de cinco años, contados a partir de la fecha de la recepción de los trabajos</w:t>
      </w:r>
      <w:r>
        <w:rPr>
          <w:rFonts w:ascii="Palatino Linotype" w:hAnsi="Palatino Linotype"/>
          <w:i/>
          <w:sz w:val="22"/>
          <w:szCs w:val="22"/>
          <w:lang w:eastAsia="es-MX"/>
        </w:rPr>
        <w:t>.</w:t>
      </w:r>
    </w:p>
    <w:p w:rsidR="00422796" w:rsidRDefault="008E2E55">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(Énfasis añadido)</w:t>
      </w:r>
    </w:p>
    <w:p w:rsidR="00422796" w:rsidRDefault="008E2E55">
      <w:pPr>
        <w:spacing w:beforeAutospacing="1" w:afterAutospacing="1" w:line="360" w:lineRule="auto"/>
        <w:jc w:val="both"/>
        <w:rPr>
          <w:rFonts w:ascii="Palatino Linotype" w:hAnsi="Palatino Linotype" w:cs="Arial"/>
          <w:szCs w:val="22"/>
          <w:lang w:eastAsia="es-MX"/>
        </w:rPr>
      </w:pPr>
      <w:r>
        <w:rPr>
          <w:rFonts w:ascii="Palatino Linotype" w:hAnsi="Palatino Linotype" w:cs="Arial"/>
          <w:szCs w:val="22"/>
          <w:lang w:eastAsia="es-MX"/>
        </w:rPr>
        <w:t xml:space="preserve">En ese tenor, la ejecución de obra se realiza a través de dos vías, la administración directa, o bien, mediante la contratación de terceros, ésta última forma, se desarrolla a través de los procedimientos de licitación correspondiente, esto es, a través de licitaciones </w:t>
      </w:r>
      <w:r>
        <w:rPr>
          <w:rFonts w:ascii="Palatino Linotype" w:hAnsi="Palatino Linotype" w:cs="Arial"/>
          <w:i/>
          <w:szCs w:val="22"/>
          <w:lang w:eastAsia="es-MX"/>
        </w:rPr>
        <w:t>per se</w:t>
      </w:r>
      <w:r>
        <w:rPr>
          <w:rFonts w:ascii="Palatino Linotype" w:hAnsi="Palatino Linotype" w:cs="Arial"/>
          <w:szCs w:val="22"/>
          <w:lang w:eastAsia="es-MX"/>
        </w:rPr>
        <w:t>, o de manera excepcional, mediante los procedimientos de invitación restringida y adjudicación directa, en cuyo caso, requiere la generación de diversa información, entre ella, de manera enunciativa más no limitativa, la referida en el artículo 92, fracción XXIX, de la Ley de la materia.</w:t>
      </w:r>
    </w:p>
    <w:p w:rsidR="00422796" w:rsidRDefault="008E2E55">
      <w:pPr>
        <w:spacing w:beforeAutospacing="1" w:afterAutospacing="1" w:line="360" w:lineRule="auto"/>
        <w:jc w:val="both"/>
        <w:rPr>
          <w:rFonts w:ascii="Palatino Linotype" w:hAnsi="Palatino Linotype" w:cs="Arial"/>
          <w:szCs w:val="22"/>
          <w:lang w:eastAsia="es-MX"/>
        </w:rPr>
      </w:pPr>
      <w:r>
        <w:rPr>
          <w:rFonts w:ascii="Palatino Linotype" w:hAnsi="Palatino Linotype" w:cs="Arial"/>
          <w:szCs w:val="22"/>
          <w:lang w:eastAsia="es-MX"/>
        </w:rPr>
        <w:lastRenderedPageBreak/>
        <w:t>Aunado a lo anterior, debe observarse lo establecido en los artículos 8, 214, 215, 217, 218 y 219 del Reglamento del Libro Décimo Segundo del Código Administrativo del Estado de México:</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i/>
          <w:sz w:val="22"/>
          <w:lang w:eastAsia="en-US"/>
        </w:rPr>
        <w:t>“</w:t>
      </w:r>
      <w:r>
        <w:rPr>
          <w:rFonts w:ascii="Palatino Linotype" w:eastAsia="Calibri" w:hAnsi="Palatino Linotype"/>
          <w:b/>
          <w:i/>
          <w:sz w:val="22"/>
          <w:lang w:eastAsia="en-US"/>
        </w:rPr>
        <w:t>Artículo 8.</w:t>
      </w:r>
      <w:r>
        <w:rPr>
          <w:rFonts w:ascii="Palatino Linotype" w:eastAsia="Calibri" w:hAnsi="Palatino Linotype"/>
          <w:i/>
          <w:sz w:val="22"/>
          <w:lang w:eastAsia="en-US"/>
        </w:rPr>
        <w:t>- Las dependencias, entidades y, en su caso</w:t>
      </w:r>
      <w:r>
        <w:rPr>
          <w:rFonts w:ascii="Palatino Linotype" w:eastAsia="Calibri" w:hAnsi="Palatino Linotype"/>
          <w:b/>
          <w:i/>
          <w:sz w:val="22"/>
          <w:u w:val="single"/>
          <w:lang w:eastAsia="en-US"/>
        </w:rPr>
        <w:t>, los ayuntamientos, al realizar la planeación de una obra pública o servicio, deberán considerar, además de lo previsto en el Libro, lo siguiente</w:t>
      </w:r>
      <w:r>
        <w:rPr>
          <w:rFonts w:ascii="Palatino Linotype" w:eastAsia="Calibri" w:hAnsi="Palatino Linotype"/>
          <w:i/>
          <w:sz w:val="22"/>
          <w:lang w:eastAsia="en-US"/>
        </w:rPr>
        <w:t>:</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I. </w:t>
      </w:r>
      <w:r>
        <w:rPr>
          <w:rFonts w:ascii="Palatino Linotype" w:eastAsia="Calibri" w:hAnsi="Palatino Linotype"/>
          <w:b/>
          <w:i/>
          <w:sz w:val="22"/>
          <w:u w:val="single"/>
          <w:lang w:eastAsia="en-US"/>
        </w:rPr>
        <w:t>Que los proyectos arquitectónicos y de ingeniería aseguren condiciones adecuadas de accesibilidad y libertad de movimiento para todas las personas</w:t>
      </w:r>
      <w:r>
        <w:rPr>
          <w:rFonts w:ascii="Palatino Linotype" w:eastAsia="Calibri" w:hAnsi="Palatino Linotype"/>
          <w:i/>
          <w:sz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II. </w:t>
      </w:r>
      <w:r>
        <w:rPr>
          <w:rFonts w:ascii="Palatino Linotype" w:eastAsia="Calibri" w:hAnsi="Palatino Linotype"/>
          <w:b/>
          <w:i/>
          <w:sz w:val="22"/>
          <w:u w:val="single"/>
          <w:lang w:eastAsia="en-US"/>
        </w:rPr>
        <w:t>La debida realización del análisis de factibilidad técnica, económica, social, ecológica, ambiental y, en su caso, los estudios de costo beneficio</w:t>
      </w:r>
      <w:r>
        <w:rPr>
          <w:rFonts w:ascii="Palatino Linotype" w:eastAsia="Calibri" w:hAnsi="Palatino Linotype"/>
          <w:i/>
          <w:sz w:val="22"/>
          <w:lang w:eastAsia="en-US"/>
        </w:rPr>
        <w:t xml:space="preserve">;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III.</w:t>
      </w:r>
      <w:r>
        <w:rPr>
          <w:rFonts w:ascii="Palatino Linotype" w:eastAsia="Calibri" w:hAnsi="Palatino Linotype"/>
          <w:i/>
          <w:sz w:val="22"/>
          <w:lang w:eastAsia="en-US"/>
        </w:rPr>
        <w:t xml:space="preserve"> La congruencia de la obra con las características ambientales, climáticas y geográficas de la región donde se realizará, así como </w:t>
      </w:r>
      <w:r>
        <w:rPr>
          <w:rFonts w:ascii="Palatino Linotype" w:eastAsia="Calibri" w:hAnsi="Palatino Linotype"/>
          <w:b/>
          <w:i/>
          <w:sz w:val="22"/>
          <w:u w:val="single"/>
          <w:lang w:eastAsia="en-US"/>
        </w:rPr>
        <w:t>los impactos previsibles</w:t>
      </w:r>
      <w:r>
        <w:rPr>
          <w:rFonts w:ascii="Palatino Linotype" w:eastAsia="Calibri" w:hAnsi="Palatino Linotype"/>
          <w:i/>
          <w:sz w:val="22"/>
          <w:lang w:eastAsia="en-US"/>
        </w:rPr>
        <w:t xml:space="preserve">;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IV. </w:t>
      </w:r>
      <w:r>
        <w:rPr>
          <w:rFonts w:ascii="Palatino Linotype" w:eastAsia="Calibri" w:hAnsi="Palatino Linotype"/>
          <w:b/>
          <w:i/>
          <w:sz w:val="22"/>
          <w:u w:val="single"/>
          <w:lang w:eastAsia="en-US"/>
        </w:rPr>
        <w:t>La determinación de la forma de ejecución, por contrato o administración directa</w:t>
      </w:r>
      <w:r>
        <w:rPr>
          <w:rFonts w:ascii="Palatino Linotype" w:eastAsia="Calibri" w:hAnsi="Palatino Linotype"/>
          <w:i/>
          <w:sz w:val="22"/>
          <w:lang w:eastAsia="en-US"/>
        </w:rPr>
        <w:t xml:space="preserve">. En el caso de contrato, precisar las áreas responsables de la contratación y la supervisión de los trabajos; y en el caso de obras por administración directa, de los responsables de las áreas de ejecución;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V. </w:t>
      </w:r>
      <w:r>
        <w:rPr>
          <w:rFonts w:ascii="Palatino Linotype" w:eastAsia="Calibri" w:hAnsi="Palatino Linotype"/>
          <w:b/>
          <w:i/>
          <w:sz w:val="22"/>
          <w:u w:val="single"/>
          <w:lang w:eastAsia="en-US"/>
        </w:rPr>
        <w:t>La coordinación con otras dependencias, entidades o ayuntamientos que realicen trabajos en el lugar de ejecución</w:t>
      </w:r>
      <w:r>
        <w:rPr>
          <w:rFonts w:ascii="Palatino Linotype" w:eastAsia="Calibri" w:hAnsi="Palatino Linotype"/>
          <w:i/>
          <w:sz w:val="22"/>
          <w:lang w:eastAsia="en-US"/>
        </w:rPr>
        <w:t>, o bien, que cuenten con instalaciones en operación, con el propósito de identificar aquellos trabajos que pudieran ocasionar daños, interferencias o suspensiones de los servicios públicos. Para tal efecto</w:t>
      </w:r>
      <w:r>
        <w:rPr>
          <w:rFonts w:ascii="Palatino Linotype" w:eastAsia="Calibri" w:hAnsi="Palatino Linotype"/>
          <w:b/>
          <w:i/>
          <w:sz w:val="22"/>
          <w:u w:val="single"/>
          <w:lang w:eastAsia="en-US"/>
        </w:rPr>
        <w:t>, las dependencias o entidades y, en su caso, ayuntamientos, delimitarán los alcances de los trabajos que a cada una de ellas corresponda realizar</w:t>
      </w:r>
      <w:r>
        <w:rPr>
          <w:rFonts w:ascii="Palatino Linotype" w:eastAsia="Calibri" w:hAnsi="Palatino Linotype"/>
          <w:i/>
          <w:sz w:val="22"/>
          <w:lang w:eastAsia="en-US"/>
        </w:rPr>
        <w:t xml:space="preserve">. El programa de ejecución preverá una secuencia de actividades, que evite la duplicidad o repetición de acciones y trabajos;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VI. </w:t>
      </w:r>
      <w:r>
        <w:rPr>
          <w:rFonts w:ascii="Palatino Linotype" w:eastAsia="Calibri" w:hAnsi="Palatino Linotype"/>
          <w:b/>
          <w:i/>
          <w:sz w:val="22"/>
          <w:u w:val="single"/>
          <w:lang w:eastAsia="en-US"/>
        </w:rPr>
        <w:t>La determinación de los materiales, productos, equipos y procedimientos de construcción que satisfagan los requerimientos técnicos y económicos del proyecto</w:t>
      </w:r>
      <w:r>
        <w:rPr>
          <w:rFonts w:ascii="Palatino Linotype" w:eastAsia="Calibri" w:hAnsi="Palatino Linotype"/>
          <w:i/>
          <w:sz w:val="22"/>
          <w:lang w:eastAsia="en-US"/>
        </w:rPr>
        <w:t xml:space="preserve">, considerando preferentemente el empleo de los recursos humanos y los materiales propios de la región donde se ubiquen las obras;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VII. </w:t>
      </w:r>
      <w:r>
        <w:rPr>
          <w:rFonts w:ascii="Palatino Linotype" w:eastAsia="Calibri" w:hAnsi="Palatino Linotype"/>
          <w:b/>
          <w:i/>
          <w:sz w:val="22"/>
          <w:u w:val="single"/>
          <w:lang w:eastAsia="en-US"/>
        </w:rPr>
        <w:t>El análisis de los avances tecnológicos y la determinación de los criterios de tecnología aplicables en función de la naturaleza de la obra pública</w:t>
      </w:r>
      <w:r>
        <w:rPr>
          <w:rFonts w:ascii="Palatino Linotype" w:eastAsia="Calibri" w:hAnsi="Palatino Linotype"/>
          <w:b/>
          <w:i/>
          <w:sz w:val="22"/>
          <w:lang w:eastAsia="en-US"/>
        </w:rPr>
        <w:t xml:space="preserve"> </w:t>
      </w:r>
      <w:r>
        <w:rPr>
          <w:rFonts w:ascii="Palatino Linotype" w:eastAsia="Calibri" w:hAnsi="Palatino Linotype"/>
          <w:i/>
          <w:sz w:val="22"/>
          <w:lang w:eastAsia="en-US"/>
        </w:rPr>
        <w:t xml:space="preserve">y los servicios que satisfagan los requerimientos técnicos, económicos, ambientales y culturales;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i/>
          <w:sz w:val="22"/>
          <w:lang w:eastAsia="en-US"/>
        </w:rPr>
        <w:lastRenderedPageBreak/>
        <w:t>VIII. La definición de las obras principales, de infraestructura; de las complementarias, inducidas y accesorias; y de las acciones requeridas para ponerlas en servicio e incorporarlas en el programa general de la obra;</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IX. </w:t>
      </w:r>
      <w:r>
        <w:rPr>
          <w:rFonts w:ascii="Palatino Linotype" w:eastAsia="Calibri" w:hAnsi="Palatino Linotype"/>
          <w:b/>
          <w:i/>
          <w:sz w:val="22"/>
          <w:u w:val="single"/>
          <w:lang w:eastAsia="en-US"/>
        </w:rPr>
        <w:t>La determinación del presupuesto total de la obra</w:t>
      </w:r>
      <w:r>
        <w:rPr>
          <w:rFonts w:ascii="Palatino Linotype" w:eastAsia="Calibri" w:hAnsi="Palatino Linotype"/>
          <w:i/>
          <w:sz w:val="22"/>
          <w:lang w:eastAsia="en-US"/>
        </w:rPr>
        <w:t xml:space="preserve"> y, en su caso, por ejercicios presupuéstales;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X. </w:t>
      </w:r>
      <w:r>
        <w:rPr>
          <w:rFonts w:ascii="Palatino Linotype" w:eastAsia="Calibri" w:hAnsi="Palatino Linotype"/>
          <w:b/>
          <w:i/>
          <w:sz w:val="22"/>
          <w:u w:val="single"/>
          <w:lang w:eastAsia="en-US"/>
        </w:rPr>
        <w:t>La determinación de acciones de adquisición</w:t>
      </w:r>
      <w:r>
        <w:rPr>
          <w:rFonts w:ascii="Palatino Linotype" w:eastAsia="Calibri" w:hAnsi="Palatino Linotype"/>
          <w:i/>
          <w:sz w:val="22"/>
          <w:lang w:eastAsia="en-US"/>
        </w:rPr>
        <w:t xml:space="preserve"> y, en su caso, de regularización de la tenencia de la tierra; y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XI.</w:t>
      </w:r>
      <w:r>
        <w:rPr>
          <w:rFonts w:ascii="Palatino Linotype" w:eastAsia="Calibri" w:hAnsi="Palatino Linotype"/>
          <w:i/>
          <w:sz w:val="22"/>
          <w:lang w:eastAsia="en-US"/>
        </w:rPr>
        <w:t xml:space="preserve"> En el caso de las obras por administración directa</w:t>
      </w:r>
      <w:r>
        <w:rPr>
          <w:rFonts w:ascii="Palatino Linotype" w:eastAsia="Calibri" w:hAnsi="Palatino Linotype"/>
          <w:b/>
          <w:i/>
          <w:sz w:val="22"/>
          <w:u w:val="single"/>
          <w:lang w:eastAsia="en-US"/>
        </w:rPr>
        <w:t>, la evaluación de la disponibilidad de personal</w:t>
      </w:r>
      <w:r>
        <w:rPr>
          <w:rFonts w:ascii="Palatino Linotype" w:eastAsia="Calibri" w:hAnsi="Palatino Linotype"/>
          <w:i/>
          <w:sz w:val="22"/>
          <w:lang w:eastAsia="en-US"/>
        </w:rPr>
        <w:t xml:space="preserve"> en las áreas responsables de la ejecución, así como de la maquinaria y equipo, que determine la capacidad real para ejecutar la obra con recursos propios</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Artículo 214</w:t>
      </w:r>
      <w:r>
        <w:rPr>
          <w:rFonts w:ascii="Palatino Linotype" w:eastAsia="Calibri" w:hAnsi="Palatino Linotype"/>
          <w:i/>
          <w:sz w:val="22"/>
          <w:lang w:eastAsia="en-US"/>
        </w:rPr>
        <w:t xml:space="preserve">.- </w:t>
      </w:r>
      <w:r>
        <w:rPr>
          <w:rFonts w:ascii="Palatino Linotype" w:eastAsia="Calibri" w:hAnsi="Palatino Linotype"/>
          <w:b/>
          <w:i/>
          <w:sz w:val="22"/>
          <w:u w:val="single"/>
          <w:lang w:eastAsia="en-US"/>
        </w:rPr>
        <w:t>La ejecución de los trabajos deberá realizarse en el orden y tiempo previstos</w:t>
      </w:r>
      <w:r>
        <w:rPr>
          <w:rFonts w:ascii="Palatino Linotype" w:eastAsia="Calibri" w:hAnsi="Palatino Linotype"/>
          <w:i/>
          <w:sz w:val="22"/>
          <w:lang w:eastAsia="en-US"/>
        </w:rPr>
        <w:t xml:space="preserve"> en los programas pactados en el contrato.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Artículo 215.-</w:t>
      </w:r>
      <w:r>
        <w:rPr>
          <w:rFonts w:ascii="Palatino Linotype" w:eastAsia="Calibri" w:hAnsi="Palatino Linotype"/>
          <w:i/>
          <w:sz w:val="22"/>
          <w:lang w:eastAsia="en-US"/>
        </w:rPr>
        <w:t xml:space="preserve"> </w:t>
      </w:r>
      <w:r>
        <w:rPr>
          <w:rFonts w:ascii="Palatino Linotype" w:eastAsia="Calibri" w:hAnsi="Palatino Linotype"/>
          <w:b/>
          <w:i/>
          <w:sz w:val="22"/>
          <w:u w:val="single"/>
          <w:lang w:eastAsia="en-US"/>
        </w:rPr>
        <w:t>Para dar inicio a la ejecución de los trabajos, el contratante nombrará al servidor público residente de obra</w:t>
      </w:r>
      <w:r>
        <w:rPr>
          <w:rFonts w:ascii="Palatino Linotype" w:eastAsia="Calibri" w:hAnsi="Palatino Linotype"/>
          <w:i/>
          <w:sz w:val="22"/>
          <w:lang w:eastAsia="en-US"/>
        </w:rPr>
        <w:t>; y el contratista, al superintendente de la obra que lo representará. Cuando la supervisión sea contratada con terceras personas, es conveniente que participe desde el fallo del procedimiento de adjudicación del contrato de obra.</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Artículo 217.- Las funciones de la residencia de obra serán</w:t>
      </w:r>
      <w:r>
        <w:rPr>
          <w:rFonts w:ascii="Palatino Linotype" w:eastAsia="Calibri" w:hAnsi="Palatino Linotype"/>
          <w:i/>
          <w:sz w:val="22"/>
          <w:lang w:eastAsia="en-US"/>
        </w:rPr>
        <w:t>:</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I. </w:t>
      </w:r>
      <w:r>
        <w:rPr>
          <w:rFonts w:ascii="Palatino Linotype" w:eastAsia="Calibri" w:hAnsi="Palatino Linotype"/>
          <w:b/>
          <w:i/>
          <w:sz w:val="22"/>
          <w:u w:val="single"/>
          <w:lang w:eastAsia="en-US"/>
        </w:rPr>
        <w:t>Vigilar que se cuente con el oficio de autorización de los recursos presupuestales</w:t>
      </w:r>
      <w:r>
        <w:rPr>
          <w:rFonts w:ascii="Palatino Linotype" w:eastAsia="Calibri" w:hAnsi="Palatino Linotype"/>
          <w:i/>
          <w:sz w:val="22"/>
          <w:lang w:eastAsia="en-US"/>
        </w:rPr>
        <w:t xml:space="preserve">;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II.</w:t>
      </w:r>
      <w:r>
        <w:rPr>
          <w:rFonts w:ascii="Palatino Linotype" w:eastAsia="Calibri" w:hAnsi="Palatino Linotype"/>
          <w:i/>
          <w:sz w:val="22"/>
          <w:lang w:eastAsia="en-US"/>
        </w:rPr>
        <w:t xml:space="preserve"> </w:t>
      </w:r>
      <w:r>
        <w:rPr>
          <w:rFonts w:ascii="Palatino Linotype" w:eastAsia="Calibri" w:hAnsi="Palatino Linotype"/>
          <w:b/>
          <w:i/>
          <w:sz w:val="22"/>
          <w:u w:val="single"/>
          <w:lang w:eastAsia="en-US"/>
        </w:rPr>
        <w:t>Verificar que, antes del inicio de la obra, se cuente con los proyectos arquitectónicos y de ingeniería, especificaciones de calidad de los materiales y especificaciones generales y particulares de construcción</w:t>
      </w:r>
      <w:r>
        <w:rPr>
          <w:rFonts w:ascii="Palatino Linotype" w:eastAsia="Calibri" w:hAnsi="Palatino Linotype"/>
          <w:i/>
          <w:sz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III. </w:t>
      </w:r>
      <w:r>
        <w:rPr>
          <w:rFonts w:ascii="Palatino Linotype" w:eastAsia="Calibri" w:hAnsi="Palatino Linotype"/>
          <w:b/>
          <w:i/>
          <w:sz w:val="22"/>
          <w:u w:val="single"/>
          <w:lang w:eastAsia="en-US"/>
        </w:rPr>
        <w:t>Abrir la bitácora de obra</w:t>
      </w:r>
      <w:r>
        <w:rPr>
          <w:rFonts w:ascii="Palatino Linotype" w:eastAsia="Calibri" w:hAnsi="Palatino Linotype"/>
          <w:i/>
          <w:sz w:val="22"/>
          <w:lang w:eastAsia="en-US"/>
        </w:rPr>
        <w:t xml:space="preserve">, la cual quedará bajo su resguardo, y por medio de ella dar las instrucciones pertinentes, y recibir las solicitudes que le formule la supervisión y el contratista;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IV. </w:t>
      </w:r>
      <w:r>
        <w:rPr>
          <w:rFonts w:ascii="Palatino Linotype" w:eastAsia="Calibri" w:hAnsi="Palatino Linotype"/>
          <w:b/>
          <w:i/>
          <w:sz w:val="22"/>
          <w:u w:val="single"/>
          <w:lang w:eastAsia="en-US"/>
        </w:rPr>
        <w:t>Supervisar, revisar, vigilar y controlar los trabajos</w:t>
      </w:r>
      <w:r>
        <w:rPr>
          <w:rFonts w:ascii="Palatino Linotype" w:eastAsia="Calibri" w:hAnsi="Palatino Linotype"/>
          <w:i/>
          <w:sz w:val="22"/>
          <w:lang w:eastAsia="en-US"/>
        </w:rPr>
        <w:t xml:space="preserve">;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V. </w:t>
      </w:r>
      <w:r>
        <w:rPr>
          <w:rFonts w:ascii="Palatino Linotype" w:eastAsia="Calibri" w:hAnsi="Palatino Linotype"/>
          <w:b/>
          <w:i/>
          <w:sz w:val="22"/>
          <w:u w:val="single"/>
          <w:lang w:eastAsia="en-US"/>
        </w:rPr>
        <w:t>Vigilar y controlar el desarrollo de los trabajos</w:t>
      </w:r>
      <w:r>
        <w:rPr>
          <w:rFonts w:ascii="Palatino Linotype" w:eastAsia="Calibri" w:hAnsi="Palatino Linotype"/>
          <w:i/>
          <w:sz w:val="22"/>
          <w:lang w:eastAsia="en-US"/>
        </w:rPr>
        <w:t xml:space="preserve">, en sus aspectos de tiempo, calidad, costo y apego a los programas de ejecución de los trabajos de acuerdo con los avances, recursos asignados, rendimientos y consumos pactados en el contrato;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Artículo 218.- </w:t>
      </w:r>
      <w:r>
        <w:rPr>
          <w:rFonts w:ascii="Palatino Linotype" w:eastAsia="Calibri" w:hAnsi="Palatino Linotype"/>
          <w:b/>
          <w:i/>
          <w:sz w:val="22"/>
          <w:u w:val="single"/>
          <w:lang w:eastAsia="en-US"/>
        </w:rPr>
        <w:t>La supervisión es el auxiliar de la residencia de obra</w:t>
      </w:r>
      <w:r>
        <w:rPr>
          <w:rFonts w:ascii="Palatino Linotype" w:eastAsia="Calibri" w:hAnsi="Palatino Linotype"/>
          <w:i/>
          <w:sz w:val="22"/>
          <w:lang w:eastAsia="en-US"/>
        </w:rPr>
        <w:t>. Tendrá las funciones que se señalan en este Reglamento, así como las que, en su caso, se pacten en el contrato de supervisión. Para tal función se deberá contar con la certificación de conocimientos y habilidades en la materia.</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Artículo 219.- </w:t>
      </w:r>
      <w:r>
        <w:rPr>
          <w:rFonts w:ascii="Palatino Linotype" w:eastAsia="Calibri" w:hAnsi="Palatino Linotype"/>
          <w:b/>
          <w:i/>
          <w:sz w:val="22"/>
          <w:u w:val="single"/>
          <w:lang w:eastAsia="en-US"/>
        </w:rPr>
        <w:t>Las funciones de la supervisión serán</w:t>
      </w:r>
      <w:r>
        <w:rPr>
          <w:rFonts w:ascii="Palatino Linotype" w:eastAsia="Calibri" w:hAnsi="Palatino Linotype"/>
          <w:i/>
          <w:sz w:val="22"/>
          <w:lang w:eastAsia="en-US"/>
        </w:rPr>
        <w:t xml:space="preserve">: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lastRenderedPageBreak/>
        <w:t xml:space="preserve">I. </w:t>
      </w:r>
      <w:r>
        <w:rPr>
          <w:rFonts w:ascii="Palatino Linotype" w:eastAsia="Calibri" w:hAnsi="Palatino Linotype"/>
          <w:b/>
          <w:i/>
          <w:sz w:val="22"/>
          <w:u w:val="single"/>
          <w:lang w:eastAsia="en-US"/>
        </w:rPr>
        <w:t>Revisar, antes del inicio de los trabajos, la información que le proporcione la residencia de obra respecto del contrato</w:t>
      </w:r>
      <w:r>
        <w:rPr>
          <w:rFonts w:ascii="Palatino Linotype" w:eastAsia="Calibri" w:hAnsi="Palatino Linotype"/>
          <w:i/>
          <w:sz w:val="22"/>
          <w:lang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i/>
          <w:sz w:val="22"/>
          <w:lang w:eastAsia="en-US"/>
        </w:rPr>
        <w:t>[…]</w:t>
      </w:r>
    </w:p>
    <w:p w:rsidR="00422796" w:rsidRDefault="008E2E55">
      <w:pPr>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 xml:space="preserve">III. </w:t>
      </w:r>
      <w:r>
        <w:rPr>
          <w:rFonts w:ascii="Palatino Linotype" w:eastAsia="Calibri" w:hAnsi="Palatino Linotype"/>
          <w:b/>
          <w:i/>
          <w:sz w:val="22"/>
          <w:u w:val="single"/>
          <w:lang w:eastAsia="en-US"/>
        </w:rPr>
        <w:t>Integrar y mantener en orden y actualizado el archivo y documentación derivada de la realización de los trabajos, el que contendrá, entre otros</w:t>
      </w:r>
      <w:r>
        <w:rPr>
          <w:rFonts w:ascii="Palatino Linotype" w:eastAsia="Calibri" w:hAnsi="Palatino Linotype"/>
          <w:i/>
          <w:sz w:val="22"/>
          <w:lang w:eastAsia="en-US"/>
        </w:rPr>
        <w:t xml:space="preserve">: </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a.</w:t>
      </w:r>
      <w:r>
        <w:rPr>
          <w:rFonts w:ascii="Palatino Linotype" w:eastAsia="Calibri" w:hAnsi="Palatino Linotype"/>
          <w:b/>
          <w:i/>
          <w:sz w:val="22"/>
          <w:lang w:eastAsia="en-US"/>
        </w:rPr>
        <w:tab/>
      </w:r>
      <w:r>
        <w:rPr>
          <w:rFonts w:ascii="Palatino Linotype" w:eastAsia="Calibri" w:hAnsi="Palatino Linotype"/>
          <w:i/>
          <w:sz w:val="22"/>
          <w:lang w:eastAsia="en-US"/>
        </w:rPr>
        <w:t xml:space="preserve">Contrato, convenios, programas de obra y suministros, números generadores, cantidades de obra realizadas y faltantes de ejecutar y presupuesto; </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i/>
          <w:sz w:val="22"/>
          <w:lang w:eastAsia="en-US"/>
        </w:rPr>
        <w:t>b.</w:t>
      </w:r>
      <w:r>
        <w:rPr>
          <w:rFonts w:ascii="Palatino Linotype" w:eastAsia="Calibri" w:hAnsi="Palatino Linotype"/>
          <w:i/>
          <w:sz w:val="22"/>
          <w:lang w:eastAsia="en-US"/>
        </w:rPr>
        <w:tab/>
        <w:t>Permisos, licencias y autorizaciones;</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i/>
          <w:sz w:val="22"/>
          <w:lang w:eastAsia="en-US"/>
        </w:rPr>
        <w:t>c.</w:t>
      </w:r>
      <w:r>
        <w:rPr>
          <w:rFonts w:ascii="Palatino Linotype" w:eastAsia="Calibri" w:hAnsi="Palatino Linotype"/>
          <w:i/>
          <w:sz w:val="22"/>
          <w:lang w:eastAsia="en-US"/>
        </w:rPr>
        <w:tab/>
        <w:t>Especificaciones de construcción y procedimientos constructivos;</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i/>
          <w:sz w:val="22"/>
          <w:lang w:eastAsia="en-US"/>
        </w:rPr>
        <w:t>d.</w:t>
      </w:r>
      <w:r>
        <w:rPr>
          <w:rFonts w:ascii="Palatino Linotype" w:eastAsia="Calibri" w:hAnsi="Palatino Linotype"/>
          <w:i/>
          <w:sz w:val="22"/>
          <w:lang w:eastAsia="en-US"/>
        </w:rPr>
        <w:tab/>
        <w:t xml:space="preserve">Registro y control de la bitácora y de las minutas de las juntas de obra; </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e.</w:t>
      </w:r>
      <w:r>
        <w:rPr>
          <w:rFonts w:ascii="Palatino Linotype" w:eastAsia="Calibri" w:hAnsi="Palatino Linotype"/>
          <w:i/>
          <w:sz w:val="22"/>
          <w:lang w:eastAsia="en-US"/>
        </w:rPr>
        <w:tab/>
        <w:t xml:space="preserve">Copia de planos y sus modificaciones; </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f.</w:t>
      </w:r>
      <w:r>
        <w:rPr>
          <w:rFonts w:ascii="Palatino Linotype" w:eastAsia="Calibri" w:hAnsi="Palatino Linotype"/>
          <w:b/>
          <w:i/>
          <w:sz w:val="22"/>
          <w:lang w:eastAsia="en-US"/>
        </w:rPr>
        <w:tab/>
      </w:r>
      <w:r>
        <w:rPr>
          <w:rFonts w:ascii="Palatino Linotype" w:eastAsia="Calibri" w:hAnsi="Palatino Linotype"/>
          <w:i/>
          <w:sz w:val="22"/>
          <w:lang w:eastAsia="en-US"/>
        </w:rPr>
        <w:t>Matrices de precios unitarios o cédula de avances y pagos programados, según corresponda;</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g.</w:t>
      </w:r>
      <w:r>
        <w:rPr>
          <w:rFonts w:ascii="Palatino Linotype" w:eastAsia="Calibri" w:hAnsi="Palatino Linotype"/>
          <w:i/>
          <w:sz w:val="22"/>
          <w:lang w:eastAsia="en-US"/>
        </w:rPr>
        <w:tab/>
        <w:t xml:space="preserve">Estimaciones; </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h.</w:t>
      </w:r>
      <w:r>
        <w:rPr>
          <w:rFonts w:ascii="Palatino Linotype" w:eastAsia="Calibri" w:hAnsi="Palatino Linotype"/>
          <w:b/>
          <w:i/>
          <w:sz w:val="22"/>
          <w:lang w:eastAsia="en-US"/>
        </w:rPr>
        <w:tab/>
      </w:r>
      <w:r>
        <w:rPr>
          <w:rFonts w:ascii="Palatino Linotype" w:eastAsia="Calibri" w:hAnsi="Palatino Linotype"/>
          <w:i/>
          <w:sz w:val="22"/>
          <w:lang w:eastAsia="en-US"/>
        </w:rPr>
        <w:t>Reportes de laboratorio y resultado de las pruebas, y</w:t>
      </w:r>
    </w:p>
    <w:p w:rsidR="00422796" w:rsidRDefault="008E2E55">
      <w:pPr>
        <w:tabs>
          <w:tab w:val="left" w:pos="1701"/>
        </w:tabs>
        <w:ind w:left="851" w:right="902"/>
        <w:jc w:val="both"/>
        <w:rPr>
          <w:rFonts w:ascii="Palatino Linotype" w:eastAsia="Calibri" w:hAnsi="Palatino Linotype"/>
          <w:i/>
          <w:sz w:val="22"/>
          <w:lang w:eastAsia="en-US"/>
        </w:rPr>
      </w:pPr>
      <w:r>
        <w:rPr>
          <w:rFonts w:ascii="Palatino Linotype" w:eastAsia="Calibri" w:hAnsi="Palatino Linotype"/>
          <w:b/>
          <w:i/>
          <w:sz w:val="22"/>
          <w:lang w:eastAsia="en-US"/>
        </w:rPr>
        <w:t>i</w:t>
      </w:r>
      <w:r>
        <w:rPr>
          <w:rFonts w:ascii="Palatino Linotype" w:eastAsia="Calibri" w:hAnsi="Palatino Linotype"/>
          <w:i/>
          <w:sz w:val="22"/>
          <w:lang w:eastAsia="en-US"/>
        </w:rPr>
        <w:t>.</w:t>
      </w:r>
      <w:r>
        <w:rPr>
          <w:rFonts w:ascii="Palatino Linotype" w:eastAsia="Calibri" w:hAnsi="Palatino Linotype"/>
          <w:i/>
          <w:sz w:val="22"/>
          <w:lang w:eastAsia="en-US"/>
        </w:rPr>
        <w:tab/>
        <w:t>Manuales y garantía de la maquinaria y equipo;</w:t>
      </w:r>
    </w:p>
    <w:p w:rsidR="00422796" w:rsidRDefault="008E2E55">
      <w:pPr>
        <w:ind w:left="851" w:right="902"/>
        <w:jc w:val="both"/>
        <w:rPr>
          <w:rFonts w:ascii="Palatino Linotype" w:eastAsia="Calibri" w:hAnsi="Palatino Linotype" w:cs="Bookman Old Style"/>
          <w:i/>
          <w:sz w:val="22"/>
          <w:lang w:eastAsia="en-US"/>
        </w:rPr>
      </w:pPr>
      <w:r>
        <w:rPr>
          <w:rFonts w:ascii="Palatino Linotype" w:eastAsia="Calibri" w:hAnsi="Palatino Linotype" w:cs="Bookman Old Style"/>
          <w:i/>
          <w:sz w:val="22"/>
          <w:lang w:eastAsia="en-US"/>
        </w:rPr>
        <w:t>(Énfasis añadido)</w:t>
      </w:r>
    </w:p>
    <w:p w:rsidR="00422796" w:rsidRDefault="008E2E55">
      <w:pPr>
        <w:widowControl w:val="0"/>
        <w:tabs>
          <w:tab w:val="left" w:pos="1701"/>
          <w:tab w:val="left" w:pos="1843"/>
        </w:tabs>
        <w:spacing w:beforeAutospacing="1" w:afterAutospacing="1" w:line="360" w:lineRule="auto"/>
        <w:jc w:val="both"/>
        <w:rPr>
          <w:rFonts w:ascii="Palatino Linotype" w:hAnsi="Palatino Linotype"/>
        </w:rPr>
      </w:pPr>
      <w:r>
        <w:rPr>
          <w:rFonts w:ascii="Palatino Linotype" w:eastAsia="Calibri" w:hAnsi="Palatino Linotype" w:cs="Arial"/>
        </w:rPr>
        <w:t xml:space="preserve">Ahora bien, de conformidad con el </w:t>
      </w:r>
      <w:r>
        <w:rPr>
          <w:rFonts w:ascii="Palatino Linotype" w:hAnsi="Palatino Linotype"/>
        </w:rPr>
        <w:t>Acuerdo del Secretario de Infraestructura por el que se establece el Índice de Expediente Único de Obra Pública e Instructivos de llenado en las modalidades de adjudicación directa, invitación restringida y licitación pública, se establecieron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w:t>
      </w:r>
    </w:p>
    <w:p w:rsidR="00422796" w:rsidRDefault="008E2E55">
      <w:pPr>
        <w:widowControl w:val="0"/>
        <w:tabs>
          <w:tab w:val="left" w:pos="1701"/>
          <w:tab w:val="left" w:pos="1843"/>
        </w:tabs>
        <w:spacing w:beforeAutospacing="1" w:afterAutospacing="1" w:line="360" w:lineRule="auto"/>
        <w:jc w:val="both"/>
        <w:rPr>
          <w:rFonts w:ascii="Palatino Linotype" w:hAnsi="Palatino Linotype"/>
        </w:rPr>
      </w:pPr>
      <w:r>
        <w:rPr>
          <w:rFonts w:ascii="Palatino Linotype" w:hAnsi="Palatino Linotype"/>
        </w:rPr>
        <w:t xml:space="preserve">En esa virtud, de conformidad con los instructivos de referencia, se advirtió que dentro de la documentación que debe de contener el </w:t>
      </w:r>
      <w:r>
        <w:rPr>
          <w:rFonts w:ascii="Palatino Linotype" w:hAnsi="Palatino Linotype"/>
          <w:b/>
        </w:rPr>
        <w:t>Expediente Único de Obra</w:t>
      </w:r>
      <w:r>
        <w:rPr>
          <w:rFonts w:ascii="Palatino Linotype" w:hAnsi="Palatino Linotype"/>
        </w:rPr>
        <w:t xml:space="preserve"> se </w:t>
      </w:r>
      <w:r>
        <w:rPr>
          <w:rFonts w:ascii="Palatino Linotype" w:hAnsi="Palatino Linotype"/>
        </w:rPr>
        <w:lastRenderedPageBreak/>
        <w:t xml:space="preserve">encuentran: el </w:t>
      </w:r>
      <w:r>
        <w:rPr>
          <w:rFonts w:ascii="Palatino Linotype" w:hAnsi="Palatino Linotype"/>
          <w:b/>
        </w:rPr>
        <w:t>Expediente Técnico</w:t>
      </w:r>
      <w:r>
        <w:rPr>
          <w:rFonts w:ascii="Palatino Linotype" w:hAnsi="Palatino Linotype"/>
        </w:rPr>
        <w:t>: el Proyecto Ejecutivo; el Presupuesto Base; el Oficio de Asignación, autorización de Recursos y Dictamen de Procedencia; las Bases de Concurso y en su caso Términos de Referencia; la Invitación a la Persona Física o Moral para presentar su propuesta; el Escrito de aceptación de la persona Física o Moral para presentar su propuesta, y entrega de bases por la Dependencia; la Evaluación de la Propuesta, Dictamen y Acta de Adjudicación (incluyendo Invitación a Instancias internas y externas al acto de adjudicación; la Propuesta aceptada (con todos los documentos solicitados en las bases y en su caso en los términos de referencia); el Contrato, diferimiento, convenios de reprogramación, y/o convenios de ampliación al importe del contrato, incluyendo solicitud de la empresa, opinión de la residencia y de la supervisión externa; los Comunicados de Modificación al Contrato; las Garantías de Cumplimiento de Contrato, Anticipos y/o Convenios; el Aviso de Inicio de Obra; los Programa de Obra o Servicio (Incluyendo modificaciones), aprobado por la residencia de obra y la supervisión externa; los Números generadores, estimaciones y facturas, incluyendo estimación de finiquito; las Resolución de Ajuste o Escalatoria de Precios Unitarios, Incluyendo la solicitud de la empresa con sus matrices, y el visto bueno de la Residencia de Obra y Supervisión Externa; la Autorización de precios unitarios extraordinarios, incluyendo la solicitud y análisis de la empresa, y la validación de la Residencia de Obra y Supervisión Externa; la Bitácora de Obra o Servicios (original) y Minutas de Trabajo; los Reportes de Control de Calidad; el Álbum Fotográfico; los Planos actualizados definitivos; el Acta de Recepción de los Trabajos y Garantía de Vicios Ocultos (Incluyendo Invitaciones Internas y Externas a dicho acto); y, el Acta de entrega a la instancia encargada de su operación.</w:t>
      </w:r>
    </w:p>
    <w:p w:rsidR="00422796" w:rsidRDefault="008E2E55">
      <w:pPr>
        <w:widowControl w:val="0"/>
        <w:tabs>
          <w:tab w:val="left" w:pos="1701"/>
          <w:tab w:val="left" w:pos="1843"/>
        </w:tabs>
        <w:spacing w:beforeAutospacing="1" w:afterAutospacing="1" w:line="360" w:lineRule="auto"/>
        <w:jc w:val="both"/>
        <w:rPr>
          <w:rFonts w:ascii="Palatino Linotype" w:hAnsi="Palatino Linotype"/>
        </w:rPr>
      </w:pPr>
      <w:r>
        <w:rPr>
          <w:rFonts w:ascii="Palatino Linotype" w:hAnsi="Palatino Linotype"/>
        </w:rPr>
        <w:lastRenderedPageBreak/>
        <w:t>En ese sentido, el Expediente Técnico es el documento que aplica para las obras o servicios que se ejecutan con cargo al Programa de Acciones para el Desarrollo (PAD) y que consiste en el documento que se integra con información financiera, metas, beneficiarios, descripción de la obra o servicio, croquis de localización, avances físicos y financieros programados; así como, otros documentaos tratándose de obra en materia federal.</w:t>
      </w:r>
    </w:p>
    <w:p w:rsidR="00422796" w:rsidRDefault="008E2E55">
      <w:pPr>
        <w:widowControl w:val="0"/>
        <w:tabs>
          <w:tab w:val="left" w:pos="1701"/>
          <w:tab w:val="left" w:pos="1843"/>
        </w:tabs>
        <w:spacing w:beforeAutospacing="1" w:afterAutospacing="1" w:line="360" w:lineRule="auto"/>
        <w:jc w:val="both"/>
        <w:rPr>
          <w:rFonts w:ascii="Palatino Linotype" w:hAnsi="Palatino Linotype"/>
        </w:rPr>
      </w:pPr>
      <w:r>
        <w:rPr>
          <w:rFonts w:ascii="Palatino Linotype" w:hAnsi="Palatino Linotype"/>
        </w:rPr>
        <w:t xml:space="preserve">En esa tesitura, es claro que los expedientes técnicos y los expedientes únicos de obra fungen un acervo documental diverso, puesto que el Expediente Técnico integra una parte del Expediente único; por lo que, si bien la terminología es similar, no es igual; por ello, esta Autoridad estima que lo dable es ordenar al </w:t>
      </w:r>
      <w:r>
        <w:rPr>
          <w:rFonts w:ascii="Palatino Linotype" w:hAnsi="Palatino Linotype"/>
          <w:b/>
        </w:rPr>
        <w:t>SUJETO OBLIGADO</w:t>
      </w:r>
      <w:r>
        <w:rPr>
          <w:rFonts w:ascii="Palatino Linotype" w:hAnsi="Palatino Linotype"/>
        </w:rPr>
        <w:t xml:space="preserve"> haga entrega de la información peticionada, de forma completa, en </w:t>
      </w:r>
      <w:r>
        <w:rPr>
          <w:rFonts w:ascii="Palatino Linotype" w:hAnsi="Palatino Linotype"/>
          <w:b/>
        </w:rPr>
        <w:t>versión pública</w:t>
      </w:r>
      <w:r>
        <w:rPr>
          <w:rFonts w:ascii="Palatino Linotype" w:hAnsi="Palatino Linotype"/>
        </w:rPr>
        <w:t>.</w:t>
      </w:r>
    </w:p>
    <w:p w:rsidR="00422796" w:rsidRDefault="008E2E55">
      <w:pPr>
        <w:widowControl w:val="0"/>
        <w:tabs>
          <w:tab w:val="left" w:pos="1701"/>
          <w:tab w:val="left" w:pos="1843"/>
        </w:tabs>
        <w:spacing w:beforeAutospacing="1" w:afterAutospacing="1" w:line="360" w:lineRule="auto"/>
        <w:jc w:val="both"/>
        <w:rPr>
          <w:rFonts w:ascii="Palatino Linotype" w:eastAsia="Calibri" w:hAnsi="Palatino Linotype"/>
          <w:szCs w:val="22"/>
          <w:lang w:eastAsia="en-US"/>
        </w:rPr>
      </w:pPr>
      <w:r>
        <w:rPr>
          <w:rFonts w:ascii="Palatino Linotype" w:hAnsi="Palatino Linotype"/>
        </w:rPr>
        <w:t xml:space="preserve">Además, no debe perderse de vista que </w:t>
      </w:r>
      <w:r>
        <w:rPr>
          <w:rFonts w:ascii="Palatino Linotype" w:eastAsia="Calibri" w:hAnsi="Palatino Linotype"/>
          <w:szCs w:val="22"/>
          <w:lang w:eastAsia="en-US"/>
        </w:rPr>
        <w:t xml:space="preserve">el Titular de la Unidad de Transparencia tiene, </w:t>
      </w:r>
      <w:r>
        <w:rPr>
          <w:rFonts w:ascii="Palatino Linotype" w:eastAsia="Arial Unicode MS" w:hAnsi="Palatino Linotype" w:cs="Arial"/>
        </w:rPr>
        <w:t xml:space="preserve">entre otras, las funciones de </w:t>
      </w:r>
      <w:r>
        <w:rPr>
          <w:rFonts w:ascii="Palatino Linotype" w:eastAsia="Calibri" w:hAnsi="Palatino Linotype"/>
          <w:szCs w:val="22"/>
          <w:lang w:eastAsia="en-US"/>
        </w:rPr>
        <w:t>recibir, tramitar y dar respuesta a las solicitudes de acceso a la información; realizar, con efectividad, los trámites internos necesarios para la atención de las solicitudes de acceso a la información; así como, entregar, en su caso, a los particulares la información solicitada; de conformidad con el artículo 53, fracciones II, IV y V de la Ley de Transparencia y Acceso a la Información Pública del Estado de México y Municipios.</w:t>
      </w:r>
    </w:p>
    <w:p w:rsidR="00422796" w:rsidRDefault="008E2E55">
      <w:pPr>
        <w:widowControl w:val="0"/>
        <w:tabs>
          <w:tab w:val="left" w:pos="1701"/>
          <w:tab w:val="left" w:pos="1843"/>
        </w:tabs>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Asimismo, no se omite señalar que tanto el Titular de la Unidad de Transparencia como los Servidores Públicos Habilitados, en el ejercicio, tramitación e interpretación de la Ley de Transparencia y Acceso a la Información Pública del Estado de México y Municipios y demás normatividad aplicable, deben atender al principio de </w:t>
      </w:r>
      <w:r>
        <w:rPr>
          <w:rFonts w:ascii="Palatino Linotype" w:eastAsia="Calibri" w:hAnsi="Palatino Linotype"/>
          <w:szCs w:val="22"/>
          <w:lang w:eastAsia="en-US"/>
        </w:rPr>
        <w:lastRenderedPageBreak/>
        <w:t>Objetividad, el cual consiste en ajustar su actuación a los presupuestos de ley que deben ser aplicados al analizar el caso en concreto y resolver todos los hechos, prescindiendo de las consideraciones y criterios personales. Lo anterior con fundamento en el artículo 10, correlacionado con el diverso artículo 9, fracción VIII de la Ley Sustantiva.</w:t>
      </w:r>
    </w:p>
    <w:p w:rsidR="00422796" w:rsidRDefault="008E2E55">
      <w:pPr>
        <w:widowControl w:val="0"/>
        <w:tabs>
          <w:tab w:val="left" w:pos="1701"/>
          <w:tab w:val="left" w:pos="1843"/>
        </w:tabs>
        <w:spacing w:beforeAutospacing="1" w:afterAutospacing="1" w:line="360" w:lineRule="auto"/>
        <w:jc w:val="both"/>
        <w:rPr>
          <w:rFonts w:ascii="Palatino Linotype" w:eastAsia="Calibri" w:hAnsi="Palatino Linotype" w:cs="Arial"/>
        </w:rPr>
      </w:pPr>
      <w:r>
        <w:rPr>
          <w:rFonts w:ascii="Palatino Linotype" w:eastAsia="Calibri" w:hAnsi="Palatino Linotype"/>
          <w:szCs w:val="22"/>
          <w:lang w:eastAsia="en-US"/>
        </w:rPr>
        <w:t xml:space="preserve">Por ello, en esta caso en particular, si bien es cierto que el particular no refirió a literalidad que pretendía los expedientes únicos de Obra; también lo es, que no es experto en materia de Obra Pública Municipal, situación que si atiende a la naturaleza del </w:t>
      </w:r>
      <w:r>
        <w:rPr>
          <w:rFonts w:ascii="Palatino Linotype" w:eastAsia="Calibri" w:hAnsi="Palatino Linotype"/>
          <w:b/>
          <w:szCs w:val="22"/>
          <w:lang w:eastAsia="en-US"/>
        </w:rPr>
        <w:t>SUJETO OBLIGADO</w:t>
      </w:r>
      <w:r>
        <w:rPr>
          <w:rFonts w:ascii="Palatino Linotype" w:eastAsia="Calibri" w:hAnsi="Palatino Linotype"/>
          <w:szCs w:val="22"/>
          <w:lang w:eastAsia="en-US"/>
        </w:rPr>
        <w:t>; por ello, éste debió suplir la deficiencia incurrida y entregar la expresión documental que satisfaga el requerimiento de información. Máxime que, del análisis a la solicitud de origen, se advierte que contaba con los elementos mínimos necesarios para hacerlo sin cambiar los hechos expuestos. Situación que en este acto se suple por parte de este Instituto,</w:t>
      </w:r>
      <w:r>
        <w:rPr>
          <w:rFonts w:ascii="Palatino Linotype" w:eastAsia="Calibri" w:hAnsi="Palatino Linotype" w:cs="Arial"/>
        </w:rPr>
        <w:t xml:space="preserve"> en términos de lo dispuesto por los artículos 13 y 181, cuarto párrafo de la Ley de Transparencia y Acceso a la Información del Estado de México y Municipios.</w:t>
      </w:r>
    </w:p>
    <w:p w:rsidR="00422796" w:rsidRDefault="008E2E55">
      <w:pPr>
        <w:spacing w:before="240" w:after="240" w:line="360" w:lineRule="auto"/>
        <w:jc w:val="both"/>
        <w:rPr>
          <w:rFonts w:ascii="Palatino Linotype" w:hAnsi="Palatino Linotype" w:cs="Arial"/>
          <w:lang w:val="es-ES"/>
        </w:rPr>
      </w:pPr>
      <w:r>
        <w:rPr>
          <w:rFonts w:ascii="Palatino Linotype" w:hAnsi="Palatino Linotype"/>
          <w:lang w:val="es-ES"/>
        </w:rPr>
        <w:t xml:space="preserve">Siendo necesario hacer hincapié que, </w:t>
      </w:r>
      <w:r>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Pr>
          <w:rFonts w:ascii="Palatino Linotype" w:hAnsi="Palatino Linotype" w:cs="Arial"/>
          <w:b/>
          <w:lang w:val="es-ES"/>
        </w:rPr>
        <w:t>expresión documental</w:t>
      </w:r>
      <w:r>
        <w:rPr>
          <w:rFonts w:ascii="Palatino Linotype" w:hAnsi="Palatino Linotype" w:cs="Arial"/>
          <w:lang w:val="es-ES"/>
        </w:rPr>
        <w:t>, deben atenderlas. Lo anterior, tiene apoyo en el criterio 16/17, emitido por el Pleno del INAI, el cual menciona lo siguiente:</w:t>
      </w:r>
    </w:p>
    <w:p w:rsidR="00422796" w:rsidRDefault="008E2E55">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b/>
          <w:i/>
          <w:sz w:val="22"/>
          <w:szCs w:val="22"/>
          <w:lang w:val="es-ES"/>
        </w:rPr>
        <w:t xml:space="preserve">Expresión documental. </w:t>
      </w:r>
      <w:r>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w:t>
      </w:r>
      <w:r>
        <w:rPr>
          <w:rFonts w:ascii="Palatino Linotype" w:hAnsi="Palatino Linotype" w:cs="Arial"/>
          <w:i/>
          <w:sz w:val="22"/>
          <w:szCs w:val="22"/>
          <w:lang w:val="es-ES"/>
        </w:rPr>
        <w:lastRenderedPageBreak/>
        <w:t xml:space="preserve">pudiera obrar en algún documento en poder de los sujetos obligados, éstos deben dar a dichas solicitudes una interpretación que les otorgue una expresión documental. </w:t>
      </w:r>
    </w:p>
    <w:p w:rsidR="00422796" w:rsidRDefault="008E2E55">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Resoluciones:</w:t>
      </w:r>
    </w:p>
    <w:p w:rsidR="00422796" w:rsidRDefault="008E2E55">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i/>
          <w:sz w:val="22"/>
          <w:szCs w:val="22"/>
          <w:lang w:val="es-ES"/>
        </w:rPr>
        <w:tab/>
        <w:t>RRA 0774/16. Secretaría de Salud. 31 de agosto de 2016. Por unanimidad. Comisionada Ponente María Patricia Kurczyn Villalobos.</w:t>
      </w:r>
    </w:p>
    <w:p w:rsidR="00422796" w:rsidRDefault="008E2E55">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422796" w:rsidRDefault="008E2E55">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i/>
          <w:sz w:val="22"/>
          <w:szCs w:val="22"/>
          <w:lang w:val="es-ES"/>
        </w:rPr>
        <w:tab/>
        <w:t>RRA 0540/17. Secretaría de Economía. 08 de marzo del 2017. Por unanimidad. Comisionado Ponente Francisco Javier Acuña Llamas.” (Sic)</w:t>
      </w:r>
    </w:p>
    <w:p w:rsidR="00422796" w:rsidRDefault="008E2E55">
      <w:pPr>
        <w:spacing w:before="120" w:after="120"/>
        <w:ind w:left="567" w:right="618"/>
        <w:jc w:val="both"/>
        <w:rPr>
          <w:rFonts w:ascii="Palatino Linotype" w:hAnsi="Palatino Linotype" w:cs="Arial"/>
          <w:sz w:val="22"/>
          <w:szCs w:val="22"/>
          <w:lang w:val="es-ES"/>
        </w:rPr>
      </w:pPr>
      <w:r>
        <w:rPr>
          <w:rFonts w:ascii="Palatino Linotype" w:hAnsi="Palatino Linotype" w:cs="Arial"/>
          <w:sz w:val="22"/>
          <w:szCs w:val="22"/>
          <w:lang w:val="es-ES"/>
        </w:rPr>
        <w:t>(Énfasis añadido)</w:t>
      </w:r>
    </w:p>
    <w:p w:rsidR="00422796" w:rsidRDefault="008E2E55">
      <w:pPr>
        <w:pStyle w:val="Prrafodelista"/>
        <w:widowControl w:val="0"/>
        <w:tabs>
          <w:tab w:val="left" w:pos="1276"/>
        </w:tabs>
        <w:spacing w:before="240" w:afterAutospacing="1" w:line="360" w:lineRule="auto"/>
        <w:ind w:left="0" w:right="49"/>
        <w:jc w:val="both"/>
        <w:rPr>
          <w:rFonts w:ascii="Palatino Linotype" w:hAnsi="Palatino Linotype" w:cs="Arial"/>
        </w:rPr>
      </w:pPr>
      <w:r>
        <w:rPr>
          <w:rFonts w:ascii="Palatino Linotype" w:hAnsi="Palatino Linotype" w:cs="Arial"/>
        </w:rPr>
        <w:t xml:space="preserve">Ahora bien, por cuanto hace a la solicitud de acceso a la información marcada con el numeral 2, relativa a los expedientes generados por la adquisición y arrendamiento de bienes y la contratación de servicios de cualquier naturaleza, en el año 2019, este Instituto advirtió que </w:t>
      </w:r>
      <w:r>
        <w:rPr>
          <w:rFonts w:ascii="Palatino Linotype" w:hAnsi="Palatino Linotype" w:cs="Arial"/>
          <w:b/>
        </w:rPr>
        <w:t>EL SUJETO OBLIGADO</w:t>
      </w:r>
      <w:r>
        <w:rPr>
          <w:rFonts w:ascii="Palatino Linotype" w:hAnsi="Palatino Linotype" w:cs="Arial"/>
        </w:rPr>
        <w:t xml:space="preserve"> debe contar con la información solicitada.</w:t>
      </w:r>
    </w:p>
    <w:p w:rsidR="00422796" w:rsidRDefault="008E2E55">
      <w:pPr>
        <w:pStyle w:val="Prrafodelista"/>
        <w:widowControl w:val="0"/>
        <w:tabs>
          <w:tab w:val="left" w:pos="1276"/>
        </w:tabs>
        <w:spacing w:before="240" w:afterAutospacing="1" w:line="360" w:lineRule="auto"/>
        <w:ind w:left="0" w:right="49"/>
        <w:jc w:val="both"/>
        <w:rPr>
          <w:rFonts w:ascii="Palatino Linotype" w:hAnsi="Palatino Linotype"/>
        </w:rPr>
      </w:pPr>
      <w:r>
        <w:rPr>
          <w:rFonts w:ascii="Palatino Linotype" w:hAnsi="Palatino Linotype" w:cs="Arial"/>
        </w:rPr>
        <w:t>Lo anterior es así, puesto que se</w:t>
      </w:r>
      <w:r>
        <w:rPr>
          <w:rFonts w:ascii="Palatino Linotype" w:eastAsia="Calibri" w:hAnsi="Palatino Linotype"/>
          <w:szCs w:val="22"/>
          <w:lang w:eastAsia="en-US"/>
        </w:rPr>
        <w:t xml:space="preserve"> analizó el marco normativo que rige la contratación y adjudicación de bienes y servicios en la entidad mexiquense y se observó que, </w:t>
      </w:r>
      <w:r>
        <w:rPr>
          <w:rFonts w:ascii="Palatino Linotype" w:hAnsi="Palatino Linotype"/>
        </w:rPr>
        <w:t>de conformidad con el artículo 1, fracción V de la Ley de Contratación Pública del Estado de México y Municipios, dicha normativa tiene por objeto regular los actos relativos a la planeación, programación, presupuestación, ejecución y control de la adquisición, enajenación y arrendamiento de bienes, y la contratación de servicios de cualquier naturaleza, que realicen las entidades del Estado.</w:t>
      </w:r>
    </w:p>
    <w:p w:rsidR="00422796" w:rsidRDefault="008E2E55">
      <w:pPr>
        <w:spacing w:beforeAutospacing="1" w:afterAutospacing="1" w:line="360" w:lineRule="auto"/>
        <w:jc w:val="both"/>
        <w:rPr>
          <w:rFonts w:ascii="Palatino Linotype" w:hAnsi="Palatino Linotype"/>
        </w:rPr>
      </w:pPr>
      <w:r>
        <w:rPr>
          <w:rFonts w:ascii="Palatino Linotype" w:hAnsi="Palatino Linotype"/>
        </w:rPr>
        <w:t xml:space="preserve">Asimismo, el diverso artículo 4 de la legislación en comento establece que quedan comprendidas en las adquisiciones, enajenaciones, arrendamientos y servicios: la adquisición de bienes muebles; la adquisición de bienes inmuebles, a través de </w:t>
      </w:r>
      <w:r>
        <w:rPr>
          <w:rFonts w:ascii="Palatino Linotype" w:hAnsi="Palatino Linotype"/>
        </w:rPr>
        <w:lastRenderedPageBreak/>
        <w:t>compraventa; la enajenación de bienes muebles e inmuebles; el arrendamiento de bienes muebles e inmuebles; la contratación de los servicios, relacionados con bienes muebles que se encuentran incorporados o adheridos a bienes inmuebles, cuya instalación o mantenimiento no implique modificación al bien inmueble; la contratación de los servicios de reconstrucción y mantenimiento de bienes muebles; la contratación de los servicios de maquila, seguros y transportación; así como, de los de limpieza y vigilancia de bienes inmuebles; la prestación de servicios profesionales, la contratación de consultorías, asesorías y estudios e investigaciones, excepto la contratación de servicios personales de personas físicas bajo el régimen de honorarios; y, en general, otros actos que impliquen la contratación de servicios de cualquier naturaleza</w:t>
      </w:r>
    </w:p>
    <w:p w:rsidR="00422796" w:rsidRDefault="008E2E55">
      <w:pPr>
        <w:spacing w:beforeAutospacing="1" w:afterAutospacing="1" w:line="360" w:lineRule="auto"/>
        <w:jc w:val="both"/>
        <w:rPr>
          <w:rFonts w:ascii="Palatino Linotype" w:hAnsi="Palatino Linotype"/>
        </w:rPr>
      </w:pPr>
      <w:r>
        <w:rPr>
          <w:rFonts w:ascii="Palatino Linotype" w:hAnsi="Palatino Linotype"/>
        </w:rPr>
        <w:t>A su vez, los diversos artículos 9 y 10 de la Ley de Contratación Pública del Estado de México y Municipios establecen que las adquisiciones,</w:t>
      </w:r>
      <w:r>
        <w:t xml:space="preserve"> </w:t>
      </w:r>
      <w:r>
        <w:rPr>
          <w:rFonts w:ascii="Palatino Linotype" w:hAnsi="Palatino Linotype"/>
        </w:rPr>
        <w:t xml:space="preserve">arrendamientos y servicios  que se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422796" w:rsidRDefault="008E2E55">
      <w:pPr>
        <w:numPr>
          <w:ilvl w:val="0"/>
          <w:numId w:val="7"/>
        </w:numPr>
        <w:spacing w:beforeAutospacing="1" w:line="360" w:lineRule="auto"/>
        <w:jc w:val="both"/>
        <w:rPr>
          <w:rFonts w:ascii="Palatino Linotype" w:hAnsi="Palatino Linotype"/>
        </w:rPr>
      </w:pPr>
      <w:r>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422796" w:rsidRDefault="008E2E55">
      <w:pPr>
        <w:numPr>
          <w:ilvl w:val="0"/>
          <w:numId w:val="7"/>
        </w:numPr>
        <w:spacing w:line="360" w:lineRule="auto"/>
        <w:jc w:val="both"/>
        <w:rPr>
          <w:rFonts w:ascii="Palatino Linotype" w:hAnsi="Palatino Linotype"/>
        </w:rPr>
      </w:pPr>
      <w:r>
        <w:rPr>
          <w:rFonts w:ascii="Palatino Linotype" w:hAnsi="Palatino Linotype"/>
        </w:rPr>
        <w:lastRenderedPageBreak/>
        <w:t xml:space="preserve">Los objetivos, estrategias y líneas de acción establecidos en los planes de desarrollo municipal. </w:t>
      </w:r>
    </w:p>
    <w:p w:rsidR="00422796" w:rsidRDefault="008E2E55">
      <w:pPr>
        <w:numPr>
          <w:ilvl w:val="0"/>
          <w:numId w:val="7"/>
        </w:numPr>
        <w:spacing w:line="360" w:lineRule="auto"/>
        <w:jc w:val="both"/>
        <w:rPr>
          <w:rFonts w:ascii="Palatino Linotype" w:hAnsi="Palatino Linotype"/>
        </w:rPr>
      </w:pPr>
      <w:r>
        <w:rPr>
          <w:rFonts w:ascii="Palatino Linotype" w:hAnsi="Palatino Linotype"/>
        </w:rPr>
        <w:t xml:space="preserve">Las actividades sustantivas que desarrollen para cumplir con los programas prioritarios que tienen bajo su responsabilidad. </w:t>
      </w:r>
    </w:p>
    <w:p w:rsidR="00422796" w:rsidRDefault="008E2E55">
      <w:pPr>
        <w:numPr>
          <w:ilvl w:val="0"/>
          <w:numId w:val="7"/>
        </w:numPr>
        <w:spacing w:afterAutospacing="1" w:line="360" w:lineRule="auto"/>
        <w:jc w:val="both"/>
        <w:rPr>
          <w:rFonts w:ascii="Palatino Linotype" w:hAnsi="Palatino Linotype"/>
        </w:rPr>
      </w:pPr>
      <w:r>
        <w:rPr>
          <w:rFonts w:ascii="Palatino Linotype" w:hAnsi="Palatino Linotype"/>
        </w:rPr>
        <w:t>Las medidas que en materia de austeridad señale el Presupuesto de Egresos respectivo.</w:t>
      </w:r>
    </w:p>
    <w:p w:rsidR="00422796" w:rsidRDefault="008E2E55">
      <w:pPr>
        <w:spacing w:beforeAutospacing="1" w:afterAutospacing="1" w:line="360" w:lineRule="auto"/>
        <w:jc w:val="both"/>
        <w:rPr>
          <w:rFonts w:ascii="Palatino Linotype" w:hAnsi="Palatino Linotype"/>
        </w:rPr>
      </w:pPr>
      <w:r>
        <w:rPr>
          <w:rFonts w:ascii="Palatino Linotype" w:hAnsi="Palatino Linotype"/>
        </w:rPr>
        <w:t>Ahora bien, esta Autoridad no omite señalar que la Legislación en materia de contratación pública establece que por regla general las adquisiciones, arrendamientos y servicios deben ser contratados, a través de procesos de licitación pública y, excepcionalmente, se podrá optar por esquemas de invitación restringida y adjudicación directa; tal y como, se aprecia en los siguientes artículos:</w:t>
      </w:r>
    </w:p>
    <w:p w:rsidR="00422796" w:rsidRDefault="008E2E55">
      <w:pPr>
        <w:ind w:left="851" w:right="902"/>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26.-</w:t>
      </w:r>
      <w:r>
        <w:rPr>
          <w:rFonts w:ascii="Palatino Linotype" w:hAnsi="Palatino Linotype"/>
          <w:i/>
          <w:sz w:val="22"/>
        </w:rPr>
        <w:t xml:space="preserve"> </w:t>
      </w:r>
      <w:r>
        <w:rPr>
          <w:rFonts w:ascii="Palatino Linotype" w:hAnsi="Palatino Linotype"/>
          <w:b/>
          <w:i/>
          <w:sz w:val="22"/>
        </w:rPr>
        <w:t>Las adquisiciones, arrendamientos y servicios se adjudicarán a través de licitaciones públicas, mediante convocatoria pública</w:t>
      </w:r>
      <w:r>
        <w:rPr>
          <w:rFonts w:ascii="Palatino Linotype" w:hAnsi="Palatino Linotype"/>
          <w:i/>
          <w:sz w:val="22"/>
        </w:rPr>
        <w:t xml:space="preserve">. </w:t>
      </w:r>
    </w:p>
    <w:p w:rsidR="00422796" w:rsidRDefault="008E2E55">
      <w:pPr>
        <w:ind w:left="851" w:right="902"/>
        <w:jc w:val="both"/>
        <w:rPr>
          <w:rFonts w:ascii="Palatino Linotype" w:hAnsi="Palatino Linotype"/>
          <w:i/>
          <w:sz w:val="22"/>
        </w:rPr>
      </w:pPr>
      <w:r>
        <w:rPr>
          <w:rFonts w:ascii="Palatino Linotype" w:hAnsi="Palatino Linotype"/>
          <w:b/>
          <w:i/>
          <w:sz w:val="22"/>
        </w:rPr>
        <w:t>Artículo 27.-</w:t>
      </w:r>
      <w:r>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422796" w:rsidRDefault="008E2E55">
      <w:pPr>
        <w:numPr>
          <w:ilvl w:val="0"/>
          <w:numId w:val="8"/>
        </w:numPr>
        <w:ind w:right="902"/>
        <w:jc w:val="both"/>
        <w:rPr>
          <w:rFonts w:ascii="Palatino Linotype" w:hAnsi="Palatino Linotype"/>
          <w:b/>
          <w:i/>
          <w:sz w:val="22"/>
        </w:rPr>
      </w:pPr>
      <w:r>
        <w:rPr>
          <w:rFonts w:ascii="Palatino Linotype" w:hAnsi="Palatino Linotype"/>
          <w:b/>
          <w:i/>
          <w:sz w:val="22"/>
        </w:rPr>
        <w:t>Invitación restringida.</w:t>
      </w:r>
    </w:p>
    <w:p w:rsidR="00422796" w:rsidRDefault="008E2E55">
      <w:pPr>
        <w:numPr>
          <w:ilvl w:val="0"/>
          <w:numId w:val="8"/>
        </w:numPr>
        <w:ind w:right="902"/>
        <w:jc w:val="both"/>
        <w:rPr>
          <w:rFonts w:ascii="Palatino Linotype" w:hAnsi="Palatino Linotype" w:cs="Arial"/>
          <w:i/>
          <w:sz w:val="22"/>
        </w:rPr>
      </w:pPr>
      <w:r>
        <w:rPr>
          <w:rFonts w:ascii="Palatino Linotype" w:hAnsi="Palatino Linotype"/>
          <w:b/>
          <w:i/>
          <w:sz w:val="22"/>
        </w:rPr>
        <w:t>Adjudicación directa</w:t>
      </w:r>
      <w:r>
        <w:rPr>
          <w:rFonts w:ascii="Palatino Linotype" w:hAnsi="Palatino Linotype"/>
          <w:i/>
          <w:sz w:val="22"/>
        </w:rPr>
        <w:t>.</w:t>
      </w:r>
    </w:p>
    <w:p w:rsidR="00422796" w:rsidRDefault="008E2E55">
      <w:pPr>
        <w:ind w:left="851" w:right="902"/>
        <w:jc w:val="both"/>
        <w:rPr>
          <w:rFonts w:ascii="Palatino Linotype" w:hAnsi="Palatino Linotype"/>
          <w:b/>
          <w:i/>
          <w:sz w:val="22"/>
        </w:rPr>
      </w:pPr>
      <w:r>
        <w:rPr>
          <w:rFonts w:ascii="Palatino Linotype" w:hAnsi="Palatino Linotype"/>
          <w:b/>
          <w:i/>
          <w:sz w:val="22"/>
        </w:rPr>
        <w:t>Artículo 44.-</w:t>
      </w:r>
      <w:r>
        <w:rPr>
          <w:rFonts w:ascii="Palatino Linotype" w:hAnsi="Palatino Linotype"/>
          <w:i/>
          <w:sz w:val="22"/>
        </w:rPr>
        <w:t xml:space="preserve"> La Secretaría, las entidades, los tribunales administrativos y los ayuntamientos </w:t>
      </w:r>
      <w:r>
        <w:rPr>
          <w:rFonts w:ascii="Palatino Linotype" w:hAnsi="Palatino Linotype"/>
          <w:b/>
          <w:i/>
          <w:sz w:val="22"/>
        </w:rPr>
        <w:t xml:space="preserve">podrán adquirir y contratar servicios mediante invitación restringida, cuando: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I. Se hubiere declarado desierto un procedimiento de licitación, o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422796" w:rsidRDefault="008E2E55">
      <w:pPr>
        <w:ind w:left="851" w:right="902"/>
        <w:jc w:val="both"/>
        <w:rPr>
          <w:rFonts w:ascii="Palatino Linotype" w:hAnsi="Palatino Linotype"/>
          <w:i/>
          <w:sz w:val="22"/>
        </w:rPr>
      </w:pPr>
      <w:r>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422796" w:rsidRDefault="008E2E55">
      <w:pPr>
        <w:ind w:left="851" w:right="902"/>
        <w:jc w:val="both"/>
        <w:rPr>
          <w:rFonts w:ascii="Palatino Linotype" w:hAnsi="Palatino Linotype"/>
          <w:i/>
          <w:sz w:val="22"/>
        </w:rPr>
      </w:pPr>
      <w:r>
        <w:rPr>
          <w:rFonts w:ascii="Palatino Linotype" w:hAnsi="Palatino Linotype"/>
          <w:i/>
          <w:sz w:val="22"/>
        </w:rPr>
        <w:lastRenderedPageBreak/>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422796" w:rsidRDefault="008E2E55">
      <w:pPr>
        <w:ind w:left="851" w:right="902"/>
        <w:jc w:val="both"/>
        <w:rPr>
          <w:rFonts w:ascii="Palatino Linotype" w:hAnsi="Palatino Linotype"/>
          <w:i/>
          <w:sz w:val="22"/>
        </w:rPr>
      </w:pPr>
      <w:r>
        <w:rPr>
          <w:rFonts w:ascii="Palatino Linotype" w:hAnsi="Palatino Linotype"/>
          <w:b/>
          <w:i/>
          <w:sz w:val="22"/>
        </w:rPr>
        <w:t>Artículo 45.-</w:t>
      </w:r>
      <w:r>
        <w:rPr>
          <w:rFonts w:ascii="Palatino Linotype" w:hAnsi="Palatino Linotype"/>
          <w:i/>
          <w:sz w:val="22"/>
        </w:rPr>
        <w:t xml:space="preserve"> El procedimiento establecido en el artículo anterior, comprende la invitación </w:t>
      </w:r>
      <w:r>
        <w:rPr>
          <w:rFonts w:ascii="Palatino Linotype" w:hAnsi="Palatino Linotype"/>
          <w:b/>
          <w:i/>
          <w:sz w:val="22"/>
        </w:rPr>
        <w:t>de tres personas cuando menos</w:t>
      </w:r>
      <w:r>
        <w:rPr>
          <w:rFonts w:ascii="Palatino Linotype" w:hAnsi="Palatino Linotype"/>
          <w:i/>
          <w:sz w:val="22"/>
        </w:rPr>
        <w:t xml:space="preserve">, que serán seleccionadas de entre las que se inscriban en el catálogo de proveedores cuando exista el número de proveedores referidos. </w:t>
      </w:r>
    </w:p>
    <w:p w:rsidR="00422796" w:rsidRDefault="008E2E55">
      <w:pPr>
        <w:ind w:left="851" w:right="902"/>
        <w:jc w:val="both"/>
        <w:rPr>
          <w:rFonts w:ascii="Palatino Linotype" w:hAnsi="Palatino Linotype"/>
          <w:i/>
          <w:sz w:val="22"/>
        </w:rPr>
      </w:pPr>
      <w:r>
        <w:rPr>
          <w:rFonts w:ascii="Palatino Linotype" w:hAnsi="Palatino Linotype"/>
          <w:b/>
          <w:i/>
          <w:sz w:val="22"/>
        </w:rPr>
        <w:t>Artículo 46.-</w:t>
      </w:r>
      <w:r>
        <w:rPr>
          <w:rFonts w:ascii="Palatino Linotype" w:hAnsi="Palatino Linotype"/>
          <w:i/>
          <w:sz w:val="22"/>
        </w:rPr>
        <w:t xml:space="preserve"> </w:t>
      </w:r>
      <w:r>
        <w:rPr>
          <w:rFonts w:ascii="Palatino Linotype" w:hAnsi="Palatino Linotype"/>
          <w:b/>
          <w:i/>
          <w:sz w:val="22"/>
        </w:rPr>
        <w:t>El procedimiento de invitación restringida se desarrollará en los términos de la licitación pública</w:t>
      </w:r>
      <w:r>
        <w:rPr>
          <w:rFonts w:ascii="Palatino Linotype" w:hAnsi="Palatino Linotype"/>
          <w:i/>
          <w:sz w:val="22"/>
        </w:rPr>
        <w:t xml:space="preserve">, a excepción de la publicación de la convocatoria. </w:t>
      </w:r>
    </w:p>
    <w:p w:rsidR="00422796" w:rsidRDefault="008E2E55">
      <w:pPr>
        <w:ind w:left="851" w:right="902"/>
        <w:jc w:val="both"/>
        <w:rPr>
          <w:rFonts w:ascii="Palatino Linotype" w:hAnsi="Palatino Linotype"/>
          <w:i/>
          <w:sz w:val="22"/>
        </w:rPr>
      </w:pPr>
      <w:r>
        <w:rPr>
          <w:rFonts w:ascii="Palatino Linotype" w:hAnsi="Palatino Linotype"/>
          <w:b/>
          <w:i/>
          <w:sz w:val="22"/>
        </w:rPr>
        <w:t>Artículo 47.-</w:t>
      </w:r>
      <w:r>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422796" w:rsidRDefault="008E2E55">
      <w:pPr>
        <w:ind w:left="851" w:right="902"/>
        <w:jc w:val="both"/>
        <w:rPr>
          <w:rFonts w:ascii="Palatino Linotype" w:hAnsi="Palatino Linotype"/>
          <w:b/>
          <w:i/>
          <w:sz w:val="22"/>
        </w:rPr>
      </w:pPr>
      <w:r>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Pr>
          <w:rFonts w:ascii="Palatino Linotype" w:hAnsi="Palatino Linotype"/>
          <w:b/>
          <w:i/>
          <w:sz w:val="22"/>
        </w:rPr>
        <w:t xml:space="preserve">mediante adjudicación directa, cuando: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V. Existan circunstancias que puedan provocar pérdidas o costos adicionales importantes al erario. </w:t>
      </w:r>
    </w:p>
    <w:p w:rsidR="00422796" w:rsidRDefault="008E2E55">
      <w:pPr>
        <w:ind w:left="851" w:right="902"/>
        <w:jc w:val="both"/>
        <w:rPr>
          <w:rFonts w:ascii="Palatino Linotype" w:hAnsi="Palatino Linotype"/>
          <w:b/>
          <w:i/>
          <w:sz w:val="22"/>
        </w:rPr>
      </w:pPr>
      <w:r>
        <w:rPr>
          <w:rFonts w:ascii="Palatino Linotype" w:hAnsi="Palatino Linotype"/>
          <w:b/>
          <w:i/>
          <w:sz w:val="22"/>
        </w:rPr>
        <w:lastRenderedPageBreak/>
        <w:t xml:space="preserve">VI. Pueda comprometerse información de naturaleza confidencial para el Estado o municipios, por razones de seguridad pública.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VIII. Se hubiere rescindido un contrato, por causas imputables al proveedor o que la persona que habiendo resultado ganadora en una licitación, no concurra a la suscripción del contrato dentro del plazo establecido en esta Ley. </w:t>
      </w:r>
    </w:p>
    <w:p w:rsidR="00422796" w:rsidRDefault="008E2E55">
      <w:pPr>
        <w:ind w:left="851" w:right="902"/>
        <w:jc w:val="both"/>
        <w:rPr>
          <w:rFonts w:ascii="Palatino Linotype" w:hAnsi="Palatino Linotype"/>
          <w:i/>
          <w:sz w:val="22"/>
        </w:rPr>
      </w:pPr>
      <w:r>
        <w:rPr>
          <w:rFonts w:ascii="Palatino Linotype" w:hAnsi="Palatino Linotype"/>
          <w:i/>
          <w:sz w:val="22"/>
        </w:rPr>
        <w:t xml:space="preserve">En estos supuestos, la Secretaría, la entidad, el tribunal administrativo o el ayuntamiento podrá adjudicar el contrato al licitante que haya presentado la propuesta solvente más cercana a la ganadora y así, sucesivamente. </w:t>
      </w:r>
    </w:p>
    <w:p w:rsidR="00422796" w:rsidRDefault="008E2E55">
      <w:pPr>
        <w:ind w:left="851" w:right="902"/>
        <w:jc w:val="both"/>
        <w:rPr>
          <w:rFonts w:ascii="Palatino Linotype" w:hAnsi="Palatino Linotype"/>
          <w:i/>
          <w:sz w:val="22"/>
        </w:rPr>
      </w:pPr>
      <w:r>
        <w:rPr>
          <w:rFonts w:ascii="Palatino Linotype" w:hAnsi="Palatino Linotype"/>
          <w:i/>
          <w:sz w:val="22"/>
        </w:rPr>
        <w:t xml:space="preserve">En todo caso, la diferencia de precio no deberá de ser superior al diez por ciento, respecto de la propuesta ganadora.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422796" w:rsidRDefault="008E2E55">
      <w:pPr>
        <w:ind w:left="851" w:right="902"/>
        <w:jc w:val="both"/>
        <w:rPr>
          <w:rFonts w:ascii="Palatino Linotype" w:hAnsi="Palatino Linotype"/>
          <w:b/>
          <w:i/>
          <w:sz w:val="22"/>
        </w:rPr>
      </w:pPr>
      <w:r>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422796" w:rsidRDefault="008E2E55">
      <w:pPr>
        <w:ind w:left="851" w:right="902"/>
        <w:jc w:val="both"/>
        <w:rPr>
          <w:rFonts w:ascii="Palatino Linotype" w:hAnsi="Palatino Linotype"/>
          <w:i/>
          <w:sz w:val="22"/>
        </w:rPr>
      </w:pPr>
      <w:r>
        <w:rPr>
          <w:rFonts w:ascii="Palatino Linotype" w:hAnsi="Palatino Linotype"/>
          <w:b/>
          <w:i/>
          <w:sz w:val="22"/>
        </w:rPr>
        <w:t>Artículo 49.-</w:t>
      </w:r>
      <w:r>
        <w:rPr>
          <w:rFonts w:ascii="Palatino Linotype" w:hAnsi="Palatino Linotype"/>
          <w:i/>
          <w:sz w:val="22"/>
        </w:rPr>
        <w:t xml:space="preserve"> </w:t>
      </w:r>
      <w:r>
        <w:rPr>
          <w:rFonts w:ascii="Palatino Linotype" w:hAnsi="Palatino Linotype"/>
          <w:b/>
          <w:i/>
          <w:sz w:val="22"/>
        </w:rPr>
        <w:t>El procedimiento de adjudicación directa se substanciará con arreglo a el reglamento de esta Ley.</w:t>
      </w:r>
      <w:r>
        <w:rPr>
          <w:rFonts w:ascii="Palatino Linotype" w:hAnsi="Palatino Linotype"/>
          <w:i/>
          <w:sz w:val="22"/>
        </w:rPr>
        <w:t xml:space="preserve"> </w:t>
      </w:r>
    </w:p>
    <w:p w:rsidR="00422796" w:rsidRDefault="008E2E55">
      <w:pPr>
        <w:ind w:left="851" w:right="902"/>
        <w:jc w:val="both"/>
        <w:rPr>
          <w:rFonts w:ascii="Palatino Linotype" w:hAnsi="Palatino Linotype"/>
          <w:i/>
          <w:sz w:val="22"/>
        </w:rPr>
      </w:pPr>
      <w:r>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rsidR="00422796" w:rsidRDefault="008E2E55">
      <w:pPr>
        <w:ind w:left="851" w:right="902"/>
        <w:jc w:val="both"/>
        <w:rPr>
          <w:rFonts w:ascii="Palatino Linotype" w:hAnsi="Palatino Linotype" w:cs="Arial"/>
          <w:sz w:val="22"/>
        </w:rPr>
      </w:pPr>
      <w:r>
        <w:rPr>
          <w:rFonts w:ascii="Palatino Linotype" w:hAnsi="Palatino Linotype"/>
          <w:sz w:val="22"/>
        </w:rPr>
        <w:t>(Énfasis añadido.)</w:t>
      </w:r>
    </w:p>
    <w:p w:rsidR="00422796" w:rsidRDefault="008E2E55">
      <w:pPr>
        <w:spacing w:beforeAutospacing="1" w:afterAutospacing="1" w:line="360" w:lineRule="auto"/>
        <w:jc w:val="both"/>
        <w:rPr>
          <w:rFonts w:ascii="Palatino Linotype" w:hAnsi="Palatino Linotype"/>
        </w:rPr>
      </w:pPr>
      <w:r>
        <w:rPr>
          <w:rFonts w:ascii="Palatino Linotype" w:hAnsi="Palatino Linotype"/>
        </w:rPr>
        <w:lastRenderedPageBreak/>
        <w:t>Por otra parte, no pasa desapercibido del análisis de esta Autoridad los dispuesto por el artículo 92, fracción XXIX, inciso b, numerales 1, 4, 5 y 7 de la Ley de Transparencia y Acceso a la Información Pública del Estado de México y Municipios que establece lo siguiente:</w:t>
      </w:r>
    </w:p>
    <w:p w:rsidR="00422796" w:rsidRDefault="008E2E55">
      <w:pPr>
        <w:ind w:left="851" w:right="899"/>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92.</w:t>
      </w:r>
      <w:r>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22796" w:rsidRDefault="008E2E55">
      <w:pPr>
        <w:ind w:left="851" w:right="899"/>
        <w:jc w:val="both"/>
        <w:rPr>
          <w:rFonts w:ascii="Palatino Linotype" w:hAnsi="Palatino Linotype"/>
          <w:b/>
          <w:i/>
          <w:sz w:val="22"/>
        </w:rPr>
      </w:pPr>
      <w:r>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422796" w:rsidRDefault="008E2E55">
      <w:pPr>
        <w:ind w:left="851" w:right="899"/>
        <w:jc w:val="both"/>
        <w:rPr>
          <w:rFonts w:ascii="Palatino Linotype" w:hAnsi="Palatino Linotype"/>
          <w:b/>
          <w:i/>
          <w:sz w:val="22"/>
        </w:rPr>
      </w:pPr>
      <w:r>
        <w:rPr>
          <w:rFonts w:ascii="Palatino Linotype" w:hAnsi="Palatino Linotype"/>
          <w:b/>
          <w:i/>
          <w:sz w:val="22"/>
        </w:rPr>
        <w:t xml:space="preserve">a) De licitaciones públicas o procedimientos de invitación restringida: </w:t>
      </w:r>
    </w:p>
    <w:p w:rsidR="00422796" w:rsidRDefault="008E2E55">
      <w:pPr>
        <w:ind w:left="851" w:right="899"/>
        <w:jc w:val="both"/>
        <w:rPr>
          <w:rFonts w:ascii="Palatino Linotype" w:hAnsi="Palatino Linotype"/>
          <w:i/>
          <w:sz w:val="22"/>
        </w:rPr>
      </w:pPr>
      <w:r>
        <w:rPr>
          <w:rFonts w:ascii="Palatino Linotype" w:hAnsi="Palatino Linotype"/>
          <w:i/>
          <w:sz w:val="22"/>
        </w:rPr>
        <w:t xml:space="preserve">1) La convocatoria o invitación emitida, así como los fundamentos legales aplicados para llevarla a cabo; </w:t>
      </w:r>
    </w:p>
    <w:p w:rsidR="00422796" w:rsidRDefault="008E2E55">
      <w:pPr>
        <w:ind w:left="851" w:right="899"/>
        <w:jc w:val="both"/>
        <w:rPr>
          <w:rFonts w:ascii="Palatino Linotype" w:hAnsi="Palatino Linotype"/>
          <w:i/>
          <w:sz w:val="22"/>
        </w:rPr>
      </w:pPr>
      <w:r>
        <w:rPr>
          <w:rFonts w:ascii="Palatino Linotype" w:hAnsi="Palatino Linotype"/>
          <w:i/>
          <w:sz w:val="22"/>
        </w:rPr>
        <w:t xml:space="preserve">2) Los nombres de los participantes o invitados; </w:t>
      </w:r>
    </w:p>
    <w:p w:rsidR="00422796" w:rsidRDefault="008E2E55">
      <w:pPr>
        <w:ind w:left="851" w:right="899"/>
        <w:jc w:val="both"/>
        <w:rPr>
          <w:rFonts w:ascii="Palatino Linotype" w:hAnsi="Palatino Linotype"/>
          <w:i/>
          <w:sz w:val="22"/>
        </w:rPr>
      </w:pPr>
      <w:r>
        <w:rPr>
          <w:rFonts w:ascii="Palatino Linotype" w:hAnsi="Palatino Linotype"/>
          <w:i/>
          <w:sz w:val="22"/>
        </w:rPr>
        <w:t xml:space="preserve">3) El nombre del ganador y las razones que lo justifican; </w:t>
      </w:r>
    </w:p>
    <w:p w:rsidR="00422796" w:rsidRDefault="008E2E55">
      <w:pPr>
        <w:ind w:left="851" w:right="899"/>
        <w:jc w:val="both"/>
        <w:rPr>
          <w:rFonts w:ascii="Palatino Linotype" w:hAnsi="Palatino Linotype"/>
          <w:i/>
          <w:sz w:val="22"/>
        </w:rPr>
      </w:pPr>
      <w:r>
        <w:rPr>
          <w:rFonts w:ascii="Palatino Linotype" w:hAnsi="Palatino Linotype"/>
          <w:i/>
          <w:sz w:val="22"/>
        </w:rPr>
        <w:t xml:space="preserve">4) El área solicitante y la responsable de su ejecución; </w:t>
      </w:r>
    </w:p>
    <w:p w:rsidR="00422796" w:rsidRDefault="008E2E55">
      <w:pPr>
        <w:ind w:left="851" w:right="899"/>
        <w:jc w:val="both"/>
        <w:rPr>
          <w:rFonts w:ascii="Palatino Linotype" w:hAnsi="Palatino Linotype"/>
          <w:i/>
          <w:sz w:val="22"/>
        </w:rPr>
      </w:pPr>
      <w:r>
        <w:rPr>
          <w:rFonts w:ascii="Palatino Linotype" w:hAnsi="Palatino Linotype"/>
          <w:i/>
          <w:sz w:val="22"/>
        </w:rPr>
        <w:t xml:space="preserve">5) Las convocatorias e invitaciones emitidas; </w:t>
      </w:r>
    </w:p>
    <w:p w:rsidR="00422796" w:rsidRDefault="008E2E55">
      <w:pPr>
        <w:ind w:left="851" w:right="899"/>
        <w:jc w:val="both"/>
        <w:rPr>
          <w:rFonts w:ascii="Palatino Linotype" w:hAnsi="Palatino Linotype"/>
          <w:i/>
          <w:sz w:val="22"/>
        </w:rPr>
      </w:pPr>
      <w:r>
        <w:rPr>
          <w:rFonts w:ascii="Palatino Linotype" w:hAnsi="Palatino Linotype"/>
          <w:i/>
          <w:sz w:val="22"/>
        </w:rPr>
        <w:t xml:space="preserve">6) Los dictámenes y fallo de adjudicación; </w:t>
      </w:r>
    </w:p>
    <w:p w:rsidR="00422796" w:rsidRDefault="008E2E55">
      <w:pPr>
        <w:ind w:left="851" w:right="899"/>
        <w:jc w:val="both"/>
        <w:rPr>
          <w:rFonts w:ascii="Palatino Linotype" w:hAnsi="Palatino Linotype"/>
          <w:i/>
          <w:sz w:val="22"/>
        </w:rPr>
      </w:pPr>
      <w:r>
        <w:rPr>
          <w:rFonts w:ascii="Palatino Linotype" w:hAnsi="Palatino Linotype"/>
          <w:i/>
          <w:sz w:val="22"/>
        </w:rPr>
        <w:t xml:space="preserve">7) El contrato y, en su caso, sus anexos; </w:t>
      </w:r>
    </w:p>
    <w:p w:rsidR="00422796" w:rsidRDefault="008E2E55">
      <w:pPr>
        <w:ind w:left="851" w:right="899"/>
        <w:jc w:val="both"/>
        <w:rPr>
          <w:rFonts w:ascii="Palatino Linotype" w:hAnsi="Palatino Linotype"/>
          <w:i/>
          <w:sz w:val="22"/>
        </w:rPr>
      </w:pPr>
      <w:r>
        <w:rPr>
          <w:rFonts w:ascii="Palatino Linotype" w:hAnsi="Palatino Linotype"/>
          <w:i/>
          <w:sz w:val="22"/>
        </w:rPr>
        <w:t xml:space="preserve">8) Los mecanismos de vigilancia y supervisión, incluyendo en su caso, los estudios de impacto urbano y ambiental, según corresponda; </w:t>
      </w:r>
    </w:p>
    <w:p w:rsidR="00422796" w:rsidRDefault="008E2E55">
      <w:pPr>
        <w:ind w:left="851" w:right="899"/>
        <w:jc w:val="both"/>
        <w:rPr>
          <w:rFonts w:ascii="Palatino Linotype" w:hAnsi="Palatino Linotype"/>
          <w:i/>
          <w:sz w:val="22"/>
        </w:rPr>
      </w:pPr>
      <w:r>
        <w:rPr>
          <w:rFonts w:ascii="Palatino Linotype" w:hAnsi="Palatino Linotype"/>
          <w:i/>
          <w:sz w:val="22"/>
        </w:rPr>
        <w:t xml:space="preserve">9) La partida presupuestal, de conformidad con el clasificador por objeto del gasto, en el caso de ser aplicable; </w:t>
      </w:r>
    </w:p>
    <w:p w:rsidR="00422796" w:rsidRDefault="008E2E55">
      <w:pPr>
        <w:ind w:left="851" w:right="899"/>
        <w:jc w:val="both"/>
        <w:rPr>
          <w:rFonts w:ascii="Palatino Linotype" w:hAnsi="Palatino Linotype"/>
          <w:i/>
          <w:sz w:val="22"/>
        </w:rPr>
      </w:pPr>
      <w:r>
        <w:rPr>
          <w:rFonts w:ascii="Palatino Linotype" w:hAnsi="Palatino Linotype"/>
          <w:i/>
          <w:sz w:val="22"/>
        </w:rPr>
        <w:t xml:space="preserve">10) Origen de los recursos especificando si son federales, estatales o municipales, así como el tipo de fondo de participación o aportación respectiva; </w:t>
      </w:r>
    </w:p>
    <w:p w:rsidR="00422796" w:rsidRDefault="008E2E55">
      <w:pPr>
        <w:ind w:left="851" w:right="899"/>
        <w:jc w:val="both"/>
        <w:rPr>
          <w:rFonts w:ascii="Palatino Linotype" w:hAnsi="Palatino Linotype"/>
          <w:i/>
          <w:sz w:val="22"/>
        </w:rPr>
      </w:pPr>
      <w:r>
        <w:rPr>
          <w:rFonts w:ascii="Palatino Linotype" w:hAnsi="Palatino Linotype"/>
          <w:i/>
          <w:sz w:val="22"/>
        </w:rPr>
        <w:t xml:space="preserve">11) Los convenios modificatorios que, en su caso, sean firmados, precisando el objeto y la fecha de celebración; </w:t>
      </w:r>
    </w:p>
    <w:p w:rsidR="00422796" w:rsidRDefault="008E2E55">
      <w:pPr>
        <w:ind w:left="851" w:right="899"/>
        <w:jc w:val="both"/>
        <w:rPr>
          <w:rFonts w:ascii="Palatino Linotype" w:hAnsi="Palatino Linotype"/>
          <w:i/>
          <w:sz w:val="22"/>
        </w:rPr>
      </w:pPr>
      <w:r>
        <w:rPr>
          <w:rFonts w:ascii="Palatino Linotype" w:hAnsi="Palatino Linotype"/>
          <w:i/>
          <w:sz w:val="22"/>
        </w:rPr>
        <w:t xml:space="preserve">12) Los informes de avance físico y financiero sobre las obras o servicios contratados; </w:t>
      </w:r>
    </w:p>
    <w:p w:rsidR="00422796" w:rsidRDefault="008E2E55">
      <w:pPr>
        <w:ind w:left="851" w:right="899"/>
        <w:jc w:val="both"/>
        <w:rPr>
          <w:rFonts w:ascii="Palatino Linotype" w:hAnsi="Palatino Linotype"/>
          <w:i/>
          <w:sz w:val="22"/>
        </w:rPr>
      </w:pPr>
      <w:r>
        <w:rPr>
          <w:rFonts w:ascii="Palatino Linotype" w:hAnsi="Palatino Linotype"/>
          <w:i/>
          <w:sz w:val="22"/>
        </w:rPr>
        <w:t xml:space="preserve">13) El convenio de terminación; y </w:t>
      </w:r>
    </w:p>
    <w:p w:rsidR="00422796" w:rsidRDefault="008E2E55">
      <w:pPr>
        <w:ind w:left="851" w:right="899"/>
        <w:jc w:val="both"/>
        <w:rPr>
          <w:rFonts w:ascii="Palatino Linotype" w:hAnsi="Palatino Linotype"/>
          <w:i/>
          <w:sz w:val="22"/>
        </w:rPr>
      </w:pPr>
      <w:r>
        <w:rPr>
          <w:rFonts w:ascii="Palatino Linotype" w:hAnsi="Palatino Linotype"/>
          <w:i/>
          <w:sz w:val="22"/>
        </w:rPr>
        <w:t xml:space="preserve">14) El finiquito. </w:t>
      </w:r>
    </w:p>
    <w:p w:rsidR="00422796" w:rsidRDefault="008E2E55">
      <w:pPr>
        <w:ind w:left="851" w:right="899"/>
        <w:jc w:val="both"/>
        <w:rPr>
          <w:rFonts w:ascii="Palatino Linotype" w:hAnsi="Palatino Linotype"/>
          <w:b/>
          <w:i/>
          <w:sz w:val="22"/>
        </w:rPr>
      </w:pPr>
      <w:r>
        <w:rPr>
          <w:rFonts w:ascii="Palatino Linotype" w:hAnsi="Palatino Linotype"/>
          <w:b/>
          <w:i/>
          <w:sz w:val="22"/>
        </w:rPr>
        <w:t xml:space="preserve">b) De las adjudicaciones directas: </w:t>
      </w:r>
    </w:p>
    <w:p w:rsidR="00422796" w:rsidRDefault="008E2E55">
      <w:pPr>
        <w:ind w:left="851" w:right="899"/>
        <w:jc w:val="both"/>
        <w:rPr>
          <w:rFonts w:ascii="Palatino Linotype" w:hAnsi="Palatino Linotype"/>
          <w:b/>
          <w:i/>
          <w:sz w:val="22"/>
        </w:rPr>
      </w:pPr>
      <w:r>
        <w:rPr>
          <w:rFonts w:ascii="Palatino Linotype" w:hAnsi="Palatino Linotype"/>
          <w:b/>
          <w:i/>
          <w:sz w:val="22"/>
        </w:rPr>
        <w:t xml:space="preserve">1) La propuesta enviada por el participante; </w:t>
      </w:r>
    </w:p>
    <w:p w:rsidR="00422796" w:rsidRDefault="008E2E55">
      <w:pPr>
        <w:ind w:left="851" w:right="899"/>
        <w:jc w:val="both"/>
        <w:rPr>
          <w:rFonts w:ascii="Palatino Linotype" w:hAnsi="Palatino Linotype"/>
          <w:i/>
          <w:sz w:val="22"/>
        </w:rPr>
      </w:pPr>
      <w:r>
        <w:rPr>
          <w:rFonts w:ascii="Palatino Linotype" w:hAnsi="Palatino Linotype"/>
          <w:i/>
          <w:sz w:val="22"/>
        </w:rPr>
        <w:lastRenderedPageBreak/>
        <w:t xml:space="preserve">2) Los motivos y fundamentos legales aplicados para llevarla a cabo; </w:t>
      </w:r>
    </w:p>
    <w:p w:rsidR="00422796" w:rsidRDefault="008E2E55">
      <w:pPr>
        <w:ind w:left="851" w:right="899"/>
        <w:jc w:val="both"/>
        <w:rPr>
          <w:rFonts w:ascii="Palatino Linotype" w:hAnsi="Palatino Linotype"/>
          <w:i/>
          <w:sz w:val="22"/>
        </w:rPr>
      </w:pPr>
      <w:r>
        <w:rPr>
          <w:rFonts w:ascii="Palatino Linotype" w:hAnsi="Palatino Linotype"/>
          <w:i/>
          <w:sz w:val="22"/>
        </w:rPr>
        <w:t xml:space="preserve">3) La autorización del ejercicio de la opción; </w:t>
      </w:r>
    </w:p>
    <w:p w:rsidR="00422796" w:rsidRDefault="008E2E55">
      <w:pPr>
        <w:ind w:left="851" w:right="899"/>
        <w:jc w:val="both"/>
        <w:rPr>
          <w:rFonts w:ascii="Palatino Linotype" w:hAnsi="Palatino Linotype"/>
          <w:b/>
          <w:i/>
          <w:sz w:val="22"/>
        </w:rPr>
      </w:pPr>
      <w:r>
        <w:rPr>
          <w:rFonts w:ascii="Palatino Linotype" w:hAnsi="Palatino Linotype"/>
          <w:b/>
          <w:i/>
          <w:sz w:val="22"/>
        </w:rPr>
        <w:t xml:space="preserve">4) En su caso, las cotizaciones consideradas, especificando los nombres de los proveedores y sus montos; </w:t>
      </w:r>
    </w:p>
    <w:p w:rsidR="00422796" w:rsidRDefault="008E2E55">
      <w:pPr>
        <w:ind w:left="851" w:right="899"/>
        <w:jc w:val="both"/>
        <w:rPr>
          <w:rFonts w:ascii="Palatino Linotype" w:hAnsi="Palatino Linotype"/>
          <w:b/>
          <w:i/>
          <w:sz w:val="22"/>
        </w:rPr>
      </w:pPr>
      <w:r>
        <w:rPr>
          <w:rFonts w:ascii="Palatino Linotype" w:hAnsi="Palatino Linotype"/>
          <w:b/>
          <w:i/>
          <w:sz w:val="22"/>
        </w:rPr>
        <w:t>5) El nombre de la persona física o jurídica colectiva adjudicada;</w:t>
      </w:r>
    </w:p>
    <w:p w:rsidR="00422796" w:rsidRDefault="008E2E55">
      <w:pPr>
        <w:ind w:left="851" w:right="899"/>
        <w:jc w:val="both"/>
        <w:rPr>
          <w:rFonts w:ascii="Palatino Linotype" w:hAnsi="Palatino Linotype"/>
          <w:i/>
          <w:sz w:val="22"/>
        </w:rPr>
      </w:pPr>
      <w:r>
        <w:rPr>
          <w:rFonts w:ascii="Palatino Linotype" w:hAnsi="Palatino Linotype"/>
          <w:i/>
          <w:sz w:val="22"/>
        </w:rPr>
        <w:t xml:space="preserve">6) La unidad administrativa solicitante y la responsable de su ejecución; </w:t>
      </w:r>
    </w:p>
    <w:p w:rsidR="00422796" w:rsidRDefault="008E2E55">
      <w:pPr>
        <w:ind w:left="851" w:right="899"/>
        <w:jc w:val="both"/>
        <w:rPr>
          <w:rFonts w:ascii="Palatino Linotype" w:hAnsi="Palatino Linotype"/>
          <w:i/>
          <w:sz w:val="22"/>
        </w:rPr>
      </w:pPr>
      <w:r>
        <w:rPr>
          <w:rFonts w:ascii="Palatino Linotype" w:hAnsi="Palatino Linotype"/>
          <w:b/>
          <w:i/>
          <w:sz w:val="22"/>
        </w:rPr>
        <w:t>7)</w:t>
      </w:r>
      <w:r>
        <w:rPr>
          <w:rFonts w:ascii="Palatino Linotype" w:hAnsi="Palatino Linotype"/>
          <w:i/>
          <w:sz w:val="22"/>
        </w:rPr>
        <w:t xml:space="preserve"> El número, fecha, el </w:t>
      </w:r>
      <w:r>
        <w:rPr>
          <w:rFonts w:ascii="Palatino Linotype" w:hAnsi="Palatino Linotype"/>
          <w:b/>
          <w:i/>
          <w:sz w:val="22"/>
        </w:rPr>
        <w:t>monto del contrato</w:t>
      </w:r>
      <w:r>
        <w:rPr>
          <w:rFonts w:ascii="Palatino Linotype" w:hAnsi="Palatino Linotype"/>
          <w:i/>
          <w:sz w:val="22"/>
        </w:rPr>
        <w:t xml:space="preserve"> y el plazo de entrega o de ejecución de los servicios u obra; </w:t>
      </w:r>
    </w:p>
    <w:p w:rsidR="00422796" w:rsidRDefault="008E2E55">
      <w:pPr>
        <w:ind w:left="851" w:right="899"/>
        <w:jc w:val="both"/>
        <w:rPr>
          <w:rFonts w:ascii="Palatino Linotype" w:hAnsi="Palatino Linotype"/>
          <w:i/>
          <w:sz w:val="22"/>
        </w:rPr>
      </w:pPr>
      <w:r>
        <w:rPr>
          <w:rFonts w:ascii="Palatino Linotype" w:hAnsi="Palatino Linotype"/>
          <w:i/>
          <w:sz w:val="22"/>
        </w:rPr>
        <w:t xml:space="preserve">8) Los mecanismos de vigilancia y supervisión, incluyendo, en su caso, los estudios de impacto urbano y ambiental, según corresponda; </w:t>
      </w:r>
    </w:p>
    <w:p w:rsidR="00422796" w:rsidRDefault="008E2E55">
      <w:pPr>
        <w:ind w:left="851" w:right="899"/>
        <w:jc w:val="both"/>
        <w:rPr>
          <w:rFonts w:ascii="Palatino Linotype" w:hAnsi="Palatino Linotype"/>
          <w:i/>
          <w:sz w:val="22"/>
        </w:rPr>
      </w:pPr>
      <w:r>
        <w:rPr>
          <w:rFonts w:ascii="Palatino Linotype" w:hAnsi="Palatino Linotype"/>
          <w:i/>
          <w:sz w:val="22"/>
        </w:rPr>
        <w:t xml:space="preserve">9) Los informes de avance sobre las obras o servicios contratados; </w:t>
      </w:r>
    </w:p>
    <w:p w:rsidR="00422796" w:rsidRDefault="008E2E55">
      <w:pPr>
        <w:ind w:left="851" w:right="899"/>
        <w:jc w:val="both"/>
        <w:rPr>
          <w:rFonts w:ascii="Palatino Linotype" w:hAnsi="Palatino Linotype"/>
          <w:i/>
          <w:sz w:val="22"/>
        </w:rPr>
      </w:pPr>
      <w:r>
        <w:rPr>
          <w:rFonts w:ascii="Palatino Linotype" w:hAnsi="Palatino Linotype"/>
          <w:i/>
          <w:sz w:val="22"/>
        </w:rPr>
        <w:t xml:space="preserve">10) El convenio de terminación; y </w:t>
      </w:r>
    </w:p>
    <w:p w:rsidR="00422796" w:rsidRDefault="008E2E55">
      <w:pPr>
        <w:ind w:left="851" w:right="899"/>
        <w:jc w:val="both"/>
        <w:rPr>
          <w:rFonts w:ascii="Palatino Linotype" w:hAnsi="Palatino Linotype"/>
          <w:i/>
          <w:sz w:val="22"/>
        </w:rPr>
      </w:pPr>
      <w:r>
        <w:rPr>
          <w:rFonts w:ascii="Palatino Linotype" w:hAnsi="Palatino Linotype"/>
          <w:i/>
          <w:sz w:val="22"/>
        </w:rPr>
        <w:t>11) El finiquito.”</w:t>
      </w:r>
    </w:p>
    <w:p w:rsidR="00422796" w:rsidRDefault="008E2E55">
      <w:pPr>
        <w:ind w:left="851" w:right="899"/>
        <w:jc w:val="both"/>
        <w:rPr>
          <w:rFonts w:ascii="Palatino Linotype" w:hAnsi="Palatino Linotype"/>
          <w:sz w:val="22"/>
        </w:rPr>
      </w:pPr>
      <w:r>
        <w:rPr>
          <w:rFonts w:ascii="Palatino Linotype" w:hAnsi="Palatino Linotype"/>
          <w:sz w:val="22"/>
        </w:rPr>
        <w:t>(Énfasis añadido)</w:t>
      </w:r>
    </w:p>
    <w:p w:rsidR="00422796" w:rsidRDefault="00942738">
      <w:pPr>
        <w:spacing w:beforeAutospacing="1" w:afterAutospacing="1"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1984374</wp:posOffset>
                </wp:positionV>
                <wp:extent cx="5943600" cy="2638425"/>
                <wp:effectExtent l="38100" t="38100" r="76200" b="85725"/>
                <wp:wrapNone/>
                <wp:docPr id="16" name="Conector recto 16"/>
                <wp:cNvGraphicFramePr/>
                <a:graphic xmlns:a="http://schemas.openxmlformats.org/drawingml/2006/main">
                  <a:graphicData uri="http://schemas.microsoft.com/office/word/2010/wordprocessingShape">
                    <wps:wsp>
                      <wps:cNvCnPr/>
                      <wps:spPr>
                        <a:xfrm>
                          <a:off x="0" y="0"/>
                          <a:ext cx="5943600" cy="2638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53151A" id="Conector recto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56.25pt" to="466.2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" strokecolor="#4f81bd [3204]" strokeweight="2pt">
                <v:shadow on="t" color="black" opacity="24903f" origin=",.5" offset="0,.55556mm"/>
              </v:line>
            </w:pict>
          </mc:Fallback>
        </mc:AlternateContent>
      </w:r>
      <w:r w:rsidR="008E2E55">
        <w:rPr>
          <w:rFonts w:ascii="Palatino Linotype" w:hAnsi="Palatino Linotype"/>
        </w:rPr>
        <w:t xml:space="preserve">En esa virtud, esta Ponencia Resolutora analizó el Portal IPOMEX del </w:t>
      </w:r>
      <w:r w:rsidR="008E2E55">
        <w:rPr>
          <w:rFonts w:ascii="Palatino Linotype" w:hAnsi="Palatino Linotype"/>
          <w:b/>
        </w:rPr>
        <w:t>SUJETO OBLIGADO</w:t>
      </w:r>
      <w:r w:rsidR="008E2E55">
        <w:rPr>
          <w:rStyle w:val="FootnoteAnchor"/>
          <w:rFonts w:ascii="Palatino Linotype" w:hAnsi="Palatino Linotype"/>
          <w:b/>
        </w:rPr>
        <w:footnoteReference w:id="3"/>
      </w:r>
      <w:r w:rsidR="008E2E55">
        <w:rPr>
          <w:rFonts w:ascii="Palatino Linotype" w:hAnsi="Palatino Linotype"/>
        </w:rPr>
        <w:t xml:space="preserve"> y advirtió que la información publicada únicamente contempla 19 obras públicas y la Dirección de Administración sólo se pronunció respecto a un trimestre del año, sin que exista pronunciamiento de otras áreas que hubieren llevado a cabo los procedimientos requeridos; por lo que es claro que se encuentra incompleta. Sirve de sustento a lo anterior, la siguiente imagen ilustrativa:</w:t>
      </w:r>
    </w:p>
    <w:p w:rsidR="00422796" w:rsidRDefault="008E2E55">
      <w:pPr>
        <w:spacing w:beforeAutospacing="1" w:afterAutospacing="1" w:line="360" w:lineRule="auto"/>
        <w:jc w:val="both"/>
        <w:rPr>
          <w:rFonts w:ascii="Palatino Linotype" w:hAnsi="Palatino Linotype"/>
        </w:rPr>
      </w:pPr>
      <w:r>
        <w:rPr>
          <w:noProof/>
          <w:lang w:eastAsia="es-MX"/>
        </w:rPr>
        <w:lastRenderedPageBreak/>
        <w:drawing>
          <wp:inline distT="0" distB="0" distL="0" distR="0">
            <wp:extent cx="5791200" cy="280035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noChangeArrowheads="1"/>
                    </pic:cNvPicPr>
                  </pic:nvPicPr>
                  <pic:blipFill>
                    <a:blip r:embed="rId14"/>
                    <a:srcRect l="19570" t="28081" r="35867" b="15468"/>
                    <a:stretch>
                      <a:fillRect/>
                    </a:stretch>
                  </pic:blipFill>
                  <pic:spPr bwMode="auto">
                    <a:xfrm>
                      <a:off x="0" y="0"/>
                      <a:ext cx="5791200" cy="2800350"/>
                    </a:xfrm>
                    <a:prstGeom prst="rect">
                      <a:avLst/>
                    </a:prstGeom>
                  </pic:spPr>
                </pic:pic>
              </a:graphicData>
            </a:graphic>
          </wp:inline>
        </w:drawing>
      </w:r>
    </w:p>
    <w:p w:rsidR="00422796" w:rsidRDefault="008E2E55">
      <w:pPr>
        <w:spacing w:beforeAutospacing="1" w:afterAutospacing="1" w:line="360" w:lineRule="auto"/>
        <w:jc w:val="both"/>
        <w:rPr>
          <w:rFonts w:ascii="Palatino Linotype" w:hAnsi="Palatino Linotype"/>
        </w:rPr>
      </w:pPr>
      <w:r>
        <w:rPr>
          <w:rFonts w:ascii="Palatino Linotype" w:hAnsi="Palatino Linotype"/>
        </w:rPr>
        <w:t xml:space="preserve">Por otra parte, conviene resaltar que la </w:t>
      </w:r>
      <w:r>
        <w:rPr>
          <w:rFonts w:ascii="Palatino Linotype" w:hAnsi="Palatino Linotype" w:cs="Arial"/>
        </w:rPr>
        <w:t xml:space="preserve">información requerida, invariablemente implica el uso y destino de recursos públicos; por ello, de conformidad con el artículo 24, fracción XVIII de la Ley de Transparencia y Acceso a la Información Pública del Estado de México y Municipios, </w:t>
      </w:r>
      <w:r>
        <w:rPr>
          <w:rFonts w:ascii="Palatino Linotype" w:hAnsi="Palatino Linotype" w:cs="Arial"/>
          <w:b/>
        </w:rPr>
        <w:t>EL SUJETO OBLIGADO</w:t>
      </w:r>
      <w:r>
        <w:rPr>
          <w:rFonts w:ascii="Palatino Linotype" w:hAnsi="Palatino Linotype" w:cs="Arial"/>
        </w:rPr>
        <w:t xml:space="preserve"> tiene la obligación de hacer pública toda aquella información</w:t>
      </w:r>
      <w:r>
        <w:t xml:space="preserve"> </w:t>
      </w:r>
      <w:r>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422796" w:rsidRDefault="008E2E55">
      <w:pPr>
        <w:ind w:left="851" w:right="902"/>
        <w:jc w:val="both"/>
        <w:rPr>
          <w:rFonts w:ascii="Palatino Linotype" w:hAnsi="Palatino Linotype"/>
          <w:i/>
          <w:sz w:val="22"/>
        </w:rPr>
      </w:pPr>
      <w:r>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422796" w:rsidRDefault="008E2E55">
      <w:pPr>
        <w:ind w:left="851" w:right="902"/>
        <w:jc w:val="both"/>
        <w:rPr>
          <w:rFonts w:ascii="Palatino Linotype" w:hAnsi="Palatino Linotype"/>
          <w:i/>
          <w:sz w:val="22"/>
        </w:rPr>
      </w:pPr>
      <w:r>
        <w:rPr>
          <w:rFonts w:ascii="Palatino Linotype" w:hAnsi="Palatino Linotype"/>
          <w:i/>
          <w:sz w:val="22"/>
        </w:rPr>
        <w:t>…</w:t>
      </w:r>
    </w:p>
    <w:p w:rsidR="00422796" w:rsidRDefault="008E2E55">
      <w:pPr>
        <w:ind w:left="851" w:right="902"/>
        <w:jc w:val="both"/>
        <w:rPr>
          <w:rFonts w:ascii="Palatino Linotype" w:hAnsi="Palatino Linotype" w:cs="Arial"/>
          <w:i/>
          <w:sz w:val="22"/>
        </w:rPr>
      </w:pPr>
      <w:r>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422796" w:rsidRDefault="008E2E55">
      <w:pPr>
        <w:spacing w:beforeAutospacing="1" w:afterAutospacing="1" w:line="360" w:lineRule="auto"/>
        <w:jc w:val="both"/>
        <w:rPr>
          <w:rFonts w:ascii="Palatino Linotype" w:eastAsia="Calibri" w:hAnsi="Palatino Linotype"/>
          <w:lang w:val="es-ES"/>
        </w:rPr>
      </w:pPr>
      <w:r>
        <w:rPr>
          <w:rFonts w:ascii="Palatino Linotype" w:eastAsia="Calibri" w:hAnsi="Palatino Linotype"/>
          <w:lang w:val="es-ES"/>
        </w:rPr>
        <w:lastRenderedPageBreak/>
        <w:t>En esa virtud, es de reiterar que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422796" w:rsidRDefault="008E2E55">
      <w:pPr>
        <w:pStyle w:val="Prrafodelista"/>
        <w:widowControl w:val="0"/>
        <w:tabs>
          <w:tab w:val="left" w:pos="1276"/>
        </w:tabs>
        <w:spacing w:before="240" w:afterAutospacing="1" w:line="360" w:lineRule="auto"/>
        <w:ind w:left="0" w:right="49"/>
        <w:jc w:val="both"/>
        <w:rPr>
          <w:rFonts w:ascii="Palatino Linotype" w:eastAsia="Calibri" w:hAnsi="Palatino Linotype"/>
          <w:lang w:val="es-ES"/>
        </w:rPr>
      </w:pPr>
      <w:r>
        <w:rPr>
          <w:rFonts w:ascii="Palatino Linotype" w:hAnsi="Palatino Linotype" w:cs="Arial"/>
        </w:rPr>
        <w:t xml:space="preserve">Finalmente, esta </w:t>
      </w:r>
      <w:r>
        <w:rPr>
          <w:rFonts w:ascii="Palatino Linotype" w:eastAsia="Calibri" w:hAnsi="Palatino Linotype"/>
          <w:lang w:val="es-ES"/>
        </w:rPr>
        <w:t>Ponencia Resolutora advirtió que el artículo 84 de la citada Ley de Contratación Pública Mexiquense establece que los ayuntamientos conservarán en sus archivos, en forma ordenada, la documentación comprobatoria de los actos, procedimientos y contratos materia de esta Ley, cuando menos por el lapso de cinco años, contado a partir de la fecha de su celebración.</w:t>
      </w:r>
    </w:p>
    <w:p w:rsidR="00422796" w:rsidRDefault="008E2E55">
      <w:pPr>
        <w:spacing w:beforeAutospacing="1" w:afterAutospacing="1" w:line="360" w:lineRule="auto"/>
        <w:jc w:val="both"/>
        <w:rPr>
          <w:rFonts w:ascii="Palatino Linotype" w:hAnsi="Palatino Linotype"/>
        </w:rPr>
      </w:pPr>
      <w:r>
        <w:rPr>
          <w:rFonts w:ascii="Palatino Linotype" w:hAnsi="Palatino Linotype"/>
        </w:rPr>
        <w:t>Bajo esa óptica, es importante resaltar que ante la fuente obligacional descrita en el párrafo que antecede,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422796" w:rsidRDefault="008E2E55">
      <w:pPr>
        <w:spacing w:beforeAutospacing="1" w:afterAutospacing="1" w:line="360" w:lineRule="auto"/>
        <w:jc w:val="both"/>
        <w:rPr>
          <w:rFonts w:ascii="Palatino Linotype" w:hAnsi="Palatino Linotype"/>
        </w:rPr>
      </w:pPr>
      <w:r>
        <w:rPr>
          <w:rFonts w:ascii="Palatino Linotype" w:hAnsi="Palatino Linotype"/>
        </w:rPr>
        <w:t xml:space="preserve">En mérito de lo expuesto, este Instituto determina que </w:t>
      </w:r>
      <w:r>
        <w:rPr>
          <w:rFonts w:ascii="Palatino Linotype" w:hAnsi="Palatino Linotype"/>
          <w:b/>
        </w:rPr>
        <w:t>EL SUJETO OBLIGADO</w:t>
      </w:r>
      <w:r>
        <w:rPr>
          <w:rFonts w:ascii="Palatino Linotype" w:hAnsi="Palatino Linotype"/>
        </w:rPr>
        <w:t xml:space="preserve"> cuenta con la información solicitada, misma que deberá entregar en </w:t>
      </w:r>
      <w:r>
        <w:rPr>
          <w:rFonts w:ascii="Palatino Linotype" w:hAnsi="Palatino Linotype"/>
          <w:b/>
        </w:rPr>
        <w:t>versión pública</w:t>
      </w:r>
      <w:r>
        <w:rPr>
          <w:rFonts w:ascii="Palatino Linotype" w:hAnsi="Palatino Linotype"/>
        </w:rPr>
        <w:t>.</w:t>
      </w:r>
    </w:p>
    <w:p w:rsidR="00422796" w:rsidRDefault="008E2E55">
      <w:pPr>
        <w:widowControl w:val="0"/>
        <w:spacing w:beforeAutospacing="1" w:afterAutospacing="1" w:line="360" w:lineRule="auto"/>
        <w:jc w:val="both"/>
        <w:rPr>
          <w:rFonts w:ascii="Palatino Linotype" w:hAnsi="Palatino Linotype" w:cs="Arial"/>
        </w:rPr>
      </w:pPr>
      <w:r>
        <w:rPr>
          <w:rFonts w:ascii="Palatino Linotype" w:hAnsi="Palatino Linotype"/>
        </w:rPr>
        <w:t>En el caso específico, la información solicitada puede contener datos personales, que</w:t>
      </w:r>
      <w:r>
        <w:rPr>
          <w:rFonts w:ascii="Palatino Linotype" w:hAnsi="Palatino Linotype" w:cs="Arial"/>
        </w:rPr>
        <w:t xml:space="preserve"> de hacerse públicos afectarían la intimidad y vida privada de determinadas personas; es por ello, que deben testarse al momento de la elaboración de versiones públicas </w:t>
      </w:r>
      <w:r>
        <w:rPr>
          <w:rFonts w:ascii="Palatino Linotype" w:eastAsia="Arial Unicode MS" w:hAnsi="Palatino Linotype" w:cs="Arial"/>
        </w:rPr>
        <w:t>tales como:</w:t>
      </w:r>
      <w:r>
        <w:rPr>
          <w:rFonts w:ascii="Palatino Linotype" w:hAnsi="Palatino Linotype"/>
          <w:b/>
          <w:lang w:eastAsia="es-MX"/>
        </w:rPr>
        <w:t xml:space="preserve"> </w:t>
      </w:r>
      <w:r>
        <w:rPr>
          <w:rFonts w:ascii="Palatino Linotype" w:eastAsia="Arial Unicode MS" w:hAnsi="Palatino Linotype" w:cs="Arial"/>
          <w:b/>
        </w:rPr>
        <w:t xml:space="preserve">números de cuenta </w:t>
      </w:r>
      <w:r>
        <w:rPr>
          <w:rFonts w:ascii="Palatino Linotype" w:eastAsia="Arial Unicode MS" w:hAnsi="Palatino Linotype" w:cs="Arial"/>
        </w:rPr>
        <w:t>y</w:t>
      </w:r>
      <w:r>
        <w:rPr>
          <w:rFonts w:ascii="Palatino Linotype" w:eastAsia="Arial Unicode MS" w:hAnsi="Palatino Linotype" w:cs="Arial"/>
          <w:b/>
        </w:rPr>
        <w:t xml:space="preserve"> CLABE’s interbancarias.</w:t>
      </w:r>
    </w:p>
    <w:p w:rsidR="00422796" w:rsidRDefault="008E2E55">
      <w:pPr>
        <w:widowControl w:val="0"/>
        <w:spacing w:before="240" w:after="240" w:line="360" w:lineRule="auto"/>
        <w:jc w:val="both"/>
        <w:rPr>
          <w:rFonts w:ascii="Palatino Linotype" w:hAnsi="Palatino Linotype" w:cs="Arial"/>
        </w:rPr>
      </w:pPr>
      <w:r>
        <w:rPr>
          <w:rFonts w:ascii="Palatino Linotype" w:hAnsi="Palatino Linotype" w:cs="Arial"/>
        </w:rPr>
        <w:lastRenderedPageBreak/>
        <w:t xml:space="preserve">Por cuanto hace a las </w:t>
      </w:r>
      <w:r>
        <w:rPr>
          <w:rFonts w:ascii="Palatino Linotype" w:hAnsi="Palatino Linotype" w:cs="Arial"/>
          <w:b/>
        </w:rPr>
        <w:t>cuentas bancarias y clabes interbancarias</w:t>
      </w:r>
      <w:r>
        <w:rPr>
          <w:rFonts w:ascii="Palatino Linotype" w:hAnsi="Palatino Linotype" w:cs="Arial"/>
        </w:rPr>
        <w:t xml:space="preserve">, es de precisar que dicha información es información confidencial únicamente por lo que concierne a los particulares, no así del </w:t>
      </w:r>
      <w:r>
        <w:rPr>
          <w:rFonts w:ascii="Palatino Linotype" w:hAnsi="Palatino Linotype" w:cs="Arial"/>
          <w:b/>
        </w:rPr>
        <w:t xml:space="preserve">SUJETO OBLIGADO, </w:t>
      </w:r>
      <w:r>
        <w:rPr>
          <w:rFonts w:ascii="Palatino Linotype" w:hAnsi="Palatino Linotype" w:cs="Arial"/>
        </w:rPr>
        <w:t>toda vez que su publicidad abona a la transparencia y a la rendición de cuentas.</w:t>
      </w:r>
    </w:p>
    <w:p w:rsidR="00422796" w:rsidRDefault="008E2E55">
      <w:pPr>
        <w:spacing w:before="240" w:after="240" w:line="360" w:lineRule="auto"/>
        <w:jc w:val="both"/>
        <w:rPr>
          <w:rFonts w:ascii="Palatino Linotype" w:eastAsia="Calibri" w:hAnsi="Palatino Linotype"/>
        </w:rPr>
      </w:pPr>
      <w:r>
        <w:rPr>
          <w:rFonts w:ascii="Palatino Linotype" w:eastAsia="Calibri" w:hAnsi="Palatino Linotype"/>
        </w:rPr>
        <w:t xml:space="preserve">En este sentido, es importante precisar que, de acuerdo al </w:t>
      </w:r>
      <w:r>
        <w:rPr>
          <w:rFonts w:ascii="Palatino Linotype" w:eastAsia="Calibri" w:hAnsi="Palatino Linotype"/>
          <w:b/>
        </w:rPr>
        <w:t>criterio 11/17</w:t>
      </w:r>
      <w:r>
        <w:rPr>
          <w:rFonts w:ascii="Palatino Linotype" w:eastAsia="Calibri" w:hAnsi="Palatino Linotype"/>
        </w:rPr>
        <w:t xml:space="preserve"> emitido por el INAI, las cuentas bancarias y/o clabes interbancarias de los Sujetos Obligados es información de carácter público. </w:t>
      </w:r>
    </w:p>
    <w:p w:rsidR="00422796" w:rsidRDefault="008E2E55">
      <w:pPr>
        <w:tabs>
          <w:tab w:val="left" w:pos="8222"/>
        </w:tabs>
        <w:ind w:left="851" w:right="902"/>
        <w:jc w:val="center"/>
        <w:rPr>
          <w:rFonts w:ascii="Palatino Linotype" w:hAnsi="Palatino Linotype" w:cs="Arial"/>
          <w:b/>
          <w:color w:val="000000"/>
          <w:sz w:val="22"/>
          <w:szCs w:val="22"/>
        </w:rPr>
      </w:pPr>
      <w:r>
        <w:rPr>
          <w:rFonts w:ascii="Palatino Linotype" w:hAnsi="Palatino Linotype" w:cs="Arial"/>
          <w:color w:val="000000"/>
          <w:sz w:val="22"/>
          <w:szCs w:val="22"/>
        </w:rPr>
        <w:t>“</w:t>
      </w:r>
      <w:r>
        <w:rPr>
          <w:rFonts w:ascii="Palatino Linotype" w:hAnsi="Palatino Linotype" w:cs="Arial"/>
          <w:b/>
          <w:color w:val="000000"/>
          <w:sz w:val="22"/>
          <w:szCs w:val="22"/>
        </w:rPr>
        <w:t>Criterio 11/17</w:t>
      </w:r>
    </w:p>
    <w:p w:rsidR="00422796" w:rsidRDefault="008E2E55">
      <w:pPr>
        <w:tabs>
          <w:tab w:val="left" w:pos="8222"/>
        </w:tabs>
        <w:ind w:left="851" w:right="902"/>
        <w:jc w:val="both"/>
        <w:rPr>
          <w:rFonts w:ascii="Palatino Linotype" w:hAnsi="Palatino Linotype"/>
          <w:i/>
          <w:sz w:val="22"/>
          <w:szCs w:val="22"/>
        </w:rPr>
      </w:pPr>
      <w:r>
        <w:rPr>
          <w:rFonts w:ascii="Palatino Linotype" w:hAnsi="Palatino Linotype"/>
          <w:b/>
          <w:i/>
          <w:sz w:val="22"/>
          <w:szCs w:val="22"/>
        </w:rPr>
        <w:t>Cuentas bancarias y/o CLABE interbancaria de sujetos obligados que reciben y/o transfieren recursos públicos, son información pública.</w:t>
      </w:r>
      <w:r>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422796" w:rsidRDefault="008E2E55">
      <w:pPr>
        <w:tabs>
          <w:tab w:val="left" w:pos="8222"/>
        </w:tabs>
        <w:ind w:left="851" w:right="902"/>
        <w:jc w:val="both"/>
        <w:rPr>
          <w:rFonts w:ascii="Palatino Linotype" w:hAnsi="Palatino Linotype"/>
          <w:i/>
          <w:sz w:val="22"/>
          <w:szCs w:val="22"/>
        </w:rPr>
      </w:pPr>
      <w:r>
        <w:rPr>
          <w:rFonts w:ascii="Palatino Linotype" w:hAnsi="Palatino Linotype"/>
          <w:i/>
          <w:sz w:val="22"/>
          <w:szCs w:val="22"/>
        </w:rPr>
        <w:t xml:space="preserve">Resoluciones: </w:t>
      </w:r>
    </w:p>
    <w:p w:rsidR="00422796" w:rsidRDefault="008E2E55">
      <w:pPr>
        <w:tabs>
          <w:tab w:val="left" w:pos="8222"/>
        </w:tabs>
        <w:ind w:left="851" w:right="902"/>
        <w:jc w:val="both"/>
        <w:rPr>
          <w:rFonts w:ascii="Palatino Linotype" w:hAnsi="Palatino Linotype"/>
          <w:i/>
          <w:sz w:val="22"/>
          <w:szCs w:val="22"/>
        </w:rPr>
      </w:pPr>
      <w:r>
        <w:rPr>
          <w:rFonts w:ascii="Symbol" w:eastAsia="Symbol" w:hAnsi="Symbol" w:cs="Symbol"/>
          <w:i/>
          <w:sz w:val="22"/>
          <w:szCs w:val="22"/>
        </w:rPr>
        <w:t></w:t>
      </w:r>
      <w:r>
        <w:rPr>
          <w:rFonts w:ascii="Palatino Linotype" w:hAnsi="Palatino Linotype"/>
          <w:i/>
          <w:sz w:val="22"/>
          <w:szCs w:val="22"/>
        </w:rPr>
        <w:t xml:space="preserve"> RRA 0448/16. NOTIMEX, Agencia de Noticias del Estado Mexicano. 24 de agosto de 2016. Por unanimidad. Comisionado Ponente Joel Salas Suárez.</w:t>
      </w:r>
    </w:p>
    <w:p w:rsidR="00422796" w:rsidRDefault="008E2E55">
      <w:pPr>
        <w:tabs>
          <w:tab w:val="left" w:pos="8222"/>
        </w:tabs>
        <w:ind w:left="851" w:right="902"/>
        <w:jc w:val="both"/>
        <w:rPr>
          <w:rFonts w:ascii="Palatino Linotype" w:hAnsi="Palatino Linotype"/>
          <w:i/>
          <w:sz w:val="22"/>
          <w:szCs w:val="22"/>
        </w:rPr>
      </w:pPr>
      <w:r>
        <w:rPr>
          <w:rFonts w:ascii="Symbol" w:eastAsia="Symbol" w:hAnsi="Symbol" w:cs="Symbol"/>
          <w:i/>
          <w:sz w:val="22"/>
          <w:szCs w:val="22"/>
        </w:rPr>
        <w:t></w:t>
      </w:r>
      <w:r>
        <w:rPr>
          <w:rFonts w:ascii="Palatino Linotype" w:hAnsi="Palatino Linotype"/>
          <w:i/>
          <w:sz w:val="22"/>
          <w:szCs w:val="22"/>
        </w:rPr>
        <w:t xml:space="preserve"> RRA 2787/16. Colegio de Postgraduados. 01 de noviembre de 2016. Por unanimidad. Comisionado Ponente Francisco Javier Acuña Llamas.</w:t>
      </w:r>
    </w:p>
    <w:p w:rsidR="00422796" w:rsidRDefault="008E2E55">
      <w:pPr>
        <w:tabs>
          <w:tab w:val="left" w:pos="8222"/>
        </w:tabs>
        <w:ind w:left="851" w:right="902"/>
        <w:jc w:val="both"/>
        <w:rPr>
          <w:rFonts w:ascii="Palatino Linotype" w:hAnsi="Palatino Linotype"/>
          <w:i/>
          <w:sz w:val="22"/>
          <w:szCs w:val="22"/>
        </w:rPr>
      </w:pPr>
      <w:r>
        <w:rPr>
          <w:rFonts w:ascii="Symbol" w:eastAsia="Symbol" w:hAnsi="Symbol" w:cs="Symbol"/>
          <w:i/>
          <w:sz w:val="22"/>
          <w:szCs w:val="22"/>
        </w:rPr>
        <w:t></w:t>
      </w:r>
      <w:r>
        <w:rPr>
          <w:rFonts w:ascii="Palatino Linotype" w:hAnsi="Palatino Linotype"/>
          <w:i/>
          <w:sz w:val="22"/>
          <w:szCs w:val="22"/>
        </w:rPr>
        <w:t xml:space="preserve"> RRA 4756/16. Instituto Mexicano del Seguro Social. 08 de febrero de 2017. Por unanimidad. Comisionado Ponente Oscar Mauricio Guerra Ford.” </w:t>
      </w:r>
      <w:r>
        <w:rPr>
          <w:rFonts w:ascii="Palatino Linotype" w:hAnsi="Palatino Linotype"/>
          <w:sz w:val="22"/>
          <w:szCs w:val="22"/>
        </w:rPr>
        <w:t>(</w:t>
      </w:r>
      <w:r>
        <w:rPr>
          <w:rFonts w:ascii="Palatino Linotype" w:hAnsi="Palatino Linotype"/>
          <w:i/>
          <w:sz w:val="22"/>
          <w:szCs w:val="22"/>
        </w:rPr>
        <w:t>Sic</w:t>
      </w:r>
      <w:r>
        <w:rPr>
          <w:rFonts w:ascii="Palatino Linotype" w:hAnsi="Palatino Linotype"/>
          <w:sz w:val="22"/>
          <w:szCs w:val="22"/>
        </w:rPr>
        <w:t>)</w:t>
      </w:r>
    </w:p>
    <w:p w:rsidR="00422796" w:rsidRDefault="008E2E55">
      <w:pPr>
        <w:spacing w:before="240" w:after="240" w:line="360" w:lineRule="auto"/>
        <w:ind w:right="49"/>
        <w:jc w:val="both"/>
        <w:rPr>
          <w:rFonts w:ascii="Palatino Linotype" w:hAnsi="Palatino Linotype" w:cs="Arial"/>
          <w:lang w:val="es-ES_tradnl"/>
        </w:rPr>
      </w:pPr>
      <w:r>
        <w:rPr>
          <w:rFonts w:ascii="Palatino Linotype" w:hAnsi="Palatino Linotype" w:cs="Arial"/>
          <w:lang w:val="es-ES_tradnl"/>
        </w:rPr>
        <w:t xml:space="preserve">Caso contrario a los particulares, como lo refiere el </w:t>
      </w:r>
      <w:r>
        <w:rPr>
          <w:rFonts w:ascii="Palatino Linotype" w:eastAsia="Calibri" w:hAnsi="Palatino Linotype"/>
          <w:b/>
        </w:rPr>
        <w:t>criterio 10/17</w:t>
      </w:r>
      <w:r>
        <w:rPr>
          <w:rFonts w:ascii="Palatino Linotype" w:eastAsia="Calibri" w:hAnsi="Palatino Linotype"/>
        </w:rPr>
        <w:t xml:space="preserve"> emitido por el INAI, que es del tenor literal siguiente:</w:t>
      </w:r>
    </w:p>
    <w:p w:rsidR="00422796" w:rsidRDefault="008E2E55">
      <w:pPr>
        <w:ind w:left="851" w:right="902"/>
        <w:jc w:val="both"/>
        <w:rPr>
          <w:rFonts w:ascii="Palatino Linotype" w:hAnsi="Palatino Linotype" w:cs="Arial"/>
          <w:i/>
          <w:sz w:val="22"/>
          <w:szCs w:val="22"/>
          <w:lang w:val="es-ES_tradnl"/>
        </w:rPr>
      </w:pPr>
      <w:r>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w:t>
      </w:r>
      <w:r>
        <w:rPr>
          <w:rFonts w:ascii="Palatino Linotype" w:hAnsi="Palatino Linotype" w:cs="Arial"/>
          <w:i/>
          <w:sz w:val="22"/>
          <w:szCs w:val="22"/>
          <w:lang w:val="es-ES_tradnl"/>
        </w:rPr>
        <w:lastRenderedPageBreak/>
        <w:t xml:space="preserve">General de Transparencia y Acceso a la Información Pública y 113 de la Ley Federal de Transparencia y Acceso a la Información Pública. </w:t>
      </w:r>
    </w:p>
    <w:p w:rsidR="00422796" w:rsidRDefault="008E2E55">
      <w:pPr>
        <w:ind w:left="851" w:right="902"/>
        <w:jc w:val="both"/>
        <w:rPr>
          <w:rFonts w:ascii="Palatino Linotype" w:hAnsi="Palatino Linotype" w:cs="Arial"/>
          <w:i/>
          <w:sz w:val="22"/>
          <w:szCs w:val="22"/>
          <w:lang w:val="es-ES_tradnl"/>
        </w:rPr>
      </w:pPr>
      <w:r>
        <w:rPr>
          <w:rFonts w:ascii="Palatino Linotype" w:hAnsi="Palatino Linotype" w:cs="Arial"/>
          <w:i/>
          <w:sz w:val="22"/>
          <w:szCs w:val="22"/>
          <w:lang w:val="es-ES_tradnl"/>
        </w:rPr>
        <w:t xml:space="preserve">Resoluciones:  </w:t>
      </w:r>
    </w:p>
    <w:p w:rsidR="00422796" w:rsidRDefault="008E2E55">
      <w:pPr>
        <w:ind w:left="851" w:right="902"/>
        <w:jc w:val="both"/>
        <w:rPr>
          <w:rFonts w:ascii="Palatino Linotype" w:hAnsi="Palatino Linotype" w:cs="Arial"/>
          <w:i/>
          <w:sz w:val="22"/>
          <w:szCs w:val="22"/>
          <w:lang w:val="es-ES_tradnl"/>
        </w:rPr>
      </w:pPr>
      <w:r>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422796" w:rsidRDefault="008E2E55">
      <w:pPr>
        <w:ind w:left="851" w:right="902"/>
        <w:jc w:val="both"/>
        <w:rPr>
          <w:rFonts w:ascii="Palatino Linotype" w:hAnsi="Palatino Linotype" w:cs="Arial"/>
          <w:i/>
          <w:sz w:val="22"/>
          <w:szCs w:val="22"/>
          <w:lang w:val="es-ES_tradnl"/>
        </w:rPr>
      </w:pPr>
      <w:r>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Pr>
          <w:rFonts w:ascii="Palatino Linotype" w:hAnsi="Palatino Linotype" w:cs="Arial"/>
          <w:i/>
          <w:sz w:val="22"/>
          <w:szCs w:val="22"/>
          <w:lang w:val="es-ES_tradnl"/>
        </w:rPr>
        <w:t xml:space="preserve"> </w:t>
      </w:r>
    </w:p>
    <w:p w:rsidR="00422796" w:rsidRDefault="008E2E55">
      <w:pPr>
        <w:ind w:left="851" w:right="902"/>
        <w:jc w:val="both"/>
        <w:rPr>
          <w:rFonts w:ascii="Palatino Linotype" w:hAnsi="Palatino Linotype" w:cs="Arial"/>
          <w:i/>
          <w:sz w:val="22"/>
          <w:szCs w:val="22"/>
          <w:lang w:val="es-ES_tradnl"/>
        </w:rPr>
      </w:pPr>
      <w:r>
        <w:rPr>
          <w:rFonts w:ascii="Palatino Linotype" w:hAnsi="Palatino Linotype" w:cs="Arial"/>
          <w:i/>
          <w:sz w:val="22"/>
          <w:szCs w:val="22"/>
          <w:lang w:val="es-ES_tradnl"/>
        </w:rPr>
        <w:t>RRA 4404/16 Partido del Trabajo. 01 de febrero de 2017. Por unanimidad. Comisionado Ponente Francisco Acuña Llamas.</w:t>
      </w:r>
    </w:p>
    <w:p w:rsidR="00422796" w:rsidRDefault="008E2E55">
      <w:pPr>
        <w:spacing w:before="240" w:after="240" w:line="360" w:lineRule="auto"/>
        <w:ind w:right="49"/>
        <w:jc w:val="both"/>
        <w:rPr>
          <w:rFonts w:ascii="Palatino Linotype" w:hAnsi="Palatino Linotype" w:cs="Arial"/>
          <w:lang w:val="es-ES_tradnl"/>
        </w:rPr>
      </w:pPr>
      <w:r>
        <w:rPr>
          <w:rFonts w:ascii="Palatino Linotype" w:hAnsi="Palatino Linotype" w:cs="Arial"/>
          <w:lang w:val="es-ES_tradnl"/>
        </w:rPr>
        <w:t xml:space="preserve">Por lo tanto, </w:t>
      </w:r>
      <w:r>
        <w:rPr>
          <w:rFonts w:ascii="Palatino Linotype" w:hAnsi="Palatino Linotype" w:cs="Arial"/>
          <w:b/>
          <w:lang w:val="es-ES_tradnl"/>
        </w:rPr>
        <w:t>la entrega de documentos, en su versión pública, debe acompañarse necesariamente del Acuerdo del Comité de Transparencia que la sustente</w:t>
      </w:r>
      <w:r>
        <w:rPr>
          <w:rFonts w:ascii="Palatino Linotype" w:hAnsi="Palatino Linotype" w:cs="Arial"/>
          <w:lang w:val="es-ES_tradnl"/>
        </w:rPr>
        <w:t xml:space="preserve">, en el que se expongan los fundamentos y razonamientos que llevaron al </w:t>
      </w:r>
      <w:r>
        <w:rPr>
          <w:rFonts w:ascii="Palatino Linotype" w:hAnsi="Palatino Linotype" w:cs="Arial"/>
          <w:b/>
          <w:lang w:val="es-ES_tradnl"/>
        </w:rPr>
        <w:t>SUJETO OBLIGADO</w:t>
      </w:r>
      <w:r>
        <w:rPr>
          <w:rFonts w:ascii="Palatino Linotype" w:hAnsi="Palatino Linotype" w:cs="Arial"/>
          <w:lang w:val="es-ES_tradnl"/>
        </w:rPr>
        <w:t xml:space="preserve"> a testar, suprimir o eliminar datos de dicho soporte documental, </w:t>
      </w:r>
      <w:r>
        <w:rPr>
          <w:rFonts w:ascii="Palatino Linotype" w:hAnsi="Palatino Linotype" w:cs="Arial"/>
          <w:b/>
          <w:lang w:val="es-ES_tradnl"/>
        </w:rPr>
        <w:t>ya que no hacerlo implica que lo entregado no es legal ni formalmente una versión pública, sino más bien una documentación ilegible, incompleta o tachada</w:t>
      </w:r>
      <w:r>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422796" w:rsidRDefault="008E2E55">
      <w:pPr>
        <w:spacing w:before="240" w:after="240" w:line="360" w:lineRule="auto"/>
        <w:ind w:right="49"/>
        <w:jc w:val="both"/>
        <w:rPr>
          <w:rFonts w:ascii="Palatino Linotype" w:hAnsi="Palatino Linotype" w:cs="Arial"/>
          <w:lang w:val="es-ES_tradnl"/>
        </w:rPr>
      </w:pPr>
      <w:r>
        <w:rPr>
          <w:rFonts w:ascii="Palatino Linotype" w:hAnsi="Palatino Linotype" w:cs="Arial"/>
          <w:lang w:val="es-ES_tradnl"/>
        </w:rPr>
        <w:t xml:space="preserve">No se omite señalar, que si dentro de la documentación de la cual se ordena la entrega, </w:t>
      </w:r>
      <w:r>
        <w:rPr>
          <w:rFonts w:ascii="Palatino Linotype" w:hAnsi="Palatino Linotype" w:cs="Arial"/>
          <w:b/>
          <w:lang w:val="es-ES_tradnl"/>
        </w:rPr>
        <w:t>EL SUJETO OBLIGADO</w:t>
      </w:r>
      <w:r>
        <w:rPr>
          <w:rFonts w:ascii="Palatino Linotype" w:hAnsi="Palatino Linotype" w:cs="Arial"/>
          <w:lang w:val="es-ES_tradnl"/>
        </w:rPr>
        <w:t xml:space="preserve"> advierte documentación que por su propia y especial naturaleza es privada, tales como: identificaciones oficiales de personas que no sean servidores públicos, o bien, planos arquitectónicos, deberá clasificarla como confidencial, en términos de la Legislación de la materia y remitir el Acuerdo que emita su Comité de Transparencia al respecto.</w:t>
      </w:r>
    </w:p>
    <w:p w:rsidR="00422796" w:rsidRDefault="008E2E55">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lastRenderedPageBreak/>
        <w:t xml:space="preserve">Finalmente, no pasa desapercibido del análisis de este Instituto que </w:t>
      </w:r>
      <w:r>
        <w:rPr>
          <w:rFonts w:ascii="Palatino Linotype" w:eastAsia="Calibri" w:hAnsi="Palatino Linotype"/>
          <w:b/>
          <w:szCs w:val="22"/>
          <w:lang w:eastAsia="en-US"/>
        </w:rPr>
        <w:t>EL RECURRENTE</w:t>
      </w:r>
      <w:r>
        <w:rPr>
          <w:rFonts w:ascii="Palatino Linotype" w:eastAsia="Calibri" w:hAnsi="Palatino Linotype"/>
          <w:szCs w:val="22"/>
          <w:lang w:eastAsia="en-US"/>
        </w:rPr>
        <w:t xml:space="preserve"> manifestó dentro de sus razones o motivos de inconformidad que la información pretendida debía atender a los Lineamientos para la Entrega del Informe Mensual Municipal 2019 emitidos por el OSFEM</w:t>
      </w:r>
      <w:r>
        <w:rPr>
          <w:rFonts w:ascii="Palatino Linotype" w:eastAsia="Calibri" w:hAnsi="Palatino Linotype"/>
          <w:i/>
          <w:szCs w:val="22"/>
          <w:lang w:eastAsia="en-US"/>
        </w:rPr>
        <w:t xml:space="preserve">; </w:t>
      </w:r>
      <w:r>
        <w:rPr>
          <w:rFonts w:ascii="Palatino Linotype" w:eastAsia="Calibri" w:hAnsi="Palatino Linotype"/>
          <w:szCs w:val="22"/>
          <w:lang w:eastAsia="en-US"/>
        </w:rPr>
        <w:t xml:space="preserve">sin embargo, se advierte que, dicho requerimiento, </w:t>
      </w:r>
      <w:r>
        <w:rPr>
          <w:rFonts w:ascii="Palatino Linotype" w:eastAsia="Calibri" w:hAnsi="Palatino Linotype"/>
          <w:b/>
          <w:szCs w:val="22"/>
          <w:lang w:eastAsia="en-US"/>
        </w:rPr>
        <w:t xml:space="preserve">no forma parte </w:t>
      </w:r>
      <w:r>
        <w:rPr>
          <w:rFonts w:ascii="Palatino Linotype" w:eastAsia="Calibri" w:hAnsi="Palatino Linotype"/>
          <w:szCs w:val="22"/>
          <w:lang w:eastAsia="en-US"/>
        </w:rPr>
        <w:t xml:space="preserve">de las solicitudes de acceso a la información, puesto que el particular no especificó que fuera esa la información requerida, sino más bien refirió de manera general que requería los expedientes generados (análisis ya abordado en líneas anteriores;) </w:t>
      </w:r>
      <w:r>
        <w:rPr>
          <w:rFonts w:ascii="Palatino Linotype" w:eastAsia="Calibri" w:hAnsi="Palatino Linotype"/>
          <w:bCs/>
          <w:szCs w:val="22"/>
          <w:lang w:eastAsia="en-US"/>
        </w:rPr>
        <w:t xml:space="preserve">por lo tanto, las solicitudes aludidas deben considerarse como una </w:t>
      </w:r>
      <w:r>
        <w:rPr>
          <w:rFonts w:ascii="Palatino Linotype" w:eastAsia="Calibri" w:hAnsi="Palatino Linotype"/>
          <w:szCs w:val="22"/>
          <w:lang w:eastAsia="en-US"/>
        </w:rPr>
        <w:t xml:space="preserve">petición adicional o </w:t>
      </w:r>
      <w:r>
        <w:rPr>
          <w:rFonts w:ascii="Palatino Linotype" w:eastAsia="Calibri" w:hAnsi="Palatino Linotype"/>
          <w:i/>
          <w:szCs w:val="22"/>
          <w:lang w:eastAsia="en-US"/>
        </w:rPr>
        <w:t>plus petitio</w:t>
      </w:r>
      <w:r>
        <w:rPr>
          <w:rFonts w:ascii="Palatino Linotype" w:eastAsia="Calibri" w:hAnsi="Palatino Linotype"/>
          <w:szCs w:val="22"/>
          <w:lang w:eastAsia="en-US"/>
        </w:rPr>
        <w:t>; es decir, que se trata de una nueva solicitud de información, puesto que no habían sido previamente requeridas, mediante sus solicitudes de acceso a la información, siendo que resulta improcedente la aplicación de los requerimientos de información a través de la interposición del recurso de revisión.</w:t>
      </w:r>
    </w:p>
    <w:p w:rsidR="00422796" w:rsidRDefault="008E2E55">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Lo anterior es así, puesto que los Lineamientos para la Entrega del Informe Mensual Municipal 2019 emitidos por el OSFEM constituyen </w:t>
      </w:r>
      <w:r>
        <w:rPr>
          <w:rFonts w:ascii="Palatino Linotype" w:hAnsi="Palatino Linotype"/>
        </w:rPr>
        <w:t>una herramienta que coadyuva con las entidades municipales para la presentación del Presupuesto de Egresos Municipal, de acuerdo a la normatividad vigente. Así, se destaca que los Lineamientos incluyen los formatos presupuestarios, de conformidad a la Ley de Disciplina Financiera de las Entidades Federativas y los Municipios y el Manual para la Planeación, Programación y Presupuesto de Egresos Municipal para el Ejercicio Fiscal 2019; no así, expresan las especificaciones descritas en líneas anteriores, respecto a los expedientes púnicos de obra.</w:t>
      </w:r>
    </w:p>
    <w:p w:rsidR="00422796" w:rsidRDefault="008E2E55">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lastRenderedPageBreak/>
        <w:t xml:space="preserve">De esta forma, al realizarse una solicitud adicional a manera de razones o motivos de inconformidad; éstos resultan </w:t>
      </w:r>
      <w:r>
        <w:rPr>
          <w:rFonts w:ascii="Palatino Linotype" w:eastAsia="Calibri" w:hAnsi="Palatino Linotype"/>
          <w:b/>
          <w:szCs w:val="22"/>
          <w:lang w:eastAsia="en-US"/>
        </w:rPr>
        <w:t>inoperantes e inatendibles</w:t>
      </w:r>
      <w:r>
        <w:rPr>
          <w:rFonts w:ascii="Palatino Linotype" w:eastAsia="Calibri" w:hAnsi="Palatino Linotype"/>
          <w:szCs w:val="22"/>
          <w:lang w:eastAsia="en-US"/>
        </w:rPr>
        <w:t xml:space="preserve">, esto es así, debido a que al ser argumentos que no se plantearon ante </w:t>
      </w:r>
      <w:r>
        <w:rPr>
          <w:rFonts w:ascii="Palatino Linotype" w:eastAsia="Calibri" w:hAnsi="Palatino Linotype"/>
          <w:b/>
          <w:szCs w:val="22"/>
          <w:lang w:eastAsia="en-US"/>
        </w:rPr>
        <w:t xml:space="preserve">EL SUJETO OBLIGADO </w:t>
      </w:r>
      <w:r>
        <w:rPr>
          <w:rFonts w:ascii="Palatino Linotype" w:eastAsia="Calibri" w:hAnsi="Palatino Linotype"/>
          <w:szCs w:val="22"/>
          <w:lang w:eastAsia="en-US"/>
        </w:rPr>
        <w:t xml:space="preserve">que respondió a las solicitudes de acceso a la información, respuestas que constituyen los actos que se reclaman o impugnan; resultaría injustificado examinar tales argumentos pues éstos no fueron del conocimiento del </w:t>
      </w:r>
      <w:r>
        <w:rPr>
          <w:rFonts w:ascii="Palatino Linotype" w:eastAsia="Calibri" w:hAnsi="Palatino Linotype"/>
          <w:b/>
          <w:szCs w:val="22"/>
          <w:lang w:eastAsia="en-US"/>
        </w:rPr>
        <w:t xml:space="preserve">SUJETO OBLIGADO </w:t>
      </w:r>
      <w:r>
        <w:rPr>
          <w:rFonts w:ascii="Palatino Linotype" w:eastAsia="Calibri" w:hAnsi="Palatino Linotype"/>
          <w:szCs w:val="22"/>
          <w:lang w:eastAsia="en-US"/>
        </w:rPr>
        <w:t xml:space="preserve">al momento de dar respuestas a las solicitudes de acceso a la información pública; por lo que, no tuvo la oportunidad legal de analizarlas ni de pronunciarse sobre ella; atento a ello, </w:t>
      </w:r>
      <w:r>
        <w:rPr>
          <w:rFonts w:ascii="Palatino Linotype" w:eastAsia="Calibri" w:hAnsi="Palatino Linotype"/>
          <w:b/>
          <w:szCs w:val="22"/>
          <w:lang w:eastAsia="en-US"/>
        </w:rPr>
        <w:t>se dejan a salvo los derechos</w:t>
      </w:r>
      <w:r>
        <w:rPr>
          <w:rFonts w:ascii="Palatino Linotype" w:eastAsia="Calibri" w:hAnsi="Palatino Linotype"/>
          <w:szCs w:val="22"/>
          <w:lang w:eastAsia="en-US"/>
        </w:rPr>
        <w:t xml:space="preserve"> de la hoy</w:t>
      </w:r>
      <w:r>
        <w:rPr>
          <w:rFonts w:ascii="Palatino Linotype" w:eastAsia="Calibri" w:hAnsi="Palatino Linotype"/>
          <w:b/>
          <w:szCs w:val="22"/>
          <w:lang w:eastAsia="en-US"/>
        </w:rPr>
        <w:t xml:space="preserve"> RECURRENTE,</w:t>
      </w:r>
      <w:r>
        <w:rPr>
          <w:rFonts w:ascii="Palatino Linotype" w:eastAsia="Calibri" w:hAnsi="Palatino Linotype"/>
          <w:szCs w:val="22"/>
          <w:lang w:eastAsia="en-US"/>
        </w:rPr>
        <w:t xml:space="preserve"> a fin de que pueda formular una nueva solicitud requiriendo el acceso a la información pública que su derecho corresponda.</w:t>
      </w:r>
    </w:p>
    <w:p w:rsidR="00422796" w:rsidRDefault="008E2E55">
      <w:pPr>
        <w:pStyle w:val="Prrafodelista"/>
        <w:widowControl w:val="0"/>
        <w:tabs>
          <w:tab w:val="left" w:pos="1276"/>
        </w:tabs>
        <w:spacing w:before="240" w:afterAutospacing="1" w:line="360" w:lineRule="auto"/>
        <w:ind w:left="0" w:right="49"/>
        <w:jc w:val="both"/>
        <w:rPr>
          <w:rFonts w:ascii="Palatino Linotype" w:eastAsia="Calibri" w:hAnsi="Palatino Linotype" w:cs="Arial"/>
        </w:rPr>
      </w:pPr>
      <w:r>
        <w:rPr>
          <w:rFonts w:ascii="Palatino Linotype" w:eastAsia="Calibri" w:hAnsi="Palatino Linotype" w:cs="Arial"/>
        </w:rPr>
        <w:t xml:space="preserve">En mérito de lo expuesto, esta Autoridad estima que las razones o motivos de inconformidad hechos valer por </w:t>
      </w:r>
      <w:r>
        <w:rPr>
          <w:rFonts w:ascii="Palatino Linotype" w:eastAsia="Calibri" w:hAnsi="Palatino Linotype" w:cs="Arial"/>
          <w:b/>
        </w:rPr>
        <w:t>EL RECURRENTE</w:t>
      </w:r>
      <w:r>
        <w:rPr>
          <w:rFonts w:ascii="Palatino Linotype" w:eastAsia="Calibri" w:hAnsi="Palatino Linotype" w:cs="Arial"/>
        </w:rPr>
        <w:t xml:space="preserve"> devienen </w:t>
      </w:r>
      <w:r>
        <w:rPr>
          <w:rFonts w:ascii="Palatino Linotype" w:hAnsi="Palatino Linotype" w:cs="Arial"/>
          <w:b/>
        </w:rPr>
        <w:t>parcialmente</w:t>
      </w:r>
      <w:r>
        <w:rPr>
          <w:rFonts w:ascii="Palatino Linotype" w:eastAsia="Calibri" w:hAnsi="Palatino Linotype" w:cs="Arial"/>
          <w:b/>
        </w:rPr>
        <w:t xml:space="preserve"> fundados</w:t>
      </w:r>
      <w:r>
        <w:rPr>
          <w:rFonts w:ascii="Palatino Linotype" w:eastAsia="Calibri" w:hAnsi="Palatino Linotype" w:cs="Arial"/>
        </w:rPr>
        <w:t xml:space="preserve">; por lo que, lo procedente es </w:t>
      </w:r>
      <w:r>
        <w:rPr>
          <w:rFonts w:ascii="Palatino Linotype" w:eastAsia="Calibri" w:hAnsi="Palatino Linotype" w:cs="Arial"/>
          <w:b/>
        </w:rPr>
        <w:t>MODIFICAR</w:t>
      </w:r>
      <w:r>
        <w:rPr>
          <w:rFonts w:ascii="Palatino Linotype" w:eastAsia="Calibri" w:hAnsi="Palatino Linotype" w:cs="Arial"/>
        </w:rPr>
        <w:t xml:space="preserve"> las respuestas del </w:t>
      </w:r>
      <w:r>
        <w:rPr>
          <w:rFonts w:ascii="Palatino Linotype" w:eastAsia="Calibri" w:hAnsi="Palatino Linotype" w:cs="Arial"/>
          <w:b/>
        </w:rPr>
        <w:t xml:space="preserve">SUJETO OBLIGADO </w:t>
      </w:r>
      <w:r>
        <w:rPr>
          <w:rFonts w:ascii="Palatino Linotype" w:eastAsia="Calibri" w:hAnsi="Palatino Linotype" w:cs="Arial"/>
        </w:rPr>
        <w:t>y ordenar la entrega de la información referida en el presente Considerando.</w:t>
      </w:r>
    </w:p>
    <w:p w:rsidR="00422796" w:rsidRDefault="008E2E55">
      <w:pPr>
        <w:pStyle w:val="Prrafodelista"/>
        <w:widowControl w:val="0"/>
        <w:tabs>
          <w:tab w:val="left" w:pos="1276"/>
        </w:tabs>
        <w:spacing w:before="24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188 y 192, fracción III</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942738" w:rsidRDefault="00942738">
      <w:pPr>
        <w:spacing w:before="240" w:afterAutospacing="1" w:line="360" w:lineRule="auto"/>
        <w:jc w:val="center"/>
        <w:rPr>
          <w:rFonts w:ascii="Palatino Linotype" w:hAnsi="Palatino Linotype"/>
          <w:b/>
          <w:bCs/>
          <w:spacing w:val="60"/>
          <w:sz w:val="28"/>
        </w:rPr>
      </w:pPr>
    </w:p>
    <w:p w:rsidR="00422796" w:rsidRDefault="008E2E55">
      <w:pPr>
        <w:spacing w:before="240" w:afterAutospacing="1" w:line="360" w:lineRule="auto"/>
        <w:jc w:val="center"/>
        <w:rPr>
          <w:rFonts w:ascii="Palatino Linotype" w:hAnsi="Palatino Linotype"/>
          <w:b/>
          <w:bCs/>
          <w:spacing w:val="60"/>
          <w:sz w:val="28"/>
        </w:rPr>
      </w:pPr>
      <w:r>
        <w:rPr>
          <w:rFonts w:ascii="Palatino Linotype" w:hAnsi="Palatino Linotype"/>
          <w:b/>
          <w:bCs/>
          <w:spacing w:val="60"/>
          <w:sz w:val="28"/>
        </w:rPr>
        <w:lastRenderedPageBreak/>
        <w:t>RESUELVE</w:t>
      </w:r>
    </w:p>
    <w:p w:rsidR="00422796" w:rsidRDefault="008E2E55">
      <w:pPr>
        <w:pStyle w:val="Prrafodelista"/>
        <w:widowControl w:val="0"/>
        <w:numPr>
          <w:ilvl w:val="0"/>
          <w:numId w:val="3"/>
        </w:numPr>
        <w:tabs>
          <w:tab w:val="left" w:pos="1701"/>
        </w:tabs>
        <w:spacing w:before="240"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parcialmente 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 xml:space="preserve">SEXTO </w:t>
      </w:r>
      <w:r>
        <w:rPr>
          <w:rFonts w:ascii="Palatino Linotype" w:hAnsi="Palatino Linotype" w:cs="Arial"/>
        </w:rPr>
        <w:t>de la presente resolución.</w:t>
      </w:r>
    </w:p>
    <w:p w:rsidR="00422796" w:rsidRDefault="008E2E55">
      <w:pPr>
        <w:pStyle w:val="Prrafodelista"/>
        <w:widowControl w:val="0"/>
        <w:numPr>
          <w:ilvl w:val="0"/>
          <w:numId w:val="3"/>
        </w:numPr>
        <w:tabs>
          <w:tab w:val="left" w:pos="1701"/>
        </w:tabs>
        <w:spacing w:before="240" w:afterAutospacing="1" w:line="360" w:lineRule="auto"/>
        <w:ind w:left="0" w:firstLine="0"/>
        <w:jc w:val="both"/>
        <w:rPr>
          <w:rFonts w:ascii="Palatino Linotype" w:hAnsi="Palatino Linotype"/>
          <w:i/>
          <w:iCs/>
          <w:color w:val="222222"/>
          <w:sz w:val="22"/>
          <w:szCs w:val="22"/>
          <w:lang w:eastAsia="es-MX"/>
        </w:rPr>
      </w:pPr>
      <w:r>
        <w:rPr>
          <w:rFonts w:ascii="Palatino Linotype" w:hAnsi="Palatino Linotype" w:cs="Arial"/>
        </w:rPr>
        <w:t xml:space="preserve">Se </w:t>
      </w:r>
      <w:r>
        <w:rPr>
          <w:rFonts w:ascii="Palatino Linotype" w:hAnsi="Palatino Linotype" w:cs="Arial"/>
          <w:b/>
        </w:rPr>
        <w:t xml:space="preserve">MODIFICAN </w:t>
      </w:r>
      <w:r>
        <w:rPr>
          <w:rFonts w:ascii="Palatino Linotype" w:hAnsi="Palatino Linotype" w:cs="Arial"/>
        </w:rPr>
        <w:t xml:space="preserve">las respuestas del </w:t>
      </w:r>
      <w:r>
        <w:rPr>
          <w:rFonts w:ascii="Palatino Linotype" w:hAnsi="Palatino Linotype" w:cs="Arial"/>
          <w:b/>
        </w:rPr>
        <w:t>SUJETO OBLIGADO</w:t>
      </w:r>
      <w:r>
        <w:rPr>
          <w:rFonts w:ascii="Palatino Linotype" w:hAnsi="Palatino Linotype" w:cs="Arial"/>
        </w:rPr>
        <w:t xml:space="preserve"> y se </w:t>
      </w:r>
      <w:r>
        <w:rPr>
          <w:rFonts w:ascii="Palatino Linotype" w:hAnsi="Palatino Linotype" w:cs="Arial"/>
          <w:b/>
        </w:rPr>
        <w:t>ordena</w:t>
      </w:r>
      <w:r>
        <w:rPr>
          <w:rFonts w:ascii="Palatino Linotype" w:hAnsi="Palatino Linotype" w:cs="Arial"/>
        </w:rPr>
        <w:t xml:space="preserve"> atienda las solicitudes de información pública </w:t>
      </w:r>
      <w:r>
        <w:rPr>
          <w:rFonts w:ascii="Palatino Linotype" w:hAnsi="Palatino Linotype"/>
          <w:b/>
          <w:bCs/>
          <w:spacing w:val="-20"/>
        </w:rPr>
        <w:t xml:space="preserve">00036/ZUMPANGO/IP/2020, 00037/ZUMPANGO/IP/2020, 00038/ZUMPANGO/IP/2020, 00039/ZUMPANGO/IP/2020 </w:t>
      </w:r>
      <w:r>
        <w:rPr>
          <w:rFonts w:ascii="Palatino Linotype" w:hAnsi="Palatino Linotype"/>
          <w:bCs/>
          <w:spacing w:val="-20"/>
        </w:rPr>
        <w:t>y</w:t>
      </w:r>
      <w:r>
        <w:rPr>
          <w:rFonts w:ascii="Palatino Linotype" w:hAnsi="Palatino Linotype"/>
          <w:b/>
          <w:bCs/>
          <w:spacing w:val="-20"/>
        </w:rPr>
        <w:t xml:space="preserve"> 00047/ZUMPANGO/IP/2020</w:t>
      </w:r>
      <w:r>
        <w:rPr>
          <w:rFonts w:ascii="Palatino Linotype" w:hAnsi="Palatino Linotype" w:cs="Arial"/>
          <w:b/>
          <w:bCs/>
        </w:rPr>
        <w:t xml:space="preserve">, </w:t>
      </w:r>
      <w:r>
        <w:rPr>
          <w:rFonts w:ascii="Palatino Linotype" w:hAnsi="Palatino Linotype" w:cs="Arial"/>
          <w:bCs/>
        </w:rPr>
        <w:t xml:space="preserve">y entregue </w:t>
      </w:r>
      <w:r>
        <w:rPr>
          <w:rFonts w:ascii="Palatino Linotype" w:hAnsi="Palatino Linotype" w:cs="Arial"/>
        </w:rPr>
        <w:t xml:space="preserve">al </w:t>
      </w:r>
      <w:r>
        <w:rPr>
          <w:rFonts w:ascii="Palatino Linotype" w:hAnsi="Palatino Linotype" w:cs="Arial"/>
          <w:b/>
        </w:rPr>
        <w:t>RECURRENTE</w:t>
      </w:r>
      <w:r>
        <w:rPr>
          <w:rFonts w:ascii="Palatino Linotype" w:hAnsi="Palatino Linotype" w:cs="Arial"/>
        </w:rPr>
        <w:t xml:space="preserve">, vía </w:t>
      </w:r>
      <w:r>
        <w:rPr>
          <w:rFonts w:ascii="Palatino Linotype" w:hAnsi="Palatino Linotype" w:cs="Arial"/>
          <w:b/>
        </w:rPr>
        <w:t>EL</w:t>
      </w:r>
      <w:r>
        <w:rPr>
          <w:rFonts w:ascii="Palatino Linotype" w:hAnsi="Palatino Linotype" w:cs="Arial"/>
        </w:rPr>
        <w:t xml:space="preserve"> </w:t>
      </w:r>
      <w:r>
        <w:rPr>
          <w:rFonts w:ascii="Palatino Linotype" w:hAnsi="Palatino Linotype" w:cs="Arial"/>
          <w:b/>
        </w:rPr>
        <w:t>SAIMEX</w:t>
      </w:r>
      <w:r>
        <w:rPr>
          <w:rFonts w:ascii="Palatino Linotype" w:hAnsi="Palatino Linotype" w:cs="Arial"/>
        </w:rPr>
        <w:t xml:space="preserve">, en </w:t>
      </w:r>
      <w:r>
        <w:rPr>
          <w:rFonts w:ascii="Palatino Linotype" w:hAnsi="Palatino Linotype" w:cs="Arial"/>
          <w:b/>
        </w:rPr>
        <w:t>versión pública</w:t>
      </w:r>
      <w:r>
        <w:rPr>
          <w:rFonts w:ascii="Palatino Linotype" w:hAnsi="Palatino Linotype" w:cs="Arial"/>
        </w:rPr>
        <w:t xml:space="preserve">, en </w:t>
      </w:r>
      <w:r>
        <w:rPr>
          <w:rFonts w:ascii="Palatino Linotype" w:hAnsi="Palatino Linotype"/>
          <w:szCs w:val="17"/>
          <w:lang w:eastAsia="es-ES_tradnl"/>
        </w:rPr>
        <w:t>términos</w:t>
      </w:r>
      <w:r>
        <w:rPr>
          <w:rFonts w:ascii="Palatino Linotype" w:hAnsi="Palatino Linotype" w:cs="Arial"/>
        </w:rPr>
        <w:t xml:space="preserve"> del Considerando </w:t>
      </w:r>
      <w:r>
        <w:rPr>
          <w:rFonts w:ascii="Palatino Linotype" w:hAnsi="Palatino Linotype" w:cs="Arial"/>
          <w:b/>
        </w:rPr>
        <w:t xml:space="preserve">SEXTO </w:t>
      </w:r>
      <w:r>
        <w:rPr>
          <w:rFonts w:ascii="Palatino Linotype" w:hAnsi="Palatino Linotype"/>
        </w:rPr>
        <w:t>de la presente resolución, de la siguiente información:</w:t>
      </w:r>
    </w:p>
    <w:p w:rsidR="00422796" w:rsidRDefault="008E2E55">
      <w:pPr>
        <w:pStyle w:val="Prrafodelista"/>
        <w:widowControl w:val="0"/>
        <w:tabs>
          <w:tab w:val="left" w:pos="1701"/>
        </w:tabs>
        <w:spacing w:before="240" w:afterAutospacing="1"/>
        <w:ind w:left="851" w:right="899" w:hanging="14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“a) Los expedientes únicos de obra, correspondientes al año 2019; y,</w:t>
      </w:r>
    </w:p>
    <w:p w:rsidR="00422796" w:rsidRDefault="008E2E55">
      <w:pPr>
        <w:pStyle w:val="Prrafodelista"/>
        <w:widowControl w:val="0"/>
        <w:tabs>
          <w:tab w:val="left" w:pos="1701"/>
        </w:tabs>
        <w:spacing w:before="240" w:afterAutospacing="1"/>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b) Los expedientes generados por la adquisición y arrendamiento de bienes y la contratación de servicios de cualquier naturaleza, en el año 2019.</w:t>
      </w:r>
    </w:p>
    <w:p w:rsidR="00422796" w:rsidRDefault="008E2E55">
      <w:pPr>
        <w:pStyle w:val="Prrafodelista"/>
        <w:widowControl w:val="0"/>
        <w:tabs>
          <w:tab w:val="left" w:pos="1211"/>
        </w:tabs>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Debiendo notificar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rsidR="00422796" w:rsidRDefault="008E2E55">
      <w:pPr>
        <w:pStyle w:val="Prrafodelista"/>
        <w:widowControl w:val="0"/>
        <w:numPr>
          <w:ilvl w:val="0"/>
          <w:numId w:val="3"/>
        </w:numPr>
        <w:tabs>
          <w:tab w:val="left" w:pos="1701"/>
        </w:tabs>
        <w:spacing w:before="240" w:line="360" w:lineRule="auto"/>
        <w:ind w:left="0" w:firstLine="0"/>
        <w:jc w:val="both"/>
        <w:rPr>
          <w:rFonts w:ascii="Palatino Linotype" w:eastAsiaTheme="minorEastAsia" w:hAnsi="Palatino Linotype" w:cstheme="minorBidi"/>
          <w:color w:val="222222"/>
          <w:highlight w:val="white"/>
          <w:lang w:val="es-ES_tradnl"/>
        </w:rPr>
      </w:pPr>
      <w:r>
        <w:rPr>
          <w:rFonts w:ascii="Palatino Linotype" w:hAnsi="Palatino Linotype"/>
          <w:b/>
          <w:szCs w:val="17"/>
          <w:lang w:eastAsia="es-ES_tradnl"/>
        </w:rPr>
        <w:t xml:space="preserve">Notifíquese </w:t>
      </w:r>
      <w:r>
        <w:rPr>
          <w:rFonts w:ascii="Palatino Linotype" w:eastAsiaTheme="minorEastAsia" w:hAnsi="Palatino Linotype" w:cstheme="minorBidi"/>
          <w:color w:val="222222"/>
          <w:shd w:val="clear" w:color="auto" w:fill="FFFFFF"/>
          <w:lang w:val="es-ES_tradnl"/>
        </w:rPr>
        <w:t xml:space="preserve">al Titular de la Unidad de Transparencia del </w:t>
      </w:r>
      <w:r>
        <w:rPr>
          <w:rFonts w:ascii="Palatino Linotype" w:eastAsiaTheme="minorEastAsia" w:hAnsi="Palatino Linotype" w:cstheme="minorBidi"/>
          <w:b/>
          <w:color w:val="222222"/>
          <w:shd w:val="clear" w:color="auto" w:fill="FFFFFF"/>
          <w:lang w:val="es-ES_tradnl"/>
        </w:rPr>
        <w:t>SUJETO OBLIGADO</w:t>
      </w:r>
      <w:r>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422796" w:rsidRDefault="008E2E55">
      <w:pPr>
        <w:pStyle w:val="Prrafodelista"/>
        <w:widowControl w:val="0"/>
        <w:numPr>
          <w:ilvl w:val="0"/>
          <w:numId w:val="3"/>
        </w:numPr>
        <w:tabs>
          <w:tab w:val="left" w:pos="1701"/>
        </w:tabs>
        <w:spacing w:before="360" w:after="240" w:line="360" w:lineRule="auto"/>
        <w:ind w:left="0" w:firstLine="0"/>
        <w:jc w:val="both"/>
        <w:rPr>
          <w:rFonts w:ascii="Palatino Linotype" w:eastAsiaTheme="minorEastAsia" w:hAnsi="Palatino Linotype" w:cstheme="minorBidi"/>
          <w:color w:val="222222"/>
          <w:highlight w:val="white"/>
          <w:lang w:val="es-ES_tradnl"/>
        </w:rPr>
      </w:pPr>
      <w:r>
        <w:rPr>
          <w:rFonts w:ascii="Palatino Linotype" w:eastAsiaTheme="minorEastAsia" w:hAnsi="Palatino Linotype" w:cstheme="minorBidi"/>
          <w:color w:val="222222"/>
          <w:shd w:val="clear" w:color="auto" w:fill="FFFFFF"/>
          <w:lang w:val="es-ES_tradnl"/>
        </w:rPr>
        <w:lastRenderedPageBreak/>
        <w:t xml:space="preserve">Con fundamento en el artículo 198 de la Ley de Transparencia y Acceso a la Información Pública del Estado de México y Municipios, se apercibe al </w:t>
      </w:r>
      <w:r>
        <w:rPr>
          <w:rFonts w:ascii="Palatino Linotype" w:eastAsiaTheme="minorEastAsia" w:hAnsi="Palatino Linotype" w:cstheme="minorBidi"/>
          <w:b/>
          <w:color w:val="222222"/>
          <w:shd w:val="clear" w:color="auto" w:fill="FFFFFF"/>
          <w:lang w:val="es-ES_tradnl"/>
        </w:rPr>
        <w:t xml:space="preserve">SUJETO OBLIGADO </w:t>
      </w:r>
      <w:r>
        <w:rPr>
          <w:rFonts w:ascii="Palatino Linotype" w:eastAsiaTheme="minorEastAsia" w:hAnsi="Palatino Linotype" w:cstheme="minorBidi"/>
          <w:color w:val="222222"/>
          <w:shd w:val="clear" w:color="auto" w:fill="FFFFFF"/>
          <w:lang w:val="es-ES_tradnl"/>
        </w:rPr>
        <w:t xml:space="preserve">que, en caso de negarse a cumplir la presente resolución o hacerlo de manera parcial se actuará, de conformidad con lo previsto en los artículos 213, 214, 216 y 217 de dicha Ley. </w:t>
      </w:r>
    </w:p>
    <w:p w:rsidR="00422796" w:rsidRDefault="008E2E55">
      <w:pPr>
        <w:pStyle w:val="Prrafodelista"/>
        <w:widowControl w:val="0"/>
        <w:numPr>
          <w:ilvl w:val="0"/>
          <w:numId w:val="3"/>
        </w:numPr>
        <w:tabs>
          <w:tab w:val="left" w:pos="1701"/>
        </w:tabs>
        <w:spacing w:before="240"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al</w:t>
      </w:r>
      <w:r>
        <w:rPr>
          <w:rFonts w:ascii="Palatino Linotype" w:hAnsi="Palatino Linotype" w:cs="Arial"/>
          <w:b/>
        </w:rPr>
        <w:t xml:space="preserve"> 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422796" w:rsidRDefault="008E2E55">
      <w:pPr>
        <w:pStyle w:val="Prrafodelista"/>
        <w:widowControl w:val="0"/>
        <w:numPr>
          <w:ilvl w:val="0"/>
          <w:numId w:val="3"/>
        </w:numPr>
        <w:tabs>
          <w:tab w:val="left" w:pos="1701"/>
        </w:tabs>
        <w:spacing w:before="240" w:afterAutospacing="1"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del</w:t>
      </w:r>
      <w:r>
        <w:rPr>
          <w:rFonts w:ascii="Palatino Linotype" w:hAnsi="Palatino Linotype" w:cs="Arial"/>
          <w:b/>
        </w:rPr>
        <w:t xml:space="preserve"> 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rsidR="00422796" w:rsidRDefault="008E2E55">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Se dejan a salvo los derechos del</w:t>
      </w:r>
      <w:r>
        <w:rPr>
          <w:rFonts w:ascii="Palatino Linotype" w:eastAsia="Calibri" w:hAnsi="Palatino Linotype"/>
          <w:b/>
          <w:szCs w:val="22"/>
          <w:lang w:eastAsia="en-US"/>
        </w:rPr>
        <w:t xml:space="preserve"> RECURRENTE</w:t>
      </w:r>
      <w:r>
        <w:rPr>
          <w:rFonts w:ascii="Palatino Linotype" w:eastAsia="Calibri" w:hAnsi="Palatino Linotype"/>
          <w:szCs w:val="22"/>
          <w:lang w:eastAsia="en-US"/>
        </w:rPr>
        <w:t>, a efecto de que de considerarlo pertinente realice las solicitudes de acceso a la información que a su derecho convenga.</w:t>
      </w:r>
    </w:p>
    <w:p w:rsidR="00422796" w:rsidRDefault="008E2E55">
      <w:pPr>
        <w:tabs>
          <w:tab w:val="left" w:pos="709"/>
        </w:tabs>
        <w:spacing w:line="360" w:lineRule="auto"/>
        <w:ind w:right="51"/>
        <w:jc w:val="both"/>
        <w:rPr>
          <w:rFonts w:ascii="Palatino Linotype" w:hAnsi="Palatino Linotype"/>
          <w:color w:val="222222"/>
          <w:szCs w:val="17"/>
          <w:lang w:eastAsia="es-ES_tradn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w:t>
      </w:r>
      <w:r>
        <w:rPr>
          <w:rFonts w:ascii="Palatino Linotype" w:hAnsi="Palatino Linotype" w:cs="Arial"/>
          <w:shd w:val="clear" w:color="auto" w:fill="FFFFFF"/>
        </w:rPr>
        <w:t xml:space="preserve"> LA</w:t>
      </w:r>
      <w:r>
        <w:rPr>
          <w:rFonts w:ascii="Palatino Linotype" w:hAnsi="Palatino Linotype" w:cs="Arial"/>
        </w:rPr>
        <w:t xml:space="preserve"> DÉCIMA TERCERA SESIÓN ORDINARIA DE FECHA DOCE DE AGOSTO DE DOS MIL VEINTE, ANTE EL SECRETARIO TÉCNICO DEL PLENO, ALEXIS TAPIA RAMÍREZ.</w:t>
      </w:r>
    </w:p>
    <w:tbl>
      <w:tblPr>
        <w:tblW w:w="9214" w:type="dxa"/>
        <w:jc w:val="center"/>
        <w:tblLook w:val="04A0" w:firstRow="1" w:lastRow="0" w:firstColumn="1" w:lastColumn="0" w:noHBand="0" w:noVBand="1"/>
      </w:tblPr>
      <w:tblGrid>
        <w:gridCol w:w="4757"/>
        <w:gridCol w:w="4457"/>
      </w:tblGrid>
      <w:tr w:rsidR="00422796">
        <w:trPr>
          <w:jc w:val="center"/>
        </w:trPr>
        <w:tc>
          <w:tcPr>
            <w:tcW w:w="9213" w:type="dxa"/>
            <w:gridSpan w:val="2"/>
            <w:shd w:val="clear" w:color="auto" w:fill="auto"/>
          </w:tcPr>
          <w:p w:rsidR="00422796" w:rsidRDefault="00422796">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422796" w:rsidRDefault="00422796">
            <w:pPr>
              <w:jc w:val="center"/>
              <w:rPr>
                <w:rFonts w:ascii="Palatino Linotype" w:hAnsi="Palatino Linotype" w:cs="Arial"/>
                <w:b/>
                <w:lang w:val="es-ES_tradnl"/>
              </w:rPr>
            </w:pPr>
          </w:p>
          <w:p w:rsidR="00422796" w:rsidRDefault="008E2E55">
            <w:pPr>
              <w:jc w:val="center"/>
              <w:rPr>
                <w:rFonts w:ascii="Palatino Linotype" w:hAnsi="Palatino Linotype" w:cs="Arial"/>
                <w:b/>
                <w:lang w:val="es-ES_tradnl"/>
              </w:rPr>
            </w:pPr>
            <w:r>
              <w:rPr>
                <w:rFonts w:ascii="Palatino Linotype" w:hAnsi="Palatino Linotype" w:cs="Arial"/>
                <w:b/>
                <w:lang w:val="es-ES_tradnl"/>
              </w:rPr>
              <w:t>Zulema Martínez Sánchez</w:t>
            </w:r>
          </w:p>
          <w:p w:rsidR="00422796" w:rsidRDefault="008E2E55">
            <w:pPr>
              <w:jc w:val="center"/>
              <w:rPr>
                <w:rFonts w:ascii="Palatino Linotype" w:hAnsi="Palatino Linotype" w:cs="Arial"/>
                <w:b/>
                <w:lang w:val="es-ES_tradnl"/>
              </w:rPr>
            </w:pPr>
            <w:r>
              <w:rPr>
                <w:rFonts w:ascii="Palatino Linotype" w:hAnsi="Palatino Linotype" w:cs="Arial"/>
                <w:lang w:val="es-ES_tradnl"/>
              </w:rPr>
              <w:t>Comisionada Presidenta</w:t>
            </w:r>
          </w:p>
          <w:p w:rsidR="00422796" w:rsidRDefault="008E2E55" w:rsidP="00942738">
            <w:pPr>
              <w:jc w:val="center"/>
              <w:rPr>
                <w:rFonts w:ascii="Palatino Linotype" w:hAnsi="Palatino Linotype" w:cs="Arial"/>
                <w:b/>
                <w:lang w:val="es-ES_tradnl"/>
              </w:rPr>
            </w:pPr>
            <w:r>
              <w:rPr>
                <w:rFonts w:ascii="Palatino Linotype" w:hAnsi="Palatino Linotype" w:cs="Arial"/>
                <w:b/>
                <w:lang w:val="es-ES_tradnl"/>
              </w:rPr>
              <w:t>(RÚBRICA)</w:t>
            </w:r>
          </w:p>
        </w:tc>
      </w:tr>
      <w:tr w:rsidR="00422796">
        <w:trPr>
          <w:jc w:val="center"/>
        </w:trPr>
        <w:tc>
          <w:tcPr>
            <w:tcW w:w="4756" w:type="dxa"/>
            <w:shd w:val="clear" w:color="auto" w:fill="auto"/>
          </w:tcPr>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422796" w:rsidRDefault="008E2E55">
            <w:pPr>
              <w:jc w:val="center"/>
              <w:rPr>
                <w:rFonts w:ascii="Palatino Linotype" w:hAnsi="Palatino Linotype" w:cs="Arial"/>
                <w:b/>
                <w:lang w:val="es-ES_tradnl"/>
              </w:rPr>
            </w:pPr>
            <w:r>
              <w:rPr>
                <w:rFonts w:ascii="Palatino Linotype" w:hAnsi="Palatino Linotype" w:cs="Arial"/>
                <w:b/>
                <w:lang w:val="es-ES_tradnl"/>
              </w:rPr>
              <w:t>Eva Abaid Yapur</w:t>
            </w:r>
          </w:p>
          <w:p w:rsidR="00422796" w:rsidRDefault="008E2E55">
            <w:pPr>
              <w:jc w:val="center"/>
              <w:rPr>
                <w:rFonts w:ascii="Palatino Linotype" w:hAnsi="Palatino Linotype" w:cs="Arial"/>
                <w:lang w:val="es-ES_tradnl"/>
              </w:rPr>
            </w:pPr>
            <w:r>
              <w:rPr>
                <w:rFonts w:ascii="Palatino Linotype" w:hAnsi="Palatino Linotype" w:cs="Arial"/>
                <w:lang w:val="es-ES_tradnl"/>
              </w:rPr>
              <w:t>Comisionada</w:t>
            </w:r>
          </w:p>
          <w:p w:rsidR="00422796" w:rsidRDefault="008E2E55">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422796" w:rsidRDefault="008E2E55">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422796" w:rsidRDefault="008E2E55">
            <w:pPr>
              <w:jc w:val="center"/>
              <w:rPr>
                <w:rFonts w:ascii="Palatino Linotype" w:hAnsi="Palatino Linotype" w:cs="Arial"/>
                <w:lang w:val="es-ES_tradnl"/>
              </w:rPr>
            </w:pPr>
            <w:r>
              <w:rPr>
                <w:rFonts w:ascii="Palatino Linotype" w:hAnsi="Palatino Linotype" w:cs="Arial"/>
                <w:lang w:val="es-ES_tradnl"/>
              </w:rPr>
              <w:t>Comisionado</w:t>
            </w:r>
          </w:p>
          <w:p w:rsidR="00422796" w:rsidRDefault="008E2E55">
            <w:pPr>
              <w:jc w:val="center"/>
              <w:rPr>
                <w:rFonts w:ascii="Palatino Linotype" w:hAnsi="Palatino Linotype" w:cs="Arial"/>
                <w:b/>
                <w:lang w:val="es-ES_tradnl"/>
              </w:rPr>
            </w:pPr>
            <w:r>
              <w:rPr>
                <w:rFonts w:ascii="Palatino Linotype" w:hAnsi="Palatino Linotype" w:cs="Arial"/>
                <w:b/>
                <w:lang w:val="es-ES_tradnl"/>
              </w:rPr>
              <w:t>(RÚBRICA)</w:t>
            </w:r>
          </w:p>
        </w:tc>
      </w:tr>
      <w:tr w:rsidR="00422796">
        <w:trPr>
          <w:jc w:val="center"/>
        </w:trPr>
        <w:tc>
          <w:tcPr>
            <w:tcW w:w="4756" w:type="dxa"/>
            <w:shd w:val="clear" w:color="auto" w:fill="auto"/>
          </w:tcPr>
          <w:p w:rsidR="00422796" w:rsidRDefault="00422796">
            <w:pPr>
              <w:jc w:val="center"/>
              <w:rPr>
                <w:rFonts w:ascii="Palatino Linotype" w:hAnsi="Palatino Linotype" w:cs="Arial"/>
                <w:b/>
                <w:lang w:val="es-ES_tradnl"/>
              </w:rPr>
            </w:pPr>
          </w:p>
          <w:p w:rsidR="00422796" w:rsidRDefault="00422796">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422796" w:rsidRDefault="008E2E55">
            <w:pPr>
              <w:jc w:val="center"/>
              <w:rPr>
                <w:rFonts w:ascii="Palatino Linotype" w:hAnsi="Palatino Linotype" w:cs="Arial"/>
                <w:b/>
                <w:lang w:val="es-ES_tradnl"/>
              </w:rPr>
            </w:pPr>
            <w:r>
              <w:rPr>
                <w:rFonts w:ascii="Palatino Linotype" w:hAnsi="Palatino Linotype" w:cs="Arial"/>
                <w:b/>
                <w:lang w:val="es-ES_tradnl"/>
              </w:rPr>
              <w:t>Javier Martínez Cruz</w:t>
            </w:r>
          </w:p>
          <w:p w:rsidR="00422796" w:rsidRDefault="008E2E55">
            <w:pPr>
              <w:jc w:val="center"/>
              <w:rPr>
                <w:rFonts w:ascii="Palatino Linotype" w:hAnsi="Palatino Linotype" w:cs="Arial"/>
                <w:lang w:val="es-ES_tradnl"/>
              </w:rPr>
            </w:pPr>
            <w:r>
              <w:rPr>
                <w:rFonts w:ascii="Palatino Linotype" w:hAnsi="Palatino Linotype" w:cs="Arial"/>
                <w:lang w:val="es-ES_tradnl"/>
              </w:rPr>
              <w:t>Comisionado</w:t>
            </w:r>
          </w:p>
          <w:p w:rsidR="00422796" w:rsidRDefault="008E2E55">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rsidR="00422796" w:rsidRDefault="00422796">
            <w:pPr>
              <w:jc w:val="center"/>
              <w:rPr>
                <w:rFonts w:ascii="Palatino Linotype" w:hAnsi="Palatino Linotype" w:cs="Arial"/>
                <w:b/>
                <w:lang w:val="es-ES_tradnl"/>
              </w:rPr>
            </w:pPr>
          </w:p>
          <w:p w:rsidR="00422796" w:rsidRDefault="00422796">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422796" w:rsidRDefault="008E2E55">
            <w:pPr>
              <w:jc w:val="center"/>
              <w:rPr>
                <w:rFonts w:ascii="Palatino Linotype" w:hAnsi="Palatino Linotype" w:cs="Arial"/>
                <w:b/>
                <w:lang w:val="es-ES_tradnl"/>
              </w:rPr>
            </w:pPr>
            <w:r>
              <w:rPr>
                <w:rFonts w:ascii="Palatino Linotype" w:hAnsi="Palatino Linotype" w:cs="Arial"/>
                <w:b/>
                <w:lang w:val="es-ES_tradnl"/>
              </w:rPr>
              <w:t>Luis Gustavo Parra Noriega</w:t>
            </w:r>
          </w:p>
          <w:p w:rsidR="00422796" w:rsidRDefault="008E2E55">
            <w:pPr>
              <w:jc w:val="center"/>
              <w:rPr>
                <w:rFonts w:ascii="Palatino Linotype" w:hAnsi="Palatino Linotype" w:cs="Arial"/>
                <w:lang w:val="es-ES_tradnl"/>
              </w:rPr>
            </w:pPr>
            <w:r>
              <w:rPr>
                <w:rFonts w:ascii="Palatino Linotype" w:hAnsi="Palatino Linotype" w:cs="Arial"/>
                <w:lang w:val="es-ES_tradnl"/>
              </w:rPr>
              <w:t>Comisionado</w:t>
            </w:r>
          </w:p>
          <w:p w:rsidR="00422796" w:rsidRDefault="008E2E55">
            <w:pPr>
              <w:jc w:val="center"/>
              <w:rPr>
                <w:rFonts w:ascii="Palatino Linotype" w:hAnsi="Palatino Linotype" w:cs="Arial"/>
                <w:b/>
                <w:lang w:val="es-ES_tradnl"/>
              </w:rPr>
            </w:pPr>
            <w:r>
              <w:rPr>
                <w:rFonts w:ascii="Palatino Linotype" w:hAnsi="Palatino Linotype" w:cs="Arial"/>
                <w:b/>
                <w:lang w:val="es-ES_tradnl"/>
              </w:rPr>
              <w:t>(RÚBRICA)</w:t>
            </w:r>
          </w:p>
        </w:tc>
      </w:tr>
      <w:tr w:rsidR="00422796">
        <w:trPr>
          <w:jc w:val="center"/>
        </w:trPr>
        <w:tc>
          <w:tcPr>
            <w:tcW w:w="9213" w:type="dxa"/>
            <w:gridSpan w:val="2"/>
            <w:shd w:val="clear" w:color="auto" w:fill="auto"/>
          </w:tcPr>
          <w:p w:rsidR="00422796" w:rsidRDefault="00422796">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422796" w:rsidRDefault="00422796">
            <w:pPr>
              <w:jc w:val="center"/>
              <w:rPr>
                <w:rFonts w:ascii="Palatino Linotype" w:hAnsi="Palatino Linotype" w:cs="Arial"/>
                <w:b/>
                <w:lang w:val="es-ES_tradnl"/>
              </w:rPr>
            </w:pPr>
          </w:p>
          <w:p w:rsidR="00942738" w:rsidRDefault="00942738">
            <w:pPr>
              <w:jc w:val="center"/>
              <w:rPr>
                <w:rFonts w:ascii="Palatino Linotype" w:hAnsi="Palatino Linotype" w:cs="Arial"/>
                <w:b/>
                <w:lang w:val="es-ES_tradnl"/>
              </w:rPr>
            </w:pPr>
          </w:p>
          <w:p w:rsidR="00422796" w:rsidRDefault="008E2E55">
            <w:pPr>
              <w:jc w:val="center"/>
              <w:rPr>
                <w:rFonts w:ascii="Palatino Linotype" w:hAnsi="Palatino Linotype" w:cs="Arial"/>
                <w:b/>
                <w:lang w:val="es-ES_tradnl"/>
              </w:rPr>
            </w:pPr>
            <w:r>
              <w:rPr>
                <w:rFonts w:ascii="Palatino Linotype" w:hAnsi="Palatino Linotype" w:cs="Arial"/>
                <w:b/>
                <w:lang w:val="es-ES_tradnl"/>
              </w:rPr>
              <w:t>Alexis Tapia Ramírez</w:t>
            </w:r>
          </w:p>
          <w:p w:rsidR="00422796" w:rsidRDefault="008E2E55">
            <w:pPr>
              <w:jc w:val="center"/>
              <w:rPr>
                <w:rFonts w:ascii="Palatino Linotype" w:hAnsi="Palatino Linotype" w:cs="Arial"/>
                <w:lang w:val="es-ES_tradnl"/>
              </w:rPr>
            </w:pPr>
            <w:r>
              <w:rPr>
                <w:rFonts w:ascii="Palatino Linotype" w:hAnsi="Palatino Linotype" w:cs="Arial"/>
                <w:lang w:val="es-ES_tradnl"/>
              </w:rPr>
              <w:t>Secretario Técnico del Pleno</w:t>
            </w:r>
          </w:p>
          <w:p w:rsidR="00422796" w:rsidRDefault="008E2E55" w:rsidP="00942738">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942738" w:rsidRDefault="00942738">
      <w:pPr>
        <w:jc w:val="both"/>
        <w:rPr>
          <w:rFonts w:ascii="Palatino Linotype" w:hAnsi="Palatino Linotype" w:cs="Arial"/>
          <w:sz w:val="22"/>
          <w:szCs w:val="22"/>
          <w:lang w:val="es-ES"/>
        </w:rPr>
      </w:pPr>
    </w:p>
    <w:p w:rsidR="00422796" w:rsidRDefault="008E2E55">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doce de agosto de dos mil veinte, emitida en los recursos de revisión números 01322/INFOEM/IP/RR/2020 y acumulados. </w:t>
      </w:r>
    </w:p>
    <w:p w:rsidR="00422796" w:rsidRDefault="008E2E55">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YSM/CBO</w:t>
      </w:r>
    </w:p>
    <w:sectPr w:rsidR="00422796">
      <w:headerReference w:type="default" r:id="rId15"/>
      <w:footerReference w:type="default" r:id="rId16"/>
      <w:headerReference w:type="first" r:id="rId17"/>
      <w:footerReference w:type="first" r:id="rId18"/>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8D2" w:rsidRDefault="001408D2">
      <w:r>
        <w:separator/>
      </w:r>
    </w:p>
  </w:endnote>
  <w:endnote w:type="continuationSeparator" w:id="0">
    <w:p w:rsidR="001408D2" w:rsidRDefault="00140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96" w:rsidRDefault="008E2E55">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03F61">
      <w:rPr>
        <w:rFonts w:ascii="Palatino Linotype" w:hAnsi="Palatino Linotype" w:cs="Arial"/>
        <w:bCs/>
        <w:noProof/>
        <w:sz w:val="22"/>
        <w:szCs w:val="22"/>
      </w:rPr>
      <w:t>17</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03F61">
      <w:rPr>
        <w:rFonts w:ascii="Palatino Linotype" w:hAnsi="Palatino Linotype" w:cs="Arial"/>
        <w:bCs/>
        <w:noProof/>
        <w:sz w:val="22"/>
        <w:szCs w:val="22"/>
      </w:rPr>
      <w:t>52</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96" w:rsidRDefault="008E2E55">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03F61">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03F61">
      <w:rPr>
        <w:rFonts w:ascii="Palatino Linotype" w:hAnsi="Palatino Linotype" w:cs="Arial"/>
        <w:bCs/>
        <w:noProof/>
        <w:sz w:val="22"/>
        <w:szCs w:val="22"/>
      </w:rPr>
      <w:t>52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8D2" w:rsidRDefault="001408D2">
      <w:pPr>
        <w:rPr>
          <w:sz w:val="12"/>
        </w:rPr>
      </w:pPr>
      <w:r>
        <w:separator/>
      </w:r>
    </w:p>
  </w:footnote>
  <w:footnote w:type="continuationSeparator" w:id="0">
    <w:p w:rsidR="001408D2" w:rsidRDefault="001408D2">
      <w:pPr>
        <w:rPr>
          <w:sz w:val="12"/>
        </w:rPr>
      </w:pPr>
      <w:r>
        <w:continuationSeparator/>
      </w:r>
    </w:p>
  </w:footnote>
  <w:footnote w:id="1">
    <w:p w:rsidR="00422796" w:rsidRDefault="008E2E55">
      <w:pPr>
        <w:pStyle w:val="Textonotapie"/>
        <w:jc w:val="both"/>
        <w:rPr>
          <w:rFonts w:ascii="Palatino Linotype" w:eastAsia="Calibri" w:hAnsi="Palatino Linotype" w:cs="Times New Roman"/>
        </w:rPr>
      </w:pPr>
      <w:r>
        <w:rPr>
          <w:rStyle w:val="FootnoteCharacters"/>
        </w:rPr>
        <w:footnoteRef/>
      </w:r>
      <w:r>
        <w:t xml:space="preserve"> </w:t>
      </w:r>
      <w:r>
        <w:rPr>
          <w:rFonts w:ascii="Palatino Linotype" w:eastAsia="Calibri" w:hAnsi="Palatino Linotype" w:cs="Times New Roman"/>
        </w:rPr>
        <w:t xml:space="preserve">De conformidad con la información publicada por </w:t>
      </w:r>
      <w:r>
        <w:rPr>
          <w:rFonts w:ascii="Palatino Linotype" w:eastAsia="Calibri" w:hAnsi="Palatino Linotype" w:cs="Times New Roman"/>
          <w:b/>
        </w:rPr>
        <w:t>EL SUJETO OBLIGADO</w:t>
      </w:r>
      <w:r>
        <w:rPr>
          <w:rFonts w:ascii="Palatino Linotype" w:eastAsia="Calibri" w:hAnsi="Palatino Linotype" w:cs="Times New Roman"/>
        </w:rPr>
        <w:t xml:space="preserve"> en su Portal de Información Pública de Oficio Mexiquense (IPOMEX), ubicable en la siguiente liga electrónica:</w:t>
      </w:r>
    </w:p>
    <w:p w:rsidR="00422796" w:rsidRDefault="008E2E55">
      <w:pPr>
        <w:jc w:val="both"/>
      </w:pPr>
      <w:r>
        <w:rPr>
          <w:rFonts w:ascii="Palatino Linotype" w:hAnsi="Palatino Linotype"/>
          <w:sz w:val="20"/>
          <w:szCs w:val="20"/>
        </w:rPr>
        <w:t>https://www.ipomex.org.mx/ipo3/lgt/indice/ZUMPANGO/art_92_vii.web</w:t>
      </w:r>
    </w:p>
  </w:footnote>
  <w:footnote w:id="2">
    <w:p w:rsidR="00422796" w:rsidRDefault="008E2E55">
      <w:pPr>
        <w:pStyle w:val="Textonotapie"/>
        <w:jc w:val="both"/>
      </w:pPr>
      <w:r>
        <w:rPr>
          <w:rStyle w:val="FootnoteCharacters"/>
        </w:rPr>
        <w:footnoteRef/>
      </w:r>
      <w:r>
        <w:t xml:space="preserve"> </w:t>
      </w:r>
      <w:r>
        <w:rPr>
          <w:rFonts w:ascii="Palatino Linotype" w:hAnsi="Palatino Linotype"/>
        </w:rPr>
        <w:t xml:space="preserve">Se destaca que si bien es cierto el particular refirió que requería información relativa </w:t>
      </w:r>
      <w:r>
        <w:rPr>
          <w:rFonts w:ascii="Palatino Linotype" w:hAnsi="Palatino Linotype"/>
          <w:i/>
        </w:rPr>
        <w:t>a “</w:t>
      </w:r>
      <w:r>
        <w:rPr>
          <w:rFonts w:ascii="Palatino Linotype" w:hAnsi="Palatino Linotype" w:cs="Arial"/>
          <w:i/>
        </w:rPr>
        <w:t>EXPEDIENTES DE LAS LICITACIONES POR CUALQUIER MODALIDAD SE REALIZARON EN EL AÑO 2019 DE BIENES, SERVICIOS</w:t>
      </w:r>
      <w:r>
        <w:rPr>
          <w:rFonts w:ascii="Palatino Linotype" w:hAnsi="Palatino Linotype"/>
          <w:i/>
        </w:rPr>
        <w:t xml:space="preserve"> “ (Sic);</w:t>
      </w:r>
      <w:r>
        <w:rPr>
          <w:rFonts w:ascii="Palatino Linotype" w:hAnsi="Palatino Linotype"/>
        </w:rPr>
        <w:t xml:space="preserve"> también lo es, que del análisis al artículo 1 de la Ley de Contratación Pública del Estado de México y Municipios y demás artículos aplicables de dicha legislación se observó que dichos actos jurídicos pueden ser adjudicados al Municipio a través de diversas modalidades; por ello, en términos de lo dispuesto por los artículos 13 y 181, cuarto párrafo de la Ley de Transparencia y Acceso a la Información Pública del Estado de México y Municipios este Instituto suple la deficiencia en que incurre el particular y determina que pretende acceso a todos aquellos expedientes generados por los rubros regulados por la legislación primeramente citada.</w:t>
      </w:r>
    </w:p>
  </w:footnote>
  <w:footnote w:id="3">
    <w:p w:rsidR="00422796" w:rsidRDefault="008E2E55">
      <w:pPr>
        <w:pStyle w:val="Textonotapie"/>
        <w:jc w:val="both"/>
        <w:rPr>
          <w:rFonts w:ascii="Palatino Linotype" w:hAnsi="Palatino Linotype"/>
        </w:rPr>
      </w:pPr>
      <w:r>
        <w:rPr>
          <w:rStyle w:val="FootnoteCharacters"/>
        </w:rPr>
        <w:footnoteRef/>
      </w:r>
      <w:r>
        <w:t xml:space="preserve"> </w:t>
      </w:r>
      <w:r>
        <w:rPr>
          <w:rFonts w:ascii="Palatino Linotype" w:hAnsi="Palatino Linotype"/>
        </w:rPr>
        <w:t xml:space="preserve">Ubicable en la siguiente liga electrónica: </w:t>
      </w:r>
    </w:p>
    <w:p w:rsidR="00422796" w:rsidRDefault="008E2E55">
      <w:pPr>
        <w:pStyle w:val="Textonotapie"/>
        <w:jc w:val="both"/>
        <w:rPr>
          <w:rFonts w:ascii="Palatino Linotype" w:hAnsi="Palatino Linotype"/>
        </w:rPr>
      </w:pPr>
      <w:r>
        <w:rPr>
          <w:rFonts w:ascii="Palatino Linotype" w:hAnsi="Palatino Linotype"/>
        </w:rPr>
        <w:t>https://www.ipomex.org.mx/ipo3/lgt/indice/ZUMPANGO/art_92_xxix_a/1.web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96" w:rsidRDefault="008E2E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97" behindDoc="1" locked="0" layoutInCell="1" allowOverlap="1">
              <wp:simplePos x="0" y="0"/>
              <wp:positionH relativeFrom="column">
                <wp:align>center</wp:align>
              </wp:positionH>
              <wp:positionV relativeFrom="margin">
                <wp:align>center</wp:align>
              </wp:positionV>
              <wp:extent cx="6858635" cy="9144635"/>
              <wp:effectExtent l="0" t="0" r="0" b="0"/>
              <wp:wrapNone/>
              <wp:docPr id="12"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422796">
      <w:tc>
        <w:tcPr>
          <w:tcW w:w="3260" w:type="dxa"/>
          <w:vMerge w:val="restart"/>
        </w:tcPr>
        <w:p w:rsidR="00422796" w:rsidRDefault="008E2E55">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422796" w:rsidRDefault="008E2E55">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422796" w:rsidRDefault="008E2E55">
          <w:pPr>
            <w:jc w:val="both"/>
            <w:rPr>
              <w:rFonts w:ascii="Palatino Linotype" w:hAnsi="Palatino Linotype"/>
              <w:b/>
              <w:sz w:val="22"/>
              <w:szCs w:val="22"/>
              <w:lang w:val="es-ES_tradnl"/>
            </w:rPr>
          </w:pPr>
          <w:r>
            <w:rPr>
              <w:rFonts w:ascii="Palatino Linotype" w:hAnsi="Palatino Linotype"/>
              <w:b/>
              <w:sz w:val="22"/>
              <w:szCs w:val="22"/>
              <w:lang w:val="es-ES_tradnl"/>
            </w:rPr>
            <w:t>01322/INFOEM/IP/RR/2020 y acumulados</w:t>
          </w:r>
        </w:p>
      </w:tc>
    </w:tr>
    <w:tr w:rsidR="00422796">
      <w:tc>
        <w:tcPr>
          <w:tcW w:w="3260" w:type="dxa"/>
          <w:vMerge/>
        </w:tcPr>
        <w:p w:rsidR="00422796" w:rsidRDefault="00422796">
          <w:pPr>
            <w:rPr>
              <w:rFonts w:ascii="Palatino Linotype" w:hAnsi="Palatino Linotype"/>
              <w:b/>
              <w:sz w:val="22"/>
              <w:szCs w:val="22"/>
              <w:lang w:val="es-ES_tradnl"/>
            </w:rPr>
          </w:pPr>
        </w:p>
      </w:tc>
      <w:tc>
        <w:tcPr>
          <w:tcW w:w="2551" w:type="dxa"/>
          <w:shd w:val="clear" w:color="auto" w:fill="auto"/>
        </w:tcPr>
        <w:p w:rsidR="00422796" w:rsidRDefault="008E2E55">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422796" w:rsidRDefault="008E2E55">
          <w:pPr>
            <w:jc w:val="both"/>
            <w:rPr>
              <w:rFonts w:ascii="Palatino Linotype" w:hAnsi="Palatino Linotype"/>
              <w:b/>
              <w:sz w:val="22"/>
              <w:szCs w:val="22"/>
            </w:rPr>
          </w:pPr>
          <w:r>
            <w:rPr>
              <w:rFonts w:ascii="Palatino Linotype" w:hAnsi="Palatino Linotype"/>
              <w:b/>
              <w:bCs/>
              <w:sz w:val="22"/>
              <w:szCs w:val="22"/>
            </w:rPr>
            <w:t>Ayuntamiento de Zumpango</w:t>
          </w:r>
        </w:p>
      </w:tc>
    </w:tr>
    <w:tr w:rsidR="00422796">
      <w:trPr>
        <w:trHeight w:val="228"/>
      </w:trPr>
      <w:tc>
        <w:tcPr>
          <w:tcW w:w="3260" w:type="dxa"/>
          <w:vMerge/>
        </w:tcPr>
        <w:p w:rsidR="00422796" w:rsidRDefault="00422796">
          <w:pPr>
            <w:rPr>
              <w:rFonts w:ascii="Palatino Linotype" w:hAnsi="Palatino Linotype"/>
              <w:b/>
              <w:sz w:val="22"/>
              <w:szCs w:val="22"/>
              <w:lang w:val="es-ES_tradnl"/>
            </w:rPr>
          </w:pPr>
        </w:p>
      </w:tc>
      <w:tc>
        <w:tcPr>
          <w:tcW w:w="2551" w:type="dxa"/>
          <w:shd w:val="clear" w:color="auto" w:fill="auto"/>
        </w:tcPr>
        <w:p w:rsidR="00422796" w:rsidRDefault="008E2E55">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422796" w:rsidRDefault="008E2E5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422796" w:rsidRDefault="00422796">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96" w:rsidRDefault="008E2E55">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4"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422796">
      <w:tc>
        <w:tcPr>
          <w:tcW w:w="4252" w:type="dxa"/>
          <w:vMerge w:val="restart"/>
          <w:shd w:val="clear" w:color="auto" w:fill="auto"/>
        </w:tcPr>
        <w:p w:rsidR="00422796" w:rsidRDefault="008E2E55">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422796" w:rsidRDefault="008E2E55">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422796" w:rsidRDefault="008E2E55">
          <w:pPr>
            <w:jc w:val="both"/>
            <w:rPr>
              <w:rFonts w:ascii="Palatino Linotype" w:hAnsi="Palatino Linotype"/>
              <w:b/>
              <w:sz w:val="22"/>
              <w:szCs w:val="22"/>
              <w:lang w:val="es-ES_tradnl"/>
            </w:rPr>
          </w:pPr>
          <w:r>
            <w:rPr>
              <w:rFonts w:ascii="Palatino Linotype" w:hAnsi="Palatino Linotype"/>
              <w:b/>
              <w:sz w:val="22"/>
              <w:szCs w:val="22"/>
              <w:lang w:val="es-ES_tradnl"/>
            </w:rPr>
            <w:t>01322/INFOEM/IP/RR/2020 y acumulados</w:t>
          </w:r>
        </w:p>
      </w:tc>
    </w:tr>
    <w:tr w:rsidR="00422796">
      <w:tc>
        <w:tcPr>
          <w:tcW w:w="4252" w:type="dxa"/>
          <w:vMerge/>
          <w:shd w:val="clear" w:color="auto" w:fill="auto"/>
        </w:tcPr>
        <w:p w:rsidR="00422796" w:rsidRDefault="00422796">
          <w:pPr>
            <w:rPr>
              <w:rFonts w:ascii="Palatino Linotype" w:hAnsi="Palatino Linotype"/>
              <w:b/>
              <w:sz w:val="22"/>
              <w:szCs w:val="22"/>
              <w:lang w:val="es-ES_tradnl"/>
            </w:rPr>
          </w:pPr>
        </w:p>
      </w:tc>
      <w:tc>
        <w:tcPr>
          <w:tcW w:w="2552" w:type="dxa"/>
          <w:shd w:val="clear" w:color="auto" w:fill="auto"/>
        </w:tcPr>
        <w:p w:rsidR="00422796" w:rsidRDefault="008E2E55">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422796" w:rsidRDefault="00003F61">
          <w:pPr>
            <w:jc w:val="both"/>
            <w:rPr>
              <w:rFonts w:ascii="Palatino Linotype" w:hAnsi="Palatino Linotype"/>
              <w:b/>
              <w:sz w:val="22"/>
              <w:szCs w:val="22"/>
              <w:lang w:val="es-ES_tradnl"/>
            </w:rPr>
          </w:pPr>
          <w:r w:rsidRPr="00003F61">
            <w:rPr>
              <w:rFonts w:ascii="Palatino Linotype" w:hAnsi="Palatino Linotype"/>
              <w:b/>
              <w:sz w:val="22"/>
              <w:szCs w:val="22"/>
              <w:lang w:val="es-ES_tradnl"/>
            </w:rPr>
            <w:t>XXXXX XXXXXX XX</w:t>
          </w:r>
        </w:p>
      </w:tc>
    </w:tr>
    <w:tr w:rsidR="00422796">
      <w:trPr>
        <w:trHeight w:val="228"/>
      </w:trPr>
      <w:tc>
        <w:tcPr>
          <w:tcW w:w="4252" w:type="dxa"/>
          <w:vMerge/>
          <w:shd w:val="clear" w:color="auto" w:fill="auto"/>
        </w:tcPr>
        <w:p w:rsidR="00422796" w:rsidRDefault="00422796">
          <w:pPr>
            <w:rPr>
              <w:rFonts w:ascii="Palatino Linotype" w:hAnsi="Palatino Linotype"/>
              <w:b/>
              <w:sz w:val="22"/>
              <w:szCs w:val="22"/>
              <w:lang w:val="es-ES_tradnl"/>
            </w:rPr>
          </w:pPr>
        </w:p>
      </w:tc>
      <w:tc>
        <w:tcPr>
          <w:tcW w:w="2552" w:type="dxa"/>
          <w:shd w:val="clear" w:color="auto" w:fill="auto"/>
        </w:tcPr>
        <w:p w:rsidR="00422796" w:rsidRDefault="008E2E55">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422796" w:rsidRDefault="008E2E55">
          <w:pPr>
            <w:jc w:val="both"/>
            <w:rPr>
              <w:rFonts w:ascii="Palatino Linotype" w:hAnsi="Palatino Linotype"/>
              <w:b/>
              <w:sz w:val="22"/>
              <w:szCs w:val="22"/>
            </w:rPr>
          </w:pPr>
          <w:r>
            <w:rPr>
              <w:rFonts w:ascii="Palatino Linotype" w:hAnsi="Palatino Linotype"/>
              <w:b/>
              <w:bCs/>
              <w:sz w:val="22"/>
              <w:szCs w:val="22"/>
            </w:rPr>
            <w:t>Ayuntamiento de Zumpango</w:t>
          </w:r>
        </w:p>
      </w:tc>
    </w:tr>
    <w:tr w:rsidR="00422796">
      <w:tc>
        <w:tcPr>
          <w:tcW w:w="4252" w:type="dxa"/>
          <w:vMerge/>
          <w:shd w:val="clear" w:color="auto" w:fill="auto"/>
        </w:tcPr>
        <w:p w:rsidR="00422796" w:rsidRDefault="00422796">
          <w:pPr>
            <w:rPr>
              <w:rFonts w:ascii="Palatino Linotype" w:hAnsi="Palatino Linotype"/>
              <w:b/>
              <w:sz w:val="22"/>
              <w:szCs w:val="22"/>
              <w:lang w:val="es-ES_tradnl"/>
            </w:rPr>
          </w:pPr>
        </w:p>
      </w:tc>
      <w:tc>
        <w:tcPr>
          <w:tcW w:w="2552" w:type="dxa"/>
          <w:shd w:val="clear" w:color="auto" w:fill="auto"/>
        </w:tcPr>
        <w:p w:rsidR="00422796" w:rsidRDefault="008E2E55">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422796" w:rsidRDefault="008E2E5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422796" w:rsidRDefault="00422796">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71B5"/>
    <w:multiLevelType w:val="multilevel"/>
    <w:tmpl w:val="6D5CC1E0"/>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1" w15:restartNumberingAfterBreak="0">
    <w:nsid w:val="04BC4C40"/>
    <w:multiLevelType w:val="multilevel"/>
    <w:tmpl w:val="BE4E627A"/>
    <w:lvl w:ilvl="0">
      <w:start w:val="1"/>
      <w:numFmt w:val="upperRoman"/>
      <w:lvlText w:val="%1."/>
      <w:lvlJc w:val="left"/>
      <w:pPr>
        <w:ind w:left="720" w:hanging="360"/>
      </w:pPr>
      <w:rPr>
        <w:rFonts w:hint="default"/>
        <w:b/>
        <w:bCs/>
        <w:i w:val="0"/>
        <w:strike w:val="0"/>
        <w:dstrike w:val="0"/>
        <w:color w:val="000000"/>
        <w:sz w:val="28"/>
        <w:szCs w:val="28"/>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FF1021"/>
    <w:multiLevelType w:val="multilevel"/>
    <w:tmpl w:val="FB6C20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D502DAC"/>
    <w:multiLevelType w:val="multilevel"/>
    <w:tmpl w:val="CF0446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887678"/>
    <w:multiLevelType w:val="multilevel"/>
    <w:tmpl w:val="4D702DBE"/>
    <w:lvl w:ilvl="0">
      <w:start w:val="4"/>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5421262"/>
    <w:multiLevelType w:val="multilevel"/>
    <w:tmpl w:val="DDC455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E612D92"/>
    <w:multiLevelType w:val="multilevel"/>
    <w:tmpl w:val="58504826"/>
    <w:lvl w:ilvl="0">
      <w:start w:val="1"/>
      <w:numFmt w:val="ordinalText"/>
      <w:lvlText w:val="%1."/>
      <w:lvlJc w:val="left"/>
      <w:pPr>
        <w:ind w:left="720" w:hanging="360"/>
      </w:pPr>
      <w:rPr>
        <w:rFonts w:hint="default"/>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BEA7058"/>
    <w:multiLevelType w:val="multilevel"/>
    <w:tmpl w:val="3D5E8EA6"/>
    <w:lvl w:ilvl="0">
      <w:start w:val="1"/>
      <w:numFmt w:val="upperRoman"/>
      <w:lvlText w:val="%1."/>
      <w:lvlJc w:val="left"/>
      <w:pPr>
        <w:ind w:left="1631" w:hanging="720"/>
      </w:pPr>
    </w:lvl>
    <w:lvl w:ilvl="1">
      <w:start w:val="1"/>
      <w:numFmt w:val="lowerLetter"/>
      <w:lvlText w:val="%2."/>
      <w:lvlJc w:val="left"/>
      <w:pPr>
        <w:ind w:left="1991" w:hanging="360"/>
      </w:pPr>
    </w:lvl>
    <w:lvl w:ilvl="2">
      <w:start w:val="1"/>
      <w:numFmt w:val="lowerRoman"/>
      <w:lvlText w:val="%3."/>
      <w:lvlJc w:val="right"/>
      <w:pPr>
        <w:ind w:left="2711" w:hanging="180"/>
      </w:pPr>
    </w:lvl>
    <w:lvl w:ilvl="3">
      <w:start w:val="1"/>
      <w:numFmt w:val="decimal"/>
      <w:lvlText w:val="%4."/>
      <w:lvlJc w:val="left"/>
      <w:pPr>
        <w:ind w:left="3431" w:hanging="360"/>
      </w:pPr>
    </w:lvl>
    <w:lvl w:ilvl="4">
      <w:start w:val="1"/>
      <w:numFmt w:val="lowerLetter"/>
      <w:lvlText w:val="%5."/>
      <w:lvlJc w:val="left"/>
      <w:pPr>
        <w:ind w:left="4151" w:hanging="360"/>
      </w:pPr>
    </w:lvl>
    <w:lvl w:ilvl="5">
      <w:start w:val="1"/>
      <w:numFmt w:val="lowerRoman"/>
      <w:lvlText w:val="%6."/>
      <w:lvlJc w:val="right"/>
      <w:pPr>
        <w:ind w:left="4871" w:hanging="180"/>
      </w:pPr>
    </w:lvl>
    <w:lvl w:ilvl="6">
      <w:start w:val="1"/>
      <w:numFmt w:val="decimal"/>
      <w:lvlText w:val="%7."/>
      <w:lvlJc w:val="left"/>
      <w:pPr>
        <w:ind w:left="5591" w:hanging="360"/>
      </w:pPr>
    </w:lvl>
    <w:lvl w:ilvl="7">
      <w:start w:val="1"/>
      <w:numFmt w:val="lowerLetter"/>
      <w:lvlText w:val="%8."/>
      <w:lvlJc w:val="left"/>
      <w:pPr>
        <w:ind w:left="6311" w:hanging="360"/>
      </w:pPr>
    </w:lvl>
    <w:lvl w:ilvl="8">
      <w:start w:val="1"/>
      <w:numFmt w:val="lowerRoman"/>
      <w:lvlText w:val="%9."/>
      <w:lvlJc w:val="right"/>
      <w:pPr>
        <w:ind w:left="7031" w:hanging="180"/>
      </w:pPr>
    </w:lvl>
  </w:abstractNum>
  <w:abstractNum w:abstractNumId="8" w15:restartNumberingAfterBreak="0">
    <w:nsid w:val="65D8542F"/>
    <w:multiLevelType w:val="multilevel"/>
    <w:tmpl w:val="9F7ABA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4"/>
  </w:num>
  <w:num w:numId="6">
    <w:abstractNumId w:val="5"/>
  </w:num>
  <w:num w:numId="7">
    <w:abstractNumId w:val="8"/>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796"/>
    <w:rsid w:val="00003F61"/>
    <w:rsid w:val="001408D2"/>
    <w:rsid w:val="00156D2A"/>
    <w:rsid w:val="00422796"/>
    <w:rsid w:val="008E2E55"/>
    <w:rsid w:val="00942738"/>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5B04B-F2C3-4FB7-8278-A417AE8E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0.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0.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4BBC2-04D8-4DBD-BF81-2645C4CF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11733</Words>
  <Characters>64536</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 INFOEM</cp:lastModifiedBy>
  <cp:revision>2</cp:revision>
  <cp:lastPrinted>2020-01-22T19:55:00Z</cp:lastPrinted>
  <dcterms:created xsi:type="dcterms:W3CDTF">2020-08-27T00:59:00Z</dcterms:created>
  <dcterms:modified xsi:type="dcterms:W3CDTF">2020-08-27T00:59:00Z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