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05F" w:rsidRDefault="00410CE1">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w:t>
      </w:r>
      <w:bookmarkStart w:id="0" w:name="_GoBack"/>
      <w:bookmarkEnd w:id="0"/>
      <w:r>
        <w:rPr>
          <w:rFonts w:ascii="Palatino Linotype" w:hAnsi="Palatino Linotype"/>
        </w:rPr>
        <w:t>formación Pública y Protección de Datos Personales del Estado de México y Municipios, con domicilio en Metepec, Estado de México, de fecha veintiséis de agosto de dos mil veinte.</w:t>
      </w:r>
    </w:p>
    <w:p w:rsidR="00FF005F" w:rsidRDefault="00410CE1">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01532/INFOEM/IP/RR/2020</w:t>
      </w:r>
      <w:r>
        <w:rPr>
          <w:rFonts w:ascii="Palatino Linotype" w:hAnsi="Palatino Linotype"/>
        </w:rPr>
        <w:t xml:space="preserve">, promovido por el C. </w:t>
      </w:r>
      <w:r w:rsidR="00925CEE">
        <w:rPr>
          <w:rFonts w:ascii="Palatino Linotype" w:hAnsi="Palatino Linotype"/>
          <w:b/>
          <w:lang w:val="es-ES_tradnl"/>
        </w:rPr>
        <w:t>XXXXXX XXXXXXXX y/o XXXXXX XXXXXXXX XX XXXXXXXXXXXXX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 respuesta emitida por la </w:t>
      </w:r>
      <w:r>
        <w:rPr>
          <w:rFonts w:ascii="Palatino Linotype" w:hAnsi="Palatino Linotype"/>
          <w:b/>
        </w:rPr>
        <w:t>Secretaría del Medio Ambiente,</w:t>
      </w:r>
      <w:r>
        <w:rPr>
          <w:rFonts w:ascii="Palatino Linotype" w:hAnsi="Palatino Linotype"/>
        </w:rPr>
        <w:t xml:space="preserve"> en </w:t>
      </w:r>
      <w:r>
        <w:rPr>
          <w:rFonts w:ascii="Palatino Linotype" w:hAnsi="Palatino Linotype"/>
        </w:rPr>
        <w:t xml:space="preserve">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FF005F" w:rsidRDefault="00410CE1">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FF005F" w:rsidRDefault="00410CE1">
      <w:pPr>
        <w:pStyle w:val="Prrafodelista"/>
        <w:numPr>
          <w:ilvl w:val="0"/>
          <w:numId w:val="1"/>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cuatro de marzo de dos mil veinte, </w:t>
      </w:r>
      <w:r>
        <w:rPr>
          <w:rFonts w:ascii="Palatino Linotype" w:hAnsi="Palatino Linotype" w:cs="Arial"/>
          <w:b/>
        </w:rPr>
        <w:t>EL RECURRENTE</w:t>
      </w:r>
      <w:r>
        <w:rPr>
          <w:rFonts w:ascii="Palatino Linotype" w:hAnsi="Palatino Linotype"/>
        </w:rPr>
        <w:t xml:space="preserve"> presentó </w:t>
      </w:r>
      <w:r>
        <w:rPr>
          <w:rFonts w:ascii="Palatino Linotype" w:hAnsi="Palatino Linotype" w:cs="Arial"/>
        </w:rPr>
        <w:t>a través de la Plataforma Nacional de Transparencia, vinculada con el Sistem</w:t>
      </w:r>
      <w:r>
        <w:rPr>
          <w:rFonts w:ascii="Palatino Linotype" w:hAnsi="Palatino Linotype" w:cs="Arial"/>
        </w:rPr>
        <w:t xml:space="preserve">a de Acceso a la Información Mexiquense, en lo subsecuente </w:t>
      </w:r>
      <w:r>
        <w:rPr>
          <w:rFonts w:ascii="Palatino Linotype" w:hAnsi="Palatino Linotype" w:cs="Arial"/>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00112/SMA/IP/2020</w:t>
      </w:r>
      <w:r>
        <w:rPr>
          <w:rFonts w:ascii="Palatino Linotype" w:hAnsi="Palatino Linotype"/>
        </w:rPr>
        <w:t xml:space="preserve">, mediante la cual requirió vía </w:t>
      </w:r>
      <w:r>
        <w:rPr>
          <w:rFonts w:ascii="Palatino Linotype" w:hAnsi="Palatino Linotype"/>
          <w:b/>
        </w:rPr>
        <w:t xml:space="preserve">SAIMEX </w:t>
      </w:r>
      <w:r>
        <w:rPr>
          <w:rFonts w:ascii="Palatino Linotype" w:hAnsi="Palatino Linotype"/>
        </w:rPr>
        <w:t xml:space="preserve"> y correo electrónico, l</w:t>
      </w:r>
      <w:r>
        <w:rPr>
          <w:rFonts w:ascii="Palatino Linotype" w:hAnsi="Palatino Linotype"/>
        </w:rPr>
        <w:t>o siguiente:</w:t>
      </w:r>
    </w:p>
    <w:p w:rsidR="00FF005F" w:rsidRDefault="00410CE1">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“Solicito conocer cuáles han sido las medidas que se han tomado para favorecer y fomentar la generación de energía limpia o verde, y cuáles han sido los cambios principales respecto a la reforma energética.” </w:t>
      </w:r>
      <w:r>
        <w:rPr>
          <w:rFonts w:ascii="Palatino Linotype" w:hAnsi="Palatino Linotype"/>
          <w:sz w:val="22"/>
          <w:szCs w:val="22"/>
        </w:rPr>
        <w:t>(Sic)</w:t>
      </w:r>
      <w:bookmarkStart w:id="1" w:name="_Ref531692384"/>
      <w:bookmarkStart w:id="2" w:name="_Ref516764469"/>
    </w:p>
    <w:p w:rsidR="00FF005F" w:rsidRDefault="00410CE1">
      <w:pPr>
        <w:pStyle w:val="Prrafodelista"/>
        <w:numPr>
          <w:ilvl w:val="0"/>
          <w:numId w:val="1"/>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t>De las constancias que integr</w:t>
      </w:r>
      <w:r>
        <w:rPr>
          <w:rFonts w:ascii="Palatino Linotype" w:hAnsi="Palatino Linotype" w:cs="Arial"/>
        </w:rPr>
        <w:t xml:space="preserve">an el expediente electrónico del </w:t>
      </w:r>
      <w:r>
        <w:rPr>
          <w:rFonts w:ascii="Palatino Linotype" w:hAnsi="Palatino Linotype" w:cs="Arial"/>
          <w:b/>
        </w:rPr>
        <w:t>SAIMEX,</w:t>
      </w:r>
      <w:r>
        <w:rPr>
          <w:rFonts w:ascii="Palatino Linotype" w:hAnsi="Palatino Linotype" w:cs="Arial"/>
        </w:rPr>
        <w:t xml:space="preserve"> se advierte que, en fecha seis de marzo de dos mil veinte, </w:t>
      </w:r>
      <w:r>
        <w:rPr>
          <w:rFonts w:ascii="Palatino Linotype" w:hAnsi="Palatino Linotype" w:cs="Arial"/>
          <w:b/>
        </w:rPr>
        <w:t>EL SUJETO OBLIGADO</w:t>
      </w:r>
      <w:r>
        <w:rPr>
          <w:rFonts w:ascii="Palatino Linotype" w:hAnsi="Palatino Linotype" w:cs="Arial"/>
        </w:rPr>
        <w:t xml:space="preserve"> dio </w:t>
      </w:r>
      <w:r>
        <w:rPr>
          <w:rFonts w:ascii="Palatino Linotype" w:hAnsi="Palatino Linotype" w:cs="Arial"/>
        </w:rPr>
        <w:lastRenderedPageBreak/>
        <w:t xml:space="preserve">respuesta a la </w:t>
      </w:r>
      <w:r>
        <w:rPr>
          <w:rFonts w:ascii="Palatino Linotype" w:hAnsi="Palatino Linotype"/>
        </w:rPr>
        <w:t>solicitud</w:t>
      </w:r>
      <w:r>
        <w:rPr>
          <w:rFonts w:ascii="Palatino Linotype" w:hAnsi="Palatino Linotype" w:cs="Arial"/>
        </w:rPr>
        <w:t xml:space="preserve"> de </w:t>
      </w:r>
      <w:r>
        <w:rPr>
          <w:rFonts w:ascii="Palatino Linotype" w:hAnsi="Palatino Linotype"/>
        </w:rPr>
        <w:t>acceso</w:t>
      </w:r>
      <w:r>
        <w:rPr>
          <w:rFonts w:ascii="Palatino Linotype" w:hAnsi="Palatino Linotype" w:cs="Arial"/>
        </w:rPr>
        <w:t xml:space="preserve"> a la información pública requerida por </w:t>
      </w:r>
      <w:r>
        <w:rPr>
          <w:rFonts w:ascii="Palatino Linotype" w:hAnsi="Palatino Linotype" w:cs="Arial"/>
          <w:b/>
        </w:rPr>
        <w:t>EL RECURRENTE</w:t>
      </w:r>
      <w:r>
        <w:rPr>
          <w:rFonts w:ascii="Palatino Linotype" w:hAnsi="Palatino Linotype" w:cs="Arial"/>
        </w:rPr>
        <w:t>, en los siguientes términos:</w:t>
      </w:r>
      <w:bookmarkEnd w:id="1"/>
      <w:bookmarkEnd w:id="2"/>
    </w:p>
    <w:p w:rsidR="00FF005F" w:rsidRDefault="00410CE1">
      <w:pPr>
        <w:ind w:left="709" w:right="709"/>
        <w:jc w:val="both"/>
        <w:rPr>
          <w:rFonts w:ascii="Palatino Linotype" w:hAnsi="Palatino Linotype" w:cs="Arial"/>
          <w:i/>
          <w:sz w:val="22"/>
        </w:rPr>
      </w:pPr>
      <w:r>
        <w:rPr>
          <w:rFonts w:ascii="Palatino Linotype" w:hAnsi="Palatino Linotype" w:cs="Arial"/>
          <w:i/>
          <w:sz w:val="22"/>
        </w:rPr>
        <w:t xml:space="preserve">“En atención a </w:t>
      </w:r>
      <w:r>
        <w:rPr>
          <w:rFonts w:ascii="Palatino Linotype" w:hAnsi="Palatino Linotype" w:cs="Arial"/>
          <w:i/>
          <w:sz w:val="22"/>
        </w:rPr>
        <w:t>la presente solicitud No. 00112/SMA/IP/2020, se hace de su conocimiento que la información solicitada no es competencia de las unidades administrativas centrales de la Secretaría del Medio Ambiente del Gobierno del Estado de México, pero sí de su organismo</w:t>
      </w:r>
      <w:r>
        <w:rPr>
          <w:rFonts w:ascii="Palatino Linotype" w:hAnsi="Palatino Linotype" w:cs="Arial"/>
          <w:i/>
          <w:sz w:val="22"/>
        </w:rPr>
        <w:t xml:space="preserve"> descentralizado denominado Instituto Estatal de Energía y Cambio Climático (IEECC). Por lo que deberá ingresarla a través del mismo SAIMEX, ante dicho organismo, el cual funge como sujeto obligado “independiente” en materia de trasparencia y acceso a la i</w:t>
      </w:r>
      <w:r>
        <w:rPr>
          <w:rFonts w:ascii="Palatino Linotype" w:hAnsi="Palatino Linotype" w:cs="Arial"/>
          <w:i/>
          <w:sz w:val="22"/>
        </w:rPr>
        <w:t>nformación pública. Por este medio se le remite en archivo electrónico formato PDF, copia del Acta de la Octava Sesión Extraordinaria 2020 del Comité de Transparencia de la Secretaría del Medio Ambiente, en la cual mediante el Acuerdo No. CT-SMA/08-E/2020/</w:t>
      </w:r>
      <w:r>
        <w:rPr>
          <w:rFonts w:ascii="Palatino Linotype" w:hAnsi="Palatino Linotype" w:cs="Arial"/>
          <w:i/>
          <w:sz w:val="22"/>
        </w:rPr>
        <w:t>002, se confirma la incompetencia señalada. Si se tuviese algún problema para descargar el archivo, queda a sus órdenes la Lic. Cinthya Herrera Sánchez, en el correo: medioambiente@itaipem.org.mx, y/o en el teléfono 7222756208.” (Sic)</w:t>
      </w:r>
    </w:p>
    <w:p w:rsidR="00FF005F" w:rsidRDefault="00410CE1">
      <w:pPr>
        <w:pStyle w:val="Prrafodelista"/>
        <w:widowControl w:val="0"/>
        <w:tabs>
          <w:tab w:val="left" w:pos="0"/>
        </w:tabs>
        <w:spacing w:beforeAutospacing="1" w:afterAutospacing="1" w:line="360" w:lineRule="auto"/>
        <w:ind w:left="0"/>
        <w:jc w:val="both"/>
        <w:rPr>
          <w:rFonts w:ascii="Palatino Linotype" w:hAnsi="Palatino Linotype" w:cs="Arial"/>
        </w:rPr>
      </w:pPr>
      <w:bookmarkStart w:id="3" w:name="_Ref507070922"/>
      <w:r>
        <w:rPr>
          <w:rFonts w:ascii="Palatino Linotype" w:hAnsi="Palatino Linotype" w:cs="Arial"/>
        </w:rPr>
        <w:t>Asimismo, adjuntó a s</w:t>
      </w:r>
      <w:r>
        <w:rPr>
          <w:rFonts w:ascii="Palatino Linotype" w:hAnsi="Palatino Linotype" w:cs="Arial"/>
        </w:rPr>
        <w:t>u respuesta el siguiente archivo electrónico:</w:t>
      </w:r>
    </w:p>
    <w:p w:rsidR="00FF005F" w:rsidRDefault="00410CE1">
      <w:pPr>
        <w:pStyle w:val="Prrafodelista"/>
        <w:widowControl w:val="0"/>
        <w:tabs>
          <w:tab w:val="left" w:pos="0"/>
        </w:tabs>
        <w:spacing w:beforeAutospacing="1"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35" behindDoc="0" locked="0" layoutInCell="1" allowOverlap="1" wp14:anchorId="2F8DD176">
                <wp:simplePos x="0" y="0"/>
                <wp:positionH relativeFrom="column">
                  <wp:posOffset>2002155</wp:posOffset>
                </wp:positionH>
                <wp:positionV relativeFrom="paragraph">
                  <wp:posOffset>5735955</wp:posOffset>
                </wp:positionV>
                <wp:extent cx="5498465" cy="3013075"/>
                <wp:effectExtent l="38100" t="19050" r="67945" b="94615"/>
                <wp:wrapNone/>
                <wp:docPr id="1" name="Conector recto 8"/>
                <wp:cNvGraphicFramePr/>
                <a:graphic xmlns:a="http://schemas.openxmlformats.org/drawingml/2006/main">
                  <a:graphicData uri="http://schemas.microsoft.com/office/word/2010/wordprocessingShape">
                    <wps:wsp>
                      <wps:cNvCnPr/>
                      <wps:spPr>
                        <a:xfrm>
                          <a:off x="0" y="0"/>
                          <a:ext cx="5497920" cy="301248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127.3pt,362.25pt" to="560.15pt,599.4pt" ID="Conector recto 8" stroked="t" style="position:absolute" wp14:anchorId="2F8DD176">
                <v:stroke color="#4f81bd" weight="25560" joinstyle="round" endcap="flat"/>
                <v:fill o:detectmouseclick="t" on="false"/>
                <v:shadow on="t" obscured="f" color="black"/>
              </v:line>
            </w:pict>
          </mc:Fallback>
        </mc:AlternateContent>
      </w:r>
    </w:p>
    <w:p w:rsidR="00FF005F" w:rsidRDefault="00410CE1">
      <w:pPr>
        <w:pStyle w:val="Prrafodelista"/>
        <w:widowControl w:val="0"/>
        <w:tabs>
          <w:tab w:val="left" w:pos="0"/>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640705" cy="714248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8"/>
                    <a:srcRect l="34406" t="21191" r="35958" b="10453"/>
                    <a:stretch>
                      <a:fillRect/>
                    </a:stretch>
                  </pic:blipFill>
                  <pic:spPr bwMode="auto">
                    <a:xfrm>
                      <a:off x="0" y="0"/>
                      <a:ext cx="5640705" cy="7142480"/>
                    </a:xfrm>
                    <a:prstGeom prst="rect">
                      <a:avLst/>
                    </a:prstGeom>
                  </pic:spPr>
                </pic:pic>
              </a:graphicData>
            </a:graphic>
          </wp:inline>
        </w:drawing>
      </w:r>
      <w:r>
        <w:rPr>
          <w:noProof/>
          <w:lang w:eastAsia="es-MX"/>
        </w:rPr>
        <w:lastRenderedPageBreak/>
        <w:drawing>
          <wp:inline distT="0" distB="0" distL="0" distR="0">
            <wp:extent cx="5692140" cy="696150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9"/>
                    <a:srcRect l="34406" t="17475" r="35809" b="14690"/>
                    <a:stretch>
                      <a:fillRect/>
                    </a:stretch>
                  </pic:blipFill>
                  <pic:spPr bwMode="auto">
                    <a:xfrm>
                      <a:off x="0" y="0"/>
                      <a:ext cx="5692140" cy="6961505"/>
                    </a:xfrm>
                    <a:prstGeom prst="rect">
                      <a:avLst/>
                    </a:prstGeom>
                  </pic:spPr>
                </pic:pic>
              </a:graphicData>
            </a:graphic>
          </wp:inline>
        </w:drawing>
      </w:r>
      <w:r>
        <w:rPr>
          <w:noProof/>
          <w:lang w:eastAsia="es-MX"/>
        </w:rPr>
        <w:lastRenderedPageBreak/>
        <w:drawing>
          <wp:inline distT="0" distB="0" distL="0" distR="0">
            <wp:extent cx="5683250" cy="70910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srcRect l="34406" t="21452" r="35955" b="10453"/>
                    <a:stretch>
                      <a:fillRect/>
                    </a:stretch>
                  </pic:blipFill>
                  <pic:spPr bwMode="auto">
                    <a:xfrm>
                      <a:off x="0" y="0"/>
                      <a:ext cx="5683250" cy="7091045"/>
                    </a:xfrm>
                    <a:prstGeom prst="rect">
                      <a:avLst/>
                    </a:prstGeom>
                  </pic:spPr>
                </pic:pic>
              </a:graphicData>
            </a:graphic>
          </wp:inline>
        </w:drawing>
      </w:r>
      <w:r>
        <w:rPr>
          <w:noProof/>
          <w:lang w:eastAsia="es-MX"/>
        </w:rPr>
        <w:lastRenderedPageBreak/>
        <w:drawing>
          <wp:inline distT="0" distB="0" distL="0" distR="0">
            <wp:extent cx="5742940" cy="7160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1"/>
                    <a:srcRect l="34716" t="21191" r="35668" b="10192"/>
                    <a:stretch>
                      <a:fillRect/>
                    </a:stretch>
                  </pic:blipFill>
                  <pic:spPr bwMode="auto">
                    <a:xfrm>
                      <a:off x="0" y="0"/>
                      <a:ext cx="5742940" cy="7160260"/>
                    </a:xfrm>
                    <a:prstGeom prst="rect">
                      <a:avLst/>
                    </a:prstGeom>
                  </pic:spPr>
                </pic:pic>
              </a:graphicData>
            </a:graphic>
          </wp:inline>
        </w:drawing>
      </w:r>
      <w:r>
        <w:rPr>
          <w:noProof/>
          <w:lang w:eastAsia="es-MX"/>
        </w:rPr>
        <w:lastRenderedPageBreak/>
        <w:drawing>
          <wp:inline distT="0" distB="0" distL="0" distR="0">
            <wp:extent cx="5710555" cy="7134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2"/>
                    <a:srcRect l="34406" t="22259" r="36263" b="9911"/>
                    <a:stretch>
                      <a:fillRect/>
                    </a:stretch>
                  </pic:blipFill>
                  <pic:spPr bwMode="auto">
                    <a:xfrm>
                      <a:off x="0" y="0"/>
                      <a:ext cx="5710555" cy="7134225"/>
                    </a:xfrm>
                    <a:prstGeom prst="rect">
                      <a:avLst/>
                    </a:prstGeom>
                  </pic:spPr>
                </pic:pic>
              </a:graphicData>
            </a:graphic>
          </wp:inline>
        </w:drawing>
      </w:r>
      <w:r>
        <w:rPr>
          <w:noProof/>
          <w:lang w:eastAsia="es-MX"/>
        </w:rPr>
        <w:lastRenderedPageBreak/>
        <w:drawing>
          <wp:inline distT="0" distB="0" distL="0" distR="0">
            <wp:extent cx="5777865" cy="7134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3"/>
                    <a:srcRect l="34716" t="25714" r="35809" b="6476"/>
                    <a:stretch>
                      <a:fillRect/>
                    </a:stretch>
                  </pic:blipFill>
                  <pic:spPr bwMode="auto">
                    <a:xfrm>
                      <a:off x="0" y="0"/>
                      <a:ext cx="5777865" cy="7134225"/>
                    </a:xfrm>
                    <a:prstGeom prst="rect">
                      <a:avLst/>
                    </a:prstGeom>
                  </pic:spPr>
                </pic:pic>
              </a:graphicData>
            </a:graphic>
          </wp:inline>
        </w:drawing>
      </w:r>
    </w:p>
    <w:p w:rsidR="00FF005F" w:rsidRDefault="00410CE1">
      <w:pPr>
        <w:pStyle w:val="Prrafodelista"/>
        <w:widowControl w:val="0"/>
        <w:numPr>
          <w:ilvl w:val="0"/>
          <w:numId w:val="7"/>
        </w:numPr>
        <w:tabs>
          <w:tab w:val="left" w:pos="0"/>
        </w:tabs>
        <w:spacing w:beforeAutospacing="1" w:afterAutospacing="1" w:line="360" w:lineRule="auto"/>
        <w:ind w:left="0" w:firstLine="0"/>
        <w:jc w:val="both"/>
        <w:rPr>
          <w:rFonts w:ascii="Palatino Linotype" w:hAnsi="Palatino Linotype" w:cs="Arial"/>
        </w:rPr>
      </w:pPr>
      <w:r>
        <w:rPr>
          <w:rFonts w:ascii="Palatino Linotype" w:hAnsi="Palatino Linotype"/>
        </w:rPr>
        <w:lastRenderedPageBreak/>
        <w:t xml:space="preserve">Inconforme con la respuesta del </w:t>
      </w:r>
      <w:r>
        <w:rPr>
          <w:rFonts w:ascii="Palatino Linotype" w:hAnsi="Palatino Linotype"/>
          <w:b/>
        </w:rPr>
        <w:t>SUJETO OBLIGADO</w:t>
      </w:r>
      <w:r>
        <w:rPr>
          <w:rFonts w:ascii="Palatino Linotype" w:hAnsi="Palatino Linotype"/>
        </w:rPr>
        <w:t xml:space="preserve">, en fecha diez de marzo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w:t>
      </w:r>
      <w:r>
        <w:rPr>
          <w:rFonts w:ascii="Palatino Linotype" w:hAnsi="Palatino Linotype"/>
        </w:rPr>
        <w:t xml:space="preserve"> asignó el </w:t>
      </w:r>
      <w:r>
        <w:rPr>
          <w:rFonts w:ascii="Palatino Linotype" w:hAnsi="Palatino Linotype" w:cs="Arial"/>
        </w:rPr>
        <w:t>número al rubro citado, en el que señaló como acto impugnado y como razones o motivos de inconformidad , lo siguiente:</w:t>
      </w:r>
      <w:bookmarkEnd w:id="3"/>
    </w:p>
    <w:p w:rsidR="00FF005F" w:rsidRDefault="00410CE1">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Inconformidad.</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FF005F" w:rsidRDefault="00410CE1">
      <w:pPr>
        <w:pStyle w:val="Prrafodelista"/>
        <w:widowControl w:val="0"/>
        <w:numPr>
          <w:ilvl w:val="0"/>
          <w:numId w:val="7"/>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 xml:space="preserve">En fecha </w:t>
      </w:r>
      <w:r>
        <w:rPr>
          <w:rFonts w:ascii="Palatino Linotype" w:hAnsi="Palatino Linotype"/>
        </w:rPr>
        <w:t>diez de marzo de dos mil veinte</w:t>
      </w:r>
      <w:r>
        <w:rPr>
          <w:rFonts w:ascii="Palatino Linotype" w:hAnsi="Palatino Linotype" w:cs="Arial"/>
        </w:rPr>
        <w:t xml:space="preserve">, el recurso de que se trata se envió electrónicamente al </w:t>
      </w:r>
      <w:r>
        <w:rPr>
          <w:rFonts w:ascii="Palatino Linotype" w:hAnsi="Palatino Linotype" w:cs="Arial"/>
        </w:rPr>
        <w:t>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w:t>
      </w:r>
      <w:r>
        <w:rPr>
          <w:rFonts w:ascii="Palatino Linotype" w:hAnsi="Palatino Linotype"/>
        </w:rPr>
        <w:t xml:space="preserve">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FF005F" w:rsidRDefault="00410CE1">
      <w:pPr>
        <w:pStyle w:val="Prrafodelista"/>
        <w:widowControl w:val="0"/>
        <w:numPr>
          <w:ilvl w:val="0"/>
          <w:numId w:val="7"/>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diecisiete de marzo de dos mil veinte</w:t>
      </w:r>
      <w:r>
        <w:rPr>
          <w:rFonts w:ascii="Palatino Linotype" w:hAnsi="Palatino Linotype" w:cs="Arial"/>
        </w:rPr>
        <w:t xml:space="preserve">, atento a lo dispuesto en el artículo 185, fracciones I, II y IV, de la </w:t>
      </w:r>
      <w:r>
        <w:rPr>
          <w:rFonts w:ascii="Palatino Linotype" w:hAnsi="Palatino Linotype"/>
        </w:rPr>
        <w:t>Le</w:t>
      </w:r>
      <w:r>
        <w:rPr>
          <w:rFonts w:ascii="Palatino Linotype" w:hAnsi="Palatino Linotype"/>
        </w:rPr>
        <w:t xml:space="preserv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w:t>
      </w:r>
      <w:r>
        <w:rPr>
          <w:rFonts w:ascii="Palatino Linotype" w:hAnsi="Palatino Linotype" w:cs="Arial"/>
        </w:rPr>
        <w:t xml:space="preserve">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FF005F" w:rsidRDefault="00410CE1">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De las const</w:t>
      </w:r>
      <w:r>
        <w:rPr>
          <w:rFonts w:ascii="Palatino Linotype" w:hAnsi="Palatino Linotype" w:cs="Arial"/>
        </w:rPr>
        <w:t xml:space="preserve">ancias que obran en el </w:t>
      </w:r>
      <w:r>
        <w:rPr>
          <w:rFonts w:ascii="Palatino Linotype" w:hAnsi="Palatino Linotype" w:cs="Arial"/>
          <w:b/>
        </w:rPr>
        <w:t>SAIMEX</w:t>
      </w:r>
      <w:r>
        <w:rPr>
          <w:rFonts w:ascii="Palatino Linotype" w:hAnsi="Palatino Linotype" w:cs="Arial"/>
        </w:rPr>
        <w:t xml:space="preserve">, se desprende que, en fecha diecisiete de marzo de dos mil veinte, </w:t>
      </w:r>
      <w:r>
        <w:rPr>
          <w:rFonts w:ascii="Palatino Linotype" w:hAnsi="Palatino Linotype" w:cs="Arial"/>
          <w:b/>
        </w:rPr>
        <w:t>EL SUJETO OBLIGADO</w:t>
      </w:r>
      <w:r>
        <w:rPr>
          <w:rFonts w:ascii="Palatino Linotype" w:hAnsi="Palatino Linotype" w:cs="Arial"/>
        </w:rPr>
        <w:t xml:space="preserve"> rindió su Informe Justificado, en los términos siguientes:</w:t>
      </w:r>
    </w:p>
    <w:p w:rsidR="00FF005F" w:rsidRDefault="00410CE1">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extent cx="5684520" cy="4045585"/>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pic:cNvPicPr>
                      <a:picLocks noChangeAspect="1" noChangeArrowheads="1"/>
                    </pic:cNvPicPr>
                  </pic:nvPicPr>
                  <pic:blipFill>
                    <a:blip r:embed="rId14"/>
                    <a:srcRect l="26819" t="21452" r="28513" b="6737"/>
                    <a:stretch>
                      <a:fillRect/>
                    </a:stretch>
                  </pic:blipFill>
                  <pic:spPr bwMode="auto">
                    <a:xfrm>
                      <a:off x="0" y="0"/>
                      <a:ext cx="5684520" cy="4045585"/>
                    </a:xfrm>
                    <a:prstGeom prst="rect">
                      <a:avLst/>
                    </a:prstGeom>
                  </pic:spPr>
                </pic:pic>
              </a:graphicData>
            </a:graphic>
          </wp:inline>
        </w:drawing>
      </w:r>
    </w:p>
    <w:p w:rsidR="00FF005F" w:rsidRDefault="00410CE1">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Cabe mencionarse que el Informe Justificado no fue puesto a la vista del </w:t>
      </w:r>
      <w:r>
        <w:rPr>
          <w:rFonts w:ascii="Palatino Linotype" w:hAnsi="Palatino Linotype" w:cs="Arial"/>
          <w:b/>
        </w:rPr>
        <w:t>RECURR</w:t>
      </w:r>
      <w:r>
        <w:rPr>
          <w:rFonts w:ascii="Palatino Linotype" w:hAnsi="Palatino Linotype" w:cs="Arial"/>
          <w:b/>
        </w:rPr>
        <w:t>ENTE</w:t>
      </w:r>
      <w:r>
        <w:rPr>
          <w:rFonts w:ascii="Palatino Linotype" w:hAnsi="Palatino Linotype" w:cs="Arial"/>
        </w:rPr>
        <w:t>, en atención a que esta Ponencia Resolutora advirtió que no se actualizó lo dispuesto por el artículo 185, fracción III de la Ley de Transparencia y Acceso a la Información Pública del Estado de México y Municipios.</w:t>
      </w:r>
    </w:p>
    <w:p w:rsidR="00FF005F" w:rsidRDefault="00410CE1">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 xml:space="preserve">Por su parte, </w:t>
      </w:r>
      <w:r>
        <w:rPr>
          <w:rFonts w:ascii="Palatino Linotype" w:hAnsi="Palatino Linotype" w:cs="Arial"/>
          <w:b/>
        </w:rPr>
        <w:t>EL RECURRENTE</w:t>
      </w:r>
      <w:r>
        <w:rPr>
          <w:rFonts w:ascii="Palatino Linotype" w:hAnsi="Palatino Linotype" w:cs="Arial"/>
        </w:rPr>
        <w:t xml:space="preserve"> no pres</w:t>
      </w:r>
      <w:r>
        <w:rPr>
          <w:rFonts w:ascii="Palatino Linotype" w:hAnsi="Palatino Linotype" w:cs="Arial"/>
        </w:rPr>
        <w:t>entó manifestaciones, alegatos ni ofreció los medios de prueba que a su derecho convinieran.</w:t>
      </w:r>
    </w:p>
    <w:p w:rsidR="00FF005F" w:rsidRDefault="00410CE1">
      <w:pPr>
        <w:pStyle w:val="Prrafodelista"/>
        <w:numPr>
          <w:ilvl w:val="0"/>
          <w:numId w:val="1"/>
        </w:numPr>
        <w:spacing w:before="240" w:after="240" w:line="360" w:lineRule="auto"/>
        <w:ind w:left="0" w:firstLine="0"/>
        <w:jc w:val="both"/>
        <w:rPr>
          <w:rFonts w:ascii="Palatino Linotype" w:hAnsi="Palatino Linotype"/>
        </w:rPr>
      </w:pPr>
      <w:r>
        <w:rPr>
          <w:rFonts w:ascii="Palatino Linotype" w:hAnsi="Palatino Linotype" w:cs="Arial"/>
        </w:rPr>
        <w:lastRenderedPageBreak/>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doce de agosto de dos mil veinte, la Comisionada Ponente acordó el cierre de instrucción;</w:t>
      </w:r>
      <w:r>
        <w:rPr>
          <w:rFonts w:ascii="Palatino Linotype" w:hAnsi="Palatino Linotype" w:cs="Arial"/>
        </w:rPr>
        <w:t xml:space="preserve">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FF005F" w:rsidRDefault="00410CE1">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FF005F" w:rsidRDefault="00410CE1">
      <w:pPr>
        <w:pStyle w:val="Prrafodelista"/>
        <w:widowControl w:val="0"/>
        <w:numPr>
          <w:ilvl w:val="0"/>
          <w:numId w:val="2"/>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w:t>
      </w:r>
      <w:r>
        <w:rPr>
          <w:rFonts w:ascii="Palatino Linotype" w:hAnsi="Palatino Linotype"/>
        </w:rPr>
        <w:t>itución Política de los Estados Unidos Mexicanos; el artículo 5, párrafos vigésimo segundo, vigésimo tercero y vigésimo cuarto, fracciones IV y V de la Constitución Política del Estado Libre y Soberano de México; los artículos 2, fracción II, 13, 29, 36, f</w:t>
      </w:r>
      <w:r>
        <w:rPr>
          <w:rFonts w:ascii="Palatino Linotype" w:hAnsi="Palatino Linotype"/>
        </w:rPr>
        <w:t xml:space="preserve">racciones I y II, 176, 178, 179, 181, párrafo tercero y 185 de la Ley de Transparencia y Acceso a la Información Pública del Estado de México y Municipios, y los artículos 9, fracciones I y XXIV y 11 del Reglamento Interior del Instituto de Transparencia, </w:t>
      </w:r>
      <w:r>
        <w:rPr>
          <w:rFonts w:ascii="Palatino Linotype" w:hAnsi="Palatino Linotype"/>
        </w:rPr>
        <w:t>Acceso a la Información Pública y Protección de Datos Personales del Estado de México y Municipios</w:t>
      </w:r>
      <w:r>
        <w:rPr>
          <w:rFonts w:ascii="Palatino Linotype" w:hAnsi="Palatino Linotype" w:cs="Arial"/>
        </w:rPr>
        <w:t>.</w:t>
      </w:r>
    </w:p>
    <w:p w:rsidR="00FF005F" w:rsidRDefault="00410CE1">
      <w:pPr>
        <w:pStyle w:val="Prrafodelista"/>
        <w:widowControl w:val="0"/>
        <w:numPr>
          <w:ilvl w:val="0"/>
          <w:numId w:val="2"/>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w:t>
      </w:r>
      <w:r>
        <w:rPr>
          <w:rFonts w:ascii="Palatino Linotype" w:hAnsi="Palatino Linotype" w:cs="Arial"/>
        </w:rPr>
        <w:t xml:space="preserve">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00112/SMA/IP/2020</w:t>
      </w:r>
      <w:r>
        <w:rPr>
          <w:rFonts w:ascii="Palatino Linotype" w:hAnsi="Palatino Linotype" w:cs="Arial"/>
          <w:lang w:val="es-ES_tradnl"/>
        </w:rPr>
        <w:t>.</w:t>
      </w:r>
    </w:p>
    <w:p w:rsidR="00FF005F" w:rsidRDefault="00410CE1">
      <w:pPr>
        <w:pStyle w:val="Prrafodelista"/>
        <w:widowControl w:val="0"/>
        <w:numPr>
          <w:ilvl w:val="0"/>
          <w:numId w:val="2"/>
        </w:numPr>
        <w:tabs>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w:t>
      </w:r>
      <w:r>
        <w:rPr>
          <w:rFonts w:ascii="Palatino Linotype" w:hAnsi="Palatino Linotype" w:cs="Arial"/>
        </w:rPr>
        <w:lastRenderedPageBreak/>
        <w:t xml:space="preserve">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w:t>
      </w:r>
      <w:r>
        <w:rPr>
          <w:rFonts w:ascii="Palatino Linotype" w:hAnsi="Palatino Linotype" w:cs="Arial"/>
        </w:rPr>
        <w:t>prevé el artículo 178 de la Ley de Transparencia y Acceso a la Información Pública del Estado de México y Municipios, que establece:</w:t>
      </w:r>
    </w:p>
    <w:p w:rsidR="00FF005F" w:rsidRDefault="00410CE1">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w:t>
      </w:r>
      <w:r>
        <w:rPr>
          <w:rFonts w:ascii="Palatino Linotype" w:hAnsi="Palatino Linotype" w:cs="Arial"/>
          <w:i/>
          <w:sz w:val="22"/>
        </w:rPr>
        <w:t xml:space="preserve"> electrónicos, recurso de revisión ante el Instituto o ante la Unidad de Transparencia que haya conocido de la solicitud dentro de los quince días hábiles, siguientes a la fecha de la notificación de la respuesta.</w:t>
      </w:r>
    </w:p>
    <w:p w:rsidR="00FF005F" w:rsidRDefault="00410CE1">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 xml:space="preserve">A falta de respuesta del sujeto obligado, </w:t>
      </w:r>
      <w:r>
        <w:rPr>
          <w:rFonts w:ascii="Palatino Linotype" w:hAnsi="Palatino Linotype" w:cs="Arial"/>
          <w:i/>
          <w:sz w:val="22"/>
        </w:rPr>
        <w:t>dentro de los plazos establecidos en esta Ley, a una solicitud de acceso a la información pública, el recurso podrá ser interpuesto en cualquier momento, acompañado con el documento que pruebe la fecha en que presentó la solicitud.</w:t>
      </w:r>
    </w:p>
    <w:p w:rsidR="00FF005F" w:rsidRDefault="00410CE1">
      <w:pPr>
        <w:spacing w:before="240" w:afterAutospacing="1"/>
        <w:ind w:left="720" w:right="709"/>
        <w:jc w:val="both"/>
        <w:rPr>
          <w:rFonts w:ascii="Palatino Linotype" w:hAnsi="Palatino Linotype" w:cs="Arial"/>
          <w:i/>
          <w:sz w:val="22"/>
        </w:rPr>
      </w:pPr>
      <w:r>
        <w:rPr>
          <w:rFonts w:ascii="Palatino Linotype" w:hAnsi="Palatino Linotype" w:cs="Arial"/>
          <w:i/>
          <w:sz w:val="22"/>
        </w:rPr>
        <w:t>En el caso de que se int</w:t>
      </w:r>
      <w:r>
        <w:rPr>
          <w:rFonts w:ascii="Palatino Linotype" w:hAnsi="Palatino Linotype" w:cs="Arial"/>
          <w:i/>
          <w:sz w:val="22"/>
        </w:rPr>
        <w:t xml:space="preserve">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FF005F" w:rsidRDefault="00410CE1">
      <w:pPr>
        <w:spacing w:before="240" w:afterAutospacing="1"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acceso a la información pública el día</w:t>
      </w:r>
      <w:r>
        <w:rPr>
          <w:rFonts w:ascii="Palatino Linotype" w:hAnsi="Palatino Linotype" w:cs="Arial"/>
          <w:b/>
        </w:rPr>
        <w:t xml:space="preserve"> seis de marzo de dos mil veinte</w:t>
      </w:r>
      <w:r>
        <w:rPr>
          <w:rFonts w:ascii="Palatino Linotype" w:hAnsi="Palatino Linotype" w:cs="Arial"/>
        </w:rPr>
        <w:t>; así,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respectivo recurso de r</w:t>
      </w:r>
      <w:r>
        <w:rPr>
          <w:rFonts w:ascii="Palatino Linotype" w:hAnsi="Palatino Linotype" w:cs="Arial"/>
        </w:rPr>
        <w:t xml:space="preserve">evisión, transcurrió del </w:t>
      </w:r>
      <w:r>
        <w:rPr>
          <w:rFonts w:ascii="Palatino Linotype" w:hAnsi="Palatino Linotype" w:cs="Arial"/>
          <w:b/>
        </w:rPr>
        <w:t>diez de marzo al once de agosto de dos mil veinte</w:t>
      </w:r>
      <w:r>
        <w:rPr>
          <w:rFonts w:ascii="Palatino Linotype" w:hAnsi="Palatino Linotype" w:cs="Arial"/>
        </w:rPr>
        <w:t>, sin contemplar en el cómputo los días catorce, quince, veintiuno y veintidós de marzo, uno, dos, ocho y nueve de agosto de dos mil veinte, por corresponder a sábados y domingos, co</w:t>
      </w:r>
      <w:r>
        <w:rPr>
          <w:rFonts w:ascii="Palatino Linotype" w:hAnsi="Palatino Linotype" w:cs="Arial"/>
        </w:rPr>
        <w:t xml:space="preserve">nsiderados como días inhábiles, en términos del artículo 3, fracción X de la </w:t>
      </w:r>
      <w:r>
        <w:rPr>
          <w:rFonts w:ascii="Palatino Linotype" w:hAnsi="Palatino Linotype"/>
        </w:rPr>
        <w:t>Ley de Transparencia y Acceso a la Información Pública del Estado de México y Municipios; así como, los días nueve de marzo y del veintitrés de marzo al diecisiete de julio de dos</w:t>
      </w:r>
      <w:r>
        <w:rPr>
          <w:rFonts w:ascii="Palatino Linotype" w:hAnsi="Palatino Linotype"/>
        </w:rPr>
        <w:t xml:space="preserve"> mil veinte; así como, del veinte al treinta y uno de julio de dos mil veinte, por ser considerados como suspensión de labores, de conformidad con el Acuerdo de Pleno, de fecha cinco de marzo de dos mil veinte, por el que se acordó que el día nueve de marz</w:t>
      </w:r>
      <w:r>
        <w:rPr>
          <w:rFonts w:ascii="Palatino Linotype" w:hAnsi="Palatino Linotype"/>
        </w:rPr>
        <w:t xml:space="preserve">o de dos mil veinte no </w:t>
      </w:r>
      <w:r>
        <w:rPr>
          <w:rFonts w:ascii="Palatino Linotype" w:hAnsi="Palatino Linotype"/>
        </w:rPr>
        <w:lastRenderedPageBreak/>
        <w:t>corrieran los términos para el trámite y desahogo de los procedimientos, en materia de acceso a la información pública y protección de datos personales; derivado de los Acuerdos tomados en torno a la epidemia de la enfermedad generad</w:t>
      </w:r>
      <w:r>
        <w:rPr>
          <w:rFonts w:ascii="Palatino Linotype" w:hAnsi="Palatino Linotype"/>
        </w:rPr>
        <w:t>a por el virus SARS-CoV-2 (COVID-19), que originó la emergencia sanitaria por causa de fuerza mayor y medidas de seguridad, aprobados por el Pleno de este Instituto y, de conformidad con el Calendario Oficial en Materia de Transparencia, Acceso a la Inform</w:t>
      </w:r>
      <w:r>
        <w:rPr>
          <w:rFonts w:ascii="Palatino Linotype" w:hAnsi="Palatino Linotype"/>
        </w:rPr>
        <w:t>ación Pública y Protección de Datos Personales para el año dos mil diecinueve y enero dos mil veinte, aprobado por el Pleno de este Instituto, el diecinueve de diciembre de dos mil dieciocho.</w:t>
      </w:r>
    </w:p>
    <w:p w:rsidR="00FF005F" w:rsidRDefault="00410CE1">
      <w:pPr>
        <w:spacing w:before="240" w:afterAutospacing="1" w:line="360" w:lineRule="auto"/>
        <w:jc w:val="both"/>
        <w:rPr>
          <w:rFonts w:ascii="Palatino Linotype" w:hAnsi="Palatino Linotype" w:cs="Arial"/>
        </w:rPr>
      </w:pPr>
      <w:r>
        <w:rPr>
          <w:rFonts w:ascii="Palatino Linotype" w:hAnsi="Palatino Linotype" w:cs="Arial"/>
        </w:rPr>
        <w:t>En ese tenor, si el recurso de revisión que nos ocupa, se interp</w:t>
      </w:r>
      <w:r>
        <w:rPr>
          <w:rFonts w:ascii="Palatino Linotype" w:hAnsi="Palatino Linotype" w:cs="Arial"/>
        </w:rPr>
        <w:t>uso el</w:t>
      </w:r>
      <w:r>
        <w:rPr>
          <w:rFonts w:ascii="Palatino Linotype" w:hAnsi="Palatino Linotype" w:cs="Arial"/>
          <w:b/>
        </w:rPr>
        <w:t xml:space="preserve"> </w:t>
      </w:r>
      <w:r>
        <w:rPr>
          <w:rFonts w:ascii="Palatino Linotype" w:hAnsi="Palatino Linotype" w:cs="Arial"/>
          <w:b/>
          <w:u w:val="single"/>
        </w:rPr>
        <w:t>diez de marzo de dos mil veinte</w:t>
      </w:r>
      <w:r>
        <w:rPr>
          <w:rFonts w:ascii="Palatino Linotype" w:hAnsi="Palatino Linotype" w:cs="Arial"/>
        </w:rPr>
        <w:t>, éste se encuentra dentro de los márgenes temporales previstos en el precepto legal citado en el párrafo anterior y, por tanto, su interposición se considera oportuna.</w:t>
      </w:r>
    </w:p>
    <w:p w:rsidR="00FF005F" w:rsidRDefault="00410CE1">
      <w:pPr>
        <w:pStyle w:val="Prrafodelista"/>
        <w:widowControl w:val="0"/>
        <w:numPr>
          <w:ilvl w:val="0"/>
          <w:numId w:val="2"/>
        </w:numPr>
        <w:tabs>
          <w:tab w:val="left" w:pos="1701"/>
          <w:tab w:val="left" w:pos="1843"/>
        </w:tabs>
        <w:spacing w:before="240" w:afterAutospacing="1" w:line="360" w:lineRule="auto"/>
        <w:ind w:left="0" w:firstLine="0"/>
        <w:jc w:val="both"/>
        <w:rPr>
          <w:rFonts w:ascii="Palatino Linotype" w:hAnsi="Palatino Linotype"/>
          <w:b/>
          <w:lang w:val="es-ES"/>
        </w:rPr>
      </w:pPr>
      <w:r>
        <w:rPr>
          <w:rFonts w:ascii="Palatino Linotype" w:hAnsi="Palatino Linotype" w:cs="Arial"/>
          <w:b/>
          <w:lang w:val="es-ES"/>
        </w:rPr>
        <w:t xml:space="preserve">Procedibilidad. </w:t>
      </w:r>
      <w:r>
        <w:rPr>
          <w:rFonts w:ascii="Palatino Linotype" w:hAnsi="Palatino Linotype" w:cs="Arial"/>
          <w:lang w:val="es-ES"/>
        </w:rPr>
        <w:t>Se considera importante abordar e</w:t>
      </w:r>
      <w:r>
        <w:rPr>
          <w:rFonts w:ascii="Palatino Linotype" w:hAnsi="Palatino Linotype" w:cs="Arial"/>
          <w:lang w:val="es-ES"/>
        </w:rPr>
        <w:t xml:space="preserv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w:t>
      </w:r>
      <w:r>
        <w:rPr>
          <w:rFonts w:ascii="Palatino Linotype" w:hAnsi="Palatino Linotype"/>
          <w:i/>
          <w:sz w:val="22"/>
          <w:szCs w:val="22"/>
          <w:lang w:val="es-ES"/>
        </w:rPr>
        <w:t>visión contendrá:</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lastRenderedPageBreak/>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w:t>
      </w:r>
      <w:r>
        <w:rPr>
          <w:rFonts w:ascii="Palatino Linotype" w:hAnsi="Palatino Linotype" w:cs="Arial"/>
          <w:i/>
          <w:color w:val="222222"/>
          <w:sz w:val="22"/>
          <w:szCs w:val="22"/>
          <w:lang w:val="es-ES" w:eastAsia="es-MX"/>
        </w:rPr>
        <w:t>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FF005F" w:rsidRDefault="00410CE1">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 xml:space="preserve">Firma del recurrente, en su caso, cuando se presente por </w:t>
      </w:r>
      <w:r>
        <w:rPr>
          <w:rFonts w:ascii="Palatino Linotype" w:hAnsi="Palatino Linotype"/>
          <w:i/>
          <w:sz w:val="22"/>
          <w:szCs w:val="22"/>
          <w:lang w:val="es-ES"/>
        </w:rPr>
        <w:t>escrito, requisito sin el cual se dará trámite al recurso.</w:t>
      </w:r>
    </w:p>
    <w:p w:rsidR="00FF005F" w:rsidRDefault="00410CE1">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FF005F" w:rsidRDefault="00410CE1">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En ningún caso será necesario que el particular ratifique el recurso de rev</w:t>
      </w:r>
      <w:r>
        <w:rPr>
          <w:rFonts w:ascii="Palatino Linotype" w:hAnsi="Palatino Linotype"/>
          <w:i/>
          <w:sz w:val="22"/>
          <w:szCs w:val="22"/>
          <w:lang w:val="es-ES"/>
        </w:rPr>
        <w:t xml:space="preserve">isión interpuesto. </w:t>
      </w:r>
    </w:p>
    <w:p w:rsidR="00FF005F" w:rsidRDefault="00410CE1">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w:t>
      </w:r>
      <w:r>
        <w:rPr>
          <w:rFonts w:ascii="Palatino Linotype" w:hAnsi="Palatino Linotype"/>
          <w:b/>
          <w:lang w:val="es-ES"/>
        </w:rPr>
        <w:t>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w:t>
      </w:r>
      <w:r>
        <w:rPr>
          <w:rFonts w:ascii="Palatino Linotype" w:hAnsi="Palatino Linotype"/>
          <w:lang w:val="es-ES"/>
        </w:rPr>
        <w:t xml:space="preserve"> en el citado artículo 180 de la Ley de Transparencia.</w:t>
      </w:r>
    </w:p>
    <w:p w:rsidR="00FF005F" w:rsidRDefault="00410CE1">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sin necesida</w:t>
      </w:r>
      <w:r>
        <w:rPr>
          <w:rFonts w:ascii="Palatino Linotype" w:hAnsi="Palatino Linotype" w:cs="Arial"/>
          <w:color w:val="000000"/>
          <w:lang w:val="es-ES"/>
        </w:rPr>
        <w:t xml:space="preserve">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w:t>
      </w:r>
      <w:r>
        <w:rPr>
          <w:rFonts w:ascii="Palatino Linotype" w:hAnsi="Palatino Linotype" w:cs="Arial"/>
          <w:color w:val="000000"/>
          <w:lang w:val="es-ES"/>
        </w:rPr>
        <w:lastRenderedPageBreak/>
        <w:t>su caso, los recurrentes deban señala</w:t>
      </w:r>
      <w:r>
        <w:rPr>
          <w:rFonts w:ascii="Palatino Linotype" w:hAnsi="Palatino Linotype" w:cs="Arial"/>
          <w:color w:val="000000"/>
          <w:lang w:val="es-ES"/>
        </w:rPr>
        <w:t>r, por el contrario la Ley de Transparencia prevé en su artículo 155, párrafo segundo la posibilidad de que las solicitudes de información sean anónimas, con nombre incompleto o seudónimo.</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w:t>
      </w:r>
      <w:r>
        <w:rPr>
          <w:rFonts w:ascii="Palatino Linotype" w:hAnsi="Palatino Linotype"/>
          <w:lang w:val="es-ES"/>
        </w:rPr>
        <w:t xml:space="preserve"> de la Constitución Política de los Estados Unidos Mexicanos y 5 párrafos vigésimo segundo, vigésimo tercero y vigésimo cuarto de la Constitución Política del Estado Libre y Soberano de México, garantizan el ejercicio del derecho de acceso a la información</w:t>
      </w:r>
      <w:r>
        <w:rPr>
          <w:rFonts w:ascii="Palatino Linotype" w:hAnsi="Palatino Linotype"/>
          <w:lang w:val="es-ES"/>
        </w:rPr>
        <w:t xml:space="preserve"> pública, toda vez que disponen que toda persona sin necesidad de acreditar interés alguno o justificar su utilización, tendrá acceso gratuito a la información pública; preceptos cuyo texto y sentido literal es el siguiente:</w:t>
      </w:r>
    </w:p>
    <w:p w:rsidR="00FF005F" w:rsidRDefault="00410CE1">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w:t>
      </w:r>
      <w:r>
        <w:rPr>
          <w:rFonts w:ascii="Palatino Linotype" w:hAnsi="Palatino Linotype" w:cs="Arial"/>
          <w:b/>
          <w:i/>
          <w:sz w:val="22"/>
          <w:szCs w:val="22"/>
          <w:lang w:val="es-ES"/>
        </w:rPr>
        <w:t>tados Unidos Mexicanos</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w:t>
      </w:r>
      <w:r>
        <w:rPr>
          <w:rFonts w:ascii="Palatino Linotype" w:hAnsi="Palatino Linotype" w:cs="Arial"/>
          <w:i/>
          <w:sz w:val="22"/>
          <w:szCs w:val="22"/>
          <w:lang w:val="es-ES"/>
        </w:rPr>
        <w:t xml:space="preserve">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w:t>
      </w:r>
      <w:r>
        <w:rPr>
          <w:rFonts w:ascii="Palatino Linotype" w:hAnsi="Palatino Linotype" w:cs="Arial"/>
          <w:i/>
          <w:sz w:val="22"/>
          <w:szCs w:val="22"/>
          <w:lang w:val="es-ES"/>
        </w:rPr>
        <w:t>ifundir información e ideas de toda índole por cualquier medio de expresión.</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w:t>
      </w:r>
      <w:r>
        <w:rPr>
          <w:rFonts w:ascii="Palatino Linotype" w:hAnsi="Palatino Linotype" w:cs="Arial"/>
          <w:i/>
          <w:sz w:val="22"/>
          <w:szCs w:val="22"/>
          <w:lang w:val="es-ES"/>
        </w:rPr>
        <w:t>to Federal, en el ámbito de sus respectivas competencias, se regirán por los siguientes principios y bases:</w:t>
      </w:r>
    </w:p>
    <w:p w:rsidR="00FF005F" w:rsidRDefault="00410CE1">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w:t>
      </w:r>
      <w:r>
        <w:rPr>
          <w:rFonts w:ascii="Palatino Linotype" w:hAnsi="Palatino Linotype" w:cs="Arial"/>
          <w:i/>
          <w:sz w:val="22"/>
          <w:szCs w:val="22"/>
          <w:u w:val="single"/>
          <w:lang w:val="es-ES"/>
        </w:rPr>
        <w:t>autónomos, partidos políticos, fideicomisos y fondos públicos, así como de cualquier persona física, moral o sindicato que reciba y ejerza recursos públicos o realice actos de autoridad en el ámbito federal, estatal y municipal, es pública y sólo podrá ser</w:t>
      </w:r>
      <w:r>
        <w:rPr>
          <w:rFonts w:ascii="Palatino Linotype" w:hAnsi="Palatino Linotype" w:cs="Arial"/>
          <w:i/>
          <w:sz w:val="22"/>
          <w:szCs w:val="22"/>
          <w:u w:val="single"/>
          <w:lang w:val="es-ES"/>
        </w:rPr>
        <w:t xml:space="preserve"> </w:t>
      </w:r>
      <w:r>
        <w:rPr>
          <w:rFonts w:ascii="Palatino Linotype" w:hAnsi="Palatino Linotype" w:cs="Arial"/>
          <w:i/>
          <w:sz w:val="22"/>
          <w:szCs w:val="22"/>
          <w:u w:val="single"/>
          <w:lang w:val="es-ES"/>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w:t>
      </w:r>
      <w:r>
        <w:rPr>
          <w:rFonts w:ascii="Palatino Linotype" w:hAnsi="Palatino Linotype" w:cs="Arial"/>
          <w:i/>
          <w:sz w:val="22"/>
          <w:szCs w:val="22"/>
          <w:u w:val="single"/>
          <w:lang w:val="es-ES"/>
        </w:rPr>
        <w:t>que derive del ejercicio de sus facultades, competencias o funciones, la ley determinará los supuestos específicos bajo los cuales procederá la declaración de inexistencia de la información.</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 xml:space="preserve">II.  La información que se refiere a la vida privada y los datos </w:t>
      </w:r>
      <w:r>
        <w:rPr>
          <w:rFonts w:ascii="Palatino Linotype" w:hAnsi="Palatino Linotype" w:cs="Arial"/>
          <w:i/>
          <w:sz w:val="22"/>
          <w:szCs w:val="22"/>
          <w:lang w:val="es-ES"/>
        </w:rPr>
        <w:t>personales será protegida en los términos y con las excepciones que fijen las leyes.</w:t>
      </w:r>
    </w:p>
    <w:p w:rsidR="00FF005F" w:rsidRDefault="00410CE1">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w:t>
      </w:r>
      <w:r>
        <w:rPr>
          <w:rFonts w:ascii="Palatino Linotype" w:hAnsi="Palatino Linotype" w:cs="Arial"/>
          <w:i/>
          <w:sz w:val="22"/>
          <w:szCs w:val="22"/>
          <w:u w:val="single"/>
          <w:lang w:val="es-ES"/>
        </w:rPr>
        <w:t>ectificación de éstos.</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FF005F" w:rsidRDefault="00410CE1">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w:t>
      </w:r>
      <w:r>
        <w:rPr>
          <w:rFonts w:ascii="Palatino Linotype" w:hAnsi="Palatino Linotype" w:cs="Arial"/>
          <w:i/>
          <w:sz w:val="22"/>
          <w:szCs w:val="22"/>
          <w:u w:val="single"/>
          <w:lang w:val="es-ES"/>
        </w:rPr>
        <w:t>os deberán preservar sus documentos en archivos administrativos actualizados y publicarán, a través de los medios electrónicos disponibles, la información completa y actualizada sobre el ejercicio de los recursos públicos y los indicadores que permitan ren</w:t>
      </w:r>
      <w:r>
        <w:rPr>
          <w:rFonts w:ascii="Palatino Linotype" w:hAnsi="Palatino Linotype" w:cs="Arial"/>
          <w:i/>
          <w:sz w:val="22"/>
          <w:szCs w:val="22"/>
          <w:u w:val="single"/>
          <w:lang w:val="es-ES"/>
        </w:rPr>
        <w:t>dir cuenta del cumplimiento de sus objetivos y de los resultados obtenidos.</w:t>
      </w:r>
    </w:p>
    <w:p w:rsidR="00FF005F" w:rsidRDefault="00410CE1">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w:t>
      </w:r>
      <w:r>
        <w:rPr>
          <w:rFonts w:ascii="Palatino Linotype" w:hAnsi="Palatino Linotype" w:cs="Arial"/>
          <w:i/>
          <w:sz w:val="22"/>
          <w:szCs w:val="22"/>
          <w:lang w:val="es-ES"/>
        </w:rPr>
        <w:t>idad jurídica y patrimonio propio, con plena autonomía técnica, de gestión, capacidad para decidir sobre el ejercicio de su presupuesto y determinar su organización interna, responsable de garantizar el cumplimiento del derecho de acceso a la información p</w:t>
      </w:r>
      <w:r>
        <w:rPr>
          <w:rFonts w:ascii="Palatino Linotype" w:hAnsi="Palatino Linotype" w:cs="Arial"/>
          <w:i/>
          <w:sz w:val="22"/>
          <w:szCs w:val="22"/>
          <w:lang w:val="es-ES"/>
        </w:rPr>
        <w:t>ública y a la protección de datos personales en posesión de los sujetos obligados en los términos que establezca la ley.</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FF005F" w:rsidRDefault="00410CE1">
      <w:pPr>
        <w:spacing w:line="276" w:lineRule="auto"/>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FF005F" w:rsidRDefault="00410CE1">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w:t>
      </w:r>
      <w:r>
        <w:rPr>
          <w:rFonts w:ascii="Palatino Linotype" w:hAnsi="Palatino Linotype" w:cs="Arial"/>
          <w:b/>
          <w:i/>
          <w:sz w:val="22"/>
          <w:szCs w:val="22"/>
          <w:lang w:val="es-ES"/>
        </w:rPr>
        <w:t xml:space="preserve"> de México</w:t>
      </w:r>
    </w:p>
    <w:p w:rsidR="00FF005F" w:rsidRDefault="00410CE1">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lastRenderedPageBreak/>
        <w:t xml:space="preserve">“Artículo 5. … </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w:t>
      </w:r>
      <w:r>
        <w:rPr>
          <w:rFonts w:ascii="Palatino Linotype" w:hAnsi="Palatino Linotype"/>
          <w:i/>
          <w:sz w:val="22"/>
          <w:szCs w:val="22"/>
          <w:lang w:val="es-ES"/>
        </w:rPr>
        <w:t xml:space="preserve">rmación será oportuna, clara, veraz y de fácil acceso. </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 xml:space="preserve">I. Toda la información en posesión de cualquier autoridad, entidad, órgano y organismos de los Poderes Ejecutivo, Legislativo y Judicial, </w:t>
      </w:r>
      <w:r>
        <w:rPr>
          <w:rFonts w:ascii="Palatino Linotype" w:hAnsi="Palatino Linotype"/>
          <w:b/>
          <w:i/>
          <w:sz w:val="22"/>
          <w:szCs w:val="22"/>
          <w:lang w:val="es-ES"/>
        </w:rPr>
        <w:t>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w:t>
      </w:r>
      <w:r>
        <w:rPr>
          <w:rFonts w:ascii="Palatino Linotype" w:hAnsi="Palatino Linotype"/>
          <w:i/>
          <w:sz w:val="22"/>
          <w:szCs w:val="22"/>
          <w:lang w:val="es-ES"/>
        </w:rPr>
        <w:t>icato que reciba y ejerza recursos públicos o realice actos de autoridad en el ámbito estatal y municipal, es pública y sólo podrá ser reservada temporalmente por razones previstas en la Constitución Política de los Estados Unidos Mexicanos de interés públ</w:t>
      </w:r>
      <w:r>
        <w:rPr>
          <w:rFonts w:ascii="Palatino Linotype" w:hAnsi="Palatino Linotype"/>
          <w:i/>
          <w:sz w:val="22"/>
          <w:szCs w:val="22"/>
          <w:lang w:val="es-ES"/>
        </w:rPr>
        <w:t>ico y seguridad, en los términos que fijen las leyes. En la interpretación de este derecho deberá prevalecer el principio de máxima publicidad. Los sujetos obligados deberán documentar todo acto que derive del ejercicio de sus facultades, competencias o fu</w:t>
      </w:r>
      <w:r>
        <w:rPr>
          <w:rFonts w:ascii="Palatino Linotype" w:hAnsi="Palatino Linotype"/>
          <w:i/>
          <w:sz w:val="22"/>
          <w:szCs w:val="22"/>
          <w:lang w:val="es-ES"/>
        </w:rPr>
        <w:t>nciones, la ley determinará los supuestos específicos bajo los cuales procederá la declaración de inexistencia de la información.</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w:t>
      </w:r>
      <w:r>
        <w:rPr>
          <w:rFonts w:ascii="Palatino Linotype" w:hAnsi="Palatino Linotype"/>
          <w:i/>
          <w:sz w:val="22"/>
          <w:szCs w:val="22"/>
          <w:lang w:val="es-ES"/>
        </w:rPr>
        <w:t xml:space="preserve"> jurídico rígido de tratamiento y manejo de datos personales, con las excepciones que establezca la ley reglamentaria.</w:t>
      </w:r>
    </w:p>
    <w:p w:rsidR="00FF005F" w:rsidRDefault="00410CE1">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w:t>
      </w:r>
      <w:r>
        <w:rPr>
          <w:rFonts w:ascii="Palatino Linotype" w:hAnsi="Palatino Linotype"/>
          <w:b/>
          <w:i/>
          <w:sz w:val="22"/>
          <w:szCs w:val="22"/>
          <w:lang w:val="es-ES"/>
        </w:rPr>
        <w:t>, a sus datos personales o a la rectificación de éstos.</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w:t>
      </w:r>
      <w:r>
        <w:rPr>
          <w:rFonts w:ascii="Palatino Linotype" w:hAnsi="Palatino Linotype"/>
          <w:i/>
          <w:sz w:val="22"/>
          <w:szCs w:val="22"/>
          <w:lang w:val="es-ES"/>
        </w:rPr>
        <w:t>n.</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w:t>
      </w:r>
      <w:r>
        <w:rPr>
          <w:rFonts w:ascii="Palatino Linotype" w:hAnsi="Palatino Linotype"/>
          <w:i/>
          <w:sz w:val="22"/>
          <w:szCs w:val="22"/>
          <w:lang w:val="es-ES"/>
        </w:rPr>
        <w:lastRenderedPageBreak/>
        <w:t>mismos, podrán tramitarse por medios electrónicos, a través de un sistema automatizado qu</w:t>
      </w:r>
      <w:r>
        <w:rPr>
          <w:rFonts w:ascii="Palatino Linotype" w:hAnsi="Palatino Linotype"/>
          <w:i/>
          <w:sz w:val="22"/>
          <w:szCs w:val="22"/>
          <w:lang w:val="es-ES"/>
        </w:rPr>
        <w:t>e para tal efecto establezca la ley reglamentaria y el organismo autónomo garante en el ámbito de su competencia. Las resoluciones que correspondan a estos procedimientos se sistematizarán para favorecer su consulta.</w:t>
      </w:r>
    </w:p>
    <w:p w:rsidR="00FF005F" w:rsidRDefault="00410CE1">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w:t>
      </w:r>
      <w:r>
        <w:rPr>
          <w:rFonts w:ascii="Palatino Linotype" w:hAnsi="Palatino Linotype"/>
          <w:i/>
          <w:sz w:val="22"/>
          <w:szCs w:val="22"/>
          <w:lang w:val="es-ES"/>
        </w:rPr>
        <w:t>rvar sus documentos en archivos administrativos actualizados y publicarán, a través de los medios electrónicos disponibles, la información completa y actualizada sobre el ejercicio de los recursos públicos y los indicadores que permitan rendir cuenta del c</w:t>
      </w:r>
      <w:r>
        <w:rPr>
          <w:rFonts w:ascii="Palatino Linotype" w:hAnsi="Palatino Linotype"/>
          <w:i/>
          <w:sz w:val="22"/>
          <w:szCs w:val="22"/>
          <w:lang w:val="es-ES"/>
        </w:rPr>
        <w:t>umplimiento de sus objetivos y los resultados obtenidos.</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w:t>
      </w:r>
      <w:r>
        <w:rPr>
          <w:rFonts w:ascii="Palatino Linotype" w:hAnsi="Palatino Linotype"/>
          <w:i/>
          <w:sz w:val="22"/>
          <w:szCs w:val="22"/>
          <w:lang w:val="es-ES"/>
        </w:rPr>
        <w:t>ivas.</w:t>
      </w:r>
      <w:r>
        <w:rPr>
          <w:rFonts w:ascii="Palatino Linotype" w:hAnsi="Palatino Linotype"/>
          <w:b/>
          <w:i/>
          <w:sz w:val="22"/>
          <w:szCs w:val="22"/>
          <w:lang w:val="es-ES"/>
        </w:rPr>
        <w:t>”</w:t>
      </w:r>
    </w:p>
    <w:p w:rsidR="00FF005F" w:rsidRDefault="00410CE1">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w:t>
      </w:r>
      <w:r>
        <w:rPr>
          <w:rFonts w:ascii="Palatino Linotype" w:hAnsi="Palatino Linotype" w:cs="Arial"/>
          <w:i/>
          <w:sz w:val="22"/>
          <w:szCs w:val="22"/>
          <w:lang w:val="es-ES"/>
        </w:rPr>
        <w:t>onocidos en esta Constitución y en los tratados internacionales de los que el Estado Mexicano sea parte, así como de las garantías para su protección, cuyo ejercicio no podrá restringirse ni suspenderse, salvo en los casos y bajo las condiciones que esta C</w:t>
      </w:r>
      <w:r>
        <w:rPr>
          <w:rFonts w:ascii="Palatino Linotype" w:hAnsi="Palatino Linotype" w:cs="Arial"/>
          <w:i/>
          <w:sz w:val="22"/>
          <w:szCs w:val="22"/>
          <w:lang w:val="es-ES"/>
        </w:rPr>
        <w:t>onstitución establece.</w:t>
      </w:r>
    </w:p>
    <w:p w:rsidR="00FF005F" w:rsidRDefault="00410CE1">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FF005F" w:rsidRDefault="00410CE1">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 xml:space="preserve">Todas las </w:t>
      </w:r>
      <w:r>
        <w:rPr>
          <w:rFonts w:ascii="Palatino Linotype" w:hAnsi="Palatino Linotype" w:cs="Arial"/>
          <w:b/>
          <w:i/>
          <w:sz w:val="22"/>
          <w:szCs w:val="22"/>
          <w:u w:val="single"/>
          <w:lang w:val="es-ES"/>
        </w:rPr>
        <w:t>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w:t>
      </w:r>
      <w:r>
        <w:rPr>
          <w:rFonts w:ascii="Palatino Linotype" w:hAnsi="Palatino Linotype" w:cs="Arial"/>
          <w:i/>
          <w:sz w:val="22"/>
          <w:szCs w:val="22"/>
          <w:lang w:val="es-ES"/>
        </w:rPr>
        <w:t xml:space="preserve">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FF005F" w:rsidRDefault="00410CE1">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lastRenderedPageBreak/>
        <w:t xml:space="preserve">En esa virtud, de una interpretación sistemática, armónica y progresiva del derecho humano de acceso </w:t>
      </w:r>
      <w:r>
        <w:rPr>
          <w:rFonts w:ascii="Palatino Linotype" w:hAnsi="Palatino Linotype"/>
          <w:lang w:val="es-ES"/>
        </w:rPr>
        <w:t>a la información pública se reitera que toda persona, sin necesidad de acreditar interés alguno o justificar su utilización, deberá tener acceso a la información pública, es decir, dicho derecho fundamental exime a quien lo ejerce, de acreditar su legitima</w:t>
      </w:r>
      <w:r>
        <w:rPr>
          <w:rFonts w:ascii="Palatino Linotype" w:hAnsi="Palatino Linotype"/>
          <w:lang w:val="es-ES"/>
        </w:rPr>
        <w:t>ción en la causa o su interés en el asunto, lo que permite la posibilidad de que inclusive, la solicitud de acceso a la información pueda ser anónima o no contener un nombre que identifique al solicitante o que permita tener certeza sobre su identidad.</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Rob</w:t>
      </w:r>
      <w:r>
        <w:rPr>
          <w:rFonts w:ascii="Palatino Linotype" w:hAnsi="Palatino Linotype"/>
          <w:lang w:val="es-ES"/>
        </w:rPr>
        <w:t>ustece lo anterior, el Criterio 6/2014 del entonces Instituto Federal de Acceso a la Información y Protección de Datos (IFAI), ahora INAI, el cual se reproduce para una mayor referencia:</w:t>
      </w:r>
    </w:p>
    <w:p w:rsidR="00FF005F" w:rsidRDefault="00410CE1">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 xml:space="preserve">“Acceso a información gubernamental. No debe condicionarse a que el </w:t>
      </w:r>
      <w:r>
        <w:rPr>
          <w:rFonts w:ascii="Palatino Linotype" w:hAnsi="Palatino Linotype" w:cs="Arial"/>
          <w:b/>
          <w:i/>
          <w:sz w:val="22"/>
          <w:szCs w:val="22"/>
          <w:lang w:val="es-ES"/>
        </w:rPr>
        <w:t>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w:t>
      </w:r>
      <w:r>
        <w:rPr>
          <w:rFonts w:ascii="Palatino Linotype" w:hAnsi="Palatino Linotype" w:cs="Arial"/>
          <w:i/>
          <w:sz w:val="22"/>
          <w:szCs w:val="22"/>
          <w:lang w:val="es-ES"/>
        </w:rPr>
        <w:t>Ley Federal de Transparencia y Acceso a la Información Pública Gubernamental, la respuesta a una solicitud de acceso a información y entrega de la misma, no debe estar condicionada a que el particular acredite su personalidad, demuestre interés alguno o ju</w:t>
      </w:r>
      <w:r>
        <w:rPr>
          <w:rFonts w:ascii="Palatino Linotype" w:hAnsi="Palatino Linotype" w:cs="Arial"/>
          <w:i/>
          <w:sz w:val="22"/>
          <w:szCs w:val="22"/>
          <w:lang w:val="es-ES"/>
        </w:rPr>
        <w:t xml:space="preserve">stifique su utilización, en virtud de que los sujetos obligados no deben requerir al solicitante mayores requisitos que los establecidos en la Ley. En este sentido, las dependencias y entidades, sólo deberán asegurarse de que, en su caso, se haya cubierto </w:t>
      </w:r>
      <w:r>
        <w:rPr>
          <w:rFonts w:ascii="Palatino Linotype" w:hAnsi="Palatino Linotype" w:cs="Arial"/>
          <w:i/>
          <w:sz w:val="22"/>
          <w:szCs w:val="22"/>
          <w:lang w:val="es-ES"/>
        </w:rPr>
        <w:t>el pago de reproducción y envío de la información, mediante la exhibición del recibo correspondiente.”</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En ese orden de ideas, se estima que el requerimiento relativo al nombre como presupuesto de procedibilidad podría limitar el ejercicio del derecho de ac</w:t>
      </w:r>
      <w:r>
        <w:rPr>
          <w:rFonts w:ascii="Palatino Linotype" w:hAnsi="Palatino Linotype"/>
          <w:lang w:val="es-ES"/>
        </w:rPr>
        <w:t xml:space="preserve">ceso a la información pública, debido a que el hecho de solicitar la identificación del </w:t>
      </w:r>
      <w:r>
        <w:rPr>
          <w:rFonts w:ascii="Palatino Linotype" w:hAnsi="Palatino Linotype"/>
          <w:b/>
          <w:lang w:val="es-ES"/>
        </w:rPr>
        <w:lastRenderedPageBreak/>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w:t>
      </w:r>
      <w:r>
        <w:rPr>
          <w:rFonts w:ascii="Palatino Linotype" w:hAnsi="Palatino Linotype"/>
          <w:lang w:val="es-ES"/>
        </w:rPr>
        <w:t>e haría nugatorio un derecho fundamental.</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w:t>
      </w:r>
      <w:r>
        <w:rPr>
          <w:rFonts w:ascii="Palatino Linotype" w:hAnsi="Palatino Linotype"/>
          <w:lang w:val="es-ES"/>
        </w:rPr>
        <w:t xml:space="preserve"> como la Constitución Política del Estado Libre y Soberano de México, reconocen la prerrogativa de los individuos para no acreditar dicho interés o justificar su utilización, por lo que este Órgano Garante en la materia, se encuentra impedido para realizar</w:t>
      </w:r>
      <w:r>
        <w:rPr>
          <w:rFonts w:ascii="Palatino Linotype" w:hAnsi="Palatino Linotype"/>
          <w:lang w:val="es-ES"/>
        </w:rPr>
        <w:t xml:space="preserve"> dicho análisis, en la inteligencia de que al limitar un derecho humano, como lo es el derecho de acceso a la información pública, por una cuestión procedimental.</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t>En consecuencia, dado lo expuesto y fundado con anterioridad, se estima que el requisito rela</w:t>
      </w:r>
      <w:r>
        <w:rPr>
          <w:rFonts w:ascii="Palatino Linotype" w:hAnsi="Palatino Linotype"/>
          <w:lang w:val="es-ES"/>
        </w:rPr>
        <w:t>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w:t>
      </w:r>
      <w:r>
        <w:rPr>
          <w:rFonts w:ascii="Palatino Linotype" w:hAnsi="Palatino Linotype"/>
          <w:lang w:val="es-ES"/>
        </w:rPr>
        <w:t xml:space="preserve"> y IV de la Constitución Política de los Estados Unidos Mexicanos y 5, párrafo vigésimo segundo de la Constitución Política del Estado Libre y Soberano de México debido a que el acceso a la información pública es un derecho humano que no requiere legitimac</w:t>
      </w:r>
      <w:r>
        <w:rPr>
          <w:rFonts w:ascii="Palatino Linotype" w:hAnsi="Palatino Linotype"/>
          <w:lang w:val="es-ES"/>
        </w:rPr>
        <w:t xml:space="preserve">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w:t>
      </w:r>
      <w:r>
        <w:rPr>
          <w:rFonts w:ascii="Palatino Linotype" w:hAnsi="Palatino Linotype"/>
          <w:lang w:val="es-ES"/>
        </w:rPr>
        <w:t>ona que realizó la solicitud de acceso a la información pública que ahora se impugna.</w:t>
      </w:r>
    </w:p>
    <w:p w:rsidR="00FF005F" w:rsidRDefault="00410CE1">
      <w:pPr>
        <w:spacing w:before="240" w:after="240" w:line="360" w:lineRule="auto"/>
        <w:jc w:val="both"/>
        <w:rPr>
          <w:rFonts w:ascii="Palatino Linotype" w:hAnsi="Palatino Linotype"/>
          <w:lang w:val="es-ES"/>
        </w:rPr>
      </w:pPr>
      <w:r>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w:t>
      </w:r>
      <w:r>
        <w:rPr>
          <w:rFonts w:ascii="Palatino Linotype" w:hAnsi="Palatino Linotype"/>
          <w:lang w:val="es-ES"/>
        </w:rPr>
        <w:t xml:space="preserve">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FF005F" w:rsidRDefault="00410CE1">
      <w:pPr>
        <w:pStyle w:val="Prrafodelista"/>
        <w:widowControl w:val="0"/>
        <w:numPr>
          <w:ilvl w:val="0"/>
          <w:numId w:val="2"/>
        </w:numPr>
        <w:tabs>
          <w:tab w:val="left" w:pos="1701"/>
          <w:tab w:val="left" w:pos="1843"/>
        </w:tabs>
        <w:spacing w:before="360" w:after="240" w:line="360" w:lineRule="auto"/>
        <w:ind w:left="0" w:firstLine="0"/>
        <w:jc w:val="both"/>
        <w:rPr>
          <w:rFonts w:ascii="Palatino Linotype" w:hAnsi="Palatino Linotype" w:cs="Arial"/>
        </w:rPr>
      </w:pPr>
      <w:r>
        <w:rPr>
          <w:rFonts w:ascii="Palatino Linotype" w:hAnsi="Palatino Linotype" w:cs="Arial"/>
          <w:b/>
        </w:rPr>
        <w:t>Estudio y resolución del asunto</w:t>
      </w:r>
      <w:r>
        <w:rPr>
          <w:rFonts w:ascii="Palatino Linotype" w:hAnsi="Palatino Linotype" w:cs="Arial"/>
          <w:b/>
          <w:color w:val="000000" w:themeColor="text1"/>
        </w:rPr>
        <w:t xml:space="preserve">. </w:t>
      </w:r>
      <w:r>
        <w:rPr>
          <w:rFonts w:ascii="Palatino Linotype" w:hAnsi="Palatino Linotype" w:cs="Arial"/>
          <w:color w:val="000000" w:themeColor="text1"/>
        </w:rPr>
        <w:t>Tal y como quedó precisado en</w:t>
      </w:r>
      <w:r>
        <w:rPr>
          <w:rFonts w:ascii="Palatino Linotype" w:hAnsi="Palatino Linotype" w:cs="Arial"/>
          <w:color w:val="000000" w:themeColor="text1"/>
        </w:rPr>
        <w:t xml:space="preserve"> los resultandos de la presente resolución, el particular requirió del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las medidas que se han tomado para favorecer y fomentar la generación de energía limpia o verde y el documento donde consten los cambios principales realizados, con </w:t>
      </w:r>
      <w:r>
        <w:rPr>
          <w:rFonts w:ascii="Palatino Linotype" w:hAnsi="Palatino Linotype" w:cs="Arial"/>
          <w:color w:val="000000" w:themeColor="text1"/>
        </w:rPr>
        <w:t>motivo de la reforma energética, por el periodo que comprende del 4 de marzo de 2019 al 4 de marzo de 2020</w:t>
      </w:r>
      <w:r>
        <w:rPr>
          <w:rStyle w:val="Ancladenotaalpie"/>
          <w:rFonts w:ascii="Palatino Linotype" w:hAnsi="Palatino Linotype" w:cs="Arial"/>
          <w:color w:val="000000" w:themeColor="text1"/>
        </w:rPr>
        <w:footnoteReference w:id="1"/>
      </w:r>
      <w:r>
        <w:rPr>
          <w:rFonts w:ascii="Palatino Linotype" w:hAnsi="Palatino Linotype" w:cs="Arial"/>
          <w:color w:val="000000" w:themeColor="text1"/>
        </w:rPr>
        <w:t>.</w:t>
      </w:r>
    </w:p>
    <w:p w:rsidR="00FF005F" w:rsidRDefault="00410CE1">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Al respecto,</w:t>
      </w:r>
      <w:r>
        <w:rPr>
          <w:rFonts w:ascii="Palatino Linotype" w:hAnsi="Palatino Linotype" w:cs="Arial"/>
          <w:b/>
        </w:rPr>
        <w:t xml:space="preserve"> EL SUJETO OBLIGADO </w:t>
      </w:r>
      <w:r>
        <w:rPr>
          <w:rFonts w:ascii="Palatino Linotype" w:hAnsi="Palatino Linotype" w:cs="Arial"/>
        </w:rPr>
        <w:t>respondió al particular mediante la entrega del Acta de la Octava Sesión Extraordinaria del Comité de Transparencia</w:t>
      </w:r>
      <w:r>
        <w:rPr>
          <w:rFonts w:ascii="Palatino Linotype" w:hAnsi="Palatino Linotype" w:cs="Arial"/>
        </w:rPr>
        <w:t xml:space="preserve"> número </w:t>
      </w:r>
      <w:r>
        <w:rPr>
          <w:rFonts w:ascii="Palatino Linotype" w:hAnsi="Palatino Linotype" w:cs="Arial"/>
          <w:b/>
        </w:rPr>
        <w:t>CT-SMA/08-E/2020</w:t>
      </w:r>
      <w:r>
        <w:rPr>
          <w:rFonts w:ascii="Palatino Linotype" w:hAnsi="Palatino Linotype" w:cs="Arial"/>
        </w:rPr>
        <w:t>, de fecha 6 de marzo de 2020, en la cual, en lo que interesa, el Subdirector de Evaluación y suplente del Titular la Unidad de Transparencia manifestó que dio lectura a la solicitud de acceso a la información, al Reglamento Interio</w:t>
      </w:r>
      <w:r>
        <w:rPr>
          <w:rFonts w:ascii="Palatino Linotype" w:hAnsi="Palatino Linotype" w:cs="Arial"/>
        </w:rPr>
        <w:t xml:space="preserve">r y al Manual de Organización de la Secretaría del Medio Ambiente y verificó que </w:t>
      </w:r>
      <w:r>
        <w:rPr>
          <w:rFonts w:ascii="Palatino Linotype" w:hAnsi="Palatino Linotype" w:cs="Arial"/>
          <w:b/>
        </w:rPr>
        <w:t xml:space="preserve">EL SUJETO OBLIGADO </w:t>
      </w:r>
      <w:r>
        <w:rPr>
          <w:rFonts w:ascii="Palatino Linotype" w:hAnsi="Palatino Linotype" w:cs="Arial"/>
        </w:rPr>
        <w:t xml:space="preserve">no estaba facultado para generar o poseer la información requerida; sin embargo, refirió que, el Reglamento Interior del Instituto Estatal de </w:t>
      </w:r>
      <w:r>
        <w:rPr>
          <w:rFonts w:ascii="Palatino Linotype" w:hAnsi="Palatino Linotype" w:cs="Arial"/>
        </w:rPr>
        <w:lastRenderedPageBreak/>
        <w:t>Energía y Camb</w:t>
      </w:r>
      <w:r>
        <w:rPr>
          <w:rFonts w:ascii="Palatino Linotype" w:hAnsi="Palatino Linotype" w:cs="Arial"/>
        </w:rPr>
        <w:t xml:space="preserve">io Climático, organismo descentralizado de la Secretaría del Medio Ambiente del Estado de México, lo faculta para atender lo relativo a eficiencia energética y energías renovables. En esa virtud, el Comité de Transparencia del </w:t>
      </w:r>
      <w:r>
        <w:rPr>
          <w:rFonts w:ascii="Palatino Linotype" w:hAnsi="Palatino Linotype" w:cs="Arial"/>
          <w:b/>
        </w:rPr>
        <w:t>SUJETO OBLIGADO</w:t>
      </w:r>
      <w:r>
        <w:rPr>
          <w:rFonts w:ascii="Palatino Linotype" w:hAnsi="Palatino Linotype" w:cs="Arial"/>
        </w:rPr>
        <w:t xml:space="preserve"> emitió el Acu</w:t>
      </w:r>
      <w:r>
        <w:rPr>
          <w:rFonts w:ascii="Palatino Linotype" w:hAnsi="Palatino Linotype" w:cs="Arial"/>
        </w:rPr>
        <w:t>erdo de Incompetencia que marca la Ley de Transparencia y Acceso a la Información Pública del Estado de México y Municipios.</w:t>
      </w:r>
    </w:p>
    <w:p w:rsidR="00FF005F" w:rsidRDefault="00410CE1">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 xml:space="preserve">Inconforme con dicha respuesta el hoy </w:t>
      </w:r>
      <w:r>
        <w:rPr>
          <w:rFonts w:ascii="Palatino Linotype" w:hAnsi="Palatino Linotype" w:cs="Arial"/>
          <w:b/>
        </w:rPr>
        <w:t>RECURRENTE</w:t>
      </w:r>
      <w:r>
        <w:rPr>
          <w:rFonts w:ascii="Palatino Linotype" w:hAnsi="Palatino Linotype" w:cs="Arial"/>
        </w:rPr>
        <w:t xml:space="preserve"> interpuso el medio de defensa de mérito, en el cual argumentó genéricamente que le</w:t>
      </w:r>
      <w:r>
        <w:rPr>
          <w:rFonts w:ascii="Palatino Linotype" w:hAnsi="Palatino Linotype" w:cs="Arial"/>
        </w:rPr>
        <w:t xml:space="preserve"> inconformaba la respuesta recaída a la solicitud de acceso a la información.</w:t>
      </w:r>
    </w:p>
    <w:p w:rsidR="00FF005F" w:rsidRDefault="00410CE1">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 xml:space="preserve">Posteriormente, </w:t>
      </w:r>
      <w:r>
        <w:rPr>
          <w:rFonts w:ascii="Palatino Linotype" w:hAnsi="Palatino Linotype" w:cs="Arial"/>
          <w:b/>
        </w:rPr>
        <w:t>EL SUJETO OBLIGADO</w:t>
      </w:r>
      <w:r>
        <w:rPr>
          <w:rFonts w:ascii="Palatino Linotype" w:hAnsi="Palatino Linotype" w:cs="Arial"/>
        </w:rPr>
        <w:t xml:space="preserve"> rindió su Informe Justificado, en el cual reiteró su respuesta; por su parte, </w:t>
      </w:r>
      <w:r>
        <w:rPr>
          <w:rFonts w:ascii="Palatino Linotype" w:hAnsi="Palatino Linotype" w:cs="Arial"/>
          <w:b/>
        </w:rPr>
        <w:t>EL RECURRENTE</w:t>
      </w:r>
      <w:r>
        <w:rPr>
          <w:rFonts w:ascii="Palatino Linotype" w:hAnsi="Palatino Linotype" w:cs="Arial"/>
        </w:rPr>
        <w:t xml:space="preserve"> no presentó manifestaciones, alegatos ni ofreció lo</w:t>
      </w:r>
      <w:r>
        <w:rPr>
          <w:rFonts w:ascii="Palatino Linotype" w:hAnsi="Palatino Linotype" w:cs="Arial"/>
        </w:rPr>
        <w:t>s medios de prueba que a su derecho convinieran</w:t>
      </w:r>
    </w:p>
    <w:p w:rsidR="00FF005F" w:rsidRDefault="00410CE1">
      <w:pPr>
        <w:pStyle w:val="Prrafodelista"/>
        <w:widowControl w:val="0"/>
        <w:tabs>
          <w:tab w:val="left" w:pos="1701"/>
          <w:tab w:val="left" w:pos="1843"/>
        </w:tabs>
        <w:spacing w:before="360" w:after="240" w:line="360" w:lineRule="auto"/>
        <w:ind w:left="0"/>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Pr>
          <w:rFonts w:ascii="Palatino Linotype" w:hAnsi="Palatino Linotype" w:cs="Arial"/>
          <w:b/>
        </w:rPr>
        <w:t>SAIMEX</w:t>
      </w:r>
      <w:r>
        <w:rPr>
          <w:rFonts w:ascii="Palatino Linotype" w:hAnsi="Palatino Linotype" w:cs="Arial"/>
        </w:rPr>
        <w:t xml:space="preserve"> y advirtió que las razones o motivos de inconformidad hechos valer por </w:t>
      </w:r>
      <w:r>
        <w:rPr>
          <w:rFonts w:ascii="Palatino Linotype" w:hAnsi="Palatino Linotype" w:cs="Arial"/>
          <w:b/>
        </w:rPr>
        <w:t>EL RECURRENTE</w:t>
      </w:r>
      <w:r>
        <w:rPr>
          <w:rFonts w:ascii="Palatino Linotype" w:hAnsi="Palatino Linotype" w:cs="Arial"/>
        </w:rPr>
        <w:t xml:space="preserve"> dev</w:t>
      </w:r>
      <w:r>
        <w:rPr>
          <w:rFonts w:ascii="Palatino Linotype" w:hAnsi="Palatino Linotype" w:cs="Arial"/>
        </w:rPr>
        <w:t xml:space="preserve">ienen </w:t>
      </w:r>
      <w:r>
        <w:rPr>
          <w:rFonts w:ascii="Palatino Linotype" w:hAnsi="Palatino Linotype" w:cs="Arial"/>
          <w:b/>
        </w:rPr>
        <w:t>infundados</w:t>
      </w:r>
      <w:r>
        <w:rPr>
          <w:rFonts w:ascii="Palatino Linotype" w:hAnsi="Palatino Linotype" w:cs="Arial"/>
        </w:rPr>
        <w:t xml:space="preserve">; por lo que, lo procedente es </w:t>
      </w:r>
      <w:r>
        <w:rPr>
          <w:rFonts w:ascii="Palatino Linotype" w:hAnsi="Palatino Linotype" w:cs="Arial"/>
          <w:b/>
        </w:rPr>
        <w:t>CONFIRMAR</w:t>
      </w:r>
      <w:r>
        <w:rPr>
          <w:rFonts w:ascii="Palatino Linotype" w:hAnsi="Palatino Linotype" w:cs="Arial"/>
        </w:rPr>
        <w:t xml:space="preserve"> la respuesta del </w:t>
      </w:r>
      <w:r>
        <w:rPr>
          <w:rFonts w:ascii="Palatino Linotype" w:hAnsi="Palatino Linotype" w:cs="Arial"/>
          <w:b/>
        </w:rPr>
        <w:t>SUJETO OBLIGADO</w:t>
      </w:r>
      <w:r>
        <w:rPr>
          <w:rFonts w:ascii="Palatino Linotype" w:hAnsi="Palatino Linotype" w:cs="Arial"/>
        </w:rPr>
        <w:t>, en atención a las Consideraciones de hecho y de derecho siguientes:</w:t>
      </w:r>
    </w:p>
    <w:p w:rsidR="00FF005F" w:rsidRDefault="00410CE1">
      <w:pPr>
        <w:spacing w:beforeAutospacing="1" w:afterAutospacing="1" w:line="360" w:lineRule="auto"/>
        <w:jc w:val="both"/>
        <w:rPr>
          <w:rFonts w:ascii="Palatino Linotype" w:eastAsia="Arial Unicode MS" w:hAnsi="Palatino Linotype" w:cs="Arial"/>
        </w:rPr>
      </w:pPr>
      <w:r>
        <w:rPr>
          <w:rFonts w:ascii="Palatino Linotype" w:hAnsi="Palatino Linotype"/>
        </w:rPr>
        <w:t xml:space="preserve">Primeramente, </w:t>
      </w:r>
      <w:r>
        <w:rPr>
          <w:rFonts w:ascii="Palatino Linotype" w:eastAsia="Arial Unicode MS" w:hAnsi="Palatino Linotype" w:cs="Arial"/>
        </w:rPr>
        <w:t xml:space="preserve">este Instituto no omite señalar que los Sujetos Obligados deben contar con un área </w:t>
      </w:r>
      <w:r>
        <w:rPr>
          <w:rFonts w:ascii="Palatino Linotype" w:eastAsia="Arial Unicode MS" w:hAnsi="Palatino Linotype" w:cs="Arial"/>
        </w:rPr>
        <w:t xml:space="preserve">responsable para la atención de las solicitudes de información, a la que se le denominará Unidad de Transparencia; asimismo, deben designar a un responsable para atender dicha Unidad, quien fungirá como enlace entre éstos y los solicitantes. </w:t>
      </w:r>
    </w:p>
    <w:p w:rsidR="00FF005F" w:rsidRDefault="00410CE1">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lastRenderedPageBreak/>
        <w:t>Dicho lo ante</w:t>
      </w:r>
      <w:r>
        <w:rPr>
          <w:rFonts w:ascii="Palatino Linotype" w:eastAsia="Arial Unicode MS" w:hAnsi="Palatino Linotype" w:cs="Arial"/>
        </w:rPr>
        <w:t>rior, se precisa que la ya mencionada Unidad de Transparencia es la encargada de tramitar internamente las solicitudes de información y tiene la responsabilidad de verificar, en cada caso, que la información no tenga el carácter de confidencial o reservada</w:t>
      </w:r>
      <w:r>
        <w:rPr>
          <w:rFonts w:ascii="Palatino Linotype" w:eastAsia="Arial Unicode MS" w:hAnsi="Palatino Linotype" w:cs="Arial"/>
        </w:rPr>
        <w:t>, en términos de los artículos 50 y 51 de la Ley de Transparencia y Acceso a la Información del Estado de México y Municipios.</w:t>
      </w:r>
    </w:p>
    <w:p w:rsidR="00FF005F" w:rsidRDefault="00410CE1">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Por su parte, el artículo 53, fracciones II, IV y V de la Ley antes citada establece que las Unidades de Transparencia tienen, en</w:t>
      </w:r>
      <w:r>
        <w:rPr>
          <w:rFonts w:ascii="Palatino Linotype" w:eastAsia="Arial Unicode MS" w:hAnsi="Palatino Linotype" w:cs="Arial"/>
        </w:rPr>
        <w:t>tre otras, las funciones de recibir, tramitar y dar respuesta a las solicitudes de acceso a la información; realizar, con efectividad, los trámites internos necesarios para la atención de las solicitudes de acceso a la información; así como, entregar, en s</w:t>
      </w:r>
      <w:r>
        <w:rPr>
          <w:rFonts w:ascii="Palatino Linotype" w:eastAsia="Arial Unicode MS" w:hAnsi="Palatino Linotype" w:cs="Arial"/>
        </w:rPr>
        <w:t>u caso, a los particulares la información solicitada.</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w:t>
      </w:r>
      <w:r>
        <w:rPr>
          <w:rFonts w:ascii="Palatino Linotype" w:hAnsi="Palatino Linotype" w:cs="Arial"/>
        </w:rPr>
        <w:t xml:space="preserve">orar con la Unidad de Transparencia, esta dará aviso al superior jerárquico para que le ordene realizar sin demora las acciones conducentes y en caso de que persista la negativa de colaboración, hará del conocimiento de la autoridad competente para que se </w:t>
      </w:r>
      <w:r>
        <w:rPr>
          <w:rFonts w:ascii="Palatino Linotype" w:hAnsi="Palatino Linotype" w:cs="Arial"/>
        </w:rPr>
        <w:t>inicie, en su caso, el procedimiento de responsabilidad respectivo.</w:t>
      </w:r>
    </w:p>
    <w:p w:rsidR="00FF005F" w:rsidRDefault="00410CE1">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w:t>
      </w:r>
      <w:r>
        <w:rPr>
          <w:rFonts w:ascii="Palatino Linotype" w:eastAsia="Arial Unicode MS" w:hAnsi="Palatino Linotype" w:cs="Arial"/>
        </w:rPr>
        <w:t xml:space="preserve"> le solicite la Unidad de Transparencia; proporcionar la misma y apoyarla en lo que ésta le solicite para el cumplimiento de sus funciones.</w:t>
      </w:r>
    </w:p>
    <w:p w:rsidR="00FF005F" w:rsidRDefault="00410CE1">
      <w:pPr>
        <w:spacing w:beforeAutospacing="1" w:afterAutospacing="1" w:line="360" w:lineRule="auto"/>
        <w:jc w:val="both"/>
        <w:rPr>
          <w:rFonts w:ascii="Palatino Linotype" w:eastAsia="Calibri" w:hAnsi="Palatino Linotype" w:cs="Arial"/>
        </w:rPr>
      </w:pPr>
      <w:r>
        <w:rPr>
          <w:rFonts w:ascii="Palatino Linotype" w:hAnsi="Palatino Linotype" w:cs="Arial"/>
        </w:rPr>
        <w:lastRenderedPageBreak/>
        <w:t xml:space="preserve">Finalmente, se destaca que de conformidad con el artículo 167 de la legislación en cita, </w:t>
      </w:r>
      <w:r>
        <w:rPr>
          <w:rFonts w:ascii="Palatino Linotype" w:eastAsia="Calibri" w:hAnsi="Palatino Linotype" w:cs="Arial"/>
        </w:rPr>
        <w:t xml:space="preserve">indica que cuando </w:t>
      </w:r>
      <w:r>
        <w:rPr>
          <w:rFonts w:ascii="Palatino Linotype" w:eastAsia="Calibri" w:hAnsi="Palatino Linotype" w:cs="Arial"/>
          <w:b/>
        </w:rPr>
        <w:t>EL SUJETO</w:t>
      </w:r>
      <w:r>
        <w:rPr>
          <w:rFonts w:ascii="Palatino Linotype" w:eastAsia="Calibri" w:hAnsi="Palatino Linotype" w:cs="Arial"/>
          <w:b/>
        </w:rPr>
        <w:t xml:space="preserve"> OBLIGADO</w:t>
      </w:r>
      <w:r>
        <w:rPr>
          <w:rFonts w:ascii="Palatino Linotype" w:eastAsia="Calibri" w:hAnsi="Palatino Linotype" w:cs="Arial"/>
        </w:rPr>
        <w:t xml:space="preserve"> sea incompetente para dar contestación a la solicitud de información deberá notificar a la particular y de ser el caso orientarlo con el Sujeto Obligado competente y que dicha incompetencia tiene que ser aprobada por el Comité de Transparencia de</w:t>
      </w:r>
      <w:r>
        <w:rPr>
          <w:rFonts w:ascii="Palatino Linotype" w:eastAsia="Calibri" w:hAnsi="Palatino Linotype" w:cs="Arial"/>
        </w:rPr>
        <w:t xml:space="preserve">l </w:t>
      </w:r>
      <w:r>
        <w:rPr>
          <w:rFonts w:ascii="Palatino Linotype" w:eastAsia="Calibri" w:hAnsi="Palatino Linotype" w:cs="Arial"/>
          <w:b/>
        </w:rPr>
        <w:t>SUJETO OBLIGADO,</w:t>
      </w:r>
      <w:r>
        <w:rPr>
          <w:rFonts w:ascii="Palatino Linotype" w:eastAsia="Calibri" w:hAnsi="Palatino Linotype" w:cs="Arial"/>
        </w:rPr>
        <w:t xml:space="preserve"> en términos del artículo 49, fracciones I y II de la Ley de Transparencia y Acceso a la Información Pública del Estado de México y Municipios, que literalmente señala:</w:t>
      </w:r>
    </w:p>
    <w:p w:rsidR="00FF005F" w:rsidRDefault="00410CE1">
      <w:pPr>
        <w:ind w:left="851" w:right="899"/>
        <w:jc w:val="both"/>
        <w:rPr>
          <w:rFonts w:ascii="Palatino Linotype" w:eastAsia="Calibri" w:hAnsi="Palatino Linotype" w:cs="Arial"/>
          <w:i/>
          <w:sz w:val="22"/>
        </w:rPr>
      </w:pPr>
      <w:r>
        <w:rPr>
          <w:rFonts w:ascii="Palatino Linotype" w:eastAsia="Calibri" w:hAnsi="Palatino Linotype" w:cs="Arial"/>
          <w:i/>
          <w:sz w:val="22"/>
        </w:rPr>
        <w:t>“</w:t>
      </w:r>
      <w:r>
        <w:rPr>
          <w:rFonts w:ascii="Palatino Linotype" w:eastAsia="Calibri" w:hAnsi="Palatino Linotype" w:cs="Arial"/>
          <w:b/>
          <w:i/>
          <w:sz w:val="22"/>
        </w:rPr>
        <w:t>Artículo 49</w:t>
      </w:r>
      <w:r>
        <w:rPr>
          <w:rFonts w:ascii="Palatino Linotype" w:eastAsia="Calibri" w:hAnsi="Palatino Linotype" w:cs="Arial"/>
          <w:i/>
          <w:sz w:val="22"/>
        </w:rPr>
        <w:t xml:space="preserve">. Los Comités de Transparencia tendrán las siguientes </w:t>
      </w:r>
      <w:r>
        <w:rPr>
          <w:rFonts w:ascii="Palatino Linotype" w:eastAsia="Calibri" w:hAnsi="Palatino Linotype" w:cs="Arial"/>
          <w:i/>
          <w:sz w:val="22"/>
        </w:rPr>
        <w:t>atribuciones:</w:t>
      </w:r>
    </w:p>
    <w:p w:rsidR="00FF005F" w:rsidRDefault="00410CE1">
      <w:pPr>
        <w:ind w:left="851" w:right="899"/>
        <w:jc w:val="both"/>
        <w:rPr>
          <w:rFonts w:ascii="Palatino Linotype" w:eastAsia="Calibri" w:hAnsi="Palatino Linotype" w:cs="Arial"/>
          <w:i/>
          <w:sz w:val="22"/>
        </w:rPr>
      </w:pPr>
      <w:r>
        <w:rPr>
          <w:rFonts w:ascii="Palatino Linotype" w:eastAsia="Calibri" w:hAnsi="Palatino Linotype" w:cs="Arial"/>
          <w:b/>
          <w:i/>
          <w:sz w:val="22"/>
        </w:rPr>
        <w:t>I</w:t>
      </w:r>
      <w:r>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w:t>
      </w:r>
      <w:r>
        <w:rPr>
          <w:rFonts w:ascii="Palatino Linotype" w:eastAsia="Calibri" w:hAnsi="Palatino Linotype" w:cs="Arial"/>
          <w:i/>
          <w:sz w:val="22"/>
        </w:rPr>
        <w:t>ción;</w:t>
      </w:r>
    </w:p>
    <w:p w:rsidR="00FF005F" w:rsidRDefault="00410CE1">
      <w:pPr>
        <w:ind w:left="851" w:right="899"/>
        <w:jc w:val="both"/>
        <w:rPr>
          <w:rFonts w:ascii="Palatino Linotype" w:eastAsia="Calibri" w:hAnsi="Palatino Linotype" w:cs="Arial"/>
          <w:i/>
          <w:sz w:val="22"/>
        </w:rPr>
      </w:pPr>
      <w:r>
        <w:rPr>
          <w:rFonts w:ascii="Palatino Linotype" w:eastAsia="Calibri" w:hAnsi="Palatino Linotype" w:cs="Arial"/>
          <w:b/>
          <w:i/>
          <w:sz w:val="22"/>
        </w:rPr>
        <w:t>II</w:t>
      </w:r>
      <w:r>
        <w:rPr>
          <w:rFonts w:ascii="Palatino Linotype" w:eastAsia="Calibri" w:hAnsi="Palatino Linotype" w:cs="Arial"/>
          <w:i/>
          <w:sz w:val="22"/>
        </w:rPr>
        <w:t xml:space="preserve">. </w:t>
      </w:r>
      <w:r>
        <w:rPr>
          <w:rFonts w:ascii="Palatino Linotype" w:eastAsia="Calibri" w:hAnsi="Palatino Linotype" w:cs="Arial"/>
          <w:b/>
          <w:i/>
          <w:sz w:val="22"/>
        </w:rPr>
        <w:t>Confirmar, modificar o revocar</w:t>
      </w:r>
      <w:r>
        <w:rPr>
          <w:rFonts w:ascii="Palatino Linotype" w:eastAsia="Calibri" w:hAnsi="Palatino Linotype" w:cs="Arial"/>
          <w:i/>
          <w:sz w:val="22"/>
        </w:rPr>
        <w:t xml:space="preserve"> las determinaciones que en materia de ampliación del plazo de respuesta, clasificación de la información y </w:t>
      </w:r>
      <w:r>
        <w:rPr>
          <w:rFonts w:ascii="Palatino Linotype" w:eastAsia="Calibri" w:hAnsi="Palatino Linotype" w:cs="Arial"/>
          <w:b/>
          <w:i/>
          <w:sz w:val="22"/>
        </w:rPr>
        <w:t>declaración</w:t>
      </w:r>
      <w:r>
        <w:rPr>
          <w:rFonts w:ascii="Palatino Linotype" w:eastAsia="Calibri" w:hAnsi="Palatino Linotype" w:cs="Arial"/>
          <w:i/>
          <w:sz w:val="22"/>
        </w:rPr>
        <w:t xml:space="preserve"> de inexistencia o </w:t>
      </w:r>
      <w:r>
        <w:rPr>
          <w:rFonts w:ascii="Palatino Linotype" w:eastAsia="Calibri" w:hAnsi="Palatino Linotype" w:cs="Arial"/>
          <w:b/>
          <w:i/>
          <w:sz w:val="22"/>
        </w:rPr>
        <w:t>de incompetencia</w:t>
      </w:r>
      <w:r>
        <w:rPr>
          <w:rFonts w:ascii="Palatino Linotype" w:eastAsia="Calibri" w:hAnsi="Palatino Linotype" w:cs="Arial"/>
          <w:i/>
          <w:sz w:val="22"/>
        </w:rPr>
        <w:t xml:space="preserve"> realicen los titulares de las áreas de los sujetos obligados…</w:t>
      </w:r>
      <w:r>
        <w:rPr>
          <w:rFonts w:ascii="Palatino Linotype" w:eastAsia="Calibri" w:hAnsi="Palatino Linotype" w:cs="Arial"/>
          <w:i/>
          <w:sz w:val="22"/>
        </w:rPr>
        <w:t>”</w:t>
      </w:r>
    </w:p>
    <w:p w:rsidR="00FF005F" w:rsidRDefault="00410CE1">
      <w:pPr>
        <w:ind w:left="851" w:right="899"/>
        <w:jc w:val="both"/>
        <w:rPr>
          <w:rFonts w:ascii="Palatino Linotype" w:eastAsia="Calibri" w:hAnsi="Palatino Linotype" w:cs="Arial"/>
          <w:sz w:val="22"/>
        </w:rPr>
      </w:pPr>
      <w:r>
        <w:rPr>
          <w:rFonts w:ascii="Palatino Linotype" w:eastAsia="Calibri" w:hAnsi="Palatino Linotype" w:cs="Arial"/>
          <w:sz w:val="22"/>
        </w:rPr>
        <w:t>(Énfasis añadido)</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cs="Arial"/>
        </w:rPr>
        <w:t xml:space="preserve">Bajo esa tesitura, esta Ponencia Resolutora se dio a la tarea de analizar el marco normativo que rige el actuar del </w:t>
      </w:r>
      <w:r>
        <w:rPr>
          <w:rFonts w:ascii="Palatino Linotype" w:hAnsi="Palatino Linotype" w:cs="Arial"/>
          <w:b/>
        </w:rPr>
        <w:t>SUJETO OBLIGADO</w:t>
      </w:r>
      <w:r>
        <w:rPr>
          <w:rFonts w:ascii="Palatino Linotype" w:hAnsi="Palatino Linotype" w:cs="Arial"/>
        </w:rPr>
        <w:t xml:space="preserve">; así como, el del Instituto </w:t>
      </w:r>
      <w:r>
        <w:rPr>
          <w:rFonts w:ascii="Palatino Linotype" w:eastAsia="Calibri" w:hAnsi="Palatino Linotype" w:cs="Arial"/>
        </w:rPr>
        <w:t xml:space="preserve">Estatal de Energía y Cambio Climático y advirtió que asiste razón al </w:t>
      </w:r>
      <w:r>
        <w:rPr>
          <w:rFonts w:ascii="Palatino Linotype" w:eastAsia="Calibri" w:hAnsi="Palatino Linotype" w:cs="Arial"/>
          <w:b/>
        </w:rPr>
        <w:t xml:space="preserve">SUJETO </w:t>
      </w:r>
      <w:r>
        <w:rPr>
          <w:rFonts w:ascii="Palatino Linotype" w:eastAsia="Calibri" w:hAnsi="Palatino Linotype" w:cs="Arial"/>
          <w:b/>
        </w:rPr>
        <w:t>OBLIGADO</w:t>
      </w:r>
      <w:r>
        <w:rPr>
          <w:rFonts w:ascii="Palatino Linotype" w:eastAsia="Calibri" w:hAnsi="Palatino Linotype" w:cs="Arial"/>
        </w:rPr>
        <w:t xml:space="preserve"> respecto de que es el Instituto de referencia quien pudiese contar con la documentación que satisfaga los requerimientos de información.</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cs="Arial"/>
        </w:rPr>
        <w:t>Lo anterior es así, puesto que de conformidad con el artículo 1 de la Ley de Cambio Climático del Estado de Mé</w:t>
      </w:r>
      <w:r>
        <w:rPr>
          <w:rFonts w:ascii="Palatino Linotype" w:hAnsi="Palatino Linotype" w:cs="Arial"/>
        </w:rPr>
        <w:t>xico, ésta tiene por objeto establecer las disposiciones para lograr la adaptación al cambio climático; así como, la mitigación de las emisiones de gases de efecto invernadero y será aplicada de conformidad con la Ley General de Cambio Climático.</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cs="Arial"/>
        </w:rPr>
        <w:lastRenderedPageBreak/>
        <w:t>En esa vi</w:t>
      </w:r>
      <w:r>
        <w:rPr>
          <w:rFonts w:ascii="Palatino Linotype" w:hAnsi="Palatino Linotype" w:cs="Arial"/>
        </w:rPr>
        <w:t xml:space="preserve">rtud, el artículo 10 de la legislación en cita establece que el Instituto Estatal de Energía y Cambio Climático es un </w:t>
      </w:r>
      <w:r>
        <w:rPr>
          <w:rFonts w:ascii="Palatino Linotype" w:hAnsi="Palatino Linotype" w:cs="Arial"/>
          <w:b/>
        </w:rPr>
        <w:t>organismo público descentralizado, con personalidad jurídica y patrimonio propios</w:t>
      </w:r>
      <w:r>
        <w:rPr>
          <w:rFonts w:ascii="Palatino Linotype" w:hAnsi="Palatino Linotype" w:cs="Arial"/>
        </w:rPr>
        <w:t>, sectorizado a la Secretaría del Medio Ambiente, que tie</w:t>
      </w:r>
      <w:r>
        <w:rPr>
          <w:rFonts w:ascii="Palatino Linotype" w:hAnsi="Palatino Linotype" w:cs="Arial"/>
        </w:rPr>
        <w:t>ne por objeto promover el fortalecimiento de capacidades institucionales y sectoriales para enfrentar al cambio climático, mediante el desarrollo de investigación científica y tecnológica en materia de cambio climático, eficiencia energética y energías ren</w:t>
      </w:r>
      <w:r>
        <w:rPr>
          <w:rFonts w:ascii="Palatino Linotype" w:hAnsi="Palatino Linotype" w:cs="Arial"/>
        </w:rPr>
        <w:t xml:space="preserve">ovables, en el ámbito de competencia estatal, destacando las siguientes atribuciones: </w:t>
      </w:r>
    </w:p>
    <w:p w:rsidR="00FF005F" w:rsidRDefault="00410CE1">
      <w:pPr>
        <w:pStyle w:val="Prrafodelista"/>
        <w:numPr>
          <w:ilvl w:val="0"/>
          <w:numId w:val="4"/>
        </w:numPr>
        <w:spacing w:beforeAutospacing="1" w:line="360" w:lineRule="auto"/>
        <w:jc w:val="both"/>
        <w:rPr>
          <w:rFonts w:ascii="Palatino Linotype" w:hAnsi="Palatino Linotype" w:cs="Arial"/>
        </w:rPr>
      </w:pPr>
      <w:r>
        <w:rPr>
          <w:rFonts w:ascii="Palatino Linotype" w:hAnsi="Palatino Linotype" w:cs="Arial"/>
        </w:rPr>
        <w:t xml:space="preserve">Realizar por sí mismo o por conducto de terceros, </w:t>
      </w:r>
      <w:r>
        <w:rPr>
          <w:rFonts w:ascii="Palatino Linotype" w:hAnsi="Palatino Linotype" w:cs="Arial"/>
          <w:b/>
        </w:rPr>
        <w:t>estudios y proyectos de investigación científica o tecnológica con instituciones académicas, de investigación, públicas</w:t>
      </w:r>
      <w:r>
        <w:rPr>
          <w:rFonts w:ascii="Palatino Linotype" w:hAnsi="Palatino Linotype" w:cs="Arial"/>
          <w:b/>
        </w:rPr>
        <w:t xml:space="preserve"> o privadas, nacionales o extranjeras en materia de cambio climático, eficiencia energética y energías renovables</w:t>
      </w:r>
      <w:r>
        <w:rPr>
          <w:rFonts w:ascii="Palatino Linotype" w:hAnsi="Palatino Linotype" w:cs="Arial"/>
        </w:rPr>
        <w:t xml:space="preserve">;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Presentar anualmente al Comité Mixto del Fondo, la </w:t>
      </w:r>
      <w:r>
        <w:rPr>
          <w:rFonts w:ascii="Palatino Linotype" w:hAnsi="Palatino Linotype" w:cs="Arial"/>
          <w:b/>
        </w:rPr>
        <w:t xml:space="preserve">relación de estudios y proyectos de investigación científica o tecnológica en materia de </w:t>
      </w:r>
      <w:r>
        <w:rPr>
          <w:rFonts w:ascii="Palatino Linotype" w:hAnsi="Palatino Linotype" w:cs="Arial"/>
          <w:b/>
        </w:rPr>
        <w:t>cambio climático, eficiencia energética y energías renovables</w:t>
      </w:r>
      <w:r>
        <w:rPr>
          <w:rFonts w:ascii="Palatino Linotype" w:hAnsi="Palatino Linotype" w:cs="Arial"/>
        </w:rPr>
        <w:t xml:space="preserve">, que requiera para el cumplimiento de sus funciones;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Prestar apoyo científico y técnico a la Secretaría para el diseño y evaluación de la política estatal en materia de cambio climático;</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b/>
        </w:rPr>
        <w:t>Promov</w:t>
      </w:r>
      <w:r>
        <w:rPr>
          <w:rFonts w:ascii="Palatino Linotype" w:hAnsi="Palatino Linotype" w:cs="Arial"/>
          <w:b/>
        </w:rPr>
        <w:t>er y difundir criterios, metodologías y tecnologías en materia de cambio climático, eficiencia energética y energías renovables</w:t>
      </w:r>
      <w:r>
        <w:rPr>
          <w:rFonts w:ascii="Palatino Linotype" w:hAnsi="Palatino Linotype" w:cs="Arial"/>
        </w:rPr>
        <w:t xml:space="preserve">;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Impulsar la formación de recursos humanos calificados, a fin de atender la problemática estatal respecto al cambio climático, </w:t>
      </w:r>
      <w:r>
        <w:rPr>
          <w:rFonts w:ascii="Palatino Linotype" w:hAnsi="Palatino Linotype" w:cs="Arial"/>
        </w:rPr>
        <w:t xml:space="preserve">la eficiencia energética y </w:t>
      </w:r>
      <w:r>
        <w:rPr>
          <w:rFonts w:ascii="Palatino Linotype" w:hAnsi="Palatino Linotype" w:cs="Arial"/>
        </w:rPr>
        <w:lastRenderedPageBreak/>
        <w:t xml:space="preserve">las energías renovables, en coordinación con el Consejo Mexiquense de Ciencia y Tecnología;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Suscribir convenios de coordinación y de concertación con instituciones académicas, de investigación, públicas o privadas, nacionales o </w:t>
      </w:r>
      <w:r>
        <w:rPr>
          <w:rFonts w:ascii="Palatino Linotype" w:hAnsi="Palatino Linotype" w:cs="Arial"/>
        </w:rPr>
        <w:t>extranjeras, para la ejecución de acciones y proyectos para el fortalecimiento de capacidades de las dependencias y entidades de la Administración Pública Estatal y de los Ayuntamientos, en materia de cambio climático, eficiencia energética y energías reno</w:t>
      </w:r>
      <w:r>
        <w:rPr>
          <w:rFonts w:ascii="Palatino Linotype" w:hAnsi="Palatino Linotype" w:cs="Arial"/>
        </w:rPr>
        <w:t xml:space="preserve">vables;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Realizar por sí mismo o por conducto de terceros, evaluaciones periódicas de las capacidades de las dependencias y entidades de la Administración Pública Estatal y de los Ayuntamientos, en materia de cambio climático, eficiencia energética y energ</w:t>
      </w:r>
      <w:r>
        <w:rPr>
          <w:rFonts w:ascii="Palatino Linotype" w:hAnsi="Palatino Linotype" w:cs="Arial"/>
        </w:rPr>
        <w:t xml:space="preserve">ías renovables;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Integrar el Subsistema de Información, y presentarlo a la Secretaría para su incorporación al Sistema Estatal de Información Pública Ambiental;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Coordinar el Sistema Preventivo, con la participación de la Secretaría de Desarrollo Agropecua</w:t>
      </w:r>
      <w:r>
        <w:rPr>
          <w:rFonts w:ascii="Palatino Linotype" w:hAnsi="Palatino Linotype" w:cs="Arial"/>
        </w:rPr>
        <w:t xml:space="preserve">rio;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Apoyar a la Secretaría de Educación en el diseño de acciones para difundir la importancia de la adaptación al cambio climático, la mitigación de las emisiones de gases de efecto invernadero, así como en la elaboración de propuestas de contenidos sobre los </w:t>
      </w:r>
      <w:r>
        <w:rPr>
          <w:rFonts w:ascii="Palatino Linotype" w:hAnsi="Palatino Linotype" w:cs="Arial"/>
        </w:rPr>
        <w:t xml:space="preserve">efectos adversos del cambio climático en el Estado de México, que hayan de incluirse en los programas de los distintos niveles educativos;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Apoyar a los Ayuntamientos en la realización de campañas de educación e información sobre los efectos adversos del c</w:t>
      </w:r>
      <w:r>
        <w:rPr>
          <w:rFonts w:ascii="Palatino Linotype" w:hAnsi="Palatino Linotype" w:cs="Arial"/>
        </w:rPr>
        <w:t xml:space="preserve">ambio climático; así como, en el </w:t>
      </w:r>
      <w:r>
        <w:rPr>
          <w:rFonts w:ascii="Palatino Linotype" w:hAnsi="Palatino Linotype" w:cs="Arial"/>
        </w:rPr>
        <w:lastRenderedPageBreak/>
        <w:t xml:space="preserve">desarrollo de investigación científica y tecnológica relacionados con el cambio climático, la eficiencia energética y las energías renovables;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b/>
        </w:rPr>
        <w:t>Promover el desarrollo de mecanismos que difundan el conocimiento y la tecnolog</w:t>
      </w:r>
      <w:r>
        <w:rPr>
          <w:rFonts w:ascii="Palatino Linotype" w:hAnsi="Palatino Linotype" w:cs="Arial"/>
          <w:b/>
        </w:rPr>
        <w:t>ía relacionados con el cambio climático, la eficiencia energética y las energías renovables</w:t>
      </w:r>
      <w:r>
        <w:rPr>
          <w:rFonts w:ascii="Palatino Linotype" w:hAnsi="Palatino Linotype" w:cs="Arial"/>
        </w:rPr>
        <w:t xml:space="preserve">;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Proponer al Gobierno del Estado la definición de prioridades, asignación y optimización de recursos para la investigación sobre cambio climático, eficiencia energ</w:t>
      </w:r>
      <w:r>
        <w:rPr>
          <w:rFonts w:ascii="Palatino Linotype" w:hAnsi="Palatino Linotype" w:cs="Arial"/>
        </w:rPr>
        <w:t xml:space="preserve">ética y energías renovables;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b/>
        </w:rPr>
        <w:t>Emitir opiniones respecto de las consultas que en materia de cambio climático, eficiencia energética y energías renovables, le formulen otras dependencias y entidades de la Administración Pública Estatal; así como, los Ayuntam</w:t>
      </w:r>
      <w:r>
        <w:rPr>
          <w:rFonts w:ascii="Palatino Linotype" w:hAnsi="Palatino Linotype" w:cs="Arial"/>
          <w:b/>
        </w:rPr>
        <w:t>ientos</w:t>
      </w:r>
      <w:r>
        <w:rPr>
          <w:rFonts w:ascii="Palatino Linotype" w:hAnsi="Palatino Linotype" w:cs="Arial"/>
        </w:rPr>
        <w:t xml:space="preserve">;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b/>
        </w:rPr>
        <w:t>Elaborar y publicar un reporte anual sobre los resultados de las medidas de ahorro y eficiencia energética adoptadas en instalaciones y áreas administrativas de las dependencias y entidades de la Administración Pública Estatal; así como, de los Ay</w:t>
      </w:r>
      <w:r>
        <w:rPr>
          <w:rFonts w:ascii="Palatino Linotype" w:hAnsi="Palatino Linotype" w:cs="Arial"/>
          <w:b/>
        </w:rPr>
        <w:t>untamientos</w:t>
      </w:r>
      <w:r>
        <w:rPr>
          <w:rFonts w:ascii="Palatino Linotype" w:hAnsi="Palatino Linotype" w:cs="Arial"/>
        </w:rPr>
        <w:t>, y apoyar a estos últimos en la elaboración de sus reportes;</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 xml:space="preserve">Fungir como Secretario Técnico del Comité Mixto del Fondo y del Consejo; </w:t>
      </w:r>
    </w:p>
    <w:p w:rsidR="00FF005F" w:rsidRDefault="00410CE1">
      <w:pPr>
        <w:pStyle w:val="Prrafodelista"/>
        <w:numPr>
          <w:ilvl w:val="0"/>
          <w:numId w:val="4"/>
        </w:numPr>
        <w:spacing w:line="360" w:lineRule="auto"/>
        <w:jc w:val="both"/>
        <w:rPr>
          <w:rFonts w:ascii="Palatino Linotype" w:hAnsi="Palatino Linotype" w:cs="Arial"/>
        </w:rPr>
      </w:pPr>
      <w:r>
        <w:rPr>
          <w:rFonts w:ascii="Palatino Linotype" w:hAnsi="Palatino Linotype" w:cs="Arial"/>
        </w:rPr>
        <w:t>Elaborar y difundir entre las dependencias y entidades de la Administración Pública Estatal y los Ayuntamient</w:t>
      </w:r>
      <w:r>
        <w:rPr>
          <w:rFonts w:ascii="Palatino Linotype" w:hAnsi="Palatino Linotype" w:cs="Arial"/>
        </w:rPr>
        <w:t xml:space="preserve">os un catálogo de tecnologías limpias, amigables con el medio ambiente que puedan ayudar a mitigar los efectos del cambio climático; y, </w:t>
      </w:r>
    </w:p>
    <w:p w:rsidR="00FF005F" w:rsidRDefault="00410CE1">
      <w:pPr>
        <w:pStyle w:val="Prrafodelista"/>
        <w:numPr>
          <w:ilvl w:val="0"/>
          <w:numId w:val="4"/>
        </w:numPr>
        <w:spacing w:afterAutospacing="1" w:line="360" w:lineRule="auto"/>
        <w:jc w:val="both"/>
        <w:rPr>
          <w:rFonts w:ascii="Palatino Linotype" w:hAnsi="Palatino Linotype" w:cs="Arial"/>
        </w:rPr>
      </w:pPr>
      <w:r>
        <w:rPr>
          <w:rFonts w:ascii="Palatino Linotype" w:hAnsi="Palatino Linotype" w:cs="Arial"/>
        </w:rPr>
        <w:t>Las demás que determinen otros ordenamientos legales aplicables.</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rPr>
        <w:lastRenderedPageBreak/>
        <w:t xml:space="preserve">En mérito de lo expuesto es claro que asiste razón al </w:t>
      </w:r>
      <w:r>
        <w:rPr>
          <w:rFonts w:ascii="Palatino Linotype" w:eastAsia="Calibri" w:hAnsi="Palatino Linotype" w:cs="Arial"/>
          <w:b/>
        </w:rPr>
        <w:t>EL SUJETO OBLIGADO</w:t>
      </w:r>
      <w:r>
        <w:rPr>
          <w:rFonts w:ascii="Palatino Linotype" w:eastAsia="Calibri" w:hAnsi="Palatino Linotype" w:cs="Arial"/>
        </w:rPr>
        <w:t xml:space="preserve"> respecto de que no tiene competencia para administrar, generar o poseer la información solicitada por </w:t>
      </w:r>
      <w:r>
        <w:rPr>
          <w:rFonts w:ascii="Palatino Linotype" w:eastAsia="Calibri" w:hAnsi="Palatino Linotype" w:cs="Arial"/>
          <w:b/>
        </w:rPr>
        <w:t xml:space="preserve">EL RECURRENTE </w:t>
      </w:r>
      <w:r>
        <w:rPr>
          <w:rFonts w:ascii="Palatino Linotype" w:eastAsia="Calibri" w:hAnsi="Palatino Linotype" w:cs="Arial"/>
        </w:rPr>
        <w:t>en el presente asunto, en virtud de ser atribución del Instituto Estatal de Cambio Climático del Estado de México, como s</w:t>
      </w:r>
      <w:r>
        <w:rPr>
          <w:rFonts w:ascii="Palatino Linotype" w:eastAsia="Calibri" w:hAnsi="Palatino Linotype" w:cs="Arial"/>
        </w:rPr>
        <w:t xml:space="preserve">e vio anteriormente; incompetencia que fue confirmada por el Comité de Transparencia del </w:t>
      </w:r>
      <w:r>
        <w:rPr>
          <w:rFonts w:ascii="Palatino Linotype" w:eastAsia="Calibri" w:hAnsi="Palatino Linotype" w:cs="Arial"/>
          <w:b/>
        </w:rPr>
        <w:t xml:space="preserve">SUJETO OBLIGADO, </w:t>
      </w:r>
      <w:r>
        <w:rPr>
          <w:rFonts w:ascii="Palatino Linotype" w:hAnsi="Palatino Linotype" w:cs="Arial"/>
        </w:rPr>
        <w:t xml:space="preserve">mediante la entrega del Acta de la Octava Sesión Extraordinaria del Comité de Transparencia número </w:t>
      </w:r>
      <w:r>
        <w:rPr>
          <w:rFonts w:ascii="Palatino Linotype" w:hAnsi="Palatino Linotype" w:cs="Arial"/>
          <w:b/>
        </w:rPr>
        <w:t>CT-SMA/08-E/2020</w:t>
      </w:r>
      <w:r>
        <w:rPr>
          <w:rFonts w:ascii="Palatino Linotype" w:hAnsi="Palatino Linotype" w:cs="Arial"/>
        </w:rPr>
        <w:t xml:space="preserve">, de fecha 6 de marzo de 2020. Por </w:t>
      </w:r>
      <w:r>
        <w:rPr>
          <w:rFonts w:ascii="Palatino Linotype" w:hAnsi="Palatino Linotype" w:cs="Arial"/>
        </w:rPr>
        <w:t>ello, este Instituto estima que la respuesta recaía a la solicitud de origen, se encuentra debidamente fundada y motivada.</w:t>
      </w:r>
    </w:p>
    <w:p w:rsidR="00FF005F" w:rsidRDefault="00410CE1">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 xml:space="preserve">Respecto a la fundamentación y motivación es de señalar que el máximo tribunal del país ha establecido jurisprudencia respecto a qué </w:t>
      </w:r>
      <w:r>
        <w:rPr>
          <w:rFonts w:ascii="Palatino Linotype" w:hAnsi="Palatino Linotype" w:cs="Arial"/>
        </w:rPr>
        <w:t>debe entenderse por fundamentación y motivación, en los siguientes términos:</w:t>
      </w:r>
    </w:p>
    <w:p w:rsidR="00FF005F" w:rsidRDefault="00410CE1">
      <w:pPr>
        <w:widowControl w:val="0"/>
        <w:tabs>
          <w:tab w:val="left" w:pos="1276"/>
        </w:tabs>
        <w:spacing w:before="240" w:afterAutospacing="1"/>
        <w:ind w:left="851" w:right="899"/>
        <w:jc w:val="both"/>
        <w:rPr>
          <w:rFonts w:ascii="Palatino Linotype" w:hAnsi="Palatino Linotype" w:cs="Arial"/>
          <w:i/>
          <w:sz w:val="22"/>
        </w:rPr>
      </w:pPr>
      <w:r>
        <w:rPr>
          <w:rFonts w:ascii="Palatino Linotype" w:hAnsi="Palatino Linotype" w:cs="Arial"/>
          <w:b/>
          <w:i/>
          <w:sz w:val="22"/>
        </w:rPr>
        <w:t>“FUNDAMENTACIÓN Y MOTIVACIÓN.</w:t>
      </w:r>
      <w:r>
        <w:rPr>
          <w:rFonts w:ascii="Palatino Linotype" w:hAnsi="Palatino Linotype" w:cs="Arial"/>
          <w:i/>
          <w:sz w:val="22"/>
        </w:rPr>
        <w:t xml:space="preserve"> La debida fundamentación y motivación legal, deben entenderse, por lo primero, la cita del precepto legal aplicable al caso, y por lo segundo, las ra</w:t>
      </w:r>
      <w:r>
        <w:rPr>
          <w:rFonts w:ascii="Palatino Linotype" w:hAnsi="Palatino Linotype" w:cs="Arial"/>
          <w:i/>
          <w:sz w:val="22"/>
        </w:rPr>
        <w:t>zones, motivos o circunstancias especiales que llevaron a la autoridad a concluir que el caso particular encuadra en el supuesto previsto por la norma legal invocada como fundamento…” (Sic)</w:t>
      </w:r>
    </w:p>
    <w:p w:rsidR="00FF005F" w:rsidRDefault="00410CE1">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De tal manera que, en un acto de autoridad se surte la debida fund</w:t>
      </w:r>
      <w:r>
        <w:rPr>
          <w:rFonts w:ascii="Palatino Linotype" w:hAnsi="Palatino Linotype" w:cs="Arial"/>
        </w:rPr>
        <w:t>amentación cuando se cita el precepto legal aplicable al caso concreto y la debida motivación cuando se expresan las razones, motivos o circunstancias que tomó en cuenta la autoridad para adecuar el hecho a los fundamentos de derecho, sirviendo de sustento</w:t>
      </w:r>
      <w:r>
        <w:rPr>
          <w:rFonts w:ascii="Palatino Linotype" w:hAnsi="Palatino Linotype" w:cs="Arial"/>
        </w:rPr>
        <w:t xml:space="preserve"> la diversa jurisprudencia dictada por el Poder Judicial de la Federación que sostiene que la finalidad de la fundamentación o motivación es la de explicar, justificar, posibilitar la defensa y comunicar la decisión de la autoridad:</w:t>
      </w:r>
    </w:p>
    <w:p w:rsidR="00FF005F" w:rsidRDefault="00410CE1">
      <w:pPr>
        <w:widowControl w:val="0"/>
        <w:tabs>
          <w:tab w:val="left" w:pos="1276"/>
        </w:tabs>
        <w:spacing w:before="240" w:afterAutospacing="1"/>
        <w:ind w:left="851" w:right="899"/>
        <w:jc w:val="both"/>
        <w:rPr>
          <w:rFonts w:ascii="Palatino Linotype" w:hAnsi="Palatino Linotype" w:cs="Arial"/>
          <w:i/>
          <w:sz w:val="22"/>
        </w:rPr>
      </w:pPr>
      <w:r>
        <w:rPr>
          <w:rFonts w:ascii="Palatino Linotype" w:hAnsi="Palatino Linotype" w:cs="Arial"/>
          <w:i/>
          <w:sz w:val="22"/>
        </w:rPr>
        <w:lastRenderedPageBreak/>
        <w:t>“</w:t>
      </w:r>
      <w:r>
        <w:rPr>
          <w:rFonts w:ascii="Palatino Linotype" w:hAnsi="Palatino Linotype" w:cs="Arial"/>
          <w:b/>
          <w:i/>
          <w:sz w:val="22"/>
        </w:rPr>
        <w:t>FUNDAMENTACIÓN Y MOTIV</w:t>
      </w:r>
      <w:r>
        <w:rPr>
          <w:rFonts w:ascii="Palatino Linotype" w:hAnsi="Palatino Linotype" w:cs="Arial"/>
          <w:b/>
          <w:i/>
          <w:sz w:val="22"/>
        </w:rPr>
        <w:t>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fundamentaci</w:t>
      </w:r>
      <w:r>
        <w:rPr>
          <w:rFonts w:ascii="Palatino Linotype" w:hAnsi="Palatino Linotype" w:cs="Arial"/>
          <w:i/>
          <w:sz w:val="22"/>
        </w:rPr>
        <w:t>ón y motivación tiene como propósito primordial y ratio que el justiciable conozca el "para qué" de la conducta de la autoridad, lo que se traduce en darle a conocer en detalle y de manera completa la esencia de todas las circunstancias y condiciones que d</w:t>
      </w:r>
      <w:r>
        <w:rPr>
          <w:rFonts w:ascii="Palatino Linotype" w:hAnsi="Palatino Linotype" w:cs="Arial"/>
          <w:i/>
          <w:sz w:val="22"/>
        </w:rPr>
        <w:t>eterminaron el acto de voluntad, de manera que sea evidente y muy claro para el afectado poder cuestionar y controvertir el mérito de la decisión, permitiéndole una real y auténtica defensa. Por tanto, no basta que el acto de autoridad apenas observe una m</w:t>
      </w:r>
      <w:r>
        <w:rPr>
          <w:rFonts w:ascii="Palatino Linotype" w:hAnsi="Palatino Linotype" w:cs="Arial"/>
          <w:i/>
          <w:sz w:val="22"/>
        </w:rPr>
        <w:t>otivación pro forma pero de una manera incongruente, insuficiente o imprecisa, que impida la finalidad del conocimiento, comprobación y defensa pertinente, ni es válido exigirle una amplitud o abundancia superflua, pues es suficiente la expresión de lo est</w:t>
      </w:r>
      <w:r>
        <w:rPr>
          <w:rFonts w:ascii="Palatino Linotype" w:hAnsi="Palatino Linotype" w:cs="Arial"/>
          <w:i/>
          <w:sz w:val="22"/>
        </w:rPr>
        <w:t>rictamente necesario para explicar, justificar y posibilitar la defensa, así como para comunicar la decisión a efecto de que se considere debidamente fundado y motivado, exponiendo los hechos relevantes para decidir, citando la norma habilitante y un argum</w:t>
      </w:r>
      <w:r>
        <w:rPr>
          <w:rFonts w:ascii="Palatino Linotype" w:hAnsi="Palatino Linotype" w:cs="Arial"/>
          <w:i/>
          <w:sz w:val="22"/>
        </w:rPr>
        <w:t>ento mínimo pero suficiente para acreditar el razonamiento del que se deduzca la relación de pertenencia lógica de los hechos al derecho invocado, que es la subsunción.”(Sic)</w:t>
      </w:r>
    </w:p>
    <w:p w:rsidR="00FF005F" w:rsidRDefault="00410CE1">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Por lo cual, la fundamentación y motivación implica que, en el acto de autoridad,</w:t>
      </w:r>
      <w:r>
        <w:rPr>
          <w:rFonts w:ascii="Palatino Linotype" w:hAnsi="Palatino Linotype" w:cs="Arial"/>
        </w:rPr>
        <w:t xml:space="preserve"> además de contenerse los supuestos jurídicos aplicables, debe de explicarse claramente por qué a través de la utilización de la norma se emitió el acto. De este modo, la persona que se siente afectada pueda impugnar la decisión, permitiéndole una real y a</w:t>
      </w:r>
      <w:r>
        <w:rPr>
          <w:rFonts w:ascii="Palatino Linotype" w:hAnsi="Palatino Linotype" w:cs="Arial"/>
        </w:rPr>
        <w:t>uténtica defensa.</w:t>
      </w:r>
    </w:p>
    <w:p w:rsidR="00FF005F" w:rsidRDefault="00410CE1">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 xml:space="preserve">Asimismo, debe señalarse que este Órgano Garante del Derecho de Acceso a la Información pudo constatar que </w:t>
      </w:r>
      <w:r>
        <w:rPr>
          <w:rFonts w:ascii="Palatino Linotype" w:hAnsi="Palatino Linotype" w:cs="Arial"/>
          <w:b/>
        </w:rPr>
        <w:t>EL SUJETO OBLIGADO</w:t>
      </w:r>
      <w:r>
        <w:rPr>
          <w:rFonts w:ascii="Palatino Linotype" w:hAnsi="Palatino Linotype" w:cs="Arial"/>
        </w:rPr>
        <w:t xml:space="preserve"> cumplió con los procedimientos contenidos en la Ley de Transparencia y Acceso a la Información Pública del Estad</w:t>
      </w:r>
      <w:r>
        <w:rPr>
          <w:rFonts w:ascii="Palatino Linotype" w:hAnsi="Palatino Linotype" w:cs="Arial"/>
        </w:rPr>
        <w:t>o de México y Municipios, a fin de hacer notar la notoria incompetencia, respecto a la atención de la solicitud de origen.</w:t>
      </w:r>
    </w:p>
    <w:p w:rsidR="00FF005F" w:rsidRDefault="00410CE1">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lastRenderedPageBreak/>
        <w:t xml:space="preserve">Aunado a lo anterior, este Instituto no omite comentar que, de conformidad con el </w:t>
      </w:r>
      <w:r>
        <w:rPr>
          <w:rFonts w:ascii="Palatino Linotype" w:hAnsi="Palatino Linotype"/>
          <w:i/>
        </w:rPr>
        <w:t xml:space="preserve">ACUERDO MEDIANTE EL CUAL EL PLENO DEL INSTITUTO DE </w:t>
      </w:r>
      <w:r>
        <w:rPr>
          <w:rFonts w:ascii="Palatino Linotype" w:hAnsi="Palatino Linotype"/>
          <w:i/>
        </w:rPr>
        <w:t>TRANSPARENCIA, ACCESO A LA INFORMACIÓN PÚBLICA Y PROTECCIÓN DE DATOS PERSONALES DEL ESTADO DE MÉXICO Y MUNICIPIOS, APRUEBA EL PADRÓN DE SUJETOS OBLIGADOS EN MATERIA DE TRANSPARENCIA Y ACCESO A LA INFORMACIÓN PÚBLICA DEL ESTADO DE MÉXICO Y MUNICIPIOS</w:t>
      </w:r>
      <w:r>
        <w:rPr>
          <w:rFonts w:ascii="Palatino Linotype" w:hAnsi="Palatino Linotype" w:cs="Arial"/>
        </w:rPr>
        <w:t>, de fe</w:t>
      </w:r>
      <w:r>
        <w:rPr>
          <w:rFonts w:ascii="Palatino Linotype" w:hAnsi="Palatino Linotype" w:cs="Arial"/>
        </w:rPr>
        <w:t>cha 1 de febrero de 2017, el Instituto Estatal de Cambio Climático del Estado de México es considerado un Sujeto Obligado que debe cumplir con la Ley General, la Ley de Transparencia y Acceso a la Información Pública del Estado de México y Municipios y dem</w:t>
      </w:r>
      <w:r>
        <w:rPr>
          <w:rFonts w:ascii="Palatino Linotype" w:hAnsi="Palatino Linotype" w:cs="Arial"/>
        </w:rPr>
        <w:t>ás ordenamientos jurídicos de la materia emitidos por el Sistema Nacional de Transparencia, Acceso a la Información Pública y Protección de Datos Personales y por el propio Instituto de Transparencia, Acceso a la Información Pública y Protección de Datos P</w:t>
      </w:r>
      <w:r>
        <w:rPr>
          <w:rFonts w:ascii="Palatino Linotype" w:hAnsi="Palatino Linotype" w:cs="Arial"/>
        </w:rPr>
        <w:t xml:space="preserve">ersonales del Estado de México y Municipios. Sirve de apoyo a lo anterior la siguiente imagen ilustrativa: </w:t>
      </w:r>
    </w:p>
    <w:p w:rsidR="00FF005F" w:rsidRDefault="00410CE1">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36" behindDoc="0" locked="0" layoutInCell="1" allowOverlap="1" wp14:anchorId="14249051">
                <wp:simplePos x="0" y="0"/>
                <wp:positionH relativeFrom="column">
                  <wp:posOffset>2713355</wp:posOffset>
                </wp:positionH>
                <wp:positionV relativeFrom="paragraph">
                  <wp:posOffset>6076950</wp:posOffset>
                </wp:positionV>
                <wp:extent cx="5369560" cy="3504565"/>
                <wp:effectExtent l="38100" t="19050" r="64135" b="79375"/>
                <wp:wrapNone/>
                <wp:docPr id="9" name="Conector recto 13"/>
                <wp:cNvGraphicFramePr/>
                <a:graphic xmlns:a="http://schemas.openxmlformats.org/drawingml/2006/main">
                  <a:graphicData uri="http://schemas.microsoft.com/office/word/2010/wordprocessingShape">
                    <wps:wsp>
                      <wps:cNvCnPr/>
                      <wps:spPr>
                        <a:xfrm>
                          <a:off x="0" y="0"/>
                          <a:ext cx="5368320" cy="350388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172.65pt,385.4pt" to="595.3pt,661.25pt" ID="Conector recto 13" stroked="t" style="position:absolute" wp14:anchorId="14249051">
                <v:stroke color="#4f81bd" weight="25560" joinstyle="round" endcap="flat"/>
                <v:fill o:detectmouseclick="t" on="false"/>
                <v:shadow on="t" obscured="f" color="black"/>
              </v:line>
            </w:pict>
          </mc:Fallback>
        </mc:AlternateContent>
      </w:r>
    </w:p>
    <w:p w:rsidR="00FF005F" w:rsidRDefault="00410CE1">
      <w:pPr>
        <w:widowControl w:val="0"/>
        <w:tabs>
          <w:tab w:val="left" w:pos="1276"/>
        </w:tabs>
        <w:spacing w:before="240" w:afterAutospacing="1" w:line="360" w:lineRule="auto"/>
        <w:jc w:val="both"/>
        <w:rPr>
          <w:rFonts w:ascii="Palatino Linotype" w:eastAsia="Calibri" w:hAnsi="Palatino Linotype" w:cs="Arial"/>
        </w:rPr>
      </w:pPr>
      <w:r>
        <w:rPr>
          <w:noProof/>
          <w:lang w:eastAsia="es-MX"/>
        </w:rPr>
        <w:lastRenderedPageBreak/>
        <w:drawing>
          <wp:inline distT="0" distB="0" distL="0" distR="0">
            <wp:extent cx="5709920" cy="7056120"/>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15"/>
                    <a:srcRect l="34406" t="20123" r="35809" b="11240"/>
                    <a:stretch>
                      <a:fillRect/>
                    </a:stretch>
                  </pic:blipFill>
                  <pic:spPr bwMode="auto">
                    <a:xfrm>
                      <a:off x="0" y="0"/>
                      <a:ext cx="5709920" cy="7056120"/>
                    </a:xfrm>
                    <a:prstGeom prst="rect">
                      <a:avLst/>
                    </a:prstGeom>
                  </pic:spPr>
                </pic:pic>
              </a:graphicData>
            </a:graphic>
          </wp:inline>
        </w:drawing>
      </w:r>
    </w:p>
    <w:p w:rsidR="00FF005F" w:rsidRDefault="00410CE1">
      <w:pPr>
        <w:spacing w:beforeAutospacing="1" w:afterAutospacing="1" w:line="360" w:lineRule="auto"/>
        <w:jc w:val="both"/>
        <w:rPr>
          <w:rFonts w:ascii="Palatino Linotype" w:hAnsi="Palatino Linotype"/>
        </w:rPr>
      </w:pPr>
      <w:r>
        <w:rPr>
          <w:rFonts w:ascii="Palatino Linotype" w:hAnsi="Palatino Linotype"/>
        </w:rPr>
        <w:lastRenderedPageBreak/>
        <w:t xml:space="preserve">Asimismo, no se omite comentar que al haber existido un pronunciamiento por parte del </w:t>
      </w:r>
      <w:r>
        <w:rPr>
          <w:rFonts w:ascii="Palatino Linotype" w:hAnsi="Palatino Linotype"/>
          <w:b/>
        </w:rPr>
        <w:t>SUJETO OBLIGADO</w:t>
      </w:r>
      <w:r>
        <w:rPr>
          <w:rFonts w:ascii="Palatino Linotype" w:hAnsi="Palatino Linotype"/>
        </w:rPr>
        <w:t xml:space="preserve">, a fin de dar respuesta a la solicitud </w:t>
      </w:r>
      <w:r>
        <w:rPr>
          <w:rFonts w:ascii="Palatino Linotype" w:hAnsi="Palatino Linotype"/>
        </w:rPr>
        <w:t>planteada, este Instituto no está facultado para manifestarse sobre la veracidad de la información proporcionada, pues este Órgano Garante, conforme al artículo 36 de la Ley de la Materia, no se encuentra facultado para pronunciarse acerca de la autenticid</w:t>
      </w:r>
      <w:r>
        <w:rPr>
          <w:rFonts w:ascii="Palatino Linotype" w:hAnsi="Palatino Linotype"/>
        </w:rPr>
        <w:t>ad de dicho pronunciamiento.</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cs="Arial"/>
        </w:rPr>
        <w:t>Sirve de sustento a lo anterior, el criterio 31/10 emitido por el entonces Instituto Federal de Acceso a la Información y Protección de Datos, ahora Instituto Nacional de Transparencia, Acceso a la Información y Protección de D</w:t>
      </w:r>
      <w:r>
        <w:rPr>
          <w:rFonts w:ascii="Palatino Linotype" w:hAnsi="Palatino Linotype" w:cs="Arial"/>
        </w:rPr>
        <w:t xml:space="preserve">atos Personales (INAI), el cual refiere: </w:t>
      </w:r>
    </w:p>
    <w:p w:rsidR="00FF005F" w:rsidRDefault="00410CE1">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El Instituto Fe</w:t>
      </w:r>
      <w:r>
        <w:rPr>
          <w:rFonts w:ascii="Palatino Linotype" w:hAnsi="Palatino Linotype" w:cs="Arial"/>
          <w:i/>
          <w:sz w:val="22"/>
        </w:rPr>
        <w:t>deral de Acceso a la Información y Protección de Datos es un órgano de la Administración Pública Federal con autonomía operativa, presupuestaria y de decisión, encargado de promover y difundir el ejercicio del derecho de acceso a la información; resolver s</w:t>
      </w:r>
      <w:r>
        <w:rPr>
          <w:rFonts w:ascii="Palatino Linotype" w:hAnsi="Palatino Linotype" w:cs="Arial"/>
          <w:i/>
          <w:sz w:val="22"/>
        </w:rPr>
        <w:t>obre la negativa de las solicitudes de acceso a la información; y proteger los datos personales en poder de las dependencias y entidades. Sin embargo, no está facultado para pronunciarse sobre la veracidad de la información proporcionada por las autoridade</w:t>
      </w:r>
      <w:r>
        <w:rPr>
          <w:rFonts w:ascii="Palatino Linotype" w:hAnsi="Palatino Linotype" w:cs="Arial"/>
          <w:i/>
          <w:sz w:val="22"/>
        </w:rPr>
        <w:t>s en respuesta a las solicitudes de información que les presentan los particulares, en virtud de que en los artículos 49 y 50 de la Ley Federal de Transparencia y Acceso a la Información Pública Gubernamental no se prevé una causal que permita al Instituto</w:t>
      </w:r>
      <w:r>
        <w:rPr>
          <w:rFonts w:ascii="Palatino Linotype" w:hAnsi="Palatino Linotype" w:cs="Arial"/>
          <w:i/>
          <w:sz w:val="22"/>
        </w:rPr>
        <w:t xml:space="preserve"> Federal de Acceso a la Información y Protección de Datos conocer, vía recurso revisión, al respecto. Expedientes: 2440/07 Comisión Federal de Electricidad - Alonso Lujambio Irazábal 0113/09 Instituto de Seguridad y Servicios Sociales de los Trabajadores d</w:t>
      </w:r>
      <w:r>
        <w:rPr>
          <w:rFonts w:ascii="Palatino Linotype" w:hAnsi="Palatino Linotype" w:cs="Arial"/>
          <w:i/>
          <w:sz w:val="22"/>
        </w:rPr>
        <w:t>el Estado – Alonso Lujambio Irazábal 1624/09 Instituto Nacional para la Educación de los Adultos - María Marván Laborde 2395/09 Secretaría de Economía - María Marván Laborde 0837/10 Administración Portuaria Integral de Veracruz, S.A. de C.V. – María Marván</w:t>
      </w:r>
      <w:r>
        <w:rPr>
          <w:rFonts w:ascii="Palatino Linotype" w:hAnsi="Palatino Linotype" w:cs="Arial"/>
          <w:i/>
          <w:sz w:val="22"/>
        </w:rPr>
        <w:t xml:space="preserve"> Laborde </w:t>
      </w:r>
    </w:p>
    <w:p w:rsidR="00FF005F" w:rsidRDefault="00410CE1">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FF005F" w:rsidRDefault="00410CE1">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En mérito de lo expuesto,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eastAsia="Calibri" w:hAnsi="Palatino Linotype" w:cs="Arial"/>
          <w:b/>
        </w:rPr>
        <w:t>infundados</w:t>
      </w:r>
      <w:r>
        <w:rPr>
          <w:rFonts w:ascii="Palatino Linotype" w:eastAsia="Calibri" w:hAnsi="Palatino Linotype" w:cs="Arial"/>
        </w:rPr>
        <w:t xml:space="preserve">; por lo que, lo procedente es </w:t>
      </w:r>
      <w:r>
        <w:rPr>
          <w:rFonts w:ascii="Palatino Linotype" w:eastAsia="Calibri" w:hAnsi="Palatino Linotype" w:cs="Arial"/>
          <w:b/>
        </w:rPr>
        <w:t>CONFIRMAR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w:t>
      </w:r>
    </w:p>
    <w:p w:rsidR="00FF005F" w:rsidRDefault="00410CE1">
      <w:pPr>
        <w:pStyle w:val="Prrafodelista"/>
        <w:widowControl w:val="0"/>
        <w:tabs>
          <w:tab w:val="left" w:pos="1276"/>
        </w:tabs>
        <w:spacing w:before="24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w:t>
      </w:r>
      <w:r>
        <w:rPr>
          <w:rFonts w:ascii="Palatino Linotype" w:hAnsi="Palatino Linotype"/>
        </w:rPr>
        <w:t>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FF005F" w:rsidRDefault="00410CE1">
      <w:pPr>
        <w:spacing w:before="240" w:afterAutospacing="1" w:line="360" w:lineRule="auto"/>
        <w:jc w:val="center"/>
        <w:rPr>
          <w:rFonts w:ascii="Palatino Linotype" w:hAnsi="Palatino Linotype"/>
          <w:b/>
          <w:bCs/>
          <w:spacing w:val="60"/>
          <w:sz w:val="28"/>
        </w:rPr>
      </w:pPr>
      <w:r>
        <w:rPr>
          <w:rFonts w:ascii="Palatino Linotype" w:hAnsi="Palatino Linotype"/>
          <w:b/>
          <w:bCs/>
          <w:spacing w:val="60"/>
          <w:sz w:val="28"/>
        </w:rPr>
        <w:t>RESUELVE</w:t>
      </w:r>
    </w:p>
    <w:p w:rsidR="00FF005F" w:rsidRDefault="00410CE1">
      <w:pPr>
        <w:pStyle w:val="Prrafodelista"/>
        <w:widowControl w:val="0"/>
        <w:numPr>
          <w:ilvl w:val="0"/>
          <w:numId w:val="3"/>
        </w:numPr>
        <w:tabs>
          <w:tab w:val="left" w:pos="1701"/>
        </w:tabs>
        <w:spacing w:before="240" w:afterAutospacing="1"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infundadas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FF005F" w:rsidRDefault="00410CE1">
      <w:pPr>
        <w:widowControl w:val="0"/>
        <w:spacing w:beforeAutospacing="1" w:afterAutospacing="1" w:line="360" w:lineRule="auto"/>
        <w:jc w:val="both"/>
        <w:rPr>
          <w:rFonts w:ascii="Palatino Linotype" w:hAnsi="Palatino Linotype" w:cs="Arial"/>
          <w:b/>
          <w:sz w:val="28"/>
          <w:szCs w:val="28"/>
        </w:rPr>
      </w:pPr>
      <w:r>
        <w:rPr>
          <w:rFonts w:ascii="Palatino Linotype" w:hAnsi="Palatino Linotype" w:cs="Arial"/>
          <w:b/>
          <w:sz w:val="28"/>
          <w:szCs w:val="28"/>
        </w:rPr>
        <w:t>SEGUNDO</w:t>
      </w:r>
      <w:r>
        <w:rPr>
          <w:rFonts w:ascii="Palatino Linotype" w:hAnsi="Palatino Linotype" w:cs="Arial"/>
          <w:sz w:val="28"/>
          <w:szCs w:val="28"/>
        </w:rPr>
        <w:t>.</w:t>
      </w:r>
      <w:r>
        <w:rPr>
          <w:rFonts w:ascii="Palatino Linotype" w:hAnsi="Palatino Linotype" w:cs="Arial"/>
        </w:rPr>
        <w:t xml:space="preserve"> Se </w:t>
      </w:r>
      <w:r>
        <w:rPr>
          <w:rFonts w:ascii="Palatino Linotype" w:hAnsi="Palatino Linotype" w:cs="Arial"/>
          <w:b/>
        </w:rPr>
        <w:t>CONFIRMA</w:t>
      </w:r>
      <w:r>
        <w:rPr>
          <w:rFonts w:ascii="Palatino Linotype" w:hAnsi="Palatino Linotype" w:cs="Arial"/>
        </w:rPr>
        <w:t xml:space="preserve"> la respuesta otorgada por </w:t>
      </w:r>
      <w:r>
        <w:rPr>
          <w:rFonts w:ascii="Palatino Linotype" w:hAnsi="Palatino Linotype" w:cs="Arial"/>
          <w:b/>
        </w:rPr>
        <w:t xml:space="preserve">EL SUJETO OBLIGADO </w:t>
      </w:r>
      <w:r>
        <w:rPr>
          <w:rFonts w:ascii="Palatino Linotype" w:hAnsi="Palatino Linotype" w:cs="Arial"/>
        </w:rPr>
        <w:t>a la</w:t>
      </w:r>
      <w:r>
        <w:rPr>
          <w:rFonts w:ascii="Palatino Linotype" w:hAnsi="Palatino Linotype" w:cs="Arial"/>
          <w:b/>
        </w:rPr>
        <w:t xml:space="preserve"> </w:t>
      </w:r>
      <w:r>
        <w:rPr>
          <w:rFonts w:ascii="Palatino Linotype" w:hAnsi="Palatino Linotype" w:cs="Arial"/>
        </w:rPr>
        <w:t xml:space="preserve">solicitud de acceso a la información pública número </w:t>
      </w:r>
      <w:r>
        <w:rPr>
          <w:rFonts w:ascii="Palatino Linotype" w:hAnsi="Palatino Linotype" w:cs="Arial"/>
          <w:b/>
          <w:bCs/>
        </w:rPr>
        <w:t>00112/SMA/</w:t>
      </w:r>
      <w:r>
        <w:rPr>
          <w:rFonts w:ascii="Palatino Linotype" w:hAnsi="Palatino Linotype" w:cs="Arial"/>
          <w:b/>
          <w:bCs/>
        </w:rPr>
        <w:t>IP/2020</w:t>
      </w:r>
      <w:r>
        <w:rPr>
          <w:rFonts w:ascii="Palatino Linotype" w:hAnsi="Palatino Linotype"/>
          <w:b/>
          <w:bCs/>
        </w:rPr>
        <w:t>.</w:t>
      </w:r>
    </w:p>
    <w:p w:rsidR="00FF005F" w:rsidRDefault="00410CE1">
      <w:pPr>
        <w:widowControl w:val="0"/>
        <w:spacing w:beforeAutospacing="1" w:afterAutospacing="1" w:line="360" w:lineRule="auto"/>
        <w:jc w:val="both"/>
        <w:rPr>
          <w:rFonts w:ascii="Palatino Linotype" w:hAnsi="Palatino Linotype" w:cs="Arial"/>
          <w:b/>
          <w:sz w:val="28"/>
          <w:szCs w:val="28"/>
        </w:rPr>
      </w:pPr>
      <w:r>
        <w:rPr>
          <w:rFonts w:ascii="Palatino Linotype" w:hAnsi="Palatino Linotype" w:cs="Arial"/>
          <w:b/>
          <w:sz w:val="28"/>
          <w:szCs w:val="28"/>
        </w:rPr>
        <w:t xml:space="preserve">TERCERO. </w:t>
      </w:r>
      <w:r>
        <w:rPr>
          <w:rFonts w:ascii="Palatino Linotype" w:hAnsi="Palatino Linotype" w:cs="Arial"/>
          <w:b/>
          <w:lang w:val="es-ES_tradnl"/>
        </w:rPr>
        <w:t>Notifíquese</w:t>
      </w:r>
      <w:r>
        <w:rPr>
          <w:rFonts w:ascii="Palatino Linotype" w:hAnsi="Palatino Linotype" w:cs="Arial"/>
          <w:lang w:val="es-ES_tradnl"/>
        </w:rPr>
        <w:t xml:space="preserve"> la presente resolución al Titular de la Unidad de Transparencia del </w:t>
      </w:r>
      <w:r>
        <w:rPr>
          <w:rFonts w:ascii="Palatino Linotype" w:hAnsi="Palatino Linotype" w:cs="Arial"/>
          <w:b/>
          <w:lang w:val="es-ES_tradnl"/>
        </w:rPr>
        <w:t>SUJETO OBLIGADO</w:t>
      </w:r>
      <w:r>
        <w:rPr>
          <w:rFonts w:ascii="Palatino Linotype" w:hAnsi="Palatino Linotype" w:cs="Arial"/>
          <w:lang w:val="es-ES_tradnl"/>
        </w:rPr>
        <w:t xml:space="preserve"> para su conocimiento.</w:t>
      </w:r>
    </w:p>
    <w:p w:rsidR="00FF005F" w:rsidRDefault="00410CE1">
      <w:pPr>
        <w:spacing w:beforeAutospacing="1" w:afterAutospacing="1" w:line="360" w:lineRule="auto"/>
        <w:ind w:right="49"/>
        <w:jc w:val="both"/>
        <w:rPr>
          <w:rFonts w:ascii="Palatino Linotype" w:hAnsi="Palatino Linotype"/>
          <w:color w:val="222222"/>
          <w:lang w:eastAsia="es-MX"/>
        </w:rPr>
      </w:pPr>
      <w:r>
        <w:rPr>
          <w:rFonts w:ascii="Palatino Linotype" w:hAnsi="Palatino Linotype"/>
          <w:b/>
          <w:bCs/>
          <w:color w:val="222222"/>
          <w:sz w:val="28"/>
          <w:szCs w:val="28"/>
          <w:lang w:eastAsia="es-MX"/>
        </w:rPr>
        <w:t>CUARTO.</w:t>
      </w:r>
      <w:r>
        <w:rPr>
          <w:rFonts w:ascii="Palatino Linotype" w:hAnsi="Palatino Linotype"/>
          <w:b/>
          <w:bCs/>
          <w:color w:val="222222"/>
          <w:lang w:eastAsia="es-MX"/>
        </w:rPr>
        <w:t xml:space="preserve"> Notifíquese</w:t>
      </w:r>
      <w:r>
        <w:rPr>
          <w:rFonts w:ascii="Palatino Linotype" w:hAnsi="Palatino Linotype"/>
          <w:color w:val="222222"/>
          <w:lang w:eastAsia="es-MX"/>
        </w:rPr>
        <w:t xml:space="preserve"> al</w:t>
      </w:r>
      <w:r>
        <w:rPr>
          <w:rFonts w:ascii="Palatino Linotype" w:hAnsi="Palatino Linotype"/>
          <w:b/>
          <w:color w:val="222222"/>
          <w:lang w:eastAsia="es-MX"/>
        </w:rPr>
        <w:t xml:space="preserve"> RECURRENTE</w:t>
      </w:r>
      <w:r>
        <w:rPr>
          <w:rFonts w:ascii="Palatino Linotype" w:hAnsi="Palatino Linotype"/>
          <w:color w:val="222222"/>
          <w:lang w:eastAsia="es-MX"/>
        </w:rPr>
        <w:t xml:space="preserve"> la presente resolución.</w:t>
      </w:r>
    </w:p>
    <w:p w:rsidR="00FF005F" w:rsidRDefault="00410CE1">
      <w:pPr>
        <w:spacing w:beforeAutospacing="1" w:afterAutospacing="1" w:line="360" w:lineRule="auto"/>
        <w:ind w:right="49"/>
        <w:jc w:val="both"/>
        <w:rPr>
          <w:rFonts w:ascii="Palatino Linotype" w:hAnsi="Palatino Linotype"/>
          <w:color w:val="222222"/>
          <w:lang w:eastAsia="es-MX"/>
        </w:rPr>
      </w:pPr>
      <w:r>
        <w:rPr>
          <w:rFonts w:ascii="Palatino Linotype" w:hAnsi="Palatino Linotype"/>
          <w:b/>
          <w:color w:val="222222"/>
          <w:sz w:val="28"/>
          <w:szCs w:val="28"/>
          <w:lang w:eastAsia="es-ES_tradnl"/>
        </w:rPr>
        <w:lastRenderedPageBreak/>
        <w:t>QUINTO.</w:t>
      </w:r>
      <w:r>
        <w:rPr>
          <w:rFonts w:ascii="Palatino Linotype" w:hAnsi="Palatino Linotype"/>
          <w:b/>
          <w:color w:val="222222"/>
          <w:szCs w:val="17"/>
          <w:lang w:eastAsia="es-ES_tradnl"/>
        </w:rPr>
        <w:t xml:space="preserve"> </w:t>
      </w:r>
      <w:r>
        <w:rPr>
          <w:rFonts w:ascii="Palatino Linotype" w:hAnsi="Palatino Linotype"/>
          <w:b/>
          <w:bCs/>
          <w:color w:val="222222"/>
          <w:lang w:eastAsia="es-MX"/>
        </w:rPr>
        <w:t>Hágase del conocimiento</w:t>
      </w:r>
      <w:r>
        <w:rPr>
          <w:rFonts w:ascii="Palatino Linotype" w:hAnsi="Palatino Linotype"/>
          <w:color w:val="222222"/>
          <w:lang w:eastAsia="es-MX"/>
        </w:rPr>
        <w:t xml:space="preserve"> del</w:t>
      </w:r>
      <w:r>
        <w:rPr>
          <w:rFonts w:ascii="Palatino Linotype" w:hAnsi="Palatino Linotype"/>
          <w:b/>
          <w:color w:val="222222"/>
          <w:lang w:eastAsia="es-MX"/>
        </w:rPr>
        <w:t xml:space="preserve"> RECURRENTE</w:t>
      </w:r>
      <w:r>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w:t>
      </w:r>
      <w:r>
        <w:rPr>
          <w:rFonts w:ascii="Palatino Linotype" w:hAnsi="Palatino Linotype"/>
          <w:color w:val="222222"/>
          <w:lang w:eastAsia="es-MX"/>
        </w:rPr>
        <w:t>paro en los términos de las leyes aplicables.</w:t>
      </w:r>
    </w:p>
    <w:p w:rsidR="00FF005F" w:rsidRDefault="00410CE1">
      <w:pPr>
        <w:spacing w:beforeAutospacing="1" w:afterAutospacing="1" w:line="360" w:lineRule="auto"/>
        <w:ind w:right="49"/>
        <w:jc w:val="both"/>
        <w:rPr>
          <w:rFonts w:ascii="Palatino Linotype" w:hAnsi="Palatino Linotype"/>
          <w:color w:val="222222"/>
          <w:lang w:eastAsia="es-MX"/>
        </w:rPr>
      </w:pPr>
      <w:r>
        <w:rPr>
          <w:rFonts w:ascii="Palatino Linotype" w:hAnsi="Palatino Linotype"/>
          <w:color w:val="222222"/>
          <w:lang w:eastAsia="es-MX"/>
        </w:rPr>
        <w:t xml:space="preserve">Se dejan a salvo los derechos del </w:t>
      </w:r>
      <w:r>
        <w:rPr>
          <w:rFonts w:ascii="Palatino Linotype" w:hAnsi="Palatino Linotype"/>
          <w:b/>
          <w:color w:val="222222"/>
          <w:lang w:eastAsia="es-MX"/>
        </w:rPr>
        <w:t>RECURRENTE</w:t>
      </w:r>
      <w:r>
        <w:rPr>
          <w:rFonts w:ascii="Palatino Linotype" w:hAnsi="Palatino Linotype"/>
          <w:color w:val="222222"/>
          <w:lang w:eastAsia="es-MX"/>
        </w:rPr>
        <w:t xml:space="preserve"> para que formule las solicitudes de acceso a la información ante los Sujetos Obligados que estime competentes.</w:t>
      </w:r>
    </w:p>
    <w:p w:rsidR="00FF005F" w:rsidRDefault="00410CE1">
      <w:pPr>
        <w:spacing w:beforeAutospacing="1"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w:t>
      </w:r>
      <w:r>
        <w:rPr>
          <w:rFonts w:ascii="Palatino Linotype" w:eastAsia="Arial Unicode MS" w:hAnsi="Palatino Linotype" w:cs="Arial"/>
        </w:rPr>
        <w:t xml:space="preserve">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w:t>
      </w:r>
      <w:r>
        <w:rPr>
          <w:rFonts w:ascii="Palatino Linotype" w:hAnsi="Palatino Linotype" w:cs="Arial"/>
        </w:rPr>
        <w:t>LUIS GUSTAVO PARRA NORIEGA EMITIENDO VOTO PARTICULAR; EN</w:t>
      </w:r>
      <w:r>
        <w:rPr>
          <w:rFonts w:ascii="Palatino Linotype" w:hAnsi="Palatino Linotype" w:cs="Arial"/>
        </w:rPr>
        <w:t xml:space="preserve"> LA </w:t>
      </w:r>
      <w:r>
        <w:rPr>
          <w:rFonts w:ascii="Palatino Linotype" w:hAnsi="Palatino Linotype" w:cs="Arial"/>
        </w:rPr>
        <w:t>DÉCIMA QUINTA SESIÓN ORDINARIA CELEBRADA EL DÍA VEINTISÉIS DE AGOSTO DE DOS MIL VEINTE, ANTE EL SECRETARIO TÉCNICO DEL PLENO, ALEXIS TAPIA RAMÍREZ.</w:t>
      </w:r>
    </w:p>
    <w:tbl>
      <w:tblPr>
        <w:tblW w:w="9214" w:type="dxa"/>
        <w:jc w:val="center"/>
        <w:tblLook w:val="04A0" w:firstRow="1" w:lastRow="0" w:firstColumn="1" w:lastColumn="0" w:noHBand="0" w:noVBand="1"/>
      </w:tblPr>
      <w:tblGrid>
        <w:gridCol w:w="4757"/>
        <w:gridCol w:w="4457"/>
      </w:tblGrid>
      <w:tr w:rsidR="00FF005F">
        <w:trPr>
          <w:jc w:val="center"/>
        </w:trPr>
        <w:tc>
          <w:tcPr>
            <w:tcW w:w="9213" w:type="dxa"/>
            <w:gridSpan w:val="2"/>
            <w:shd w:val="clear" w:color="auto" w:fill="auto"/>
          </w:tcPr>
          <w:p w:rsidR="00FF005F" w:rsidRDefault="00410CE1">
            <w:pPr>
              <w:jc w:val="center"/>
              <w:rPr>
                <w:rFonts w:ascii="Palatino Linotype" w:hAnsi="Palatino Linotype" w:cs="Arial"/>
                <w:b/>
                <w:lang w:val="es-ES_tradnl"/>
              </w:rPr>
            </w:pPr>
            <w:r>
              <w:rPr>
                <w:rFonts w:ascii="Palatino Linotype" w:hAnsi="Palatino Linotype" w:cs="Arial"/>
                <w:b/>
                <w:lang w:val="es-ES_tradnl"/>
              </w:rPr>
              <w:t>Zulema Martínez Sánchez</w:t>
            </w:r>
          </w:p>
          <w:p w:rsidR="00FF005F" w:rsidRDefault="00410CE1">
            <w:pPr>
              <w:jc w:val="center"/>
              <w:rPr>
                <w:rFonts w:ascii="Palatino Linotype" w:hAnsi="Palatino Linotype" w:cs="Arial"/>
                <w:b/>
                <w:lang w:val="es-ES_tradnl"/>
              </w:rPr>
            </w:pPr>
            <w:r>
              <w:rPr>
                <w:rFonts w:ascii="Palatino Linotype" w:hAnsi="Palatino Linotype" w:cs="Arial"/>
                <w:lang w:val="es-ES_tradnl"/>
              </w:rPr>
              <w:t>Comisionada Presidenta</w:t>
            </w:r>
          </w:p>
          <w:p w:rsidR="00FF005F" w:rsidRDefault="00410CE1">
            <w:pPr>
              <w:jc w:val="center"/>
              <w:rPr>
                <w:rFonts w:ascii="Palatino Linotype" w:hAnsi="Palatino Linotype" w:cs="Arial"/>
                <w:b/>
                <w:lang w:val="es-ES_tradnl"/>
              </w:rPr>
            </w:pPr>
            <w:r>
              <w:rPr>
                <w:rFonts w:ascii="Palatino Linotype" w:hAnsi="Palatino Linotype" w:cs="Arial"/>
                <w:b/>
                <w:lang w:val="es-ES_tradnl"/>
              </w:rPr>
              <w:t>(RÚBRICA)</w:t>
            </w:r>
          </w:p>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tc>
      </w:tr>
      <w:tr w:rsidR="00FF005F">
        <w:trPr>
          <w:jc w:val="center"/>
        </w:trPr>
        <w:tc>
          <w:tcPr>
            <w:tcW w:w="4756" w:type="dxa"/>
            <w:shd w:val="clear" w:color="auto" w:fill="auto"/>
          </w:tcPr>
          <w:p w:rsidR="00FF005F" w:rsidRDefault="00410CE1">
            <w:pPr>
              <w:jc w:val="center"/>
              <w:rPr>
                <w:rFonts w:ascii="Palatino Linotype" w:hAnsi="Palatino Linotype" w:cs="Arial"/>
                <w:b/>
                <w:lang w:val="es-ES_tradnl"/>
              </w:rPr>
            </w:pPr>
            <w:r>
              <w:rPr>
                <w:rFonts w:ascii="Palatino Linotype" w:hAnsi="Palatino Linotype" w:cs="Arial"/>
                <w:b/>
                <w:lang w:val="es-ES_tradnl"/>
              </w:rPr>
              <w:t>Eva Abaid Yapur</w:t>
            </w:r>
          </w:p>
          <w:p w:rsidR="00FF005F" w:rsidRDefault="00410CE1">
            <w:pPr>
              <w:jc w:val="center"/>
              <w:rPr>
                <w:rFonts w:ascii="Palatino Linotype" w:hAnsi="Palatino Linotype" w:cs="Arial"/>
                <w:lang w:val="es-ES_tradnl"/>
              </w:rPr>
            </w:pPr>
            <w:r>
              <w:rPr>
                <w:rFonts w:ascii="Palatino Linotype" w:hAnsi="Palatino Linotype" w:cs="Arial"/>
                <w:lang w:val="es-ES_tradnl"/>
              </w:rPr>
              <w:t>Comisionada</w:t>
            </w:r>
          </w:p>
          <w:p w:rsidR="00FF005F" w:rsidRDefault="00410CE1">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FF005F" w:rsidRDefault="00410CE1">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FF005F" w:rsidRDefault="00410CE1">
            <w:pPr>
              <w:jc w:val="center"/>
              <w:rPr>
                <w:rFonts w:ascii="Palatino Linotype" w:hAnsi="Palatino Linotype" w:cs="Arial"/>
                <w:lang w:val="es-ES_tradnl"/>
              </w:rPr>
            </w:pPr>
            <w:r>
              <w:rPr>
                <w:rFonts w:ascii="Palatino Linotype" w:hAnsi="Palatino Linotype" w:cs="Arial"/>
                <w:lang w:val="es-ES_tradnl"/>
              </w:rPr>
              <w:t>Comisionado</w:t>
            </w:r>
          </w:p>
          <w:p w:rsidR="00FF005F" w:rsidRDefault="00410CE1">
            <w:pPr>
              <w:jc w:val="center"/>
              <w:rPr>
                <w:rFonts w:ascii="Palatino Linotype" w:hAnsi="Palatino Linotype" w:cs="Arial"/>
                <w:b/>
                <w:lang w:val="es-ES_tradnl"/>
              </w:rPr>
            </w:pPr>
            <w:r>
              <w:rPr>
                <w:rFonts w:ascii="Palatino Linotype" w:hAnsi="Palatino Linotype" w:cs="Arial"/>
                <w:b/>
                <w:lang w:val="es-ES_tradnl"/>
              </w:rPr>
              <w:t>(RÚBRICA)</w:t>
            </w:r>
          </w:p>
        </w:tc>
      </w:tr>
      <w:tr w:rsidR="00FF005F">
        <w:trPr>
          <w:jc w:val="center"/>
        </w:trPr>
        <w:tc>
          <w:tcPr>
            <w:tcW w:w="4756" w:type="dxa"/>
            <w:shd w:val="clear" w:color="auto" w:fill="auto"/>
          </w:tcPr>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p w:rsidR="00FF005F" w:rsidRDefault="00410CE1">
            <w:pPr>
              <w:jc w:val="center"/>
              <w:rPr>
                <w:rFonts w:ascii="Palatino Linotype" w:hAnsi="Palatino Linotype" w:cs="Arial"/>
                <w:b/>
                <w:lang w:val="es-ES_tradnl"/>
              </w:rPr>
            </w:pPr>
            <w:r>
              <w:rPr>
                <w:rFonts w:ascii="Palatino Linotype" w:hAnsi="Palatino Linotype" w:cs="Arial"/>
                <w:b/>
                <w:lang w:val="es-ES_tradnl"/>
              </w:rPr>
              <w:t>Javier Martínez Cruz</w:t>
            </w:r>
          </w:p>
          <w:p w:rsidR="00FF005F" w:rsidRDefault="00410CE1">
            <w:pPr>
              <w:jc w:val="center"/>
              <w:rPr>
                <w:rFonts w:ascii="Palatino Linotype" w:hAnsi="Palatino Linotype" w:cs="Arial"/>
                <w:lang w:val="es-ES_tradnl"/>
              </w:rPr>
            </w:pPr>
            <w:r>
              <w:rPr>
                <w:rFonts w:ascii="Palatino Linotype" w:hAnsi="Palatino Linotype" w:cs="Arial"/>
                <w:lang w:val="es-ES_tradnl"/>
              </w:rPr>
              <w:t>Comisionado</w:t>
            </w:r>
          </w:p>
          <w:p w:rsidR="00FF005F" w:rsidRDefault="00410CE1">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p w:rsidR="00FF005F" w:rsidRDefault="00410CE1">
            <w:pPr>
              <w:jc w:val="center"/>
              <w:rPr>
                <w:rFonts w:ascii="Palatino Linotype" w:hAnsi="Palatino Linotype" w:cs="Arial"/>
                <w:b/>
                <w:lang w:val="es-ES_tradnl"/>
              </w:rPr>
            </w:pPr>
            <w:r>
              <w:rPr>
                <w:rFonts w:ascii="Palatino Linotype" w:hAnsi="Palatino Linotype" w:cs="Arial"/>
                <w:b/>
                <w:lang w:val="es-ES_tradnl"/>
              </w:rPr>
              <w:t>Luis Gustavo Parra Noriega</w:t>
            </w:r>
          </w:p>
          <w:p w:rsidR="00FF005F" w:rsidRDefault="00410CE1">
            <w:pPr>
              <w:jc w:val="center"/>
              <w:rPr>
                <w:rFonts w:ascii="Palatino Linotype" w:hAnsi="Palatino Linotype" w:cs="Arial"/>
                <w:lang w:val="es-ES_tradnl"/>
              </w:rPr>
            </w:pPr>
            <w:r>
              <w:rPr>
                <w:rFonts w:ascii="Palatino Linotype" w:hAnsi="Palatino Linotype" w:cs="Arial"/>
                <w:lang w:val="es-ES_tradnl"/>
              </w:rPr>
              <w:t>Comisionado</w:t>
            </w:r>
          </w:p>
          <w:p w:rsidR="00FF005F" w:rsidRDefault="00410CE1">
            <w:pPr>
              <w:jc w:val="center"/>
              <w:rPr>
                <w:rFonts w:ascii="Palatino Linotype" w:hAnsi="Palatino Linotype" w:cs="Arial"/>
                <w:b/>
                <w:lang w:val="es-ES_tradnl"/>
              </w:rPr>
            </w:pPr>
            <w:r>
              <w:rPr>
                <w:rFonts w:ascii="Palatino Linotype" w:hAnsi="Palatino Linotype" w:cs="Arial"/>
                <w:b/>
                <w:lang w:val="es-ES_tradnl"/>
              </w:rPr>
              <w:t>(RÚBRICA)</w:t>
            </w:r>
          </w:p>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tc>
      </w:tr>
      <w:tr w:rsidR="00FF005F">
        <w:trPr>
          <w:jc w:val="center"/>
        </w:trPr>
        <w:tc>
          <w:tcPr>
            <w:tcW w:w="9213" w:type="dxa"/>
            <w:gridSpan w:val="2"/>
            <w:shd w:val="clear" w:color="auto" w:fill="auto"/>
          </w:tcPr>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p w:rsidR="00FF005F" w:rsidRDefault="00FF005F">
            <w:pPr>
              <w:jc w:val="center"/>
              <w:rPr>
                <w:rFonts w:ascii="Palatino Linotype" w:hAnsi="Palatino Linotype" w:cs="Arial"/>
                <w:b/>
                <w:lang w:val="es-ES_tradnl"/>
              </w:rPr>
            </w:pPr>
          </w:p>
          <w:p w:rsidR="00FF005F" w:rsidRDefault="00410CE1">
            <w:pPr>
              <w:jc w:val="center"/>
              <w:rPr>
                <w:rFonts w:ascii="Palatino Linotype" w:hAnsi="Palatino Linotype" w:cs="Arial"/>
                <w:b/>
                <w:lang w:val="es-ES_tradnl"/>
              </w:rPr>
            </w:pPr>
            <w:r>
              <w:rPr>
                <w:rFonts w:ascii="Palatino Linotype" w:hAnsi="Palatino Linotype" w:cs="Arial"/>
                <w:b/>
                <w:lang w:val="es-ES_tradnl"/>
              </w:rPr>
              <w:t>Alexis Tapia Ramírez</w:t>
            </w:r>
          </w:p>
          <w:p w:rsidR="00FF005F" w:rsidRDefault="00410CE1">
            <w:pPr>
              <w:jc w:val="center"/>
              <w:rPr>
                <w:rFonts w:ascii="Palatino Linotype" w:hAnsi="Palatino Linotype" w:cs="Arial"/>
                <w:lang w:val="es-ES_tradnl"/>
              </w:rPr>
            </w:pPr>
            <w:r>
              <w:rPr>
                <w:rFonts w:ascii="Palatino Linotype" w:hAnsi="Palatino Linotype" w:cs="Arial"/>
                <w:lang w:val="es-ES_tradnl"/>
              </w:rPr>
              <w:t xml:space="preserve">Secretario Técnico del </w:t>
            </w:r>
            <w:r>
              <w:rPr>
                <w:rFonts w:ascii="Palatino Linotype" w:hAnsi="Palatino Linotype" w:cs="Arial"/>
                <w:lang w:val="es-ES_tradnl"/>
              </w:rPr>
              <w:t>Pleno</w:t>
            </w:r>
          </w:p>
          <w:p w:rsidR="00FF005F" w:rsidRDefault="00410CE1">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FF005F" w:rsidRDefault="00410CE1">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veintiséis de agosto de dos mil veinte, emitida en el recurso de revisión número 01532/INFOEM/IP/RR/2020. </w:t>
      </w:r>
    </w:p>
    <w:p w:rsidR="00FF005F" w:rsidRDefault="00FF005F">
      <w:pPr>
        <w:jc w:val="both"/>
        <w:rPr>
          <w:rFonts w:ascii="Palatino Linotype" w:hAnsi="Palatino Linotype" w:cs="Arial"/>
          <w:sz w:val="22"/>
          <w:szCs w:val="22"/>
          <w:lang w:val="es-ES"/>
        </w:rPr>
      </w:pPr>
    </w:p>
    <w:p w:rsidR="00FF005F" w:rsidRDefault="00410CE1">
      <w:pPr>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FF005F">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CE1" w:rsidRDefault="00410CE1">
      <w:r>
        <w:separator/>
      </w:r>
    </w:p>
  </w:endnote>
  <w:endnote w:type="continuationSeparator" w:id="0">
    <w:p w:rsidR="00410CE1" w:rsidRDefault="00410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1"/>
    <w:family w:val="roman"/>
    <w:pitch w:val="variable"/>
  </w:font>
  <w:font w:name="palatino">
    <w:charset w:val="01"/>
    <w:family w:val="roman"/>
    <w:pitch w:val="variable"/>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5F" w:rsidRDefault="00410CE1">
    <w:pPr>
      <w:pStyle w:val="Piedepgina"/>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25CEE">
      <w:rPr>
        <w:rFonts w:ascii="Palatino Linotype" w:hAnsi="Palatino Linotype" w:cs="Arial"/>
        <w:bCs/>
        <w:noProof/>
        <w:sz w:val="22"/>
        <w:szCs w:val="22"/>
      </w:rPr>
      <w:t>14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25CEE">
      <w:rPr>
        <w:rFonts w:ascii="Palatino Linotype" w:hAnsi="Palatino Linotype" w:cs="Arial"/>
        <w:bCs/>
        <w:noProof/>
        <w:sz w:val="22"/>
        <w:szCs w:val="22"/>
      </w:rPr>
      <w:t>35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5F" w:rsidRDefault="00410CE1">
    <w:pPr>
      <w:pStyle w:val="Piedepgina"/>
      <w:spacing w:before="120"/>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25CE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25CEE">
      <w:rPr>
        <w:rFonts w:ascii="Palatino Linotype" w:hAnsi="Palatino Linotype" w:cs="Arial"/>
        <w:bCs/>
        <w:noProof/>
        <w:sz w:val="22"/>
        <w:szCs w:val="22"/>
      </w:rPr>
      <w:t>35</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CE1" w:rsidRDefault="00410CE1">
      <w:pPr>
        <w:rPr>
          <w:sz w:val="12"/>
        </w:rPr>
      </w:pPr>
      <w:r>
        <w:separator/>
      </w:r>
    </w:p>
  </w:footnote>
  <w:footnote w:type="continuationSeparator" w:id="0">
    <w:p w:rsidR="00410CE1" w:rsidRDefault="00410CE1">
      <w:pPr>
        <w:rPr>
          <w:sz w:val="12"/>
        </w:rPr>
      </w:pPr>
      <w:r>
        <w:continuationSeparator/>
      </w:r>
    </w:p>
  </w:footnote>
  <w:footnote w:id="1">
    <w:p w:rsidR="00FF005F" w:rsidRDefault="00410CE1">
      <w:pPr>
        <w:pStyle w:val="Textonotapie"/>
        <w:jc w:val="both"/>
        <w:rPr>
          <w:rFonts w:ascii="Palatino Linotype" w:hAnsi="Palatino Linotype"/>
        </w:rPr>
      </w:pPr>
      <w:r>
        <w:rPr>
          <w:rStyle w:val="Caracteresdenotaalpie"/>
        </w:rPr>
        <w:footnoteRef/>
      </w:r>
      <w:r>
        <w:t xml:space="preserve"> </w:t>
      </w:r>
      <w:r>
        <w:rPr>
          <w:rFonts w:ascii="Palatino Linotype" w:hAnsi="Palatino Linotype"/>
        </w:rPr>
        <w:t xml:space="preserve">Cabe destacarse que el particular no refirió de manera puntual la temporalidad de la cual requería la </w:t>
      </w:r>
      <w:r>
        <w:rPr>
          <w:rFonts w:ascii="Palatino Linotype" w:hAnsi="Palatino Linotype"/>
        </w:rPr>
        <w:t xml:space="preserve">información; empero, este Instituto suple la deficiencia en que incurre y determina que pretende información del año inmediato anterior a la solicitud de origen; lo anterior, en términos de lo dispuesto por los artículos 13 y 181, cuarto párrafo de la Ley </w:t>
      </w:r>
      <w:r>
        <w:rPr>
          <w:rFonts w:ascii="Palatino Linotype" w:hAnsi="Palatino Linotype"/>
        </w:rPr>
        <w:t>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5F" w:rsidRDefault="00410CE1">
    <w:pPr>
      <w:pStyle w:val="Encabezado"/>
      <w:tabs>
        <w:tab w:val="clear" w:pos="4252"/>
        <w:tab w:val="clear" w:pos="8504"/>
        <w:tab w:val="left" w:pos="2326"/>
      </w:tabs>
      <w:rPr>
        <w:rFonts w:ascii="Palatino Linotype" w:hAnsi="Palatino Linotype" w:hint="eastAsia"/>
        <w:sz w:val="28"/>
        <w:szCs w:val="28"/>
      </w:rPr>
    </w:pPr>
    <w:r>
      <w:rPr>
        <w:rFonts w:ascii="Palatino Linotype" w:hAnsi="Palatino Linotype"/>
        <w:noProof/>
        <w:sz w:val="28"/>
        <w:szCs w:val="28"/>
        <w:lang w:val="es-MX" w:eastAsia="es-MX"/>
      </w:rPr>
      <w:drawing>
        <wp:anchor distT="0" distB="0" distL="0" distR="0" simplePos="0" relativeHeight="34"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6"/>
      <w:gridCol w:w="2554"/>
      <w:gridCol w:w="3724"/>
    </w:tblGrid>
    <w:tr w:rsidR="00FF005F">
      <w:tc>
        <w:tcPr>
          <w:tcW w:w="3256" w:type="dxa"/>
          <w:vMerge w:val="restart"/>
        </w:tcPr>
        <w:p w:rsidR="00FF005F" w:rsidRDefault="00410CE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4"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FF005F" w:rsidRDefault="00410CE1">
          <w:pPr>
            <w:jc w:val="both"/>
            <w:rPr>
              <w:rFonts w:ascii="Palatino Linotype" w:hAnsi="Palatino Linotype"/>
              <w:b/>
              <w:sz w:val="22"/>
              <w:szCs w:val="22"/>
              <w:lang w:val="es-ES_tradnl"/>
            </w:rPr>
          </w:pPr>
          <w:r>
            <w:rPr>
              <w:rFonts w:ascii="Palatino Linotype" w:hAnsi="Palatino Linotype"/>
              <w:b/>
              <w:sz w:val="22"/>
              <w:szCs w:val="22"/>
              <w:lang w:val="es-ES_tradnl"/>
            </w:rPr>
            <w:t>01532/INFOEM/IP/RR/2020</w:t>
          </w:r>
        </w:p>
      </w:tc>
    </w:tr>
    <w:tr w:rsidR="00FF005F">
      <w:tc>
        <w:tcPr>
          <w:tcW w:w="3256" w:type="dxa"/>
          <w:vMerge/>
        </w:tcPr>
        <w:p w:rsidR="00FF005F" w:rsidRDefault="00FF005F">
          <w:pPr>
            <w:rPr>
              <w:rFonts w:ascii="Palatino Linotype" w:hAnsi="Palatino Linotype"/>
              <w:b/>
              <w:sz w:val="22"/>
              <w:szCs w:val="22"/>
              <w:lang w:val="es-ES_tradnl"/>
            </w:rPr>
          </w:pPr>
        </w:p>
      </w:tc>
      <w:tc>
        <w:tcPr>
          <w:tcW w:w="2554"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FF005F" w:rsidRDefault="00410CE1">
          <w:pPr>
            <w:jc w:val="both"/>
            <w:rPr>
              <w:rFonts w:ascii="Palatino Linotype" w:hAnsi="Palatino Linotype"/>
              <w:b/>
              <w:sz w:val="22"/>
              <w:szCs w:val="22"/>
              <w:lang w:val="es-ES_tradnl"/>
            </w:rPr>
          </w:pPr>
          <w:r>
            <w:rPr>
              <w:rFonts w:ascii="Palatino Linotype" w:hAnsi="Palatino Linotype"/>
              <w:b/>
              <w:sz w:val="22"/>
              <w:szCs w:val="22"/>
            </w:rPr>
            <w:t>Secretaría del Medio Ambiente</w:t>
          </w:r>
        </w:p>
      </w:tc>
    </w:tr>
    <w:tr w:rsidR="00FF005F">
      <w:trPr>
        <w:trHeight w:val="228"/>
      </w:trPr>
      <w:tc>
        <w:tcPr>
          <w:tcW w:w="3256" w:type="dxa"/>
          <w:vMerge/>
        </w:tcPr>
        <w:p w:rsidR="00FF005F" w:rsidRDefault="00FF005F">
          <w:pPr>
            <w:rPr>
              <w:rFonts w:ascii="Palatino Linotype" w:hAnsi="Palatino Linotype"/>
              <w:b/>
              <w:sz w:val="22"/>
              <w:szCs w:val="22"/>
              <w:lang w:val="es-ES_tradnl"/>
            </w:rPr>
          </w:pPr>
        </w:p>
      </w:tc>
      <w:tc>
        <w:tcPr>
          <w:tcW w:w="2554"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FF005F" w:rsidRDefault="00410CE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FF005F" w:rsidRDefault="00FF005F">
    <w:pPr>
      <w:pStyle w:val="Encabezado"/>
      <w:tabs>
        <w:tab w:val="clear" w:pos="4252"/>
        <w:tab w:val="clear" w:pos="8504"/>
        <w:tab w:val="left" w:pos="2326"/>
      </w:tabs>
      <w:rPr>
        <w:rFonts w:ascii="Palatino Linotype" w:hAnsi="Palatino Linotype" w:hint="eastAsia"/>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05F" w:rsidRDefault="00FF005F">
    <w:pPr>
      <w:rPr>
        <w:rFonts w:ascii="Palatino Linotype" w:hAnsi="Palatino Linotype"/>
        <w:sz w:val="28"/>
        <w:szCs w:val="28"/>
      </w:rPr>
    </w:pPr>
  </w:p>
  <w:tbl>
    <w:tblPr>
      <w:tblW w:w="10490" w:type="dxa"/>
      <w:tblInd w:w="-1276" w:type="dxa"/>
      <w:tblLook w:val="04A0" w:firstRow="1" w:lastRow="0" w:firstColumn="1" w:lastColumn="0" w:noHBand="0" w:noVBand="1"/>
    </w:tblPr>
    <w:tblGrid>
      <w:gridCol w:w="4250"/>
      <w:gridCol w:w="2550"/>
      <w:gridCol w:w="3690"/>
    </w:tblGrid>
    <w:tr w:rsidR="00FF005F">
      <w:tc>
        <w:tcPr>
          <w:tcW w:w="4250" w:type="dxa"/>
          <w:vMerge w:val="restart"/>
          <w:shd w:val="clear" w:color="auto" w:fill="auto"/>
        </w:tcPr>
        <w:p w:rsidR="00FF005F" w:rsidRDefault="00410CE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noProof/>
              <w:lang w:eastAsia="es-MX"/>
            </w:rPr>
            <w:drawing>
              <wp:anchor distT="0" distB="0" distL="0" distR="0" simplePos="0" relativeHeight="2" behindDoc="1" locked="0" layoutInCell="1" allowOverlap="1">
                <wp:simplePos x="0" y="0"/>
                <wp:positionH relativeFrom="column">
                  <wp:posOffset>484505</wp:posOffset>
                </wp:positionH>
                <wp:positionV relativeFrom="margin">
                  <wp:posOffset>198120</wp:posOffset>
                </wp:positionV>
                <wp:extent cx="6858635" cy="9144635"/>
                <wp:effectExtent l="0" t="0" r="0" b="0"/>
                <wp:wrapNone/>
                <wp:docPr id="14"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6"/>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tc>
      <w:tc>
        <w:tcPr>
          <w:tcW w:w="2550"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0" w:type="dxa"/>
          <w:shd w:val="clear" w:color="auto" w:fill="auto"/>
          <w:vAlign w:val="center"/>
        </w:tcPr>
        <w:p w:rsidR="00FF005F" w:rsidRDefault="00410CE1">
          <w:pPr>
            <w:jc w:val="both"/>
            <w:rPr>
              <w:rFonts w:ascii="Palatino Linotype" w:hAnsi="Palatino Linotype"/>
              <w:b/>
              <w:sz w:val="22"/>
              <w:szCs w:val="22"/>
              <w:lang w:val="es-ES_tradnl"/>
            </w:rPr>
          </w:pPr>
          <w:r>
            <w:rPr>
              <w:rFonts w:ascii="Palatino Linotype" w:hAnsi="Palatino Linotype"/>
              <w:b/>
              <w:sz w:val="22"/>
              <w:szCs w:val="22"/>
              <w:lang w:val="es-ES_tradnl"/>
            </w:rPr>
            <w:t>01532/INFOEM/IP/RR/2020</w:t>
          </w:r>
        </w:p>
      </w:tc>
    </w:tr>
    <w:tr w:rsidR="00FF005F">
      <w:tc>
        <w:tcPr>
          <w:tcW w:w="4250" w:type="dxa"/>
          <w:vMerge/>
          <w:shd w:val="clear" w:color="auto" w:fill="auto"/>
        </w:tcPr>
        <w:p w:rsidR="00FF005F" w:rsidRDefault="00FF005F">
          <w:pPr>
            <w:rPr>
              <w:rFonts w:ascii="Palatino Linotype" w:hAnsi="Palatino Linotype"/>
              <w:b/>
              <w:sz w:val="22"/>
              <w:szCs w:val="22"/>
              <w:lang w:val="es-ES_tradnl"/>
            </w:rPr>
          </w:pPr>
        </w:p>
      </w:tc>
      <w:tc>
        <w:tcPr>
          <w:tcW w:w="2550"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0" w:type="dxa"/>
          <w:shd w:val="clear" w:color="auto" w:fill="auto"/>
          <w:vAlign w:val="center"/>
        </w:tcPr>
        <w:p w:rsidR="00FF005F" w:rsidRDefault="00925CEE">
          <w:pPr>
            <w:jc w:val="both"/>
            <w:rPr>
              <w:rFonts w:ascii="Palatino Linotype" w:hAnsi="Palatino Linotype"/>
              <w:b/>
              <w:sz w:val="22"/>
              <w:szCs w:val="22"/>
              <w:lang w:val="es-ES_tradnl"/>
            </w:rPr>
          </w:pPr>
          <w:r w:rsidRPr="00925CEE">
            <w:rPr>
              <w:rFonts w:ascii="Palatino Linotype" w:hAnsi="Palatino Linotype"/>
              <w:b/>
              <w:sz w:val="22"/>
              <w:szCs w:val="22"/>
              <w:lang w:val="es-ES_tradnl"/>
            </w:rPr>
            <w:t>XXXXXX XXXXXXXX y/o XXXXXX XXXXXXXX XX XXXXXXXXXXXXX</w:t>
          </w:r>
        </w:p>
      </w:tc>
    </w:tr>
    <w:tr w:rsidR="00FF005F">
      <w:trPr>
        <w:trHeight w:val="228"/>
      </w:trPr>
      <w:tc>
        <w:tcPr>
          <w:tcW w:w="4250" w:type="dxa"/>
          <w:vMerge/>
          <w:shd w:val="clear" w:color="auto" w:fill="auto"/>
        </w:tcPr>
        <w:p w:rsidR="00FF005F" w:rsidRDefault="00FF005F">
          <w:pPr>
            <w:rPr>
              <w:rFonts w:ascii="Palatino Linotype" w:hAnsi="Palatino Linotype"/>
              <w:b/>
              <w:sz w:val="22"/>
              <w:szCs w:val="22"/>
              <w:lang w:val="es-ES_tradnl"/>
            </w:rPr>
          </w:pPr>
        </w:p>
      </w:tc>
      <w:tc>
        <w:tcPr>
          <w:tcW w:w="2550"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 xml:space="preserve">Sujeto </w:t>
          </w:r>
          <w:r>
            <w:rPr>
              <w:rFonts w:ascii="Palatino Linotype" w:hAnsi="Palatino Linotype"/>
              <w:b/>
              <w:sz w:val="22"/>
              <w:szCs w:val="22"/>
              <w:lang w:val="es-ES_tradnl"/>
            </w:rPr>
            <w:t>Obligado:</w:t>
          </w:r>
        </w:p>
      </w:tc>
      <w:tc>
        <w:tcPr>
          <w:tcW w:w="3690" w:type="dxa"/>
          <w:shd w:val="clear" w:color="auto" w:fill="auto"/>
          <w:vAlign w:val="center"/>
        </w:tcPr>
        <w:p w:rsidR="00FF005F" w:rsidRDefault="00410CE1">
          <w:pPr>
            <w:jc w:val="both"/>
            <w:rPr>
              <w:rFonts w:ascii="Palatino Linotype" w:hAnsi="Palatino Linotype"/>
              <w:b/>
              <w:sz w:val="22"/>
              <w:szCs w:val="22"/>
            </w:rPr>
          </w:pPr>
          <w:r>
            <w:rPr>
              <w:rFonts w:ascii="Palatino Linotype" w:hAnsi="Palatino Linotype"/>
              <w:b/>
              <w:sz w:val="22"/>
              <w:szCs w:val="22"/>
            </w:rPr>
            <w:t>Secretaría del Medio Ambiente</w:t>
          </w:r>
        </w:p>
      </w:tc>
    </w:tr>
    <w:tr w:rsidR="00FF005F">
      <w:tc>
        <w:tcPr>
          <w:tcW w:w="4250" w:type="dxa"/>
          <w:vMerge/>
          <w:shd w:val="clear" w:color="auto" w:fill="auto"/>
        </w:tcPr>
        <w:p w:rsidR="00FF005F" w:rsidRDefault="00FF005F">
          <w:pPr>
            <w:rPr>
              <w:rFonts w:ascii="Palatino Linotype" w:hAnsi="Palatino Linotype"/>
              <w:b/>
              <w:sz w:val="22"/>
              <w:szCs w:val="22"/>
              <w:lang w:val="es-ES_tradnl"/>
            </w:rPr>
          </w:pPr>
        </w:p>
      </w:tc>
      <w:tc>
        <w:tcPr>
          <w:tcW w:w="2550" w:type="dxa"/>
          <w:shd w:val="clear" w:color="auto" w:fill="auto"/>
        </w:tcPr>
        <w:p w:rsidR="00FF005F" w:rsidRDefault="00410CE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0" w:type="dxa"/>
          <w:shd w:val="clear" w:color="auto" w:fill="auto"/>
        </w:tcPr>
        <w:p w:rsidR="00FF005F" w:rsidRDefault="00410CE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FF005F" w:rsidRDefault="00FF005F">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07479"/>
    <w:multiLevelType w:val="multilevel"/>
    <w:tmpl w:val="29BA466A"/>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8E6456"/>
    <w:multiLevelType w:val="multilevel"/>
    <w:tmpl w:val="E3AE1150"/>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BE78A0"/>
    <w:multiLevelType w:val="multilevel"/>
    <w:tmpl w:val="BB66CFAE"/>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7E46A4"/>
    <w:multiLevelType w:val="multilevel"/>
    <w:tmpl w:val="815ABAEC"/>
    <w:lvl w:ilvl="0">
      <w:start w:val="1"/>
      <w:numFmt w:val="ordinalText"/>
      <w:lvlText w:val="%1."/>
      <w:lvlJc w:val="left"/>
      <w:pPr>
        <w:ind w:left="502" w:hanging="360"/>
      </w:pPr>
      <w:rPr>
        <w:b/>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CF7A56"/>
    <w:multiLevelType w:val="multilevel"/>
    <w:tmpl w:val="FCD069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225471F"/>
    <w:multiLevelType w:val="multilevel"/>
    <w:tmpl w:val="7728B4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 w:numId="7">
    <w:abstractNumId w:val="1"/>
    <w:lvlOverride w:ilvl="0">
      <w:lvl w:ilvl="0">
        <w:start w:val="1"/>
        <w:numFmt w:val="upperRoman"/>
        <w:lvlText w:val="%1."/>
        <w:lvlJc w:val="left"/>
        <w:pPr>
          <w:ind w:left="720" w:hanging="360"/>
        </w:pPr>
        <w:rPr>
          <w:b/>
          <w:i w:val="0"/>
          <w:caps/>
          <w:color w:val="auto"/>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05F"/>
    <w:rsid w:val="00060A19"/>
    <w:rsid w:val="00410CE1"/>
    <w:rsid w:val="00925CEE"/>
    <w:rsid w:val="00FF005F"/>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AF691-0B81-4D28-91CF-2C06CE06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6E5F18"/>
    <w:rPr>
      <w:rFonts w:ascii="Times New Roman" w:eastAsia="Times New Roman" w:hAnsi="Times New Roman" w:cs="Times New Roman"/>
      <w:sz w:val="16"/>
      <w:szCs w:val="16"/>
      <w:lang w:val="es-MX"/>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xmsonormal">
    <w:name w:val="x_msonormal"/>
    <w:basedOn w:val="Normal"/>
    <w:qFormat/>
    <w:rsid w:val="006E5F18"/>
    <w:pPr>
      <w:spacing w:beforeAutospacing="1" w:afterAutospacing="1"/>
    </w:pPr>
    <w:rPr>
      <w:lang w:eastAsia="es-MX"/>
    </w:rPr>
  </w:style>
  <w:style w:type="paragraph" w:styleId="Textoindependiente3">
    <w:name w:val="Body Text 3"/>
    <w:basedOn w:val="Normal"/>
    <w:link w:val="Textoindependiente3Car"/>
    <w:uiPriority w:val="99"/>
    <w:semiHidden/>
    <w:unhideWhenUsed/>
    <w:qFormat/>
    <w:rsid w:val="006E5F18"/>
    <w:pPr>
      <w:spacing w:after="120"/>
    </w:pPr>
    <w:rPr>
      <w:sz w:val="16"/>
      <w:szCs w:val="16"/>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Sinlista1">
    <w:name w:val="Sin lista1"/>
    <w:uiPriority w:val="99"/>
    <w:semiHidden/>
    <w:unhideWhenUsed/>
    <w:qFormat/>
    <w:rsid w:val="006E5F18"/>
  </w:style>
  <w:style w:type="numbering" w:customStyle="1" w:styleId="Sinlista11">
    <w:name w:val="Sin lista11"/>
    <w:uiPriority w:val="99"/>
    <w:semiHidden/>
    <w:unhideWhenUsed/>
    <w:qFormat/>
    <w:rsid w:val="006E5F18"/>
  </w:style>
  <w:style w:type="numbering" w:customStyle="1" w:styleId="Sinlista2">
    <w:name w:val="Sin lista2"/>
    <w:uiPriority w:val="99"/>
    <w:semiHidden/>
    <w:unhideWhenUsed/>
    <w:qFormat/>
    <w:rsid w:val="006E5F18"/>
  </w:style>
  <w:style w:type="numbering" w:customStyle="1" w:styleId="Sinlista3">
    <w:name w:val="Sin lista3"/>
    <w:uiPriority w:val="99"/>
    <w:semiHidden/>
    <w:unhideWhenUsed/>
    <w:qFormat/>
    <w:rsid w:val="006E5F18"/>
  </w:style>
  <w:style w:type="numbering" w:customStyle="1" w:styleId="Sinlista4">
    <w:name w:val="Sin lista4"/>
    <w:uiPriority w:val="99"/>
    <w:semiHidden/>
    <w:unhideWhenUsed/>
    <w:qFormat/>
    <w:rsid w:val="006E5F18"/>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6E5F18"/>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6E5F18"/>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6E5F1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6E5F18"/>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7845F-EB54-4074-AF79-6FF45DCE7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6997</Words>
  <Characters>38489</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3</cp:revision>
  <cp:lastPrinted>2020-01-22T19:55:00Z</cp:lastPrinted>
  <dcterms:created xsi:type="dcterms:W3CDTF">2020-09-02T18:48:00Z</dcterms:created>
  <dcterms:modified xsi:type="dcterms:W3CDTF">2020-09-02T18:50:00Z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