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73" w:rsidRPr="0052764F" w:rsidRDefault="00911573" w:rsidP="00CE4F60">
      <w:pPr>
        <w:tabs>
          <w:tab w:val="center" w:pos="4394"/>
          <w:tab w:val="right" w:pos="8789"/>
        </w:tabs>
        <w:spacing w:line="360" w:lineRule="auto"/>
        <w:rPr>
          <w:rFonts w:ascii="Palatino Linotype" w:hAnsi="Palatino Linotype"/>
          <w:b/>
        </w:rPr>
      </w:pPr>
      <w:r w:rsidRPr="00E37C59">
        <w:rPr>
          <w:rFonts w:ascii="Palatino Linotype" w:hAnsi="Palatino Linotype"/>
          <w:b/>
        </w:rPr>
        <w:tab/>
      </w:r>
      <w:r w:rsidR="00436C5F" w:rsidRPr="0052764F">
        <w:rPr>
          <w:rFonts w:ascii="Palatino Linotype" w:hAnsi="Palatino Linotype"/>
          <w:b/>
        </w:rPr>
        <w:t>Sinopsis</w:t>
      </w:r>
    </w:p>
    <w:p w:rsidR="00911573" w:rsidRPr="0052764F" w:rsidRDefault="00911573" w:rsidP="00CE4F60">
      <w:pPr>
        <w:tabs>
          <w:tab w:val="center" w:pos="4394"/>
          <w:tab w:val="right" w:pos="8789"/>
        </w:tabs>
        <w:spacing w:line="360" w:lineRule="auto"/>
        <w:rPr>
          <w:rFonts w:ascii="Palatino Linotype" w:hAnsi="Palatino Linotype"/>
          <w:b/>
          <w:sz w:val="18"/>
          <w:szCs w:val="18"/>
        </w:rPr>
      </w:pPr>
    </w:p>
    <w:p w:rsidR="00911573" w:rsidRPr="0052764F" w:rsidRDefault="00911573" w:rsidP="00CE4F60">
      <w:pPr>
        <w:spacing w:line="360" w:lineRule="auto"/>
        <w:contextualSpacing/>
        <w:jc w:val="both"/>
        <w:rPr>
          <w:rFonts w:ascii="Palatino Linotype" w:hAnsi="Palatino Linotype"/>
          <w:sz w:val="14"/>
          <w:szCs w:val="16"/>
        </w:rPr>
      </w:pPr>
    </w:p>
    <w:p w:rsidR="00CE4F60" w:rsidRPr="0052764F" w:rsidRDefault="00CE4F60" w:rsidP="00CE4F60">
      <w:pPr>
        <w:spacing w:line="360" w:lineRule="auto"/>
        <w:jc w:val="both"/>
        <w:rPr>
          <w:rFonts w:ascii="Palatino Linotype" w:hAnsi="Palatino Linotype" w:cs="Arial"/>
        </w:rPr>
      </w:pPr>
      <w:r w:rsidRPr="0052764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1537335</wp:posOffset>
                </wp:positionV>
                <wp:extent cx="5524500" cy="5143500"/>
                <wp:effectExtent l="19050" t="19050" r="19050" b="19050"/>
                <wp:wrapNone/>
                <wp:docPr id="17" name="Conector recto 17"/>
                <wp:cNvGraphicFramePr/>
                <a:graphic xmlns:a="http://schemas.openxmlformats.org/drawingml/2006/main">
                  <a:graphicData uri="http://schemas.microsoft.com/office/word/2010/wordprocessingShape">
                    <wps:wsp>
                      <wps:cNvCnPr/>
                      <wps:spPr>
                        <a:xfrm>
                          <a:off x="0" y="0"/>
                          <a:ext cx="5524500" cy="5143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05AF972" id="Conector recto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1.05pt" to="435.45pt,5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" strokecolor="#5b9bd5 [3204]" strokeweight="3pt">
                <v:stroke joinstyle="miter"/>
              </v:line>
            </w:pict>
          </mc:Fallback>
        </mc:AlternateContent>
      </w:r>
      <w:r w:rsidRPr="0052764F">
        <w:rPr>
          <w:rFonts w:ascii="Palatino Linotype" w:hAnsi="Palatino Linotype" w:cs="Arial"/>
        </w:rPr>
        <w:t xml:space="preserve">En razón de que los requerimientos formulados el </w:t>
      </w:r>
      <w:r w:rsidRPr="0052764F">
        <w:rPr>
          <w:rFonts w:ascii="Palatino Linotype" w:hAnsi="Palatino Linotype" w:cs="Arial"/>
          <w:b/>
        </w:rPr>
        <w:t xml:space="preserve">RECURRENTE </w:t>
      </w:r>
      <w:r w:rsidRPr="0052764F">
        <w:rPr>
          <w:rFonts w:ascii="Palatino Linotype" w:hAnsi="Palatino Linotype" w:cs="Arial"/>
        </w:rPr>
        <w:t xml:space="preserve">fueron atendidos por el </w:t>
      </w:r>
      <w:r w:rsidRPr="0052764F">
        <w:rPr>
          <w:rFonts w:ascii="Palatino Linotype" w:hAnsi="Palatino Linotype" w:cs="Arial"/>
          <w:b/>
        </w:rPr>
        <w:t xml:space="preserve">SUJETO OBLIGADO, </w:t>
      </w:r>
      <w:r w:rsidRPr="0052764F">
        <w:rPr>
          <w:rFonts w:ascii="Palatino Linotype" w:hAnsi="Palatino Linotype" w:cs="Arial"/>
        </w:rPr>
        <w:t>este Órgano Garante determina infundados</w:t>
      </w:r>
      <w:r w:rsidRPr="0052764F">
        <w:rPr>
          <w:rFonts w:ascii="Palatino Linotype" w:hAnsi="Palatino Linotype" w:cs="Arial"/>
          <w:b/>
        </w:rPr>
        <w:t xml:space="preserve"> </w:t>
      </w:r>
      <w:r w:rsidRPr="0052764F">
        <w:rPr>
          <w:rFonts w:ascii="Palatino Linotype" w:hAnsi="Palatino Linotype" w:cs="Arial"/>
        </w:rPr>
        <w:t xml:space="preserve">los motivos o razones de inconformidad esgrimidos por el </w:t>
      </w:r>
      <w:r w:rsidRPr="0052764F">
        <w:rPr>
          <w:rFonts w:ascii="Palatino Linotype" w:hAnsi="Palatino Linotype" w:cs="Arial"/>
          <w:b/>
        </w:rPr>
        <w:t xml:space="preserve">RECURRETE </w:t>
      </w:r>
      <w:r w:rsidRPr="0052764F">
        <w:rPr>
          <w:rFonts w:ascii="Palatino Linotype" w:hAnsi="Palatino Linotype" w:cs="Arial"/>
        </w:rPr>
        <w:t xml:space="preserve">y lo procedente es </w:t>
      </w:r>
      <w:r w:rsidRPr="0052764F">
        <w:rPr>
          <w:rFonts w:ascii="Palatino Linotype" w:hAnsi="Palatino Linotype" w:cs="Arial"/>
          <w:b/>
        </w:rPr>
        <w:t xml:space="preserve">CONFIRMAR, </w:t>
      </w:r>
      <w:r w:rsidRPr="0052764F">
        <w:rPr>
          <w:rFonts w:ascii="Palatino Linotype" w:hAnsi="Palatino Linotype" w:cs="Arial"/>
        </w:rPr>
        <w:t xml:space="preserve">la respuesta emitida por el </w:t>
      </w:r>
      <w:r w:rsidRPr="0052764F">
        <w:rPr>
          <w:rFonts w:ascii="Palatino Linotype" w:hAnsi="Palatino Linotype" w:cs="Arial"/>
          <w:b/>
        </w:rPr>
        <w:t xml:space="preserve">SUJETO OBLIGADO </w:t>
      </w:r>
      <w:r w:rsidRPr="0052764F">
        <w:rPr>
          <w:rFonts w:ascii="Palatino Linotype" w:hAnsi="Palatino Linotype" w:cs="Arial"/>
        </w:rPr>
        <w:t>a la solicitud de información.</w:t>
      </w: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cs="Arial"/>
          <w:b/>
        </w:rPr>
      </w:pPr>
    </w:p>
    <w:p w:rsidR="00911573" w:rsidRPr="0052764F" w:rsidRDefault="00911573" w:rsidP="00CE4F60">
      <w:pPr>
        <w:spacing w:line="360" w:lineRule="auto"/>
        <w:contextualSpacing/>
        <w:jc w:val="both"/>
        <w:rPr>
          <w:rFonts w:ascii="Palatino Linotype" w:hAnsi="Palatino Linotype"/>
          <w:sz w:val="14"/>
          <w:szCs w:val="16"/>
        </w:rPr>
      </w:pPr>
    </w:p>
    <w:p w:rsidR="00911573" w:rsidRPr="0052764F" w:rsidRDefault="00911573" w:rsidP="00CE4F60">
      <w:pPr>
        <w:spacing w:line="360" w:lineRule="auto"/>
        <w:contextualSpacing/>
        <w:jc w:val="both"/>
        <w:rPr>
          <w:rFonts w:ascii="Palatino Linotype" w:hAnsi="Palatino Linotype"/>
          <w:sz w:val="14"/>
          <w:szCs w:val="16"/>
        </w:rPr>
      </w:pPr>
    </w:p>
    <w:p w:rsidR="00911573" w:rsidRPr="0052764F" w:rsidRDefault="00911573" w:rsidP="00CE4F60">
      <w:pPr>
        <w:spacing w:line="360" w:lineRule="auto"/>
        <w:contextualSpacing/>
        <w:jc w:val="both"/>
        <w:rPr>
          <w:rFonts w:ascii="Palatino Linotype" w:hAnsi="Palatino Linotype"/>
          <w:sz w:val="14"/>
          <w:szCs w:val="16"/>
        </w:rPr>
      </w:pPr>
    </w:p>
    <w:p w:rsidR="00911573" w:rsidRPr="0052764F" w:rsidRDefault="00911573" w:rsidP="00CE4F60">
      <w:pPr>
        <w:spacing w:line="360" w:lineRule="auto"/>
        <w:contextualSpacing/>
        <w:jc w:val="both"/>
        <w:rPr>
          <w:rFonts w:ascii="Palatino Linotype" w:hAnsi="Palatino Linotype"/>
          <w:sz w:val="14"/>
          <w:szCs w:val="16"/>
        </w:rPr>
      </w:pPr>
    </w:p>
    <w:p w:rsidR="00E211DA" w:rsidRPr="0052764F" w:rsidRDefault="00E211DA" w:rsidP="00CE4F60">
      <w:pPr>
        <w:spacing w:line="360" w:lineRule="auto"/>
        <w:contextualSpacing/>
        <w:jc w:val="both"/>
        <w:rPr>
          <w:rFonts w:ascii="Palatino Linotype" w:hAnsi="Palatino Linotype"/>
          <w:sz w:val="14"/>
          <w:szCs w:val="16"/>
        </w:rPr>
      </w:pPr>
    </w:p>
    <w:p w:rsidR="00E211DA" w:rsidRPr="0052764F" w:rsidRDefault="00E211DA" w:rsidP="00CE4F60">
      <w:pPr>
        <w:spacing w:line="360" w:lineRule="auto"/>
        <w:contextualSpacing/>
        <w:jc w:val="both"/>
        <w:rPr>
          <w:rFonts w:ascii="Palatino Linotype" w:hAnsi="Palatino Linotype"/>
          <w:sz w:val="14"/>
          <w:szCs w:val="16"/>
        </w:rPr>
      </w:pPr>
    </w:p>
    <w:p w:rsidR="00E211DA" w:rsidRPr="0052764F" w:rsidRDefault="00E211DA" w:rsidP="00CE4F60">
      <w:pPr>
        <w:spacing w:line="360" w:lineRule="auto"/>
        <w:contextualSpacing/>
        <w:jc w:val="both"/>
        <w:rPr>
          <w:rFonts w:ascii="Palatino Linotype" w:hAnsi="Palatino Linotype"/>
          <w:sz w:val="14"/>
          <w:szCs w:val="16"/>
        </w:rPr>
      </w:pPr>
    </w:p>
    <w:p w:rsidR="00E211DA" w:rsidRPr="0052764F" w:rsidRDefault="00E211DA" w:rsidP="00CE4F60">
      <w:pPr>
        <w:spacing w:line="360" w:lineRule="auto"/>
        <w:contextualSpacing/>
        <w:jc w:val="both"/>
        <w:rPr>
          <w:rFonts w:ascii="Palatino Linotype" w:hAnsi="Palatino Linotype"/>
          <w:sz w:val="14"/>
          <w:szCs w:val="16"/>
        </w:rPr>
      </w:pPr>
    </w:p>
    <w:p w:rsidR="00E211DA" w:rsidRPr="0052764F" w:rsidRDefault="00E211DA" w:rsidP="00CE4F60">
      <w:pPr>
        <w:spacing w:line="360" w:lineRule="auto"/>
        <w:contextualSpacing/>
        <w:jc w:val="both"/>
        <w:rPr>
          <w:rFonts w:ascii="Palatino Linotype" w:hAnsi="Palatino Linotype"/>
          <w:sz w:val="14"/>
          <w:szCs w:val="16"/>
        </w:rPr>
      </w:pPr>
    </w:p>
    <w:p w:rsidR="00E211DA" w:rsidRPr="0052764F" w:rsidRDefault="00E211DA" w:rsidP="00CE4F60">
      <w:pPr>
        <w:spacing w:line="360" w:lineRule="auto"/>
        <w:contextualSpacing/>
        <w:jc w:val="both"/>
        <w:rPr>
          <w:rFonts w:ascii="Palatino Linotype" w:hAnsi="Palatino Linotype"/>
          <w:sz w:val="14"/>
          <w:szCs w:val="16"/>
        </w:rPr>
      </w:pPr>
    </w:p>
    <w:p w:rsidR="00E211DA" w:rsidRPr="0052764F" w:rsidRDefault="00E211DA" w:rsidP="00CE4F60">
      <w:pPr>
        <w:spacing w:line="360" w:lineRule="auto"/>
        <w:contextualSpacing/>
        <w:jc w:val="both"/>
        <w:rPr>
          <w:rFonts w:ascii="Palatino Linotype" w:hAnsi="Palatino Linotype"/>
          <w:sz w:val="14"/>
          <w:szCs w:val="16"/>
        </w:rPr>
      </w:pPr>
    </w:p>
    <w:p w:rsidR="00911573" w:rsidRPr="0052764F" w:rsidRDefault="00911573" w:rsidP="00CE4F60">
      <w:pPr>
        <w:spacing w:line="360" w:lineRule="auto"/>
        <w:contextualSpacing/>
        <w:jc w:val="both"/>
        <w:rPr>
          <w:rFonts w:ascii="Palatino Linotype" w:hAnsi="Palatino Linotype"/>
          <w:sz w:val="14"/>
          <w:szCs w:val="16"/>
        </w:rPr>
      </w:pPr>
    </w:p>
    <w:p w:rsidR="00911573" w:rsidRPr="0052764F" w:rsidRDefault="00911573" w:rsidP="00CE4F60">
      <w:pPr>
        <w:spacing w:line="360" w:lineRule="auto"/>
        <w:contextualSpacing/>
        <w:jc w:val="both"/>
        <w:rPr>
          <w:rFonts w:ascii="Palatino Linotype" w:hAnsi="Palatino Linotype"/>
          <w:sz w:val="14"/>
          <w:szCs w:val="16"/>
        </w:rPr>
      </w:pPr>
    </w:p>
    <w:p w:rsidR="00911573" w:rsidRPr="0052764F" w:rsidRDefault="00911573" w:rsidP="00CE4F60">
      <w:pPr>
        <w:tabs>
          <w:tab w:val="left" w:pos="567"/>
        </w:tabs>
        <w:spacing w:line="360" w:lineRule="auto"/>
        <w:jc w:val="both"/>
        <w:rPr>
          <w:rFonts w:ascii="Palatino Linotype" w:eastAsia="Calibri" w:hAnsi="Palatino Linotype"/>
          <w:sz w:val="22"/>
        </w:rPr>
      </w:pPr>
    </w:p>
    <w:p w:rsidR="00911573" w:rsidRPr="0052764F" w:rsidRDefault="00911573" w:rsidP="00CE4F60">
      <w:pPr>
        <w:spacing w:line="360" w:lineRule="auto"/>
        <w:jc w:val="center"/>
        <w:rPr>
          <w:rFonts w:ascii="Palatino Linotype" w:hAnsi="Palatino Linotype"/>
        </w:rPr>
      </w:pPr>
      <w:r w:rsidRPr="0052764F">
        <w:rPr>
          <w:rFonts w:ascii="Palatino Linotype" w:hAnsi="Palatino Linotype"/>
          <w:b/>
        </w:rPr>
        <w:lastRenderedPageBreak/>
        <w:t>ÍNDICE</w:t>
      </w:r>
      <w:r w:rsidRPr="0052764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rFonts w:ascii="Times New Roman" w:eastAsia="Times New Roman" w:hAnsi="Times New Roman" w:cs="Times New Roman"/>
          <w:bCs/>
          <w:lang w:eastAsia="es-ES_tradnl"/>
        </w:rPr>
      </w:sdtEndPr>
      <w:sdtContent>
        <w:p w:rsidR="00911573" w:rsidRPr="0052764F" w:rsidRDefault="00911573" w:rsidP="00CE4F60">
          <w:pPr>
            <w:pStyle w:val="TtulodeTDC"/>
            <w:spacing w:before="0" w:line="360" w:lineRule="auto"/>
            <w:rPr>
              <w:color w:val="000000" w:themeColor="text1"/>
              <w:szCs w:val="24"/>
            </w:rPr>
          </w:pPr>
        </w:p>
        <w:p w:rsidR="00CE4F60" w:rsidRPr="0052764F" w:rsidRDefault="00911573" w:rsidP="00CE4F60">
          <w:pPr>
            <w:pStyle w:val="TDC1"/>
            <w:tabs>
              <w:tab w:val="right" w:leader="dot" w:pos="8779"/>
            </w:tabs>
            <w:spacing w:after="0" w:line="480" w:lineRule="auto"/>
            <w:rPr>
              <w:rFonts w:ascii="Palatino Linotype" w:hAnsi="Palatino Linotype"/>
              <w:b/>
              <w:noProof/>
              <w:sz w:val="22"/>
              <w:szCs w:val="22"/>
              <w:lang w:val="es-MX" w:eastAsia="es-MX"/>
            </w:rPr>
          </w:pPr>
          <w:r w:rsidRPr="0052764F">
            <w:rPr>
              <w:rFonts w:ascii="Palatino Linotype" w:hAnsi="Palatino Linotype"/>
              <w:b/>
              <w:color w:val="000000" w:themeColor="text1"/>
            </w:rPr>
            <w:fldChar w:fldCharType="begin"/>
          </w:r>
          <w:r w:rsidRPr="0052764F">
            <w:rPr>
              <w:rFonts w:ascii="Palatino Linotype" w:hAnsi="Palatino Linotype"/>
              <w:b/>
              <w:color w:val="000000" w:themeColor="text1"/>
            </w:rPr>
            <w:instrText xml:space="preserve"> TOC \o "1-3" \h \z \u </w:instrText>
          </w:r>
          <w:r w:rsidRPr="0052764F">
            <w:rPr>
              <w:rFonts w:ascii="Palatino Linotype" w:hAnsi="Palatino Linotype"/>
              <w:b/>
              <w:color w:val="000000" w:themeColor="text1"/>
            </w:rPr>
            <w:fldChar w:fldCharType="separate"/>
          </w:r>
          <w:hyperlink w:anchor="_Toc57902965" w:history="1">
            <w:r w:rsidR="00CE4F60" w:rsidRPr="0052764F">
              <w:rPr>
                <w:rStyle w:val="Hipervnculo"/>
                <w:rFonts w:ascii="Palatino Linotype" w:hAnsi="Palatino Linotype"/>
                <w:b/>
                <w:noProof/>
              </w:rPr>
              <w:t>ANTECEDENTES</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_Toc57902965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3</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66" w:history="1">
            <w:r w:rsidR="00CE4F60" w:rsidRPr="0052764F">
              <w:rPr>
                <w:rStyle w:val="Hipervnculo"/>
                <w:rFonts w:ascii="Palatino Linotype" w:hAnsi="Palatino Linotype"/>
                <w:b/>
                <w:noProof/>
              </w:rPr>
              <w:t>CONSIDERANDO</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_Toc57902966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20</w:t>
            </w:r>
            <w:r w:rsidR="00CE4F60" w:rsidRPr="0052764F">
              <w:rPr>
                <w:rFonts w:ascii="Palatino Linotype" w:hAnsi="Palatino Linotype"/>
                <w:b/>
                <w:noProof/>
                <w:webHidden/>
              </w:rPr>
              <w:fldChar w:fldCharType="end"/>
            </w:r>
          </w:hyperlink>
        </w:p>
        <w:p w:rsidR="00CE4F60" w:rsidRPr="0052764F" w:rsidRDefault="007A28FE" w:rsidP="00CE4F60">
          <w:pPr>
            <w:pStyle w:val="TDC2"/>
            <w:spacing w:after="0" w:line="480" w:lineRule="auto"/>
            <w:rPr>
              <w:rFonts w:ascii="Palatino Linotype" w:hAnsi="Palatino Linotype"/>
              <w:b/>
              <w:noProof/>
              <w:sz w:val="22"/>
              <w:szCs w:val="22"/>
              <w:lang w:val="es-MX" w:eastAsia="es-MX"/>
            </w:rPr>
          </w:pPr>
          <w:hyperlink w:anchor="_Toc57902967" w:history="1">
            <w:r w:rsidR="00CE4F60" w:rsidRPr="0052764F">
              <w:rPr>
                <w:rStyle w:val="Hipervnculo"/>
                <w:rFonts w:ascii="Palatino Linotype" w:hAnsi="Palatino Linotype"/>
                <w:b/>
                <w:noProof/>
              </w:rPr>
              <w:t>PRIMERO. De la competencia</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_Toc57902967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20</w:t>
            </w:r>
            <w:r w:rsidR="00CE4F60" w:rsidRPr="0052764F">
              <w:rPr>
                <w:rFonts w:ascii="Palatino Linotype" w:hAnsi="Palatino Linotype"/>
                <w:b/>
                <w:noProof/>
                <w:webHidden/>
              </w:rPr>
              <w:fldChar w:fldCharType="end"/>
            </w:r>
          </w:hyperlink>
        </w:p>
        <w:p w:rsidR="00CE4F60" w:rsidRPr="0052764F" w:rsidRDefault="007A28FE" w:rsidP="00CE4F60">
          <w:pPr>
            <w:pStyle w:val="TDC2"/>
            <w:spacing w:after="0" w:line="480" w:lineRule="auto"/>
            <w:rPr>
              <w:rFonts w:ascii="Palatino Linotype" w:hAnsi="Palatino Linotype"/>
              <w:b/>
              <w:noProof/>
              <w:sz w:val="22"/>
              <w:szCs w:val="22"/>
              <w:lang w:val="es-MX" w:eastAsia="es-MX"/>
            </w:rPr>
          </w:pPr>
          <w:hyperlink w:anchor="_Toc57902968" w:history="1">
            <w:r w:rsidR="00CE4F60" w:rsidRPr="0052764F">
              <w:rPr>
                <w:rStyle w:val="Hipervnculo"/>
                <w:rFonts w:ascii="Palatino Linotype" w:hAnsi="Palatino Linotype"/>
                <w:b/>
                <w:noProof/>
              </w:rPr>
              <w:t>SEGUNDO. De la oportunidad y procedencia.</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_Toc57902968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21</w:t>
            </w:r>
            <w:r w:rsidR="00CE4F60" w:rsidRPr="0052764F">
              <w:rPr>
                <w:rFonts w:ascii="Palatino Linotype" w:hAnsi="Palatino Linotype"/>
                <w:b/>
                <w:noProof/>
                <w:webHidden/>
              </w:rPr>
              <w:fldChar w:fldCharType="end"/>
            </w:r>
          </w:hyperlink>
        </w:p>
        <w:p w:rsidR="00CE4F60" w:rsidRPr="0052764F" w:rsidRDefault="007A28FE" w:rsidP="00CE4F60">
          <w:pPr>
            <w:pStyle w:val="TDC2"/>
            <w:spacing w:after="0" w:line="480" w:lineRule="auto"/>
            <w:rPr>
              <w:rFonts w:ascii="Palatino Linotype" w:hAnsi="Palatino Linotype"/>
              <w:b/>
              <w:noProof/>
              <w:sz w:val="22"/>
              <w:szCs w:val="22"/>
              <w:lang w:val="es-MX" w:eastAsia="es-MX"/>
            </w:rPr>
          </w:pPr>
          <w:hyperlink w:anchor="_Toc57902969" w:history="1">
            <w:r w:rsidR="00CE4F60" w:rsidRPr="0052764F">
              <w:rPr>
                <w:rStyle w:val="Hipervnculo"/>
                <w:rFonts w:ascii="Palatino Linotype" w:hAnsi="Palatino Linotype"/>
                <w:b/>
                <w:noProof/>
              </w:rPr>
              <w:t>TERCERO. Del Planteamiento de la Litis</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_Toc57902969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27</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0" w:history="1">
            <w:r w:rsidR="00CE4F60" w:rsidRPr="0052764F">
              <w:rPr>
                <w:rStyle w:val="Hipervnculo"/>
                <w:rFonts w:ascii="Palatino Linotype" w:eastAsia="MS Gothic" w:hAnsi="Palatino Linotype" w:cstheme="majorBidi"/>
                <w:b/>
                <w:noProof/>
                <w:lang w:eastAsia="en-US"/>
              </w:rPr>
              <w:t>CUARTO. Del estudio y resolución</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_Toc57902970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29</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1" w:history="1">
            <w:r w:rsidR="00CE4F60" w:rsidRPr="0052764F">
              <w:rPr>
                <w:rStyle w:val="Hipervnculo"/>
                <w:rFonts w:ascii="Palatino Linotype" w:eastAsia="MS Gothic" w:hAnsi="Palatino Linotype" w:cstheme="majorBidi"/>
                <w:b/>
                <w:noProof/>
              </w:rPr>
              <w:t>I.  De la modalidad de entrega de la información solicitada.</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_Toc57902971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34</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2" w:history="1">
            <w:r w:rsidR="00CE4F60" w:rsidRPr="0052764F">
              <w:rPr>
                <w:rStyle w:val="Hipervnculo"/>
                <w:rFonts w:ascii="Palatino Linotype" w:eastAsia="MS Gothic" w:hAnsi="Palatino Linotype" w:cstheme="majorBidi"/>
                <w:b/>
                <w:noProof/>
              </w:rPr>
              <w:t>a.  De las capacidades técnicas administrativas y humanas</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_Toc57902972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36</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3" w:history="1">
            <w:r w:rsidR="00CE4F60" w:rsidRPr="0052764F">
              <w:rPr>
                <w:rStyle w:val="Hipervnculo"/>
                <w:rFonts w:ascii="Palatino Linotype" w:eastAsia="MS Gothic" w:hAnsi="Palatino Linotype" w:cstheme="majorBidi"/>
                <w:b/>
                <w:noProof/>
              </w:rPr>
              <w:t>II.  De los actos de autoridad.</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_Toc57902973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41</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4" w:history="1">
            <w:r w:rsidR="00CE4F60" w:rsidRPr="0052764F">
              <w:rPr>
                <w:rStyle w:val="Hipervnculo"/>
                <w:rFonts w:ascii="Palatino Linotype" w:hAnsi="Palatino Linotype"/>
                <w:b/>
                <w:noProof/>
              </w:rPr>
              <w:t>QUINTO. De la versión pública.</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_Toc57902974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50</w:t>
            </w:r>
            <w:r w:rsidR="00CE4F60" w:rsidRPr="0052764F">
              <w:rPr>
                <w:rFonts w:ascii="Palatino Linotype" w:hAnsi="Palatino Linotype"/>
                <w:b/>
                <w:noProof/>
                <w:webHidden/>
              </w:rPr>
              <w:fldChar w:fldCharType="end"/>
            </w:r>
          </w:hyperlink>
        </w:p>
        <w:p w:rsidR="00CE4F60" w:rsidRPr="0052764F" w:rsidRDefault="007A28FE" w:rsidP="00CE4F60">
          <w:pPr>
            <w:pStyle w:val="TDC2"/>
            <w:tabs>
              <w:tab w:val="left" w:pos="440"/>
            </w:tabs>
            <w:spacing w:after="0" w:line="480" w:lineRule="auto"/>
            <w:rPr>
              <w:rFonts w:ascii="Palatino Linotype" w:hAnsi="Palatino Linotype"/>
              <w:b/>
              <w:noProof/>
              <w:sz w:val="22"/>
              <w:szCs w:val="22"/>
              <w:lang w:val="es-MX" w:eastAsia="es-MX"/>
            </w:rPr>
          </w:pPr>
          <w:hyperlink w:anchor="_Toc57902975" w:history="1">
            <w:r w:rsidR="00CE4F60" w:rsidRPr="0052764F">
              <w:rPr>
                <w:rStyle w:val="Hipervnculo"/>
                <w:rFonts w:ascii="Palatino Linotype" w:hAnsi="Palatino Linotype"/>
                <w:b/>
                <w:noProof/>
              </w:rPr>
              <w:t>A.</w:t>
            </w:r>
            <w:r w:rsidR="00CE4F60" w:rsidRPr="0052764F">
              <w:rPr>
                <w:rFonts w:ascii="Palatino Linotype" w:hAnsi="Palatino Linotype"/>
                <w:b/>
                <w:noProof/>
                <w:sz w:val="22"/>
                <w:szCs w:val="22"/>
                <w:lang w:val="es-MX" w:eastAsia="es-MX"/>
              </w:rPr>
              <w:tab/>
            </w:r>
            <w:r w:rsidR="00CE4F60" w:rsidRPr="0052764F">
              <w:rPr>
                <w:rStyle w:val="Hipervnculo"/>
                <w:rFonts w:ascii="Palatino Linotype" w:hAnsi="Palatino Linotype"/>
                <w:b/>
                <w:noProof/>
              </w:rPr>
              <w:t>Requisitos de fondo del acuerdo de clasificación.</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_Toc57902975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53</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6" w:history="1">
            <w:r w:rsidR="00CE4F60" w:rsidRPr="0052764F">
              <w:rPr>
                <w:rStyle w:val="Hipervnculo"/>
                <w:rFonts w:ascii="Palatino Linotype" w:hAnsi="Palatino Linotype"/>
                <w:b/>
                <w:noProof/>
              </w:rPr>
              <w:t>B) De la disociación.</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_Toc57902976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61</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7" w:history="1">
            <w:r w:rsidR="00CE4F60" w:rsidRPr="0052764F">
              <w:rPr>
                <w:rStyle w:val="Hipervnculo"/>
                <w:rFonts w:ascii="Palatino Linotype" w:eastAsia="MS Gothic" w:hAnsi="Palatino Linotype" w:cstheme="majorBidi"/>
                <w:b/>
                <w:noProof/>
              </w:rPr>
              <w:t>SEXTO. Vista a loa Órganos de Control Interno</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_Toc57902977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62</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8" w:history="1">
            <w:r w:rsidR="00CE4F60" w:rsidRPr="0052764F">
              <w:rPr>
                <w:rStyle w:val="Hipervnculo"/>
                <w:rFonts w:ascii="Palatino Linotype" w:eastAsia="MS Gothic" w:hAnsi="Palatino Linotype" w:cstheme="majorBidi"/>
                <w:b/>
                <w:noProof/>
              </w:rPr>
              <w:t>SÉPTIMO. Vista a la Dirección Jurídica y de Verificación.</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_Toc57902978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65</w:t>
            </w:r>
            <w:r w:rsidR="00CE4F60" w:rsidRPr="0052764F">
              <w:rPr>
                <w:rFonts w:ascii="Palatino Linotype" w:hAnsi="Palatino Linotype"/>
                <w:b/>
                <w:noProof/>
                <w:webHidden/>
              </w:rPr>
              <w:fldChar w:fldCharType="end"/>
            </w:r>
          </w:hyperlink>
        </w:p>
        <w:p w:rsidR="00CE4F60" w:rsidRPr="0052764F" w:rsidRDefault="007A28FE" w:rsidP="00CE4F60">
          <w:pPr>
            <w:pStyle w:val="TDC1"/>
            <w:tabs>
              <w:tab w:val="right" w:leader="dot" w:pos="8779"/>
            </w:tabs>
            <w:spacing w:after="0" w:line="480" w:lineRule="auto"/>
            <w:rPr>
              <w:rFonts w:ascii="Palatino Linotype" w:hAnsi="Palatino Linotype"/>
              <w:b/>
              <w:noProof/>
              <w:sz w:val="22"/>
              <w:szCs w:val="22"/>
              <w:lang w:val="es-MX" w:eastAsia="es-MX"/>
            </w:rPr>
          </w:pPr>
          <w:hyperlink w:anchor="_Toc57902979" w:history="1">
            <w:r w:rsidR="00CE4F60" w:rsidRPr="0052764F">
              <w:rPr>
                <w:rStyle w:val="Hipervnculo"/>
                <w:rFonts w:ascii="Palatino Linotype" w:eastAsia="MS Gothic" w:hAnsi="Palatino Linotype"/>
                <w:b/>
                <w:noProof/>
                <w:lang w:eastAsia="en-US"/>
              </w:rPr>
              <w:t>R E S O L U T I V O S</w:t>
            </w:r>
            <w:r w:rsidR="00CE4F60" w:rsidRPr="0052764F">
              <w:rPr>
                <w:rFonts w:ascii="Palatino Linotype" w:hAnsi="Palatino Linotype"/>
                <w:b/>
                <w:noProof/>
                <w:webHidden/>
              </w:rPr>
              <w:tab/>
            </w:r>
            <w:r w:rsidR="00CE4F60" w:rsidRPr="0052764F">
              <w:rPr>
                <w:rFonts w:ascii="Palatino Linotype" w:hAnsi="Palatino Linotype"/>
                <w:b/>
                <w:noProof/>
                <w:webHidden/>
              </w:rPr>
              <w:fldChar w:fldCharType="begin"/>
            </w:r>
            <w:r w:rsidR="00CE4F60" w:rsidRPr="0052764F">
              <w:rPr>
                <w:rFonts w:ascii="Palatino Linotype" w:hAnsi="Palatino Linotype"/>
                <w:b/>
                <w:noProof/>
                <w:webHidden/>
              </w:rPr>
              <w:instrText xml:space="preserve"> PAGEREF _Toc57902979 \h </w:instrText>
            </w:r>
            <w:r w:rsidR="00CE4F60" w:rsidRPr="0052764F">
              <w:rPr>
                <w:rFonts w:ascii="Palatino Linotype" w:hAnsi="Palatino Linotype"/>
                <w:b/>
                <w:noProof/>
                <w:webHidden/>
              </w:rPr>
            </w:r>
            <w:r w:rsidR="00CE4F60" w:rsidRPr="0052764F">
              <w:rPr>
                <w:rFonts w:ascii="Palatino Linotype" w:hAnsi="Palatino Linotype"/>
                <w:b/>
                <w:noProof/>
                <w:webHidden/>
              </w:rPr>
              <w:fldChar w:fldCharType="separate"/>
            </w:r>
            <w:r w:rsidR="00CE4F60" w:rsidRPr="0052764F">
              <w:rPr>
                <w:rFonts w:ascii="Palatino Linotype" w:hAnsi="Palatino Linotype"/>
                <w:b/>
                <w:noProof/>
                <w:webHidden/>
              </w:rPr>
              <w:t>67</w:t>
            </w:r>
            <w:r w:rsidR="00CE4F60" w:rsidRPr="0052764F">
              <w:rPr>
                <w:rFonts w:ascii="Palatino Linotype" w:hAnsi="Palatino Linotype"/>
                <w:b/>
                <w:noProof/>
                <w:webHidden/>
              </w:rPr>
              <w:fldChar w:fldCharType="end"/>
            </w:r>
          </w:hyperlink>
        </w:p>
        <w:p w:rsidR="00911573" w:rsidRPr="0052764F" w:rsidRDefault="00911573" w:rsidP="00CE4F60">
          <w:pPr>
            <w:spacing w:line="480" w:lineRule="auto"/>
            <w:rPr>
              <w:rFonts w:ascii="Palatino Linotype" w:hAnsi="Palatino Linotype"/>
              <w:bCs/>
              <w:lang w:val="es-ES"/>
            </w:rPr>
          </w:pPr>
          <w:r w:rsidRPr="0052764F">
            <w:rPr>
              <w:rFonts w:ascii="Palatino Linotype" w:hAnsi="Palatino Linotype"/>
              <w:b/>
              <w:bCs/>
              <w:color w:val="000000" w:themeColor="text1"/>
              <w:lang w:val="es-ES"/>
            </w:rPr>
            <w:fldChar w:fldCharType="end"/>
          </w:r>
        </w:p>
      </w:sdtContent>
    </w:sdt>
    <w:p w:rsidR="00911573" w:rsidRPr="0052764F" w:rsidRDefault="00911573" w:rsidP="00CE4F60">
      <w:pPr>
        <w:spacing w:line="360" w:lineRule="auto"/>
        <w:jc w:val="both"/>
        <w:rPr>
          <w:rFonts w:ascii="Palatino Linotype" w:hAnsi="Palatino Linotype"/>
        </w:rPr>
      </w:pPr>
      <w:r w:rsidRPr="0052764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nueve (9) de diciembre  de dos mil veinte. </w:t>
      </w:r>
    </w:p>
    <w:p w:rsidR="00911573" w:rsidRPr="0052764F" w:rsidRDefault="00911573" w:rsidP="00CE4F60">
      <w:pPr>
        <w:spacing w:line="360" w:lineRule="auto"/>
        <w:jc w:val="both"/>
        <w:rPr>
          <w:rFonts w:ascii="Palatino Linotype" w:hAnsi="Palatino Linotype"/>
        </w:rPr>
      </w:pPr>
    </w:p>
    <w:p w:rsidR="00911573" w:rsidRPr="0052764F" w:rsidRDefault="00911573" w:rsidP="00CE4F60">
      <w:pPr>
        <w:spacing w:line="360" w:lineRule="auto"/>
        <w:jc w:val="both"/>
        <w:rPr>
          <w:rFonts w:ascii="Palatino Linotype" w:hAnsi="Palatino Linotype" w:cs="Arial"/>
          <w:b/>
          <w:bCs/>
        </w:rPr>
      </w:pPr>
      <w:r w:rsidRPr="0052764F">
        <w:rPr>
          <w:rFonts w:ascii="Palatino Linotype" w:hAnsi="Palatino Linotype"/>
          <w:b/>
        </w:rPr>
        <w:t>VISTOS</w:t>
      </w:r>
      <w:r w:rsidRPr="0052764F">
        <w:rPr>
          <w:rFonts w:ascii="Palatino Linotype" w:hAnsi="Palatino Linotype"/>
        </w:rPr>
        <w:t xml:space="preserve"> los expedientes electrónicos formados con motivo de los recursos de revisión </w:t>
      </w:r>
      <w:r w:rsidRPr="0052764F">
        <w:rPr>
          <w:rFonts w:ascii="Palatino Linotype" w:hAnsi="Palatino Linotype" w:cs="Arial"/>
          <w:b/>
          <w:bCs/>
        </w:rPr>
        <w:t xml:space="preserve">04593/INFOEM/IP/RR/2020, 04594/INFOEM/IP/RR/2020, y 04595/INFOEM/IP/RR/2020, </w:t>
      </w:r>
      <w:r w:rsidR="003B7F21" w:rsidRPr="0052764F">
        <w:rPr>
          <w:rFonts w:ascii="Palatino Linotype" w:eastAsiaTheme="minorEastAsia" w:hAnsi="Palatino Linotype"/>
          <w:lang w:val="es-ES_tradnl" w:eastAsia="es-ES"/>
        </w:rPr>
        <w:t xml:space="preserve">por </w:t>
      </w:r>
      <w:r w:rsidR="003B7F21" w:rsidRPr="0052764F">
        <w:rPr>
          <w:rFonts w:ascii="Palatino Linotype" w:hAnsi="Palatino Linotype"/>
          <w:bCs/>
        </w:rPr>
        <w:t>una persona usuaria del Sistema de Acceso a la Información Mexiquense</w:t>
      </w:r>
      <w:r w:rsidR="003B7F21" w:rsidRPr="0052764F">
        <w:rPr>
          <w:rFonts w:ascii="Palatino Linotype" w:hAnsi="Palatino Linotype"/>
          <w:b/>
          <w:bCs/>
        </w:rPr>
        <w:t xml:space="preserve"> (SAIMEX), </w:t>
      </w:r>
      <w:r w:rsidR="003B7F21" w:rsidRPr="0052764F">
        <w:rPr>
          <w:rFonts w:ascii="Palatino Linotype" w:hAnsi="Palatino Linotype"/>
          <w:bCs/>
        </w:rPr>
        <w:t>quien no proporciono ningún nombre, seudónimo o carácter para poder ser identificado</w:t>
      </w:r>
      <w:r w:rsidR="003B7F21" w:rsidRPr="0052764F">
        <w:rPr>
          <w:rFonts w:ascii="Palatino Linotype" w:eastAsiaTheme="minorEastAsia" w:hAnsi="Palatino Linotype"/>
          <w:b/>
          <w:lang w:val="es-ES_tradnl" w:eastAsia="es-ES"/>
        </w:rPr>
        <w:t xml:space="preserve">, quién  en lo sucesivo será identificado </w:t>
      </w:r>
      <w:r w:rsidR="003B7F21" w:rsidRPr="0052764F">
        <w:rPr>
          <w:rFonts w:ascii="Palatino Linotype" w:eastAsiaTheme="minorEastAsia" w:hAnsi="Palatino Linotype" w:cs="Arial"/>
          <w:lang w:val="es-ES_tradnl" w:eastAsia="es-ES"/>
        </w:rPr>
        <w:t xml:space="preserve">en su calidad de </w:t>
      </w:r>
      <w:r w:rsidR="003B7F21" w:rsidRPr="0052764F">
        <w:rPr>
          <w:rFonts w:ascii="Palatino Linotype" w:eastAsiaTheme="minorEastAsia" w:hAnsi="Palatino Linotype" w:cs="Arial"/>
          <w:b/>
          <w:lang w:val="es-ES_tradnl" w:eastAsia="es-ES"/>
        </w:rPr>
        <w:t>RECURRENTE</w:t>
      </w:r>
      <w:r w:rsidRPr="0052764F">
        <w:rPr>
          <w:rFonts w:ascii="Palatino Linotype" w:hAnsi="Palatino Linotype"/>
          <w:b/>
        </w:rPr>
        <w:t xml:space="preserve">, </w:t>
      </w:r>
      <w:r w:rsidRPr="0052764F">
        <w:rPr>
          <w:rFonts w:ascii="Palatino Linotype" w:hAnsi="Palatino Linotype"/>
        </w:rPr>
        <w:t>en contra de la falta de respuesta de</w:t>
      </w:r>
      <w:r w:rsidR="003B7F21" w:rsidRPr="0052764F">
        <w:rPr>
          <w:rFonts w:ascii="Palatino Linotype" w:hAnsi="Palatino Linotype"/>
        </w:rPr>
        <w:t xml:space="preserve"> </w:t>
      </w:r>
      <w:r w:rsidRPr="0052764F">
        <w:rPr>
          <w:rFonts w:ascii="Palatino Linotype" w:hAnsi="Palatino Linotype"/>
        </w:rPr>
        <w:t>l</w:t>
      </w:r>
      <w:r w:rsidR="003B7F21" w:rsidRPr="0052764F">
        <w:rPr>
          <w:rFonts w:ascii="Palatino Linotype" w:hAnsi="Palatino Linotype"/>
        </w:rPr>
        <w:t>a</w:t>
      </w:r>
      <w:r w:rsidRPr="0052764F">
        <w:rPr>
          <w:rFonts w:ascii="Palatino Linotype" w:hAnsi="Palatino Linotype"/>
        </w:rPr>
        <w:t xml:space="preserve"> </w:t>
      </w:r>
      <w:r w:rsidR="003B7F21" w:rsidRPr="0052764F">
        <w:rPr>
          <w:rFonts w:ascii="Palatino Linotype" w:hAnsi="Palatino Linotype" w:cs="Arial"/>
          <w:b/>
          <w:lang w:eastAsia="es-MX"/>
        </w:rPr>
        <w:t>Secretaría de Finanzas</w:t>
      </w:r>
      <w:r w:rsidRPr="0052764F">
        <w:rPr>
          <w:rFonts w:ascii="Palatino Linotype" w:hAnsi="Palatino Linotype"/>
          <w:b/>
        </w:rPr>
        <w:t>, e</w:t>
      </w:r>
      <w:r w:rsidRPr="0052764F">
        <w:rPr>
          <w:rFonts w:ascii="Palatino Linotype" w:hAnsi="Palatino Linotype"/>
        </w:rPr>
        <w:t>n lo sucesivo el</w:t>
      </w:r>
      <w:r w:rsidRPr="0052764F">
        <w:rPr>
          <w:rFonts w:ascii="Palatino Linotype" w:hAnsi="Palatino Linotype"/>
          <w:b/>
        </w:rPr>
        <w:t xml:space="preserve"> SUJETO OBLIGADO, </w:t>
      </w:r>
      <w:r w:rsidRPr="0052764F">
        <w:rPr>
          <w:rFonts w:ascii="Palatino Linotype" w:hAnsi="Palatino Linotype"/>
        </w:rPr>
        <w:t xml:space="preserve">se procede a dictar la presente resolución, con base en los siguientes: </w:t>
      </w:r>
    </w:p>
    <w:p w:rsidR="00911573" w:rsidRPr="0052764F" w:rsidRDefault="00911573" w:rsidP="00CE4F60">
      <w:pPr>
        <w:spacing w:line="360" w:lineRule="auto"/>
        <w:jc w:val="both"/>
        <w:rPr>
          <w:rFonts w:ascii="Palatino Linotype" w:hAnsi="Palatino Linotype"/>
        </w:rPr>
      </w:pPr>
    </w:p>
    <w:p w:rsidR="00911573" w:rsidRPr="0052764F" w:rsidRDefault="00911573" w:rsidP="00CE4F60">
      <w:pPr>
        <w:pStyle w:val="Ttulo1"/>
        <w:spacing w:before="0" w:line="360" w:lineRule="auto"/>
        <w:jc w:val="center"/>
        <w:rPr>
          <w:szCs w:val="24"/>
        </w:rPr>
      </w:pPr>
      <w:bookmarkStart w:id="0" w:name="_Toc57902965"/>
      <w:r w:rsidRPr="0052764F">
        <w:rPr>
          <w:szCs w:val="24"/>
        </w:rPr>
        <w:t>ANTECEDENTES</w:t>
      </w:r>
      <w:bookmarkEnd w:id="0"/>
    </w:p>
    <w:p w:rsidR="00911573" w:rsidRPr="0052764F" w:rsidRDefault="00911573" w:rsidP="00CE4F60">
      <w:pPr>
        <w:spacing w:line="360" w:lineRule="auto"/>
        <w:rPr>
          <w:rFonts w:ascii="Palatino Linotype" w:hAnsi="Palatino Linotype"/>
          <w:lang w:eastAsia="en-US"/>
        </w:rPr>
      </w:pPr>
    </w:p>
    <w:p w:rsidR="00911573" w:rsidRPr="0052764F" w:rsidRDefault="00911573" w:rsidP="00CE4F60">
      <w:pPr>
        <w:pStyle w:val="Prrafodelista"/>
        <w:numPr>
          <w:ilvl w:val="0"/>
          <w:numId w:val="1"/>
        </w:numPr>
        <w:spacing w:line="360" w:lineRule="auto"/>
        <w:ind w:left="0" w:firstLine="0"/>
        <w:jc w:val="both"/>
        <w:rPr>
          <w:rFonts w:ascii="Palatino Linotype" w:eastAsia="Calibri" w:hAnsi="Palatino Linotype" w:cs="Arial"/>
          <w:lang w:val="es-ES"/>
        </w:rPr>
      </w:pPr>
      <w:r w:rsidRPr="0052764F">
        <w:rPr>
          <w:rFonts w:ascii="Palatino Linotype" w:eastAsia="Calibri" w:hAnsi="Palatino Linotype" w:cs="Arial"/>
          <w:lang w:val="es-ES"/>
        </w:rPr>
        <w:t xml:space="preserve">El </w:t>
      </w:r>
      <w:r w:rsidR="00C40A7C" w:rsidRPr="0052764F">
        <w:rPr>
          <w:rFonts w:ascii="Palatino Linotype" w:eastAsia="Calibri" w:hAnsi="Palatino Linotype" w:cs="Arial"/>
          <w:b/>
          <w:lang w:val="es-ES"/>
        </w:rPr>
        <w:t xml:space="preserve">veintinueve (29) de septiembre </w:t>
      </w:r>
      <w:r w:rsidRPr="0052764F">
        <w:rPr>
          <w:rFonts w:ascii="Palatino Linotype" w:eastAsia="Calibri" w:hAnsi="Palatino Linotype" w:cs="Arial"/>
          <w:b/>
          <w:lang w:val="es-ES"/>
        </w:rPr>
        <w:t xml:space="preserve"> de dos mil veinte</w:t>
      </w:r>
      <w:r w:rsidRPr="0052764F">
        <w:rPr>
          <w:rFonts w:ascii="Palatino Linotype" w:eastAsia="Calibri" w:hAnsi="Palatino Linotype" w:cs="Arial"/>
          <w:lang w:val="es-ES"/>
        </w:rPr>
        <w:t>,</w:t>
      </w:r>
      <w:r w:rsidRPr="0052764F">
        <w:rPr>
          <w:rFonts w:ascii="Palatino Linotype" w:eastAsia="Calibri" w:hAnsi="Palatino Linotype" w:cs="Times New Roman"/>
          <w:lang w:val="es-ES"/>
        </w:rPr>
        <w:t xml:space="preserve"> se</w:t>
      </w:r>
      <w:r w:rsidRPr="0052764F">
        <w:rPr>
          <w:rFonts w:ascii="Palatino Linotype" w:hAnsi="Palatino Linotype"/>
          <w:b/>
        </w:rPr>
        <w:t xml:space="preserve"> </w:t>
      </w:r>
      <w:r w:rsidRPr="0052764F">
        <w:rPr>
          <w:rFonts w:ascii="Palatino Linotype" w:hAnsi="Palatino Linotype"/>
        </w:rPr>
        <w:t xml:space="preserve">presentaron </w:t>
      </w:r>
      <w:r w:rsidRPr="0052764F">
        <w:rPr>
          <w:rFonts w:ascii="Palatino Linotype" w:eastAsia="Calibri" w:hAnsi="Palatino Linotype" w:cs="Arial"/>
          <w:lang w:val="es-ES"/>
        </w:rPr>
        <w:t xml:space="preserve">ante el </w:t>
      </w:r>
      <w:r w:rsidRPr="0052764F">
        <w:rPr>
          <w:rFonts w:ascii="Palatino Linotype" w:eastAsia="Calibri" w:hAnsi="Palatino Linotype" w:cs="Arial"/>
          <w:b/>
          <w:lang w:val="es-ES"/>
        </w:rPr>
        <w:t xml:space="preserve">SUJETO OBLIGADO </w:t>
      </w:r>
      <w:r w:rsidRPr="0052764F">
        <w:rPr>
          <w:rFonts w:ascii="Palatino Linotype" w:eastAsia="Calibri" w:hAnsi="Palatino Linotype" w:cs="Arial"/>
        </w:rPr>
        <w:t xml:space="preserve">vía </w:t>
      </w:r>
      <w:r w:rsidRPr="0052764F">
        <w:rPr>
          <w:rFonts w:ascii="Palatino Linotype" w:eastAsia="Calibri" w:hAnsi="Palatino Linotype" w:cs="Arial"/>
          <w:lang w:val="es-ES"/>
        </w:rPr>
        <w:t xml:space="preserve">Sistema de Acceso a la Información Mexiquense </w:t>
      </w:r>
      <w:r w:rsidRPr="0052764F">
        <w:rPr>
          <w:rFonts w:ascii="Palatino Linotype" w:eastAsia="Calibri" w:hAnsi="Palatino Linotype" w:cs="Arial"/>
          <w:b/>
          <w:lang w:val="es-ES"/>
        </w:rPr>
        <w:t>(SAIMEX),</w:t>
      </w:r>
      <w:r w:rsidRPr="0052764F">
        <w:rPr>
          <w:rFonts w:ascii="Palatino Linotype" w:eastAsia="Calibri" w:hAnsi="Palatino Linotype" w:cs="Arial"/>
          <w:lang w:val="es-ES"/>
        </w:rPr>
        <w:t xml:space="preserve"> las solicitudes de información pública registradas con los números</w:t>
      </w:r>
      <w:r w:rsidRPr="0052764F">
        <w:rPr>
          <w:rFonts w:ascii="Palatino Linotype" w:eastAsia="Calibri" w:hAnsi="Palatino Linotype" w:cs="Arial"/>
          <w:b/>
          <w:bCs/>
        </w:rPr>
        <w:t> </w:t>
      </w:r>
      <w:r w:rsidR="00C40A7C" w:rsidRPr="0052764F">
        <w:rPr>
          <w:rFonts w:ascii="Palatino Linotype" w:hAnsi="Palatino Linotype" w:cs="Arial"/>
          <w:b/>
          <w:bCs/>
          <w:lang w:val="es-MX"/>
        </w:rPr>
        <w:t>00460/SF/IP/2020</w:t>
      </w:r>
      <w:r w:rsidRPr="0052764F">
        <w:rPr>
          <w:rFonts w:ascii="Palatino Linotype" w:eastAsia="Calibri" w:hAnsi="Palatino Linotype" w:cs="Arial"/>
          <w:lang w:val="es-ES"/>
        </w:rPr>
        <w:t xml:space="preserve">, </w:t>
      </w:r>
      <w:r w:rsidR="00C40A7C" w:rsidRPr="0052764F">
        <w:rPr>
          <w:rFonts w:ascii="Palatino Linotype" w:hAnsi="Palatino Linotype" w:cs="Arial"/>
          <w:b/>
          <w:bCs/>
          <w:lang w:val="es-MX"/>
        </w:rPr>
        <w:t>00459/SF/IP/2020</w:t>
      </w:r>
      <w:r w:rsidRPr="0052764F">
        <w:rPr>
          <w:rFonts w:ascii="Palatino Linotype" w:eastAsia="Calibri" w:hAnsi="Palatino Linotype" w:cs="Arial"/>
          <w:lang w:val="es-ES"/>
        </w:rPr>
        <w:t xml:space="preserve">, y </w:t>
      </w:r>
      <w:r w:rsidR="00C40A7C" w:rsidRPr="0052764F">
        <w:rPr>
          <w:rFonts w:ascii="Palatino Linotype" w:hAnsi="Palatino Linotype" w:cs="Arial"/>
          <w:b/>
          <w:bCs/>
          <w:lang w:val="es-MX"/>
        </w:rPr>
        <w:t>00458/SF/IP/2020</w:t>
      </w:r>
      <w:r w:rsidRPr="0052764F">
        <w:rPr>
          <w:rFonts w:ascii="Palatino Linotype" w:eastAsia="Calibri" w:hAnsi="Palatino Linotype" w:cs="Arial"/>
          <w:lang w:val="es-ES"/>
        </w:rPr>
        <w:t>,  mediante las cuales requirieron:</w:t>
      </w:r>
    </w:p>
    <w:p w:rsidR="00C40A7C" w:rsidRPr="0052764F" w:rsidRDefault="00C40A7C" w:rsidP="00CE4F60">
      <w:pPr>
        <w:pStyle w:val="Prrafodelista"/>
        <w:spacing w:line="360" w:lineRule="auto"/>
        <w:ind w:left="0"/>
        <w:jc w:val="both"/>
        <w:rPr>
          <w:rFonts w:ascii="Palatino Linotype" w:eastAsia="Calibri" w:hAnsi="Palatino Linotype" w:cs="Arial"/>
          <w:lang w:val="es-ES"/>
        </w:rPr>
      </w:pPr>
    </w:p>
    <w:p w:rsidR="00CE4F60" w:rsidRPr="0052764F" w:rsidRDefault="00CE4F60" w:rsidP="00CE4F60">
      <w:pPr>
        <w:pStyle w:val="Prrafodelista"/>
        <w:spacing w:line="360" w:lineRule="auto"/>
        <w:ind w:left="0"/>
        <w:jc w:val="both"/>
        <w:rPr>
          <w:rFonts w:ascii="Palatino Linotype" w:eastAsia="Calibri" w:hAnsi="Palatino Linotype" w:cs="Arial"/>
          <w:lang w:val="es-ES"/>
        </w:rPr>
      </w:pPr>
    </w:p>
    <w:p w:rsidR="00CE4F60" w:rsidRPr="0052764F" w:rsidRDefault="00CE4F60" w:rsidP="00CE4F60">
      <w:pPr>
        <w:pStyle w:val="Prrafodelista"/>
        <w:spacing w:line="360" w:lineRule="auto"/>
        <w:ind w:left="0"/>
        <w:jc w:val="both"/>
        <w:rPr>
          <w:rFonts w:ascii="Palatino Linotype" w:eastAsia="Calibri" w:hAnsi="Palatino Linotype" w:cs="Arial"/>
          <w:lang w:val="es-ES"/>
        </w:rPr>
      </w:pPr>
    </w:p>
    <w:p w:rsidR="00C40A7C" w:rsidRPr="0052764F" w:rsidRDefault="00C40A7C" w:rsidP="00CE4F60">
      <w:pPr>
        <w:pStyle w:val="Prrafodelista"/>
        <w:numPr>
          <w:ilvl w:val="0"/>
          <w:numId w:val="7"/>
        </w:numPr>
        <w:spacing w:line="360" w:lineRule="auto"/>
        <w:ind w:right="567"/>
        <w:jc w:val="both"/>
        <w:rPr>
          <w:rFonts w:ascii="Palatino Linotype" w:hAnsi="Palatino Linotype"/>
          <w:color w:val="000000"/>
          <w:sz w:val="22"/>
          <w:szCs w:val="22"/>
        </w:rPr>
      </w:pPr>
      <w:r w:rsidRPr="0052764F">
        <w:rPr>
          <w:rFonts w:ascii="Palatino Linotype" w:hAnsi="Palatino Linotype" w:cs="Arial"/>
          <w:b/>
          <w:bCs/>
        </w:rPr>
        <w:lastRenderedPageBreak/>
        <w:t>00460/SF/IP/2020</w:t>
      </w:r>
      <w:r w:rsidRPr="0052764F">
        <w:rPr>
          <w:rFonts w:ascii="Palatino Linotype" w:hAnsi="Palatino Linotype"/>
          <w:color w:val="000000"/>
          <w:sz w:val="22"/>
          <w:szCs w:val="22"/>
        </w:rPr>
        <w:t xml:space="preserve"> </w:t>
      </w:r>
    </w:p>
    <w:p w:rsidR="00911573" w:rsidRPr="0052764F" w:rsidRDefault="00911573" w:rsidP="00CE4F60">
      <w:pPr>
        <w:spacing w:line="360" w:lineRule="auto"/>
        <w:ind w:left="567" w:right="567"/>
        <w:jc w:val="both"/>
        <w:rPr>
          <w:rFonts w:ascii="Palatino Linotype" w:hAnsi="Palatino Linotype" w:cs="Arial"/>
          <w:i/>
          <w:sz w:val="22"/>
          <w:szCs w:val="22"/>
          <w:lang w:val="es-ES" w:eastAsia="es-ES"/>
        </w:rPr>
      </w:pPr>
      <w:r w:rsidRPr="0052764F">
        <w:rPr>
          <w:rFonts w:ascii="Palatino Linotype" w:hAnsi="Palatino Linotype"/>
          <w:i/>
          <w:color w:val="000000"/>
          <w:sz w:val="22"/>
          <w:szCs w:val="22"/>
        </w:rPr>
        <w:t>“</w:t>
      </w:r>
      <w:r w:rsidR="00C40A7C" w:rsidRPr="0052764F">
        <w:rPr>
          <w:rFonts w:ascii="Palatino Linotype" w:hAnsi="Palatino Linotype"/>
          <w:i/>
          <w:color w:val="000000"/>
          <w:sz w:val="22"/>
          <w:szCs w:val="22"/>
        </w:rPr>
        <w:t>Detalle de la solicitud: Nómina general de todos los servidores públicos adscritos a la Secretaria de Finanzas. En formato excel para que no sobre pase las capacidades técnicas del SIstema. El documento debe contener tanto a los servidores públicos como a los que son contratados por outsourcing y que laboran en la institución. Nómina, lista de raya y honorarios. Entiendo que estos documentos se generan en formatos excel para ser entregados al OSFEM por lo que no hay luga a un cambio de modalidad percepciones de todas las personas que laboran en la secretaría de finanzas y en todas sus áreas. desde los intendentes hasta servicio social, en caso de recibir sueldo o bonificaciones, La información que requiero es correspondiente a la segunda quincena del mes de marzo de 2020 Asimismo, solicito se de vista al OIC de que no me enviaron ni la nómina general que solicité en los motivos o razones de inconformidad del RR 00869/INFOEM/IP/RR/2020.</w:t>
      </w:r>
      <w:r w:rsidRPr="0052764F">
        <w:rPr>
          <w:rFonts w:ascii="Palatino Linotype" w:hAnsi="Palatino Linotype" w:cs="Arial"/>
          <w:i/>
          <w:sz w:val="22"/>
          <w:szCs w:val="22"/>
          <w:lang w:val="es-ES" w:eastAsia="es-ES"/>
        </w:rPr>
        <w:t>” (Sic)</w:t>
      </w:r>
    </w:p>
    <w:p w:rsidR="00911573" w:rsidRPr="0052764F" w:rsidRDefault="00911573" w:rsidP="00CE4F60">
      <w:pPr>
        <w:spacing w:line="360" w:lineRule="auto"/>
        <w:ind w:left="567" w:right="567"/>
        <w:jc w:val="both"/>
        <w:rPr>
          <w:rFonts w:ascii="Palatino Linotype" w:hAnsi="Palatino Linotype"/>
          <w:color w:val="000000"/>
          <w:sz w:val="22"/>
          <w:szCs w:val="22"/>
        </w:rPr>
      </w:pPr>
    </w:p>
    <w:p w:rsidR="00C40A7C" w:rsidRPr="0052764F" w:rsidRDefault="00C40A7C" w:rsidP="00CE4F60">
      <w:pPr>
        <w:pStyle w:val="Prrafodelista"/>
        <w:numPr>
          <w:ilvl w:val="0"/>
          <w:numId w:val="7"/>
        </w:numPr>
        <w:spacing w:line="360" w:lineRule="auto"/>
        <w:ind w:right="567"/>
        <w:jc w:val="both"/>
        <w:rPr>
          <w:rFonts w:ascii="Palatino Linotype" w:hAnsi="Palatino Linotype" w:cs="Arial"/>
          <w:i/>
          <w:sz w:val="22"/>
          <w:szCs w:val="22"/>
          <w:lang w:val="es-ES"/>
        </w:rPr>
      </w:pPr>
      <w:r w:rsidRPr="0052764F">
        <w:rPr>
          <w:rFonts w:ascii="Palatino Linotype" w:hAnsi="Palatino Linotype" w:cs="Arial"/>
          <w:b/>
          <w:bCs/>
          <w:sz w:val="22"/>
          <w:szCs w:val="22"/>
          <w:lang w:val="es-MX"/>
        </w:rPr>
        <w:t>00459/SF/IP/2020</w:t>
      </w:r>
      <w:r w:rsidRPr="0052764F">
        <w:rPr>
          <w:rFonts w:ascii="Palatino Linotype" w:hAnsi="Palatino Linotype" w:cs="Arial"/>
          <w:b/>
          <w:i/>
          <w:sz w:val="22"/>
          <w:szCs w:val="22"/>
          <w:lang w:val="es-ES"/>
        </w:rPr>
        <w:t xml:space="preserve"> </w:t>
      </w:r>
    </w:p>
    <w:p w:rsidR="00911573" w:rsidRPr="0052764F" w:rsidRDefault="00911573" w:rsidP="00CE4F60">
      <w:pPr>
        <w:pStyle w:val="Prrafodelista"/>
        <w:spacing w:line="360" w:lineRule="auto"/>
        <w:ind w:right="567"/>
        <w:jc w:val="both"/>
        <w:rPr>
          <w:rFonts w:ascii="Palatino Linotype" w:hAnsi="Palatino Linotype" w:cs="Arial"/>
          <w:i/>
          <w:sz w:val="22"/>
          <w:szCs w:val="22"/>
          <w:lang w:val="es-ES"/>
        </w:rPr>
      </w:pPr>
      <w:r w:rsidRPr="0052764F">
        <w:rPr>
          <w:rFonts w:ascii="Palatino Linotype" w:hAnsi="Palatino Linotype" w:cs="Arial"/>
          <w:b/>
          <w:i/>
          <w:sz w:val="22"/>
          <w:szCs w:val="22"/>
          <w:lang w:val="es-ES"/>
        </w:rPr>
        <w:t>“</w:t>
      </w:r>
      <w:r w:rsidR="00C40A7C" w:rsidRPr="0052764F">
        <w:rPr>
          <w:rFonts w:ascii="Palatino Linotype" w:hAnsi="Palatino Linotype"/>
          <w:i/>
          <w:color w:val="000000"/>
          <w:sz w:val="22"/>
          <w:szCs w:val="22"/>
          <w:lang w:val="es-MX"/>
        </w:rPr>
        <w:t xml:space="preserve">Detalle de la solicitud: Solicitó la nómina en formato excel (para que no sobre pase las capacidades sel SIstema) de las siguientes áreas: Procuraduria fiscal; Presidencia del COnsejo Mexiquense; Subsecretaria de administración; Dirección de recursos materiales; Dirección de eventosy servicios generales ; Dirección general de personal Dirección de innovación el documento debe contener, desde las personas de intendencia hasta los mandos medios y altos, incluyendose personas de servicio social, en caso de que se les den recursos públicos. La información debe incluir todas las las subdirecciones y áreas administrativas que integren cada dirección y todas las personas que laboran, tanto servidores públicos como personal externo cntratado por empresas outsourcing. Esto dado que el IPOMEX del Sujeto Obligado sólo contempla 190 registro, por lo cual es abusdo que solo trabajen 190 personas en toda la </w:t>
      </w:r>
      <w:r w:rsidR="00C40A7C" w:rsidRPr="0052764F">
        <w:rPr>
          <w:rFonts w:ascii="Palatino Linotype" w:hAnsi="Palatino Linotype"/>
          <w:i/>
          <w:color w:val="000000"/>
          <w:sz w:val="22"/>
          <w:szCs w:val="22"/>
          <w:lang w:val="es-MX"/>
        </w:rPr>
        <w:lastRenderedPageBreak/>
        <w:t>institución. Solicito se inicie una investigación por no tener completo y actualizado su portal de transparencia ipomex</w:t>
      </w:r>
      <w:r w:rsidRPr="0052764F">
        <w:rPr>
          <w:rFonts w:ascii="Palatino Linotype" w:hAnsi="Palatino Linotype" w:cs="Arial"/>
          <w:i/>
          <w:sz w:val="22"/>
          <w:szCs w:val="22"/>
          <w:lang w:val="es-ES"/>
        </w:rPr>
        <w:t>” (Sic)</w:t>
      </w:r>
    </w:p>
    <w:p w:rsidR="00911573" w:rsidRPr="0052764F" w:rsidRDefault="00911573" w:rsidP="00CE4F60">
      <w:pPr>
        <w:spacing w:line="360" w:lineRule="auto"/>
        <w:ind w:left="567" w:right="567"/>
        <w:jc w:val="both"/>
        <w:rPr>
          <w:rFonts w:ascii="Palatino Linotype" w:hAnsi="Palatino Linotype"/>
          <w:color w:val="000000"/>
          <w:sz w:val="22"/>
          <w:szCs w:val="22"/>
          <w:lang w:val="es-ES"/>
        </w:rPr>
      </w:pPr>
    </w:p>
    <w:p w:rsidR="00C40A7C" w:rsidRPr="0052764F" w:rsidRDefault="00C40A7C" w:rsidP="00CE4F60">
      <w:pPr>
        <w:pStyle w:val="Prrafodelista"/>
        <w:numPr>
          <w:ilvl w:val="0"/>
          <w:numId w:val="7"/>
        </w:numPr>
        <w:spacing w:line="360" w:lineRule="auto"/>
        <w:ind w:right="567"/>
        <w:jc w:val="both"/>
        <w:rPr>
          <w:rFonts w:ascii="Palatino Linotype" w:hAnsi="Palatino Linotype"/>
          <w:sz w:val="22"/>
          <w:szCs w:val="22"/>
        </w:rPr>
      </w:pPr>
      <w:r w:rsidRPr="0052764F">
        <w:rPr>
          <w:rFonts w:ascii="Palatino Linotype" w:hAnsi="Palatino Linotype" w:cs="Arial"/>
          <w:b/>
          <w:bCs/>
          <w:sz w:val="22"/>
          <w:szCs w:val="22"/>
          <w:lang w:val="es-MX"/>
        </w:rPr>
        <w:t>00458/SF/IP/2020</w:t>
      </w:r>
      <w:r w:rsidRPr="0052764F">
        <w:rPr>
          <w:rFonts w:ascii="Palatino Linotype" w:hAnsi="Palatino Linotype" w:cs="Arial"/>
          <w:b/>
          <w:sz w:val="22"/>
          <w:szCs w:val="22"/>
          <w:lang w:val="es-MX"/>
        </w:rPr>
        <w:t xml:space="preserve"> </w:t>
      </w:r>
    </w:p>
    <w:p w:rsidR="00911573" w:rsidRPr="0052764F" w:rsidRDefault="00911573" w:rsidP="00CE4F60">
      <w:pPr>
        <w:pStyle w:val="Prrafodelista"/>
        <w:spacing w:line="360" w:lineRule="auto"/>
        <w:ind w:right="567"/>
        <w:jc w:val="both"/>
        <w:rPr>
          <w:rFonts w:ascii="Palatino Linotype" w:hAnsi="Palatino Linotype"/>
          <w:i/>
          <w:sz w:val="22"/>
          <w:szCs w:val="22"/>
        </w:rPr>
      </w:pPr>
      <w:r w:rsidRPr="0052764F">
        <w:rPr>
          <w:rFonts w:ascii="Palatino Linotype" w:hAnsi="Palatino Linotype"/>
          <w:i/>
          <w:sz w:val="22"/>
          <w:szCs w:val="22"/>
        </w:rPr>
        <w:t>“</w:t>
      </w:r>
      <w:r w:rsidR="00C40A7C" w:rsidRPr="0052764F">
        <w:rPr>
          <w:rFonts w:ascii="Palatino Linotype" w:hAnsi="Palatino Linotype"/>
          <w:i/>
          <w:color w:val="000000"/>
          <w:sz w:val="22"/>
          <w:szCs w:val="22"/>
          <w:lang w:val="es-MX"/>
        </w:rPr>
        <w:t>Nómina general de todos los servidores públicos adscritos a la Secretaria de Finanzas. En formato excel para que no sobre pase las capacidades técnicas del SIstema. El documento debe contener tanto a los servidores públicos como a los que son contratados por outsourcing y que laboran en la institución. Nómina, lista de raya y honorarios. Entiendo que estos documentos se generan en formatos excel para ser entregados al OSFEM por lo que no hay luga a un cambio de modalidad percepciones de todas las personas que laboran en la secretaría de finanzas y en todas sus áreas. desde los intendentes hasta servicio social, en caso de recibir sueldo o bonificaciones, La información que requiero es correspondiente a la segunda quincena del mes de marzo de 2020.</w:t>
      </w:r>
      <w:r w:rsidRPr="0052764F">
        <w:rPr>
          <w:rFonts w:ascii="Palatino Linotype" w:hAnsi="Palatino Linotype"/>
          <w:i/>
          <w:sz w:val="22"/>
          <w:szCs w:val="22"/>
        </w:rPr>
        <w:t>” (Sic)</w:t>
      </w:r>
    </w:p>
    <w:p w:rsidR="00911573" w:rsidRPr="0052764F" w:rsidRDefault="00911573" w:rsidP="00CE4F60">
      <w:pPr>
        <w:spacing w:line="360" w:lineRule="auto"/>
        <w:ind w:right="567"/>
        <w:jc w:val="both"/>
        <w:rPr>
          <w:rFonts w:ascii="Palatino Linotype" w:eastAsia="Calibri" w:hAnsi="Palatino Linotype" w:cs="Arial"/>
          <w:lang w:val="es-ES"/>
        </w:rPr>
      </w:pPr>
    </w:p>
    <w:p w:rsidR="00911573" w:rsidRPr="0052764F" w:rsidRDefault="00911573" w:rsidP="00CE4F60">
      <w:pPr>
        <w:pStyle w:val="Prrafodelista"/>
        <w:numPr>
          <w:ilvl w:val="0"/>
          <w:numId w:val="1"/>
        </w:numPr>
        <w:spacing w:line="360" w:lineRule="auto"/>
        <w:ind w:left="0" w:firstLine="0"/>
        <w:jc w:val="both"/>
        <w:rPr>
          <w:rFonts w:ascii="Palatino Linotype" w:hAnsi="Palatino Linotype" w:cs="Arial"/>
          <w:i/>
        </w:rPr>
      </w:pPr>
      <w:r w:rsidRPr="0052764F">
        <w:rPr>
          <w:rFonts w:ascii="Palatino Linotype" w:hAnsi="Palatino Linotype" w:cs="Arial"/>
        </w:rPr>
        <w:t xml:space="preserve">Señaló como modalidad de entrega de la información: a través de </w:t>
      </w:r>
      <w:r w:rsidRPr="0052764F">
        <w:rPr>
          <w:rFonts w:ascii="Palatino Linotype" w:hAnsi="Palatino Linotype" w:cs="Arial"/>
          <w:b/>
        </w:rPr>
        <w:t>SAIMEX</w:t>
      </w:r>
      <w:r w:rsidRPr="0052764F">
        <w:rPr>
          <w:rFonts w:ascii="Palatino Linotype" w:hAnsi="Palatino Linotype" w:cs="Arial"/>
        </w:rPr>
        <w:t>.</w:t>
      </w:r>
    </w:p>
    <w:p w:rsidR="00911573" w:rsidRPr="0052764F" w:rsidRDefault="00911573" w:rsidP="00CE4F60">
      <w:pPr>
        <w:pStyle w:val="Prrafodelista"/>
        <w:spacing w:line="360" w:lineRule="auto"/>
        <w:ind w:left="0"/>
        <w:jc w:val="both"/>
        <w:rPr>
          <w:rFonts w:ascii="Palatino Linotype" w:hAnsi="Palatino Linotype" w:cs="Arial"/>
          <w:i/>
        </w:rPr>
      </w:pPr>
    </w:p>
    <w:p w:rsidR="00070F51" w:rsidRPr="0052764F" w:rsidRDefault="00070F51" w:rsidP="00CE4F60">
      <w:pPr>
        <w:pStyle w:val="Prrafodelista"/>
        <w:numPr>
          <w:ilvl w:val="0"/>
          <w:numId w:val="1"/>
        </w:numPr>
        <w:spacing w:line="360" w:lineRule="auto"/>
        <w:ind w:left="0" w:firstLine="0"/>
        <w:jc w:val="both"/>
        <w:rPr>
          <w:rFonts w:ascii="Palatino Linotype" w:hAnsi="Palatino Linotype" w:cs="Arial"/>
          <w:i/>
        </w:rPr>
      </w:pPr>
      <w:r w:rsidRPr="0052764F">
        <w:rPr>
          <w:rFonts w:ascii="Palatino Linotype" w:hAnsi="Palatino Linotype" w:cs="Arial"/>
        </w:rPr>
        <w:t xml:space="preserve">Del expediente electrónico SAIMEX se observa que en fecha </w:t>
      </w:r>
      <w:r w:rsidR="00DF1064" w:rsidRPr="0052764F">
        <w:rPr>
          <w:rFonts w:ascii="Palatino Linotype" w:hAnsi="Palatino Linotype" w:cs="Arial"/>
        </w:rPr>
        <w:t>20 de octubre de dos mil veinte se realizó  un requerimiento al servidor público habilitado Lic. Navor Millán  González</w:t>
      </w:r>
      <w:r w:rsidR="007D51AE" w:rsidRPr="0052764F">
        <w:rPr>
          <w:rFonts w:ascii="Palatino Linotype" w:hAnsi="Palatino Linotype" w:cs="Arial"/>
        </w:rPr>
        <w:t>.</w:t>
      </w:r>
    </w:p>
    <w:p w:rsidR="00390D82" w:rsidRPr="0052764F" w:rsidRDefault="00390D82" w:rsidP="00CE4F60">
      <w:pPr>
        <w:pStyle w:val="Prrafodelista"/>
        <w:rPr>
          <w:rFonts w:ascii="Palatino Linotype" w:hAnsi="Palatino Linotype" w:cs="Arial"/>
          <w:i/>
        </w:rPr>
      </w:pPr>
    </w:p>
    <w:p w:rsidR="00390D82" w:rsidRPr="0052764F" w:rsidRDefault="00390D82" w:rsidP="00CE4F60">
      <w:pPr>
        <w:pStyle w:val="Prrafodelista"/>
        <w:numPr>
          <w:ilvl w:val="0"/>
          <w:numId w:val="1"/>
        </w:numPr>
        <w:spacing w:line="360" w:lineRule="auto"/>
        <w:ind w:left="0" w:firstLine="0"/>
        <w:jc w:val="both"/>
        <w:rPr>
          <w:rFonts w:ascii="Palatino Linotype" w:hAnsi="Palatino Linotype" w:cs="Arial"/>
          <w:i/>
        </w:rPr>
      </w:pPr>
      <w:r w:rsidRPr="0052764F">
        <w:rPr>
          <w:rFonts w:ascii="Palatino Linotype" w:hAnsi="Palatino Linotype" w:cs="Arial"/>
        </w:rPr>
        <w:t xml:space="preserve">El </w:t>
      </w:r>
      <w:r w:rsidRPr="0052764F">
        <w:rPr>
          <w:rFonts w:ascii="Palatino Linotype" w:hAnsi="Palatino Linotype" w:cs="Arial"/>
          <w:b/>
        </w:rPr>
        <w:t xml:space="preserve">veinte (20) de octubre </w:t>
      </w:r>
      <w:r w:rsidRPr="0052764F">
        <w:rPr>
          <w:rFonts w:ascii="Palatino Linotype" w:hAnsi="Palatino Linotype" w:cs="Arial"/>
        </w:rPr>
        <w:t xml:space="preserve"> de dos mil veinte, el </w:t>
      </w:r>
      <w:r w:rsidRPr="0052764F">
        <w:rPr>
          <w:rFonts w:ascii="Palatino Linotype" w:hAnsi="Palatino Linotype" w:cs="Arial"/>
          <w:b/>
        </w:rPr>
        <w:t xml:space="preserve">SUJETO OBLIGADO </w:t>
      </w:r>
      <w:r w:rsidRPr="0052764F">
        <w:rPr>
          <w:rFonts w:ascii="Palatino Linotype" w:hAnsi="Palatino Linotype" w:cs="Arial"/>
        </w:rPr>
        <w:t>a través del Titular de la Unidad de Transparencia emitió sus respuestas, en los siguientes términos:</w:t>
      </w:r>
    </w:p>
    <w:p w:rsidR="001835E5" w:rsidRPr="0052764F" w:rsidRDefault="001835E5" w:rsidP="00CE4F60">
      <w:pPr>
        <w:pStyle w:val="Prrafodelista"/>
        <w:spacing w:line="360" w:lineRule="auto"/>
        <w:ind w:left="0"/>
        <w:jc w:val="both"/>
        <w:rPr>
          <w:rFonts w:ascii="Palatino Linotype" w:hAnsi="Palatino Linotype" w:cs="Arial"/>
          <w:i/>
        </w:rPr>
      </w:pPr>
    </w:p>
    <w:p w:rsidR="001835E5" w:rsidRPr="0052764F" w:rsidRDefault="001835E5" w:rsidP="00CE4F60">
      <w:pPr>
        <w:pStyle w:val="Prrafodelista"/>
        <w:rPr>
          <w:rFonts w:ascii="Verdana" w:hAnsi="Verdana"/>
          <w:color w:val="000000"/>
          <w:sz w:val="18"/>
          <w:szCs w:val="18"/>
        </w:rPr>
      </w:pPr>
      <w:r w:rsidRPr="0052764F">
        <w:rPr>
          <w:rFonts w:ascii="Palatino Linotype" w:hAnsi="Palatino Linotype" w:cs="Arial"/>
          <w:b/>
          <w:bCs/>
          <w:lang w:val="es-MX"/>
        </w:rPr>
        <w:lastRenderedPageBreak/>
        <w:t>00460/SF/IP/2020:</w:t>
      </w:r>
      <w:r w:rsidRPr="0052764F">
        <w:rPr>
          <w:rFonts w:ascii="Verdana" w:hAnsi="Verdana"/>
          <w:color w:val="000000"/>
          <w:sz w:val="18"/>
          <w:szCs w:val="18"/>
        </w:rPr>
        <w:t xml:space="preserve"> </w:t>
      </w:r>
    </w:p>
    <w:p w:rsidR="001835E5" w:rsidRPr="0052764F" w:rsidRDefault="001835E5" w:rsidP="00CE4F60">
      <w:pPr>
        <w:pStyle w:val="Prrafodelista"/>
        <w:rPr>
          <w:rFonts w:ascii="Verdana" w:hAnsi="Verdana"/>
          <w:color w:val="000000"/>
          <w:sz w:val="18"/>
          <w:szCs w:val="18"/>
        </w:rPr>
      </w:pPr>
    </w:p>
    <w:p w:rsidR="005A0A20" w:rsidRPr="0052764F" w:rsidRDefault="001835E5" w:rsidP="00CE4F60">
      <w:pPr>
        <w:pStyle w:val="Prrafodelista"/>
        <w:spacing w:line="360" w:lineRule="auto"/>
        <w:jc w:val="both"/>
        <w:rPr>
          <w:rFonts w:ascii="Palatino Linotype" w:hAnsi="Palatino Linotype"/>
          <w:i/>
          <w:color w:val="000000"/>
          <w:sz w:val="22"/>
          <w:szCs w:val="18"/>
        </w:rPr>
      </w:pPr>
      <w:r w:rsidRPr="0052764F">
        <w:rPr>
          <w:rFonts w:ascii="Palatino Linotype" w:hAnsi="Palatino Linotype"/>
          <w:i/>
          <w:color w:val="000000"/>
          <w:sz w:val="22"/>
          <w:szCs w:val="18"/>
        </w:rPr>
        <w:t xml:space="preserve">(…) </w:t>
      </w:r>
    </w:p>
    <w:p w:rsidR="005A0A20" w:rsidRPr="0052764F" w:rsidRDefault="005A0A20" w:rsidP="00CE4F60">
      <w:pPr>
        <w:pStyle w:val="Prrafodelista"/>
        <w:spacing w:line="360" w:lineRule="auto"/>
        <w:jc w:val="both"/>
        <w:rPr>
          <w:rFonts w:ascii="Palatino Linotype" w:hAnsi="Palatino Linotype"/>
          <w:i/>
          <w:color w:val="000000"/>
          <w:sz w:val="22"/>
          <w:szCs w:val="18"/>
        </w:rPr>
      </w:pPr>
      <w:r w:rsidRPr="0052764F">
        <w:rPr>
          <w:rFonts w:ascii="Palatino Linotype" w:hAnsi="Palatino Linotype"/>
          <w:i/>
          <w:color w:val="000000"/>
          <w:sz w:val="22"/>
          <w:szCs w:val="18"/>
        </w:rPr>
        <w:t>“</w:t>
      </w:r>
      <w:r w:rsidR="001835E5" w:rsidRPr="0052764F">
        <w:rPr>
          <w:rFonts w:ascii="Palatino Linotype" w:hAnsi="Palatino Linotype"/>
          <w:i/>
          <w:color w:val="000000"/>
          <w:sz w:val="22"/>
          <w:szCs w:val="18"/>
        </w:rPr>
        <w:t>Sobre el particular, sírvase encontrar en archivo adjunto copia del oficio de notificación número 20700004S/UT-1916/2020 mediante el cual se detalla lo referente a su solicitud. Asimismo, se hace de su conocimiento que el Comité de Transparencia mediante Acuerdo CT-2020-0079 ha tenido a bien confirmar la clasificación como información confidencial de los datos personales que obran en los documentos adjuntos.</w:t>
      </w:r>
      <w:r w:rsidRPr="0052764F">
        <w:rPr>
          <w:rFonts w:ascii="Palatino Linotype" w:hAnsi="Palatino Linotype"/>
          <w:i/>
          <w:color w:val="000000"/>
          <w:sz w:val="22"/>
          <w:szCs w:val="18"/>
        </w:rPr>
        <w:t>” (Sic)</w:t>
      </w:r>
    </w:p>
    <w:p w:rsidR="001835E5" w:rsidRPr="0052764F" w:rsidRDefault="001835E5" w:rsidP="00CE4F60">
      <w:pPr>
        <w:pStyle w:val="Prrafodelista"/>
        <w:spacing w:line="360" w:lineRule="auto"/>
        <w:jc w:val="both"/>
        <w:rPr>
          <w:rFonts w:ascii="Palatino Linotype" w:hAnsi="Palatino Linotype"/>
          <w:i/>
          <w:color w:val="000000"/>
          <w:sz w:val="22"/>
          <w:szCs w:val="18"/>
        </w:rPr>
      </w:pPr>
      <w:r w:rsidRPr="0052764F">
        <w:rPr>
          <w:rFonts w:ascii="Palatino Linotype" w:hAnsi="Palatino Linotype"/>
          <w:i/>
          <w:color w:val="000000"/>
          <w:sz w:val="22"/>
          <w:szCs w:val="18"/>
        </w:rPr>
        <w:t>(…)</w:t>
      </w:r>
    </w:p>
    <w:p w:rsidR="001835E5" w:rsidRPr="0052764F" w:rsidRDefault="001835E5" w:rsidP="00CE4F60">
      <w:pPr>
        <w:pStyle w:val="Prrafodelista"/>
        <w:jc w:val="both"/>
        <w:rPr>
          <w:rFonts w:ascii="Palatino Linotype" w:hAnsi="Palatino Linotype" w:cs="Arial"/>
          <w:b/>
          <w:bCs/>
          <w:i/>
          <w:sz w:val="32"/>
          <w:lang w:val="es-MX"/>
        </w:rPr>
      </w:pPr>
    </w:p>
    <w:p w:rsidR="001835E5" w:rsidRPr="0052764F" w:rsidRDefault="009F4550" w:rsidP="00CE4F60">
      <w:pPr>
        <w:rPr>
          <w:rFonts w:ascii="Palatino Linotype" w:eastAsia="Calibri" w:hAnsi="Palatino Linotype" w:cs="Arial"/>
          <w:sz w:val="22"/>
          <w:lang w:val="es-ES"/>
        </w:rPr>
      </w:pPr>
      <w:r w:rsidRPr="0052764F">
        <w:rPr>
          <w:rFonts w:ascii="Palatino Linotype" w:eastAsia="Calibri" w:hAnsi="Palatino Linotype" w:cs="Arial"/>
          <w:sz w:val="22"/>
          <w:lang w:val="es-ES"/>
        </w:rPr>
        <w:t>Documentos Anexos</w:t>
      </w:r>
      <w:r w:rsidR="001835E5" w:rsidRPr="0052764F">
        <w:rPr>
          <w:rFonts w:ascii="Palatino Linotype" w:eastAsia="Calibri" w:hAnsi="Palatino Linotype" w:cs="Arial"/>
          <w:sz w:val="22"/>
          <w:lang w:val="es-ES"/>
        </w:rPr>
        <w:t xml:space="preserve">: </w:t>
      </w:r>
    </w:p>
    <w:p w:rsidR="00B35C42" w:rsidRPr="0052764F" w:rsidRDefault="00B35C42" w:rsidP="00CE4F60">
      <w:pPr>
        <w:rPr>
          <w:rFonts w:ascii="Palatino Linotype" w:eastAsia="Calibri" w:hAnsi="Palatino Linotype" w:cs="Arial"/>
          <w:sz w:val="32"/>
          <w:lang w:val="es-ES"/>
        </w:rPr>
      </w:pPr>
    </w:p>
    <w:p w:rsidR="00B35C42" w:rsidRPr="0052764F" w:rsidRDefault="007A28FE" w:rsidP="00CE4F60">
      <w:pPr>
        <w:pStyle w:val="Prrafodelista"/>
        <w:numPr>
          <w:ilvl w:val="0"/>
          <w:numId w:val="7"/>
        </w:numPr>
        <w:spacing w:line="360" w:lineRule="auto"/>
        <w:jc w:val="both"/>
        <w:rPr>
          <w:rFonts w:ascii="Palatino Linotype" w:eastAsia="Calibri" w:hAnsi="Palatino Linotype" w:cs="Arial"/>
          <w:sz w:val="22"/>
          <w:szCs w:val="22"/>
          <w:lang w:val="es-ES"/>
        </w:rPr>
      </w:pPr>
      <w:hyperlink r:id="rId7" w:tgtFrame="_blank" w:history="1">
        <w:r w:rsidR="00B35C42" w:rsidRPr="0052764F">
          <w:rPr>
            <w:rStyle w:val="Hipervnculo"/>
            <w:rFonts w:ascii="Palatino Linotype" w:hAnsi="Palatino Linotype" w:cs="Arial"/>
            <w:b/>
            <w:bCs/>
            <w:color w:val="auto"/>
            <w:sz w:val="22"/>
            <w:szCs w:val="22"/>
            <w:u w:val="none"/>
          </w:rPr>
          <w:t>UIPPE 00460.pdf</w:t>
        </w:r>
      </w:hyperlink>
      <w:r w:rsidR="00B35C42" w:rsidRPr="0052764F">
        <w:rPr>
          <w:rFonts w:ascii="Palatino Linotype" w:hAnsi="Palatino Linotype"/>
          <w:sz w:val="22"/>
          <w:szCs w:val="22"/>
        </w:rPr>
        <w:t xml:space="preserve">: Oficio 2070004S/UT-1916/2020 de fecha 19 de octubre, emitido por el Jefe de la UIPPE y Titular de la Unidad de Transparencia de la Secretaría de Finanzas, mediante el cual refiere adjuntar </w:t>
      </w:r>
      <w:r w:rsidR="00C05976" w:rsidRPr="0052764F">
        <w:rPr>
          <w:rFonts w:ascii="Palatino Linotype" w:hAnsi="Palatino Linotype"/>
          <w:sz w:val="22"/>
          <w:szCs w:val="22"/>
        </w:rPr>
        <w:t>archivo emitido por el servidor público habilitado de la Dirección de Personal en el que se detalla lo referente a la solicitud de información.</w:t>
      </w:r>
    </w:p>
    <w:p w:rsidR="00B35C42" w:rsidRPr="0052764F" w:rsidRDefault="00B35C42" w:rsidP="00CE4F60">
      <w:pPr>
        <w:pStyle w:val="Prrafodelista"/>
        <w:rPr>
          <w:rFonts w:ascii="Palatino Linotype" w:eastAsia="Calibri" w:hAnsi="Palatino Linotype" w:cs="Arial"/>
          <w:sz w:val="22"/>
          <w:szCs w:val="22"/>
          <w:lang w:val="es-ES"/>
        </w:rPr>
      </w:pPr>
    </w:p>
    <w:p w:rsidR="004512D3" w:rsidRPr="0052764F" w:rsidRDefault="007A28FE" w:rsidP="00CE4F60">
      <w:pPr>
        <w:pStyle w:val="Prrafodelista"/>
        <w:numPr>
          <w:ilvl w:val="0"/>
          <w:numId w:val="7"/>
        </w:numPr>
        <w:spacing w:line="360" w:lineRule="auto"/>
        <w:jc w:val="both"/>
        <w:rPr>
          <w:rFonts w:ascii="Palatino Linotype" w:eastAsia="Calibri" w:hAnsi="Palatino Linotype" w:cs="Arial"/>
          <w:sz w:val="22"/>
          <w:szCs w:val="22"/>
          <w:lang w:val="es-ES"/>
        </w:rPr>
      </w:pPr>
      <w:hyperlink r:id="rId8" w:tgtFrame="_blank" w:history="1">
        <w:r w:rsidR="00B35C42" w:rsidRPr="0052764F">
          <w:rPr>
            <w:rStyle w:val="Hipervnculo"/>
            <w:rFonts w:ascii="Palatino Linotype" w:hAnsi="Palatino Linotype" w:cs="Arial"/>
            <w:b/>
            <w:bCs/>
            <w:color w:val="auto"/>
            <w:sz w:val="22"/>
            <w:szCs w:val="22"/>
            <w:u w:val="none"/>
          </w:rPr>
          <w:t>460 DG Personal.pdf</w:t>
        </w:r>
      </w:hyperlink>
      <w:r w:rsidR="00B35C42" w:rsidRPr="0052764F">
        <w:rPr>
          <w:rFonts w:ascii="Palatino Linotype" w:hAnsi="Palatino Linotype"/>
          <w:sz w:val="22"/>
          <w:szCs w:val="22"/>
        </w:rPr>
        <w:t>:</w:t>
      </w:r>
      <w:r w:rsidR="00C05976" w:rsidRPr="0052764F">
        <w:rPr>
          <w:rFonts w:ascii="Palatino Linotype" w:hAnsi="Palatino Linotype"/>
          <w:sz w:val="22"/>
          <w:szCs w:val="22"/>
        </w:rPr>
        <w:t xml:space="preserve"> Oficio  20706004000100S-0225/2020 que consta de dos fojas, emitido por el Jefe de la Unidad y Servidor Público Habilitado de la Dirección General de Personal, mediante el cual </w:t>
      </w:r>
      <w:r w:rsidR="004512D3" w:rsidRPr="0052764F">
        <w:rPr>
          <w:rFonts w:ascii="Palatino Linotype" w:hAnsi="Palatino Linotype"/>
          <w:sz w:val="22"/>
          <w:szCs w:val="22"/>
        </w:rPr>
        <w:t>refiere que no cuenta con personal contratado bajo la modalidad outsourcing, ni lista de raya u honorarios, en cuanto a la nómina general</w:t>
      </w:r>
      <w:r w:rsidR="006C4E70" w:rsidRPr="0052764F">
        <w:rPr>
          <w:rFonts w:ascii="Palatino Linotype" w:hAnsi="Palatino Linotype"/>
          <w:sz w:val="22"/>
          <w:szCs w:val="22"/>
        </w:rPr>
        <w:t>, cue</w:t>
      </w:r>
      <w:r w:rsidR="004512D3" w:rsidRPr="0052764F">
        <w:rPr>
          <w:rFonts w:ascii="Palatino Linotype" w:hAnsi="Palatino Linotype"/>
          <w:sz w:val="22"/>
          <w:szCs w:val="22"/>
        </w:rPr>
        <w:t>nta con copia del documento denominado “Desglose de Plazas por Servidor (a) Público (a), de los servidores públicos adscritos a la Secretaría de Finanzas, no obstante, las documentales señalas se encuentran integradas en expedientes que ascienden a la cantidad de 49,426 fojas. Refiere que l</w:t>
      </w:r>
      <w:r w:rsidR="00224E75" w:rsidRPr="0052764F">
        <w:rPr>
          <w:rFonts w:ascii="Palatino Linotype" w:hAnsi="Palatino Linotype"/>
          <w:sz w:val="22"/>
          <w:szCs w:val="22"/>
        </w:rPr>
        <w:t xml:space="preserve">a presente solicitud excede la capacidad del tamaño máximo que la plataforma SAIMEX puede </w:t>
      </w:r>
      <w:r w:rsidR="00224E75" w:rsidRPr="0052764F">
        <w:rPr>
          <w:rFonts w:ascii="Palatino Linotype" w:hAnsi="Palatino Linotype"/>
          <w:sz w:val="22"/>
          <w:szCs w:val="22"/>
        </w:rPr>
        <w:lastRenderedPageBreak/>
        <w:t xml:space="preserve">soportar para alojar documentos; asimismo, la entrega de la información solicitada conlleva el análisis, estudio o procesamiento de documentos, cuya reproducción sobrepasa las capacidades técnicas, administrativas y humanas, motivo por el cual, con fundamento en el artículo 158 de la Ley de Transparencia y Acceso a la Información Pública  del Estado de México y Municipios, a efecto de que se asiente en la bitácora de incidencias </w:t>
      </w:r>
      <w:r w:rsidR="005A0A20" w:rsidRPr="0052764F">
        <w:rPr>
          <w:rFonts w:ascii="Palatino Linotype" w:hAnsi="Palatino Linotype"/>
          <w:sz w:val="22"/>
          <w:szCs w:val="22"/>
        </w:rPr>
        <w:t>el cambio de modalidad de entrega a consulta directa.</w:t>
      </w:r>
    </w:p>
    <w:p w:rsidR="001835E5" w:rsidRPr="0052764F" w:rsidRDefault="001835E5" w:rsidP="00CE4F60">
      <w:pPr>
        <w:pStyle w:val="Prrafodelista"/>
        <w:rPr>
          <w:rFonts w:ascii="Palatino Linotype" w:eastAsia="Calibri" w:hAnsi="Palatino Linotype" w:cs="Arial"/>
          <w:i/>
          <w:sz w:val="32"/>
          <w:lang w:val="es-ES"/>
        </w:rPr>
      </w:pPr>
    </w:p>
    <w:p w:rsidR="001835E5" w:rsidRPr="0052764F" w:rsidRDefault="001835E5" w:rsidP="00CE4F60">
      <w:pPr>
        <w:pStyle w:val="Prrafodelista"/>
        <w:spacing w:line="360" w:lineRule="auto"/>
        <w:jc w:val="both"/>
        <w:rPr>
          <w:rFonts w:ascii="Palatino Linotype" w:hAnsi="Palatino Linotype" w:cs="Arial"/>
          <w:b/>
          <w:bCs/>
          <w:sz w:val="22"/>
          <w:lang w:val="es-MX"/>
        </w:rPr>
      </w:pPr>
      <w:r w:rsidRPr="0052764F">
        <w:rPr>
          <w:rFonts w:ascii="Palatino Linotype" w:hAnsi="Palatino Linotype" w:cs="Arial"/>
          <w:b/>
          <w:bCs/>
          <w:sz w:val="22"/>
          <w:lang w:val="es-MX"/>
        </w:rPr>
        <w:t>00459/SF/IP/2020:</w:t>
      </w:r>
    </w:p>
    <w:p w:rsidR="005A0A20" w:rsidRPr="0052764F" w:rsidRDefault="005A0A20" w:rsidP="00CE4F60">
      <w:pPr>
        <w:pStyle w:val="Prrafodelista"/>
        <w:spacing w:line="360" w:lineRule="auto"/>
        <w:jc w:val="both"/>
        <w:rPr>
          <w:rFonts w:ascii="Palatino Linotype" w:hAnsi="Palatino Linotype"/>
          <w:i/>
          <w:color w:val="000000"/>
          <w:sz w:val="22"/>
          <w:szCs w:val="18"/>
        </w:rPr>
      </w:pPr>
      <w:r w:rsidRPr="0052764F">
        <w:rPr>
          <w:rFonts w:ascii="Palatino Linotype" w:hAnsi="Palatino Linotype"/>
          <w:i/>
          <w:color w:val="000000"/>
          <w:sz w:val="22"/>
          <w:szCs w:val="18"/>
        </w:rPr>
        <w:t>(…)</w:t>
      </w:r>
    </w:p>
    <w:p w:rsidR="005A0A20" w:rsidRPr="0052764F" w:rsidRDefault="005A0A20" w:rsidP="00CE4F60">
      <w:pPr>
        <w:pStyle w:val="Prrafodelista"/>
        <w:spacing w:line="360" w:lineRule="auto"/>
        <w:jc w:val="both"/>
        <w:rPr>
          <w:rFonts w:ascii="Palatino Linotype" w:hAnsi="Palatino Linotype"/>
          <w:i/>
          <w:color w:val="000000"/>
          <w:sz w:val="22"/>
          <w:szCs w:val="18"/>
        </w:rPr>
      </w:pPr>
      <w:r w:rsidRPr="0052764F">
        <w:rPr>
          <w:rFonts w:ascii="Palatino Linotype" w:hAnsi="Palatino Linotype"/>
          <w:i/>
          <w:color w:val="000000"/>
          <w:sz w:val="22"/>
          <w:szCs w:val="18"/>
        </w:rPr>
        <w:t>“Sobre el particular, sírvase encontrar en archivo adjunto copia del oficio de notificación número 20700004S/UT-1915/2020 mediante el cual se detalla lo referente a su solicitud. Asimismo, se hace de su conocimiento que el Comité de Transparencia mediante Acuerdo CT-2020-0078 ha tenido a bien confirmar la clasificación como información confidencial de los datos personales que obran en los documentos adjuntos.” (Sic)</w:t>
      </w:r>
    </w:p>
    <w:p w:rsidR="005A0A20" w:rsidRPr="0052764F" w:rsidRDefault="005A0A20" w:rsidP="00CE4F60">
      <w:pPr>
        <w:pStyle w:val="Prrafodelista"/>
        <w:spacing w:line="360" w:lineRule="auto"/>
        <w:jc w:val="both"/>
        <w:rPr>
          <w:rFonts w:ascii="Palatino Linotype" w:hAnsi="Palatino Linotype"/>
          <w:i/>
          <w:color w:val="000000"/>
          <w:sz w:val="22"/>
          <w:szCs w:val="18"/>
        </w:rPr>
      </w:pPr>
      <w:r w:rsidRPr="0052764F">
        <w:rPr>
          <w:rFonts w:ascii="Palatino Linotype" w:hAnsi="Palatino Linotype"/>
          <w:i/>
          <w:color w:val="000000"/>
          <w:sz w:val="22"/>
          <w:szCs w:val="18"/>
        </w:rPr>
        <w:t>(…)</w:t>
      </w:r>
    </w:p>
    <w:p w:rsidR="009F4550" w:rsidRPr="0052764F" w:rsidRDefault="009F4550" w:rsidP="00CE4F60">
      <w:pPr>
        <w:pStyle w:val="Prrafodelista"/>
        <w:spacing w:line="360" w:lineRule="auto"/>
        <w:jc w:val="both"/>
        <w:rPr>
          <w:rFonts w:ascii="Palatino Linotype" w:hAnsi="Palatino Linotype"/>
          <w:i/>
          <w:color w:val="000000"/>
          <w:sz w:val="22"/>
          <w:szCs w:val="18"/>
        </w:rPr>
      </w:pPr>
    </w:p>
    <w:p w:rsidR="005A0A20" w:rsidRPr="0052764F" w:rsidRDefault="009F4550" w:rsidP="00CE4F60">
      <w:pPr>
        <w:spacing w:line="360" w:lineRule="auto"/>
        <w:jc w:val="both"/>
        <w:rPr>
          <w:rFonts w:ascii="Palatino Linotype" w:hAnsi="Palatino Linotype"/>
          <w:color w:val="000000"/>
          <w:sz w:val="22"/>
          <w:szCs w:val="18"/>
        </w:rPr>
      </w:pPr>
      <w:r w:rsidRPr="0052764F">
        <w:rPr>
          <w:rFonts w:ascii="Palatino Linotype" w:hAnsi="Palatino Linotype"/>
          <w:color w:val="000000"/>
          <w:sz w:val="22"/>
          <w:szCs w:val="18"/>
        </w:rPr>
        <w:t>Documentos Anexos</w:t>
      </w:r>
      <w:r w:rsidR="005A0A20" w:rsidRPr="0052764F">
        <w:rPr>
          <w:rFonts w:ascii="Palatino Linotype" w:hAnsi="Palatino Linotype"/>
          <w:color w:val="000000"/>
          <w:sz w:val="22"/>
          <w:szCs w:val="18"/>
        </w:rPr>
        <w:t>:</w:t>
      </w:r>
    </w:p>
    <w:p w:rsidR="009F4550" w:rsidRPr="0052764F" w:rsidRDefault="009F4550" w:rsidP="00CE4F60">
      <w:pPr>
        <w:pStyle w:val="Prrafodelista"/>
        <w:spacing w:line="360" w:lineRule="auto"/>
        <w:jc w:val="both"/>
        <w:rPr>
          <w:rFonts w:ascii="Palatino Linotype" w:hAnsi="Palatino Linotype"/>
          <w:color w:val="000000"/>
          <w:sz w:val="22"/>
          <w:szCs w:val="18"/>
        </w:rPr>
      </w:pPr>
    </w:p>
    <w:p w:rsidR="005A0A20" w:rsidRPr="0052764F" w:rsidRDefault="007A28FE" w:rsidP="00CE4F60">
      <w:pPr>
        <w:pStyle w:val="Prrafodelista"/>
        <w:numPr>
          <w:ilvl w:val="0"/>
          <w:numId w:val="7"/>
        </w:numPr>
        <w:spacing w:line="360" w:lineRule="auto"/>
        <w:jc w:val="both"/>
        <w:rPr>
          <w:rFonts w:ascii="Palatino Linotype" w:eastAsia="Calibri" w:hAnsi="Palatino Linotype" w:cs="Arial"/>
          <w:sz w:val="22"/>
          <w:szCs w:val="22"/>
          <w:lang w:val="es-ES"/>
        </w:rPr>
      </w:pPr>
      <w:hyperlink r:id="rId9" w:tgtFrame="_blank" w:history="1">
        <w:r w:rsidR="005A0A20" w:rsidRPr="0052764F">
          <w:rPr>
            <w:rStyle w:val="Hipervnculo"/>
            <w:rFonts w:ascii="Palatino Linotype" w:hAnsi="Palatino Linotype" w:cs="Arial"/>
            <w:b/>
            <w:bCs/>
            <w:color w:val="auto"/>
            <w:sz w:val="22"/>
            <w:szCs w:val="22"/>
            <w:u w:val="none"/>
          </w:rPr>
          <w:t>UIPPE 00459.pdf</w:t>
        </w:r>
      </w:hyperlink>
      <w:r w:rsidR="005A0A20" w:rsidRPr="0052764F">
        <w:rPr>
          <w:rFonts w:ascii="Palatino Linotype" w:hAnsi="Palatino Linotype"/>
          <w:sz w:val="22"/>
          <w:szCs w:val="22"/>
        </w:rPr>
        <w:t xml:space="preserve">: </w:t>
      </w:r>
      <w:r w:rsidR="006C4E70" w:rsidRPr="0052764F">
        <w:rPr>
          <w:rFonts w:ascii="Palatino Linotype" w:hAnsi="Palatino Linotype"/>
          <w:sz w:val="22"/>
          <w:szCs w:val="22"/>
        </w:rPr>
        <w:t>Oficio 2070004S/UT-1915</w:t>
      </w:r>
      <w:r w:rsidR="005A0A20" w:rsidRPr="0052764F">
        <w:rPr>
          <w:rFonts w:ascii="Palatino Linotype" w:hAnsi="Palatino Linotype"/>
          <w:sz w:val="22"/>
          <w:szCs w:val="22"/>
        </w:rPr>
        <w:t>/2020 de fecha 19 de octubre, emitido por el Jefe de la UIPPE y Titular de la Unidad de Transparencia de la Secretaría de Finanzas, mediante el cual refiere adjuntar archivo emitido por el servidor público habilitado de la Dirección de Personal en el que se detalla lo referente a la solicitud de información.</w:t>
      </w:r>
    </w:p>
    <w:p w:rsidR="005A0A20" w:rsidRPr="0052764F" w:rsidRDefault="005A0A20" w:rsidP="00CE4F60">
      <w:pPr>
        <w:pStyle w:val="Prrafodelista"/>
        <w:spacing w:line="360" w:lineRule="auto"/>
        <w:jc w:val="both"/>
        <w:rPr>
          <w:rFonts w:ascii="Palatino Linotype" w:hAnsi="Palatino Linotype" w:cs="Arial"/>
          <w:b/>
          <w:bCs/>
          <w:i/>
          <w:sz w:val="22"/>
          <w:szCs w:val="22"/>
          <w:lang w:val="es-MX"/>
        </w:rPr>
      </w:pPr>
    </w:p>
    <w:p w:rsidR="006C4E70" w:rsidRPr="0052764F" w:rsidRDefault="007A28FE" w:rsidP="00CE4F60">
      <w:pPr>
        <w:pStyle w:val="Prrafodelista"/>
        <w:numPr>
          <w:ilvl w:val="0"/>
          <w:numId w:val="7"/>
        </w:numPr>
        <w:spacing w:line="360" w:lineRule="auto"/>
        <w:jc w:val="both"/>
        <w:rPr>
          <w:rFonts w:ascii="Palatino Linotype" w:eastAsia="Calibri" w:hAnsi="Palatino Linotype" w:cs="Arial"/>
          <w:sz w:val="22"/>
          <w:szCs w:val="22"/>
          <w:lang w:val="es-ES"/>
        </w:rPr>
      </w:pPr>
      <w:hyperlink r:id="rId10" w:tgtFrame="_blank" w:history="1">
        <w:r w:rsidR="005A0A20" w:rsidRPr="0052764F">
          <w:rPr>
            <w:rStyle w:val="Hipervnculo"/>
            <w:rFonts w:ascii="Palatino Linotype" w:hAnsi="Palatino Linotype" w:cs="Arial"/>
            <w:b/>
            <w:bCs/>
            <w:color w:val="auto"/>
            <w:sz w:val="22"/>
            <w:szCs w:val="22"/>
            <w:u w:val="none"/>
          </w:rPr>
          <w:t>459 DG Personal.pdf</w:t>
        </w:r>
      </w:hyperlink>
      <w:r w:rsidR="006C4E70" w:rsidRPr="0052764F">
        <w:rPr>
          <w:rFonts w:ascii="Palatino Linotype" w:hAnsi="Palatino Linotype"/>
          <w:sz w:val="22"/>
          <w:szCs w:val="22"/>
        </w:rPr>
        <w:t xml:space="preserve">: Oficio  20706004000100S-0224/2020 que consta de dos fojas, emitido por el Jefe de la Unidad y Servidor Público Habilitado de la Dirección </w:t>
      </w:r>
      <w:r w:rsidR="006C4E70" w:rsidRPr="0052764F">
        <w:rPr>
          <w:rFonts w:ascii="Palatino Linotype" w:hAnsi="Palatino Linotype"/>
          <w:sz w:val="22"/>
          <w:szCs w:val="22"/>
        </w:rPr>
        <w:lastRenderedPageBreak/>
        <w:t>General de Personal, mediante el cual refiere que no cuenta con personal contratado bajo la modalidad outsourcing, en cuanto a las personas de servicio social las mismas no reciben remuneración alguna por parte de este Sujeto Obligado, en cuanto a la nómina general, cuenta con copia del documento denominado “Desglose de Plazas por Servidor (a) Público (a), de los servidores públicos adscritos a la Secretaría de Finanzas, no obstante, las documentales señalas se encuentran integradas en expedientes que ascienden a la cantidad de 49,426 fojas. Refiere que la presente solicitud excede la capacidad del tamaño máximo que la plataforma SAIMEX puede soportar para alojar documentos; asimismo, la entrega de la información solicitada conlleva el análisis, estudio o procesamiento de documentos, cuya reproducción sobrepasa las capacidades técnicas, administrativas y humanas, motivo por el cual, con fundamento en el artículo 158 de la Ley de Transparencia y Acceso a la Información Pública  del Estado de México y Municipios, a efecto de que se asiente en la bitácora de incidencias el cambio de modalidad de entrega a consulta directa.</w:t>
      </w:r>
    </w:p>
    <w:p w:rsidR="005A0A20" w:rsidRPr="0052764F" w:rsidRDefault="005A0A20" w:rsidP="00CE4F60">
      <w:pPr>
        <w:pStyle w:val="Prrafodelista"/>
        <w:spacing w:line="360" w:lineRule="auto"/>
        <w:jc w:val="both"/>
        <w:rPr>
          <w:rFonts w:ascii="Palatino Linotype" w:hAnsi="Palatino Linotype" w:cs="Arial"/>
          <w:b/>
          <w:bCs/>
          <w:i/>
          <w:sz w:val="22"/>
          <w:szCs w:val="22"/>
          <w:lang w:val="es-MX"/>
        </w:rPr>
      </w:pPr>
    </w:p>
    <w:p w:rsidR="001835E5" w:rsidRPr="0052764F" w:rsidRDefault="001835E5" w:rsidP="00CE4F60">
      <w:pPr>
        <w:pStyle w:val="Prrafodelista"/>
        <w:rPr>
          <w:rFonts w:ascii="Palatino Linotype" w:eastAsia="Calibri" w:hAnsi="Palatino Linotype" w:cs="Arial"/>
          <w:lang w:val="es-ES"/>
        </w:rPr>
      </w:pPr>
    </w:p>
    <w:p w:rsidR="00070F51" w:rsidRPr="0052764F" w:rsidRDefault="001835E5" w:rsidP="00CE4F60">
      <w:pPr>
        <w:pStyle w:val="Prrafodelista"/>
        <w:rPr>
          <w:rFonts w:ascii="Palatino Linotype" w:hAnsi="Palatino Linotype" w:cs="Arial"/>
          <w:b/>
          <w:bCs/>
          <w:lang w:val="es-MX"/>
        </w:rPr>
      </w:pPr>
      <w:r w:rsidRPr="0052764F">
        <w:rPr>
          <w:rFonts w:ascii="Palatino Linotype" w:hAnsi="Palatino Linotype" w:cs="Arial"/>
          <w:b/>
          <w:bCs/>
          <w:lang w:val="es-MX"/>
        </w:rPr>
        <w:t>00458/SF/IP/2020:</w:t>
      </w:r>
    </w:p>
    <w:p w:rsidR="006C4E70" w:rsidRPr="0052764F" w:rsidRDefault="009F4550" w:rsidP="00CE4F60">
      <w:pPr>
        <w:pStyle w:val="Prrafodelista"/>
        <w:spacing w:line="360" w:lineRule="auto"/>
        <w:jc w:val="both"/>
        <w:rPr>
          <w:rFonts w:ascii="Palatino Linotype" w:hAnsi="Palatino Linotype" w:cs="Arial"/>
          <w:bCs/>
          <w:i/>
          <w:sz w:val="22"/>
          <w:szCs w:val="22"/>
          <w:lang w:val="es-MX"/>
        </w:rPr>
      </w:pPr>
      <w:r w:rsidRPr="0052764F">
        <w:rPr>
          <w:rFonts w:ascii="Palatino Linotype" w:hAnsi="Palatino Linotype" w:cs="Arial"/>
          <w:bCs/>
          <w:i/>
          <w:sz w:val="22"/>
          <w:szCs w:val="22"/>
          <w:lang w:val="es-MX"/>
        </w:rPr>
        <w:t>(…)</w:t>
      </w:r>
    </w:p>
    <w:p w:rsidR="009F4550" w:rsidRPr="0052764F" w:rsidRDefault="009F4550" w:rsidP="00CE4F60">
      <w:pPr>
        <w:pStyle w:val="Prrafodelista"/>
        <w:spacing w:line="360" w:lineRule="auto"/>
        <w:jc w:val="both"/>
        <w:rPr>
          <w:rFonts w:ascii="Palatino Linotype" w:hAnsi="Palatino Linotype"/>
          <w:i/>
          <w:color w:val="000000"/>
          <w:sz w:val="22"/>
          <w:szCs w:val="22"/>
        </w:rPr>
      </w:pPr>
      <w:r w:rsidRPr="0052764F">
        <w:rPr>
          <w:rFonts w:ascii="Palatino Linotype" w:hAnsi="Palatino Linotype"/>
          <w:i/>
          <w:color w:val="000000"/>
          <w:sz w:val="22"/>
          <w:szCs w:val="22"/>
        </w:rPr>
        <w:t>“Sobre el particular, sírvase encontrar en archivo adjunto copia del oficio de notificación número 20700004S/UT-1914/2020 mediante el cual se detalla lo referente a su solicitud. Asimismo, se hace de su conocimiento que el Comité de Transparencia mediante Acuerdo CT-2020-0077 ha tenido a bien confirmar la clasificación como información confidencial de los datos personales que obran en los documentos adjuntos.” (Sic)</w:t>
      </w:r>
    </w:p>
    <w:p w:rsidR="009F4550" w:rsidRPr="0052764F" w:rsidRDefault="009F4550" w:rsidP="00CE4F60">
      <w:pPr>
        <w:pStyle w:val="Prrafodelista"/>
        <w:spacing w:line="360" w:lineRule="auto"/>
        <w:jc w:val="both"/>
        <w:rPr>
          <w:rFonts w:ascii="Palatino Linotype" w:hAnsi="Palatino Linotype"/>
          <w:i/>
          <w:color w:val="000000"/>
          <w:sz w:val="22"/>
          <w:szCs w:val="22"/>
        </w:rPr>
      </w:pPr>
      <w:r w:rsidRPr="0052764F">
        <w:rPr>
          <w:rFonts w:ascii="Palatino Linotype" w:hAnsi="Palatino Linotype"/>
          <w:i/>
          <w:color w:val="000000"/>
          <w:sz w:val="22"/>
          <w:szCs w:val="22"/>
        </w:rPr>
        <w:t>(…)</w:t>
      </w:r>
    </w:p>
    <w:p w:rsidR="009F4550" w:rsidRPr="0052764F" w:rsidRDefault="009F4550" w:rsidP="00CE4F60">
      <w:pPr>
        <w:pStyle w:val="Prrafodelista"/>
        <w:rPr>
          <w:rFonts w:ascii="Verdana" w:hAnsi="Verdana"/>
          <w:color w:val="000000"/>
          <w:sz w:val="18"/>
          <w:szCs w:val="18"/>
        </w:rPr>
      </w:pPr>
    </w:p>
    <w:p w:rsidR="009F4550" w:rsidRPr="0052764F" w:rsidRDefault="009F4550" w:rsidP="00CE4F60">
      <w:pPr>
        <w:rPr>
          <w:rFonts w:ascii="Palatino Linotype" w:hAnsi="Palatino Linotype" w:cs="Arial"/>
        </w:rPr>
      </w:pPr>
      <w:r w:rsidRPr="0052764F">
        <w:rPr>
          <w:rFonts w:ascii="Palatino Linotype" w:hAnsi="Palatino Linotype" w:cs="Arial"/>
        </w:rPr>
        <w:t>Documentos Anexos:</w:t>
      </w:r>
    </w:p>
    <w:p w:rsidR="009F4550" w:rsidRPr="0052764F" w:rsidRDefault="009F4550" w:rsidP="00CE4F60">
      <w:pPr>
        <w:rPr>
          <w:rFonts w:ascii="Palatino Linotype" w:hAnsi="Palatino Linotype" w:cs="Arial"/>
        </w:rPr>
      </w:pPr>
    </w:p>
    <w:p w:rsidR="009F4550" w:rsidRPr="0052764F" w:rsidRDefault="007A28FE" w:rsidP="00CE4F60">
      <w:pPr>
        <w:pStyle w:val="Prrafodelista"/>
        <w:numPr>
          <w:ilvl w:val="0"/>
          <w:numId w:val="7"/>
        </w:numPr>
        <w:spacing w:line="360" w:lineRule="auto"/>
        <w:jc w:val="both"/>
        <w:rPr>
          <w:rFonts w:ascii="Palatino Linotype" w:eastAsia="Calibri" w:hAnsi="Palatino Linotype" w:cs="Arial"/>
          <w:sz w:val="22"/>
          <w:szCs w:val="22"/>
          <w:lang w:val="es-ES"/>
        </w:rPr>
      </w:pPr>
      <w:hyperlink r:id="rId11" w:tgtFrame="_blank" w:history="1">
        <w:r w:rsidR="009F4550" w:rsidRPr="0052764F">
          <w:rPr>
            <w:rStyle w:val="Hipervnculo"/>
            <w:rFonts w:ascii="Palatino Linotype" w:hAnsi="Palatino Linotype" w:cs="Arial"/>
            <w:b/>
            <w:bCs/>
            <w:color w:val="auto"/>
            <w:sz w:val="22"/>
            <w:szCs w:val="22"/>
            <w:u w:val="none"/>
          </w:rPr>
          <w:t>UIPPE 458.pdf</w:t>
        </w:r>
      </w:hyperlink>
      <w:r w:rsidR="009F4550" w:rsidRPr="0052764F">
        <w:rPr>
          <w:rFonts w:ascii="Palatino Linotype" w:hAnsi="Palatino Linotype"/>
          <w:sz w:val="22"/>
          <w:szCs w:val="22"/>
        </w:rPr>
        <w:t>: Oficio 2070004S/UT-1914/2020 de fecha 19 de octubre, emitido por el Jefe de la UIPPE y Titular de la Unidad de Transparencia de la Secretaría de Finanzas, mediante el cual refiere adjuntar archivo emitido por el servidor público habilitado de la Dirección de Personal en el que se detalla lo referente a la solicitud de información.</w:t>
      </w:r>
    </w:p>
    <w:p w:rsidR="009F4550" w:rsidRPr="0052764F" w:rsidRDefault="009F4550" w:rsidP="00CE4F60">
      <w:pPr>
        <w:pStyle w:val="Prrafodelista"/>
        <w:rPr>
          <w:rFonts w:ascii="Palatino Linotype" w:hAnsi="Palatino Linotype" w:cs="Arial"/>
          <w:sz w:val="22"/>
          <w:szCs w:val="22"/>
        </w:rPr>
      </w:pPr>
    </w:p>
    <w:p w:rsidR="009F4550" w:rsidRPr="0052764F" w:rsidRDefault="009F4550" w:rsidP="00CE4F60">
      <w:pPr>
        <w:pStyle w:val="Prrafodelista"/>
        <w:rPr>
          <w:rFonts w:ascii="Palatino Linotype" w:hAnsi="Palatino Linotype" w:cs="Arial"/>
          <w:sz w:val="22"/>
          <w:szCs w:val="22"/>
        </w:rPr>
      </w:pPr>
    </w:p>
    <w:p w:rsidR="00911573" w:rsidRPr="0052764F" w:rsidRDefault="007A28FE" w:rsidP="00CE4F60">
      <w:pPr>
        <w:pStyle w:val="Prrafodelista"/>
        <w:numPr>
          <w:ilvl w:val="0"/>
          <w:numId w:val="8"/>
        </w:numPr>
        <w:spacing w:line="360" w:lineRule="auto"/>
        <w:jc w:val="both"/>
        <w:rPr>
          <w:rFonts w:ascii="Palatino Linotype" w:hAnsi="Palatino Linotype" w:cs="Arial"/>
          <w:sz w:val="22"/>
          <w:szCs w:val="22"/>
        </w:rPr>
      </w:pPr>
      <w:hyperlink r:id="rId12" w:tgtFrame="_blank" w:history="1">
        <w:r w:rsidR="009F4550" w:rsidRPr="0052764F">
          <w:rPr>
            <w:rStyle w:val="Hipervnculo"/>
            <w:rFonts w:ascii="Palatino Linotype" w:hAnsi="Palatino Linotype" w:cs="Arial"/>
            <w:b/>
            <w:bCs/>
            <w:color w:val="auto"/>
            <w:sz w:val="22"/>
            <w:szCs w:val="22"/>
            <w:u w:val="none"/>
          </w:rPr>
          <w:t>458 DGP.pdf</w:t>
        </w:r>
      </w:hyperlink>
      <w:r w:rsidR="009F4550" w:rsidRPr="0052764F">
        <w:rPr>
          <w:rFonts w:ascii="Palatino Linotype" w:hAnsi="Palatino Linotype"/>
          <w:sz w:val="22"/>
          <w:szCs w:val="22"/>
        </w:rPr>
        <w:t xml:space="preserve">: Oficio  20706004000100S-0223/2020 que consta de dos fojas, emitido por el Jefe de la Unidad y Servidor Público Habilitado de la Dirección General de Personal, mediante el cual refiere que no cuenta con personal contratado bajo la modalidad outsourcing, </w:t>
      </w:r>
      <w:r w:rsidR="00390D82" w:rsidRPr="0052764F">
        <w:rPr>
          <w:rFonts w:ascii="Palatino Linotype" w:hAnsi="Palatino Linotype"/>
          <w:sz w:val="22"/>
          <w:szCs w:val="22"/>
        </w:rPr>
        <w:t xml:space="preserve">ni de lista de raya u honorarios, en relación a las personas de servicio social las mismas no reciben remuneración alguna por parte de este Sujeto Obligado y por </w:t>
      </w:r>
      <w:r w:rsidR="009F4550" w:rsidRPr="0052764F">
        <w:rPr>
          <w:rFonts w:ascii="Palatino Linotype" w:hAnsi="Palatino Linotype"/>
          <w:sz w:val="22"/>
          <w:szCs w:val="22"/>
        </w:rPr>
        <w:t>cuanto</w:t>
      </w:r>
      <w:r w:rsidR="00390D82" w:rsidRPr="0052764F">
        <w:rPr>
          <w:rFonts w:ascii="Palatino Linotype" w:hAnsi="Palatino Linotype"/>
          <w:sz w:val="22"/>
          <w:szCs w:val="22"/>
        </w:rPr>
        <w:t xml:space="preserve"> hace</w:t>
      </w:r>
      <w:r w:rsidR="009F4550" w:rsidRPr="0052764F">
        <w:rPr>
          <w:rFonts w:ascii="Palatino Linotype" w:hAnsi="Palatino Linotype"/>
          <w:sz w:val="22"/>
          <w:szCs w:val="22"/>
        </w:rPr>
        <w:t xml:space="preserve"> a la nómina general, cuenta con copia del documento denominado “Desglose de Plazas por Servidor (a) Público (a), de los servidores públicos adscritos a la Secretaría de Finanzas, no obstante, las documentales señalas se encuentran integradas en expedientes que ascienden a la cantidad de 49,426 fojas. Refiere que la presente solicitud excede la capacidad del tamaño máximo que la plataforma SAIMEX puede soportar para alojar documentos; asimismo, la entrega de la información solicitada conlleva el análisis, estudio o procesamiento de documentos, cuya reproducción sobrepasa las capacidades técnicas, administrativas y humanas, motivo por el cual, con fundamento en el artículo 158 de la Ley de Transparencia y Acceso a la Información Pública  del Estado de México y Municipios, a efecto de que se asiente en la bitácora de incidencias el cambio de modalidad de entrega a consulta directa.</w:t>
      </w:r>
    </w:p>
    <w:p w:rsidR="00911573" w:rsidRPr="0052764F" w:rsidRDefault="00911573" w:rsidP="00CE4F60">
      <w:pPr>
        <w:jc w:val="both"/>
        <w:rPr>
          <w:rFonts w:ascii="Palatino Linotype" w:hAnsi="Palatino Linotype"/>
          <w:color w:val="000000"/>
          <w:sz w:val="22"/>
          <w:szCs w:val="22"/>
          <w:lang w:val="es-ES_tradnl"/>
        </w:rPr>
      </w:pPr>
    </w:p>
    <w:p w:rsidR="00911573" w:rsidRPr="0052764F" w:rsidRDefault="00911573" w:rsidP="00CE4F60">
      <w:pPr>
        <w:jc w:val="both"/>
        <w:rPr>
          <w:rFonts w:ascii="Palatino Linotype" w:hAnsi="Palatino Linotype"/>
          <w:sz w:val="22"/>
          <w:szCs w:val="22"/>
        </w:rPr>
      </w:pPr>
    </w:p>
    <w:p w:rsidR="00911573" w:rsidRPr="0052764F" w:rsidRDefault="00911573" w:rsidP="00CE4F60">
      <w:pPr>
        <w:pStyle w:val="Prrafodelista"/>
        <w:numPr>
          <w:ilvl w:val="0"/>
          <w:numId w:val="1"/>
        </w:numPr>
        <w:spacing w:line="360" w:lineRule="auto"/>
        <w:ind w:left="0" w:firstLine="0"/>
        <w:jc w:val="both"/>
        <w:rPr>
          <w:rFonts w:ascii="Palatino Linotype" w:eastAsiaTheme="majorEastAsia" w:hAnsi="Palatino Linotype" w:cstheme="majorBidi"/>
          <w:b/>
          <w:lang w:val="es-ES"/>
        </w:rPr>
      </w:pPr>
      <w:r w:rsidRPr="0052764F">
        <w:rPr>
          <w:rFonts w:ascii="Palatino Linotype" w:eastAsia="Calibri" w:hAnsi="Palatino Linotype" w:cs="Arial"/>
          <w:lang w:val="es-AR"/>
        </w:rPr>
        <w:lastRenderedPageBreak/>
        <w:t>El</w:t>
      </w:r>
      <w:r w:rsidRPr="0052764F">
        <w:rPr>
          <w:rFonts w:ascii="Palatino Linotype" w:eastAsia="Times New Roman" w:hAnsi="Palatino Linotype" w:cs="Arial"/>
          <w:lang w:val="es-ES"/>
        </w:rPr>
        <w:t xml:space="preserve"> </w:t>
      </w:r>
      <w:r w:rsidR="00390D82" w:rsidRPr="0052764F">
        <w:rPr>
          <w:rFonts w:ascii="Palatino Linotype" w:eastAsia="Times New Roman" w:hAnsi="Palatino Linotype" w:cs="Arial"/>
          <w:b/>
          <w:lang w:val="es-ES"/>
        </w:rPr>
        <w:t xml:space="preserve">veinte (20) de octubre </w:t>
      </w:r>
      <w:r w:rsidRPr="0052764F">
        <w:rPr>
          <w:rFonts w:ascii="Palatino Linotype" w:eastAsia="Times New Roman" w:hAnsi="Palatino Linotype" w:cs="Arial"/>
          <w:b/>
          <w:lang w:val="es-ES"/>
        </w:rPr>
        <w:t xml:space="preserve"> de dos mil veinte</w:t>
      </w:r>
      <w:r w:rsidRPr="0052764F">
        <w:rPr>
          <w:rFonts w:ascii="Palatino Linotype" w:eastAsia="Times New Roman" w:hAnsi="Palatino Linotype" w:cs="Arial"/>
          <w:lang w:val="es-ES"/>
        </w:rPr>
        <w:t xml:space="preserve">, </w:t>
      </w:r>
      <w:bookmarkStart w:id="1" w:name="_Toc461555885"/>
      <w:bookmarkStart w:id="2" w:name="_Toc465264612"/>
      <w:bookmarkStart w:id="3" w:name="_Toc465264857"/>
      <w:bookmarkStart w:id="4" w:name="_Toc465266508"/>
      <w:bookmarkStart w:id="5" w:name="_Toc466302240"/>
      <w:bookmarkStart w:id="6" w:name="_Toc466371848"/>
      <w:bookmarkStart w:id="7" w:name="_Toc466371907"/>
      <w:bookmarkStart w:id="8" w:name="_Toc466377637"/>
      <w:bookmarkStart w:id="9" w:name="_Toc475619390"/>
      <w:bookmarkStart w:id="10" w:name="_Toc476048182"/>
      <w:bookmarkStart w:id="11" w:name="_Toc476071561"/>
      <w:bookmarkStart w:id="12" w:name="_Toc491370292"/>
      <w:r w:rsidRPr="0052764F">
        <w:rPr>
          <w:rFonts w:ascii="Palatino Linotype" w:eastAsia="Times New Roman" w:hAnsi="Palatino Linotype" w:cs="Arial"/>
          <w:lang w:val="es-ES"/>
        </w:rPr>
        <w:t>el particular interpuso los recursos de revisión, en contra de las respuesta a las solicitudes de información, señalando como:</w:t>
      </w:r>
    </w:p>
    <w:p w:rsidR="00514FDB" w:rsidRPr="0052764F" w:rsidRDefault="00514FDB" w:rsidP="00CE4F60">
      <w:pPr>
        <w:pStyle w:val="Prrafodelista"/>
        <w:spacing w:line="360" w:lineRule="auto"/>
        <w:ind w:left="0"/>
        <w:jc w:val="both"/>
        <w:rPr>
          <w:rFonts w:ascii="Palatino Linotype" w:eastAsiaTheme="majorEastAsia" w:hAnsi="Palatino Linotype" w:cstheme="majorBidi"/>
          <w:b/>
          <w:lang w:val="es-ES"/>
        </w:rPr>
      </w:pPr>
    </w:p>
    <w:p w:rsidR="00390D82" w:rsidRPr="0052764F" w:rsidRDefault="00390D82" w:rsidP="00CE4F60">
      <w:pPr>
        <w:pStyle w:val="Prrafodelista"/>
        <w:spacing w:line="360" w:lineRule="auto"/>
        <w:ind w:left="0"/>
        <w:jc w:val="both"/>
        <w:rPr>
          <w:rFonts w:ascii="Palatino Linotype" w:hAnsi="Palatino Linotype" w:cs="Arial"/>
          <w:b/>
          <w:bCs/>
        </w:rPr>
      </w:pPr>
      <w:r w:rsidRPr="0052764F">
        <w:rPr>
          <w:rFonts w:ascii="Palatino Linotype" w:hAnsi="Palatino Linotype" w:cs="Arial"/>
          <w:b/>
          <w:bCs/>
        </w:rPr>
        <w:t>04593/INFOEM/IP/RR/2020:</w:t>
      </w:r>
    </w:p>
    <w:p w:rsidR="00390D82" w:rsidRPr="0052764F" w:rsidRDefault="00390D82" w:rsidP="00CE4F60">
      <w:pPr>
        <w:spacing w:line="360" w:lineRule="auto"/>
        <w:ind w:left="426" w:right="567"/>
        <w:jc w:val="both"/>
        <w:rPr>
          <w:rFonts w:ascii="Palatino Linotype" w:eastAsiaTheme="majorEastAsia" w:hAnsi="Palatino Linotype" w:cstheme="majorBidi"/>
          <w:b/>
          <w:i/>
          <w:lang w:val="es-ES" w:eastAsia="es-ES"/>
        </w:rPr>
      </w:pPr>
      <w:bookmarkStart w:id="13" w:name="_Toc475015152"/>
      <w:bookmarkStart w:id="14" w:name="_Toc476078667"/>
      <w:bookmarkStart w:id="15" w:name="_Toc476675983"/>
      <w:bookmarkStart w:id="16" w:name="_Toc477345124"/>
      <w:bookmarkStart w:id="17" w:name="_Toc477345202"/>
      <w:bookmarkStart w:id="18" w:name="_Toc480987168"/>
      <w:bookmarkStart w:id="19" w:name="_Toc480996301"/>
      <w:bookmarkStart w:id="20" w:name="_Toc485145203"/>
      <w:bookmarkStart w:id="21" w:name="_Toc526438768"/>
      <w:bookmarkStart w:id="22" w:name="_Toc526438809"/>
      <w:bookmarkStart w:id="23" w:name="_Toc526438924"/>
      <w:bookmarkStart w:id="24" w:name="_Toc3467401"/>
      <w:bookmarkStart w:id="25" w:name="_Toc3467935"/>
      <w:bookmarkStart w:id="26" w:name="_Toc492489253"/>
      <w:bookmarkStart w:id="27" w:name="_Toc492590383"/>
      <w:bookmarkStart w:id="28" w:name="_Toc496806999"/>
      <w:bookmarkStart w:id="29" w:name="_Toc496807889"/>
      <w:bookmarkStart w:id="30" w:name="_Toc498528853"/>
      <w:bookmarkStart w:id="31" w:name="_Toc498528941"/>
      <w:bookmarkStart w:id="32" w:name="_Toc499059264"/>
      <w:bookmarkStart w:id="33" w:name="_Toc499658725"/>
      <w:bookmarkStart w:id="34" w:name="_Toc499659072"/>
      <w:bookmarkStart w:id="35" w:name="_Toc499810483"/>
      <w:bookmarkStart w:id="36" w:name="_Toc500414595"/>
      <w:bookmarkStart w:id="37" w:name="_Toc500414652"/>
      <w:bookmarkStart w:id="38" w:name="_Toc503366327"/>
      <w:bookmarkStart w:id="39" w:name="_Toc503891593"/>
      <w:bookmarkStart w:id="40" w:name="_Toc504069531"/>
      <w:bookmarkStart w:id="41" w:name="_Toc504500686"/>
      <w:r w:rsidRPr="0052764F">
        <w:rPr>
          <w:rFonts w:ascii="Palatino Linotype" w:eastAsiaTheme="majorEastAsia" w:hAnsi="Palatino Linotype" w:cstheme="majorBidi"/>
          <w:b/>
          <w:lang w:val="es-ES" w:eastAsia="es-ES"/>
        </w:rPr>
        <w:t>Acto impugnado</w:t>
      </w:r>
      <w:r w:rsidRPr="0052764F">
        <w:rPr>
          <w:rFonts w:ascii="Palatino Linotype" w:eastAsiaTheme="majorEastAsia" w:hAnsi="Palatino Linotype" w:cstheme="majorBidi"/>
          <w:b/>
          <w:i/>
          <w:lang w:val="es-ES" w:eastAsia="es-ES"/>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390D82" w:rsidRPr="0052764F" w:rsidRDefault="00390D82" w:rsidP="00CE4F60">
      <w:pPr>
        <w:spacing w:line="360" w:lineRule="auto"/>
        <w:ind w:left="426" w:right="567"/>
        <w:jc w:val="both"/>
        <w:rPr>
          <w:rFonts w:ascii="Palatino Linotype" w:eastAsiaTheme="majorEastAsia" w:hAnsi="Palatino Linotype" w:cstheme="majorBidi"/>
          <w:b/>
          <w:i/>
          <w:lang w:val="es-ES" w:eastAsia="es-ES"/>
        </w:rPr>
      </w:pPr>
      <w:r w:rsidRPr="0052764F">
        <w:rPr>
          <w:rFonts w:ascii="Palatino Linotype" w:eastAsiaTheme="majorEastAsia" w:hAnsi="Palatino Linotype" w:cstheme="majorBidi"/>
          <w:i/>
          <w:lang w:val="es-ES" w:eastAsia="es-ES"/>
        </w:rPr>
        <w:t xml:space="preserve"> “</w:t>
      </w:r>
      <w:r w:rsidRPr="0052764F">
        <w:rPr>
          <w:rFonts w:ascii="Palatino Linotype" w:hAnsi="Palatino Linotype"/>
          <w:i/>
          <w:color w:val="000000"/>
        </w:rPr>
        <w:t>El cambio de modalidad”</w:t>
      </w:r>
      <w:r w:rsidRPr="0052764F">
        <w:rPr>
          <w:rFonts w:ascii="Palatino Linotype" w:eastAsiaTheme="majorEastAsia" w:hAnsi="Palatino Linotype" w:cstheme="majorBidi"/>
          <w:i/>
          <w:lang w:val="es-ES" w:eastAsia="es-ES"/>
        </w:rPr>
        <w:t xml:space="preserve"> </w:t>
      </w:r>
      <w:r w:rsidRPr="0052764F">
        <w:rPr>
          <w:rFonts w:ascii="Palatino Linotype" w:eastAsia="Calibri" w:hAnsi="Palatino Linotype" w:cs="Arial"/>
          <w:i/>
          <w:lang w:val="es-ES" w:eastAsia="es-ES"/>
        </w:rPr>
        <w:t xml:space="preserve">(Sic) </w:t>
      </w:r>
    </w:p>
    <w:p w:rsidR="00390D82" w:rsidRPr="0052764F" w:rsidRDefault="00390D82" w:rsidP="00CE4F60">
      <w:pPr>
        <w:spacing w:line="360" w:lineRule="auto"/>
        <w:ind w:left="720" w:right="567"/>
        <w:contextualSpacing/>
        <w:jc w:val="both"/>
        <w:rPr>
          <w:rFonts w:ascii="Palatino Linotype" w:eastAsiaTheme="minorEastAsia" w:hAnsi="Palatino Linotype" w:cs="Arial"/>
          <w:i/>
          <w:lang w:val="es-ES_tradnl" w:eastAsia="es-ES"/>
        </w:rPr>
      </w:pPr>
    </w:p>
    <w:p w:rsidR="00390D82" w:rsidRPr="0052764F" w:rsidRDefault="00390D82" w:rsidP="00CE4F60">
      <w:pPr>
        <w:spacing w:line="360" w:lineRule="auto"/>
        <w:ind w:left="426" w:right="567"/>
        <w:jc w:val="both"/>
        <w:rPr>
          <w:rFonts w:ascii="Palatino Linotype" w:eastAsiaTheme="majorEastAsia" w:hAnsi="Palatino Linotype" w:cstheme="majorBidi"/>
          <w:i/>
          <w:lang w:val="es-ES" w:eastAsia="es-ES"/>
        </w:rPr>
      </w:pPr>
      <w:bookmarkStart w:id="42" w:name="_Toc462307685"/>
      <w:bookmarkStart w:id="43" w:name="_Toc472427087"/>
      <w:bookmarkStart w:id="44" w:name="_Toc472500654"/>
      <w:bookmarkStart w:id="45" w:name="_Toc475015153"/>
      <w:bookmarkStart w:id="46" w:name="_Toc476078668"/>
      <w:bookmarkStart w:id="47" w:name="_Toc476675984"/>
      <w:bookmarkStart w:id="48" w:name="_Toc477345125"/>
      <w:bookmarkStart w:id="49" w:name="_Toc477345203"/>
      <w:bookmarkStart w:id="50" w:name="_Toc480987169"/>
      <w:bookmarkStart w:id="51" w:name="_Toc480996302"/>
      <w:bookmarkStart w:id="52" w:name="_Toc485145204"/>
      <w:bookmarkStart w:id="53" w:name="_Toc492489254"/>
      <w:bookmarkStart w:id="54" w:name="_Toc492590384"/>
      <w:bookmarkStart w:id="55" w:name="_Toc496807000"/>
      <w:bookmarkStart w:id="56" w:name="_Toc496807890"/>
      <w:bookmarkStart w:id="57" w:name="_Toc498528854"/>
      <w:bookmarkStart w:id="58" w:name="_Toc498528942"/>
      <w:bookmarkStart w:id="59" w:name="_Toc499059265"/>
      <w:bookmarkStart w:id="60" w:name="_Toc499658726"/>
      <w:bookmarkStart w:id="61" w:name="_Toc499659073"/>
      <w:bookmarkStart w:id="62" w:name="_Toc499810484"/>
      <w:bookmarkStart w:id="63" w:name="_Toc500414596"/>
      <w:bookmarkStart w:id="64" w:name="_Toc500414653"/>
      <w:bookmarkStart w:id="65" w:name="_Toc503366328"/>
      <w:bookmarkStart w:id="66" w:name="_Toc503891594"/>
      <w:bookmarkStart w:id="67" w:name="_Toc504069532"/>
      <w:bookmarkStart w:id="68" w:name="_Toc504500687"/>
      <w:bookmarkStart w:id="69" w:name="_Toc526438769"/>
      <w:bookmarkStart w:id="70" w:name="_Toc526438810"/>
      <w:bookmarkStart w:id="71" w:name="_Toc526438925"/>
      <w:bookmarkStart w:id="72" w:name="_Toc3467402"/>
      <w:bookmarkStart w:id="73" w:name="_Toc3467936"/>
      <w:r w:rsidRPr="0052764F">
        <w:rPr>
          <w:rFonts w:ascii="Palatino Linotype" w:eastAsiaTheme="majorEastAsia" w:hAnsi="Palatino Linotype" w:cstheme="majorBidi"/>
          <w:b/>
          <w:lang w:val="es-ES" w:eastAsia="es-ES"/>
        </w:rPr>
        <w:t>Razones o Motivos de inconformidad:</w:t>
      </w:r>
      <w:bookmarkEnd w:id="42"/>
      <w:bookmarkEnd w:id="43"/>
      <w:bookmarkEnd w:id="44"/>
      <w:bookmarkEnd w:id="45"/>
      <w:bookmarkEnd w:id="46"/>
      <w:bookmarkEnd w:id="47"/>
      <w:bookmarkEnd w:id="48"/>
      <w:bookmarkEnd w:id="49"/>
      <w:bookmarkEnd w:id="50"/>
      <w:bookmarkEnd w:id="51"/>
      <w:bookmarkEnd w:id="52"/>
      <w:bookmarkEnd w:id="53"/>
      <w:bookmarkEnd w:id="54"/>
      <w:r w:rsidRPr="0052764F">
        <w:rPr>
          <w:rFonts w:ascii="Palatino Linotype" w:eastAsiaTheme="majorEastAsia" w:hAnsi="Palatino Linotype" w:cstheme="majorBidi"/>
          <w:b/>
          <w:lang w:val="es-ES" w:eastAsia="es-ES"/>
        </w:rPr>
        <w:t xml:space="preserve">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390D82" w:rsidRPr="0052764F" w:rsidRDefault="00390D82" w:rsidP="00CE4F60">
      <w:pPr>
        <w:spacing w:line="360" w:lineRule="auto"/>
        <w:ind w:left="426" w:right="567"/>
        <w:jc w:val="both"/>
        <w:rPr>
          <w:rFonts w:ascii="Palatino Linotype" w:eastAsiaTheme="majorEastAsia" w:hAnsi="Palatino Linotype" w:cstheme="majorBidi"/>
          <w:i/>
          <w:lang w:val="es-ES" w:eastAsia="es-ES"/>
        </w:rPr>
      </w:pPr>
      <w:r w:rsidRPr="0052764F">
        <w:rPr>
          <w:rFonts w:ascii="Palatino Linotype" w:eastAsiaTheme="majorEastAsia" w:hAnsi="Palatino Linotype" w:cstheme="majorBidi"/>
          <w:i/>
          <w:lang w:val="es-ES" w:eastAsia="es-ES"/>
        </w:rPr>
        <w:t>“</w:t>
      </w:r>
      <w:r w:rsidR="00BA0E29" w:rsidRPr="0052764F">
        <w:rPr>
          <w:rFonts w:ascii="Palatino Linotype" w:eastAsiaTheme="majorEastAsia" w:hAnsi="Palatino Linotype" w:cstheme="majorBidi"/>
          <w:i/>
          <w:lang w:eastAsia="es-ES"/>
        </w:rPr>
        <w:t>es inaceptable que por la información solicitada se pretenda realizar un cambio de modalidad. Únicamente reflejan la opacidad y restringen mi derecho para acceder a la información solicitada. Es evidente que la información solicitada no sobrepasa las capacidades de SAIMEX, además no hay fundamentacion suficiente que avale el cambio</w:t>
      </w:r>
      <w:r w:rsidRPr="0052764F">
        <w:rPr>
          <w:rFonts w:ascii="Palatino Linotype" w:eastAsiaTheme="majorEastAsia" w:hAnsi="Palatino Linotype" w:cstheme="majorBidi"/>
          <w:i/>
          <w:lang w:val="es-ES" w:eastAsia="es-ES"/>
        </w:rPr>
        <w:t>”(Sic)</w:t>
      </w:r>
    </w:p>
    <w:p w:rsidR="00390D82" w:rsidRPr="0052764F" w:rsidRDefault="00390D82" w:rsidP="00CE4F60">
      <w:pPr>
        <w:pStyle w:val="Prrafodelista"/>
        <w:spacing w:line="360" w:lineRule="auto"/>
        <w:ind w:left="0"/>
        <w:jc w:val="both"/>
        <w:rPr>
          <w:rFonts w:ascii="Palatino Linotype" w:hAnsi="Palatino Linotype" w:cs="Arial"/>
          <w:b/>
          <w:bCs/>
        </w:rPr>
      </w:pPr>
    </w:p>
    <w:p w:rsidR="00390D82" w:rsidRPr="0052764F" w:rsidRDefault="00390D82" w:rsidP="00CE4F60">
      <w:pPr>
        <w:pStyle w:val="Prrafodelista"/>
        <w:spacing w:line="360" w:lineRule="auto"/>
        <w:ind w:left="0"/>
        <w:jc w:val="both"/>
        <w:rPr>
          <w:rFonts w:ascii="Palatino Linotype" w:hAnsi="Palatino Linotype" w:cs="Arial"/>
          <w:b/>
          <w:bCs/>
        </w:rPr>
      </w:pPr>
      <w:r w:rsidRPr="0052764F">
        <w:rPr>
          <w:rFonts w:ascii="Palatino Linotype" w:hAnsi="Palatino Linotype" w:cs="Arial"/>
          <w:b/>
          <w:bCs/>
        </w:rPr>
        <w:t>04594/INFOEM/IP/RR/2020:</w:t>
      </w:r>
    </w:p>
    <w:p w:rsidR="00BA0E29" w:rsidRPr="0052764F" w:rsidRDefault="00BA0E29" w:rsidP="00CE4F60">
      <w:pPr>
        <w:spacing w:line="360" w:lineRule="auto"/>
        <w:ind w:left="426" w:right="567"/>
        <w:jc w:val="both"/>
        <w:rPr>
          <w:rFonts w:ascii="Palatino Linotype" w:eastAsiaTheme="majorEastAsia" w:hAnsi="Palatino Linotype" w:cstheme="majorBidi"/>
          <w:b/>
          <w:i/>
          <w:lang w:val="es-ES" w:eastAsia="es-ES"/>
        </w:rPr>
      </w:pPr>
      <w:r w:rsidRPr="0052764F">
        <w:rPr>
          <w:rFonts w:ascii="Palatino Linotype" w:eastAsiaTheme="majorEastAsia" w:hAnsi="Palatino Linotype" w:cstheme="majorBidi"/>
          <w:b/>
          <w:lang w:val="es-ES" w:eastAsia="es-ES"/>
        </w:rPr>
        <w:t>Acto impugnado</w:t>
      </w:r>
      <w:r w:rsidRPr="0052764F">
        <w:rPr>
          <w:rFonts w:ascii="Palatino Linotype" w:eastAsiaTheme="majorEastAsia" w:hAnsi="Palatino Linotype" w:cstheme="majorBidi"/>
          <w:b/>
          <w:i/>
          <w:lang w:val="es-ES" w:eastAsia="es-ES"/>
        </w:rPr>
        <w:t xml:space="preserve">: </w:t>
      </w:r>
    </w:p>
    <w:p w:rsidR="00BA0E29" w:rsidRPr="0052764F" w:rsidRDefault="00BA0E29" w:rsidP="00CE4F60">
      <w:pPr>
        <w:spacing w:line="360" w:lineRule="auto"/>
        <w:ind w:left="426" w:right="567"/>
        <w:jc w:val="both"/>
        <w:rPr>
          <w:rFonts w:ascii="Palatino Linotype" w:eastAsiaTheme="majorEastAsia" w:hAnsi="Palatino Linotype" w:cstheme="majorBidi"/>
          <w:b/>
          <w:i/>
          <w:lang w:val="es-ES" w:eastAsia="es-ES"/>
        </w:rPr>
      </w:pPr>
      <w:r w:rsidRPr="0052764F">
        <w:rPr>
          <w:rFonts w:ascii="Palatino Linotype" w:eastAsiaTheme="majorEastAsia" w:hAnsi="Palatino Linotype" w:cstheme="majorBidi"/>
          <w:i/>
          <w:lang w:val="es-ES" w:eastAsia="es-ES"/>
        </w:rPr>
        <w:t xml:space="preserve"> “</w:t>
      </w:r>
      <w:r w:rsidRPr="0052764F">
        <w:rPr>
          <w:rFonts w:ascii="Palatino Linotype" w:hAnsi="Palatino Linotype"/>
          <w:i/>
          <w:color w:val="000000"/>
        </w:rPr>
        <w:t>el cambio de modalidad”</w:t>
      </w:r>
      <w:r w:rsidRPr="0052764F">
        <w:rPr>
          <w:rFonts w:ascii="Palatino Linotype" w:eastAsiaTheme="majorEastAsia" w:hAnsi="Palatino Linotype" w:cstheme="majorBidi"/>
          <w:i/>
          <w:lang w:val="es-ES" w:eastAsia="es-ES"/>
        </w:rPr>
        <w:t xml:space="preserve"> </w:t>
      </w:r>
      <w:r w:rsidRPr="0052764F">
        <w:rPr>
          <w:rFonts w:ascii="Palatino Linotype" w:eastAsia="Calibri" w:hAnsi="Palatino Linotype" w:cs="Arial"/>
          <w:i/>
          <w:lang w:val="es-ES" w:eastAsia="es-ES"/>
        </w:rPr>
        <w:t xml:space="preserve">(Sic) </w:t>
      </w:r>
    </w:p>
    <w:p w:rsidR="00BA0E29" w:rsidRPr="0052764F" w:rsidRDefault="00BA0E29" w:rsidP="00CE4F60">
      <w:pPr>
        <w:spacing w:line="360" w:lineRule="auto"/>
        <w:ind w:left="720" w:right="567"/>
        <w:contextualSpacing/>
        <w:jc w:val="both"/>
        <w:rPr>
          <w:rFonts w:ascii="Palatino Linotype" w:eastAsiaTheme="minorEastAsia" w:hAnsi="Palatino Linotype" w:cs="Arial"/>
          <w:i/>
          <w:lang w:val="es-ES_tradnl" w:eastAsia="es-ES"/>
        </w:rPr>
      </w:pPr>
    </w:p>
    <w:p w:rsidR="00BA0E29" w:rsidRPr="0052764F" w:rsidRDefault="00BA0E29" w:rsidP="00CE4F60">
      <w:pPr>
        <w:spacing w:line="360" w:lineRule="auto"/>
        <w:ind w:left="426" w:right="567"/>
        <w:jc w:val="both"/>
        <w:rPr>
          <w:rFonts w:ascii="Palatino Linotype" w:eastAsiaTheme="majorEastAsia" w:hAnsi="Palatino Linotype" w:cstheme="majorBidi"/>
          <w:i/>
          <w:lang w:val="es-ES" w:eastAsia="es-ES"/>
        </w:rPr>
      </w:pPr>
      <w:r w:rsidRPr="0052764F">
        <w:rPr>
          <w:rFonts w:ascii="Palatino Linotype" w:eastAsiaTheme="majorEastAsia" w:hAnsi="Palatino Linotype" w:cstheme="majorBidi"/>
          <w:b/>
          <w:lang w:val="es-ES" w:eastAsia="es-ES"/>
        </w:rPr>
        <w:t xml:space="preserve">Razones o Motivos de inconformidad: </w:t>
      </w:r>
    </w:p>
    <w:p w:rsidR="00BA0E29" w:rsidRPr="0052764F" w:rsidRDefault="00BA0E29" w:rsidP="00CE4F60">
      <w:pPr>
        <w:spacing w:line="360" w:lineRule="auto"/>
        <w:ind w:left="426" w:right="567"/>
        <w:jc w:val="both"/>
        <w:rPr>
          <w:rFonts w:ascii="Palatino Linotype" w:eastAsiaTheme="majorEastAsia" w:hAnsi="Palatino Linotype" w:cstheme="majorBidi"/>
          <w:i/>
          <w:lang w:val="es-ES" w:eastAsia="es-ES"/>
        </w:rPr>
      </w:pPr>
      <w:r w:rsidRPr="0052764F">
        <w:rPr>
          <w:rFonts w:ascii="Palatino Linotype" w:eastAsiaTheme="majorEastAsia" w:hAnsi="Palatino Linotype" w:cstheme="majorBidi"/>
          <w:i/>
          <w:lang w:val="es-ES" w:eastAsia="es-ES"/>
        </w:rPr>
        <w:t>“</w:t>
      </w:r>
      <w:r w:rsidRPr="0052764F">
        <w:rPr>
          <w:rFonts w:ascii="Palatino Linotype" w:eastAsiaTheme="majorEastAsia" w:hAnsi="Palatino Linotype" w:cstheme="majorBidi"/>
          <w:i/>
          <w:lang w:eastAsia="es-ES"/>
        </w:rPr>
        <w:t xml:space="preserve">es inaceptable que por la información solicitada se pretenda realizar un cambio de modalidad. Únicamente reflejan la opacidad y restringen mi derecho para acceder a la información solicitada. Es evidente que la información solicitada no sobrepasa las capacidades de SAIMEX, además no hay fundamentacion suficiente </w:t>
      </w:r>
      <w:r w:rsidRPr="0052764F">
        <w:rPr>
          <w:rFonts w:ascii="Palatino Linotype" w:eastAsiaTheme="majorEastAsia" w:hAnsi="Palatino Linotype" w:cstheme="majorBidi"/>
          <w:i/>
          <w:lang w:eastAsia="es-ES"/>
        </w:rPr>
        <w:lastRenderedPageBreak/>
        <w:t xml:space="preserve">que avale el </w:t>
      </w:r>
      <w:r w:rsidR="000F0B60" w:rsidRPr="0052764F">
        <w:rPr>
          <w:rFonts w:ascii="Palatino Linotype" w:eastAsiaTheme="majorEastAsia" w:hAnsi="Palatino Linotype" w:cstheme="majorBidi"/>
          <w:i/>
          <w:lang w:eastAsia="es-ES"/>
        </w:rPr>
        <w:t>cambio. Un documento en Excel (</w:t>
      </w:r>
      <w:r w:rsidRPr="0052764F">
        <w:rPr>
          <w:rFonts w:ascii="Palatino Linotype" w:eastAsiaTheme="majorEastAsia" w:hAnsi="Palatino Linotype" w:cstheme="majorBidi"/>
          <w:i/>
          <w:lang w:eastAsia="es-ES"/>
        </w:rPr>
        <w:t>que es como se genera la nómina general) no sobrepasa de ninguna manera las capacidades del sistema, por lo que debe ser proporcionada la información. Pido se de vista al OIC PARA que se inicie un procedimiento administrativo en contra del Titulas de la Unidad de Transparencia y los servidores públicos habilitados por querer negar la información y querer cambiar la modalidad sin sustento alguno.</w:t>
      </w:r>
      <w:r w:rsidRPr="0052764F">
        <w:rPr>
          <w:rFonts w:ascii="Palatino Linotype" w:eastAsiaTheme="majorEastAsia" w:hAnsi="Palatino Linotype" w:cstheme="majorBidi"/>
          <w:i/>
          <w:lang w:val="es-ES" w:eastAsia="es-ES"/>
        </w:rPr>
        <w:t>”(Sic)</w:t>
      </w:r>
    </w:p>
    <w:p w:rsidR="00390D82" w:rsidRPr="0052764F" w:rsidRDefault="00390D82" w:rsidP="00CE4F60">
      <w:pPr>
        <w:pStyle w:val="Prrafodelista"/>
        <w:spacing w:line="360" w:lineRule="auto"/>
        <w:ind w:left="0"/>
        <w:jc w:val="both"/>
        <w:rPr>
          <w:rFonts w:ascii="Palatino Linotype" w:hAnsi="Palatino Linotype" w:cs="Arial"/>
          <w:b/>
          <w:bCs/>
        </w:rPr>
      </w:pPr>
    </w:p>
    <w:p w:rsidR="00390D82" w:rsidRPr="0052764F" w:rsidRDefault="00390D82" w:rsidP="00CE4F60">
      <w:pPr>
        <w:pStyle w:val="Prrafodelista"/>
        <w:spacing w:line="360" w:lineRule="auto"/>
        <w:ind w:left="0"/>
        <w:jc w:val="both"/>
        <w:rPr>
          <w:rFonts w:ascii="Palatino Linotype" w:eastAsiaTheme="majorEastAsia" w:hAnsi="Palatino Linotype" w:cstheme="majorBidi"/>
          <w:b/>
          <w:lang w:val="es-ES"/>
        </w:rPr>
      </w:pPr>
      <w:r w:rsidRPr="0052764F">
        <w:rPr>
          <w:rFonts w:ascii="Palatino Linotype" w:hAnsi="Palatino Linotype" w:cs="Arial"/>
          <w:b/>
          <w:bCs/>
        </w:rPr>
        <w:t>04595/INFOEM/IP/RR/2020:</w:t>
      </w:r>
    </w:p>
    <w:p w:rsidR="00BA0E29" w:rsidRPr="0052764F" w:rsidRDefault="00BA0E29" w:rsidP="00CE4F60">
      <w:pPr>
        <w:spacing w:line="360" w:lineRule="auto"/>
        <w:ind w:left="426" w:right="567"/>
        <w:jc w:val="both"/>
        <w:rPr>
          <w:rFonts w:ascii="Palatino Linotype" w:eastAsiaTheme="majorEastAsia" w:hAnsi="Palatino Linotype" w:cstheme="majorBidi"/>
          <w:b/>
          <w:i/>
          <w:lang w:val="es-ES" w:eastAsia="es-ES"/>
        </w:rPr>
      </w:pPr>
      <w:r w:rsidRPr="0052764F">
        <w:rPr>
          <w:rFonts w:ascii="Palatino Linotype" w:eastAsiaTheme="majorEastAsia" w:hAnsi="Palatino Linotype" w:cstheme="majorBidi"/>
          <w:b/>
          <w:lang w:val="es-ES" w:eastAsia="es-ES"/>
        </w:rPr>
        <w:t>Acto impugnado</w:t>
      </w:r>
      <w:r w:rsidRPr="0052764F">
        <w:rPr>
          <w:rFonts w:ascii="Palatino Linotype" w:eastAsiaTheme="majorEastAsia" w:hAnsi="Palatino Linotype" w:cstheme="majorBidi"/>
          <w:b/>
          <w:i/>
          <w:lang w:val="es-ES" w:eastAsia="es-ES"/>
        </w:rPr>
        <w:t xml:space="preserve">: </w:t>
      </w:r>
    </w:p>
    <w:p w:rsidR="00BA0E29" w:rsidRPr="0052764F" w:rsidRDefault="00BA0E29" w:rsidP="00CE4F60">
      <w:pPr>
        <w:spacing w:line="360" w:lineRule="auto"/>
        <w:ind w:left="426" w:right="567"/>
        <w:jc w:val="both"/>
        <w:rPr>
          <w:rFonts w:ascii="Palatino Linotype" w:eastAsiaTheme="majorEastAsia" w:hAnsi="Palatino Linotype" w:cstheme="majorBidi"/>
          <w:b/>
          <w:i/>
          <w:lang w:val="es-ES" w:eastAsia="es-ES"/>
        </w:rPr>
      </w:pPr>
      <w:r w:rsidRPr="0052764F">
        <w:rPr>
          <w:rFonts w:ascii="Palatino Linotype" w:eastAsiaTheme="majorEastAsia" w:hAnsi="Palatino Linotype" w:cstheme="majorBidi"/>
          <w:i/>
          <w:lang w:val="es-ES" w:eastAsia="es-ES"/>
        </w:rPr>
        <w:t xml:space="preserve"> “</w:t>
      </w:r>
      <w:r w:rsidRPr="0052764F">
        <w:rPr>
          <w:rFonts w:ascii="Palatino Linotype" w:hAnsi="Palatino Linotype"/>
          <w:i/>
          <w:color w:val="000000"/>
        </w:rPr>
        <w:t>Cambio de modalidad”</w:t>
      </w:r>
      <w:r w:rsidRPr="0052764F">
        <w:rPr>
          <w:rFonts w:ascii="Palatino Linotype" w:eastAsiaTheme="majorEastAsia" w:hAnsi="Palatino Linotype" w:cstheme="majorBidi"/>
          <w:i/>
          <w:lang w:val="es-ES" w:eastAsia="es-ES"/>
        </w:rPr>
        <w:t xml:space="preserve"> </w:t>
      </w:r>
      <w:r w:rsidRPr="0052764F">
        <w:rPr>
          <w:rFonts w:ascii="Palatino Linotype" w:eastAsia="Calibri" w:hAnsi="Palatino Linotype" w:cs="Arial"/>
          <w:i/>
          <w:lang w:val="es-ES" w:eastAsia="es-ES"/>
        </w:rPr>
        <w:t xml:space="preserve">(Sic) </w:t>
      </w:r>
    </w:p>
    <w:p w:rsidR="00BA0E29" w:rsidRPr="0052764F" w:rsidRDefault="00BA0E29" w:rsidP="00CE4F60">
      <w:pPr>
        <w:spacing w:line="360" w:lineRule="auto"/>
        <w:ind w:left="720" w:right="567"/>
        <w:contextualSpacing/>
        <w:jc w:val="both"/>
        <w:rPr>
          <w:rFonts w:ascii="Palatino Linotype" w:eastAsiaTheme="minorEastAsia" w:hAnsi="Palatino Linotype" w:cs="Arial"/>
          <w:i/>
          <w:lang w:val="es-ES_tradnl" w:eastAsia="es-ES"/>
        </w:rPr>
      </w:pPr>
    </w:p>
    <w:p w:rsidR="00BA0E29" w:rsidRPr="0052764F" w:rsidRDefault="00BA0E29" w:rsidP="00CE4F60">
      <w:pPr>
        <w:spacing w:line="360" w:lineRule="auto"/>
        <w:ind w:left="426" w:right="567"/>
        <w:jc w:val="both"/>
        <w:rPr>
          <w:rFonts w:ascii="Palatino Linotype" w:eastAsiaTheme="majorEastAsia" w:hAnsi="Palatino Linotype" w:cstheme="majorBidi"/>
          <w:i/>
          <w:lang w:val="es-ES" w:eastAsia="es-ES"/>
        </w:rPr>
      </w:pPr>
      <w:r w:rsidRPr="0052764F">
        <w:rPr>
          <w:rFonts w:ascii="Palatino Linotype" w:eastAsiaTheme="majorEastAsia" w:hAnsi="Palatino Linotype" w:cstheme="majorBidi"/>
          <w:b/>
          <w:lang w:val="es-ES" w:eastAsia="es-ES"/>
        </w:rPr>
        <w:t xml:space="preserve">Razones o Motivos de inconformidad: </w:t>
      </w:r>
    </w:p>
    <w:p w:rsidR="00BA0E29" w:rsidRPr="0052764F" w:rsidRDefault="00BA0E29" w:rsidP="00CE4F60">
      <w:pPr>
        <w:spacing w:line="360" w:lineRule="auto"/>
        <w:ind w:left="426" w:right="567"/>
        <w:jc w:val="both"/>
        <w:rPr>
          <w:rFonts w:ascii="Palatino Linotype" w:eastAsiaTheme="majorEastAsia" w:hAnsi="Palatino Linotype" w:cstheme="majorBidi"/>
          <w:i/>
          <w:lang w:val="es-ES" w:eastAsia="es-ES"/>
        </w:rPr>
      </w:pPr>
      <w:r w:rsidRPr="0052764F">
        <w:rPr>
          <w:rFonts w:ascii="Palatino Linotype" w:eastAsiaTheme="majorEastAsia" w:hAnsi="Palatino Linotype" w:cstheme="majorBidi"/>
          <w:i/>
          <w:lang w:val="es-ES" w:eastAsia="es-ES"/>
        </w:rPr>
        <w:t>“</w:t>
      </w:r>
      <w:r w:rsidRPr="0052764F">
        <w:rPr>
          <w:rFonts w:ascii="Palatino Linotype" w:eastAsiaTheme="majorEastAsia" w:hAnsi="Palatino Linotype" w:cstheme="majorBidi"/>
          <w:i/>
          <w:lang w:eastAsia="es-ES"/>
        </w:rPr>
        <w:t>Un documento en Excel ( que es como se genera la nómina general) no sobrepasa de ninguna manera las capacidades del sistema, por lo que debe ser proporcionada la información. Pido se de vista al OIC PARA que se inicie un procedimiento administrativo en contra del Titulas de la Unidad de Transparencia y los servidores públicos habilitados por querer negar la información y querer cambiar la modalidad sin sustento alguno.</w:t>
      </w:r>
      <w:r w:rsidRPr="0052764F">
        <w:rPr>
          <w:rFonts w:ascii="Palatino Linotype" w:eastAsiaTheme="majorEastAsia" w:hAnsi="Palatino Linotype" w:cstheme="majorBidi"/>
          <w:i/>
          <w:lang w:val="es-ES" w:eastAsia="es-ES"/>
        </w:rPr>
        <w:t>”(Sic)</w:t>
      </w:r>
    </w:p>
    <w:p w:rsidR="00911573" w:rsidRPr="0052764F" w:rsidRDefault="00911573" w:rsidP="00CE4F60">
      <w:pPr>
        <w:rPr>
          <w:rFonts w:ascii="Palatino Linotype" w:eastAsiaTheme="majorEastAsia" w:hAnsi="Palatino Linotype" w:cstheme="majorBidi"/>
          <w:b/>
          <w:lang w:val="es-ES"/>
        </w:rPr>
      </w:pPr>
    </w:p>
    <w:bookmarkEnd w:id="1"/>
    <w:bookmarkEnd w:id="2"/>
    <w:bookmarkEnd w:id="3"/>
    <w:bookmarkEnd w:id="4"/>
    <w:bookmarkEnd w:id="5"/>
    <w:bookmarkEnd w:id="6"/>
    <w:bookmarkEnd w:id="7"/>
    <w:bookmarkEnd w:id="8"/>
    <w:bookmarkEnd w:id="9"/>
    <w:bookmarkEnd w:id="10"/>
    <w:bookmarkEnd w:id="11"/>
    <w:bookmarkEnd w:id="12"/>
    <w:p w:rsidR="00911573" w:rsidRPr="0052764F" w:rsidRDefault="00911573" w:rsidP="00CE4F60">
      <w:pPr>
        <w:pStyle w:val="Prrafodelista"/>
        <w:numPr>
          <w:ilvl w:val="0"/>
          <w:numId w:val="1"/>
        </w:numPr>
        <w:spacing w:line="360" w:lineRule="auto"/>
        <w:ind w:left="0" w:firstLine="0"/>
        <w:jc w:val="both"/>
        <w:rPr>
          <w:rFonts w:ascii="Palatino Linotype" w:hAnsi="Palatino Linotype" w:cs="Arial"/>
          <w:bCs/>
        </w:rPr>
      </w:pPr>
      <w:r w:rsidRPr="0052764F">
        <w:rPr>
          <w:rFonts w:ascii="Palatino Linotype" w:hAnsi="Palatino Linotype" w:cs="Arial"/>
          <w:bCs/>
        </w:rPr>
        <w:t xml:space="preserve">Asimismo, con fundamento en lo dispuesto por el </w:t>
      </w:r>
      <w:r w:rsidRPr="0052764F">
        <w:rPr>
          <w:rFonts w:ascii="Palatino Linotype" w:eastAsia="Calibri" w:hAnsi="Palatino Linotype" w:cs="Arial"/>
        </w:rPr>
        <w:t xml:space="preserve">artículo 185 fracción I de la </w:t>
      </w:r>
      <w:r w:rsidRPr="0052764F">
        <w:rPr>
          <w:rFonts w:ascii="Palatino Linotype" w:eastAsia="Calibri" w:hAnsi="Palatino Linotype" w:cs="Arial"/>
          <w:b/>
        </w:rPr>
        <w:t>Ley de Transparencia y Acceso a la Información Pública del Estado de México y Municipios,</w:t>
      </w:r>
      <w:r w:rsidRPr="0052764F">
        <w:rPr>
          <w:rFonts w:ascii="Palatino Linotype" w:hAnsi="Palatino Linotype" w:cs="Arial"/>
        </w:rPr>
        <w:t xml:space="preserve"> el </w:t>
      </w:r>
      <w:r w:rsidRPr="0052764F">
        <w:rPr>
          <w:rFonts w:ascii="Palatino Linotype" w:eastAsia="Times New Roman" w:hAnsi="Palatino Linotype" w:cs="Arial"/>
        </w:rPr>
        <w:t xml:space="preserve">recurso de revisión con número </w:t>
      </w:r>
      <w:r w:rsidRPr="0052764F">
        <w:rPr>
          <w:rFonts w:ascii="Palatino Linotype" w:hAnsi="Palatino Linotype" w:cs="Arial"/>
          <w:b/>
          <w:bCs/>
          <w:lang w:val="es-MX"/>
        </w:rPr>
        <w:t>0</w:t>
      </w:r>
      <w:r w:rsidR="00466580" w:rsidRPr="0052764F">
        <w:rPr>
          <w:rFonts w:ascii="Palatino Linotype" w:hAnsi="Palatino Linotype" w:cs="Arial"/>
          <w:b/>
          <w:bCs/>
          <w:lang w:val="es-MX"/>
        </w:rPr>
        <w:t>4593</w:t>
      </w:r>
      <w:r w:rsidRPr="0052764F">
        <w:rPr>
          <w:rFonts w:ascii="Palatino Linotype" w:hAnsi="Palatino Linotype" w:cs="Arial"/>
          <w:b/>
          <w:bCs/>
          <w:lang w:val="es-MX"/>
        </w:rPr>
        <w:t>/INFOEM/IP/RR/2020</w:t>
      </w:r>
      <w:r w:rsidRPr="0052764F">
        <w:rPr>
          <w:rFonts w:ascii="Palatino Linotype" w:eastAsia="Times New Roman" w:hAnsi="Palatino Linotype" w:cs="Arial"/>
          <w:b/>
        </w:rPr>
        <w:t xml:space="preserve">, </w:t>
      </w:r>
      <w:r w:rsidRPr="0052764F">
        <w:rPr>
          <w:rFonts w:ascii="Palatino Linotype" w:eastAsia="Times New Roman" w:hAnsi="Palatino Linotype" w:cs="Arial"/>
        </w:rPr>
        <w:t>fue turnado</w:t>
      </w:r>
      <w:r w:rsidRPr="0052764F">
        <w:rPr>
          <w:rFonts w:ascii="Palatino Linotype" w:eastAsia="Calibri" w:hAnsi="Palatino Linotype" w:cs="Arial"/>
          <w:b/>
        </w:rPr>
        <w:t xml:space="preserve"> </w:t>
      </w:r>
      <w:r w:rsidRPr="0052764F">
        <w:rPr>
          <w:rFonts w:ascii="Palatino Linotype" w:eastAsia="Times New Roman" w:hAnsi="Palatino Linotype" w:cs="Arial"/>
        </w:rPr>
        <w:t xml:space="preserve">al </w:t>
      </w:r>
      <w:r w:rsidRPr="0052764F">
        <w:rPr>
          <w:rFonts w:ascii="Palatino Linotype" w:eastAsia="Times New Roman" w:hAnsi="Palatino Linotype" w:cs="Arial"/>
          <w:b/>
        </w:rPr>
        <w:t xml:space="preserve">Comisionado José Guadalupe Luna Hernández </w:t>
      </w:r>
      <w:r w:rsidRPr="0052764F">
        <w:rPr>
          <w:rFonts w:ascii="Palatino Linotype" w:eastAsia="Times New Roman" w:hAnsi="Palatino Linotype" w:cs="Arial"/>
        </w:rPr>
        <w:t xml:space="preserve">con el objeto de su análisis, posteriormente el Pleno </w:t>
      </w:r>
      <w:r w:rsidRPr="0052764F">
        <w:rPr>
          <w:rFonts w:ascii="Palatino Linotype" w:eastAsia="MS Mincho" w:hAnsi="Palatino Linotype" w:cs="Arial"/>
        </w:rPr>
        <w:t>de este Órgano Autónomo, en la</w:t>
      </w:r>
      <w:r w:rsidRPr="0052764F">
        <w:rPr>
          <w:rFonts w:ascii="Palatino Linotype" w:eastAsia="MS Mincho" w:hAnsi="Palatino Linotype" w:cs="Arial"/>
          <w:b/>
        </w:rPr>
        <w:t xml:space="preserve"> </w:t>
      </w:r>
      <w:r w:rsidR="004908FD" w:rsidRPr="0052764F">
        <w:rPr>
          <w:rFonts w:ascii="Palatino Linotype" w:eastAsia="MS Mincho" w:hAnsi="Palatino Linotype" w:cs="Arial"/>
          <w:b/>
        </w:rPr>
        <w:t>Vigésimo Cuarta</w:t>
      </w:r>
      <w:r w:rsidRPr="0052764F">
        <w:rPr>
          <w:rFonts w:ascii="Palatino Linotype" w:eastAsia="MS Mincho" w:hAnsi="Palatino Linotype" w:cs="Arial"/>
          <w:b/>
        </w:rPr>
        <w:t xml:space="preserve"> </w:t>
      </w:r>
      <w:r w:rsidRPr="0052764F">
        <w:rPr>
          <w:rFonts w:ascii="Palatino Linotype" w:eastAsia="MS Mincho" w:hAnsi="Palatino Linotype" w:cs="Arial"/>
          <w:b/>
        </w:rPr>
        <w:lastRenderedPageBreak/>
        <w:t xml:space="preserve">Sesión Ordinaria </w:t>
      </w:r>
      <w:r w:rsidRPr="0052764F">
        <w:rPr>
          <w:rFonts w:ascii="Palatino Linotype" w:eastAsia="MS Mincho" w:hAnsi="Palatino Linotype" w:cs="Arial"/>
        </w:rPr>
        <w:t>del</w:t>
      </w:r>
      <w:r w:rsidRPr="0052764F">
        <w:rPr>
          <w:rFonts w:ascii="Palatino Linotype" w:eastAsia="MS Mincho" w:hAnsi="Palatino Linotype" w:cs="Arial"/>
          <w:b/>
        </w:rPr>
        <w:t xml:space="preserve"> </w:t>
      </w:r>
      <w:r w:rsidR="004908FD" w:rsidRPr="0052764F">
        <w:rPr>
          <w:rFonts w:ascii="Palatino Linotype" w:eastAsia="MS Mincho" w:hAnsi="Palatino Linotype" w:cs="Arial"/>
          <w:b/>
        </w:rPr>
        <w:t xml:space="preserve">veintiocho (28) de octubre </w:t>
      </w:r>
      <w:r w:rsidRPr="0052764F">
        <w:rPr>
          <w:rFonts w:ascii="Palatino Linotype" w:eastAsia="MS Mincho" w:hAnsi="Palatino Linotype" w:cs="Arial"/>
          <w:b/>
        </w:rPr>
        <w:t xml:space="preserve"> de dos mil veinte</w:t>
      </w:r>
      <w:r w:rsidRPr="0052764F">
        <w:rPr>
          <w:rFonts w:ascii="Palatino Linotype" w:eastAsia="MS Mincho" w:hAnsi="Palatino Linotype" w:cs="Arial"/>
        </w:rPr>
        <w:t xml:space="preserve">, ordenó la acumulación de los </w:t>
      </w:r>
      <w:r w:rsidRPr="0052764F">
        <w:rPr>
          <w:rFonts w:ascii="Palatino Linotype" w:eastAsia="Times New Roman" w:hAnsi="Palatino Linotype" w:cs="Arial"/>
        </w:rPr>
        <w:t xml:space="preserve">recursos de revisión </w:t>
      </w:r>
      <w:r w:rsidR="004908FD" w:rsidRPr="0052764F">
        <w:rPr>
          <w:rFonts w:ascii="Palatino Linotype" w:hAnsi="Palatino Linotype" w:cs="Arial"/>
          <w:b/>
          <w:bCs/>
          <w:lang w:val="es-MX"/>
        </w:rPr>
        <w:t>04594</w:t>
      </w:r>
      <w:r w:rsidRPr="0052764F">
        <w:rPr>
          <w:rFonts w:ascii="Palatino Linotype" w:hAnsi="Palatino Linotype" w:cs="Arial"/>
          <w:b/>
          <w:bCs/>
          <w:lang w:val="es-MX"/>
        </w:rPr>
        <w:t xml:space="preserve">/INFOEM/IP/RR/2020 y </w:t>
      </w:r>
      <w:r w:rsidR="004908FD" w:rsidRPr="0052764F">
        <w:rPr>
          <w:rFonts w:ascii="Palatino Linotype" w:hAnsi="Palatino Linotype" w:cs="Arial"/>
          <w:b/>
          <w:bCs/>
          <w:lang w:val="es-MX"/>
        </w:rPr>
        <w:t>04595</w:t>
      </w:r>
      <w:r w:rsidRPr="0052764F">
        <w:rPr>
          <w:rFonts w:ascii="Palatino Linotype" w:hAnsi="Palatino Linotype" w:cs="Arial"/>
          <w:b/>
          <w:bCs/>
          <w:lang w:val="es-MX"/>
        </w:rPr>
        <w:t>/INFOEM/IP/RR/2020</w:t>
      </w:r>
      <w:r w:rsidRPr="0052764F">
        <w:rPr>
          <w:rFonts w:ascii="Palatino Linotype" w:eastAsia="Times New Roman" w:hAnsi="Palatino Linotype" w:cs="Arial"/>
          <w:b/>
        </w:rPr>
        <w:t xml:space="preserve">;  </w:t>
      </w:r>
      <w:r w:rsidRPr="0052764F">
        <w:rPr>
          <w:rFonts w:ascii="Palatino Linotype" w:eastAsia="MS Mincho" w:hAnsi="Palatino Linotype" w:cs="Arial"/>
        </w:rPr>
        <w:t>a efecto de que ésta Ponencia formulara y presentara el proyecto de resolución correspondiente</w:t>
      </w:r>
      <w:r w:rsidRPr="0052764F">
        <w:rPr>
          <w:rFonts w:ascii="Palatino Linotype" w:eastAsia="Times New Roman" w:hAnsi="Palatino Linotype" w:cs="Arial"/>
        </w:rPr>
        <w:t xml:space="preserve"> de conformidad con el numeral ONCE incisos b) y c) de los </w:t>
      </w:r>
      <w:r w:rsidRPr="0052764F">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2764F">
        <w:rPr>
          <w:i/>
          <w:vertAlign w:val="superscript"/>
        </w:rPr>
        <w:footnoteReference w:id="1"/>
      </w:r>
      <w:r w:rsidRPr="0052764F">
        <w:rPr>
          <w:rFonts w:ascii="Palatino Linotype" w:eastAsia="Times New Roman" w:hAnsi="Palatino Linotype" w:cs="Arial"/>
        </w:rPr>
        <w:t>, que señala:</w:t>
      </w:r>
    </w:p>
    <w:p w:rsidR="00911573" w:rsidRPr="0052764F" w:rsidRDefault="00911573" w:rsidP="00CE4F60">
      <w:pPr>
        <w:pStyle w:val="Prrafodelista"/>
        <w:spacing w:line="360" w:lineRule="auto"/>
        <w:ind w:left="0"/>
        <w:jc w:val="both"/>
        <w:rPr>
          <w:rFonts w:ascii="Palatino Linotype" w:eastAsia="Times New Roman" w:hAnsi="Palatino Linotype" w:cs="Arial"/>
        </w:rPr>
      </w:pPr>
    </w:p>
    <w:p w:rsidR="00911573" w:rsidRPr="0052764F" w:rsidRDefault="00911573" w:rsidP="00CE4F60">
      <w:pPr>
        <w:autoSpaceDE w:val="0"/>
        <w:autoSpaceDN w:val="0"/>
        <w:adjustRightInd w:val="0"/>
        <w:spacing w:line="360" w:lineRule="auto"/>
        <w:ind w:left="567" w:right="567"/>
        <w:contextualSpacing/>
        <w:jc w:val="both"/>
        <w:rPr>
          <w:rFonts w:ascii="Palatino Linotype" w:hAnsi="Palatino Linotype" w:cs="Arial"/>
          <w:i/>
        </w:rPr>
      </w:pPr>
      <w:r w:rsidRPr="0052764F">
        <w:rPr>
          <w:rFonts w:ascii="Palatino Linotype" w:hAnsi="Palatino Linotype" w:cs="Arial"/>
          <w:b/>
          <w:i/>
        </w:rPr>
        <w:t>ONCE.</w:t>
      </w:r>
      <w:r w:rsidRPr="0052764F">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911573" w:rsidRPr="0052764F" w:rsidRDefault="00911573" w:rsidP="00CE4F60">
      <w:pPr>
        <w:autoSpaceDE w:val="0"/>
        <w:autoSpaceDN w:val="0"/>
        <w:adjustRightInd w:val="0"/>
        <w:spacing w:line="360" w:lineRule="auto"/>
        <w:ind w:left="567" w:right="567"/>
        <w:contextualSpacing/>
        <w:jc w:val="both"/>
        <w:rPr>
          <w:rFonts w:ascii="Palatino Linotype" w:hAnsi="Palatino Linotype" w:cs="Arial"/>
          <w:i/>
        </w:rPr>
      </w:pPr>
      <w:r w:rsidRPr="0052764F">
        <w:rPr>
          <w:rFonts w:ascii="Palatino Linotype" w:hAnsi="Palatino Linotype" w:cs="Arial"/>
          <w:i/>
        </w:rPr>
        <w:t>…</w:t>
      </w:r>
    </w:p>
    <w:p w:rsidR="00911573" w:rsidRPr="0052764F" w:rsidRDefault="00911573" w:rsidP="00CE4F60">
      <w:pPr>
        <w:spacing w:line="360" w:lineRule="auto"/>
        <w:ind w:left="567" w:right="567"/>
        <w:jc w:val="both"/>
        <w:rPr>
          <w:rFonts w:ascii="Palatino Linotype" w:hAnsi="Palatino Linotype"/>
          <w:i/>
          <w:color w:val="000000"/>
        </w:rPr>
      </w:pPr>
      <w:r w:rsidRPr="0052764F">
        <w:rPr>
          <w:rFonts w:ascii="Palatino Linotype" w:hAnsi="Palatino Linotype"/>
          <w:i/>
          <w:color w:val="000000"/>
        </w:rPr>
        <w:t>b) Las partes o los actos impugnados sean iguales</w:t>
      </w:r>
    </w:p>
    <w:p w:rsidR="00911573" w:rsidRPr="0052764F" w:rsidRDefault="00911573" w:rsidP="00CE4F60">
      <w:pPr>
        <w:autoSpaceDE w:val="0"/>
        <w:autoSpaceDN w:val="0"/>
        <w:adjustRightInd w:val="0"/>
        <w:spacing w:line="360" w:lineRule="auto"/>
        <w:ind w:left="567" w:right="567"/>
        <w:contextualSpacing/>
        <w:jc w:val="both"/>
        <w:rPr>
          <w:rFonts w:ascii="Palatino Linotype" w:hAnsi="Palatino Linotype" w:cs="Arial"/>
          <w:i/>
        </w:rPr>
      </w:pPr>
      <w:r w:rsidRPr="0052764F">
        <w:rPr>
          <w:rFonts w:ascii="Palatino Linotype" w:hAnsi="Palatino Linotype" w:cs="Arial"/>
          <w:i/>
        </w:rPr>
        <w:t>c) Cuando se trate del mismo solicitante, el mismo SUJETO OBLIGADO, aunque se trate de solicitudes diversas;</w:t>
      </w:r>
    </w:p>
    <w:p w:rsidR="00911573" w:rsidRPr="0052764F" w:rsidRDefault="00911573" w:rsidP="00CE4F60">
      <w:pPr>
        <w:autoSpaceDE w:val="0"/>
        <w:autoSpaceDN w:val="0"/>
        <w:adjustRightInd w:val="0"/>
        <w:spacing w:line="360" w:lineRule="auto"/>
        <w:ind w:left="567" w:right="567"/>
        <w:contextualSpacing/>
        <w:jc w:val="both"/>
        <w:rPr>
          <w:rFonts w:ascii="Palatino Linotype" w:hAnsi="Palatino Linotype" w:cs="Arial"/>
          <w:i/>
        </w:rPr>
      </w:pPr>
      <w:r w:rsidRPr="0052764F">
        <w:rPr>
          <w:rFonts w:ascii="Palatino Linotype" w:hAnsi="Palatino Linotype" w:cs="Arial"/>
          <w:i/>
        </w:rPr>
        <w:t>(…)</w:t>
      </w:r>
    </w:p>
    <w:p w:rsidR="00911573" w:rsidRPr="0052764F" w:rsidRDefault="00911573" w:rsidP="00CE4F60">
      <w:pPr>
        <w:pStyle w:val="Prrafodelista"/>
        <w:spacing w:line="360" w:lineRule="auto"/>
        <w:ind w:left="0"/>
        <w:jc w:val="both"/>
        <w:rPr>
          <w:rFonts w:ascii="Palatino Linotype" w:hAnsi="Palatino Linotype"/>
        </w:rPr>
      </w:pPr>
    </w:p>
    <w:p w:rsidR="00911573" w:rsidRPr="0052764F" w:rsidRDefault="00911573" w:rsidP="00CE4F60">
      <w:pPr>
        <w:pStyle w:val="Prrafodelista"/>
        <w:numPr>
          <w:ilvl w:val="0"/>
          <w:numId w:val="1"/>
        </w:numPr>
        <w:spacing w:line="360" w:lineRule="auto"/>
        <w:ind w:left="0" w:firstLine="0"/>
        <w:jc w:val="both"/>
        <w:rPr>
          <w:rFonts w:ascii="Palatino Linotype" w:hAnsi="Palatino Linotype"/>
        </w:rPr>
      </w:pPr>
      <w:r w:rsidRPr="0052764F">
        <w:rPr>
          <w:rFonts w:ascii="Palatino Linotype" w:hAnsi="Palatino Linotype"/>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w:t>
      </w:r>
      <w:r w:rsidRPr="0052764F">
        <w:rPr>
          <w:rFonts w:ascii="Palatino Linotype" w:hAnsi="Palatino Linotype"/>
        </w:rPr>
        <w:lastRenderedPageBreak/>
        <w:t>Estado de México, de aplicación supletoria en términos del artículo 195 de la Ley de Transparencia y Acceso a la Información Pública del Estado de México y Municipios en vigor, que a la letra señalan:</w:t>
      </w:r>
    </w:p>
    <w:p w:rsidR="00911573" w:rsidRPr="0052764F" w:rsidRDefault="00911573" w:rsidP="00CE4F60">
      <w:pPr>
        <w:pStyle w:val="Prrafodelista"/>
        <w:spacing w:line="360" w:lineRule="auto"/>
        <w:ind w:left="0"/>
        <w:jc w:val="both"/>
        <w:rPr>
          <w:rFonts w:ascii="Palatino Linotype" w:hAnsi="Palatino Linotype"/>
        </w:rPr>
      </w:pPr>
    </w:p>
    <w:p w:rsidR="00911573" w:rsidRPr="0052764F" w:rsidRDefault="00911573" w:rsidP="00CE4F60">
      <w:pPr>
        <w:spacing w:line="360" w:lineRule="auto"/>
        <w:ind w:left="709" w:right="616"/>
        <w:contextualSpacing/>
        <w:jc w:val="center"/>
        <w:rPr>
          <w:rFonts w:ascii="Palatino Linotype" w:hAnsi="Palatino Linotype"/>
          <w:b/>
          <w:i/>
        </w:rPr>
      </w:pPr>
      <w:r w:rsidRPr="0052764F">
        <w:rPr>
          <w:rFonts w:ascii="Palatino Linotype" w:hAnsi="Palatino Linotype"/>
          <w:b/>
          <w:i/>
        </w:rPr>
        <w:t>Código de Procedimientos Administrativos del Estado de México.</w:t>
      </w:r>
    </w:p>
    <w:p w:rsidR="00911573" w:rsidRPr="0052764F" w:rsidRDefault="00911573" w:rsidP="00CE4F60">
      <w:pPr>
        <w:spacing w:line="360" w:lineRule="auto"/>
        <w:ind w:left="709" w:right="616"/>
        <w:contextualSpacing/>
        <w:jc w:val="center"/>
        <w:rPr>
          <w:rFonts w:ascii="Palatino Linotype" w:hAnsi="Palatino Linotype"/>
          <w:b/>
          <w:i/>
        </w:rPr>
      </w:pPr>
    </w:p>
    <w:p w:rsidR="00911573" w:rsidRPr="0052764F" w:rsidRDefault="00911573" w:rsidP="00CE4F60">
      <w:pPr>
        <w:spacing w:line="360" w:lineRule="auto"/>
        <w:ind w:left="709" w:right="616"/>
        <w:contextualSpacing/>
        <w:jc w:val="both"/>
        <w:rPr>
          <w:rFonts w:ascii="Palatino Linotype" w:hAnsi="Palatino Linotype"/>
          <w:i/>
        </w:rPr>
      </w:pPr>
      <w:r w:rsidRPr="0052764F">
        <w:rPr>
          <w:rFonts w:ascii="Palatino Linotype" w:hAnsi="Palatino Linotype"/>
          <w:b/>
          <w:i/>
        </w:rPr>
        <w:t>“Artículo 18.-</w:t>
      </w:r>
      <w:r w:rsidRPr="0052764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11573" w:rsidRPr="0052764F" w:rsidRDefault="00911573" w:rsidP="00CE4F60">
      <w:pPr>
        <w:spacing w:line="360" w:lineRule="auto"/>
        <w:ind w:left="709" w:right="616"/>
        <w:contextualSpacing/>
        <w:jc w:val="both"/>
        <w:rPr>
          <w:rFonts w:ascii="Palatino Linotype" w:hAnsi="Palatino Linotype"/>
          <w:i/>
        </w:rPr>
      </w:pPr>
    </w:p>
    <w:p w:rsidR="00911573" w:rsidRPr="0052764F" w:rsidRDefault="00911573" w:rsidP="00CE4F60">
      <w:pPr>
        <w:spacing w:line="360" w:lineRule="auto"/>
        <w:ind w:left="709" w:right="616"/>
        <w:contextualSpacing/>
        <w:jc w:val="both"/>
        <w:rPr>
          <w:rFonts w:ascii="Palatino Linotype" w:hAnsi="Palatino Linotype"/>
          <w:i/>
        </w:rPr>
      </w:pPr>
    </w:p>
    <w:p w:rsidR="00911573" w:rsidRPr="0052764F" w:rsidRDefault="00911573" w:rsidP="00CE4F60">
      <w:pPr>
        <w:spacing w:line="360" w:lineRule="auto"/>
        <w:ind w:left="709" w:right="616"/>
        <w:contextualSpacing/>
        <w:jc w:val="center"/>
        <w:rPr>
          <w:rFonts w:ascii="Palatino Linotype" w:hAnsi="Palatino Linotype"/>
          <w:b/>
          <w:i/>
        </w:rPr>
      </w:pPr>
      <w:r w:rsidRPr="0052764F">
        <w:rPr>
          <w:rFonts w:ascii="Palatino Linotype" w:hAnsi="Palatino Linotype"/>
          <w:b/>
          <w:i/>
        </w:rPr>
        <w:t>Ley de Transparencia y Acceso a la Información Pública del Estado de México y Municipios</w:t>
      </w:r>
    </w:p>
    <w:p w:rsidR="00911573" w:rsidRPr="0052764F" w:rsidRDefault="00911573" w:rsidP="00CE4F60">
      <w:pPr>
        <w:spacing w:line="360" w:lineRule="auto"/>
        <w:ind w:left="709" w:right="616"/>
        <w:contextualSpacing/>
        <w:jc w:val="center"/>
        <w:rPr>
          <w:rFonts w:ascii="Palatino Linotype" w:hAnsi="Palatino Linotype"/>
          <w:b/>
          <w:i/>
        </w:rPr>
      </w:pPr>
    </w:p>
    <w:p w:rsidR="00911573" w:rsidRPr="0052764F" w:rsidRDefault="00911573" w:rsidP="00CE4F60">
      <w:pPr>
        <w:spacing w:line="360" w:lineRule="auto"/>
        <w:ind w:left="709" w:right="616"/>
        <w:contextualSpacing/>
        <w:jc w:val="both"/>
        <w:rPr>
          <w:rFonts w:ascii="Palatino Linotype" w:hAnsi="Palatino Linotype"/>
          <w:i/>
        </w:rPr>
      </w:pPr>
      <w:r w:rsidRPr="0052764F">
        <w:rPr>
          <w:rFonts w:ascii="Palatino Linotype" w:hAnsi="Palatino Linotype"/>
          <w:b/>
          <w:i/>
        </w:rPr>
        <w:t>“Artículo 195.</w:t>
      </w:r>
      <w:r w:rsidRPr="0052764F">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911573" w:rsidRPr="0052764F" w:rsidRDefault="00911573" w:rsidP="00CE4F60">
      <w:pPr>
        <w:spacing w:line="360" w:lineRule="auto"/>
        <w:ind w:left="709" w:right="616"/>
        <w:contextualSpacing/>
        <w:jc w:val="both"/>
        <w:rPr>
          <w:rFonts w:ascii="Palatino Linotype" w:hAnsi="Palatino Linotype"/>
          <w:i/>
        </w:rPr>
      </w:pPr>
    </w:p>
    <w:p w:rsidR="00911573" w:rsidRPr="0052764F" w:rsidRDefault="00911573" w:rsidP="00CE4F60">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52764F">
        <w:rPr>
          <w:rFonts w:ascii="Palatino Linotype" w:eastAsia="Calibri" w:hAnsi="Palatino Linotype" w:cs="Arial"/>
          <w:lang w:val="es-ES"/>
        </w:rPr>
        <w:t xml:space="preserve">Los Comisionados Ponentes con fundamento en lo dispuesto por el artículo 185 fracción II de la ley de la materia, a través de los acuerdos de admisión del </w:t>
      </w:r>
      <w:r w:rsidR="004908FD" w:rsidRPr="0052764F">
        <w:rPr>
          <w:rFonts w:ascii="Palatino Linotype" w:eastAsia="Calibri" w:hAnsi="Palatino Linotype" w:cs="Arial"/>
          <w:b/>
          <w:lang w:val="es-ES"/>
        </w:rPr>
        <w:lastRenderedPageBreak/>
        <w:t xml:space="preserve">veintiséis (26) de octubre </w:t>
      </w:r>
      <w:r w:rsidRPr="0052764F">
        <w:rPr>
          <w:rFonts w:ascii="Palatino Linotype" w:eastAsia="Calibri" w:hAnsi="Palatino Linotype" w:cs="Arial"/>
          <w:b/>
          <w:lang w:val="es-ES"/>
        </w:rPr>
        <w:t xml:space="preserve"> de dos mil veinte</w:t>
      </w:r>
      <w:r w:rsidRPr="0052764F">
        <w:rPr>
          <w:rFonts w:ascii="Palatino Linotype" w:eastAsia="Calibri" w:hAnsi="Palatino Linotype" w:cs="Arial"/>
          <w:lang w:val="es-ES"/>
        </w:rPr>
        <w:t xml:space="preserve">, pusieron a disposición de las partes los expedientes electrónicos </w:t>
      </w:r>
      <w:r w:rsidRPr="0052764F">
        <w:rPr>
          <w:rFonts w:ascii="Palatino Linotype" w:eastAsia="Calibri" w:hAnsi="Palatino Linotype" w:cs="Arial"/>
        </w:rPr>
        <w:t xml:space="preserve">vía </w:t>
      </w:r>
      <w:r w:rsidRPr="0052764F">
        <w:rPr>
          <w:rFonts w:ascii="Palatino Linotype" w:eastAsia="Calibri" w:hAnsi="Palatino Linotype" w:cs="Arial"/>
          <w:lang w:val="es-ES"/>
        </w:rPr>
        <w:t xml:space="preserve">Sistema de Acceso a la Información Mexiquense </w:t>
      </w:r>
      <w:r w:rsidRPr="0052764F">
        <w:rPr>
          <w:rFonts w:ascii="Palatino Linotype" w:eastAsia="Calibri" w:hAnsi="Palatino Linotype" w:cs="Arial"/>
          <w:b/>
          <w:lang w:val="es-ES"/>
        </w:rPr>
        <w:t xml:space="preserve">SAIMEX, </w:t>
      </w:r>
      <w:r w:rsidRPr="0052764F">
        <w:rPr>
          <w:rFonts w:ascii="Palatino Linotype" w:eastAsia="Calibri" w:hAnsi="Palatino Linotype" w:cs="Arial"/>
          <w:lang w:val="es-ES"/>
        </w:rPr>
        <w:t>a efecto de que en un plazo máximo de siete días manifestaran lo que a su derecho convinieran, ofrecieran pruebas y alegatos según corresponda a los casos concretos.</w:t>
      </w:r>
    </w:p>
    <w:p w:rsidR="000F4103" w:rsidRPr="0052764F" w:rsidRDefault="000F4103" w:rsidP="000F4103">
      <w:pPr>
        <w:pStyle w:val="Prrafodelista"/>
        <w:spacing w:line="360" w:lineRule="auto"/>
        <w:ind w:left="0"/>
        <w:jc w:val="both"/>
        <w:rPr>
          <w:rFonts w:ascii="Palatino Linotype" w:eastAsia="MS Mincho" w:hAnsi="Palatino Linotype" w:cs="Times New Roman"/>
          <w:i/>
          <w:sz w:val="22"/>
          <w:szCs w:val="22"/>
        </w:rPr>
      </w:pPr>
      <w:r w:rsidRPr="0052764F">
        <w:rPr>
          <w:rFonts w:ascii="Palatino Linotype" w:eastAsia="MS Mincho" w:hAnsi="Palatino Linotype" w:cs="Times New Roman"/>
          <w:i/>
          <w:sz w:val="22"/>
          <w:szCs w:val="22"/>
        </w:rPr>
        <w:t xml:space="preserve"> </w:t>
      </w:r>
    </w:p>
    <w:p w:rsidR="000F4103" w:rsidRPr="0052764F" w:rsidRDefault="000F4103" w:rsidP="00CE4F60">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52764F">
        <w:rPr>
          <w:rFonts w:ascii="Palatino Linotype" w:eastAsia="Calibri" w:hAnsi="Palatino Linotype" w:cs="Arial"/>
          <w:lang w:val="es-ES"/>
        </w:rPr>
        <w:t xml:space="preserve">Por su parte en fecha 03 de Diciembre, el RECURRENTE realizó las siguientes manifestaciones  en el recurso de revisión </w:t>
      </w:r>
      <w:r w:rsidRPr="0052764F">
        <w:rPr>
          <w:rFonts w:ascii="Palatino Linotype" w:eastAsia="Calibri" w:hAnsi="Palatino Linotype" w:cs="Arial"/>
          <w:b/>
          <w:lang w:val="es-ES"/>
        </w:rPr>
        <w:t>04595/INFOEM/IP/RR/2020</w:t>
      </w:r>
      <w:r w:rsidRPr="0052764F">
        <w:rPr>
          <w:rFonts w:ascii="Palatino Linotype" w:eastAsia="Calibri" w:hAnsi="Palatino Linotype" w:cs="Arial"/>
          <w:lang w:val="es-ES"/>
        </w:rPr>
        <w:t xml:space="preserve">: </w:t>
      </w:r>
    </w:p>
    <w:p w:rsidR="000F4103" w:rsidRPr="0052764F" w:rsidRDefault="000F4103" w:rsidP="000F4103">
      <w:pPr>
        <w:pStyle w:val="Prrafodelista"/>
        <w:spacing w:line="360" w:lineRule="auto"/>
        <w:ind w:left="0"/>
        <w:jc w:val="both"/>
        <w:rPr>
          <w:rFonts w:ascii="Palatino Linotype" w:eastAsia="MS Mincho" w:hAnsi="Palatino Linotype" w:cs="Times New Roman"/>
          <w:i/>
          <w:sz w:val="22"/>
          <w:szCs w:val="22"/>
        </w:rPr>
      </w:pPr>
    </w:p>
    <w:p w:rsidR="000F4103" w:rsidRPr="0052764F" w:rsidRDefault="000F4103" w:rsidP="000F4103">
      <w:pPr>
        <w:pStyle w:val="Prrafodelista"/>
        <w:spacing w:line="480" w:lineRule="auto"/>
        <w:rPr>
          <w:rFonts w:ascii="Palatino Linotype" w:hAnsi="Palatino Linotype"/>
          <w:i/>
          <w:sz w:val="22"/>
        </w:rPr>
      </w:pPr>
      <w:r w:rsidRPr="0052764F">
        <w:rPr>
          <w:rFonts w:ascii="Palatino Linotype" w:hAnsi="Palatino Linotype"/>
          <w:i/>
          <w:sz w:val="22"/>
        </w:rPr>
        <w:t xml:space="preserve">“Se está pidiendo la nómina general, la cual debe generarse en formato excel precisamente para que no sobrepase las capacidades del sistema, como es posible que me digan que consta de casi 50,000 fojas????????????” (Sic) </w:t>
      </w:r>
    </w:p>
    <w:p w:rsidR="004908FD" w:rsidRPr="0052764F" w:rsidRDefault="004908FD" w:rsidP="00CE4F60">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52764F">
        <w:rPr>
          <w:rFonts w:ascii="Palatino Linotype" w:eastAsia="Calibri" w:hAnsi="Palatino Linotype" w:cs="Arial"/>
        </w:rPr>
        <w:t>Por su parte el</w:t>
      </w:r>
      <w:r w:rsidR="00911573" w:rsidRPr="0052764F">
        <w:rPr>
          <w:rFonts w:ascii="Palatino Linotype" w:eastAsia="Calibri" w:hAnsi="Palatino Linotype" w:cs="Arial"/>
        </w:rPr>
        <w:t xml:space="preserve"> </w:t>
      </w:r>
      <w:r w:rsidR="00911573" w:rsidRPr="0052764F">
        <w:rPr>
          <w:rFonts w:ascii="Palatino Linotype" w:eastAsia="Calibri" w:hAnsi="Palatino Linotype" w:cs="Arial"/>
          <w:b/>
        </w:rPr>
        <w:t xml:space="preserve">SUJETO OBLIGADO, </w:t>
      </w:r>
      <w:r w:rsidRPr="0052764F">
        <w:rPr>
          <w:rFonts w:ascii="Palatino Linotype" w:eastAsia="Calibri" w:hAnsi="Palatino Linotype" w:cs="Arial"/>
          <w:color w:val="000000" w:themeColor="text1"/>
          <w:lang w:val="es-ES"/>
        </w:rPr>
        <w:t>rindió informe justificado en fecha cuatro (4) de noviembre de dos mil veinte, mismo que se puso a la vista en fecha diecinueve (19) de noviembre de dos mi veinte, en el cual refirió lo siguiente:</w:t>
      </w:r>
    </w:p>
    <w:p w:rsidR="004908FD" w:rsidRPr="0052764F" w:rsidRDefault="004908FD" w:rsidP="00CE4F60">
      <w:pPr>
        <w:pStyle w:val="Prrafodelista"/>
        <w:rPr>
          <w:rFonts w:ascii="Palatino Linotype" w:eastAsia="Calibri" w:hAnsi="Palatino Linotype" w:cs="Arial"/>
        </w:rPr>
      </w:pPr>
    </w:p>
    <w:p w:rsidR="00110983" w:rsidRPr="0052764F" w:rsidRDefault="00911573" w:rsidP="00CE4F60">
      <w:pPr>
        <w:pStyle w:val="Prrafodelista"/>
        <w:spacing w:line="360" w:lineRule="auto"/>
        <w:ind w:left="0"/>
        <w:jc w:val="both"/>
        <w:rPr>
          <w:rFonts w:ascii="Palatino Linotype" w:hAnsi="Palatino Linotype" w:cs="Arial"/>
          <w:b/>
          <w:bCs/>
        </w:rPr>
      </w:pPr>
      <w:r w:rsidRPr="0052764F">
        <w:rPr>
          <w:rFonts w:ascii="Palatino Linotype" w:eastAsia="Calibri" w:hAnsi="Palatino Linotype" w:cs="Arial"/>
        </w:rPr>
        <w:t xml:space="preserve"> </w:t>
      </w:r>
      <w:r w:rsidR="004908FD" w:rsidRPr="0052764F">
        <w:rPr>
          <w:rFonts w:ascii="Palatino Linotype" w:hAnsi="Palatino Linotype" w:cs="Arial"/>
          <w:b/>
          <w:bCs/>
        </w:rPr>
        <w:t>04593/INFOEM/IP/RR/2020:</w:t>
      </w:r>
    </w:p>
    <w:p w:rsidR="00110983" w:rsidRPr="0052764F" w:rsidRDefault="00110983" w:rsidP="00CE4F60">
      <w:pPr>
        <w:pStyle w:val="Prrafodelista"/>
        <w:spacing w:line="360" w:lineRule="auto"/>
        <w:ind w:left="0"/>
        <w:jc w:val="both"/>
        <w:rPr>
          <w:rFonts w:ascii="Palatino Linotype" w:hAnsi="Palatino Linotype" w:cs="Arial"/>
          <w:b/>
          <w:bCs/>
        </w:rPr>
      </w:pPr>
    </w:p>
    <w:p w:rsidR="00FE0770"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13" w:history="1">
        <w:r w:rsidR="004908FD" w:rsidRPr="0052764F">
          <w:rPr>
            <w:rStyle w:val="Hipervnculo"/>
            <w:rFonts w:ascii="Palatino Linotype" w:hAnsi="Palatino Linotype" w:cs="Arial"/>
            <w:b/>
            <w:bCs/>
            <w:color w:val="auto"/>
            <w:sz w:val="22"/>
            <w:szCs w:val="22"/>
            <w:u w:val="none"/>
          </w:rPr>
          <w:t>RR 4593 DGI 300.pdf</w:t>
        </w:r>
      </w:hyperlink>
      <w:r w:rsidR="00110983" w:rsidRPr="0052764F">
        <w:rPr>
          <w:rFonts w:ascii="Palatino Linotype" w:hAnsi="Palatino Linotype"/>
          <w:sz w:val="22"/>
          <w:szCs w:val="22"/>
        </w:rPr>
        <w:t>:</w:t>
      </w:r>
      <w:r w:rsidR="006770D3" w:rsidRPr="0052764F">
        <w:rPr>
          <w:rFonts w:ascii="Palatino Linotype" w:hAnsi="Palatino Linotype"/>
          <w:sz w:val="22"/>
          <w:szCs w:val="22"/>
        </w:rPr>
        <w:t xml:space="preserve"> Oficio número INFOEM/DGI/300/2020 de fecha veintiuno de octubre de dos mil veinte, emitido por la Directora General de Informática del INFOEM Laura Patricia Siú Leonor y dirigido a Rodolfo Esteban Rivadeneyra Hernández Jefe de la UIPPE y Titular de la Unidad de Transparencia de la Secretaría de Finanzas, mediante el cual comunican que quedo registrada la incidencia en la bitácora de incidencias, toda vez que, se trata de subir aproximadamente 49,426 </w:t>
      </w:r>
      <w:r w:rsidR="006770D3" w:rsidRPr="0052764F">
        <w:rPr>
          <w:rFonts w:ascii="Palatino Linotype" w:hAnsi="Palatino Linotype"/>
          <w:sz w:val="22"/>
          <w:szCs w:val="22"/>
        </w:rPr>
        <w:lastRenderedPageBreak/>
        <w:t>fojas, lo cual sobrepasa las capacidades técnicas del sistema Saimex.</w:t>
      </w:r>
      <w:r w:rsidR="00E7052E" w:rsidRPr="0052764F">
        <w:rPr>
          <w:rFonts w:ascii="Palatino Linotype" w:hAnsi="Palatino Linotype"/>
          <w:sz w:val="22"/>
          <w:szCs w:val="22"/>
        </w:rPr>
        <w:t xml:space="preserve"> Asimismo refiere que el cúmulo de fojas referido así como lo expresado en su solicitud de cambio de modalidad es responsabilidad del Sujeto Obligado.</w:t>
      </w:r>
    </w:p>
    <w:p w:rsidR="00FE0770" w:rsidRPr="0052764F" w:rsidRDefault="00FE0770" w:rsidP="00CE4F60">
      <w:pPr>
        <w:pStyle w:val="Prrafodelista"/>
        <w:spacing w:line="360" w:lineRule="auto"/>
        <w:ind w:left="0"/>
        <w:jc w:val="both"/>
        <w:rPr>
          <w:rFonts w:ascii="Palatino Linotype" w:hAnsi="Palatino Linotype"/>
          <w:sz w:val="22"/>
          <w:szCs w:val="22"/>
        </w:rPr>
      </w:pPr>
    </w:p>
    <w:p w:rsidR="00110983" w:rsidRPr="0052764F" w:rsidRDefault="007A28FE" w:rsidP="00CE4F60">
      <w:pPr>
        <w:pStyle w:val="Prrafodelista"/>
        <w:numPr>
          <w:ilvl w:val="0"/>
          <w:numId w:val="8"/>
        </w:numPr>
        <w:spacing w:line="360" w:lineRule="auto"/>
        <w:jc w:val="both"/>
        <w:rPr>
          <w:rFonts w:ascii="Palatino Linotype" w:hAnsi="Palatino Linotype" w:cs="Arial"/>
          <w:sz w:val="22"/>
          <w:szCs w:val="22"/>
        </w:rPr>
      </w:pPr>
      <w:hyperlink r:id="rId14" w:history="1">
        <w:r w:rsidR="004908FD" w:rsidRPr="0052764F">
          <w:rPr>
            <w:rStyle w:val="Hipervnculo"/>
            <w:rFonts w:ascii="Palatino Linotype" w:eastAsiaTheme="majorEastAsia" w:hAnsi="Palatino Linotype" w:cs="Arial"/>
            <w:b/>
            <w:bCs/>
            <w:color w:val="auto"/>
            <w:sz w:val="22"/>
            <w:szCs w:val="22"/>
            <w:u w:val="none"/>
          </w:rPr>
          <w:t>Informe Justificado 4593 (1).pdf</w:t>
        </w:r>
      </w:hyperlink>
      <w:r w:rsidR="00110983" w:rsidRPr="0052764F">
        <w:rPr>
          <w:rFonts w:ascii="Palatino Linotype" w:hAnsi="Palatino Linotype" w:cs="Arial"/>
          <w:sz w:val="22"/>
          <w:szCs w:val="22"/>
        </w:rPr>
        <w:t>:</w:t>
      </w:r>
      <w:r w:rsidR="00FC0AD5" w:rsidRPr="0052764F">
        <w:rPr>
          <w:rFonts w:ascii="Palatino Linotype" w:hAnsi="Palatino Linotype" w:cs="Arial"/>
          <w:sz w:val="22"/>
          <w:szCs w:val="22"/>
        </w:rPr>
        <w:t xml:space="preserve"> Informe justificado que consta de 8 fojas, remitido por Rodolfo Esteban Rivadeneyra Hernández quien es Jefe de la UIPPE y Titular de la Unidad de Transparencia de la Secretaría de Fina</w:t>
      </w:r>
      <w:r w:rsidR="000F3F0D" w:rsidRPr="0052764F">
        <w:rPr>
          <w:rFonts w:ascii="Palatino Linotype" w:hAnsi="Palatino Linotype" w:cs="Arial"/>
          <w:sz w:val="22"/>
          <w:szCs w:val="22"/>
        </w:rPr>
        <w:t xml:space="preserve">nzas, mediante el cual </w:t>
      </w:r>
      <w:r w:rsidR="00FC0AD5" w:rsidRPr="0052764F">
        <w:rPr>
          <w:rFonts w:ascii="Palatino Linotype" w:hAnsi="Palatino Linotype" w:cs="Arial"/>
          <w:sz w:val="22"/>
          <w:szCs w:val="22"/>
        </w:rPr>
        <w:t>ratifica su respuesta.</w:t>
      </w:r>
    </w:p>
    <w:p w:rsidR="00FC0AD5" w:rsidRPr="0052764F" w:rsidRDefault="00FC0AD5" w:rsidP="00CE4F60">
      <w:pPr>
        <w:spacing w:line="360" w:lineRule="auto"/>
        <w:jc w:val="both"/>
        <w:rPr>
          <w:rFonts w:ascii="Palatino Linotype" w:hAnsi="Palatino Linotype" w:cs="Arial"/>
          <w:sz w:val="22"/>
          <w:szCs w:val="22"/>
        </w:rPr>
      </w:pPr>
    </w:p>
    <w:p w:rsidR="00110983"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15" w:history="1">
        <w:r w:rsidR="00110983" w:rsidRPr="0052764F">
          <w:rPr>
            <w:rStyle w:val="Hipervnculo"/>
            <w:rFonts w:ascii="Palatino Linotype" w:eastAsiaTheme="majorEastAsia" w:hAnsi="Palatino Linotype" w:cs="Arial"/>
            <w:b/>
            <w:bCs/>
            <w:color w:val="auto"/>
            <w:sz w:val="22"/>
            <w:szCs w:val="22"/>
            <w:u w:val="none"/>
          </w:rPr>
          <w:t>RR. 4593 DGP.pdf</w:t>
        </w:r>
      </w:hyperlink>
      <w:r w:rsidR="00110983" w:rsidRPr="0052764F">
        <w:rPr>
          <w:rFonts w:ascii="Palatino Linotype" w:hAnsi="Palatino Linotype"/>
          <w:sz w:val="22"/>
          <w:szCs w:val="22"/>
        </w:rPr>
        <w:t>:</w:t>
      </w:r>
      <w:r w:rsidR="004D069B" w:rsidRPr="0052764F">
        <w:rPr>
          <w:rFonts w:ascii="Palatino Linotype" w:hAnsi="Palatino Linotype"/>
          <w:sz w:val="22"/>
          <w:szCs w:val="22"/>
        </w:rPr>
        <w:t xml:space="preserve"> oficio 20706004000100S-241/2020  de fecha veintiocho de octubre de dos mil veinte, emitido por el Lic Navor Millán González Jefe de la Unidad y Servidor Público Habilitado de la Dirección General de Personal y remitido al Licenciado Rodolfo Esteban Rivadeneyra Hernández Jefe de la Unidad de Información, Planeación, Programación y Evaluación y Responsabilidad de la Unidad de Transparencia de la Secretaría de Finanzas</w:t>
      </w:r>
      <w:r w:rsidR="00FE0770" w:rsidRPr="0052764F">
        <w:rPr>
          <w:rFonts w:ascii="Palatino Linotype" w:hAnsi="Palatino Linotype"/>
          <w:sz w:val="22"/>
          <w:szCs w:val="22"/>
        </w:rPr>
        <w:t>, mediante el cual se ratifica la respuesta que se dio en el sentido en que no se cuenta con personal contratado bajo la modalidad de outsourcing, ni de lista de raya u honorarios, por cuanto hace a la nómina general, esta unidad administrativa cuenta con copia del documento denominado  “Desglose de Plazas por Servidor(a) Público(a)” de los servidores públicos adscritos a la Secretaría de Finanzas, no obstante, las documentales señaladas se encuentran integradas en expedientes que ascienden a la cantidad de 49,426 fojas.</w:t>
      </w:r>
    </w:p>
    <w:p w:rsidR="00A760FF" w:rsidRPr="0052764F" w:rsidRDefault="00A760FF" w:rsidP="00CE4F60">
      <w:pPr>
        <w:spacing w:line="360" w:lineRule="auto"/>
        <w:jc w:val="both"/>
        <w:rPr>
          <w:rFonts w:ascii="Palatino Linotype" w:hAnsi="Palatino Linotype"/>
          <w:sz w:val="22"/>
          <w:szCs w:val="22"/>
        </w:rPr>
      </w:pPr>
    </w:p>
    <w:p w:rsidR="00110983"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16" w:history="1">
        <w:r w:rsidR="004908FD" w:rsidRPr="0052764F">
          <w:rPr>
            <w:rStyle w:val="Hipervnculo"/>
            <w:rFonts w:ascii="Palatino Linotype" w:eastAsiaTheme="majorEastAsia" w:hAnsi="Palatino Linotype" w:cs="Arial"/>
            <w:b/>
            <w:bCs/>
            <w:color w:val="auto"/>
            <w:sz w:val="22"/>
            <w:szCs w:val="22"/>
            <w:u w:val="none"/>
          </w:rPr>
          <w:t>CT-2020-0078.pdf</w:t>
        </w:r>
      </w:hyperlink>
      <w:r w:rsidR="00110983" w:rsidRPr="0052764F">
        <w:rPr>
          <w:rFonts w:ascii="Palatino Linotype" w:hAnsi="Palatino Linotype"/>
          <w:sz w:val="22"/>
          <w:szCs w:val="22"/>
        </w:rPr>
        <w:t>:</w:t>
      </w:r>
      <w:r w:rsidR="00A760FF" w:rsidRPr="0052764F">
        <w:rPr>
          <w:rFonts w:ascii="Palatino Linotype" w:hAnsi="Palatino Linotype"/>
          <w:sz w:val="22"/>
          <w:szCs w:val="22"/>
        </w:rPr>
        <w:t xml:space="preserve"> Consta de 14 fojas, resolución emitida por el Comité de Transparencia de la Secretaría de Finanzas, mediante el cual se aprueba la clasificación de la Información como confidencial de los datos personales </w:t>
      </w:r>
      <w:r w:rsidR="00A760FF" w:rsidRPr="0052764F">
        <w:rPr>
          <w:rFonts w:ascii="Palatino Linotype" w:hAnsi="Palatino Linotype"/>
          <w:sz w:val="22"/>
          <w:szCs w:val="22"/>
        </w:rPr>
        <w:lastRenderedPageBreak/>
        <w:t>consistentes en el registro federal de contribuyentes (RFC), Clave Única de Registro de Población (CURP) y Deducciones no establecidas por la Ley, contenidos en los Documentos Denominado “Desglose de Plazas por Servidor(a) Público(a)”, correspondiente a los Servidores Públicos adscritos a la Secretaría de Finanzas.</w:t>
      </w:r>
    </w:p>
    <w:p w:rsidR="00A760FF" w:rsidRPr="0052764F" w:rsidRDefault="00A760FF" w:rsidP="00CE4F60">
      <w:pPr>
        <w:spacing w:line="360" w:lineRule="auto"/>
        <w:jc w:val="both"/>
        <w:rPr>
          <w:rFonts w:ascii="Palatino Linotype" w:hAnsi="Palatino Linotype"/>
          <w:sz w:val="22"/>
          <w:szCs w:val="22"/>
        </w:rPr>
      </w:pPr>
    </w:p>
    <w:p w:rsidR="00110983"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17" w:history="1">
        <w:r w:rsidR="00110983" w:rsidRPr="0052764F">
          <w:rPr>
            <w:rStyle w:val="Hipervnculo"/>
            <w:rFonts w:ascii="Palatino Linotype" w:eastAsiaTheme="majorEastAsia" w:hAnsi="Palatino Linotype" w:cs="Arial"/>
            <w:b/>
            <w:bCs/>
            <w:color w:val="auto"/>
            <w:sz w:val="22"/>
            <w:szCs w:val="22"/>
            <w:u w:val="none"/>
          </w:rPr>
          <w:t>RR. 4593 INFOEM.pdf</w:t>
        </w:r>
      </w:hyperlink>
      <w:r w:rsidR="00110983" w:rsidRPr="0052764F">
        <w:rPr>
          <w:rFonts w:ascii="Palatino Linotype" w:hAnsi="Palatino Linotype"/>
          <w:sz w:val="22"/>
          <w:szCs w:val="22"/>
        </w:rPr>
        <w:t>:</w:t>
      </w:r>
      <w:r w:rsidR="009A239F" w:rsidRPr="0052764F">
        <w:rPr>
          <w:rFonts w:ascii="Palatino Linotype" w:hAnsi="Palatino Linotype"/>
          <w:sz w:val="22"/>
          <w:szCs w:val="22"/>
        </w:rPr>
        <w:t xml:space="preserve"> Oficio número 20700004S/UT-1895/2020 de fecha catorce de octubre de dos mil veinte, remitido por Rodolfo Esteban Rivadeneyra Hernández Jefe de la UIPPE y Titular de la Unidad de Transparencia de la Secretaría de Finanzas a la Maestra en Negocios Internacionales Zulema Martínez Sánchez Comisionada Presidenta del INFOEM, mediante el cual se refiere que la documentación requerida obra integrada en expedientes cuyo volumen asciende aproximadamente a la cantidad de 49,426 fojas, mismas que exceden la capacidad del tamaño máximo que la plataforma del Sistema de Accesos a la Información Mexiquense (SAIMEX) puede soportar para alojar documentos, por lo cual solicita cambio de modalidad de entrega de la información solicitada mediante consulta directa, así mismo solicita se asiente e la bitácora de incidencias de la Dirección de Informática del Instituto de Transparencia.</w:t>
      </w:r>
    </w:p>
    <w:p w:rsidR="00110983" w:rsidRPr="0052764F" w:rsidRDefault="00110983" w:rsidP="00CE4F60">
      <w:pPr>
        <w:spacing w:line="360" w:lineRule="auto"/>
        <w:jc w:val="both"/>
        <w:rPr>
          <w:rFonts w:ascii="Palatino Linotype" w:hAnsi="Palatino Linotype" w:cs="Arial"/>
          <w:sz w:val="22"/>
          <w:szCs w:val="22"/>
        </w:rPr>
      </w:pPr>
    </w:p>
    <w:p w:rsidR="004908FD" w:rsidRPr="0052764F" w:rsidRDefault="004908FD" w:rsidP="00CE4F60">
      <w:pPr>
        <w:pStyle w:val="Prrafodelista"/>
        <w:spacing w:line="360" w:lineRule="auto"/>
        <w:ind w:left="0"/>
        <w:jc w:val="both"/>
        <w:rPr>
          <w:rFonts w:ascii="Palatino Linotype" w:hAnsi="Palatino Linotype" w:cs="Arial"/>
          <w:b/>
          <w:bCs/>
        </w:rPr>
      </w:pPr>
      <w:r w:rsidRPr="0052764F">
        <w:rPr>
          <w:rFonts w:ascii="Palatino Linotype" w:hAnsi="Palatino Linotype" w:cs="Arial"/>
          <w:b/>
          <w:bCs/>
        </w:rPr>
        <w:t>04594/INFOEM/IP/RR/2020:</w:t>
      </w:r>
    </w:p>
    <w:p w:rsidR="004F097B" w:rsidRPr="0052764F" w:rsidRDefault="004F097B" w:rsidP="00CE4F60">
      <w:pPr>
        <w:pStyle w:val="Prrafodelista"/>
        <w:spacing w:line="360" w:lineRule="auto"/>
        <w:ind w:left="0"/>
        <w:jc w:val="both"/>
        <w:rPr>
          <w:rFonts w:ascii="Palatino Linotype" w:hAnsi="Palatino Linotype" w:cs="Arial"/>
          <w:b/>
          <w:bCs/>
        </w:rPr>
      </w:pPr>
    </w:p>
    <w:p w:rsidR="004F097B" w:rsidRPr="0052764F" w:rsidRDefault="007A28FE" w:rsidP="00CE4F60">
      <w:pPr>
        <w:pStyle w:val="Prrafodelista"/>
        <w:numPr>
          <w:ilvl w:val="0"/>
          <w:numId w:val="11"/>
        </w:numPr>
        <w:spacing w:line="360" w:lineRule="auto"/>
        <w:jc w:val="both"/>
        <w:rPr>
          <w:rFonts w:ascii="Palatino Linotype" w:hAnsi="Palatino Linotype" w:cs="Arial"/>
          <w:b/>
          <w:bCs/>
          <w:sz w:val="22"/>
          <w:szCs w:val="22"/>
        </w:rPr>
      </w:pPr>
      <w:hyperlink r:id="rId18" w:history="1">
        <w:r w:rsidR="00DD3B6C" w:rsidRPr="0052764F">
          <w:rPr>
            <w:rStyle w:val="Hipervnculo"/>
            <w:rFonts w:ascii="Palatino Linotype" w:eastAsiaTheme="majorEastAsia" w:hAnsi="Palatino Linotype" w:cs="Arial"/>
            <w:b/>
            <w:bCs/>
            <w:color w:val="auto"/>
            <w:sz w:val="22"/>
            <w:szCs w:val="22"/>
            <w:u w:val="none"/>
          </w:rPr>
          <w:t>RR. 4594 DGI.pdf</w:t>
        </w:r>
      </w:hyperlink>
      <w:r w:rsidR="004F097B" w:rsidRPr="0052764F">
        <w:rPr>
          <w:rFonts w:ascii="Palatino Linotype" w:hAnsi="Palatino Linotype"/>
          <w:sz w:val="22"/>
          <w:szCs w:val="22"/>
        </w:rPr>
        <w:t xml:space="preserve">: Oficio número INFOEM/DGI/302/2020 de fecha veintiuno de octubre de dos mil veinte, emitido por la Directora General de Informática del INFOEM Laura Patricia Siú Leonor y dirigido a Rodolfo Esteban Rivadeneyra Hernández Jefe de la UIPPE y Titular de la Unidad de Transparencia de la Secretaría de Finanzas, mediante el cual comunican que quedo registrada la incidencia en la bitácora de incidencias, toda vez que, se trata de subir aproximadamente 49,426 </w:t>
      </w:r>
      <w:r w:rsidR="004F097B" w:rsidRPr="0052764F">
        <w:rPr>
          <w:rFonts w:ascii="Palatino Linotype" w:hAnsi="Palatino Linotype"/>
          <w:sz w:val="22"/>
          <w:szCs w:val="22"/>
        </w:rPr>
        <w:lastRenderedPageBreak/>
        <w:t xml:space="preserve">fojas, lo cual sobrepasa las capacidades técnicas del sistema Saimex. Asimismo refiere </w:t>
      </w:r>
      <w:r w:rsidR="00E7052E" w:rsidRPr="0052764F">
        <w:rPr>
          <w:rFonts w:ascii="Palatino Linotype" w:hAnsi="Palatino Linotype"/>
          <w:sz w:val="22"/>
          <w:szCs w:val="22"/>
        </w:rPr>
        <w:t>que el cúmulo de fojas referido así como lo expresado en su solicitud de cambio de modalidad es responsabilidad del Sujeto Obligado.</w:t>
      </w:r>
    </w:p>
    <w:p w:rsidR="00E7052E" w:rsidRPr="0052764F" w:rsidRDefault="00E7052E" w:rsidP="00CE4F60">
      <w:pPr>
        <w:pStyle w:val="Prrafodelista"/>
        <w:spacing w:line="360" w:lineRule="auto"/>
        <w:jc w:val="both"/>
        <w:rPr>
          <w:rFonts w:ascii="Palatino Linotype" w:hAnsi="Palatino Linotype" w:cs="Arial"/>
          <w:b/>
          <w:bCs/>
          <w:sz w:val="22"/>
          <w:szCs w:val="22"/>
        </w:rPr>
      </w:pPr>
    </w:p>
    <w:p w:rsidR="00E7052E"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19" w:history="1">
        <w:r w:rsidR="004F097B" w:rsidRPr="0052764F">
          <w:rPr>
            <w:rStyle w:val="Hipervnculo"/>
            <w:rFonts w:ascii="Palatino Linotype" w:eastAsiaTheme="majorEastAsia" w:hAnsi="Palatino Linotype" w:cs="Arial"/>
            <w:b/>
            <w:bCs/>
            <w:color w:val="auto"/>
            <w:sz w:val="22"/>
            <w:szCs w:val="22"/>
            <w:u w:val="none"/>
          </w:rPr>
          <w:t>RR.4594 INFOEM.pdf</w:t>
        </w:r>
      </w:hyperlink>
      <w:r w:rsidR="004F097B" w:rsidRPr="0052764F">
        <w:rPr>
          <w:rFonts w:ascii="Palatino Linotype" w:hAnsi="Palatino Linotype" w:cs="Arial"/>
          <w:sz w:val="22"/>
          <w:szCs w:val="22"/>
        </w:rPr>
        <w:t>:</w:t>
      </w:r>
      <w:r w:rsidR="00E7052E" w:rsidRPr="0052764F">
        <w:rPr>
          <w:rFonts w:ascii="Palatino Linotype" w:hAnsi="Palatino Linotype" w:cs="Arial"/>
          <w:sz w:val="22"/>
          <w:szCs w:val="22"/>
        </w:rPr>
        <w:t xml:space="preserve"> </w:t>
      </w:r>
      <w:r w:rsidR="00E7052E" w:rsidRPr="0052764F">
        <w:rPr>
          <w:rFonts w:ascii="Palatino Linotype" w:hAnsi="Palatino Linotype"/>
          <w:sz w:val="22"/>
          <w:szCs w:val="22"/>
        </w:rPr>
        <w:t>Oficio número 20700004S/UT-1894/2020 de fecha catorce de octubre de dos mil veinte, remitido por Rodolfo Esteban Rivadeneyra Hernández Jefe de la UIPPE y Titular de la Unidad de Transparencia de la Secretaría de Finanzas a la Maestra en Negocios Internacionales Zulema Martínez Sánchez Comisionada Presidenta del INFOEM, mediante el cual se refiere que la documentación requerida obra integrada en expedientes cuyo volumen asciende aproximadamente a la cantidad de 49,426 fojas, mismas que exceden la capacidad del tamaño máximo que la plataforma del Sistema de Accesos a la Información Mexiquense (SAIMEX) puede soportar para alojar documentos, por lo cual solicita cambio de modalidad de entrega de la información solicitada mediante consulta directa, así mismo solicita se asiente e la bitácora de incidencias de la Dirección de Informática del Instituto de Transparencia.</w:t>
      </w:r>
    </w:p>
    <w:p w:rsidR="004F097B" w:rsidRPr="0052764F" w:rsidRDefault="004F097B" w:rsidP="00CE4F60">
      <w:pPr>
        <w:pStyle w:val="Prrafodelista"/>
        <w:spacing w:line="360" w:lineRule="auto"/>
        <w:jc w:val="both"/>
        <w:rPr>
          <w:rFonts w:ascii="Palatino Linotype" w:hAnsi="Palatino Linotype" w:cs="Arial"/>
          <w:sz w:val="22"/>
          <w:szCs w:val="22"/>
        </w:rPr>
      </w:pPr>
    </w:p>
    <w:p w:rsidR="00E7052E" w:rsidRPr="0052764F" w:rsidRDefault="007A28FE" w:rsidP="00CE4F60">
      <w:pPr>
        <w:pStyle w:val="Prrafodelista"/>
        <w:numPr>
          <w:ilvl w:val="0"/>
          <w:numId w:val="8"/>
        </w:numPr>
        <w:spacing w:line="360" w:lineRule="auto"/>
        <w:jc w:val="both"/>
        <w:rPr>
          <w:rFonts w:ascii="Palatino Linotype" w:hAnsi="Palatino Linotype" w:cs="Arial"/>
          <w:sz w:val="22"/>
          <w:szCs w:val="22"/>
        </w:rPr>
      </w:pPr>
      <w:hyperlink r:id="rId20" w:history="1">
        <w:r w:rsidR="004F097B" w:rsidRPr="0052764F">
          <w:rPr>
            <w:rStyle w:val="Hipervnculo"/>
            <w:rFonts w:ascii="Palatino Linotype" w:eastAsiaTheme="majorEastAsia" w:hAnsi="Palatino Linotype" w:cs="Arial"/>
            <w:b/>
            <w:bCs/>
            <w:color w:val="auto"/>
            <w:sz w:val="22"/>
            <w:szCs w:val="22"/>
            <w:u w:val="none"/>
          </w:rPr>
          <w:t>Informe Justificado 4594 (1).pdf</w:t>
        </w:r>
      </w:hyperlink>
      <w:r w:rsidR="004F097B" w:rsidRPr="0052764F">
        <w:rPr>
          <w:rFonts w:ascii="Palatino Linotype" w:hAnsi="Palatino Linotype"/>
          <w:sz w:val="22"/>
          <w:szCs w:val="22"/>
        </w:rPr>
        <w:t>:</w:t>
      </w:r>
      <w:r w:rsidR="00E7052E" w:rsidRPr="0052764F">
        <w:rPr>
          <w:rFonts w:ascii="Palatino Linotype" w:hAnsi="Palatino Linotype"/>
          <w:sz w:val="22"/>
          <w:szCs w:val="22"/>
        </w:rPr>
        <w:t xml:space="preserve"> </w:t>
      </w:r>
      <w:r w:rsidR="00E7052E" w:rsidRPr="0052764F">
        <w:rPr>
          <w:rFonts w:ascii="Palatino Linotype" w:hAnsi="Palatino Linotype" w:cs="Arial"/>
          <w:sz w:val="22"/>
          <w:szCs w:val="22"/>
        </w:rPr>
        <w:t>Informe justificado que consta de 8 fojas, remitido por Rodolfo Esteban Rivadeneyra Hernández quien es Jefe de la UIPPE y Titular de la Unidad de Transparencia de la Secretaría de Fina</w:t>
      </w:r>
      <w:r w:rsidR="000F3F0D" w:rsidRPr="0052764F">
        <w:rPr>
          <w:rFonts w:ascii="Palatino Linotype" w:hAnsi="Palatino Linotype" w:cs="Arial"/>
          <w:sz w:val="22"/>
          <w:szCs w:val="22"/>
        </w:rPr>
        <w:t>nzas, mediante el cual</w:t>
      </w:r>
      <w:r w:rsidR="00E7052E" w:rsidRPr="0052764F">
        <w:rPr>
          <w:rFonts w:ascii="Palatino Linotype" w:hAnsi="Palatino Linotype" w:cs="Arial"/>
          <w:sz w:val="22"/>
          <w:szCs w:val="22"/>
        </w:rPr>
        <w:t xml:space="preserve"> ratifica su respuesta.</w:t>
      </w:r>
    </w:p>
    <w:p w:rsidR="004F097B" w:rsidRPr="0052764F" w:rsidRDefault="004F097B" w:rsidP="00CE4F60">
      <w:pPr>
        <w:pStyle w:val="Prrafodelista"/>
        <w:spacing w:line="360" w:lineRule="auto"/>
        <w:jc w:val="both"/>
        <w:rPr>
          <w:rFonts w:ascii="Palatino Linotype" w:hAnsi="Palatino Linotype"/>
          <w:sz w:val="22"/>
          <w:szCs w:val="22"/>
        </w:rPr>
      </w:pPr>
    </w:p>
    <w:p w:rsidR="000F3F0D"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21" w:history="1">
        <w:r w:rsidR="004F097B" w:rsidRPr="0052764F">
          <w:rPr>
            <w:rStyle w:val="Hipervnculo"/>
            <w:rFonts w:ascii="Palatino Linotype" w:eastAsiaTheme="majorEastAsia" w:hAnsi="Palatino Linotype" w:cs="Arial"/>
            <w:b/>
            <w:bCs/>
            <w:color w:val="auto"/>
            <w:sz w:val="22"/>
            <w:szCs w:val="22"/>
            <w:u w:val="none"/>
          </w:rPr>
          <w:t>CT-2020-0077.pdf</w:t>
        </w:r>
      </w:hyperlink>
      <w:r w:rsidR="004F097B" w:rsidRPr="0052764F">
        <w:rPr>
          <w:rFonts w:ascii="Palatino Linotype" w:hAnsi="Palatino Linotype"/>
          <w:sz w:val="22"/>
          <w:szCs w:val="22"/>
        </w:rPr>
        <w:t>:</w:t>
      </w:r>
      <w:r w:rsidR="004F097B" w:rsidRPr="0052764F">
        <w:rPr>
          <w:rFonts w:ascii="Palatino Linotype" w:hAnsi="Palatino Linotype" w:cs="Arial"/>
          <w:sz w:val="22"/>
          <w:szCs w:val="22"/>
          <w:lang w:eastAsia="es-MX"/>
        </w:rPr>
        <w:tab/>
      </w:r>
      <w:r w:rsidR="000F3F0D" w:rsidRPr="0052764F">
        <w:rPr>
          <w:rFonts w:ascii="Palatino Linotype" w:hAnsi="Palatino Linotype"/>
          <w:sz w:val="22"/>
          <w:szCs w:val="22"/>
        </w:rPr>
        <w:t xml:space="preserve">Consta de 14 fojas, resolución emitida por el Comité de Transparencia de la Secretaría de Finanzas, mediante el cual se aprueba la clasificación de la Información como confidencial de los datos personales consistentes en el registro federal de contribuyentes (RFC), Clave Única de Registro </w:t>
      </w:r>
      <w:r w:rsidR="000F3F0D" w:rsidRPr="0052764F">
        <w:rPr>
          <w:rFonts w:ascii="Palatino Linotype" w:hAnsi="Palatino Linotype"/>
          <w:sz w:val="22"/>
          <w:szCs w:val="22"/>
        </w:rPr>
        <w:lastRenderedPageBreak/>
        <w:t>de Población (CURP) y Deducciones no establecidas por la Ley, contenidos en los Documentos Denominado “Desglose de Plazas por Servidor(a) Público(a)”, correspondiente a los Servidores Públicos adscritos a la Secretaría de Finanzas.</w:t>
      </w:r>
    </w:p>
    <w:p w:rsidR="004F097B" w:rsidRPr="0052764F" w:rsidRDefault="004F097B" w:rsidP="00CE4F60">
      <w:pPr>
        <w:pStyle w:val="Prrafodelista"/>
        <w:spacing w:line="360" w:lineRule="auto"/>
        <w:jc w:val="both"/>
        <w:rPr>
          <w:rFonts w:ascii="Palatino Linotype" w:hAnsi="Palatino Linotype"/>
          <w:sz w:val="22"/>
          <w:szCs w:val="22"/>
        </w:rPr>
      </w:pPr>
    </w:p>
    <w:p w:rsidR="000F3F0D"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22" w:history="1">
        <w:r w:rsidR="004F097B" w:rsidRPr="0052764F">
          <w:rPr>
            <w:rStyle w:val="Hipervnculo"/>
            <w:rFonts w:ascii="Palatino Linotype" w:eastAsiaTheme="majorEastAsia" w:hAnsi="Palatino Linotype" w:cs="Arial"/>
            <w:b/>
            <w:bCs/>
            <w:color w:val="auto"/>
            <w:sz w:val="22"/>
            <w:szCs w:val="22"/>
            <w:u w:val="none"/>
          </w:rPr>
          <w:t>RR 4594 DGP.pdf</w:t>
        </w:r>
      </w:hyperlink>
      <w:r w:rsidR="004F097B" w:rsidRPr="0052764F">
        <w:rPr>
          <w:rFonts w:ascii="Palatino Linotype" w:hAnsi="Palatino Linotype"/>
          <w:sz w:val="22"/>
          <w:szCs w:val="22"/>
        </w:rPr>
        <w:t>:</w:t>
      </w:r>
      <w:r w:rsidR="000F3F0D" w:rsidRPr="0052764F">
        <w:rPr>
          <w:rFonts w:ascii="Palatino Linotype" w:hAnsi="Palatino Linotype"/>
          <w:sz w:val="22"/>
          <w:szCs w:val="22"/>
        </w:rPr>
        <w:t xml:space="preserve"> oficio 20706004000100S-240/2020  de fecha veintiocho de octubre de dos mil veinte, emitido por el Lic Navor Millán González Jefe de la Unidad y Servidor Público Habilitado de la Dirección General de Personal y remitido al Licenciado Rodolfo Esteban Rivadeneyra Hernández Jefe de la Unidad de Información, Planeación, Programación y Evaluación y Responsabilidad de la Unidad de Transparencia de la Secretaría de Finanzas, mediante el cual se ratifica la respuesta que se dio en el sentido en que no se cuenta con personal contratado bajo la modalidad de outsourcing, ni de lista de raya u honorarios, por cuanto hace a la nómina general, esta unidad administrativa cuenta con copia del documento denominado  “Desglose de Plazas por Servidor(a) Público(a)” de los servidores públicos adscritos a la Secretaría de Finanzas, no obstante, las documentales señaladas se encuentran integradas en expedientes que ascienden a la cantidad de 49,426 fojas.</w:t>
      </w:r>
    </w:p>
    <w:p w:rsidR="004908FD" w:rsidRPr="0052764F" w:rsidRDefault="004908FD" w:rsidP="00CE4F60">
      <w:pPr>
        <w:pStyle w:val="Prrafodelista"/>
        <w:spacing w:line="360" w:lineRule="auto"/>
        <w:ind w:left="0"/>
        <w:jc w:val="both"/>
        <w:rPr>
          <w:rFonts w:ascii="Palatino Linotype" w:hAnsi="Palatino Linotype" w:cs="Arial"/>
          <w:b/>
          <w:bCs/>
        </w:rPr>
      </w:pPr>
    </w:p>
    <w:p w:rsidR="00911573" w:rsidRPr="0052764F" w:rsidRDefault="004908FD" w:rsidP="00CE4F60">
      <w:pPr>
        <w:pStyle w:val="Prrafodelista"/>
        <w:spacing w:line="360" w:lineRule="auto"/>
        <w:ind w:left="0"/>
        <w:jc w:val="both"/>
        <w:rPr>
          <w:rFonts w:ascii="Palatino Linotype" w:hAnsi="Palatino Linotype" w:cs="Arial"/>
          <w:b/>
          <w:bCs/>
        </w:rPr>
      </w:pPr>
      <w:r w:rsidRPr="0052764F">
        <w:rPr>
          <w:rFonts w:ascii="Palatino Linotype" w:hAnsi="Palatino Linotype" w:cs="Arial"/>
          <w:b/>
          <w:bCs/>
        </w:rPr>
        <w:t>04595/INFOEM/IP/RR/2020:</w:t>
      </w:r>
    </w:p>
    <w:p w:rsidR="000F3F0D" w:rsidRPr="0052764F" w:rsidRDefault="007A28FE" w:rsidP="00CE4F60">
      <w:pPr>
        <w:pStyle w:val="Prrafodelista"/>
        <w:numPr>
          <w:ilvl w:val="0"/>
          <w:numId w:val="8"/>
        </w:numPr>
        <w:spacing w:line="360" w:lineRule="auto"/>
        <w:jc w:val="both"/>
        <w:rPr>
          <w:rFonts w:ascii="Palatino Linotype" w:hAnsi="Palatino Linotype" w:cs="Arial"/>
          <w:sz w:val="22"/>
          <w:szCs w:val="22"/>
        </w:rPr>
      </w:pPr>
      <w:hyperlink r:id="rId23" w:history="1">
        <w:r w:rsidR="000F3F0D" w:rsidRPr="0052764F">
          <w:rPr>
            <w:rStyle w:val="Hipervnculo"/>
            <w:rFonts w:ascii="Palatino Linotype" w:hAnsi="Palatino Linotype" w:cs="Arial"/>
            <w:b/>
            <w:bCs/>
            <w:color w:val="auto"/>
            <w:sz w:val="22"/>
            <w:szCs w:val="22"/>
            <w:u w:val="none"/>
          </w:rPr>
          <w:t>INFORME JUSTIFICADO RR 4595.pdf</w:t>
        </w:r>
      </w:hyperlink>
      <w:r w:rsidR="0052166F" w:rsidRPr="0052764F">
        <w:rPr>
          <w:rFonts w:ascii="Palatino Linotype" w:hAnsi="Palatino Linotype"/>
          <w:sz w:val="22"/>
          <w:szCs w:val="22"/>
        </w:rPr>
        <w:t xml:space="preserve">: </w:t>
      </w:r>
      <w:r w:rsidR="0052166F" w:rsidRPr="0052764F">
        <w:rPr>
          <w:rFonts w:ascii="Palatino Linotype" w:hAnsi="Palatino Linotype" w:cs="Arial"/>
          <w:sz w:val="22"/>
          <w:szCs w:val="22"/>
        </w:rPr>
        <w:t>Informe justificado que consta de 8 fojas, remitido por Rodolfo Esteban Rivadeneyra Hernández quien es Jefe de la UIPPE y Titular de la Unidad de Transparencia de la Secretaría de Finanzas, mediante el cual ratifica su respuesta.</w:t>
      </w:r>
    </w:p>
    <w:p w:rsidR="0052166F" w:rsidRPr="0052764F" w:rsidRDefault="0052166F" w:rsidP="00CE4F60">
      <w:pPr>
        <w:pStyle w:val="Prrafodelista"/>
        <w:spacing w:line="360" w:lineRule="auto"/>
        <w:jc w:val="both"/>
        <w:rPr>
          <w:rFonts w:ascii="Palatino Linotype" w:hAnsi="Palatino Linotype" w:cs="Arial"/>
          <w:sz w:val="22"/>
          <w:szCs w:val="22"/>
        </w:rPr>
      </w:pPr>
    </w:p>
    <w:p w:rsidR="0052166F"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24" w:history="1">
        <w:r w:rsidR="000F3F0D" w:rsidRPr="0052764F">
          <w:rPr>
            <w:rStyle w:val="Hipervnculo"/>
            <w:rFonts w:ascii="Palatino Linotype" w:hAnsi="Palatino Linotype" w:cs="Arial"/>
            <w:b/>
            <w:bCs/>
            <w:color w:val="auto"/>
            <w:sz w:val="22"/>
            <w:szCs w:val="22"/>
            <w:u w:val="none"/>
          </w:rPr>
          <w:t>RR. 4595 INFOEM.pdf</w:t>
        </w:r>
      </w:hyperlink>
      <w:r w:rsidR="0052166F" w:rsidRPr="0052764F">
        <w:rPr>
          <w:rFonts w:ascii="Palatino Linotype" w:hAnsi="Palatino Linotype"/>
          <w:sz w:val="22"/>
          <w:szCs w:val="22"/>
        </w:rPr>
        <w:t xml:space="preserve">:  Oficio número 20700004S/UT-1893/2020 de fecha catorce de octubre de dos mil veinte, remitido por Rodolfo Esteban Rivadeneyra Hernández </w:t>
      </w:r>
      <w:r w:rsidR="0052166F" w:rsidRPr="0052764F">
        <w:rPr>
          <w:rFonts w:ascii="Palatino Linotype" w:hAnsi="Palatino Linotype"/>
          <w:sz w:val="22"/>
          <w:szCs w:val="22"/>
        </w:rPr>
        <w:lastRenderedPageBreak/>
        <w:t>Jefe de la UIPPE y Titular de la Unidad de Transparencia de la Secretaría de Finanzas a la Maestra en Negocios Internacionales Zulema Martínez Sánchez Comisionada Presidenta del INFOEM, mediante el cual se refiere que la documentación requerida obra integrada en expedientes cuyo volumen asciende aproximadamente a la cantidad de 49,426 fojas, mismas que exceden la capacidad del tamaño máximo que la plataforma del Sistema de Accesos a la Información Mexiquense (SAIMEX) puede soportar para alojar documentos, por lo cual solicita cambio de modalidad de entrega de la información solicitada mediante consulta directa, así mismo solicita se asiente e la bitácora de incidencias de la Dirección de Informática del Instituto de Transparencia.</w:t>
      </w:r>
    </w:p>
    <w:p w:rsidR="000F3F0D" w:rsidRPr="0052764F" w:rsidRDefault="000F3F0D" w:rsidP="00CE4F60">
      <w:pPr>
        <w:pStyle w:val="Prrafodelista"/>
        <w:spacing w:line="360" w:lineRule="auto"/>
        <w:jc w:val="both"/>
        <w:rPr>
          <w:rFonts w:ascii="Palatino Linotype" w:hAnsi="Palatino Linotype"/>
          <w:sz w:val="22"/>
          <w:szCs w:val="22"/>
        </w:rPr>
      </w:pPr>
    </w:p>
    <w:p w:rsidR="0052166F"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25" w:history="1">
        <w:r w:rsidR="000F3F0D" w:rsidRPr="0052764F">
          <w:rPr>
            <w:rStyle w:val="Hipervnculo"/>
            <w:rFonts w:ascii="Palatino Linotype" w:eastAsiaTheme="majorEastAsia" w:hAnsi="Palatino Linotype" w:cs="Arial"/>
            <w:b/>
            <w:bCs/>
            <w:color w:val="auto"/>
            <w:sz w:val="22"/>
            <w:szCs w:val="22"/>
            <w:u w:val="none"/>
          </w:rPr>
          <w:t>CT-2020-0076.pdf</w:t>
        </w:r>
      </w:hyperlink>
      <w:r w:rsidR="0052166F" w:rsidRPr="0052764F">
        <w:rPr>
          <w:rFonts w:ascii="Palatino Linotype" w:hAnsi="Palatino Linotype" w:cs="Arial"/>
          <w:sz w:val="22"/>
          <w:szCs w:val="22"/>
        </w:rPr>
        <w:t xml:space="preserve">: </w:t>
      </w:r>
      <w:r w:rsidR="0052166F" w:rsidRPr="0052764F">
        <w:rPr>
          <w:rFonts w:ascii="Palatino Linotype" w:hAnsi="Palatino Linotype"/>
          <w:sz w:val="22"/>
          <w:szCs w:val="22"/>
        </w:rPr>
        <w:t>Consta de 14 fojas, resolución emitida por el Comité de Transparencia de la Secretaría de Finanzas, mediante el cual se aprueba la clasificación de la Información como confidencial de los datos personales consistentes en el registro federal de contribuyentes (RFC), Clave Única de Registro de Población (CURP) y Deducciones no establecidas por la Ley, contenidos en los Documentos Denominado “Desglose de Plazas por Servidor(a) Público(a)”, correspondiente a los Servidores Públicos adscritos a la Secretaría de Finanzas.</w:t>
      </w:r>
    </w:p>
    <w:p w:rsidR="000F3F0D" w:rsidRPr="0052764F" w:rsidRDefault="000F3F0D" w:rsidP="00CE4F60">
      <w:pPr>
        <w:pStyle w:val="Prrafodelista"/>
        <w:spacing w:line="360" w:lineRule="auto"/>
        <w:jc w:val="both"/>
        <w:rPr>
          <w:rFonts w:ascii="Palatino Linotype" w:hAnsi="Palatino Linotype" w:cs="Arial"/>
          <w:sz w:val="22"/>
          <w:szCs w:val="22"/>
        </w:rPr>
      </w:pPr>
    </w:p>
    <w:p w:rsidR="0052166F" w:rsidRPr="0052764F" w:rsidRDefault="007A28FE" w:rsidP="00CE4F60">
      <w:pPr>
        <w:pStyle w:val="Prrafodelista"/>
        <w:numPr>
          <w:ilvl w:val="0"/>
          <w:numId w:val="8"/>
        </w:numPr>
        <w:spacing w:line="360" w:lineRule="auto"/>
        <w:jc w:val="both"/>
        <w:rPr>
          <w:rFonts w:ascii="Palatino Linotype" w:hAnsi="Palatino Linotype"/>
          <w:sz w:val="22"/>
          <w:szCs w:val="22"/>
        </w:rPr>
      </w:pPr>
      <w:hyperlink r:id="rId26" w:history="1">
        <w:r w:rsidR="000F3F0D" w:rsidRPr="0052764F">
          <w:rPr>
            <w:rStyle w:val="Hipervnculo"/>
            <w:rFonts w:ascii="Palatino Linotype" w:eastAsiaTheme="majorEastAsia" w:hAnsi="Palatino Linotype" w:cs="Arial"/>
            <w:b/>
            <w:bCs/>
            <w:color w:val="auto"/>
            <w:sz w:val="22"/>
            <w:szCs w:val="22"/>
            <w:u w:val="none"/>
          </w:rPr>
          <w:t>RR. 4595 DGP.pdf</w:t>
        </w:r>
      </w:hyperlink>
      <w:r w:rsidR="0052166F" w:rsidRPr="0052764F">
        <w:rPr>
          <w:rFonts w:ascii="Palatino Linotype" w:hAnsi="Palatino Linotype"/>
          <w:sz w:val="22"/>
          <w:szCs w:val="22"/>
        </w:rPr>
        <w:t>: oficio 20706004000100S-</w:t>
      </w:r>
      <w:r w:rsidR="00D7464D" w:rsidRPr="0052764F">
        <w:rPr>
          <w:rFonts w:ascii="Palatino Linotype" w:hAnsi="Palatino Linotype"/>
          <w:sz w:val="22"/>
          <w:szCs w:val="22"/>
        </w:rPr>
        <w:t>239</w:t>
      </w:r>
      <w:r w:rsidR="0052166F" w:rsidRPr="0052764F">
        <w:rPr>
          <w:rFonts w:ascii="Palatino Linotype" w:hAnsi="Palatino Linotype"/>
          <w:sz w:val="22"/>
          <w:szCs w:val="22"/>
        </w:rPr>
        <w:t xml:space="preserve">/2020  de fecha veintiocho de octubre de dos mil veinte, emitido por el Lic Navor Millán González Jefe de la Unidad y Servidor Público Habilitado de la Dirección General de Personal y remitido al Licenciado Rodolfo Esteban Rivadeneyra Hernández Jefe de la Unidad de Información, Planeación, Programación y Evaluación y Responsabilidad de la Unidad de Transparencia de la Secretaría de Finanzas, mediante el cual se ratifica la respuesta que se dio en el sentido en que no se cuenta con personal contratado bajo </w:t>
      </w:r>
      <w:r w:rsidR="0052166F" w:rsidRPr="0052764F">
        <w:rPr>
          <w:rFonts w:ascii="Palatino Linotype" w:hAnsi="Palatino Linotype"/>
          <w:sz w:val="22"/>
          <w:szCs w:val="22"/>
        </w:rPr>
        <w:lastRenderedPageBreak/>
        <w:t>la modalidad de outsourcing, ni de lista de raya u honorarios, por cuanto hace a la nómina general, esta unidad administrativa cuenta con copia del documento denominado  “Desglose de Plazas por Servidor(a) Público(a)” de los servidores públicos adscritos a la Secretaría de Finanzas, no obstante, las documentales señaladas se encuentran integradas en expedientes que ascienden a la cantidad de 49,426 fojas.</w:t>
      </w:r>
    </w:p>
    <w:p w:rsidR="000F3F0D" w:rsidRPr="0052764F" w:rsidRDefault="000F3F0D" w:rsidP="00CE4F60">
      <w:pPr>
        <w:pStyle w:val="Prrafodelista"/>
        <w:spacing w:line="360" w:lineRule="auto"/>
        <w:jc w:val="both"/>
        <w:rPr>
          <w:rFonts w:ascii="Palatino Linotype" w:hAnsi="Palatino Linotype"/>
          <w:sz w:val="22"/>
          <w:szCs w:val="22"/>
        </w:rPr>
      </w:pPr>
    </w:p>
    <w:p w:rsidR="004908FD" w:rsidRPr="0052764F" w:rsidRDefault="007A28FE" w:rsidP="00CE4F60">
      <w:pPr>
        <w:pStyle w:val="Prrafodelista"/>
        <w:numPr>
          <w:ilvl w:val="0"/>
          <w:numId w:val="12"/>
        </w:numPr>
        <w:spacing w:line="360" w:lineRule="auto"/>
        <w:jc w:val="both"/>
        <w:rPr>
          <w:rFonts w:ascii="Palatino Linotype" w:hAnsi="Palatino Linotype" w:cs="Arial"/>
          <w:sz w:val="22"/>
          <w:szCs w:val="22"/>
        </w:rPr>
      </w:pPr>
      <w:hyperlink r:id="rId27" w:history="1">
        <w:r w:rsidR="000F3F0D" w:rsidRPr="0052764F">
          <w:rPr>
            <w:rStyle w:val="Hipervnculo"/>
            <w:rFonts w:ascii="Palatino Linotype" w:eastAsiaTheme="majorEastAsia" w:hAnsi="Palatino Linotype" w:cs="Arial"/>
            <w:b/>
            <w:bCs/>
            <w:color w:val="auto"/>
            <w:sz w:val="22"/>
            <w:szCs w:val="22"/>
            <w:u w:val="none"/>
          </w:rPr>
          <w:t>RR. 4595 DGI.pdf</w:t>
        </w:r>
      </w:hyperlink>
      <w:r w:rsidR="00D7464D" w:rsidRPr="0052764F">
        <w:rPr>
          <w:rFonts w:ascii="Palatino Linotype" w:hAnsi="Palatino Linotype"/>
          <w:sz w:val="22"/>
          <w:szCs w:val="22"/>
        </w:rPr>
        <w:t>: Oficio número INFOEM/DGI/301/2020 de fecha veintiuno de octubre de dos mil veinte, emitido por la Directora General de Informática del INFOEM Laura Patricia Siú Leonor y dirigido a Rodolfo Esteban Rivadeneyra Hernández Jefe de la UIPPE y Titular de la Unidad de Transparencia de la Secretaría de Finanzas, mediante el cual comunican que quedo registrada la incidencia en la bitácora de incidencias, toda vez que, se trata de subir aproximadamente 49,426 fojas, lo cual sobrepasa las capacidades técnicas del sistema Saimex. Asimismo refiere que el cúmulo de fojas referido así como lo expresado en su solicitud de cambio de modalidad es responsabilidad del Sujeto Obligado.</w:t>
      </w:r>
    </w:p>
    <w:p w:rsidR="00911573" w:rsidRPr="0052764F" w:rsidRDefault="00911573" w:rsidP="00CE4F60">
      <w:pPr>
        <w:rPr>
          <w:rFonts w:ascii="Palatino Linotype" w:eastAsia="MS Mincho" w:hAnsi="Palatino Linotype"/>
          <w:i/>
          <w:sz w:val="22"/>
          <w:szCs w:val="22"/>
        </w:rPr>
      </w:pPr>
    </w:p>
    <w:p w:rsidR="00911573" w:rsidRPr="0052764F" w:rsidRDefault="00911573" w:rsidP="00CE4F60">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52764F">
        <w:rPr>
          <w:rFonts w:ascii="Palatino Linotype" w:eastAsia="MS Mincho" w:hAnsi="Palatino Linotype" w:cs="Times New Roman"/>
        </w:rPr>
        <w:t>El Comisionado Ponente decretó el cierre de instrucción</w:t>
      </w:r>
      <w:r w:rsidRPr="0052764F">
        <w:rPr>
          <w:rFonts w:ascii="Palatino Linotype" w:eastAsia="MS Mincho" w:hAnsi="Palatino Linotype" w:cs="Arial"/>
        </w:rPr>
        <w:t xml:space="preserve"> </w:t>
      </w:r>
      <w:r w:rsidRPr="0052764F">
        <w:rPr>
          <w:rFonts w:ascii="Palatino Linotype" w:eastAsia="MS Mincho" w:hAnsi="Palatino Linotype" w:cs="Times New Roman"/>
        </w:rPr>
        <w:t xml:space="preserve">mediante los acuerdos de fecha </w:t>
      </w:r>
      <w:r w:rsidR="00CE4F60" w:rsidRPr="0052764F">
        <w:rPr>
          <w:rFonts w:ascii="Palatino Linotype" w:eastAsia="MS Mincho" w:hAnsi="Palatino Linotype" w:cs="Times New Roman"/>
        </w:rPr>
        <w:t>tres (3</w:t>
      </w:r>
      <w:r w:rsidR="004908FD" w:rsidRPr="0052764F">
        <w:rPr>
          <w:rFonts w:ascii="Palatino Linotype" w:eastAsia="MS Mincho" w:hAnsi="Palatino Linotype" w:cs="Times New Roman"/>
        </w:rPr>
        <w:t xml:space="preserve">) de diciembre </w:t>
      </w:r>
      <w:r w:rsidRPr="0052764F">
        <w:rPr>
          <w:rFonts w:ascii="Palatino Linotype" w:eastAsia="MS Mincho" w:hAnsi="Palatino Linotype" w:cs="Times New Roman"/>
          <w:b/>
        </w:rPr>
        <w:t xml:space="preserve"> de dos mil veinte</w:t>
      </w:r>
      <w:r w:rsidRPr="0052764F">
        <w:rPr>
          <w:rFonts w:ascii="Palatino Linotype" w:eastAsia="MS Mincho" w:hAnsi="Palatino Linotype" w:cs="Times New Roman"/>
        </w:rPr>
        <w:t xml:space="preserve">, </w:t>
      </w:r>
      <w:r w:rsidRPr="0052764F">
        <w:rPr>
          <w:rFonts w:ascii="Palatino Linotype" w:eastAsia="MS Mincho" w:hAnsi="Palatino Linotype" w:cs="Arial"/>
        </w:rPr>
        <w:t>por lo que ordenó turnar el expediente a resolución, misma que a continuación se pronuncia; y------------------------------------------------------------------------------------------------------------</w:t>
      </w:r>
      <w:r w:rsidR="00D77FDA" w:rsidRPr="0052764F">
        <w:rPr>
          <w:rFonts w:ascii="Palatino Linotype" w:eastAsia="MS Mincho" w:hAnsi="Palatino Linotype" w:cs="Arial"/>
        </w:rPr>
        <w:t>-------------------</w:t>
      </w:r>
    </w:p>
    <w:p w:rsidR="004C7A91" w:rsidRPr="0052764F" w:rsidRDefault="004C7A91" w:rsidP="004C7A91">
      <w:pPr>
        <w:spacing w:line="360" w:lineRule="auto"/>
        <w:jc w:val="both"/>
        <w:rPr>
          <w:rFonts w:ascii="Palatino Linotype" w:eastAsia="MS Mincho" w:hAnsi="Palatino Linotype"/>
          <w:i/>
          <w:sz w:val="22"/>
          <w:szCs w:val="22"/>
        </w:rPr>
      </w:pPr>
    </w:p>
    <w:p w:rsidR="004C7A91" w:rsidRPr="0052764F" w:rsidRDefault="004C7A91" w:rsidP="004C7A91">
      <w:pPr>
        <w:spacing w:line="360" w:lineRule="auto"/>
        <w:jc w:val="both"/>
        <w:rPr>
          <w:rFonts w:ascii="Palatino Linotype" w:eastAsia="MS Mincho" w:hAnsi="Palatino Linotype"/>
          <w:i/>
          <w:sz w:val="22"/>
          <w:szCs w:val="22"/>
        </w:rPr>
      </w:pPr>
    </w:p>
    <w:p w:rsidR="004C7A91" w:rsidRPr="0052764F" w:rsidRDefault="004C7A91" w:rsidP="004C7A91">
      <w:pPr>
        <w:spacing w:line="360" w:lineRule="auto"/>
        <w:jc w:val="both"/>
        <w:rPr>
          <w:rFonts w:ascii="Palatino Linotype" w:eastAsia="MS Mincho" w:hAnsi="Palatino Linotype"/>
          <w:i/>
          <w:sz w:val="22"/>
          <w:szCs w:val="22"/>
        </w:rPr>
      </w:pPr>
    </w:p>
    <w:p w:rsidR="004C7A91" w:rsidRPr="0052764F" w:rsidRDefault="004C7A91" w:rsidP="004C7A91">
      <w:pPr>
        <w:spacing w:line="360" w:lineRule="auto"/>
        <w:jc w:val="both"/>
        <w:rPr>
          <w:rFonts w:ascii="Palatino Linotype" w:eastAsia="MS Mincho" w:hAnsi="Palatino Linotype"/>
          <w:i/>
          <w:sz w:val="22"/>
          <w:szCs w:val="22"/>
        </w:rPr>
      </w:pPr>
    </w:p>
    <w:p w:rsidR="00911573" w:rsidRPr="0052764F" w:rsidRDefault="00911573" w:rsidP="00CE4F60">
      <w:pPr>
        <w:pStyle w:val="Ttulo1"/>
        <w:spacing w:before="0" w:line="360" w:lineRule="auto"/>
        <w:jc w:val="center"/>
        <w:rPr>
          <w:szCs w:val="24"/>
        </w:rPr>
      </w:pPr>
      <w:bookmarkStart w:id="74" w:name="_Toc57902966"/>
      <w:r w:rsidRPr="0052764F">
        <w:rPr>
          <w:szCs w:val="24"/>
        </w:rPr>
        <w:lastRenderedPageBreak/>
        <w:t>CONSIDERANDO</w:t>
      </w:r>
      <w:bookmarkEnd w:id="74"/>
    </w:p>
    <w:p w:rsidR="00911573" w:rsidRPr="0052764F" w:rsidRDefault="00911573" w:rsidP="00CE4F60">
      <w:pPr>
        <w:spacing w:line="360" w:lineRule="auto"/>
        <w:rPr>
          <w:rFonts w:ascii="Palatino Linotype" w:hAnsi="Palatino Linotype"/>
          <w:lang w:eastAsia="en-US"/>
        </w:rPr>
      </w:pPr>
    </w:p>
    <w:p w:rsidR="00911573" w:rsidRPr="0052764F" w:rsidRDefault="00911573" w:rsidP="00CE4F60">
      <w:pPr>
        <w:pStyle w:val="Ttulo2"/>
        <w:spacing w:before="0" w:line="360" w:lineRule="auto"/>
        <w:rPr>
          <w:rFonts w:ascii="Palatino Linotype" w:hAnsi="Palatino Linotype"/>
          <w:b/>
          <w:color w:val="auto"/>
          <w:sz w:val="24"/>
          <w:szCs w:val="24"/>
        </w:rPr>
      </w:pPr>
      <w:bookmarkStart w:id="75" w:name="_Toc57902967"/>
      <w:r w:rsidRPr="0052764F">
        <w:rPr>
          <w:rFonts w:ascii="Palatino Linotype" w:hAnsi="Palatino Linotype"/>
          <w:b/>
          <w:color w:val="auto"/>
          <w:sz w:val="24"/>
          <w:szCs w:val="24"/>
        </w:rPr>
        <w:t>PRIMERO. De la competencia</w:t>
      </w:r>
      <w:bookmarkEnd w:id="75"/>
    </w:p>
    <w:p w:rsidR="00911573" w:rsidRPr="0052764F" w:rsidRDefault="00911573" w:rsidP="00CE4F60">
      <w:pPr>
        <w:spacing w:line="360" w:lineRule="auto"/>
        <w:rPr>
          <w:rFonts w:ascii="Palatino Linotype" w:hAnsi="Palatino Linotype"/>
          <w:lang w:eastAsia="en-US"/>
        </w:rPr>
      </w:pPr>
    </w:p>
    <w:p w:rsidR="00911573" w:rsidRPr="0052764F" w:rsidRDefault="00911573" w:rsidP="00CE4F60">
      <w:pPr>
        <w:pStyle w:val="Prrafodelista"/>
        <w:numPr>
          <w:ilvl w:val="0"/>
          <w:numId w:val="1"/>
        </w:numPr>
        <w:tabs>
          <w:tab w:val="left" w:pos="0"/>
        </w:tabs>
        <w:spacing w:line="360" w:lineRule="auto"/>
        <w:ind w:left="0" w:firstLine="0"/>
        <w:jc w:val="both"/>
        <w:rPr>
          <w:rFonts w:ascii="Palatino Linotype" w:hAnsi="Palatino Linotype"/>
        </w:rPr>
      </w:pPr>
      <w:r w:rsidRPr="0052764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2764F">
        <w:rPr>
          <w:rFonts w:ascii="Palatino Linotype" w:eastAsia="Calibri" w:hAnsi="Palatino Linotype" w:cs="Times New Roman"/>
          <w:b/>
          <w:lang w:val="es-ES"/>
        </w:rPr>
        <w:t>Constitución Política de los Estados Unidos Mexicanos</w:t>
      </w:r>
      <w:r w:rsidRPr="0052764F">
        <w:rPr>
          <w:rFonts w:ascii="Palatino Linotype" w:eastAsia="Calibri" w:hAnsi="Palatino Linotype" w:cs="Times New Roman"/>
          <w:lang w:val="es-ES"/>
        </w:rPr>
        <w:t xml:space="preserve">; 5, párrafos </w:t>
      </w:r>
      <w:r w:rsidRPr="0052764F">
        <w:rPr>
          <w:rFonts w:ascii="Palatino Linotype" w:hAnsi="Palatino Linotype" w:cs="Arial"/>
          <w:bCs/>
          <w:color w:val="222222"/>
          <w:lang w:val="es-ES"/>
        </w:rPr>
        <w:t xml:space="preserve">vigésimo segundo, vigésimo tercero y vigésimo cuarto </w:t>
      </w:r>
      <w:r w:rsidRPr="0052764F">
        <w:rPr>
          <w:rFonts w:ascii="Palatino Linotype" w:eastAsia="Calibri" w:hAnsi="Palatino Linotype" w:cs="Times New Roman"/>
          <w:lang w:val="es-ES"/>
        </w:rPr>
        <w:t xml:space="preserve">fracciones IV y V de la </w:t>
      </w:r>
      <w:r w:rsidRPr="0052764F">
        <w:rPr>
          <w:rFonts w:ascii="Palatino Linotype" w:eastAsia="Calibri" w:hAnsi="Palatino Linotype" w:cs="Times New Roman"/>
          <w:b/>
          <w:lang w:val="es-ES"/>
        </w:rPr>
        <w:t>Constitución Política del Estado Libre y Soberano de México</w:t>
      </w:r>
      <w:r w:rsidRPr="0052764F">
        <w:rPr>
          <w:rFonts w:ascii="Palatino Linotype" w:eastAsia="Calibri" w:hAnsi="Palatino Linotype" w:cs="Times New Roman"/>
          <w:lang w:val="es-ES"/>
        </w:rPr>
        <w:t xml:space="preserve">; artículos 1, 2 fracción II, 13, 29, 36 fracciones I y II, 176, 178, 179, 181 párrafo tercero y 185 </w:t>
      </w:r>
      <w:r w:rsidRPr="0052764F">
        <w:rPr>
          <w:rFonts w:ascii="Palatino Linotype" w:eastAsia="Calibri" w:hAnsi="Palatino Linotype" w:cs="Arial"/>
          <w:lang w:val="es-ES"/>
        </w:rPr>
        <w:t xml:space="preserve">de la </w:t>
      </w:r>
      <w:r w:rsidRPr="0052764F">
        <w:rPr>
          <w:rFonts w:ascii="Palatino Linotype" w:eastAsia="Calibri" w:hAnsi="Palatino Linotype" w:cs="Arial"/>
          <w:b/>
          <w:lang w:val="es-ES"/>
        </w:rPr>
        <w:t>Ley de Transparencia y Acceso a la Información Pública del Estado de México y Municipios</w:t>
      </w:r>
      <w:r w:rsidRPr="0052764F">
        <w:rPr>
          <w:rFonts w:ascii="Palatino Linotype" w:eastAsia="Calibri" w:hAnsi="Palatino Linotype" w:cs="Arial"/>
          <w:lang w:val="es-ES"/>
        </w:rPr>
        <w:t xml:space="preserve">; y 7, 9 fracciones I y XXIV, y 11 del </w:t>
      </w:r>
      <w:r w:rsidRPr="0052764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2764F">
        <w:rPr>
          <w:rFonts w:ascii="Palatino Linotype" w:hAnsi="Palatino Linotype"/>
        </w:rPr>
        <w:t>.</w:t>
      </w:r>
    </w:p>
    <w:p w:rsidR="00911573" w:rsidRPr="0052764F" w:rsidRDefault="00911573" w:rsidP="00CE4F60">
      <w:pPr>
        <w:pStyle w:val="Prrafodelista"/>
        <w:tabs>
          <w:tab w:val="left" w:pos="0"/>
        </w:tabs>
        <w:spacing w:line="360" w:lineRule="auto"/>
        <w:ind w:left="0"/>
        <w:jc w:val="both"/>
        <w:rPr>
          <w:rFonts w:ascii="Palatino Linotype" w:hAnsi="Palatino Linotype"/>
        </w:rPr>
      </w:pPr>
    </w:p>
    <w:p w:rsidR="00911573" w:rsidRPr="0052764F" w:rsidRDefault="00911573" w:rsidP="00CE4F60">
      <w:pPr>
        <w:pStyle w:val="Ttulo2"/>
        <w:spacing w:before="0" w:line="360" w:lineRule="auto"/>
        <w:rPr>
          <w:rFonts w:ascii="Palatino Linotype" w:hAnsi="Palatino Linotype"/>
          <w:b/>
          <w:color w:val="auto"/>
          <w:sz w:val="24"/>
          <w:szCs w:val="24"/>
        </w:rPr>
      </w:pPr>
      <w:bookmarkStart w:id="76" w:name="_Toc57902968"/>
      <w:r w:rsidRPr="0052764F">
        <w:rPr>
          <w:rFonts w:ascii="Palatino Linotype" w:hAnsi="Palatino Linotype"/>
          <w:b/>
          <w:color w:val="auto"/>
          <w:sz w:val="24"/>
          <w:szCs w:val="24"/>
        </w:rPr>
        <w:t>SEGUNDO. De la oportunidad y procedencia.</w:t>
      </w:r>
      <w:bookmarkEnd w:id="76"/>
    </w:p>
    <w:p w:rsidR="00911573" w:rsidRPr="0052764F" w:rsidRDefault="00911573" w:rsidP="00CE4F60">
      <w:pPr>
        <w:spacing w:line="360" w:lineRule="auto"/>
        <w:rPr>
          <w:rFonts w:ascii="Palatino Linotype" w:hAnsi="Palatino Linotype"/>
          <w:lang w:eastAsia="en-US"/>
        </w:rPr>
      </w:pPr>
    </w:p>
    <w:p w:rsidR="00911573" w:rsidRPr="0052764F" w:rsidRDefault="00911573" w:rsidP="00CE4F60">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52764F">
        <w:rPr>
          <w:rFonts w:ascii="Palatino Linotype" w:eastAsia="Calibri" w:hAnsi="Palatino Linotype" w:cs="Arial"/>
        </w:rPr>
        <w:t>El medio de impugnación fue presentado a través del Sistema de Acceso a la Información Mexiquense (SAIMEX)</w:t>
      </w:r>
      <w:r w:rsidRPr="0052764F">
        <w:rPr>
          <w:rFonts w:ascii="Palatino Linotype" w:eastAsia="Calibri" w:hAnsi="Palatino Linotype" w:cs="Arial"/>
          <w:b/>
        </w:rPr>
        <w:t>,</w:t>
      </w:r>
      <w:r w:rsidRPr="0052764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52764F">
        <w:rPr>
          <w:rFonts w:ascii="Palatino Linotype" w:eastAsia="Calibri" w:hAnsi="Palatino Linotype" w:cs="Arial"/>
          <w:b/>
        </w:rPr>
        <w:t>SUJETO OBLIGADO</w:t>
      </w:r>
      <w:r w:rsidRPr="0052764F">
        <w:rPr>
          <w:rFonts w:ascii="Palatino Linotype" w:eastAsia="Calibri" w:hAnsi="Palatino Linotype" w:cs="Arial"/>
        </w:rPr>
        <w:t xml:space="preserve"> entregó  respuestas el </w:t>
      </w:r>
      <w:r w:rsidR="00D77FDA" w:rsidRPr="0052764F">
        <w:rPr>
          <w:rFonts w:ascii="Palatino Linotype" w:eastAsia="Calibri" w:hAnsi="Palatino Linotype" w:cs="Arial"/>
        </w:rPr>
        <w:t>veinte (20) de octubre</w:t>
      </w:r>
      <w:r w:rsidRPr="0052764F">
        <w:rPr>
          <w:rFonts w:ascii="Palatino Linotype" w:eastAsia="Calibri" w:hAnsi="Palatino Linotype" w:cs="Arial"/>
          <w:lang w:val="es-AR"/>
        </w:rPr>
        <w:t xml:space="preserve"> de dos mil veinte</w:t>
      </w:r>
      <w:r w:rsidRPr="0052764F">
        <w:rPr>
          <w:rFonts w:ascii="Palatino Linotype" w:eastAsia="Calibri" w:hAnsi="Palatino Linotype" w:cs="Arial"/>
        </w:rPr>
        <w:t xml:space="preserve">, </w:t>
      </w:r>
      <w:r w:rsidRPr="0052764F">
        <w:rPr>
          <w:rFonts w:ascii="Palatino Linotype" w:hAnsi="Palatino Linotype" w:cs="Arial"/>
        </w:rPr>
        <w:t xml:space="preserve">de tal forma que el plazo para interponer el recurso de revisión transcurrió del día </w:t>
      </w:r>
      <w:r w:rsidR="00D77FDA" w:rsidRPr="0052764F">
        <w:rPr>
          <w:rFonts w:ascii="Palatino Linotype" w:eastAsia="Calibri" w:hAnsi="Palatino Linotype" w:cs="Arial"/>
        </w:rPr>
        <w:t xml:space="preserve">veintiuno (21) de octubre </w:t>
      </w:r>
      <w:r w:rsidRPr="0052764F">
        <w:rPr>
          <w:rFonts w:ascii="Palatino Linotype" w:eastAsia="Calibri" w:hAnsi="Palatino Linotype" w:cs="Arial"/>
        </w:rPr>
        <w:t xml:space="preserve">  de dos mil veinte</w:t>
      </w:r>
      <w:r w:rsidRPr="0052764F">
        <w:rPr>
          <w:rFonts w:ascii="Palatino Linotype" w:hAnsi="Palatino Linotype" w:cs="Arial"/>
        </w:rPr>
        <w:t xml:space="preserve"> </w:t>
      </w:r>
      <w:r w:rsidRPr="0052764F">
        <w:rPr>
          <w:rFonts w:ascii="Palatino Linotype" w:hAnsi="Palatino Linotype" w:cs="Arial"/>
        </w:rPr>
        <w:lastRenderedPageBreak/>
        <w:t xml:space="preserve">al </w:t>
      </w:r>
      <w:r w:rsidR="00D77FDA" w:rsidRPr="0052764F">
        <w:rPr>
          <w:rFonts w:ascii="Palatino Linotype" w:hAnsi="Palatino Linotype" w:cs="Arial"/>
        </w:rPr>
        <w:t xml:space="preserve">once (11) de noviembre </w:t>
      </w:r>
      <w:r w:rsidRPr="0052764F">
        <w:rPr>
          <w:rFonts w:ascii="Palatino Linotype" w:hAnsi="Palatino Linotype" w:cs="Arial"/>
        </w:rPr>
        <w:t xml:space="preserve"> de dos mil veinte; por lo que si presentó su inconformidad el día </w:t>
      </w:r>
      <w:r w:rsidR="00D77FDA" w:rsidRPr="0052764F">
        <w:rPr>
          <w:rFonts w:ascii="Palatino Linotype" w:eastAsia="Times New Roman" w:hAnsi="Palatino Linotype" w:cs="Arial"/>
          <w:color w:val="000000" w:themeColor="text1"/>
          <w:lang w:val="es-ES"/>
        </w:rPr>
        <w:t xml:space="preserve">veinte (20) de octubre </w:t>
      </w:r>
      <w:r w:rsidRPr="0052764F">
        <w:rPr>
          <w:rFonts w:ascii="Palatino Linotype" w:eastAsia="Times New Roman" w:hAnsi="Palatino Linotype" w:cs="Arial"/>
          <w:color w:val="000000" w:themeColor="text1"/>
          <w:lang w:val="es-ES"/>
        </w:rPr>
        <w:t xml:space="preserve"> de dos mil veinte</w:t>
      </w:r>
      <w:r w:rsidRPr="0052764F">
        <w:rPr>
          <w:rFonts w:ascii="Palatino Linotype" w:hAnsi="Palatino Linotype" w:cs="Arial"/>
        </w:rPr>
        <w:t xml:space="preserve">, </w:t>
      </w:r>
      <w:r w:rsidRPr="0052764F">
        <w:rPr>
          <w:rFonts w:ascii="Palatino Linotype" w:hAnsi="Palatino Linotype" w:cs="Arial"/>
          <w:color w:val="000000" w:themeColor="text1"/>
        </w:rPr>
        <w:t xml:space="preserve">éste se encuentra dentro de los márgenes temporales previstos en el artículo 178 de la </w:t>
      </w:r>
      <w:r w:rsidRPr="0052764F">
        <w:rPr>
          <w:rFonts w:ascii="Palatino Linotype" w:hAnsi="Palatino Linotype" w:cs="Arial"/>
          <w:b/>
          <w:color w:val="000000" w:themeColor="text1"/>
        </w:rPr>
        <w:t>Ley de Transparencia y Acceso a la Información Pública del Estado de México y Municipios.</w:t>
      </w:r>
    </w:p>
    <w:p w:rsidR="00911573" w:rsidRPr="0052764F" w:rsidRDefault="00911573" w:rsidP="00CE4F60">
      <w:pPr>
        <w:pStyle w:val="Prrafodelista"/>
        <w:spacing w:line="360" w:lineRule="auto"/>
        <w:ind w:left="0"/>
        <w:jc w:val="both"/>
        <w:rPr>
          <w:rFonts w:ascii="Palatino Linotype" w:eastAsia="Times New Roman" w:hAnsi="Palatino Linotype" w:cs="Arial"/>
          <w:color w:val="000000" w:themeColor="text1"/>
          <w:lang w:val="es-ES" w:eastAsia="es-MX"/>
        </w:rPr>
      </w:pPr>
    </w:p>
    <w:p w:rsidR="00D77FDA" w:rsidRPr="0052764F" w:rsidRDefault="00D77FDA" w:rsidP="00CE4F60">
      <w:pPr>
        <w:pStyle w:val="Prrafodelista"/>
        <w:numPr>
          <w:ilvl w:val="0"/>
          <w:numId w:val="1"/>
        </w:numPr>
        <w:spacing w:line="360" w:lineRule="auto"/>
        <w:ind w:left="0" w:right="49" w:firstLine="0"/>
        <w:jc w:val="both"/>
        <w:rPr>
          <w:rFonts w:ascii="Palatino Linotype" w:eastAsia="Times New Roman" w:hAnsi="Palatino Linotype" w:cs="Arial"/>
          <w:bCs/>
          <w:color w:val="555555"/>
          <w:lang w:val="es-MX" w:eastAsia="es-MX"/>
        </w:rPr>
      </w:pPr>
      <w:r w:rsidRPr="0052764F">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D77FDA" w:rsidRPr="0052764F" w:rsidRDefault="00D77FDA" w:rsidP="00CE4F60">
      <w:pPr>
        <w:pStyle w:val="Prrafodelista"/>
        <w:rPr>
          <w:rFonts w:ascii="Palatino Linotype" w:eastAsia="Times New Roman" w:hAnsi="Palatino Linotype" w:cs="Arial"/>
        </w:rPr>
      </w:pPr>
    </w:p>
    <w:p w:rsidR="00D77FDA" w:rsidRPr="0052764F" w:rsidRDefault="00D77FDA" w:rsidP="00CE4F60">
      <w:pPr>
        <w:pStyle w:val="Prrafodelista"/>
        <w:numPr>
          <w:ilvl w:val="0"/>
          <w:numId w:val="1"/>
        </w:numPr>
        <w:spacing w:line="360" w:lineRule="auto"/>
        <w:ind w:left="0" w:firstLine="0"/>
        <w:jc w:val="both"/>
        <w:rPr>
          <w:rFonts w:ascii="Palatino Linotype" w:eastAsia="Times New Roman" w:hAnsi="Palatino Linotype" w:cs="Arial"/>
        </w:rPr>
      </w:pPr>
      <w:r w:rsidRPr="0052764F">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CE4F60" w:rsidRPr="0052764F" w:rsidRDefault="00CE4F60" w:rsidP="00CE4F60">
      <w:pPr>
        <w:pStyle w:val="Prrafodelista"/>
        <w:spacing w:line="360" w:lineRule="auto"/>
        <w:ind w:left="0"/>
        <w:jc w:val="both"/>
        <w:rPr>
          <w:rFonts w:ascii="Palatino Linotype" w:eastAsia="Times New Roman" w:hAnsi="Palatino Linotype" w:cs="Arial"/>
        </w:rPr>
      </w:pP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t xml:space="preserve">RECURSO DE RECLAMACIÓN. SU INTERPOSICIÓN NO ES EXTEMPORÁNEA SI SE REALIZA ANTES DE QUE INICIE EL PLAZO PARA HACERLO. Conforme al artículo 104, párrafo segundo, de la Ley de </w:t>
      </w:r>
      <w:r w:rsidRPr="0052764F">
        <w:rPr>
          <w:rFonts w:ascii="Palatino Linotype" w:hAnsi="Palatino Linotype" w:cs="Arial"/>
          <w:i/>
          <w:sz w:val="22"/>
        </w:rPr>
        <w:lastRenderedPageBreak/>
        <w:t>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t xml:space="preserve"> 1a./J. 41/2015 (10a.) </w:t>
      </w: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D77FDA" w:rsidRPr="0052764F" w:rsidRDefault="00D77FDA" w:rsidP="00CE4F60">
      <w:pPr>
        <w:spacing w:line="360" w:lineRule="auto"/>
        <w:ind w:left="851" w:right="616"/>
        <w:contextualSpacing/>
        <w:jc w:val="both"/>
        <w:rPr>
          <w:rFonts w:ascii="Palatino Linotype" w:hAnsi="Palatino Linotype" w:cs="Arial"/>
          <w:i/>
          <w:sz w:val="22"/>
        </w:rPr>
      </w:pP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D77FDA" w:rsidRPr="0052764F" w:rsidRDefault="00D77FDA" w:rsidP="00CE4F60">
      <w:pPr>
        <w:spacing w:line="360" w:lineRule="auto"/>
        <w:ind w:left="851" w:right="616"/>
        <w:contextualSpacing/>
        <w:jc w:val="both"/>
        <w:rPr>
          <w:rFonts w:ascii="Palatino Linotype" w:hAnsi="Palatino Linotype" w:cs="Arial"/>
          <w:i/>
          <w:sz w:val="22"/>
        </w:rPr>
      </w:pP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D77FDA" w:rsidRPr="0052764F" w:rsidRDefault="00D77FDA" w:rsidP="00CE4F60">
      <w:pPr>
        <w:spacing w:line="360" w:lineRule="auto"/>
        <w:ind w:left="851" w:right="616"/>
        <w:contextualSpacing/>
        <w:jc w:val="both"/>
        <w:rPr>
          <w:rFonts w:ascii="Palatino Linotype" w:hAnsi="Palatino Linotype" w:cs="Arial"/>
          <w:i/>
          <w:sz w:val="22"/>
        </w:rPr>
      </w:pP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D77FDA" w:rsidRPr="0052764F" w:rsidRDefault="00D77FDA" w:rsidP="00CE4F60">
      <w:pPr>
        <w:spacing w:line="360" w:lineRule="auto"/>
        <w:ind w:left="851" w:right="616"/>
        <w:contextualSpacing/>
        <w:jc w:val="both"/>
        <w:rPr>
          <w:rFonts w:ascii="Palatino Linotype" w:hAnsi="Palatino Linotype" w:cs="Arial"/>
          <w:i/>
          <w:sz w:val="22"/>
        </w:rPr>
      </w:pP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D77FDA" w:rsidRPr="0052764F" w:rsidRDefault="00D77FDA" w:rsidP="00CE4F60">
      <w:pPr>
        <w:spacing w:line="360" w:lineRule="auto"/>
        <w:ind w:left="851" w:right="616"/>
        <w:contextualSpacing/>
        <w:jc w:val="both"/>
        <w:rPr>
          <w:rFonts w:ascii="Palatino Linotype" w:hAnsi="Palatino Linotype" w:cs="Arial"/>
          <w:i/>
          <w:sz w:val="22"/>
        </w:rPr>
      </w:pPr>
    </w:p>
    <w:p w:rsidR="00D77FDA" w:rsidRPr="0052764F" w:rsidRDefault="00D77FDA" w:rsidP="00CE4F60">
      <w:pPr>
        <w:spacing w:line="360" w:lineRule="auto"/>
        <w:ind w:left="851" w:right="616"/>
        <w:contextualSpacing/>
        <w:jc w:val="both"/>
        <w:rPr>
          <w:rFonts w:ascii="Palatino Linotype" w:hAnsi="Palatino Linotype" w:cs="Arial"/>
          <w:i/>
          <w:sz w:val="22"/>
        </w:rPr>
      </w:pPr>
      <w:r w:rsidRPr="0052764F">
        <w:rPr>
          <w:rFonts w:ascii="Palatino Linotype" w:hAnsi="Palatino Linotype" w:cs="Arial"/>
          <w:i/>
          <w:sz w:val="22"/>
        </w:rPr>
        <w:t>Tesis de jurisprudencia 41/2015 (10a.). Aprobada por la Primera Sala de este Alto Tribunal, en sesión privada de veintisiete de mayo de dos mil quince.</w:t>
      </w:r>
    </w:p>
    <w:p w:rsidR="00CE4F60" w:rsidRPr="0052764F" w:rsidRDefault="00CE4F60" w:rsidP="00CE4F60">
      <w:pPr>
        <w:spacing w:line="360" w:lineRule="auto"/>
        <w:ind w:left="851" w:right="616"/>
        <w:contextualSpacing/>
        <w:jc w:val="both"/>
        <w:rPr>
          <w:rFonts w:ascii="Palatino Linotype" w:hAnsi="Palatino Linotype"/>
          <w:i/>
          <w:sz w:val="22"/>
        </w:rPr>
      </w:pPr>
    </w:p>
    <w:p w:rsidR="00D77FDA" w:rsidRPr="0052764F" w:rsidRDefault="00D77FDA" w:rsidP="00CE4F60">
      <w:pPr>
        <w:pStyle w:val="Prrafodelista"/>
        <w:numPr>
          <w:ilvl w:val="0"/>
          <w:numId w:val="1"/>
        </w:numPr>
        <w:spacing w:line="360" w:lineRule="auto"/>
        <w:ind w:left="0" w:right="49" w:hanging="11"/>
        <w:jc w:val="both"/>
        <w:rPr>
          <w:rFonts w:ascii="Palatino Linotype" w:hAnsi="Palatino Linotype" w:cs="Arial"/>
          <w:i/>
          <w:sz w:val="22"/>
          <w:szCs w:val="20"/>
        </w:rPr>
      </w:pPr>
      <w:r w:rsidRPr="0052764F">
        <w:rPr>
          <w:rFonts w:ascii="Palatino Linotype" w:hAnsi="Palatino Linotype"/>
          <w:lang w:val="es-MX"/>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D77FDA" w:rsidRPr="0052764F" w:rsidRDefault="00D77FDA" w:rsidP="00CE4F60">
      <w:pPr>
        <w:pStyle w:val="Prrafodelista"/>
        <w:spacing w:line="360" w:lineRule="auto"/>
        <w:ind w:left="0" w:right="49"/>
        <w:jc w:val="both"/>
        <w:rPr>
          <w:rFonts w:ascii="Palatino Linotype" w:hAnsi="Palatino Linotype" w:cs="Arial"/>
          <w:i/>
          <w:sz w:val="22"/>
          <w:szCs w:val="20"/>
        </w:rPr>
      </w:pPr>
    </w:p>
    <w:p w:rsidR="00D77FDA" w:rsidRPr="0052764F" w:rsidRDefault="00D77FDA" w:rsidP="00CE4F60">
      <w:pPr>
        <w:pStyle w:val="Prrafodelista"/>
        <w:numPr>
          <w:ilvl w:val="0"/>
          <w:numId w:val="1"/>
        </w:numPr>
        <w:spacing w:line="360" w:lineRule="auto"/>
        <w:ind w:left="0" w:right="49" w:hanging="11"/>
        <w:jc w:val="both"/>
        <w:rPr>
          <w:rFonts w:ascii="Palatino Linotype" w:hAnsi="Palatino Linotype" w:cs="Arial"/>
          <w:i/>
          <w:sz w:val="22"/>
          <w:szCs w:val="20"/>
        </w:rPr>
      </w:pPr>
      <w:r w:rsidRPr="0052764F">
        <w:rPr>
          <w:rFonts w:ascii="Palatino Linotype" w:hAnsi="Palatino Linotype"/>
          <w:lang w:val="es-MX"/>
        </w:rPr>
        <w:t xml:space="preserve">Por lo que la presentación del recurso, el mismo día del conocimiento de la respuesta, se insiste no constituye un acto que altere el procedimiento, solo permite </w:t>
      </w:r>
      <w:r w:rsidRPr="0052764F">
        <w:rPr>
          <w:rFonts w:ascii="Palatino Linotype" w:hAnsi="Palatino Linotype"/>
          <w:lang w:val="es-MX"/>
        </w:rPr>
        <w:lastRenderedPageBreak/>
        <w:t>su gestión de manera rápida lo que no afecta ningún principio procesal y es protector del derecho de acceso a la justicia pronta y expedita.</w:t>
      </w:r>
    </w:p>
    <w:p w:rsidR="00D77FDA" w:rsidRPr="0052764F" w:rsidRDefault="00D77FDA" w:rsidP="00CE4F60">
      <w:pPr>
        <w:pStyle w:val="Prrafodelista"/>
        <w:rPr>
          <w:rFonts w:ascii="Palatino Linotype" w:hAnsi="Palatino Linotype" w:cs="Arial"/>
          <w:i/>
          <w:sz w:val="22"/>
          <w:szCs w:val="20"/>
        </w:rPr>
      </w:pPr>
    </w:p>
    <w:p w:rsidR="00D77FDA" w:rsidRPr="0052764F" w:rsidRDefault="00D77FDA" w:rsidP="00CE4F60">
      <w:pPr>
        <w:pStyle w:val="Prrafodelista"/>
        <w:numPr>
          <w:ilvl w:val="0"/>
          <w:numId w:val="1"/>
        </w:numPr>
        <w:spacing w:line="360" w:lineRule="auto"/>
        <w:ind w:left="0" w:right="49" w:hanging="11"/>
        <w:jc w:val="both"/>
        <w:rPr>
          <w:rFonts w:ascii="Palatino Linotype" w:hAnsi="Palatino Linotype" w:cs="Arial"/>
          <w:i/>
          <w:sz w:val="22"/>
          <w:szCs w:val="20"/>
        </w:rPr>
      </w:pPr>
      <w:r w:rsidRPr="0052764F">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52764F">
        <w:rPr>
          <w:rFonts w:ascii="Palatino Linotype" w:hAnsi="Palatino Linotype"/>
          <w:b/>
          <w:lang w:val="es-MX"/>
        </w:rPr>
        <w:t>SUJETO OBLIGADO</w:t>
      </w:r>
      <w:r w:rsidRPr="0052764F">
        <w:rPr>
          <w:rFonts w:ascii="Palatino Linotype" w:hAnsi="Palatino Linotype"/>
          <w:lang w:val="es-MX"/>
        </w:rPr>
        <w:t>.</w:t>
      </w:r>
    </w:p>
    <w:p w:rsidR="00D77FDA" w:rsidRPr="0052764F" w:rsidRDefault="00D77FDA" w:rsidP="00CE4F60">
      <w:pPr>
        <w:pStyle w:val="Prrafodelista"/>
        <w:rPr>
          <w:rFonts w:ascii="Palatino Linotype" w:eastAsia="Calibri" w:hAnsi="Palatino Linotype" w:cs="Arial"/>
          <w:color w:val="000000" w:themeColor="text1"/>
        </w:rPr>
      </w:pPr>
    </w:p>
    <w:p w:rsidR="00D77FDA" w:rsidRPr="0052764F" w:rsidRDefault="00D77FDA" w:rsidP="00CE4F60">
      <w:pPr>
        <w:pStyle w:val="Prrafodelista"/>
        <w:numPr>
          <w:ilvl w:val="0"/>
          <w:numId w:val="1"/>
        </w:numPr>
        <w:spacing w:line="360" w:lineRule="auto"/>
        <w:ind w:left="0" w:firstLine="0"/>
        <w:jc w:val="both"/>
        <w:rPr>
          <w:rFonts w:ascii="Palatino Linotype" w:eastAsia="Calibri" w:hAnsi="Palatino Linotype" w:cs="Arial"/>
        </w:rPr>
      </w:pPr>
      <w:r w:rsidRPr="0052764F">
        <w:rPr>
          <w:rFonts w:ascii="Palatino Linotype" w:eastAsia="Calibri" w:hAnsi="Palatino Linotype" w:cs="Arial"/>
        </w:rPr>
        <w:t xml:space="preserve">Por otra parte, de la revisión al expediente electrónico del </w:t>
      </w:r>
      <w:r w:rsidRPr="0052764F">
        <w:rPr>
          <w:rFonts w:ascii="Palatino Linotype" w:eastAsia="Calibri" w:hAnsi="Palatino Linotype" w:cs="Arial"/>
          <w:b/>
        </w:rPr>
        <w:t>SAIMEX</w:t>
      </w:r>
      <w:r w:rsidRPr="0052764F">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77FDA" w:rsidRPr="0052764F" w:rsidRDefault="00D77FDA" w:rsidP="00CE4F60">
      <w:pPr>
        <w:pStyle w:val="Prrafodelista"/>
        <w:ind w:left="0"/>
        <w:rPr>
          <w:rFonts w:ascii="Palatino Linotype" w:eastAsia="Calibri" w:hAnsi="Palatino Linotype" w:cs="Arial"/>
        </w:rPr>
      </w:pPr>
    </w:p>
    <w:p w:rsidR="00D77FDA" w:rsidRPr="0052764F" w:rsidRDefault="00D77FDA" w:rsidP="00CE4F6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2764F">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52764F">
        <w:rPr>
          <w:rFonts w:ascii="Palatino Linotype" w:eastAsia="Calibri" w:hAnsi="Palatino Linotype" w:cs="Arial"/>
          <w:bCs/>
          <w:lang w:val="es-ES" w:eastAsia="es-ES"/>
        </w:rPr>
        <w:t>5, párrafos vigésimo, vigésimo primero y vigésimo segúndo fracciones IV y V </w:t>
      </w:r>
      <w:r w:rsidRPr="0052764F">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52764F">
        <w:rPr>
          <w:rFonts w:ascii="Palatino Linotype" w:eastAsia="Calibri" w:hAnsi="Palatino Linotype" w:cs="Arial"/>
          <w:lang w:val="es-ES_tradnl" w:eastAsia="es-ES"/>
        </w:rPr>
        <w:lastRenderedPageBreak/>
        <w:t>procedimientos de revisión expeditos que se sustanciarán ante los organismos autónomos especializados e imparciales que establece la Constitución Federal y local.</w:t>
      </w:r>
    </w:p>
    <w:p w:rsidR="00D77FDA" w:rsidRPr="0052764F" w:rsidRDefault="00D77FDA" w:rsidP="00CE4F60">
      <w:pPr>
        <w:pStyle w:val="Prrafodelista"/>
        <w:ind w:left="0"/>
        <w:rPr>
          <w:rFonts w:ascii="Palatino Linotype" w:eastAsia="Calibri" w:hAnsi="Palatino Linotype" w:cs="Arial"/>
        </w:rPr>
      </w:pPr>
    </w:p>
    <w:p w:rsidR="00D77FDA" w:rsidRPr="0052764F" w:rsidRDefault="00D77FDA" w:rsidP="00CE4F6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2764F">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77FDA" w:rsidRPr="0052764F" w:rsidRDefault="00D77FDA" w:rsidP="00CE4F60">
      <w:pPr>
        <w:pStyle w:val="Prrafodelista"/>
        <w:ind w:left="0"/>
        <w:rPr>
          <w:rFonts w:ascii="Palatino Linotype" w:eastAsia="Calibri" w:hAnsi="Palatino Linotype" w:cs="Arial"/>
        </w:rPr>
      </w:pPr>
    </w:p>
    <w:p w:rsidR="00D77FDA" w:rsidRPr="0052764F" w:rsidRDefault="00D77FDA" w:rsidP="00CE4F6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2764F">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77FDA" w:rsidRPr="0052764F" w:rsidRDefault="00D77FDA" w:rsidP="00CE4F60">
      <w:pPr>
        <w:pStyle w:val="Prrafodelista"/>
        <w:ind w:left="0"/>
        <w:rPr>
          <w:rFonts w:ascii="Palatino Linotype" w:eastAsia="Calibri" w:hAnsi="Palatino Linotype" w:cs="Arial"/>
        </w:rPr>
      </w:pPr>
    </w:p>
    <w:p w:rsidR="00D77FDA" w:rsidRPr="0052764F" w:rsidRDefault="00D77FDA" w:rsidP="00CE4F6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2764F">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D77FDA" w:rsidRPr="0052764F" w:rsidRDefault="00D77FDA" w:rsidP="00CE4F60">
      <w:pPr>
        <w:pStyle w:val="Prrafodelista"/>
        <w:spacing w:line="360" w:lineRule="auto"/>
        <w:ind w:left="0"/>
        <w:jc w:val="both"/>
        <w:rPr>
          <w:rFonts w:ascii="Palatino Linotype" w:eastAsia="Times New Roman" w:hAnsi="Palatino Linotype" w:cs="Arial"/>
          <w:color w:val="000000" w:themeColor="text1"/>
          <w:lang w:val="es-ES" w:eastAsia="es-MX"/>
        </w:rPr>
      </w:pPr>
    </w:p>
    <w:p w:rsidR="00911573" w:rsidRPr="0052764F" w:rsidRDefault="00911573" w:rsidP="00CE4F60">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52764F">
        <w:rPr>
          <w:rFonts w:ascii="Palatino Linotype" w:eastAsia="Calibri" w:hAnsi="Palatino Linotype" w:cs="Arial"/>
          <w:color w:val="000000" w:themeColor="text1"/>
        </w:rPr>
        <w:lastRenderedPageBreak/>
        <w:t xml:space="preserve">Por otro lado, el escrito contiene las formalidades previstas por el artículo 180 último párrafo de la </w:t>
      </w:r>
      <w:r w:rsidRPr="0052764F">
        <w:rPr>
          <w:rFonts w:ascii="Palatino Linotype" w:hAnsi="Palatino Linotype" w:cs="Arial"/>
          <w:b/>
          <w:color w:val="000000" w:themeColor="text1"/>
        </w:rPr>
        <w:t>Ley de Transparencia y Acceso a la Información Pública del Estado de México y Municipios</w:t>
      </w:r>
      <w:r w:rsidRPr="0052764F">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rsidR="00911573" w:rsidRPr="0052764F" w:rsidRDefault="00911573" w:rsidP="00CE4F60">
      <w:pPr>
        <w:pStyle w:val="Prrafodelista"/>
        <w:tabs>
          <w:tab w:val="left" w:pos="0"/>
        </w:tabs>
        <w:spacing w:line="360" w:lineRule="auto"/>
        <w:ind w:left="0" w:right="49"/>
        <w:jc w:val="both"/>
        <w:rPr>
          <w:rFonts w:ascii="Palatino Linotype" w:hAnsi="Palatino Linotype"/>
          <w:b/>
          <w:color w:val="000000" w:themeColor="text1"/>
        </w:rPr>
      </w:pPr>
    </w:p>
    <w:p w:rsidR="00CE4F60" w:rsidRPr="0052764F" w:rsidRDefault="00CE4F60" w:rsidP="00CE4F60">
      <w:pPr>
        <w:pStyle w:val="Prrafodelista"/>
        <w:tabs>
          <w:tab w:val="left" w:pos="0"/>
        </w:tabs>
        <w:spacing w:line="360" w:lineRule="auto"/>
        <w:ind w:left="0" w:right="49"/>
        <w:jc w:val="both"/>
        <w:rPr>
          <w:rFonts w:ascii="Palatino Linotype" w:hAnsi="Palatino Linotype"/>
          <w:b/>
          <w:color w:val="000000" w:themeColor="text1"/>
        </w:rPr>
      </w:pPr>
    </w:p>
    <w:p w:rsidR="00911573" w:rsidRPr="0052764F" w:rsidRDefault="00911573" w:rsidP="00CE4F60">
      <w:pPr>
        <w:pStyle w:val="Ttulo2"/>
        <w:spacing w:before="0"/>
        <w:rPr>
          <w:rFonts w:ascii="Palatino Linotype" w:hAnsi="Palatino Linotype"/>
          <w:b/>
          <w:color w:val="auto"/>
          <w:sz w:val="24"/>
          <w:szCs w:val="24"/>
        </w:rPr>
      </w:pPr>
      <w:bookmarkStart w:id="77" w:name="_Toc57902969"/>
      <w:r w:rsidRPr="0052764F">
        <w:rPr>
          <w:rFonts w:ascii="Palatino Linotype" w:hAnsi="Palatino Linotype"/>
          <w:b/>
          <w:color w:val="auto"/>
          <w:sz w:val="24"/>
          <w:szCs w:val="24"/>
        </w:rPr>
        <w:t>TERCERO. Del Planteamiento de la Litis</w:t>
      </w:r>
      <w:bookmarkEnd w:id="77"/>
    </w:p>
    <w:p w:rsidR="00911573" w:rsidRPr="0052764F" w:rsidRDefault="00911573" w:rsidP="00CE4F60">
      <w:pPr>
        <w:rPr>
          <w:lang w:eastAsia="en-US"/>
        </w:rPr>
      </w:pPr>
    </w:p>
    <w:p w:rsidR="00911573" w:rsidRPr="0052764F" w:rsidRDefault="00911573" w:rsidP="00CE4F60">
      <w:pPr>
        <w:ind w:right="142"/>
        <w:rPr>
          <w:lang w:eastAsia="en-US"/>
        </w:rPr>
      </w:pPr>
    </w:p>
    <w:p w:rsidR="00AB1BE3" w:rsidRPr="0052764F" w:rsidRDefault="00911573" w:rsidP="00CE4F60">
      <w:pPr>
        <w:pStyle w:val="Prrafodelista"/>
        <w:numPr>
          <w:ilvl w:val="0"/>
          <w:numId w:val="1"/>
        </w:numPr>
        <w:spacing w:line="360" w:lineRule="auto"/>
        <w:ind w:left="0" w:right="142" w:firstLine="0"/>
        <w:jc w:val="both"/>
        <w:rPr>
          <w:rFonts w:ascii="Palatino Linotype" w:eastAsia="MS Gothic" w:hAnsi="Palatino Linotype" w:cs="Times New Roman"/>
        </w:rPr>
      </w:pPr>
      <w:r w:rsidRPr="0052764F">
        <w:rPr>
          <w:rFonts w:ascii="Palatino Linotype" w:eastAsia="MS Gothic" w:hAnsi="Palatino Linotype" w:cs="Times New Roman"/>
        </w:rPr>
        <w:t>Como se menciona en los antecedentes de este documento, el particular solicitó</w:t>
      </w:r>
      <w:r w:rsidR="00AB1BE3" w:rsidRPr="0052764F">
        <w:rPr>
          <w:rFonts w:ascii="Palatino Linotype" w:eastAsia="MS Gothic" w:hAnsi="Palatino Linotype" w:cs="Times New Roman"/>
        </w:rPr>
        <w:t>:</w:t>
      </w:r>
    </w:p>
    <w:p w:rsidR="002E4D36" w:rsidRPr="0052764F" w:rsidRDefault="002E4D36" w:rsidP="00CE4F60">
      <w:pPr>
        <w:pStyle w:val="Prrafodelista"/>
        <w:spacing w:line="360" w:lineRule="auto"/>
        <w:ind w:left="0" w:right="142"/>
        <w:jc w:val="both"/>
        <w:rPr>
          <w:rFonts w:ascii="Palatino Linotype" w:eastAsia="MS Gothic" w:hAnsi="Palatino Linotype" w:cs="Times New Roman"/>
        </w:rPr>
      </w:pPr>
    </w:p>
    <w:p w:rsidR="00AB1BE3" w:rsidRPr="0052764F" w:rsidRDefault="00874614" w:rsidP="00CE4F60">
      <w:pPr>
        <w:pStyle w:val="Prrafodelista"/>
        <w:numPr>
          <w:ilvl w:val="0"/>
          <w:numId w:val="8"/>
        </w:numPr>
        <w:spacing w:line="360" w:lineRule="auto"/>
        <w:ind w:right="142"/>
        <w:jc w:val="both"/>
        <w:rPr>
          <w:rFonts w:ascii="Palatino Linotype" w:eastAsia="MS Gothic" w:hAnsi="Palatino Linotype" w:cs="Times New Roman"/>
        </w:rPr>
      </w:pPr>
      <w:r w:rsidRPr="0052764F">
        <w:rPr>
          <w:rFonts w:ascii="Palatino Linotype" w:eastAsia="MS Gothic" w:hAnsi="Palatino Linotype" w:cs="Times New Roman"/>
        </w:rPr>
        <w:t xml:space="preserve">Nómina general de los servidores públicos de la Secretaría de finanzas </w:t>
      </w:r>
      <w:r w:rsidR="00AB1BE3" w:rsidRPr="0052764F">
        <w:rPr>
          <w:rFonts w:ascii="Palatino Linotype" w:eastAsia="MS Gothic" w:hAnsi="Palatino Linotype" w:cs="Times New Roman"/>
        </w:rPr>
        <w:t xml:space="preserve"> </w:t>
      </w:r>
      <w:r w:rsidRPr="0052764F">
        <w:rPr>
          <w:rFonts w:ascii="Palatino Linotype" w:eastAsia="MS Gothic" w:hAnsi="Palatino Linotype" w:cs="Times New Roman"/>
        </w:rPr>
        <w:t>(</w:t>
      </w:r>
      <w:r w:rsidR="00AB1BE3" w:rsidRPr="0052764F">
        <w:rPr>
          <w:rFonts w:ascii="Palatino Linotype" w:eastAsia="MS Gothic" w:hAnsi="Palatino Linotype" w:cs="Times New Roman"/>
        </w:rPr>
        <w:t>incluyendo personal contratado bajo la modalidad outsourcing, lista de raya, honorarios y de servicio social si perciben sueldo o bonificación</w:t>
      </w:r>
      <w:r w:rsidRPr="0052764F">
        <w:rPr>
          <w:rFonts w:ascii="Palatino Linotype" w:eastAsia="MS Gothic" w:hAnsi="Palatino Linotype" w:cs="Times New Roman"/>
        </w:rPr>
        <w:t>)</w:t>
      </w:r>
      <w:r w:rsidR="00AB1BE3" w:rsidRPr="0052764F">
        <w:rPr>
          <w:rFonts w:ascii="Palatino Linotype" w:eastAsia="MS Gothic" w:hAnsi="Palatino Linotype" w:cs="Times New Roman"/>
        </w:rPr>
        <w:t xml:space="preserve"> en formato Excel </w:t>
      </w:r>
      <w:r w:rsidR="00D7464D" w:rsidRPr="0052764F">
        <w:rPr>
          <w:rFonts w:ascii="Palatino Linotype" w:eastAsia="MS Gothic" w:hAnsi="Palatino Linotype" w:cs="Times New Roman"/>
        </w:rPr>
        <w:t xml:space="preserve">y </w:t>
      </w:r>
      <w:r w:rsidR="00AB1BE3" w:rsidRPr="0052764F">
        <w:rPr>
          <w:rFonts w:ascii="Palatino Linotype" w:eastAsia="MS Gothic" w:hAnsi="Palatino Linotype" w:cs="Times New Roman"/>
        </w:rPr>
        <w:t>correspondiente a la segunda qu</w:t>
      </w:r>
      <w:r w:rsidR="00D7464D" w:rsidRPr="0052764F">
        <w:rPr>
          <w:rFonts w:ascii="Palatino Linotype" w:eastAsia="MS Gothic" w:hAnsi="Palatino Linotype" w:cs="Times New Roman"/>
        </w:rPr>
        <w:t>incena del mes de marzo de 2020.</w:t>
      </w:r>
    </w:p>
    <w:p w:rsidR="00D7464D" w:rsidRPr="0052764F" w:rsidRDefault="00D7464D" w:rsidP="00CE4F60">
      <w:pPr>
        <w:pStyle w:val="Prrafodelista"/>
        <w:spacing w:line="360" w:lineRule="auto"/>
        <w:ind w:right="142"/>
        <w:jc w:val="both"/>
        <w:rPr>
          <w:rFonts w:ascii="Palatino Linotype" w:eastAsia="MS Gothic" w:hAnsi="Palatino Linotype" w:cs="Times New Roman"/>
        </w:rPr>
      </w:pPr>
    </w:p>
    <w:p w:rsidR="00AB1BE3" w:rsidRPr="0052764F" w:rsidRDefault="00386F18" w:rsidP="00CE4F60">
      <w:pPr>
        <w:pStyle w:val="Prrafodelista"/>
        <w:numPr>
          <w:ilvl w:val="0"/>
          <w:numId w:val="8"/>
        </w:numPr>
        <w:spacing w:line="360" w:lineRule="auto"/>
        <w:ind w:right="142"/>
        <w:jc w:val="both"/>
        <w:rPr>
          <w:rFonts w:ascii="Palatino Linotype" w:eastAsia="MS Gothic" w:hAnsi="Palatino Linotype" w:cs="Times New Roman"/>
        </w:rPr>
      </w:pPr>
      <w:r w:rsidRPr="0052764F">
        <w:rPr>
          <w:rFonts w:ascii="Palatino Linotype" w:eastAsia="MS Gothic" w:hAnsi="Palatino Linotype" w:cs="Times New Roman"/>
        </w:rPr>
        <w:t>S</w:t>
      </w:r>
      <w:r w:rsidR="00AB1BE3" w:rsidRPr="0052764F">
        <w:rPr>
          <w:rFonts w:ascii="Palatino Linotype" w:eastAsia="MS Gothic" w:hAnsi="Palatino Linotype" w:cs="Times New Roman"/>
        </w:rPr>
        <w:t>e de vista al OIC de que no enviaron la nómina general que solicitó en los motivos de inconformidad de recurso de revisión 00869/INFOEM/IP/RR/2020</w:t>
      </w:r>
      <w:r w:rsidR="002E4D36" w:rsidRPr="0052764F">
        <w:rPr>
          <w:rFonts w:ascii="Palatino Linotype" w:eastAsia="MS Gothic" w:hAnsi="Palatino Linotype" w:cs="Times New Roman"/>
        </w:rPr>
        <w:t>.</w:t>
      </w:r>
    </w:p>
    <w:p w:rsidR="00D7464D" w:rsidRPr="0052764F" w:rsidRDefault="00D7464D" w:rsidP="00CE4F60">
      <w:pPr>
        <w:spacing w:line="360" w:lineRule="auto"/>
        <w:ind w:right="142"/>
        <w:jc w:val="both"/>
        <w:rPr>
          <w:rFonts w:ascii="Palatino Linotype" w:eastAsia="MS Gothic" w:hAnsi="Palatino Linotype"/>
        </w:rPr>
      </w:pPr>
    </w:p>
    <w:p w:rsidR="002E4D36" w:rsidRPr="0052764F" w:rsidRDefault="002E4D36" w:rsidP="00CE4F60">
      <w:pPr>
        <w:pStyle w:val="Prrafodelista"/>
        <w:numPr>
          <w:ilvl w:val="0"/>
          <w:numId w:val="8"/>
        </w:numPr>
        <w:spacing w:line="360" w:lineRule="auto"/>
        <w:ind w:right="142"/>
        <w:jc w:val="both"/>
        <w:rPr>
          <w:rFonts w:ascii="Palatino Linotype" w:eastAsia="MS Gothic" w:hAnsi="Palatino Linotype" w:cs="Times New Roman"/>
        </w:rPr>
      </w:pPr>
      <w:r w:rsidRPr="0052764F">
        <w:rPr>
          <w:rFonts w:ascii="Palatino Linotype" w:eastAsia="MS Gothic" w:hAnsi="Palatino Linotype" w:cs="Times New Roman"/>
        </w:rPr>
        <w:t xml:space="preserve">Nómina en formato Excel de la Procuraduría Fiscal, Presidencia del Consejo Mexiquense, Subsecretaría de Administración, Dirección de Recursos </w:t>
      </w:r>
      <w:r w:rsidRPr="0052764F">
        <w:rPr>
          <w:rFonts w:ascii="Palatino Linotype" w:eastAsia="MS Gothic" w:hAnsi="Palatino Linotype" w:cs="Times New Roman"/>
        </w:rPr>
        <w:lastRenderedPageBreak/>
        <w:t>Materiales, Dirección de Eventos y Servicios Generales, Dirección General de Per</w:t>
      </w:r>
      <w:r w:rsidR="00874614" w:rsidRPr="0052764F">
        <w:rPr>
          <w:rFonts w:ascii="Palatino Linotype" w:eastAsia="MS Gothic" w:hAnsi="Palatino Linotype" w:cs="Times New Roman"/>
        </w:rPr>
        <w:t>sonal, Dirección de Innovación (</w:t>
      </w:r>
      <w:r w:rsidRPr="0052764F">
        <w:rPr>
          <w:rFonts w:ascii="Palatino Linotype" w:eastAsia="MS Gothic" w:hAnsi="Palatino Linotype" w:cs="Times New Roman"/>
        </w:rPr>
        <w:t>incluyendo personal de intendencia, mandos medios y superiores, direcciones, subdirecciones, personal de servicio social si perciben recursos públicos, personal contr</w:t>
      </w:r>
      <w:r w:rsidR="00874614" w:rsidRPr="0052764F">
        <w:rPr>
          <w:rFonts w:ascii="Palatino Linotype" w:eastAsia="MS Gothic" w:hAnsi="Palatino Linotype" w:cs="Times New Roman"/>
        </w:rPr>
        <w:t>atado por modalidad outsourcing).</w:t>
      </w:r>
    </w:p>
    <w:p w:rsidR="002E4D36" w:rsidRPr="0052764F" w:rsidRDefault="002E4D36" w:rsidP="00CE4F60">
      <w:pPr>
        <w:pStyle w:val="Prrafodelista"/>
        <w:spacing w:line="360" w:lineRule="auto"/>
        <w:ind w:right="142"/>
        <w:jc w:val="both"/>
        <w:rPr>
          <w:rFonts w:ascii="Palatino Linotype" w:eastAsia="MS Gothic" w:hAnsi="Palatino Linotype" w:cs="Times New Roman"/>
        </w:rPr>
      </w:pPr>
    </w:p>
    <w:p w:rsidR="002E4D36" w:rsidRPr="0052764F" w:rsidRDefault="00386F18" w:rsidP="00CE4F60">
      <w:pPr>
        <w:pStyle w:val="Prrafodelista"/>
        <w:numPr>
          <w:ilvl w:val="0"/>
          <w:numId w:val="8"/>
        </w:numPr>
        <w:spacing w:line="360" w:lineRule="auto"/>
        <w:ind w:right="142"/>
        <w:jc w:val="both"/>
        <w:rPr>
          <w:rFonts w:ascii="Palatino Linotype" w:eastAsia="MS Gothic" w:hAnsi="Palatino Linotype" w:cs="Times New Roman"/>
        </w:rPr>
      </w:pPr>
      <w:r w:rsidRPr="0052764F">
        <w:rPr>
          <w:rFonts w:ascii="Palatino Linotype" w:eastAsia="MS Gothic" w:hAnsi="Palatino Linotype" w:cs="Times New Roman"/>
        </w:rPr>
        <w:t>S</w:t>
      </w:r>
      <w:r w:rsidR="002E4D36" w:rsidRPr="0052764F">
        <w:rPr>
          <w:rFonts w:ascii="Palatino Linotype" w:eastAsia="MS Gothic" w:hAnsi="Palatino Linotype" w:cs="Times New Roman"/>
        </w:rPr>
        <w:t>e inicie una investigación por no tener completo y actualizado su portal de transparencia.</w:t>
      </w:r>
    </w:p>
    <w:p w:rsidR="002E4D36" w:rsidRPr="0052764F" w:rsidRDefault="002E4D36" w:rsidP="00CE4F60">
      <w:pPr>
        <w:pStyle w:val="Prrafodelista"/>
        <w:ind w:right="142"/>
        <w:rPr>
          <w:rFonts w:ascii="Palatino Linotype" w:eastAsia="MS Gothic" w:hAnsi="Palatino Linotype" w:cs="Times New Roman"/>
        </w:rPr>
      </w:pPr>
    </w:p>
    <w:p w:rsidR="002E4D36" w:rsidRPr="0052764F" w:rsidRDefault="00A4549E" w:rsidP="00CE4F60">
      <w:pPr>
        <w:pStyle w:val="Prrafodelista"/>
        <w:numPr>
          <w:ilvl w:val="0"/>
          <w:numId w:val="8"/>
        </w:numPr>
        <w:spacing w:line="360" w:lineRule="auto"/>
        <w:ind w:right="142"/>
        <w:jc w:val="both"/>
        <w:rPr>
          <w:rFonts w:ascii="Palatino Linotype" w:eastAsia="MS Gothic" w:hAnsi="Palatino Linotype" w:cs="Times New Roman"/>
        </w:rPr>
      </w:pPr>
      <w:r w:rsidRPr="0052764F">
        <w:rPr>
          <w:rFonts w:ascii="Palatino Linotype" w:eastAsia="MS Gothic" w:hAnsi="Palatino Linotype" w:cs="Times New Roman"/>
        </w:rPr>
        <w:t xml:space="preserve">Nómina general </w:t>
      </w:r>
      <w:r w:rsidR="00874614" w:rsidRPr="0052764F">
        <w:rPr>
          <w:rFonts w:ascii="Palatino Linotype" w:eastAsia="MS Gothic" w:hAnsi="Palatino Linotype" w:cs="Times New Roman"/>
        </w:rPr>
        <w:t xml:space="preserve">de los servidores </w:t>
      </w:r>
      <w:r w:rsidRPr="0052764F">
        <w:rPr>
          <w:rFonts w:ascii="Palatino Linotype" w:eastAsia="MS Gothic" w:hAnsi="Palatino Linotype" w:cs="Times New Roman"/>
        </w:rPr>
        <w:t>de la Secretaria de Finanzas en formato Excel</w:t>
      </w:r>
      <w:r w:rsidR="00874614" w:rsidRPr="0052764F">
        <w:rPr>
          <w:rFonts w:ascii="Palatino Linotype" w:eastAsia="MS Gothic" w:hAnsi="Palatino Linotype" w:cs="Times New Roman"/>
        </w:rPr>
        <w:t xml:space="preserve"> </w:t>
      </w:r>
      <w:r w:rsidRPr="0052764F">
        <w:rPr>
          <w:rFonts w:ascii="Palatino Linotype" w:eastAsia="MS Gothic" w:hAnsi="Palatino Linotype" w:cs="Times New Roman"/>
        </w:rPr>
        <w:t xml:space="preserve"> </w:t>
      </w:r>
      <w:r w:rsidR="00874614" w:rsidRPr="0052764F">
        <w:rPr>
          <w:rFonts w:ascii="Palatino Linotype" w:eastAsia="MS Gothic" w:hAnsi="Palatino Linotype" w:cs="Times New Roman"/>
        </w:rPr>
        <w:t>(</w:t>
      </w:r>
      <w:r w:rsidRPr="0052764F">
        <w:rPr>
          <w:rFonts w:ascii="Palatino Linotype" w:eastAsia="MS Gothic" w:hAnsi="Palatino Linotype" w:cs="Times New Roman"/>
        </w:rPr>
        <w:t>tanto de servidores públicos, como los contratados bajo la modalidad outsourcing, lista de raya y honorarios, trabajadores de intendencia y de servicio social se p</w:t>
      </w:r>
      <w:r w:rsidR="00874614" w:rsidRPr="0052764F">
        <w:rPr>
          <w:rFonts w:ascii="Palatino Linotype" w:eastAsia="MS Gothic" w:hAnsi="Palatino Linotype" w:cs="Times New Roman"/>
        </w:rPr>
        <w:t>erciben sueldo o bonificaciones)</w:t>
      </w:r>
      <w:r w:rsidRPr="0052764F">
        <w:rPr>
          <w:rFonts w:ascii="Palatino Linotype" w:eastAsia="MS Gothic" w:hAnsi="Palatino Linotype" w:cs="Times New Roman"/>
        </w:rPr>
        <w:t xml:space="preserve">  correspondiente a la segunda quincena del mes de marzo de 2020.</w:t>
      </w:r>
    </w:p>
    <w:p w:rsidR="00A4549E" w:rsidRPr="0052764F" w:rsidRDefault="00A4549E" w:rsidP="00CE4F60">
      <w:pPr>
        <w:spacing w:line="360" w:lineRule="auto"/>
        <w:ind w:right="142"/>
        <w:jc w:val="both"/>
        <w:rPr>
          <w:rFonts w:ascii="Palatino Linotype" w:eastAsia="MS Gothic" w:hAnsi="Palatino Linotype"/>
        </w:rPr>
      </w:pPr>
    </w:p>
    <w:p w:rsidR="00911573" w:rsidRPr="0052764F" w:rsidRDefault="00911573" w:rsidP="00CE4F60">
      <w:pPr>
        <w:pStyle w:val="Prrafodelista"/>
        <w:numPr>
          <w:ilvl w:val="0"/>
          <w:numId w:val="1"/>
        </w:numPr>
        <w:spacing w:line="360" w:lineRule="auto"/>
        <w:ind w:left="0" w:firstLine="0"/>
        <w:jc w:val="both"/>
        <w:rPr>
          <w:rFonts w:ascii="Palatino Linotype" w:eastAsia="MS Gothic" w:hAnsi="Palatino Linotype" w:cs="Times New Roman"/>
        </w:rPr>
      </w:pPr>
      <w:r w:rsidRPr="0052764F">
        <w:rPr>
          <w:rFonts w:ascii="Palatino Linotype" w:eastAsia="MS Gothic" w:hAnsi="Palatino Linotype" w:cs="Times New Roman"/>
        </w:rPr>
        <w:t>De las constancias que obran en el expediente de referencia,</w:t>
      </w:r>
      <w:r w:rsidR="00A4549E" w:rsidRPr="0052764F">
        <w:rPr>
          <w:rFonts w:ascii="Palatino Linotype" w:eastAsia="MS Gothic" w:hAnsi="Palatino Linotype" w:cs="Times New Roman"/>
        </w:rPr>
        <w:t xml:space="preserve"> el SUJETO OBLIGADO en respuesta solicita el cambio de modalidad de la entrega de información a in situ, motivo por el cual el particular se inconforma a través del recurso de revisión </w:t>
      </w:r>
      <w:r w:rsidR="00514FDB" w:rsidRPr="0052764F">
        <w:rPr>
          <w:rFonts w:ascii="Palatino Linotype" w:eastAsia="MS Gothic" w:hAnsi="Palatino Linotype" w:cs="Times New Roman"/>
        </w:rPr>
        <w:t>mediante el cual manifiesta que es inaceptable el cambio de modalidad, toda vez que restringen su derecho de acceso a la información, por lo que solicita se de vista al órgano de control interno.</w:t>
      </w:r>
    </w:p>
    <w:p w:rsidR="00911573" w:rsidRPr="0052764F" w:rsidRDefault="00911573" w:rsidP="00CE4F60">
      <w:pPr>
        <w:pStyle w:val="Prrafodelista"/>
        <w:spacing w:line="360" w:lineRule="auto"/>
        <w:ind w:left="0"/>
        <w:jc w:val="both"/>
        <w:rPr>
          <w:rFonts w:ascii="Palatino Linotype" w:eastAsia="MS Gothic" w:hAnsi="Palatino Linotype" w:cs="Times New Roman"/>
          <w:b/>
        </w:rPr>
      </w:pPr>
    </w:p>
    <w:p w:rsidR="00911573" w:rsidRPr="0052764F" w:rsidRDefault="00911573" w:rsidP="00CE4F60">
      <w:pPr>
        <w:pStyle w:val="Prrafodelista"/>
        <w:numPr>
          <w:ilvl w:val="0"/>
          <w:numId w:val="1"/>
        </w:numPr>
        <w:spacing w:line="360" w:lineRule="auto"/>
        <w:ind w:left="0" w:firstLine="0"/>
        <w:jc w:val="both"/>
        <w:rPr>
          <w:rFonts w:ascii="Palatino Linotype" w:eastAsia="MS Gothic" w:hAnsi="Palatino Linotype" w:cs="Times New Roman"/>
        </w:rPr>
      </w:pPr>
      <w:r w:rsidRPr="0052764F">
        <w:rPr>
          <w:rFonts w:ascii="Palatino Linotype" w:eastAsia="MS Gothic" w:hAnsi="Palatino Linotype" w:cs="Times New Roman"/>
        </w:rPr>
        <w:t xml:space="preserve">En consecuencia, la Litis del presente asunto corresponde en resolver si el SUJETO OBLIGADO atendió la solicitud con apego a los principios establecidos en </w:t>
      </w:r>
      <w:r w:rsidRPr="0052764F">
        <w:rPr>
          <w:rFonts w:ascii="Palatino Linotype" w:eastAsia="MS Gothic" w:hAnsi="Palatino Linotype" w:cs="Times New Roman"/>
        </w:rPr>
        <w:lastRenderedPageBreak/>
        <w:t>el artículo 11 de la Ley de Transparencia Local, si con la entrega de los docu</w:t>
      </w:r>
      <w:r w:rsidR="00514FDB" w:rsidRPr="0052764F">
        <w:rPr>
          <w:rFonts w:ascii="Palatino Linotype" w:eastAsia="MS Gothic" w:hAnsi="Palatino Linotype" w:cs="Times New Roman"/>
        </w:rPr>
        <w:t>mentos en respuesta se sujeta a un régimen limitado de restricciones</w:t>
      </w:r>
      <w:r w:rsidRPr="0052764F">
        <w:rPr>
          <w:rFonts w:ascii="Palatino Linotype" w:eastAsia="MS Gothic" w:hAnsi="Palatino Linotype" w:cs="Times New Roman"/>
        </w:rPr>
        <w:t>.</w:t>
      </w:r>
    </w:p>
    <w:p w:rsidR="00911573" w:rsidRPr="0052764F" w:rsidRDefault="00911573" w:rsidP="00CE4F60">
      <w:pPr>
        <w:pStyle w:val="Prrafodelista"/>
        <w:spacing w:line="360" w:lineRule="auto"/>
        <w:ind w:left="0"/>
        <w:jc w:val="both"/>
        <w:rPr>
          <w:rFonts w:ascii="Palatino Linotype" w:eastAsia="MS Gothic" w:hAnsi="Palatino Linotype" w:cs="Times New Roman"/>
        </w:rPr>
      </w:pPr>
    </w:p>
    <w:p w:rsidR="00911573" w:rsidRPr="0052764F" w:rsidRDefault="00911573" w:rsidP="00CE4F60">
      <w:pPr>
        <w:pStyle w:val="Prrafodelista"/>
        <w:numPr>
          <w:ilvl w:val="0"/>
          <w:numId w:val="1"/>
        </w:numPr>
        <w:spacing w:line="360" w:lineRule="auto"/>
        <w:ind w:left="0" w:firstLine="0"/>
        <w:jc w:val="both"/>
        <w:rPr>
          <w:rFonts w:ascii="Palatino Linotype" w:eastAsia="MS Gothic" w:hAnsi="Palatino Linotype" w:cs="Times New Roman"/>
        </w:rPr>
      </w:pPr>
      <w:r w:rsidRPr="0052764F">
        <w:rPr>
          <w:rFonts w:ascii="Palatino Linotype" w:eastAsia="MS Gothic" w:hAnsi="Palatino Linotype" w:cs="Times New Roman"/>
        </w:rPr>
        <w:t>Así mismo determinar si se actualizan las causales de procedencia previstas en las fracciones I y VI</w:t>
      </w:r>
      <w:r w:rsidR="00514FDB" w:rsidRPr="0052764F">
        <w:rPr>
          <w:rFonts w:ascii="Palatino Linotype" w:eastAsia="MS Gothic" w:hAnsi="Palatino Linotype" w:cs="Times New Roman"/>
        </w:rPr>
        <w:t>II</w:t>
      </w:r>
      <w:r w:rsidRPr="0052764F">
        <w:rPr>
          <w:rFonts w:ascii="Palatino Linotype" w:eastAsia="MS Gothic" w:hAnsi="Palatino Linotype" w:cs="Times New Roman"/>
        </w:rPr>
        <w:t xml:space="preserve"> del artículo 179 de la Ley de Transparencia y Acceso a la Información Pública del Estado de México y sus Municipios, que establecen la negativa de la información solicitada y </w:t>
      </w:r>
      <w:r w:rsidR="00514FDB" w:rsidRPr="0052764F">
        <w:rPr>
          <w:rFonts w:ascii="Palatino Linotype" w:eastAsiaTheme="minorHAnsi" w:hAnsi="Palatino Linotype" w:cs="Arial"/>
          <w:lang w:eastAsia="en-US"/>
        </w:rPr>
        <w:t>la notificación, entrega</w:t>
      </w:r>
      <w:r w:rsidR="00514FDB" w:rsidRPr="0052764F">
        <w:rPr>
          <w:rFonts w:ascii="Palatino Linotype" w:hAnsi="Palatino Linotype" w:cs="Arial"/>
        </w:rPr>
        <w:t xml:space="preserve"> o puesta a disposición de información en una modalidad o formato distinto al solicitado</w:t>
      </w:r>
      <w:r w:rsidRPr="0052764F">
        <w:rPr>
          <w:rFonts w:ascii="Palatino Linotype" w:eastAsia="MS Gothic" w:hAnsi="Palatino Linotype" w:cs="Times New Roman"/>
        </w:rPr>
        <w:t>.</w:t>
      </w:r>
    </w:p>
    <w:p w:rsidR="00911573" w:rsidRPr="0052764F" w:rsidRDefault="00911573" w:rsidP="00CE4F60">
      <w:pPr>
        <w:pStyle w:val="Prrafodelista"/>
        <w:spacing w:line="360" w:lineRule="auto"/>
        <w:ind w:left="0" w:right="-567"/>
        <w:jc w:val="both"/>
        <w:rPr>
          <w:rFonts w:ascii="Palatino Linotype" w:eastAsia="MS Gothic" w:hAnsi="Palatino Linotype" w:cs="Times New Roman"/>
        </w:rPr>
      </w:pPr>
    </w:p>
    <w:p w:rsidR="00911573" w:rsidRPr="0052764F" w:rsidRDefault="00911573" w:rsidP="00CE4F60">
      <w:pPr>
        <w:keepNext/>
        <w:keepLines/>
        <w:spacing w:line="360" w:lineRule="auto"/>
        <w:outlineLvl w:val="0"/>
        <w:rPr>
          <w:rFonts w:ascii="Palatino Linotype" w:eastAsia="MS Gothic" w:hAnsi="Palatino Linotype" w:cstheme="majorBidi"/>
          <w:b/>
          <w:szCs w:val="32"/>
          <w:lang w:eastAsia="en-US"/>
        </w:rPr>
      </w:pPr>
      <w:bookmarkStart w:id="78" w:name="_Toc511647816"/>
      <w:bookmarkStart w:id="79" w:name="_Toc7790262"/>
      <w:bookmarkStart w:id="80" w:name="_Toc57902970"/>
      <w:r w:rsidRPr="0052764F">
        <w:rPr>
          <w:rFonts w:ascii="Palatino Linotype" w:eastAsia="MS Gothic" w:hAnsi="Palatino Linotype" w:cstheme="majorBidi"/>
          <w:b/>
          <w:szCs w:val="32"/>
          <w:lang w:eastAsia="en-US"/>
        </w:rPr>
        <w:t xml:space="preserve">CUARTO. </w:t>
      </w:r>
      <w:bookmarkEnd w:id="78"/>
      <w:bookmarkEnd w:id="79"/>
      <w:r w:rsidRPr="0052764F">
        <w:rPr>
          <w:rFonts w:ascii="Palatino Linotype" w:eastAsia="MS Gothic" w:hAnsi="Palatino Linotype" w:cstheme="majorBidi"/>
          <w:b/>
          <w:szCs w:val="32"/>
          <w:lang w:eastAsia="en-US"/>
        </w:rPr>
        <w:t>Del estudio y resolución</w:t>
      </w:r>
      <w:bookmarkEnd w:id="80"/>
      <w:r w:rsidRPr="0052764F">
        <w:rPr>
          <w:rFonts w:ascii="Palatino Linotype" w:eastAsia="MS Gothic" w:hAnsi="Palatino Linotype" w:cstheme="majorBidi"/>
          <w:b/>
          <w:szCs w:val="32"/>
          <w:lang w:eastAsia="en-US"/>
        </w:rPr>
        <w:t xml:space="preserve"> </w:t>
      </w:r>
    </w:p>
    <w:p w:rsidR="00911573" w:rsidRPr="0052764F" w:rsidRDefault="00911573" w:rsidP="00CE4F60">
      <w:pPr>
        <w:spacing w:line="360" w:lineRule="auto"/>
        <w:contextualSpacing/>
        <w:rPr>
          <w:rFonts w:ascii="Palatino Linotype" w:eastAsia="Calibri" w:hAnsi="Palatino Linotype" w:cs="Arial"/>
          <w:lang w:val="es-ES"/>
        </w:rPr>
      </w:pPr>
    </w:p>
    <w:p w:rsidR="00050E34" w:rsidRPr="0052764F" w:rsidRDefault="00874614" w:rsidP="00CE4F60">
      <w:pPr>
        <w:numPr>
          <w:ilvl w:val="0"/>
          <w:numId w:val="1"/>
        </w:numPr>
        <w:spacing w:line="360" w:lineRule="auto"/>
        <w:ind w:left="0" w:firstLine="0"/>
        <w:contextualSpacing/>
        <w:jc w:val="both"/>
        <w:rPr>
          <w:rFonts w:ascii="Palatino Linotype" w:eastAsia="MS Mincho" w:hAnsi="Palatino Linotype"/>
        </w:rPr>
      </w:pPr>
      <w:r w:rsidRPr="0052764F">
        <w:rPr>
          <w:rFonts w:ascii="Palatino Linotype" w:eastAsia="MS Mincho" w:hAnsi="Palatino Linotype"/>
        </w:rPr>
        <w:t xml:space="preserve">De las constancias que obran en el expediente electrónico </w:t>
      </w:r>
      <w:r w:rsidR="00050E34" w:rsidRPr="0052764F">
        <w:rPr>
          <w:rFonts w:ascii="Palatino Linotype" w:eastAsia="MS Mincho" w:hAnsi="Palatino Linotype"/>
        </w:rPr>
        <w:t>SAIMEX, es pertinente mencionar que el RECURRENTE solicitó la siguiente información de la Secretaría de Finanzas:</w:t>
      </w:r>
    </w:p>
    <w:p w:rsidR="00050E34" w:rsidRPr="0052764F" w:rsidRDefault="00050E34" w:rsidP="00CE4F60">
      <w:pPr>
        <w:spacing w:line="360" w:lineRule="auto"/>
        <w:contextualSpacing/>
        <w:jc w:val="both"/>
        <w:rPr>
          <w:rFonts w:ascii="Palatino Linotype" w:eastAsia="MS Mincho" w:hAnsi="Palatino Linotype"/>
        </w:rPr>
      </w:pPr>
    </w:p>
    <w:p w:rsidR="00050E34" w:rsidRPr="0052764F" w:rsidRDefault="00050E34" w:rsidP="00CE4F60">
      <w:pPr>
        <w:pStyle w:val="Prrafodelista"/>
        <w:numPr>
          <w:ilvl w:val="0"/>
          <w:numId w:val="13"/>
        </w:numPr>
        <w:spacing w:line="360" w:lineRule="auto"/>
        <w:ind w:right="142"/>
        <w:jc w:val="both"/>
        <w:rPr>
          <w:rFonts w:ascii="Palatino Linotype" w:eastAsia="MS Gothic" w:hAnsi="Palatino Linotype"/>
        </w:rPr>
      </w:pPr>
      <w:r w:rsidRPr="0052764F">
        <w:rPr>
          <w:rFonts w:ascii="Palatino Linotype" w:eastAsia="MS Gothic" w:hAnsi="Palatino Linotype"/>
        </w:rPr>
        <w:t>Nómina general de los servidores públicos de la Secretaría de finanzas  (incluyendo personal contratado bajo la modalidad outsourcing, lista de raya, honorarios y de servicio social si perciben sueldo o bonificación) en formato Excel y correspondiente a la segunda quincena del mes de marzo de 2020.</w:t>
      </w:r>
    </w:p>
    <w:p w:rsidR="00050E34" w:rsidRPr="0052764F" w:rsidRDefault="00050E34" w:rsidP="00CE4F60">
      <w:pPr>
        <w:pStyle w:val="Prrafodelista"/>
        <w:spacing w:line="360" w:lineRule="auto"/>
        <w:ind w:right="142"/>
        <w:jc w:val="both"/>
        <w:rPr>
          <w:rFonts w:ascii="Palatino Linotype" w:eastAsia="MS Gothic" w:hAnsi="Palatino Linotype" w:cs="Times New Roman"/>
        </w:rPr>
      </w:pPr>
    </w:p>
    <w:p w:rsidR="00050E34" w:rsidRPr="0052764F" w:rsidRDefault="00050E34" w:rsidP="00CE4F60">
      <w:pPr>
        <w:pStyle w:val="Prrafodelista"/>
        <w:numPr>
          <w:ilvl w:val="0"/>
          <w:numId w:val="13"/>
        </w:numPr>
        <w:spacing w:line="360" w:lineRule="auto"/>
        <w:ind w:right="142"/>
        <w:jc w:val="both"/>
        <w:rPr>
          <w:rFonts w:ascii="Palatino Linotype" w:eastAsia="MS Gothic" w:hAnsi="Palatino Linotype"/>
        </w:rPr>
      </w:pPr>
      <w:r w:rsidRPr="0052764F">
        <w:rPr>
          <w:rFonts w:ascii="Palatino Linotype" w:eastAsia="MS Gothic" w:hAnsi="Palatino Linotype"/>
        </w:rPr>
        <w:t>Solicita se de vista al OIC de que no enviaron la nómina general que solicitó en los motivos de inconformidad de recurso de revisión 00869/INFOEM/IP/RR/2020.</w:t>
      </w:r>
    </w:p>
    <w:p w:rsidR="00050E34" w:rsidRPr="0052764F" w:rsidRDefault="00050E34" w:rsidP="00CE4F60">
      <w:pPr>
        <w:spacing w:line="360" w:lineRule="auto"/>
        <w:ind w:right="142"/>
        <w:jc w:val="both"/>
        <w:rPr>
          <w:rFonts w:ascii="Palatino Linotype" w:eastAsia="MS Gothic" w:hAnsi="Palatino Linotype"/>
        </w:rPr>
      </w:pPr>
    </w:p>
    <w:p w:rsidR="00050E34" w:rsidRPr="0052764F" w:rsidRDefault="00050E34" w:rsidP="00CE4F60">
      <w:pPr>
        <w:pStyle w:val="Prrafodelista"/>
        <w:numPr>
          <w:ilvl w:val="0"/>
          <w:numId w:val="13"/>
        </w:numPr>
        <w:spacing w:line="360" w:lineRule="auto"/>
        <w:ind w:right="142"/>
        <w:jc w:val="both"/>
        <w:rPr>
          <w:rFonts w:ascii="Palatino Linotype" w:eastAsia="MS Gothic" w:hAnsi="Palatino Linotype"/>
        </w:rPr>
      </w:pPr>
      <w:r w:rsidRPr="0052764F">
        <w:rPr>
          <w:rFonts w:ascii="Palatino Linotype" w:eastAsia="MS Gothic" w:hAnsi="Palatino Linotype"/>
        </w:rPr>
        <w:t>Nómina en formato Excel de la Procuraduría Fiscal, Presidencia del Consejo Mexiquense, Subsecretaría de Administración, Dirección de Recursos Materiales, Dirección de Eventos y Servicios Generales, Dirección General de Personal, Dirección de Innovación (incluyendo personal de intendencia, mandos medios y superiores, direcciones, subdirecciones, personal de servicio social si perciben recursos públicos, personal contratado por modalidad outsourcing).</w:t>
      </w:r>
    </w:p>
    <w:p w:rsidR="00050E34" w:rsidRPr="0052764F" w:rsidRDefault="00050E34" w:rsidP="00CE4F60">
      <w:pPr>
        <w:pStyle w:val="Prrafodelista"/>
        <w:spacing w:line="360" w:lineRule="auto"/>
        <w:ind w:right="142"/>
        <w:jc w:val="both"/>
        <w:rPr>
          <w:rFonts w:ascii="Palatino Linotype" w:eastAsia="MS Gothic" w:hAnsi="Palatino Linotype" w:cs="Times New Roman"/>
        </w:rPr>
      </w:pPr>
    </w:p>
    <w:p w:rsidR="00050E34" w:rsidRPr="0052764F" w:rsidRDefault="00050E34" w:rsidP="00CE4F60">
      <w:pPr>
        <w:pStyle w:val="Prrafodelista"/>
        <w:numPr>
          <w:ilvl w:val="0"/>
          <w:numId w:val="13"/>
        </w:numPr>
        <w:spacing w:line="360" w:lineRule="auto"/>
        <w:ind w:right="142"/>
        <w:jc w:val="both"/>
        <w:rPr>
          <w:rFonts w:ascii="Palatino Linotype" w:eastAsia="MS Gothic" w:hAnsi="Palatino Linotype"/>
        </w:rPr>
      </w:pPr>
      <w:r w:rsidRPr="0052764F">
        <w:rPr>
          <w:rFonts w:ascii="Palatino Linotype" w:eastAsia="MS Gothic" w:hAnsi="Palatino Linotype"/>
        </w:rPr>
        <w:t>Solicita se inicie una investigación por no tener completo y actualizado su portal de transparencia.</w:t>
      </w:r>
    </w:p>
    <w:p w:rsidR="00050E34" w:rsidRPr="0052764F" w:rsidRDefault="00050E34" w:rsidP="00CE4F60">
      <w:pPr>
        <w:spacing w:line="360" w:lineRule="auto"/>
        <w:contextualSpacing/>
        <w:jc w:val="both"/>
        <w:rPr>
          <w:rFonts w:ascii="Palatino Linotype" w:eastAsia="MS Mincho" w:hAnsi="Palatino Linotype"/>
        </w:rPr>
      </w:pPr>
    </w:p>
    <w:p w:rsidR="001E200F" w:rsidRPr="0052764F" w:rsidRDefault="00E8675B" w:rsidP="004C5AEE">
      <w:pPr>
        <w:pStyle w:val="Prrafodelista"/>
        <w:numPr>
          <w:ilvl w:val="0"/>
          <w:numId w:val="1"/>
        </w:numPr>
        <w:tabs>
          <w:tab w:val="left" w:pos="709"/>
        </w:tabs>
        <w:spacing w:line="360" w:lineRule="auto"/>
        <w:ind w:left="0" w:firstLine="0"/>
        <w:jc w:val="both"/>
        <w:rPr>
          <w:rFonts w:ascii="Palatino Linotype" w:hAnsi="Palatino Linotype"/>
          <w:color w:val="000000"/>
        </w:rPr>
      </w:pPr>
      <w:r w:rsidRPr="0052764F">
        <w:rPr>
          <w:rFonts w:ascii="Palatino Linotype" w:eastAsia="MS Mincho" w:hAnsi="Palatino Linotype"/>
        </w:rPr>
        <w:t xml:space="preserve">En respuesta, el SUJETO OBLIGADO </w:t>
      </w:r>
      <w:r w:rsidR="008D534C" w:rsidRPr="0052764F">
        <w:rPr>
          <w:rFonts w:ascii="Palatino Linotype" w:eastAsia="MS Mincho" w:hAnsi="Palatino Linotype"/>
        </w:rPr>
        <w:t>en términos generales manifestó</w:t>
      </w:r>
      <w:r w:rsidR="008D534C" w:rsidRPr="0052764F">
        <w:rPr>
          <w:rFonts w:ascii="Palatino Linotype" w:hAnsi="Palatino Linotype"/>
        </w:rPr>
        <w:t xml:space="preserve"> que no cuenta con personal contratado bajo la modalidad outsourcing, ni de lista de raya u honorarios, en relación a las personas de servicio social las mismas no reciben remuneración alguna por</w:t>
      </w:r>
      <w:r w:rsidR="00AE20F2" w:rsidRPr="0052764F">
        <w:rPr>
          <w:rFonts w:ascii="Palatino Linotype" w:hAnsi="Palatino Linotype"/>
        </w:rPr>
        <w:t xml:space="preserve"> parte de este Sujeto Obligado. </w:t>
      </w:r>
      <w:r w:rsidR="001E200F" w:rsidRPr="0052764F">
        <w:rPr>
          <w:rFonts w:ascii="Palatino Linotype" w:hAnsi="Palatino Linotype"/>
        </w:rPr>
        <w:t xml:space="preserve">En este contexto, </w:t>
      </w:r>
      <w:r w:rsidR="001E200F" w:rsidRPr="0052764F">
        <w:rPr>
          <w:rFonts w:ascii="Palatino Linotype" w:hAnsi="Palatino Linotype" w:cs="Arial"/>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001E200F" w:rsidRPr="0052764F">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CE4F60" w:rsidRPr="0052764F" w:rsidRDefault="00CE4F60" w:rsidP="00CE4F60">
      <w:pPr>
        <w:tabs>
          <w:tab w:val="left" w:pos="709"/>
        </w:tabs>
        <w:spacing w:line="360" w:lineRule="auto"/>
        <w:jc w:val="both"/>
        <w:rPr>
          <w:rFonts w:ascii="Palatino Linotype" w:hAnsi="Palatino Linotype"/>
          <w:color w:val="000000"/>
        </w:rPr>
      </w:pPr>
    </w:p>
    <w:p w:rsidR="001E200F" w:rsidRPr="0052764F" w:rsidRDefault="001E200F" w:rsidP="004C5AEE">
      <w:pPr>
        <w:pStyle w:val="Default"/>
        <w:numPr>
          <w:ilvl w:val="0"/>
          <w:numId w:val="1"/>
        </w:numPr>
        <w:spacing w:line="360" w:lineRule="auto"/>
        <w:ind w:left="0" w:firstLine="0"/>
        <w:jc w:val="both"/>
        <w:rPr>
          <w:rFonts w:ascii="Palatino Linotype" w:hAnsi="Palatino Linotype"/>
        </w:rPr>
      </w:pPr>
      <w:r w:rsidRPr="0052764F">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rsidR="00CE4F60" w:rsidRPr="0052764F" w:rsidRDefault="00CE4F60" w:rsidP="00CE4F60">
      <w:pPr>
        <w:pStyle w:val="Default"/>
        <w:spacing w:line="360" w:lineRule="auto"/>
        <w:jc w:val="both"/>
        <w:rPr>
          <w:rFonts w:ascii="Palatino Linotype" w:hAnsi="Palatino Linotype"/>
        </w:rPr>
      </w:pPr>
    </w:p>
    <w:p w:rsidR="001E200F" w:rsidRPr="0052764F" w:rsidRDefault="001E200F" w:rsidP="00CE4F60">
      <w:pPr>
        <w:pStyle w:val="Default"/>
        <w:spacing w:line="360" w:lineRule="auto"/>
        <w:ind w:left="851" w:right="850"/>
        <w:jc w:val="both"/>
        <w:rPr>
          <w:rFonts w:ascii="Palatino Linotype" w:hAnsi="Palatino Linotype"/>
          <w:i/>
          <w:sz w:val="22"/>
          <w:szCs w:val="20"/>
        </w:rPr>
      </w:pPr>
      <w:r w:rsidRPr="0052764F">
        <w:rPr>
          <w:rFonts w:ascii="Palatino Linotype" w:hAnsi="Palatino Linotype"/>
          <w:i/>
          <w:sz w:val="22"/>
          <w:szCs w:val="20"/>
        </w:rPr>
        <w:t xml:space="preserve">El Instituto Federal de Acceso a la Información y Protección de Datos </w:t>
      </w:r>
      <w:r w:rsidRPr="0052764F">
        <w:rPr>
          <w:rFonts w:ascii="Palatino Linotype" w:hAnsi="Palatino Linotype"/>
          <w:b/>
          <w:i/>
          <w:sz w:val="22"/>
          <w:szCs w:val="20"/>
        </w:rPr>
        <w:t>no cuenta con facultades para pronunciarse respecto de la veracidad de los documentos proporcionados por los sujetos obligados.</w:t>
      </w:r>
      <w:r w:rsidRPr="0052764F">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E4F60" w:rsidRPr="0052764F" w:rsidRDefault="00CE4F60" w:rsidP="00CE4F60">
      <w:pPr>
        <w:pStyle w:val="Default"/>
        <w:spacing w:line="360" w:lineRule="auto"/>
        <w:ind w:left="851" w:right="850"/>
        <w:jc w:val="both"/>
        <w:rPr>
          <w:rFonts w:ascii="Palatino Linotype" w:hAnsi="Palatino Linotype"/>
          <w:i/>
          <w:sz w:val="22"/>
          <w:szCs w:val="20"/>
        </w:rPr>
      </w:pPr>
    </w:p>
    <w:p w:rsidR="001E200F" w:rsidRPr="0052764F" w:rsidRDefault="001E200F" w:rsidP="004C5AEE">
      <w:pPr>
        <w:pStyle w:val="Prrafodelista"/>
        <w:numPr>
          <w:ilvl w:val="0"/>
          <w:numId w:val="1"/>
        </w:numPr>
        <w:spacing w:line="360" w:lineRule="auto"/>
        <w:ind w:left="0" w:firstLine="0"/>
        <w:jc w:val="both"/>
        <w:rPr>
          <w:rFonts w:ascii="Palatino Linotype" w:hAnsi="Palatino Linotype" w:cs="Arial"/>
        </w:rPr>
      </w:pPr>
      <w:r w:rsidRPr="0052764F">
        <w:rPr>
          <w:rFonts w:ascii="Palatino Linotype" w:hAnsi="Palatino Linotype" w:cs="Arial"/>
        </w:rPr>
        <w:t xml:space="preserve">Así mismo, la </w:t>
      </w:r>
      <w:r w:rsidRPr="0052764F">
        <w:rPr>
          <w:rFonts w:ascii="Palatino Linotype" w:hAnsi="Palatino Linotype" w:cs="Arial"/>
          <w:b/>
        </w:rPr>
        <w:t>Ley de Transparencia y Acceso a la Información Pública del Estado de México y Municipios</w:t>
      </w:r>
      <w:r w:rsidRPr="0052764F">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52764F">
        <w:rPr>
          <w:rFonts w:ascii="Palatino Linotype" w:hAnsi="Palatino Linotype" w:cs="Arial"/>
        </w:rPr>
        <w:lastRenderedPageBreak/>
        <w:t>momento a los criterios de publicidad, veracidad, oportunidad entre otros, numeral en comento que a la letra señala;</w:t>
      </w:r>
    </w:p>
    <w:p w:rsidR="001E200F" w:rsidRPr="0052764F" w:rsidRDefault="001E200F" w:rsidP="00CE4F60">
      <w:pPr>
        <w:spacing w:line="360" w:lineRule="auto"/>
        <w:jc w:val="both"/>
        <w:rPr>
          <w:rFonts w:ascii="Palatino Linotype" w:hAnsi="Palatino Linotype" w:cs="Arial"/>
        </w:rPr>
      </w:pPr>
    </w:p>
    <w:p w:rsidR="001E200F" w:rsidRPr="0052764F" w:rsidRDefault="001E200F" w:rsidP="00CE4F60">
      <w:pPr>
        <w:pStyle w:val="Prrafodelista"/>
        <w:spacing w:line="360" w:lineRule="auto"/>
        <w:ind w:left="851" w:right="902"/>
        <w:jc w:val="both"/>
        <w:rPr>
          <w:rFonts w:ascii="Palatino Linotype" w:hAnsi="Palatino Linotype" w:cs="Arial"/>
          <w:b/>
          <w:i/>
        </w:rPr>
      </w:pPr>
      <w:r w:rsidRPr="0052764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2764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1E200F" w:rsidRPr="0052764F" w:rsidRDefault="001E200F" w:rsidP="00CE4F60">
      <w:pPr>
        <w:tabs>
          <w:tab w:val="left" w:pos="709"/>
        </w:tabs>
        <w:spacing w:line="360" w:lineRule="auto"/>
        <w:ind w:right="51"/>
        <w:jc w:val="both"/>
        <w:rPr>
          <w:rFonts w:ascii="Palatino Linotype" w:hAnsi="Palatino Linotype" w:cs="Arial"/>
          <w:noProof/>
          <w:lang w:eastAsia="es-MX"/>
        </w:rPr>
      </w:pPr>
    </w:p>
    <w:p w:rsidR="00AE20F2" w:rsidRPr="0052764F" w:rsidRDefault="001E200F" w:rsidP="004C5AEE">
      <w:pPr>
        <w:pStyle w:val="Prrafodelista"/>
        <w:numPr>
          <w:ilvl w:val="0"/>
          <w:numId w:val="1"/>
        </w:numPr>
        <w:tabs>
          <w:tab w:val="left" w:pos="709"/>
        </w:tabs>
        <w:spacing w:line="360" w:lineRule="auto"/>
        <w:ind w:left="0" w:right="51" w:firstLine="0"/>
        <w:jc w:val="both"/>
        <w:rPr>
          <w:rFonts w:ascii="Palatino Linotype" w:hAnsi="Palatino Linotype" w:cs="Arial"/>
          <w:noProof/>
          <w:lang w:eastAsia="es-MX"/>
        </w:rPr>
      </w:pPr>
      <w:r w:rsidRPr="0052764F">
        <w:rPr>
          <w:rFonts w:ascii="Palatino Linotype" w:hAnsi="Palatino Linotype" w:cs="Arial"/>
          <w:noProof/>
          <w:lang w:eastAsia="es-MX"/>
        </w:rPr>
        <w:t xml:space="preserve">Numerales que compelen al </w:t>
      </w:r>
      <w:r w:rsidRPr="0052764F">
        <w:rPr>
          <w:rFonts w:ascii="Palatino Linotype" w:hAnsi="Palatino Linotype" w:cs="Arial"/>
          <w:b/>
          <w:noProof/>
          <w:lang w:eastAsia="es-MX"/>
        </w:rPr>
        <w:t>SUJETO OBLIGADO</w:t>
      </w:r>
      <w:r w:rsidRPr="0052764F">
        <w:rPr>
          <w:rFonts w:ascii="Palatino Linotype" w:hAnsi="Palatino Linotype" w:cs="Arial"/>
          <w:noProof/>
          <w:lang w:eastAsia="es-MX"/>
        </w:rPr>
        <w:t xml:space="preserve"> a apegarse en todo momento a los criterios ya expuestos, imipidiendo a este Órgano Colegiado cuestionar la veracidad de la información.</w:t>
      </w:r>
    </w:p>
    <w:p w:rsidR="00AE20F2" w:rsidRPr="0052764F" w:rsidRDefault="00AE20F2" w:rsidP="00CE4F60">
      <w:pPr>
        <w:spacing w:line="360" w:lineRule="auto"/>
        <w:contextualSpacing/>
        <w:jc w:val="both"/>
        <w:rPr>
          <w:rFonts w:ascii="Palatino Linotype" w:eastAsia="MS Mincho" w:hAnsi="Palatino Linotype"/>
        </w:rPr>
      </w:pPr>
    </w:p>
    <w:p w:rsidR="00E240F5" w:rsidRPr="0052764F" w:rsidRDefault="00AE20F2" w:rsidP="00CE4F60">
      <w:pPr>
        <w:numPr>
          <w:ilvl w:val="0"/>
          <w:numId w:val="1"/>
        </w:numPr>
        <w:spacing w:line="360" w:lineRule="auto"/>
        <w:ind w:left="0" w:firstLine="0"/>
        <w:contextualSpacing/>
        <w:jc w:val="both"/>
        <w:rPr>
          <w:rFonts w:ascii="Palatino Linotype" w:eastAsia="MS Mincho" w:hAnsi="Palatino Linotype"/>
        </w:rPr>
      </w:pPr>
      <w:r w:rsidRPr="0052764F">
        <w:rPr>
          <w:rFonts w:ascii="Palatino Linotype" w:hAnsi="Palatino Linotype"/>
        </w:rPr>
        <w:t xml:space="preserve"> P</w:t>
      </w:r>
      <w:r w:rsidR="008D534C" w:rsidRPr="0052764F">
        <w:rPr>
          <w:rFonts w:ascii="Palatino Linotype" w:hAnsi="Palatino Linotype"/>
        </w:rPr>
        <w:t xml:space="preserve">or cuanto hace a la nómina general, cuenta con copia del documento denominado “Desglose de Plazas por Servidor (a) Público (a), de los servidores públicos adscritos a la Secretaría de Finanzas, no obstante, las documentales señalas se encuentran integradas en expedientes que ascienden a la cantidad de 49,426 fojas. Refiere que la presente solicitud excede la capacidad del tamaño máximo que la plataforma SAIMEX puede soportar para alojar documentos; asimismo, la entrega de la información solicitada conlleva el análisis, estudio o procesamiento de documentos, cuya reproducción sobrepasa las capacidades técnicas, </w:t>
      </w:r>
      <w:r w:rsidR="008D534C" w:rsidRPr="0052764F">
        <w:rPr>
          <w:rFonts w:ascii="Palatino Linotype" w:hAnsi="Palatino Linotype"/>
        </w:rPr>
        <w:lastRenderedPageBreak/>
        <w:t>administrativas y humanas, motivo por el cual, con fundamento en el artículo 158 de la Ley de Transparencia y Acceso a la Información Pública  del Estado de México y Municipios, a efecto de que se asiente en la bitácora de incidencias el cambio de modalidad de entrega a consulta directa</w:t>
      </w:r>
      <w:r w:rsidR="00943292" w:rsidRPr="0052764F">
        <w:rPr>
          <w:rFonts w:ascii="Palatino Linotype" w:eastAsia="MS Mincho" w:hAnsi="Palatino Linotype"/>
        </w:rPr>
        <w:t>.</w:t>
      </w:r>
    </w:p>
    <w:p w:rsidR="00943292" w:rsidRPr="0052764F" w:rsidRDefault="00943292" w:rsidP="00CE4F60">
      <w:pPr>
        <w:spacing w:line="360" w:lineRule="auto"/>
        <w:contextualSpacing/>
        <w:jc w:val="both"/>
        <w:rPr>
          <w:rFonts w:ascii="Palatino Linotype" w:eastAsia="MS Mincho" w:hAnsi="Palatino Linotype"/>
        </w:rPr>
      </w:pPr>
    </w:p>
    <w:p w:rsidR="008D534C" w:rsidRPr="0052764F" w:rsidRDefault="00E240F5" w:rsidP="00CE4F60">
      <w:pPr>
        <w:numPr>
          <w:ilvl w:val="0"/>
          <w:numId w:val="1"/>
        </w:numPr>
        <w:spacing w:line="360" w:lineRule="auto"/>
        <w:ind w:left="0" w:firstLine="0"/>
        <w:contextualSpacing/>
        <w:jc w:val="both"/>
        <w:rPr>
          <w:rFonts w:ascii="Palatino Linotype" w:eastAsia="MS Mincho" w:hAnsi="Palatino Linotype"/>
        </w:rPr>
      </w:pPr>
      <w:r w:rsidRPr="0052764F">
        <w:rPr>
          <w:rFonts w:ascii="Palatino Linotype" w:eastAsia="MS Mincho" w:hAnsi="Palatino Linotype"/>
        </w:rPr>
        <w:t>Asimismo refiere en respuesta que con lo establecido en los acuerdos de fechas veintitrés de marzo, primero de abril, siete y veintisiete de mayo y veinticuatro de junio del año en curso, que se publicaron en el Periódico Oficial “Gaceta del Gobierno” del Estado de México</w:t>
      </w:r>
      <w:r w:rsidR="006E3D43" w:rsidRPr="0052764F">
        <w:rPr>
          <w:rFonts w:ascii="Palatino Linotype" w:eastAsia="MS Mincho" w:hAnsi="Palatino Linotype"/>
        </w:rPr>
        <w:t xml:space="preserve">, así como el del treinta de junio de dos mil veinte que se publicó en la página electrónica del Instituto de Transparencia, Acceso a la Información Pública y Protección de Datos Personales del Estado de México y Municipios (INFOEM), en seguimiento a las disposiciones sanitarias federal y estatal en relación con el reconocimiento de la epidemia de la enfermedad generada por el virus SARS-CoV-2 (COVID-19) así como la emergencia sanitaria por causa de fuerza mayor y medidas de seguridad que conlleva, esta unidad administrativa no cuenta con personal que pueda llevar acabo el procesamiento de la información </w:t>
      </w:r>
      <w:r w:rsidR="00943292" w:rsidRPr="0052764F">
        <w:rPr>
          <w:rFonts w:ascii="Palatino Linotype" w:eastAsia="MS Mincho" w:hAnsi="Palatino Linotype"/>
        </w:rPr>
        <w:t>requerida. También manifiesta que de acuerdo al artículo 12 de la Ley en la materia, la obligación de proporcionar información no comprende el procesamiento de la misma, ni el presentarla conforme al interés del solicitante; ni tampoco resumirla, efectuar cálculos o practicar investigaciones.</w:t>
      </w:r>
    </w:p>
    <w:p w:rsidR="00943292" w:rsidRPr="0052764F" w:rsidRDefault="00943292" w:rsidP="00CE4F60">
      <w:pPr>
        <w:spacing w:line="360" w:lineRule="auto"/>
        <w:contextualSpacing/>
        <w:jc w:val="both"/>
        <w:rPr>
          <w:rFonts w:ascii="Palatino Linotype" w:eastAsia="MS Mincho" w:hAnsi="Palatino Linotype"/>
        </w:rPr>
      </w:pPr>
    </w:p>
    <w:p w:rsidR="00943292" w:rsidRPr="0052764F" w:rsidRDefault="00943292" w:rsidP="00CE4F60">
      <w:pPr>
        <w:numPr>
          <w:ilvl w:val="0"/>
          <w:numId w:val="1"/>
        </w:numPr>
        <w:spacing w:line="360" w:lineRule="auto"/>
        <w:ind w:left="0" w:firstLine="0"/>
        <w:contextualSpacing/>
        <w:jc w:val="both"/>
        <w:rPr>
          <w:rFonts w:ascii="Palatino Linotype" w:eastAsia="MS Mincho" w:hAnsi="Palatino Linotype"/>
        </w:rPr>
      </w:pPr>
      <w:r w:rsidRPr="0052764F">
        <w:rPr>
          <w:rFonts w:ascii="Palatino Linotype" w:eastAsia="MS Mincho" w:hAnsi="Palatino Linotype"/>
        </w:rPr>
        <w:t xml:space="preserve">En la misma respuesta, el servidor público habilitado solicita se someta a consideración del Comité de Transparencia la clasificación como confidencial de los datos personales contenidos en los expedientes en comento, consistentes en: </w:t>
      </w:r>
      <w:r w:rsidRPr="0052764F">
        <w:rPr>
          <w:rFonts w:ascii="Palatino Linotype" w:eastAsia="MS Mincho" w:hAnsi="Palatino Linotype"/>
        </w:rPr>
        <w:lastRenderedPageBreak/>
        <w:t>Registro Federal de Contribuyentes (R.F.C) y Clave Única de Registro de Población y deducciones no establecidas en la ley.</w:t>
      </w:r>
    </w:p>
    <w:p w:rsidR="00D6691A" w:rsidRPr="0052764F" w:rsidRDefault="00D6691A" w:rsidP="00CE4F60">
      <w:pPr>
        <w:spacing w:line="360" w:lineRule="auto"/>
        <w:contextualSpacing/>
        <w:jc w:val="both"/>
        <w:rPr>
          <w:rFonts w:ascii="Palatino Linotype" w:eastAsia="MS Mincho" w:hAnsi="Palatino Linotype"/>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rPr>
      </w:pPr>
      <w:r w:rsidRPr="0052764F">
        <w:rPr>
          <w:rFonts w:ascii="Palatino Linotype" w:eastAsia="MS Mincho" w:hAnsi="Palatino Linotype"/>
        </w:rPr>
        <w:t>El SUJETO OBLIGADO también refiere que las consultas directas se realizarán en parcialidades en el Módulo de Transparencia y Acceso a la Información Pública de la Unidad de Transparencia de la Secretaría de Finanzas, sitio en Lerdo Poniente, número 300, Palacio de Gobierno, segundo piso, puerta 360, Colonia Centro, Toluca, México; previa cita concertada al teléfono 01 (722) 167 81 80, en un volumen de 40 expedientes por vista y será atendido por la Licenciada Hilda Viridiana Talavera Guerrero, Responsable del Módulo de Transparencia y Acceso a la Información de la Secretaría de Finanzas, con fundamento en los ordinales septuagésimo, septuagésimo primero y septuagésimo segundo de los Lineamientos Generales en Materia de Clasificación y Desclasificación de la Información, así como para la Elaboración de Versiones Públicas.</w:t>
      </w:r>
    </w:p>
    <w:p w:rsidR="005D6676" w:rsidRPr="0052764F" w:rsidRDefault="005D6676" w:rsidP="00CE4F60">
      <w:pPr>
        <w:pStyle w:val="Prrafodelista"/>
        <w:rPr>
          <w:rFonts w:ascii="Palatino Linotype" w:eastAsia="MS Mincho" w:hAnsi="Palatino Linotype" w:cs="Times New Roman"/>
        </w:rPr>
      </w:pPr>
    </w:p>
    <w:p w:rsidR="005D6676" w:rsidRPr="0052764F" w:rsidRDefault="005D6676" w:rsidP="00CE4F60">
      <w:pPr>
        <w:keepNext/>
        <w:keepLines/>
        <w:spacing w:line="360" w:lineRule="auto"/>
        <w:outlineLvl w:val="0"/>
        <w:rPr>
          <w:rFonts w:ascii="Palatino Linotype" w:eastAsia="MS Gothic" w:hAnsi="Palatino Linotype" w:cstheme="majorBidi"/>
          <w:b/>
        </w:rPr>
      </w:pPr>
      <w:bookmarkStart w:id="81" w:name="_Toc51856803"/>
      <w:bookmarkStart w:id="82" w:name="_Toc57902971"/>
      <w:r w:rsidRPr="0052764F">
        <w:rPr>
          <w:rFonts w:ascii="Palatino Linotype" w:eastAsia="MS Gothic" w:hAnsi="Palatino Linotype" w:cstheme="majorBidi"/>
          <w:b/>
        </w:rPr>
        <w:t>I.  De la modalidad de entrega de la información solicitada.</w:t>
      </w:r>
      <w:bookmarkEnd w:id="81"/>
      <w:bookmarkEnd w:id="82"/>
      <w:r w:rsidRPr="0052764F">
        <w:rPr>
          <w:rFonts w:ascii="Palatino Linotype" w:eastAsia="MS Gothic" w:hAnsi="Palatino Linotype" w:cstheme="majorBidi"/>
          <w:b/>
        </w:rPr>
        <w:t xml:space="preserve">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spacing w:line="360" w:lineRule="auto"/>
        <w:ind w:left="567" w:right="567"/>
        <w:jc w:val="both"/>
        <w:rPr>
          <w:rFonts w:ascii="Palatino Linotype" w:hAnsi="Palatino Linotype"/>
          <w:i/>
        </w:rPr>
      </w:pPr>
      <w:r w:rsidRPr="0052764F">
        <w:rPr>
          <w:rFonts w:ascii="Palatino Linotype" w:hAnsi="Palatino Linotype"/>
          <w:i/>
        </w:rPr>
        <w:t>“</w:t>
      </w:r>
      <w:r w:rsidRPr="0052764F">
        <w:rPr>
          <w:rFonts w:ascii="Palatino Linotype" w:hAnsi="Palatino Linotype"/>
          <w:b/>
          <w:bCs/>
          <w:i/>
        </w:rPr>
        <w:t>Artículo 158.</w:t>
      </w:r>
      <w:r w:rsidRPr="0052764F">
        <w:rPr>
          <w:rFonts w:ascii="Palatino Linotype" w:hAnsi="Palatino Linotype"/>
          <w:i/>
        </w:rPr>
        <w:t xml:space="preserve"> </w:t>
      </w:r>
      <w:r w:rsidRPr="0052764F">
        <w:rPr>
          <w:rFonts w:ascii="Palatino Linotype" w:hAnsi="Palatino Linotype"/>
          <w:b/>
          <w:bCs/>
          <w:i/>
        </w:rPr>
        <w:t>De manera excepcional, cuando de forma fundada y motivada así lo determine el sujeto obligado</w:t>
      </w:r>
      <w:r w:rsidRPr="0052764F">
        <w:rPr>
          <w:rFonts w:ascii="Palatino Linotype" w:hAnsi="Palatino Linotype"/>
          <w:i/>
        </w:rPr>
        <w:t xml:space="preserve">, en aquellos casos en que la información solicitada que ya se encuentre en su posesión implique análisis, </w:t>
      </w:r>
      <w:r w:rsidRPr="0052764F">
        <w:rPr>
          <w:rFonts w:ascii="Palatino Linotype" w:hAnsi="Palatino Linotype"/>
          <w:i/>
        </w:rPr>
        <w:lastRenderedPageBreak/>
        <w:t xml:space="preserve">estudio o procesamiento de documentos </w:t>
      </w:r>
      <w:r w:rsidRPr="0052764F">
        <w:rPr>
          <w:rFonts w:ascii="Palatino Linotype" w:hAnsi="Palatino Linotype"/>
          <w:b/>
          <w:bCs/>
          <w:i/>
        </w:rPr>
        <w:t>cuya entrega o reproducción sobrepase las capacidades técnicas administrativas y humanas del sujeto obligado</w:t>
      </w:r>
      <w:r w:rsidRPr="0052764F">
        <w:rPr>
          <w:rFonts w:ascii="Palatino Linotype" w:hAnsi="Palatino Linotype"/>
          <w:i/>
        </w:rPr>
        <w:t xml:space="preserve"> para cumplir con la solicitud, en los plazos establecidos para dichos efectos,</w:t>
      </w:r>
      <w:r w:rsidRPr="0052764F">
        <w:rPr>
          <w:rFonts w:ascii="Palatino Linotype" w:hAnsi="Palatino Linotype"/>
          <w:b/>
          <w:bCs/>
          <w:i/>
        </w:rPr>
        <w:t xml:space="preserve"> se podrá poner a disposición del solicitante los documentos en consulta directa</w:t>
      </w:r>
      <w:r w:rsidRPr="0052764F">
        <w:rPr>
          <w:rFonts w:ascii="Palatino Linotype" w:hAnsi="Palatino Linotype"/>
          <w:i/>
        </w:rPr>
        <w:t>, salvo la información clasificada”.</w:t>
      </w:r>
    </w:p>
    <w:p w:rsidR="005D6676" w:rsidRPr="0052764F" w:rsidRDefault="005D6676" w:rsidP="00CE4F60">
      <w:pPr>
        <w:spacing w:line="360" w:lineRule="auto"/>
        <w:ind w:right="567"/>
        <w:jc w:val="both"/>
        <w:rPr>
          <w:rFonts w:ascii="Palatino Linotype" w:hAnsi="Palatino Linotype"/>
          <w:i/>
        </w:rPr>
      </w:pPr>
    </w:p>
    <w:p w:rsidR="005D6676" w:rsidRPr="0052764F" w:rsidRDefault="005D6676" w:rsidP="00CE4F60">
      <w:pPr>
        <w:spacing w:line="360" w:lineRule="auto"/>
        <w:ind w:left="567" w:right="567"/>
        <w:jc w:val="both"/>
        <w:rPr>
          <w:rFonts w:ascii="Palatino Linotype" w:hAnsi="Palatino Linotype"/>
          <w:b/>
          <w:bCs/>
          <w:i/>
        </w:rPr>
      </w:pPr>
      <w:r w:rsidRPr="0052764F">
        <w:rPr>
          <w:rFonts w:ascii="Palatino Linotype" w:hAnsi="Palatino Linotype"/>
          <w:i/>
        </w:rPr>
        <w:t>“</w:t>
      </w:r>
      <w:r w:rsidRPr="0052764F">
        <w:rPr>
          <w:rFonts w:ascii="Palatino Linotype" w:hAnsi="Palatino Linotype"/>
          <w:b/>
          <w:bCs/>
          <w:i/>
        </w:rPr>
        <w:t>Artículo 164.</w:t>
      </w:r>
      <w:r w:rsidRPr="0052764F">
        <w:rPr>
          <w:rFonts w:ascii="Palatino Linotype" w:hAnsi="Palatino Linotype"/>
          <w:i/>
        </w:rPr>
        <w:t xml:space="preserve"> </w:t>
      </w:r>
      <w:r w:rsidRPr="0052764F">
        <w:rPr>
          <w:rFonts w:ascii="Palatino Linotype" w:hAnsi="Palatino Linotype"/>
          <w:b/>
          <w:bCs/>
          <w:i/>
        </w:rPr>
        <w:t>El acceso se dará en la modalidad de entrega</w:t>
      </w:r>
      <w:r w:rsidRPr="0052764F">
        <w:rPr>
          <w:rFonts w:ascii="Palatino Linotype" w:hAnsi="Palatino Linotype"/>
          <w:i/>
        </w:rPr>
        <w:t xml:space="preserve"> y, en su caso, de envío elegidos por el solicitante</w:t>
      </w:r>
      <w:r w:rsidRPr="0052764F">
        <w:rPr>
          <w:rFonts w:ascii="Palatino Linotype" w:hAnsi="Palatino Linotype"/>
          <w:b/>
          <w:bCs/>
          <w:i/>
        </w:rPr>
        <w:t>. Cuando la información no pueda entregarse o enviarse en la modalidad solicitada, el sujeto obligado deberá ofrecer otra u otras modalidades de entrega.</w:t>
      </w:r>
    </w:p>
    <w:p w:rsidR="005D6676" w:rsidRPr="0052764F" w:rsidRDefault="005D6676" w:rsidP="00CE4F60">
      <w:pPr>
        <w:spacing w:line="360" w:lineRule="auto"/>
        <w:ind w:left="567" w:right="567"/>
        <w:jc w:val="both"/>
        <w:rPr>
          <w:rFonts w:ascii="Palatino Linotype" w:hAnsi="Palatino Linotype"/>
          <w:i/>
        </w:rPr>
      </w:pPr>
    </w:p>
    <w:p w:rsidR="005D6676" w:rsidRPr="0052764F" w:rsidRDefault="005D6676" w:rsidP="00CE4F60">
      <w:pPr>
        <w:spacing w:line="360" w:lineRule="auto"/>
        <w:ind w:left="567" w:right="567"/>
        <w:jc w:val="both"/>
        <w:rPr>
          <w:rFonts w:ascii="Palatino Linotype" w:hAnsi="Palatino Linotype"/>
          <w:i/>
        </w:rPr>
      </w:pPr>
      <w:r w:rsidRPr="0052764F">
        <w:rPr>
          <w:rFonts w:ascii="Palatino Linotype" w:hAnsi="Palatino Linotype"/>
          <w:b/>
          <w:bCs/>
          <w:i/>
        </w:rPr>
        <w:t>En cualquier caso, se deberá fundar y motivar la necesidad de ofrecer otras modalidades</w:t>
      </w:r>
      <w:r w:rsidRPr="0052764F">
        <w:rPr>
          <w:rFonts w:ascii="Palatino Linotype" w:hAnsi="Palatino Linotype"/>
          <w:i/>
        </w:rPr>
        <w:t>”.</w:t>
      </w:r>
    </w:p>
    <w:p w:rsidR="005D6676" w:rsidRPr="0052764F" w:rsidRDefault="005D6676" w:rsidP="00CE4F60">
      <w:pPr>
        <w:spacing w:line="360" w:lineRule="auto"/>
        <w:contextualSpacing/>
        <w:jc w:val="both"/>
        <w:rPr>
          <w:rFonts w:ascii="Palatino Linotype" w:eastAsia="MS Mincho" w:hAnsi="Palatino Linotype" w:cs="Arial"/>
          <w:i/>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Del artículo 158 referido, se tiene que </w:t>
      </w:r>
      <w:r w:rsidRPr="0052764F">
        <w:rPr>
          <w:rFonts w:ascii="Palatino Linotype" w:eastAsia="MS Mincho" w:hAnsi="Palatino Linotype" w:cs="Arial"/>
          <w:b/>
        </w:rPr>
        <w:t xml:space="preserve">excepcionalmente, de forma fundada y motivada, </w:t>
      </w:r>
      <w:r w:rsidRPr="0052764F">
        <w:rPr>
          <w:rFonts w:ascii="Palatino Linotype" w:eastAsia="MS Mincho" w:hAnsi="Palatino Linotype" w:cs="Arial"/>
        </w:rPr>
        <w:t xml:space="preserve">en el caso de que la información solicitada implique </w:t>
      </w:r>
      <w:r w:rsidRPr="0052764F">
        <w:rPr>
          <w:rFonts w:ascii="Palatino Linotype" w:eastAsia="MS Mincho" w:hAnsi="Palatino Linotype" w:cs="Arial"/>
          <w:b/>
        </w:rPr>
        <w:t xml:space="preserve">análisis, estudio o procesamiento de documentos, </w:t>
      </w:r>
      <w:r w:rsidRPr="0052764F">
        <w:rPr>
          <w:rFonts w:ascii="Palatino Linotype" w:eastAsia="MS Mincho" w:hAnsi="Palatino Linotype" w:cs="Arial"/>
        </w:rPr>
        <w:t xml:space="preserve">cuya entrega o reproducción </w:t>
      </w:r>
      <w:r w:rsidRPr="0052764F">
        <w:rPr>
          <w:rFonts w:ascii="Palatino Linotype" w:eastAsia="MS Mincho" w:hAnsi="Palatino Linotype" w:cs="Arial"/>
          <w:b/>
        </w:rPr>
        <w:t xml:space="preserve">sobrepase las capacidades técnicas, administrativas y humanas del sujeto obligado, </w:t>
      </w:r>
      <w:r w:rsidRPr="0052764F">
        <w:rPr>
          <w:rFonts w:ascii="Palatino Linotype" w:eastAsia="MS Mincho" w:hAnsi="Palatino Linotype" w:cs="Arial"/>
        </w:rPr>
        <w:t xml:space="preserve">se podrá poder a disposición del solicitante los documentos en consulta directa. </w:t>
      </w:r>
    </w:p>
    <w:p w:rsidR="005D6676" w:rsidRPr="0052764F" w:rsidRDefault="005D6676" w:rsidP="00CE4F60">
      <w:pPr>
        <w:spacing w:line="360" w:lineRule="auto"/>
        <w:contextualSpacing/>
        <w:jc w:val="both"/>
        <w:rPr>
          <w:rFonts w:ascii="Palatino Linotype" w:eastAsia="MS Mincho" w:hAnsi="Palatino Linotype" w:cs="Arial"/>
        </w:rPr>
      </w:pPr>
      <w:r w:rsidRPr="0052764F">
        <w:rPr>
          <w:rFonts w:ascii="Palatino Linotype" w:eastAsia="MS Mincho" w:hAnsi="Palatino Linotype" w:cs="Arial"/>
        </w:rPr>
        <w:t xml:space="preserve"> </w:t>
      </w: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52764F">
        <w:rPr>
          <w:rFonts w:ascii="Palatino Linotype" w:eastAsia="MS Mincho" w:hAnsi="Palatino Linotype" w:cs="Arial"/>
          <w:b/>
        </w:rPr>
        <w:t xml:space="preserve">sobrepasen las capacidades técnicas administrativas y humanas del sujeto obligado.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Para ello, cabe mencionar lo que se tiene por </w:t>
      </w:r>
      <w:r w:rsidRPr="0052764F">
        <w:rPr>
          <w:rFonts w:ascii="Palatino Linotype" w:eastAsia="MS Mincho" w:hAnsi="Palatino Linotype" w:cs="Arial"/>
          <w:b/>
        </w:rPr>
        <w:t>“capacidad”</w:t>
      </w:r>
      <w:r w:rsidRPr="0052764F">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rsidR="005D6676" w:rsidRPr="0052764F" w:rsidRDefault="005D6676" w:rsidP="00CE4F60">
      <w:pPr>
        <w:pStyle w:val="Prrafodelista"/>
        <w:tabs>
          <w:tab w:val="left" w:pos="142"/>
        </w:tabs>
        <w:spacing w:line="360" w:lineRule="auto"/>
        <w:ind w:left="0" w:right="49"/>
        <w:jc w:val="both"/>
        <w:rPr>
          <w:rFonts w:ascii="Palatino Linotype" w:eastAsia="MS Mincho" w:hAnsi="Palatino Linotype" w:cs="Times New Roman"/>
        </w:rPr>
      </w:pPr>
    </w:p>
    <w:p w:rsidR="005D6676" w:rsidRPr="0052764F" w:rsidRDefault="005D6676" w:rsidP="00CE4F60">
      <w:pPr>
        <w:keepNext/>
        <w:keepLines/>
        <w:spacing w:line="360" w:lineRule="auto"/>
        <w:outlineLvl w:val="0"/>
        <w:rPr>
          <w:rFonts w:ascii="Palatino Linotype" w:eastAsia="MS Gothic" w:hAnsi="Palatino Linotype" w:cstheme="majorBidi"/>
          <w:b/>
        </w:rPr>
      </w:pPr>
      <w:bookmarkStart w:id="83" w:name="_Toc34913276"/>
      <w:bookmarkStart w:id="84" w:name="_Toc51856804"/>
      <w:bookmarkStart w:id="85" w:name="_Toc57902972"/>
      <w:r w:rsidRPr="0052764F">
        <w:rPr>
          <w:rFonts w:ascii="Palatino Linotype" w:eastAsia="MS Gothic" w:hAnsi="Palatino Linotype" w:cstheme="majorBidi"/>
          <w:b/>
        </w:rPr>
        <w:t>a.  De las capacidades técnicas</w:t>
      </w:r>
      <w:bookmarkEnd w:id="83"/>
      <w:r w:rsidRPr="0052764F">
        <w:rPr>
          <w:rFonts w:ascii="Palatino Linotype" w:eastAsia="MS Gothic" w:hAnsi="Palatino Linotype" w:cstheme="majorBidi"/>
          <w:b/>
        </w:rPr>
        <w:t xml:space="preserve"> administrativas y humanas</w:t>
      </w:r>
      <w:bookmarkEnd w:id="84"/>
      <w:bookmarkEnd w:id="85"/>
    </w:p>
    <w:p w:rsidR="005D6676" w:rsidRPr="0052764F" w:rsidRDefault="005D6676" w:rsidP="00CE4F60">
      <w:pPr>
        <w:pStyle w:val="Prrafodelista"/>
        <w:keepNext/>
        <w:keepLines/>
        <w:spacing w:line="360" w:lineRule="auto"/>
        <w:outlineLvl w:val="0"/>
        <w:rPr>
          <w:rFonts w:ascii="Palatino Linotype" w:eastAsia="MS Gothic" w:hAnsi="Palatino Linotype" w:cstheme="majorBidi"/>
          <w:b/>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5D6676" w:rsidRPr="0052764F" w:rsidRDefault="005D6676" w:rsidP="00CE4F60">
      <w:pPr>
        <w:spacing w:line="360" w:lineRule="auto"/>
        <w:contextualSpacing/>
        <w:jc w:val="both"/>
        <w:rPr>
          <w:rFonts w:ascii="Palatino Linotype" w:eastAsia="MS Mincho" w:hAnsi="Palatino Linotype" w:cs="Arial"/>
        </w:rPr>
      </w:pPr>
    </w:p>
    <w:p w:rsidR="00AE20F2"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Del análisis de la información solicitada, se puede advertir que</w:t>
      </w:r>
      <w:r w:rsidR="00AE20F2" w:rsidRPr="0052764F">
        <w:rPr>
          <w:rFonts w:ascii="Palatino Linotype" w:eastAsia="MS Mincho" w:hAnsi="Palatino Linotype" w:cs="Arial"/>
        </w:rPr>
        <w:t xml:space="preserve"> de acuerdo a la respuesta del SUJETO OBLIGADO y lo referido a través de infor</w:t>
      </w:r>
      <w:r w:rsidR="001E200F" w:rsidRPr="0052764F">
        <w:rPr>
          <w:rFonts w:ascii="Palatino Linotype" w:eastAsia="MS Mincho" w:hAnsi="Palatino Linotype" w:cs="Arial"/>
        </w:rPr>
        <w:t xml:space="preserve">me justificado, mediante el cual refiere que el número de fojas asciende a la cantidad de 49,426. Asimismo, mediante el informe justificado, se remite el oficio mediante el cual la Directora  General de Informática del INFOEM, comunica al Titular de la Unidad de Transparencia de la Secretaría de Finanzas que queda registrada la incidencia en la bitácora de que el número de fojas que trata de subir </w:t>
      </w:r>
      <w:r w:rsidR="008363DD" w:rsidRPr="0052764F">
        <w:rPr>
          <w:rFonts w:ascii="Palatino Linotype" w:eastAsia="MS Mincho" w:hAnsi="Palatino Linotype" w:cs="Arial"/>
        </w:rPr>
        <w:t xml:space="preserve">sobrepasa las capacidades técnicas: </w:t>
      </w:r>
    </w:p>
    <w:p w:rsidR="008363DD" w:rsidRPr="0052764F" w:rsidRDefault="008363DD" w:rsidP="00CE4F60">
      <w:pPr>
        <w:spacing w:line="360" w:lineRule="auto"/>
        <w:contextualSpacing/>
        <w:jc w:val="both"/>
        <w:rPr>
          <w:rFonts w:ascii="Palatino Linotype" w:eastAsia="MS Mincho" w:hAnsi="Palatino Linotype" w:cs="Arial"/>
        </w:rPr>
      </w:pPr>
    </w:p>
    <w:p w:rsidR="008363DD" w:rsidRPr="0052764F" w:rsidRDefault="008363DD" w:rsidP="00CE4F60">
      <w:pPr>
        <w:rPr>
          <w:rFonts w:ascii="Palatino Linotype" w:eastAsia="MS Mincho" w:hAnsi="Palatino Linotype" w:cs="Arial"/>
        </w:rPr>
      </w:pPr>
      <w:r w:rsidRPr="0052764F">
        <w:rPr>
          <w:noProof/>
          <w:lang w:eastAsia="es-MX"/>
        </w:rPr>
        <w:drawing>
          <wp:inline distT="0" distB="0" distL="0" distR="0" wp14:anchorId="49A961B4" wp14:editId="02162417">
            <wp:extent cx="5372100" cy="401914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29013" t="18215" r="29002" b="13783"/>
                    <a:stretch/>
                  </pic:blipFill>
                  <pic:spPr bwMode="auto">
                    <a:xfrm>
                      <a:off x="0" y="0"/>
                      <a:ext cx="5403609" cy="4042721"/>
                    </a:xfrm>
                    <a:prstGeom prst="rect">
                      <a:avLst/>
                    </a:prstGeom>
                    <a:ln>
                      <a:noFill/>
                    </a:ln>
                    <a:extLst>
                      <a:ext uri="{53640926-AAD7-44D8-BBD7-CCE9431645EC}">
                        <a14:shadowObscured xmlns:a14="http://schemas.microsoft.com/office/drawing/2010/main"/>
                      </a:ext>
                    </a:extLst>
                  </pic:spPr>
                </pic:pic>
              </a:graphicData>
            </a:graphic>
          </wp:inline>
        </w:drawing>
      </w:r>
    </w:p>
    <w:p w:rsidR="004C5AEE" w:rsidRPr="0052764F" w:rsidRDefault="004C5AEE" w:rsidP="00CE4F60">
      <w:pPr>
        <w:rPr>
          <w:rFonts w:ascii="Palatino Linotype" w:eastAsia="MS Mincho" w:hAnsi="Palatino Linotype" w:cs="Arial"/>
        </w:rPr>
      </w:pPr>
    </w:p>
    <w:p w:rsidR="001E200F" w:rsidRPr="0052764F" w:rsidRDefault="001E200F" w:rsidP="00CE4F60">
      <w:pPr>
        <w:pStyle w:val="Prrafodelista"/>
        <w:rPr>
          <w:rFonts w:ascii="Palatino Linotype" w:eastAsia="MS Mincho" w:hAnsi="Palatino Linotype" w:cs="Arial"/>
        </w:rPr>
      </w:pPr>
    </w:p>
    <w:p w:rsidR="00D3542A" w:rsidRPr="0052764F" w:rsidRDefault="00ED2855" w:rsidP="00D3542A">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Asimismo, esta ponencia solicitó a la Dirección General de Informática del Instituto de Transparencia, Acceso a la Información Pública y Protección de Datos Personales del Estado de México y Municipios, el oficio mediante el cual el SUJETO OBLIGADO, solicita el cambio de modalidad por no tener la capacidad técnica para subir la información requerida, en este contex</w:t>
      </w:r>
      <w:r w:rsidR="00D3542A" w:rsidRPr="0052764F">
        <w:rPr>
          <w:rFonts w:ascii="Palatino Linotype" w:eastAsia="MS Mincho" w:hAnsi="Palatino Linotype" w:cs="Arial"/>
        </w:rPr>
        <w:t xml:space="preserve">to, el área referida entrego los </w:t>
      </w:r>
      <w:r w:rsidRPr="0052764F">
        <w:rPr>
          <w:rFonts w:ascii="Palatino Linotype" w:eastAsia="MS Mincho" w:hAnsi="Palatino Linotype" w:cs="Arial"/>
        </w:rPr>
        <w:t>documento</w:t>
      </w:r>
      <w:r w:rsidR="00D3542A" w:rsidRPr="0052764F">
        <w:rPr>
          <w:rFonts w:ascii="Palatino Linotype" w:eastAsia="MS Mincho" w:hAnsi="Palatino Linotype" w:cs="Arial"/>
        </w:rPr>
        <w:t>s</w:t>
      </w:r>
      <w:r w:rsidRPr="0052764F">
        <w:rPr>
          <w:rFonts w:ascii="Palatino Linotype" w:eastAsia="MS Mincho" w:hAnsi="Palatino Linotype" w:cs="Arial"/>
        </w:rPr>
        <w:t xml:space="preserve"> </w:t>
      </w:r>
      <w:r w:rsidR="00D3542A" w:rsidRPr="0052764F">
        <w:rPr>
          <w:rFonts w:ascii="Palatino Linotype" w:eastAsia="MS Mincho" w:hAnsi="Palatino Linotype" w:cs="Arial"/>
        </w:rPr>
        <w:t>que acreditan que se realizó el registro en la bitácora de incidencias como como lo manifestó  en su informe justificado con los documentos que presentó el SUJETO OBLIGADO.</w:t>
      </w:r>
    </w:p>
    <w:p w:rsidR="005D6676" w:rsidRPr="0052764F" w:rsidRDefault="005D6676" w:rsidP="00CE4F60">
      <w:pPr>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52764F">
        <w:rPr>
          <w:rFonts w:ascii="Palatino Linotype" w:eastAsia="MS Mincho" w:hAnsi="Palatino Linotype" w:cs="Arial"/>
          <w:b/>
        </w:rPr>
        <w:t>eficiencia organizacional para efectuar funciones esenciales.</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Desde una perspectiva institucional, la </w:t>
      </w:r>
      <w:r w:rsidRPr="0052764F">
        <w:rPr>
          <w:rFonts w:ascii="Palatino Linotype" w:eastAsia="MS Mincho" w:hAnsi="Palatino Linotype" w:cs="Arial"/>
          <w:b/>
        </w:rPr>
        <w:t xml:space="preserve">capacidad administrativa </w:t>
      </w:r>
      <w:r w:rsidRPr="0052764F">
        <w:rPr>
          <w:rFonts w:ascii="Palatino Linotype" w:eastAsia="MS Mincho" w:hAnsi="Palatino Linotype" w:cs="Arial"/>
        </w:rPr>
        <w:t xml:space="preserve">es entendida como </w:t>
      </w:r>
      <w:r w:rsidRPr="0052764F">
        <w:rPr>
          <w:rFonts w:ascii="Palatino Linotype" w:eastAsia="MS Mincho" w:hAnsi="Palatino Linotype" w:cs="Arial"/>
          <w:i/>
        </w:rPr>
        <w:t xml:space="preserve">“las habilidades técnico-burocráticas del aparato estatal requeridas para alcanzar sus objetos. En este componente se ubican el nivel micro y meso de la Capacidad </w:t>
      </w:r>
      <w:r w:rsidRPr="0052764F">
        <w:rPr>
          <w:rFonts w:ascii="Palatino Linotype" w:eastAsia="MS Mincho" w:hAnsi="Palatino Linotype" w:cs="Arial"/>
          <w:i/>
        </w:rPr>
        <w:lastRenderedPageBreak/>
        <w:t xml:space="preserve">Institucional. El </w:t>
      </w:r>
      <w:r w:rsidRPr="0052764F">
        <w:rPr>
          <w:rFonts w:ascii="Palatino Linotype" w:eastAsia="MS Mincho" w:hAnsi="Palatino Linotype" w:cs="Arial"/>
          <w:b/>
          <w:i/>
        </w:rPr>
        <w:t xml:space="preserve">primero </w:t>
      </w:r>
      <w:r w:rsidRPr="0052764F">
        <w:rPr>
          <w:rFonts w:ascii="Palatino Linotype" w:eastAsia="MS Mincho" w:hAnsi="Palatino Linotype" w:cs="Arial"/>
          <w:i/>
        </w:rPr>
        <w:t xml:space="preserve">hace alusión al individuo, al </w:t>
      </w:r>
      <w:r w:rsidRPr="0052764F">
        <w:rPr>
          <w:rFonts w:ascii="Palatino Linotype" w:eastAsia="MS Mincho" w:hAnsi="Palatino Linotype" w:cs="Arial"/>
          <w:b/>
          <w:i/>
        </w:rPr>
        <w:t>recursos humano</w:t>
      </w:r>
      <w:r w:rsidRPr="0052764F">
        <w:rPr>
          <w:rFonts w:ascii="Palatino Linotype" w:eastAsia="MS Mincho" w:hAnsi="Palatino Linotype" w:cs="Arial"/>
          <w:i/>
        </w:rPr>
        <w:t xml:space="preserve">. En el segundo nivel, se ubica la </w:t>
      </w:r>
      <w:r w:rsidRPr="0052764F">
        <w:rPr>
          <w:rFonts w:ascii="Palatino Linotype" w:eastAsia="MS Mincho" w:hAnsi="Palatino Linotype" w:cs="Arial"/>
          <w:b/>
          <w:i/>
        </w:rPr>
        <w:t>capacidad de gestión</w:t>
      </w:r>
      <w:r w:rsidRPr="0052764F">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52764F">
        <w:rPr>
          <w:rStyle w:val="Refdenotaalpie"/>
          <w:rFonts w:ascii="Palatino Linotype" w:eastAsia="MS Mincho" w:hAnsi="Palatino Linotype" w:cs="Arial"/>
          <w:i/>
        </w:rPr>
        <w:footnoteReference w:id="2"/>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5D6676" w:rsidRPr="0052764F" w:rsidRDefault="005D6676" w:rsidP="00CE4F60">
      <w:pPr>
        <w:pStyle w:val="Prrafodelista"/>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Atendiendo a esta óptica, el SUJETO OBLIGADO se pronunció mencionando que </w:t>
      </w:r>
      <w:r w:rsidR="00D6691A" w:rsidRPr="0052764F">
        <w:rPr>
          <w:rFonts w:ascii="Palatino Linotype" w:eastAsia="MS Mincho" w:hAnsi="Palatino Linotype" w:cs="Arial"/>
        </w:rPr>
        <w:t>la entrega de la información solicitada conlleva</w:t>
      </w:r>
      <w:r w:rsidRPr="0052764F">
        <w:rPr>
          <w:rFonts w:ascii="Palatino Linotype" w:eastAsia="MS Mincho" w:hAnsi="Palatino Linotype" w:cs="Arial"/>
        </w:rPr>
        <w:t xml:space="preserve"> realizar el análisis, estudi</w:t>
      </w:r>
      <w:r w:rsidR="00D6691A" w:rsidRPr="0052764F">
        <w:rPr>
          <w:rFonts w:ascii="Palatino Linotype" w:eastAsia="MS Mincho" w:hAnsi="Palatino Linotype" w:cs="Arial"/>
        </w:rPr>
        <w:t>o o procesamiento de documentos, cuya reproducción sobrepasa las capacidades técnicas, administrativas y humanas.</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Ahora bien, respecto de las capacidades humanas vale la pena precisar lo que se denomina por </w:t>
      </w:r>
      <w:r w:rsidRPr="0052764F">
        <w:rPr>
          <w:rFonts w:ascii="Palatino Linotype" w:eastAsia="MS Mincho" w:hAnsi="Palatino Linotype" w:cs="Arial"/>
          <w:b/>
        </w:rPr>
        <w:t>recursos humanos</w:t>
      </w:r>
      <w:r w:rsidRPr="0052764F">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Las personas, son la </w:t>
      </w:r>
      <w:r w:rsidRPr="0052764F">
        <w:rPr>
          <w:rFonts w:ascii="Palatino Linotype" w:eastAsia="MS Mincho" w:hAnsi="Palatino Linotype" w:cs="Arial"/>
          <w:b/>
        </w:rPr>
        <w:t xml:space="preserve">parte fundamental de una organización </w:t>
      </w:r>
      <w:r w:rsidRPr="0052764F">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D6691A" w:rsidRPr="0052764F" w:rsidRDefault="00D6691A"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Ante ello, el SUJETO OBLIGADO mencionó que </w:t>
      </w:r>
      <w:r w:rsidR="00D6691A" w:rsidRPr="0052764F">
        <w:rPr>
          <w:rFonts w:ascii="Palatino Linotype" w:eastAsia="MS Mincho" w:hAnsi="Palatino Linotype" w:cs="Arial"/>
        </w:rPr>
        <w:t xml:space="preserve">de conformidad con lo establecido </w:t>
      </w:r>
      <w:r w:rsidR="00D6691A" w:rsidRPr="0052764F">
        <w:rPr>
          <w:rFonts w:ascii="Palatino Linotype" w:eastAsia="MS Mincho" w:hAnsi="Palatino Linotype"/>
        </w:rPr>
        <w:t>en los acuerdos de fechas veintitrés de marzo, primero de abril, siete y veintisiete de mayo y veinticuatro de junio del año en curso, que se publicaron en el Periódico Oficial “Gaceta del Gobierno” del Estado de México, así como el del treinta de junio de dos mil veinte que se publicó en la página electrónica del Instituto de Transparencia, Acceso a la Información Pública y Protección de Datos Personales del Estado de México y Municipios (INFOEM), en seguimiento a las disposiciones sanitarias federal y estatal en relación con el reconocimiento de la epidemia de la enfermedad generada por el virus SARS-CoV-2 (COVID-19) así como la emergencia sanitaria por causa de fuerza mayor y medidas de seguridad que conlleva, esta unidad administrativa no cuenta con personal que pueda llevar acabo el procesamiento de la información requerida.</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keepNext/>
        <w:keepLines/>
        <w:spacing w:line="360" w:lineRule="auto"/>
        <w:outlineLvl w:val="0"/>
        <w:rPr>
          <w:rFonts w:ascii="Palatino Linotype" w:eastAsia="MS Gothic" w:hAnsi="Palatino Linotype" w:cstheme="majorBidi"/>
          <w:b/>
        </w:rPr>
      </w:pPr>
      <w:bookmarkStart w:id="86" w:name="_Toc51856805"/>
      <w:bookmarkStart w:id="87" w:name="_Toc57902973"/>
      <w:r w:rsidRPr="0052764F">
        <w:rPr>
          <w:rFonts w:ascii="Palatino Linotype" w:eastAsia="MS Gothic" w:hAnsi="Palatino Linotype" w:cstheme="majorBidi"/>
          <w:b/>
        </w:rPr>
        <w:t>II.  De los actos de autoridad.</w:t>
      </w:r>
      <w:bookmarkEnd w:id="86"/>
      <w:bookmarkEnd w:id="87"/>
    </w:p>
    <w:p w:rsidR="005D6676" w:rsidRPr="0052764F" w:rsidRDefault="005D6676" w:rsidP="00CE4F60">
      <w:pPr>
        <w:tabs>
          <w:tab w:val="left" w:pos="2325"/>
        </w:tabs>
        <w:spacing w:line="360" w:lineRule="auto"/>
        <w:jc w:val="both"/>
        <w:rPr>
          <w:rFonts w:ascii="Palatino Linotype" w:eastAsia="MS Mincho" w:hAnsi="Palatino Linotype"/>
          <w:sz w:val="28"/>
          <w:lang w:val="es-ES" w:eastAsia="es-ES"/>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De acuerdo con lo establecido con nuestra más alta autoridad de México, la Suprema Corte de Justicia de la Nación; define al acto de autoridad como: cualquier </w:t>
      </w:r>
      <w:r w:rsidRPr="0052764F">
        <w:rPr>
          <w:rFonts w:ascii="Palatino Linotype" w:eastAsia="MS Mincho" w:hAnsi="Palatino Linotype" w:cs="Arial"/>
        </w:rPr>
        <w:lastRenderedPageBreak/>
        <w:t xml:space="preserve">hecho voluntario e intencional, negativo o positivo imputable a un órgano del Estado, consistente en una decisión o en una ejecución o en ambas conjuntamente, que produzcan una afectación en situaciones jurídicas o de hecho determinadas.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Asimismo, la Suprema Corte de Justicia de la Nación se ha pronunciado respecto a los actos de autoridad, en razón de lo siguiente: </w:t>
      </w:r>
    </w:p>
    <w:p w:rsidR="005D6676" w:rsidRPr="0052764F" w:rsidRDefault="005D6676" w:rsidP="00CE4F60">
      <w:pPr>
        <w:spacing w:line="360" w:lineRule="auto"/>
        <w:ind w:left="567" w:right="616"/>
        <w:contextualSpacing/>
        <w:jc w:val="both"/>
        <w:rPr>
          <w:rFonts w:ascii="Palatino Linotype" w:eastAsia="MS Mincho" w:hAnsi="Palatino Linotype" w:cs="Arial"/>
        </w:rPr>
      </w:pPr>
    </w:p>
    <w:p w:rsidR="005D6676" w:rsidRPr="0052764F" w:rsidRDefault="005D6676" w:rsidP="00CE4F60">
      <w:pPr>
        <w:spacing w:line="360" w:lineRule="auto"/>
        <w:ind w:left="567" w:right="616"/>
        <w:contextualSpacing/>
        <w:jc w:val="both"/>
        <w:rPr>
          <w:rFonts w:ascii="Palatino Linotype" w:eastAsia="MS Mincho" w:hAnsi="Palatino Linotype" w:cs="Arial"/>
          <w:b/>
        </w:rPr>
      </w:pPr>
      <w:r w:rsidRPr="0052764F">
        <w:rPr>
          <w:rFonts w:ascii="Palatino Linotype" w:eastAsia="MS Mincho" w:hAnsi="Palatino Linotype" w:cs="Arial"/>
          <w:b/>
        </w:rPr>
        <w:t>FUNDAMENTACION Y MOTIVACION.</w:t>
      </w:r>
      <w:r w:rsidRPr="0052764F">
        <w:rPr>
          <w:rFonts w:ascii="Palatino Linotype" w:eastAsia="MS Mincho" w:hAnsi="Palatino Linotype" w:cs="Arial"/>
        </w:rPr>
        <w:t xml:space="preserve"> De acuerdo con el artículo 16 de la Constitución Federal </w:t>
      </w:r>
      <w:r w:rsidRPr="0052764F">
        <w:rPr>
          <w:rFonts w:ascii="Palatino Linotype" w:eastAsia="MS Mincho" w:hAnsi="Palatino Linotype" w:cs="Arial"/>
          <w:b/>
        </w:rPr>
        <w:t>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w:t>
      </w:r>
      <w:r w:rsidRPr="0052764F">
        <w:rPr>
          <w:rFonts w:ascii="Palatino Linotype" w:eastAsia="MS Mincho" w:hAnsi="Palatino Linotype" w:cs="Arial"/>
        </w:rPr>
        <w:t xml:space="preserve"> siendo necesario, además, </w:t>
      </w:r>
      <w:r w:rsidRPr="0052764F">
        <w:rPr>
          <w:rFonts w:ascii="Palatino Linotype" w:eastAsia="MS Mincho" w:hAnsi="Palatino Linotype" w:cs="Arial"/>
          <w:b/>
        </w:rPr>
        <w:t>que exista adecuación entre los motivos aducidos y las normas aplicables</w:t>
      </w:r>
      <w:r w:rsidRPr="0052764F">
        <w:rPr>
          <w:rFonts w:ascii="Palatino Linotype" w:eastAsia="MS Mincho" w:hAnsi="Palatino Linotype" w:cs="Arial"/>
        </w:rPr>
        <w:t xml:space="preserve">, es decir, que </w:t>
      </w:r>
      <w:r w:rsidRPr="0052764F">
        <w:rPr>
          <w:rFonts w:ascii="Palatino Linotype" w:eastAsia="MS Mincho" w:hAnsi="Palatino Linotype" w:cs="Arial"/>
          <w:b/>
        </w:rPr>
        <w:t>en el caso concreto se configuren las hipótesis normativas.</w:t>
      </w:r>
    </w:p>
    <w:p w:rsidR="005D6676" w:rsidRPr="0052764F" w:rsidRDefault="005D6676" w:rsidP="00CE4F60">
      <w:pPr>
        <w:spacing w:line="360" w:lineRule="auto"/>
        <w:ind w:right="616"/>
        <w:contextualSpacing/>
        <w:jc w:val="both"/>
        <w:rPr>
          <w:rFonts w:ascii="Palatino Linotype" w:eastAsia="MS Mincho" w:hAnsi="Palatino Linotype" w:cs="Arial"/>
        </w:rPr>
      </w:pPr>
    </w:p>
    <w:p w:rsidR="005D6676" w:rsidRPr="0052764F" w:rsidRDefault="005D6676" w:rsidP="00CE4F60">
      <w:pPr>
        <w:spacing w:line="360" w:lineRule="auto"/>
        <w:ind w:left="567" w:right="616"/>
        <w:contextualSpacing/>
        <w:jc w:val="both"/>
        <w:rPr>
          <w:rFonts w:ascii="Palatino Linotype" w:eastAsia="MS Mincho" w:hAnsi="Palatino Linotype" w:cs="Arial"/>
        </w:rPr>
      </w:pPr>
      <w:r w:rsidRPr="0052764F">
        <w:rPr>
          <w:rFonts w:ascii="Palatino Linotype" w:eastAsia="MS Mincho" w:hAnsi="Palatino Linotype" w:cs="Arial"/>
        </w:rPr>
        <w:t xml:space="preserve">Séptima Epoca: Amparo en revisión 8280/67. Augusto Vallejo Olivo. 24 de junio de 1968. Cinco votos. Amparo en revisión 3713/69. Elías Chahín. 20 de febrero de 1970. Cinco votos. Amparo en revisión 4115/68. Emeterio Rodríguez Romero y coags. 26 de abril de 1971. Cinco votos. Amparo en revisión 2478/75. María del Socorro Castrejón C. y otros. 31 </w:t>
      </w:r>
      <w:r w:rsidRPr="0052764F">
        <w:rPr>
          <w:rFonts w:ascii="Palatino Linotype" w:eastAsia="MS Mincho" w:hAnsi="Palatino Linotype" w:cs="Arial"/>
        </w:rPr>
        <w:lastRenderedPageBreak/>
        <w:t>de marzo de 1977. Unanimidad de cuatro votos. Amparo en revisión 5724/76. Ramiro Tarango R. y otros. 28 de abril de 1977. Cinco votos.</w:t>
      </w:r>
    </w:p>
    <w:p w:rsidR="005D6676" w:rsidRPr="0052764F" w:rsidRDefault="005D6676" w:rsidP="00CE4F60">
      <w:pPr>
        <w:spacing w:line="360" w:lineRule="auto"/>
        <w:ind w:left="567" w:right="616"/>
        <w:contextualSpacing/>
        <w:jc w:val="both"/>
        <w:rPr>
          <w:rFonts w:ascii="Palatino Linotype" w:eastAsia="MS Mincho" w:hAnsi="Palatino Linotype" w:cs="Arial"/>
        </w:rPr>
      </w:pPr>
    </w:p>
    <w:p w:rsidR="005D6676" w:rsidRPr="0052764F" w:rsidRDefault="005D6676" w:rsidP="00CE4F60">
      <w:pPr>
        <w:spacing w:line="360" w:lineRule="auto"/>
        <w:ind w:left="567" w:right="616"/>
        <w:contextualSpacing/>
        <w:jc w:val="both"/>
        <w:rPr>
          <w:rFonts w:ascii="Palatino Linotype" w:eastAsia="MS Mincho" w:hAnsi="Palatino Linotype" w:cs="Arial"/>
        </w:rPr>
      </w:pPr>
      <w:r w:rsidRPr="0052764F">
        <w:rPr>
          <w:rFonts w:ascii="Palatino Linotype" w:eastAsia="MS Mincho" w:hAnsi="Palatino Linotype" w:cs="Arial"/>
        </w:rPr>
        <w:t>NOTA: Aparece también publicada en el Informe de 1973, Parte II, con la tesis número 11, en la página 18, y se publican además los siguientes precedentes (en lugar de los A. R. 2478/75 y 5724/76): Amparo en revisión 9598/67. Oscar Leonel Velasco Casas. 1 de julio de 1968. 5 votos. Ponente: Alberto Orozco Romero. Amparo en revisión 7258/67. Comisariado Ejidal del Poblado de San Lorenzo Tezonco, Iztapalapa. D. F. y otros. 24 de julio de 1968. 5 votos. Ponente: Pedro Guerrero Martínez.</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Es entonces que, para que un acto de autoridad sea válido, se requiere que: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pStyle w:val="Prrafodelista"/>
        <w:numPr>
          <w:ilvl w:val="0"/>
          <w:numId w:val="14"/>
        </w:numPr>
        <w:spacing w:line="360" w:lineRule="auto"/>
        <w:ind w:right="616"/>
        <w:jc w:val="both"/>
        <w:rPr>
          <w:rFonts w:ascii="Palatino Linotype" w:eastAsia="MS Mincho" w:hAnsi="Palatino Linotype" w:cs="Arial"/>
          <w:b/>
        </w:rPr>
      </w:pPr>
      <w:r w:rsidRPr="0052764F">
        <w:rPr>
          <w:rFonts w:ascii="Palatino Linotype" w:eastAsia="MS Mincho" w:hAnsi="Palatino Linotype" w:cs="Arial"/>
          <w:b/>
        </w:rPr>
        <w:t>Se encuentre fundado y motivado; y</w:t>
      </w:r>
    </w:p>
    <w:p w:rsidR="005D6676" w:rsidRPr="0052764F" w:rsidRDefault="005D6676" w:rsidP="00CE4F60">
      <w:pPr>
        <w:pStyle w:val="Prrafodelista"/>
        <w:numPr>
          <w:ilvl w:val="0"/>
          <w:numId w:val="14"/>
        </w:numPr>
        <w:spacing w:line="360" w:lineRule="auto"/>
        <w:ind w:right="616"/>
        <w:jc w:val="both"/>
        <w:rPr>
          <w:rFonts w:ascii="Palatino Linotype" w:eastAsia="MS Mincho" w:hAnsi="Palatino Linotype" w:cs="Arial"/>
          <w:b/>
        </w:rPr>
      </w:pPr>
      <w:r w:rsidRPr="0052764F">
        <w:rPr>
          <w:rFonts w:ascii="Palatino Linotype" w:eastAsia="MS Mincho" w:hAnsi="Palatino Linotype" w:cs="Arial"/>
          <w:b/>
        </w:rPr>
        <w:t xml:space="preserve">La adecuación entre los motivos aducidos y las normas aplicados, es decir; se configuren las hipótesis normativas.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Es entonces que, respecto al inciso </w:t>
      </w:r>
      <w:r w:rsidRPr="0052764F">
        <w:rPr>
          <w:rFonts w:ascii="Palatino Linotype" w:eastAsia="MS Mincho" w:hAnsi="Palatino Linotype" w:cs="Arial"/>
          <w:b/>
        </w:rPr>
        <w:t xml:space="preserve">a) fundamentación y motivación, </w:t>
      </w:r>
      <w:r w:rsidRPr="0052764F">
        <w:rPr>
          <w:rFonts w:ascii="Palatino Linotype" w:eastAsia="MS Mincho" w:hAnsi="Palatino Linotype" w:cs="Arial"/>
        </w:rPr>
        <w:t xml:space="preserve">es decir que se exprese con precisión el precepto legal aplicable al caso  y que se señalen con precisión, las circunstancias especiales, razones particulares o causas inmediatas que se hayan tenido en consideración para la emisión del acto, tenemos que el </w:t>
      </w:r>
      <w:r w:rsidRPr="0052764F">
        <w:rPr>
          <w:rFonts w:ascii="Palatino Linotype" w:eastAsia="MS Mincho" w:hAnsi="Palatino Linotype" w:cs="Arial"/>
          <w:b/>
        </w:rPr>
        <w:t xml:space="preserve">Sujeto Obligado </w:t>
      </w:r>
      <w:r w:rsidRPr="0052764F">
        <w:rPr>
          <w:rFonts w:ascii="Palatino Linotype" w:eastAsia="MS Mincho" w:hAnsi="Palatino Linotype" w:cs="Arial"/>
        </w:rPr>
        <w:t xml:space="preserve">fundó el pretendido cambio de modalidad principalmente en </w:t>
      </w:r>
      <w:r w:rsidR="00C173FF" w:rsidRPr="0052764F">
        <w:rPr>
          <w:rFonts w:ascii="Palatino Linotype" w:eastAsia="MS Mincho" w:hAnsi="Palatino Linotype" w:cs="Arial"/>
        </w:rPr>
        <w:t xml:space="preserve">el artículo </w:t>
      </w:r>
      <w:r w:rsidRPr="0052764F">
        <w:rPr>
          <w:rFonts w:ascii="Palatino Linotype" w:hAnsi="Palatino Linotype"/>
        </w:rPr>
        <w:t>158</w:t>
      </w:r>
      <w:r w:rsidR="00C173FF" w:rsidRPr="0052764F">
        <w:rPr>
          <w:rFonts w:ascii="Palatino Linotype" w:hAnsi="Palatino Linotype"/>
        </w:rPr>
        <w:t xml:space="preserve"> </w:t>
      </w:r>
      <w:r w:rsidRPr="0052764F">
        <w:rPr>
          <w:rFonts w:ascii="Palatino Linotype" w:hAnsi="Palatino Linotype"/>
        </w:rPr>
        <w:t xml:space="preserve">de la Ley de Transparencia y Acceso a la Información Pública del Estado de México y sus Municipios, por los Lineamientos Generales en Materia de </w:t>
      </w:r>
      <w:r w:rsidRPr="0052764F">
        <w:rPr>
          <w:rFonts w:ascii="Palatino Linotype" w:hAnsi="Palatino Linotype"/>
        </w:rPr>
        <w:lastRenderedPageBreak/>
        <w:t>Clasificación y Desclasificación de la Información</w:t>
      </w:r>
      <w:r w:rsidRPr="0052764F">
        <w:rPr>
          <w:rFonts w:ascii="Palatino Linotype" w:eastAsia="MS Mincho" w:hAnsi="Palatino Linotype" w:cs="Arial"/>
        </w:rPr>
        <w:t xml:space="preserve">, los cuales resultan aplicables al caso concreto y; asimismo, precisó que no contaba con las capacidades </w:t>
      </w:r>
      <w:r w:rsidRPr="0052764F">
        <w:rPr>
          <w:rFonts w:ascii="Palatino Linotype" w:eastAsia="MS Mincho" w:hAnsi="Palatino Linotype" w:cs="Arial"/>
          <w:b/>
        </w:rPr>
        <w:t>administrativas, técnicas y humanas,</w:t>
      </w:r>
      <w:r w:rsidR="00C173FF" w:rsidRPr="0052764F">
        <w:rPr>
          <w:rFonts w:ascii="Palatino Linotype" w:eastAsia="MS Mincho" w:hAnsi="Palatino Linotype" w:cs="Arial"/>
        </w:rPr>
        <w:t xml:space="preserve"> ya que</w:t>
      </w:r>
      <w:r w:rsidRPr="0052764F">
        <w:rPr>
          <w:rFonts w:ascii="Palatino Linotype" w:eastAsia="MS Mincho" w:hAnsi="Palatino Linotype" w:cs="Arial"/>
        </w:rPr>
        <w:t xml:space="preserve"> </w:t>
      </w:r>
      <w:r w:rsidR="00C173FF" w:rsidRPr="0052764F">
        <w:rPr>
          <w:rFonts w:ascii="Palatino Linotype" w:eastAsia="MS Mincho" w:hAnsi="Palatino Linotype" w:cs="Arial"/>
        </w:rPr>
        <w:t>no cuenta con el personal que pueda llevar acabo el procesamiento de la información</w:t>
      </w:r>
      <w:r w:rsidRPr="0052764F">
        <w:rPr>
          <w:rFonts w:ascii="Palatino Linotype" w:eastAsia="MS Mincho" w:hAnsi="Palatino Linotype" w:cs="Arial"/>
        </w:rPr>
        <w:t xml:space="preserve">, debido a la </w:t>
      </w:r>
      <w:r w:rsidR="00C173FF" w:rsidRPr="0052764F">
        <w:rPr>
          <w:rFonts w:ascii="Palatino Linotype" w:eastAsia="MS Mincho" w:hAnsi="Palatino Linotype"/>
        </w:rPr>
        <w:t>reconocimiento de la epidemia de la enfermedad generada por el virus SARS-CoV-2 (COVID-19) así como la emergencia sanitaria por causa de fuerza mayor y medidas de seguridad que conlleva</w:t>
      </w:r>
      <w:r w:rsidRPr="0052764F">
        <w:rPr>
          <w:rFonts w:ascii="Palatino Linotype" w:eastAsia="MS Mincho" w:hAnsi="Palatino Linotype" w:cs="Arial"/>
        </w:rPr>
        <w:t xml:space="preserve"> . Todo ello conformando aquellas circunstancias especiales que los llevaron a determinar como procedente el cambio de modalidad a consulta directa.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Ahora bien, respecto al </w:t>
      </w:r>
      <w:r w:rsidRPr="0052764F">
        <w:rPr>
          <w:rFonts w:ascii="Palatino Linotype" w:eastAsia="MS Mincho" w:hAnsi="Palatino Linotype" w:cs="Arial"/>
          <w:b/>
        </w:rPr>
        <w:t>inciso b)</w:t>
      </w:r>
      <w:r w:rsidRPr="0052764F">
        <w:rPr>
          <w:rFonts w:ascii="Palatino Linotype" w:eastAsia="MS Mincho" w:hAnsi="Palatino Linotype" w:cs="Arial"/>
        </w:rPr>
        <w:t xml:space="preserve"> </w:t>
      </w:r>
      <w:r w:rsidRPr="0052764F">
        <w:rPr>
          <w:rFonts w:ascii="Palatino Linotype" w:eastAsia="MS Mincho" w:hAnsi="Palatino Linotype" w:cs="Arial"/>
          <w:b/>
        </w:rPr>
        <w:t>La adecuación entre los motivos aducidos y las normas aplicadas, es decir; se configuren las hipótesis normativas</w:t>
      </w:r>
      <w:r w:rsidRPr="0052764F">
        <w:rPr>
          <w:rFonts w:ascii="Palatino Linotype" w:eastAsia="MS Mincho" w:hAnsi="Palatino Linotype" w:cs="Arial"/>
        </w:rPr>
        <w:t xml:space="preserve">, tenemos que tal y como se establece en el artículo 158 de la Ley de Transparencia y Acceso a la Información Pública del Estado de México y Municipios: </w:t>
      </w:r>
      <w:r w:rsidRPr="0052764F">
        <w:rPr>
          <w:rFonts w:ascii="Palatino Linotype" w:eastAsia="MS Mincho" w:hAnsi="Palatino Linotype" w:cs="Arial"/>
          <w:i/>
        </w:rPr>
        <w:t xml:space="preserve">“De manera </w:t>
      </w:r>
      <w:r w:rsidRPr="0052764F">
        <w:rPr>
          <w:rFonts w:ascii="Palatino Linotype" w:eastAsia="MS Mincho" w:hAnsi="Palatino Linotype" w:cs="Arial"/>
          <w:b/>
          <w:i/>
        </w:rPr>
        <w:t>excepcional</w:t>
      </w:r>
      <w:r w:rsidRPr="0052764F">
        <w:rPr>
          <w:rFonts w:ascii="Palatino Linotype" w:eastAsia="MS Mincho" w:hAnsi="Palatino Linotype" w:cs="Arial"/>
          <w:i/>
        </w:rPr>
        <w:t xml:space="preserve">¸ cuando se forma fundada y motivada […] en aquellos casos en la información solicitada que ya se encuentre en su posesión implique, análisis, estudio o procesamiento de documentos </w:t>
      </w:r>
      <w:r w:rsidRPr="0052764F">
        <w:rPr>
          <w:rFonts w:ascii="Palatino Linotype" w:eastAsia="MS Mincho" w:hAnsi="Palatino Linotype" w:cs="Arial"/>
          <w:b/>
          <w:i/>
        </w:rPr>
        <w:t>cuya entrega o reproducción sobrepase las capacidades técnicas, administrativas y humanas</w:t>
      </w:r>
      <w:r w:rsidRPr="0052764F">
        <w:rPr>
          <w:rFonts w:ascii="Palatino Linotype" w:eastAsia="MS Mincho" w:hAnsi="Palatino Linotype" w:cs="Arial"/>
          <w:i/>
        </w:rPr>
        <w:t xml:space="preserve"> […] se podrá a poner a disposición del solicitante los documentos en consulta directa, salvo la información clasificada. </w:t>
      </w:r>
      <w:r w:rsidRPr="0052764F">
        <w:rPr>
          <w:rFonts w:ascii="Palatino Linotype" w:eastAsia="MS Mincho" w:hAnsi="Palatino Linotype" w:cs="Arial"/>
        </w:rPr>
        <w:t xml:space="preserve"> De tal forma, que en primer lugar existe la posibilidad de poner a disposición en consulta directa la información solicitada, pues la ley lo establece y en segundo lugar, al estar frente a un déficit humano y</w:t>
      </w:r>
      <w:r w:rsidR="00647636" w:rsidRPr="0052764F">
        <w:rPr>
          <w:rFonts w:ascii="Palatino Linotype" w:eastAsia="MS Mincho" w:hAnsi="Palatino Linotype" w:cs="Arial"/>
        </w:rPr>
        <w:t xml:space="preserve">  administrativo</w:t>
      </w:r>
      <w:r w:rsidRPr="0052764F">
        <w:rPr>
          <w:rFonts w:ascii="Palatino Linotype" w:eastAsia="MS Mincho" w:hAnsi="Palatino Linotype" w:cs="Arial"/>
        </w:rPr>
        <w:t>, resultaría impos</w:t>
      </w:r>
      <w:r w:rsidR="00647636" w:rsidRPr="0052764F">
        <w:rPr>
          <w:rFonts w:ascii="Palatino Linotype" w:eastAsia="MS Mincho" w:hAnsi="Palatino Linotype" w:cs="Arial"/>
        </w:rPr>
        <w:t xml:space="preserve">ible cumplir </w:t>
      </w:r>
      <w:r w:rsidRPr="0052764F">
        <w:rPr>
          <w:rFonts w:ascii="Palatino Linotype" w:eastAsia="MS Mincho" w:hAnsi="Palatino Linotype" w:cs="Arial"/>
        </w:rPr>
        <w:t xml:space="preserve"> con la entrega de la información bajo la modalidad solicitada, por lo que, de manera </w:t>
      </w:r>
      <w:r w:rsidRPr="0052764F">
        <w:rPr>
          <w:rFonts w:ascii="Palatino Linotype" w:eastAsia="MS Mincho" w:hAnsi="Palatino Linotype" w:cs="Arial"/>
          <w:b/>
        </w:rPr>
        <w:t xml:space="preserve">excepcional </w:t>
      </w:r>
      <w:r w:rsidRPr="0052764F">
        <w:rPr>
          <w:rFonts w:ascii="Palatino Linotype" w:eastAsia="MS Mincho" w:hAnsi="Palatino Linotype" w:cs="Arial"/>
        </w:rPr>
        <w:t xml:space="preserve">se puede poner a disposición del solicitante la información en </w:t>
      </w:r>
      <w:r w:rsidRPr="0052764F">
        <w:rPr>
          <w:rFonts w:ascii="Palatino Linotype" w:eastAsia="MS Mincho" w:hAnsi="Palatino Linotype" w:cs="Arial"/>
          <w:b/>
        </w:rPr>
        <w:t xml:space="preserve">consulta directa.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lastRenderedPageBreak/>
        <w:t xml:space="preserve">En resumen, al haberse acreditado la imposibilidad de la entrega de la información vía Sistema de Acceso a la Información Mexiquense (SAIMEX), en razón de que la información sobrepasaba las capacidades administrativas y humanas, lo cual fue debidamente fundado y motivado, el cambio de modalidad resulta procedente. </w:t>
      </w:r>
    </w:p>
    <w:p w:rsidR="005D6676" w:rsidRPr="0052764F" w:rsidRDefault="005D6676" w:rsidP="00CE4F60">
      <w:pPr>
        <w:pStyle w:val="Prrafodelista"/>
        <w:shd w:val="clear" w:color="auto" w:fill="FFFFFF"/>
        <w:spacing w:line="360" w:lineRule="auto"/>
        <w:ind w:left="0"/>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b/>
        </w:rPr>
        <w:t>En conclusión</w:t>
      </w:r>
      <w:r w:rsidRPr="0052764F">
        <w:rPr>
          <w:rFonts w:ascii="Palatino Linotype" w:eastAsia="MS Mincho" w:hAnsi="Palatino Linotype" w:cs="Arial"/>
        </w:rPr>
        <w:t xml:space="preserve">, </w:t>
      </w:r>
      <w:r w:rsidRPr="0052764F">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rsidR="005D6676" w:rsidRPr="0052764F" w:rsidRDefault="005D6676" w:rsidP="00CE4F60">
      <w:pPr>
        <w:pStyle w:val="Prrafodelista"/>
        <w:shd w:val="clear" w:color="auto" w:fill="FFFFFF"/>
        <w:spacing w:line="360" w:lineRule="auto"/>
        <w:ind w:left="0"/>
        <w:jc w:val="both"/>
        <w:rPr>
          <w:rFonts w:ascii="Palatino Linotype"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hAnsi="Palatino Linotype"/>
        </w:rPr>
        <w:t>En conjunto, las</w:t>
      </w:r>
      <w:r w:rsidR="00647636" w:rsidRPr="0052764F">
        <w:rPr>
          <w:rFonts w:ascii="Palatino Linotype" w:hAnsi="Palatino Linotype"/>
        </w:rPr>
        <w:t xml:space="preserve"> capacidades técnicas</w:t>
      </w:r>
      <w:r w:rsidRPr="0052764F">
        <w:rPr>
          <w:rFonts w:ascii="Palatino Linotype" w:hAnsi="Palatino Linotype"/>
        </w:rPr>
        <w:t xml:space="preserve">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52764F">
        <w:rPr>
          <w:rFonts w:ascii="Palatino Linotype" w:hAnsi="Palatino Linotype"/>
          <w:b/>
        </w:rPr>
        <w:t xml:space="preserve">Sujeto Obligado </w:t>
      </w:r>
      <w:r w:rsidRPr="0052764F">
        <w:rPr>
          <w:rFonts w:ascii="Palatino Linotype" w:hAnsi="Palatino Linotype"/>
        </w:rPr>
        <w:t xml:space="preserve">se vería imposibilitado en el cumplimiento requerido, en el plazo legal legalmente establecido para tales efectos.  </w:t>
      </w:r>
    </w:p>
    <w:p w:rsidR="005D6676" w:rsidRPr="0052764F" w:rsidRDefault="005D6676" w:rsidP="00CE4F60">
      <w:pPr>
        <w:pStyle w:val="Prrafodelista"/>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Pr="0052764F">
        <w:rPr>
          <w:rFonts w:ascii="Palatino Linotype" w:hAnsi="Palatino Linotype"/>
          <w:b/>
        </w:rPr>
        <w:t xml:space="preserve">Sujeto Obligado </w:t>
      </w:r>
      <w:r w:rsidRPr="0052764F">
        <w:rPr>
          <w:rFonts w:ascii="Palatino Linotype" w:hAnsi="Palatino Linotype"/>
        </w:rPr>
        <w:t>reconoce que la información solicitada sobrepasa sus capacidades técnicas</w:t>
      </w:r>
      <w:r w:rsidR="00647636" w:rsidRPr="0052764F">
        <w:rPr>
          <w:rFonts w:ascii="Palatino Linotype" w:hAnsi="Palatino Linotype"/>
        </w:rPr>
        <w:t xml:space="preserve"> administrativas</w:t>
      </w:r>
      <w:r w:rsidRPr="0052764F">
        <w:rPr>
          <w:rFonts w:ascii="Palatino Linotype" w:hAnsi="Palatino Linotype"/>
        </w:rPr>
        <w:t xml:space="preserve"> y humanas, por lo que para dar cumplimiento y salvaguardar el </w:t>
      </w:r>
      <w:r w:rsidRPr="0052764F">
        <w:rPr>
          <w:rFonts w:ascii="Palatino Linotype" w:hAnsi="Palatino Linotype"/>
        </w:rPr>
        <w:lastRenderedPageBreak/>
        <w:t xml:space="preserve">derecho de acceso a la información pública, sugiere el cambio de modalidad como una mejora en la atención de tal derecho.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Ahora bien, tal y como se precisó en párrafos anteriores, el </w:t>
      </w:r>
      <w:r w:rsidRPr="0052764F">
        <w:rPr>
          <w:rFonts w:ascii="Palatino Linotype" w:eastAsia="MS Mincho" w:hAnsi="Palatino Linotype" w:cs="Arial"/>
          <w:b/>
        </w:rPr>
        <w:t xml:space="preserve">Sujeto Obligado </w:t>
      </w:r>
      <w:r w:rsidRPr="0052764F">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52764F">
        <w:rPr>
          <w:rFonts w:ascii="Palatino Linotype" w:hAnsi="Palatino Linotype"/>
        </w:rPr>
        <w:t xml:space="preserve">esta Ponencia determina que </w:t>
      </w:r>
      <w:r w:rsidRPr="0052764F">
        <w:rPr>
          <w:rFonts w:ascii="Palatino Linotype" w:hAnsi="Palatino Linotype"/>
          <w:b/>
        </w:rPr>
        <w:t>resulta procedente</w:t>
      </w:r>
      <w:r w:rsidRPr="0052764F">
        <w:rPr>
          <w:rFonts w:ascii="Palatino Linotype" w:hAnsi="Palatino Linotype"/>
        </w:rPr>
        <w:t xml:space="preserve"> realizar el cambio de modalidad de entrega de la información a consulta directa. </w:t>
      </w:r>
    </w:p>
    <w:p w:rsidR="005D6676" w:rsidRPr="0052764F" w:rsidRDefault="005D6676" w:rsidP="00CE4F60">
      <w:pPr>
        <w:spacing w:line="360" w:lineRule="auto"/>
        <w:contextualSpacing/>
        <w:jc w:val="both"/>
        <w:rPr>
          <w:rFonts w:ascii="Palatino Linotype" w:eastAsia="MS Mincho" w:hAnsi="Palatino Linotype" w:cs="Arial"/>
        </w:rPr>
      </w:pPr>
    </w:p>
    <w:p w:rsidR="005D6676" w:rsidRPr="0052764F" w:rsidRDefault="005D6676" w:rsidP="00CE4F60">
      <w:pPr>
        <w:numPr>
          <w:ilvl w:val="0"/>
          <w:numId w:val="1"/>
        </w:numPr>
        <w:spacing w:line="360" w:lineRule="auto"/>
        <w:ind w:left="0" w:firstLine="0"/>
        <w:contextualSpacing/>
        <w:jc w:val="both"/>
        <w:rPr>
          <w:rFonts w:ascii="Palatino Linotype" w:eastAsia="MS Mincho" w:hAnsi="Palatino Linotype" w:cs="Arial"/>
        </w:rPr>
      </w:pPr>
      <w:r w:rsidRPr="0052764F">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rsidR="005D6676" w:rsidRPr="0052764F" w:rsidRDefault="005D6676" w:rsidP="00CE4F60">
      <w:pPr>
        <w:tabs>
          <w:tab w:val="left" w:pos="1815"/>
        </w:tabs>
        <w:spacing w:line="360" w:lineRule="auto"/>
        <w:contextualSpacing/>
        <w:jc w:val="both"/>
        <w:rPr>
          <w:rFonts w:ascii="Palatino Linotype" w:eastAsia="MS Mincho" w:hAnsi="Palatino Linotype" w:cs="Arial"/>
        </w:rPr>
      </w:pPr>
      <w:r w:rsidRPr="0052764F">
        <w:rPr>
          <w:rFonts w:ascii="Palatino Linotype" w:eastAsia="MS Mincho" w:hAnsi="Palatino Linotype" w:cs="Arial"/>
        </w:rPr>
        <w:tab/>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“Sexagésimo séptimo. </w:t>
      </w:r>
      <w:r w:rsidRPr="0052764F">
        <w:rPr>
          <w:rFonts w:ascii="Palatino Linotype" w:hAnsi="Palatino Linotype" w:cs="Arial"/>
          <w:i/>
          <w:iCs/>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lastRenderedPageBreak/>
        <w:t xml:space="preserve">Sexagésimo octavo. </w:t>
      </w:r>
      <w:r w:rsidRPr="0052764F">
        <w:rPr>
          <w:rFonts w:ascii="Palatino Linotype" w:hAnsi="Palatino Linotype" w:cs="Arial"/>
          <w:i/>
          <w:iCs/>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Sexagésimo noveno. </w:t>
      </w:r>
      <w:r w:rsidRPr="0052764F">
        <w:rPr>
          <w:rFonts w:ascii="Palatino Linotype" w:hAnsi="Palatino Linotype" w:cs="Arial"/>
          <w:i/>
          <w:iCs/>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5D6676" w:rsidRPr="0052764F" w:rsidRDefault="005D6676" w:rsidP="00CE4F60">
      <w:pPr>
        <w:spacing w:line="360" w:lineRule="auto"/>
        <w:ind w:left="567" w:right="616"/>
        <w:jc w:val="both"/>
        <w:rPr>
          <w:rFonts w:ascii="Palatino Linotype" w:hAnsi="Palatino Linotype" w:cs="Arial"/>
          <w:i/>
          <w:iCs/>
          <w:sz w:val="10"/>
          <w:szCs w:val="12"/>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Septuagésimo. </w:t>
      </w:r>
      <w:r w:rsidRPr="0052764F">
        <w:rPr>
          <w:rFonts w:ascii="Palatino Linotype" w:hAnsi="Palatino Linotype" w:cs="Arial"/>
          <w:i/>
          <w:iCs/>
        </w:rPr>
        <w:t xml:space="preserve">Para el desahogo de las actuaciones tendientes a permitir la consulta directa, en los casos en que ésta resulte procedente, los sujetos obligados deberán observar lo siguiente: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I. </w:t>
      </w:r>
      <w:r w:rsidRPr="0052764F">
        <w:rPr>
          <w:rFonts w:ascii="Palatino Linotype" w:hAnsi="Palatino Linotype" w:cs="Arial"/>
          <w:i/>
          <w:iCs/>
        </w:rPr>
        <w:t>Señalar claramente al particular, en la respuesta a su solicitud</w:t>
      </w:r>
      <w:r w:rsidRPr="0052764F">
        <w:rPr>
          <w:rFonts w:ascii="Palatino Linotype" w:hAnsi="Palatino Linotype" w:cs="Arial"/>
          <w:i/>
          <w:iCs/>
          <w:u w:val="single"/>
        </w:rPr>
        <w:t xml:space="preserve">, el lugar, día y hora </w:t>
      </w:r>
      <w:r w:rsidRPr="0052764F">
        <w:rPr>
          <w:rFonts w:ascii="Palatino Linotype" w:hAnsi="Palatino Linotype" w:cs="Arial"/>
          <w:i/>
          <w:iCs/>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5D6676" w:rsidRPr="0052764F" w:rsidRDefault="005D6676" w:rsidP="00CE4F60">
      <w:pPr>
        <w:spacing w:line="360" w:lineRule="auto"/>
        <w:ind w:left="567" w:right="616"/>
        <w:jc w:val="both"/>
        <w:rPr>
          <w:rFonts w:ascii="Palatino Linotype" w:hAnsi="Palatino Linotype" w:cs="Arial"/>
          <w:b/>
          <w:bCs/>
          <w:i/>
          <w:iCs/>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II. </w:t>
      </w:r>
      <w:r w:rsidRPr="0052764F">
        <w:rPr>
          <w:rFonts w:ascii="Palatino Linotype" w:hAnsi="Palatino Linotype" w:cs="Arial"/>
          <w:i/>
          <w:iCs/>
        </w:rPr>
        <w:t xml:space="preserve">En su caso, la procedencia de los ajustes razonables solicitados y/o la procedencia de acceso en la lengua indígena requerida;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III. </w:t>
      </w:r>
      <w:r w:rsidRPr="0052764F">
        <w:rPr>
          <w:rFonts w:ascii="Palatino Linotype" w:hAnsi="Palatino Linotype" w:cs="Arial"/>
          <w:i/>
          <w:iC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IV. </w:t>
      </w:r>
      <w:r w:rsidRPr="0052764F">
        <w:rPr>
          <w:rFonts w:ascii="Palatino Linotype" w:hAnsi="Palatino Linotype" w:cs="Arial"/>
          <w:i/>
          <w:iCs/>
        </w:rPr>
        <w:t xml:space="preserve">Proporcionar al solicitante las facilidades y asistencia requerida para la consulta de los documentos;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V. </w:t>
      </w:r>
      <w:r w:rsidRPr="0052764F">
        <w:rPr>
          <w:rFonts w:ascii="Palatino Linotype" w:hAnsi="Palatino Linotype" w:cs="Arial"/>
          <w:i/>
          <w:iCs/>
        </w:rPr>
        <w:t>Abstenerse de requerir al solicitante que acredite interés alguno;</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VI. </w:t>
      </w:r>
      <w:r w:rsidRPr="0052764F">
        <w:rPr>
          <w:rFonts w:ascii="Palatino Linotype" w:hAnsi="Palatino Linotype" w:cs="Arial"/>
          <w:i/>
          <w:iCs/>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a) </w:t>
      </w:r>
      <w:r w:rsidRPr="0052764F">
        <w:rPr>
          <w:rFonts w:ascii="Palatino Linotype" w:hAnsi="Palatino Linotype" w:cs="Arial"/>
          <w:i/>
          <w:iCs/>
        </w:rPr>
        <w:t xml:space="preserve">Contar con instalaciones y mobiliario adecuado para asegurar tanto la integridad del documento consultado, como para proporcionar al solicitante las mejores condiciones para poder llevar a cabo la consulta directa; </w:t>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b) </w:t>
      </w:r>
      <w:r w:rsidRPr="0052764F">
        <w:rPr>
          <w:rFonts w:ascii="Palatino Linotype" w:hAnsi="Palatino Linotype" w:cs="Arial"/>
          <w:i/>
          <w:iCs/>
        </w:rPr>
        <w:t xml:space="preserve">Equipo y personal de vigilancia; </w:t>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c) </w:t>
      </w:r>
      <w:r w:rsidRPr="0052764F">
        <w:rPr>
          <w:rFonts w:ascii="Palatino Linotype" w:hAnsi="Palatino Linotype" w:cs="Arial"/>
          <w:i/>
          <w:iCs/>
        </w:rPr>
        <w:t xml:space="preserve">Plan de acción contra robo o vandalismo; </w:t>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d) </w:t>
      </w:r>
      <w:r w:rsidRPr="0052764F">
        <w:rPr>
          <w:rFonts w:ascii="Palatino Linotype" w:hAnsi="Palatino Linotype" w:cs="Arial"/>
          <w:i/>
          <w:iCs/>
        </w:rPr>
        <w:t xml:space="preserve">Extintores de fuego de gas inocuo; </w:t>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e) </w:t>
      </w:r>
      <w:r w:rsidRPr="0052764F">
        <w:rPr>
          <w:rFonts w:ascii="Palatino Linotype" w:hAnsi="Palatino Linotype" w:cs="Arial"/>
          <w:i/>
          <w:iCs/>
        </w:rPr>
        <w:t xml:space="preserve">Registro e identificación del personal autorizado para el tratamiento de los documentos o expedientes a revisar; </w:t>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f) </w:t>
      </w:r>
      <w:r w:rsidRPr="0052764F">
        <w:rPr>
          <w:rFonts w:ascii="Palatino Linotype" w:hAnsi="Palatino Linotype" w:cs="Arial"/>
          <w:i/>
          <w:iCs/>
        </w:rPr>
        <w:t xml:space="preserve">Registro e identificación de los particulares autorizados para llevar a cabo la consulta directa, y </w:t>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g) </w:t>
      </w:r>
      <w:r w:rsidRPr="0052764F">
        <w:rPr>
          <w:rFonts w:ascii="Palatino Linotype" w:hAnsi="Palatino Linotype" w:cs="Arial"/>
          <w:i/>
          <w:iCs/>
        </w:rPr>
        <w:t xml:space="preserve">Las demás que, a criterio de los sujetos obligados, resulten necesarias. </w:t>
      </w:r>
    </w:p>
    <w:p w:rsidR="005D6676" w:rsidRPr="0052764F" w:rsidRDefault="005D6676" w:rsidP="00CE4F60">
      <w:pPr>
        <w:spacing w:line="360" w:lineRule="auto"/>
        <w:ind w:left="567" w:right="616"/>
        <w:jc w:val="both"/>
        <w:rPr>
          <w:rFonts w:ascii="Palatino Linotype" w:hAnsi="Palatino Linotype" w:cs="Arial"/>
          <w:i/>
          <w:iCs/>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VII. </w:t>
      </w:r>
      <w:r w:rsidRPr="0052764F">
        <w:rPr>
          <w:rFonts w:ascii="Palatino Linotype" w:hAnsi="Palatino Linotype" w:cs="Arial"/>
          <w:i/>
          <w:iCs/>
        </w:rPr>
        <w:t xml:space="preserve">Hacer del conocimiento del solicitante, previo al acceso a la información, las reglas a que se sujetará la consulta para garantizar la integridad de los documentos, y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VIII. </w:t>
      </w:r>
      <w:r w:rsidRPr="0052764F">
        <w:rPr>
          <w:rFonts w:ascii="Palatino Linotype" w:hAnsi="Palatino Linotype" w:cs="Arial"/>
          <w:i/>
          <w:iCs/>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Septuagésimo primero. </w:t>
      </w:r>
      <w:r w:rsidRPr="0052764F">
        <w:rPr>
          <w:rFonts w:ascii="Palatino Linotype" w:hAnsi="Palatino Linotype" w:cs="Arial"/>
          <w:i/>
          <w:iC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i/>
          <w:iCs/>
        </w:rPr>
        <w:t xml:space="preserve">El solicitante deberá observar en todo momento las reglas que el sujeto obligado haya hecho de su conocimiento para efectos de la conservación de los documentos.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Septuagésimo segundo. </w:t>
      </w:r>
      <w:r w:rsidRPr="0052764F">
        <w:rPr>
          <w:rFonts w:ascii="Palatino Linotype" w:hAnsi="Palatino Linotype" w:cs="Arial"/>
          <w:i/>
          <w:iCs/>
        </w:rPr>
        <w:t xml:space="preserve">El solicitante deberá realizar la consulta de los documentos requeridos en el lugar, horarios y con la persona destinada para tal efecto. </w:t>
      </w:r>
    </w:p>
    <w:p w:rsidR="005D6676" w:rsidRPr="0052764F" w:rsidRDefault="005D6676" w:rsidP="00CE4F60">
      <w:pPr>
        <w:spacing w:line="360" w:lineRule="auto"/>
        <w:ind w:left="567" w:right="616"/>
        <w:jc w:val="both"/>
        <w:rPr>
          <w:rFonts w:ascii="Palatino Linotype" w:hAnsi="Palatino Linotype" w:cs="Arial"/>
          <w:i/>
          <w:iCs/>
          <w:sz w:val="12"/>
          <w:szCs w:val="14"/>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i/>
          <w:iCs/>
        </w:rPr>
        <w:t xml:space="preserve">Si una vez realizada la diligencia, en el tiempo previsto para ello, no fuera posible consultar toda la documentación, el solicitante podrá requerir al sujeto obligado </w:t>
      </w:r>
      <w:r w:rsidRPr="0052764F">
        <w:rPr>
          <w:rFonts w:ascii="Palatino Linotype" w:hAnsi="Palatino Linotype" w:cs="Arial"/>
          <w:i/>
          <w:iCs/>
        </w:rPr>
        <w:lastRenderedPageBreak/>
        <w:t xml:space="preserve">una nueva cita, misma que deberá ser programada indicándole al particular los días y horarios en que podrá llevarse a cabo. </w:t>
      </w:r>
    </w:p>
    <w:p w:rsidR="005D6676" w:rsidRPr="0052764F" w:rsidRDefault="005D6676" w:rsidP="00CE4F60">
      <w:pPr>
        <w:spacing w:line="360" w:lineRule="auto"/>
        <w:ind w:left="567" w:right="616"/>
        <w:jc w:val="both"/>
        <w:rPr>
          <w:rFonts w:ascii="Palatino Linotype" w:hAnsi="Palatino Linotype" w:cs="Arial"/>
          <w:i/>
          <w:iCs/>
          <w:sz w:val="8"/>
          <w:szCs w:val="10"/>
        </w:rPr>
      </w:pP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b/>
          <w:bCs/>
          <w:i/>
          <w:iCs/>
        </w:rPr>
        <w:t xml:space="preserve">Septuagésimo tercero. </w:t>
      </w:r>
      <w:r w:rsidRPr="0052764F">
        <w:rPr>
          <w:rFonts w:ascii="Palatino Linotype" w:hAnsi="Palatino Linotype" w:cs="Arial"/>
          <w:i/>
          <w:iCs/>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5D6676" w:rsidRPr="0052764F" w:rsidRDefault="005D6676" w:rsidP="00CE4F60">
      <w:pPr>
        <w:spacing w:line="360" w:lineRule="auto"/>
        <w:ind w:left="567" w:right="616"/>
        <w:jc w:val="both"/>
        <w:rPr>
          <w:rFonts w:ascii="Palatino Linotype" w:hAnsi="Palatino Linotype" w:cs="Arial"/>
          <w:i/>
          <w:iCs/>
        </w:rPr>
      </w:pPr>
      <w:r w:rsidRPr="0052764F">
        <w:rPr>
          <w:rFonts w:ascii="Palatino Linotype" w:hAnsi="Palatino Linotype" w:cs="Arial"/>
          <w:i/>
          <w:iCs/>
        </w:rPr>
        <w:t>La información deberá ser entregada sin costo, cuando implique la entrega de no más de veinte hojas simples.”</w:t>
      </w:r>
    </w:p>
    <w:p w:rsidR="00647636" w:rsidRPr="0052764F" w:rsidRDefault="00647636" w:rsidP="00CE4F60">
      <w:pPr>
        <w:rPr>
          <w:rFonts w:ascii="Palatino Linotype" w:hAnsi="Palatino Linotype" w:cs="Arial"/>
        </w:rPr>
      </w:pPr>
    </w:p>
    <w:p w:rsidR="005E2720" w:rsidRPr="0052764F" w:rsidRDefault="005F63C1" w:rsidP="005E2720">
      <w:pPr>
        <w:pStyle w:val="Prrafodelista"/>
        <w:numPr>
          <w:ilvl w:val="0"/>
          <w:numId w:val="1"/>
        </w:numPr>
        <w:spacing w:line="360" w:lineRule="auto"/>
        <w:ind w:left="0" w:right="567" w:firstLine="0"/>
        <w:jc w:val="both"/>
        <w:rPr>
          <w:rFonts w:ascii="Palatino Linotype" w:hAnsi="Palatino Linotype" w:cs="Arial"/>
          <w:i/>
          <w:lang w:val="es-ES"/>
        </w:rPr>
      </w:pPr>
      <w:r w:rsidRPr="0052764F">
        <w:rPr>
          <w:rFonts w:ascii="Palatino Linotype" w:hAnsi="Palatino Linotype" w:cs="Arial"/>
        </w:rPr>
        <w:t xml:space="preserve">En cuanto a la información solicitada por el particular en la que refiere </w:t>
      </w:r>
      <w:r w:rsidRPr="0052764F">
        <w:rPr>
          <w:rFonts w:ascii="Palatino Linotype" w:hAnsi="Palatino Linotype" w:cs="Arial"/>
          <w:i/>
        </w:rPr>
        <w:t>“</w:t>
      </w:r>
      <w:r w:rsidRPr="0052764F">
        <w:rPr>
          <w:rFonts w:ascii="Palatino Linotype" w:hAnsi="Palatino Linotype"/>
          <w:i/>
          <w:color w:val="000000"/>
        </w:rPr>
        <w:t>se de vista al OIC de que no me enviaron ni la nómina general que solicité en los motivos o razones de inconformidad del RR 00869/INFOEM/IP/RR/2020.</w:t>
      </w:r>
      <w:r w:rsidRPr="0052764F">
        <w:rPr>
          <w:rFonts w:ascii="Palatino Linotype" w:hAnsi="Palatino Linotype" w:cs="Arial"/>
          <w:i/>
          <w:lang w:val="es-ES"/>
        </w:rPr>
        <w:t xml:space="preserve">” (Sic), </w:t>
      </w:r>
      <w:r w:rsidRPr="0052764F">
        <w:rPr>
          <w:rFonts w:ascii="Palatino Linotype" w:hAnsi="Palatino Linotype" w:cs="Arial"/>
          <w:lang w:val="es-ES"/>
        </w:rPr>
        <w:t xml:space="preserve">cabe señalar, </w:t>
      </w:r>
      <w:r w:rsidR="00B02992" w:rsidRPr="0052764F">
        <w:rPr>
          <w:rFonts w:ascii="Palatino Linotype" w:hAnsi="Palatino Linotype" w:cs="Arial"/>
          <w:lang w:val="es-ES"/>
        </w:rPr>
        <w:t>que la solicitud de información no es la vía ni la autoridad con competencia para conocer de las posibles infracciones o irregularidades del SUJETO OBLIGADO</w:t>
      </w:r>
      <w:r w:rsidRPr="0052764F">
        <w:rPr>
          <w:rFonts w:ascii="Palatino Linotype" w:hAnsi="Palatino Linotype" w:cs="Arial"/>
          <w:lang w:val="es-ES"/>
        </w:rPr>
        <w:t>, por lo</w:t>
      </w:r>
      <w:r w:rsidR="00EA1241" w:rsidRPr="0052764F">
        <w:rPr>
          <w:rFonts w:ascii="Palatino Linotype" w:hAnsi="Palatino Linotype" w:cs="Arial"/>
          <w:lang w:val="es-ES"/>
        </w:rPr>
        <w:t xml:space="preserve"> que en ese entendido</w:t>
      </w:r>
      <w:r w:rsidRPr="0052764F">
        <w:rPr>
          <w:rFonts w:ascii="Palatino Linotype" w:hAnsi="Palatino Linotype" w:cs="Arial"/>
          <w:lang w:val="es-ES"/>
        </w:rPr>
        <w:t xml:space="preserve">, </w:t>
      </w:r>
      <w:r w:rsidR="00EA1241" w:rsidRPr="0052764F">
        <w:rPr>
          <w:rFonts w:ascii="Palatino Linotype" w:hAnsi="Palatino Linotype" w:cs="Arial"/>
          <w:lang w:val="es-ES"/>
        </w:rPr>
        <w:t>de acuerdo al artículo</w:t>
      </w:r>
      <w:r w:rsidR="001D11D8" w:rsidRPr="0052764F">
        <w:rPr>
          <w:rFonts w:ascii="Palatino Linotype" w:hAnsi="Palatino Linotype" w:cs="Arial"/>
          <w:lang w:val="es-ES"/>
        </w:rPr>
        <w:t xml:space="preserve"> 36 de la Ley de Transparencia, Acceso a la Información Pública y Protección de Datos Personales, este Instituto, est facultado para hacer del conocimiento del Órgano de Control Interno sobre las Infracciones a esta Ley</w:t>
      </w:r>
      <w:r w:rsidRPr="0052764F">
        <w:rPr>
          <w:rFonts w:ascii="Palatino Linotype" w:hAnsi="Palatino Linotype" w:cs="Arial"/>
          <w:lang w:val="es-ES"/>
        </w:rPr>
        <w:t>. En ese contexto, este Órgano Garante dará vist</w:t>
      </w:r>
      <w:r w:rsidR="007C2D2D" w:rsidRPr="0052764F">
        <w:rPr>
          <w:rFonts w:ascii="Palatino Linotype" w:hAnsi="Palatino Linotype" w:cs="Arial"/>
          <w:lang w:val="es-ES"/>
        </w:rPr>
        <w:t>a al Órgano de Control Interno de acuerdo al Considerando Sexto</w:t>
      </w:r>
      <w:r w:rsidRPr="0052764F">
        <w:rPr>
          <w:rFonts w:ascii="Palatino Linotype" w:hAnsi="Palatino Linotype" w:cs="Arial"/>
          <w:lang w:val="es-ES"/>
        </w:rPr>
        <w:t>.</w:t>
      </w:r>
    </w:p>
    <w:p w:rsidR="005E2720" w:rsidRPr="0052764F" w:rsidRDefault="005E2720" w:rsidP="005E2720">
      <w:pPr>
        <w:pStyle w:val="Prrafodelista"/>
        <w:rPr>
          <w:rFonts w:ascii="Palatino Linotype" w:hAnsi="Palatino Linotype" w:cs="Arial"/>
          <w:lang w:val="es-ES"/>
        </w:rPr>
      </w:pPr>
    </w:p>
    <w:p w:rsidR="005E2720" w:rsidRPr="0052764F" w:rsidRDefault="005F63C1" w:rsidP="00CE4F60">
      <w:pPr>
        <w:pStyle w:val="Prrafodelista"/>
        <w:numPr>
          <w:ilvl w:val="0"/>
          <w:numId w:val="1"/>
        </w:numPr>
        <w:spacing w:line="360" w:lineRule="auto"/>
        <w:ind w:left="0" w:right="567" w:firstLine="0"/>
        <w:jc w:val="both"/>
        <w:rPr>
          <w:rFonts w:ascii="Palatino Linotype" w:hAnsi="Palatino Linotype" w:cs="Arial"/>
          <w:i/>
          <w:lang w:val="es-ES"/>
        </w:rPr>
      </w:pPr>
      <w:r w:rsidRPr="0052764F">
        <w:rPr>
          <w:rFonts w:ascii="Palatino Linotype" w:hAnsi="Palatino Linotype" w:cs="Arial"/>
          <w:lang w:val="es-ES"/>
        </w:rPr>
        <w:t xml:space="preserve">En cuanto a la solicitud de información en la que refiere </w:t>
      </w:r>
      <w:r w:rsidRPr="0052764F">
        <w:rPr>
          <w:rFonts w:ascii="Palatino Linotype" w:hAnsi="Palatino Linotype" w:cs="Arial"/>
          <w:i/>
          <w:lang w:val="es-ES"/>
        </w:rPr>
        <w:t>(…)”</w:t>
      </w:r>
      <w:r w:rsidRPr="0052764F">
        <w:rPr>
          <w:rFonts w:ascii="Palatino Linotype" w:hAnsi="Palatino Linotype"/>
          <w:i/>
          <w:color w:val="000000"/>
          <w:lang w:val="es-MX"/>
        </w:rPr>
        <w:t xml:space="preserve">Solicito se inicie una investigación por no tener completo y actualizado su portal de transparencia </w:t>
      </w:r>
      <w:r w:rsidRPr="0052764F">
        <w:rPr>
          <w:rFonts w:ascii="Palatino Linotype" w:hAnsi="Palatino Linotype"/>
          <w:i/>
          <w:color w:val="000000"/>
          <w:lang w:val="es-MX"/>
        </w:rPr>
        <w:lastRenderedPageBreak/>
        <w:t>ipomex</w:t>
      </w:r>
      <w:r w:rsidR="00F41E7D" w:rsidRPr="0052764F">
        <w:rPr>
          <w:rFonts w:ascii="Palatino Linotype" w:hAnsi="Palatino Linotype" w:cs="Arial"/>
          <w:i/>
          <w:lang w:val="es-ES"/>
        </w:rPr>
        <w:t xml:space="preserve">”(Sic) </w:t>
      </w:r>
      <w:r w:rsidR="005E2720" w:rsidRPr="0052764F">
        <w:rPr>
          <w:rFonts w:ascii="Palatino Linotype" w:hAnsi="Palatino Linotype" w:cs="Arial"/>
          <w:lang w:val="es-ES"/>
        </w:rPr>
        <w:t>el SUJETO OBLIGADO no se pronu</w:t>
      </w:r>
      <w:r w:rsidR="00F41E7D" w:rsidRPr="0052764F">
        <w:rPr>
          <w:rFonts w:ascii="Palatino Linotype" w:hAnsi="Palatino Linotype" w:cs="Arial"/>
          <w:lang w:val="es-ES"/>
        </w:rPr>
        <w:t>nció, sin embargo, de acuerdo al artículo 22, fracción XIV de la</w:t>
      </w:r>
      <w:r w:rsidR="005E2720" w:rsidRPr="0052764F">
        <w:rPr>
          <w:rFonts w:ascii="Palatino Linotype" w:hAnsi="Palatino Linotype" w:cs="Arial"/>
          <w:lang w:val="es-ES"/>
        </w:rPr>
        <w:t xml:space="preserve"> Ley de Transparencia, Acceso a la Información P</w:t>
      </w:r>
      <w:r w:rsidR="00F41E7D" w:rsidRPr="0052764F">
        <w:rPr>
          <w:rFonts w:ascii="Palatino Linotype" w:hAnsi="Palatino Linotype" w:cs="Arial"/>
          <w:lang w:val="es-ES"/>
        </w:rPr>
        <w:t>ú</w:t>
      </w:r>
      <w:r w:rsidR="005E2720" w:rsidRPr="0052764F">
        <w:rPr>
          <w:rFonts w:ascii="Palatino Linotype" w:hAnsi="Palatino Linotype" w:cs="Arial"/>
          <w:lang w:val="es-ES"/>
        </w:rPr>
        <w:t>blica y Protección de Datos Personales</w:t>
      </w:r>
      <w:r w:rsidR="00F41E7D" w:rsidRPr="0052764F">
        <w:rPr>
          <w:rFonts w:ascii="Palatino Linotype" w:hAnsi="Palatino Linotype" w:cs="Arial"/>
          <w:lang w:val="es-ES"/>
        </w:rPr>
        <w:t>, es la Dirección Jurídica y de Verificación quien tiene facultades para</w:t>
      </w:r>
      <w:r w:rsidR="00F41E7D" w:rsidRPr="0052764F">
        <w:rPr>
          <w:rFonts w:ascii="Palatino Linotype" w:hAnsi="Palatino Linotype" w:cs="Arial"/>
          <w:sz w:val="22"/>
          <w:szCs w:val="22"/>
          <w:lang w:val="es-ES"/>
        </w:rPr>
        <w:t xml:space="preserve"> </w:t>
      </w:r>
      <w:r w:rsidR="00F41E7D" w:rsidRPr="0052764F">
        <w:rPr>
          <w:rFonts w:ascii="Palatino Linotype" w:hAnsi="Palatino Linotype"/>
        </w:rPr>
        <w:t xml:space="preserve">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Por lo que, en cumplimiento al argumento referido, este Órgano Garante dará vista a la Dirección Jurídica y de Verificación. </w:t>
      </w:r>
    </w:p>
    <w:p w:rsidR="00F41E7D" w:rsidRPr="0052764F" w:rsidRDefault="00F41E7D" w:rsidP="00CE4F60">
      <w:pPr>
        <w:keepNext/>
        <w:keepLines/>
        <w:outlineLvl w:val="0"/>
        <w:rPr>
          <w:rFonts w:ascii="Palatino Linotype" w:eastAsia="MS Gothic" w:hAnsi="Palatino Linotype" w:cstheme="majorBidi"/>
          <w:b/>
        </w:rPr>
      </w:pPr>
      <w:bookmarkStart w:id="88" w:name="_Toc57902977"/>
    </w:p>
    <w:p w:rsidR="007E4D85" w:rsidRPr="0052764F" w:rsidRDefault="00E03C4E" w:rsidP="00CE4F60">
      <w:pPr>
        <w:keepNext/>
        <w:keepLines/>
        <w:outlineLvl w:val="0"/>
        <w:rPr>
          <w:rFonts w:ascii="Palatino Linotype" w:eastAsia="MS Gothic" w:hAnsi="Palatino Linotype" w:cstheme="majorBidi"/>
          <w:b/>
        </w:rPr>
      </w:pPr>
      <w:r w:rsidRPr="0052764F">
        <w:rPr>
          <w:rFonts w:ascii="Palatino Linotype" w:eastAsia="MS Gothic" w:hAnsi="Palatino Linotype" w:cstheme="majorBidi"/>
          <w:b/>
        </w:rPr>
        <w:t>QUINTO</w:t>
      </w:r>
      <w:r w:rsidR="007E4D85" w:rsidRPr="0052764F">
        <w:rPr>
          <w:rFonts w:ascii="Palatino Linotype" w:eastAsia="MS Gothic" w:hAnsi="Palatino Linotype" w:cstheme="majorBidi"/>
          <w:b/>
        </w:rPr>
        <w:t>. Vista a loa Órganos de Control Interno</w:t>
      </w:r>
      <w:bookmarkEnd w:id="88"/>
    </w:p>
    <w:p w:rsidR="007E4D85" w:rsidRPr="0052764F" w:rsidRDefault="007E4D85" w:rsidP="00CE4F60">
      <w:pPr>
        <w:spacing w:line="360" w:lineRule="auto"/>
        <w:contextualSpacing/>
        <w:jc w:val="both"/>
        <w:rPr>
          <w:rFonts w:ascii="Palatino Linotype" w:eastAsia="MS Mincho" w:hAnsi="Palatino Linotype"/>
        </w:rPr>
      </w:pPr>
    </w:p>
    <w:p w:rsidR="007E4D85" w:rsidRPr="0052764F" w:rsidRDefault="007E4D85" w:rsidP="00CE4F60">
      <w:pPr>
        <w:numPr>
          <w:ilvl w:val="0"/>
          <w:numId w:val="1"/>
        </w:numPr>
        <w:spacing w:line="360" w:lineRule="auto"/>
        <w:ind w:left="0" w:firstLine="0"/>
        <w:contextualSpacing/>
        <w:jc w:val="both"/>
        <w:rPr>
          <w:rFonts w:ascii="Palatino Linotype" w:hAnsi="Palatino Linotype"/>
          <w:lang w:val="es-ES_tradnl" w:eastAsia="es-ES"/>
        </w:rPr>
      </w:pPr>
      <w:r w:rsidRPr="0052764F">
        <w:rPr>
          <w:rFonts w:ascii="Palatino Linotype" w:hAnsi="Palatino Linotype"/>
          <w:lang w:val="es-ES_tradnl" w:eastAsia="es-ES"/>
        </w:rPr>
        <w:t xml:space="preserve">Es necesario resaltar que el recursos de revisión previsto en la Ley de la materia no es el medio para investigar y en su caso, sancionar a servidores públicos </w:t>
      </w:r>
      <w:r w:rsidRPr="0052764F">
        <w:rPr>
          <w:rFonts w:ascii="Palatino Linotype" w:hAnsi="Palatino Linotype"/>
          <w:b/>
          <w:u w:val="single"/>
          <w:lang w:val="es-ES_tradnl" w:eastAsia="es-ES"/>
        </w:rPr>
        <w:t>por la omisión de la entrega de información pública</w:t>
      </w:r>
      <w:r w:rsidRPr="0052764F">
        <w:rPr>
          <w:rFonts w:ascii="Palatino Linotype" w:hAnsi="Palatino Linotype"/>
          <w:lang w:val="es-ES_tradnl" w:eastAsia="es-ES"/>
        </w:rPr>
        <w:t xml:space="preserve"> o en la atención a solicitudes de información; sin embargo, dados los planteamientos que se formularon</w:t>
      </w:r>
      <w:r w:rsidR="00E3541B" w:rsidRPr="0052764F">
        <w:rPr>
          <w:rFonts w:ascii="Palatino Linotype" w:hAnsi="Palatino Linotype"/>
          <w:lang w:val="es-ES_tradnl" w:eastAsia="es-ES"/>
        </w:rPr>
        <w:t xml:space="preserve"> en la solicitud mediante la cual el particular manifestó </w:t>
      </w:r>
      <w:r w:rsidRPr="0052764F">
        <w:rPr>
          <w:rFonts w:ascii="Palatino Linotype" w:hAnsi="Palatino Linotype"/>
          <w:lang w:val="es-ES_tradnl" w:eastAsia="es-ES"/>
        </w:rPr>
        <w:t xml:space="preserve"> </w:t>
      </w:r>
      <w:r w:rsidR="00E3541B" w:rsidRPr="0052764F">
        <w:rPr>
          <w:rFonts w:ascii="Palatino Linotype" w:hAnsi="Palatino Linotype" w:cs="Arial"/>
          <w:i/>
        </w:rPr>
        <w:t>“</w:t>
      </w:r>
      <w:r w:rsidR="00E3541B" w:rsidRPr="0052764F">
        <w:rPr>
          <w:rFonts w:ascii="Palatino Linotype" w:hAnsi="Palatino Linotype"/>
          <w:i/>
          <w:color w:val="000000"/>
        </w:rPr>
        <w:t>se de vista al OIC de que no me enviaron ni la nómina general que solicité en los motivos o razones de inconformidad del RR 00869/INFOEM/IP/RR/2020</w:t>
      </w:r>
      <w:r w:rsidR="00E3541B" w:rsidRPr="0052764F">
        <w:rPr>
          <w:rFonts w:ascii="Palatino Linotype" w:hAnsi="Palatino Linotype" w:cs="Arial"/>
          <w:i/>
          <w:lang w:val="es-ES"/>
        </w:rPr>
        <w:t xml:space="preserve">” , </w:t>
      </w:r>
      <w:r w:rsidR="00E3541B" w:rsidRPr="0052764F">
        <w:rPr>
          <w:rFonts w:ascii="Palatino Linotype" w:hAnsi="Palatino Linotype" w:cs="Arial"/>
          <w:lang w:val="es-ES"/>
        </w:rPr>
        <w:t>por ello</w:t>
      </w:r>
      <w:r w:rsidR="00E3541B" w:rsidRPr="0052764F">
        <w:rPr>
          <w:rFonts w:ascii="Palatino Linotype" w:hAnsi="Palatino Linotype" w:cs="Arial"/>
          <w:i/>
          <w:lang w:val="es-ES"/>
        </w:rPr>
        <w:t xml:space="preserve"> </w:t>
      </w:r>
      <w:r w:rsidRPr="0052764F">
        <w:rPr>
          <w:rFonts w:ascii="Palatino Linotype" w:hAnsi="Palatino Linotype"/>
          <w:lang w:val="es-ES_tradnl" w:eastAsia="es-ES"/>
        </w:rPr>
        <w:t xml:space="preserve">se dará vista al área competente para que en ejercicio de sus atribuciones realice las investigaciones pertinentes por las omisiones detectadas atribuibles al </w:t>
      </w:r>
      <w:r w:rsidRPr="0052764F">
        <w:rPr>
          <w:rFonts w:ascii="Palatino Linotype" w:hAnsi="Palatino Linotype"/>
          <w:b/>
          <w:lang w:val="es-ES_tradnl" w:eastAsia="es-ES"/>
        </w:rPr>
        <w:t>SUJETO OBLIGADO</w:t>
      </w:r>
      <w:r w:rsidRPr="0052764F">
        <w:rPr>
          <w:rFonts w:ascii="Palatino Linotype" w:hAnsi="Palatino Linotype"/>
          <w:lang w:val="es-ES_tradnl" w:eastAsia="es-ES"/>
        </w:rPr>
        <w:t>.</w:t>
      </w:r>
    </w:p>
    <w:p w:rsidR="007E4D85" w:rsidRPr="0052764F" w:rsidRDefault="007E4D85" w:rsidP="00CE4F60">
      <w:pPr>
        <w:spacing w:line="360" w:lineRule="auto"/>
        <w:contextualSpacing/>
        <w:jc w:val="both"/>
        <w:rPr>
          <w:rFonts w:ascii="Palatino Linotype" w:hAnsi="Palatino Linotype"/>
          <w:lang w:val="es-ES_tradnl" w:eastAsia="es-ES"/>
        </w:rPr>
      </w:pPr>
    </w:p>
    <w:p w:rsidR="007E4D85" w:rsidRPr="0052764F" w:rsidRDefault="007E4D85" w:rsidP="00CE4F60">
      <w:pPr>
        <w:numPr>
          <w:ilvl w:val="0"/>
          <w:numId w:val="1"/>
        </w:numPr>
        <w:spacing w:line="360" w:lineRule="auto"/>
        <w:ind w:left="0" w:firstLine="0"/>
        <w:contextualSpacing/>
        <w:jc w:val="both"/>
        <w:rPr>
          <w:rFonts w:ascii="Palatino Linotype" w:hAnsi="Palatino Linotype"/>
          <w:lang w:val="es-ES_tradnl" w:eastAsia="es-ES"/>
        </w:rPr>
      </w:pPr>
      <w:r w:rsidRPr="0052764F">
        <w:rPr>
          <w:rFonts w:ascii="Palatino Linotype" w:hAnsi="Palatino Linotype"/>
          <w:lang w:val="es-ES_tradnl" w:eastAsia="es-ES"/>
        </w:rPr>
        <w:lastRenderedPageBreak/>
        <w:t>Por ello, es conveniente señalar la fracción X, del artículo 36, de la Ley de Transparencia y Acceso a la Información Pública del Estado de México y Municipios, que establece:</w:t>
      </w:r>
    </w:p>
    <w:p w:rsidR="007E4D85" w:rsidRPr="0052764F" w:rsidRDefault="007E4D85" w:rsidP="00CE4F60">
      <w:pPr>
        <w:spacing w:line="360" w:lineRule="auto"/>
        <w:contextualSpacing/>
        <w:jc w:val="both"/>
        <w:rPr>
          <w:rFonts w:ascii="Palatino Linotype" w:hAnsi="Palatino Linotype"/>
          <w:lang w:val="es-ES_tradnl" w:eastAsia="es-ES"/>
        </w:rPr>
      </w:pP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r w:rsidRPr="0052764F">
        <w:rPr>
          <w:rFonts w:ascii="Palatino Linotype" w:hAnsi="Palatino Linotype"/>
          <w:b/>
          <w:i/>
          <w:lang w:val="es-ES_tradnl" w:eastAsia="es-ES"/>
        </w:rPr>
        <w:t>Artículo 36.</w:t>
      </w:r>
      <w:r w:rsidRPr="0052764F">
        <w:rPr>
          <w:rFonts w:ascii="Palatino Linotype" w:hAnsi="Palatino Linotype"/>
          <w:i/>
          <w:lang w:val="es-ES_tradnl" w:eastAsia="es-ES"/>
        </w:rPr>
        <w:t xml:space="preserve"> El Instituto tendrá, en el ámbito de su competencia, las siguientes atribuciones:</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X. Hacer del conocimiento del órgano de control interno o equivalente de cada Sujeto Obligado las infracciones a esta Ley; “</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p>
    <w:p w:rsidR="007E4D85" w:rsidRPr="0052764F" w:rsidRDefault="007E4D85" w:rsidP="00CE4F60">
      <w:pPr>
        <w:spacing w:line="360" w:lineRule="auto"/>
        <w:contextualSpacing/>
        <w:jc w:val="both"/>
        <w:rPr>
          <w:rFonts w:ascii="Palatino Linotype" w:eastAsia="MS Mincho" w:hAnsi="Palatino Linotype" w:cs="Arial"/>
          <w:lang w:val="es-ES_tradnl" w:eastAsia="es-ES"/>
        </w:rPr>
      </w:pPr>
    </w:p>
    <w:p w:rsidR="007E4D85" w:rsidRPr="0052764F" w:rsidRDefault="007E4D85" w:rsidP="00CE4F60">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52764F">
        <w:rPr>
          <w:rFonts w:ascii="Palatino Linotype" w:hAnsi="Palatino Linotype"/>
          <w:lang w:val="es-ES_tradnl" w:eastAsia="es-ES"/>
        </w:rPr>
        <w:t xml:space="preserve">Asimismo, este Pleno hará del conocimiento del órgano de control de este Instituto de las infracciones en que el </w:t>
      </w:r>
      <w:r w:rsidRPr="0052764F">
        <w:rPr>
          <w:rFonts w:ascii="Palatino Linotype" w:hAnsi="Palatino Linotype"/>
          <w:b/>
          <w:lang w:val="es-ES_tradnl" w:eastAsia="es-ES"/>
        </w:rPr>
        <w:t>SUJETO OBLIGADO</w:t>
      </w:r>
      <w:r w:rsidRPr="0052764F">
        <w:rPr>
          <w:rFonts w:ascii="Palatino Linotype" w:hAnsi="Palatino Linotype"/>
          <w:lang w:val="es-ES_tradnl" w:eastAsia="es-ES"/>
        </w:rPr>
        <w:t xml:space="preserve"> incurrió, toda vez que la naturaleza de investigar y sancionar corresponde a un ente distinto a éste a través de un procedimiento diferente al recurso de revisión, lo cual se encuentra previsto </w:t>
      </w:r>
      <w:r w:rsidRPr="0052764F">
        <w:rPr>
          <w:rFonts w:ascii="Palatino Linotype" w:eastAsia="MS Mincho" w:hAnsi="Palatino Linotype" w:cs="Arial"/>
          <w:lang w:val="es-ES_tradnl" w:eastAsia="es-ES"/>
        </w:rPr>
        <w:t>en la Ley de Transparencia Acceso a la Información Pública del Estado de México y Municipios específicamente en sus artículos 190, 222 y 223 que señalan lo siguiente:</w:t>
      </w:r>
    </w:p>
    <w:p w:rsidR="007E4D85" w:rsidRPr="0052764F" w:rsidRDefault="007E4D85" w:rsidP="00CE4F60">
      <w:pPr>
        <w:spacing w:line="360" w:lineRule="auto"/>
        <w:contextualSpacing/>
        <w:jc w:val="both"/>
        <w:rPr>
          <w:rFonts w:ascii="Palatino Linotype" w:eastAsia="MS Mincho" w:hAnsi="Palatino Linotype" w:cs="Arial"/>
          <w:lang w:val="es-ES_tradnl" w:eastAsia="es-ES"/>
        </w:rPr>
      </w:pP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r w:rsidRPr="0052764F">
        <w:rPr>
          <w:rFonts w:ascii="Palatino Linotype" w:hAnsi="Palatino Linotype"/>
          <w:b/>
          <w:i/>
          <w:lang w:val="es-ES_tradnl" w:eastAsia="es-ES"/>
        </w:rPr>
        <w:t>Artículo 190.</w:t>
      </w:r>
      <w:r w:rsidRPr="0052764F">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52764F">
        <w:rPr>
          <w:rFonts w:ascii="Palatino Linotype" w:hAnsi="Palatino Linotype"/>
          <w:i/>
          <w:lang w:val="es-ES_tradnl" w:eastAsia="es-ES"/>
        </w:rPr>
        <w:lastRenderedPageBreak/>
        <w:t>su caso, el procedimiento de responsabilidad respectivo, cuyo resultado deberá de ser informado al Instituto.</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b/>
          <w:i/>
          <w:lang w:val="es-ES_tradnl" w:eastAsia="es-ES"/>
        </w:rPr>
        <w:t>Artículo 222.</w:t>
      </w:r>
      <w:r w:rsidRPr="0052764F">
        <w:rPr>
          <w:rFonts w:ascii="Palatino Linotype" w:hAnsi="Palatino Linotype"/>
          <w:i/>
          <w:lang w:val="es-ES_tradnl" w:eastAsia="es-ES"/>
        </w:rPr>
        <w:t xml:space="preserve"> Son causas de responsabilidad administrativa de los servidores públicos de los sujetos obligados, por incumplimiento de las obligaciones establecidas en la materia de la presente Ley, las siguientes:</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b/>
          <w:i/>
          <w:lang w:val="es-ES_tradnl" w:eastAsia="es-ES"/>
        </w:rPr>
        <w:t>I. Cualquier acto u omisión que provoque la suspensión o deficiencia en la atención de las solicitudes de información</w:t>
      </w:r>
      <w:r w:rsidRPr="0052764F">
        <w:rPr>
          <w:rFonts w:ascii="Palatino Linotype" w:hAnsi="Palatino Linotype"/>
          <w:i/>
          <w:lang w:val="es-ES_tradnl" w:eastAsia="es-ES"/>
        </w:rPr>
        <w:t>;</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b/>
          <w:i/>
          <w:lang w:val="es-ES_tradnl" w:eastAsia="es-ES"/>
        </w:rPr>
        <w:t>II. La falta de respuesta a las solicitudes de información en los plazos señalados en la normatividad aplicable</w:t>
      </w:r>
      <w:r w:rsidRPr="0052764F">
        <w:rPr>
          <w:rFonts w:ascii="Palatino Linotype" w:hAnsi="Palatino Linotype"/>
          <w:i/>
          <w:lang w:val="es-ES_tradnl" w:eastAsia="es-ES"/>
        </w:rPr>
        <w:t>;</w:t>
      </w:r>
    </w:p>
    <w:p w:rsidR="007E4D85" w:rsidRPr="0052764F" w:rsidRDefault="007E4D85"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p>
    <w:p w:rsidR="007E4D85" w:rsidRPr="0052764F" w:rsidRDefault="007E4D85" w:rsidP="00CE4F60">
      <w:pPr>
        <w:spacing w:line="360" w:lineRule="auto"/>
        <w:ind w:left="567" w:right="567"/>
        <w:contextualSpacing/>
        <w:jc w:val="both"/>
        <w:rPr>
          <w:rFonts w:ascii="Palatino Linotype" w:eastAsiaTheme="minorEastAsia" w:hAnsi="Palatino Linotype"/>
          <w:i/>
          <w:lang w:val="es-ES_tradnl" w:eastAsia="es-ES"/>
        </w:rPr>
      </w:pPr>
      <w:r w:rsidRPr="0052764F">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2764F">
        <w:rPr>
          <w:rFonts w:ascii="Palatino Linotype" w:eastAsiaTheme="minorEastAsia" w:hAnsi="Palatino Linotype"/>
          <w:i/>
          <w:lang w:val="es-ES_tradnl" w:eastAsia="es-ES"/>
        </w:rPr>
        <w:t xml:space="preserve"> (De Acuerdo al Decreto N°207, Publicado el 30 de mayo de 2017)</w:t>
      </w:r>
    </w:p>
    <w:p w:rsidR="007E4D85" w:rsidRPr="0052764F" w:rsidRDefault="00E3541B" w:rsidP="00E3541B">
      <w:pPr>
        <w:spacing w:line="360" w:lineRule="auto"/>
        <w:ind w:left="567" w:right="567"/>
        <w:contextualSpacing/>
        <w:jc w:val="both"/>
        <w:rPr>
          <w:rFonts w:ascii="Palatino Linotype" w:eastAsiaTheme="minorEastAsia" w:hAnsi="Palatino Linotype"/>
          <w:i/>
          <w:lang w:val="es-ES_tradnl" w:eastAsia="es-ES"/>
        </w:rPr>
      </w:pPr>
      <w:r w:rsidRPr="0052764F">
        <w:rPr>
          <w:rFonts w:ascii="Palatino Linotype" w:eastAsiaTheme="minorEastAsia" w:hAnsi="Palatino Linotype"/>
          <w:i/>
          <w:lang w:val="es-ES_tradnl" w:eastAsia="es-ES"/>
        </w:rPr>
        <w:t>…”</w:t>
      </w:r>
    </w:p>
    <w:p w:rsidR="007C2D2D" w:rsidRPr="0052764F" w:rsidRDefault="007C2D2D" w:rsidP="00CE4F60">
      <w:pPr>
        <w:pStyle w:val="Prrafodelista"/>
        <w:tabs>
          <w:tab w:val="left" w:pos="426"/>
        </w:tabs>
        <w:spacing w:line="360" w:lineRule="auto"/>
        <w:ind w:left="0" w:right="49"/>
        <w:jc w:val="both"/>
        <w:rPr>
          <w:rFonts w:ascii="Palatino Linotype" w:eastAsiaTheme="minorHAnsi" w:hAnsi="Palatino Linotype"/>
        </w:rPr>
      </w:pPr>
    </w:p>
    <w:p w:rsidR="00F55822" w:rsidRPr="0052764F" w:rsidRDefault="00E03C4E" w:rsidP="00CE4F60">
      <w:pPr>
        <w:keepNext/>
        <w:keepLines/>
        <w:outlineLvl w:val="0"/>
        <w:rPr>
          <w:rFonts w:ascii="Palatino Linotype" w:eastAsia="MS Gothic" w:hAnsi="Palatino Linotype" w:cstheme="majorBidi"/>
          <w:b/>
        </w:rPr>
      </w:pPr>
      <w:bookmarkStart w:id="89" w:name="_Toc487739452"/>
      <w:bookmarkStart w:id="90" w:name="_Toc524344196"/>
      <w:bookmarkStart w:id="91" w:name="_Toc526271201"/>
      <w:bookmarkStart w:id="92" w:name="_Toc536106975"/>
      <w:bookmarkStart w:id="93" w:name="_Toc33793859"/>
      <w:bookmarkStart w:id="94" w:name="_Toc57902978"/>
      <w:r w:rsidRPr="0052764F">
        <w:rPr>
          <w:rFonts w:ascii="Palatino Linotype" w:eastAsia="MS Gothic" w:hAnsi="Palatino Linotype" w:cstheme="majorBidi"/>
          <w:b/>
        </w:rPr>
        <w:t>SEXTO</w:t>
      </w:r>
      <w:r w:rsidR="00F55822" w:rsidRPr="0052764F">
        <w:rPr>
          <w:rFonts w:ascii="Palatino Linotype" w:eastAsia="MS Gothic" w:hAnsi="Palatino Linotype" w:cstheme="majorBidi"/>
          <w:b/>
        </w:rPr>
        <w:t>. Vista a l</w:t>
      </w:r>
      <w:bookmarkEnd w:id="89"/>
      <w:r w:rsidR="005C1982" w:rsidRPr="0052764F">
        <w:rPr>
          <w:rFonts w:ascii="Palatino Linotype" w:eastAsia="MS Gothic" w:hAnsi="Palatino Linotype" w:cstheme="majorBidi"/>
          <w:b/>
        </w:rPr>
        <w:t>a Dirección Jurídica y de Verificación</w:t>
      </w:r>
      <w:r w:rsidR="00F55822" w:rsidRPr="0052764F">
        <w:rPr>
          <w:rFonts w:ascii="Palatino Linotype" w:eastAsia="MS Gothic" w:hAnsi="Palatino Linotype" w:cstheme="majorBidi"/>
          <w:b/>
        </w:rPr>
        <w:t>.</w:t>
      </w:r>
      <w:bookmarkEnd w:id="90"/>
      <w:bookmarkEnd w:id="91"/>
      <w:bookmarkEnd w:id="92"/>
      <w:bookmarkEnd w:id="93"/>
      <w:bookmarkEnd w:id="94"/>
    </w:p>
    <w:p w:rsidR="00F55822" w:rsidRPr="0052764F" w:rsidRDefault="00F55822" w:rsidP="00CE4F60">
      <w:pPr>
        <w:rPr>
          <w:rFonts w:eastAsiaTheme="minorEastAsia"/>
        </w:rPr>
      </w:pPr>
    </w:p>
    <w:p w:rsidR="007C2D2D" w:rsidRPr="0052764F" w:rsidRDefault="007C2D2D" w:rsidP="00CE4F60">
      <w:pPr>
        <w:rPr>
          <w:rFonts w:eastAsiaTheme="minorEastAsia"/>
        </w:rPr>
      </w:pPr>
    </w:p>
    <w:p w:rsidR="00F55822" w:rsidRPr="0052764F" w:rsidRDefault="00F55822" w:rsidP="00CE4F60">
      <w:pPr>
        <w:numPr>
          <w:ilvl w:val="0"/>
          <w:numId w:val="1"/>
        </w:numPr>
        <w:spacing w:line="360" w:lineRule="auto"/>
        <w:ind w:left="0" w:firstLine="0"/>
        <w:contextualSpacing/>
        <w:jc w:val="both"/>
        <w:rPr>
          <w:rFonts w:ascii="Palatino Linotype" w:hAnsi="Palatino Linotype"/>
          <w:lang w:val="es-ES_tradnl" w:eastAsia="es-ES"/>
        </w:rPr>
      </w:pPr>
      <w:r w:rsidRPr="0052764F">
        <w:rPr>
          <w:rFonts w:ascii="Palatino Linotype" w:hAnsi="Palatino Linotype"/>
          <w:lang w:val="es-ES_tradnl" w:eastAsia="es-ES"/>
        </w:rPr>
        <w:t xml:space="preserve">Es necesario resaltar que el recursos de revisión previsto en la Ley de la materia no es el medio para investigar y en su caso, sancionar a servidores públicos </w:t>
      </w:r>
      <w:r w:rsidR="005C1982" w:rsidRPr="0052764F">
        <w:rPr>
          <w:rFonts w:ascii="Palatino Linotype" w:hAnsi="Palatino Linotype"/>
          <w:b/>
          <w:u w:val="single"/>
          <w:lang w:val="es-ES_tradnl" w:eastAsia="es-ES"/>
        </w:rPr>
        <w:t xml:space="preserve">por no tener actualizada o completa la información en su portal de Acceso a la </w:t>
      </w:r>
      <w:r w:rsidR="005C1982" w:rsidRPr="0052764F">
        <w:rPr>
          <w:rFonts w:ascii="Palatino Linotype" w:hAnsi="Palatino Linotype"/>
          <w:b/>
          <w:u w:val="single"/>
          <w:lang w:val="es-ES_tradnl" w:eastAsia="es-ES"/>
        </w:rPr>
        <w:lastRenderedPageBreak/>
        <w:t>Información Mexiquense</w:t>
      </w:r>
      <w:r w:rsidRPr="0052764F">
        <w:rPr>
          <w:rFonts w:ascii="Palatino Linotype" w:hAnsi="Palatino Linotype"/>
          <w:lang w:val="es-ES_tradnl" w:eastAsia="es-ES"/>
        </w:rPr>
        <w:t xml:space="preserve"> o en la atención a solicitudes de información; sin embargo, dados los planteamientos que se </w:t>
      </w:r>
      <w:r w:rsidR="005C1982" w:rsidRPr="0052764F">
        <w:rPr>
          <w:rFonts w:ascii="Palatino Linotype" w:hAnsi="Palatino Linotype"/>
          <w:lang w:val="es-ES_tradnl" w:eastAsia="es-ES"/>
        </w:rPr>
        <w:t xml:space="preserve">por el solicitante, </w:t>
      </w:r>
      <w:r w:rsidRPr="0052764F">
        <w:rPr>
          <w:rFonts w:ascii="Palatino Linotype" w:hAnsi="Palatino Linotype"/>
          <w:lang w:val="es-ES_tradnl" w:eastAsia="es-ES"/>
        </w:rPr>
        <w:t xml:space="preserve">se dará vista al área competente para que en ejercicio de sus atribuciones realice las investigaciones pertinentes por las omisiones detectadas atribuibles al </w:t>
      </w:r>
      <w:r w:rsidRPr="0052764F">
        <w:rPr>
          <w:rFonts w:ascii="Palatino Linotype" w:hAnsi="Palatino Linotype"/>
          <w:b/>
          <w:lang w:val="es-ES_tradnl" w:eastAsia="es-ES"/>
        </w:rPr>
        <w:t>SUJETO OBLIGADO</w:t>
      </w:r>
      <w:r w:rsidRPr="0052764F">
        <w:rPr>
          <w:rFonts w:ascii="Palatino Linotype" w:hAnsi="Palatino Linotype"/>
          <w:lang w:val="es-ES_tradnl" w:eastAsia="es-ES"/>
        </w:rPr>
        <w:t>.</w:t>
      </w:r>
    </w:p>
    <w:p w:rsidR="00F55822" w:rsidRPr="0052764F" w:rsidRDefault="00F55822" w:rsidP="00CE4F60">
      <w:pPr>
        <w:spacing w:line="360" w:lineRule="auto"/>
        <w:contextualSpacing/>
        <w:jc w:val="both"/>
        <w:rPr>
          <w:rFonts w:ascii="Palatino Linotype" w:hAnsi="Palatino Linotype"/>
          <w:lang w:val="es-ES_tradnl" w:eastAsia="es-ES"/>
        </w:rPr>
      </w:pPr>
    </w:p>
    <w:p w:rsidR="00F55822" w:rsidRPr="0052764F" w:rsidRDefault="00F55822" w:rsidP="00CE4F60">
      <w:pPr>
        <w:numPr>
          <w:ilvl w:val="0"/>
          <w:numId w:val="1"/>
        </w:numPr>
        <w:spacing w:line="360" w:lineRule="auto"/>
        <w:ind w:left="0" w:firstLine="0"/>
        <w:contextualSpacing/>
        <w:jc w:val="both"/>
        <w:rPr>
          <w:rFonts w:ascii="Palatino Linotype" w:hAnsi="Palatino Linotype"/>
          <w:lang w:val="es-ES_tradnl" w:eastAsia="es-ES"/>
        </w:rPr>
      </w:pPr>
      <w:r w:rsidRPr="0052764F">
        <w:rPr>
          <w:rFonts w:ascii="Palatino Linotype" w:hAnsi="Palatino Linotype"/>
          <w:lang w:val="es-ES_tradnl" w:eastAsia="es-ES"/>
        </w:rPr>
        <w:t>Por ello, es c</w:t>
      </w:r>
      <w:r w:rsidR="00B7071C" w:rsidRPr="0052764F">
        <w:rPr>
          <w:rFonts w:ascii="Palatino Linotype" w:hAnsi="Palatino Linotype"/>
          <w:lang w:val="es-ES_tradnl" w:eastAsia="es-ES"/>
        </w:rPr>
        <w:t>onveniente señalar la fracción X, del artículo 92</w:t>
      </w:r>
      <w:r w:rsidRPr="0052764F">
        <w:rPr>
          <w:rFonts w:ascii="Palatino Linotype" w:hAnsi="Palatino Linotype"/>
          <w:lang w:val="es-ES_tradnl" w:eastAsia="es-ES"/>
        </w:rPr>
        <w:t>, de la Ley de Transparencia y Acceso a la Información Pública del Estado de México y Municipios, que establece:</w:t>
      </w:r>
    </w:p>
    <w:p w:rsidR="00F55822" w:rsidRPr="0052764F" w:rsidRDefault="00F55822" w:rsidP="00CE4F60">
      <w:pPr>
        <w:spacing w:line="360" w:lineRule="auto"/>
        <w:contextualSpacing/>
        <w:jc w:val="both"/>
        <w:rPr>
          <w:rFonts w:ascii="Palatino Linotype" w:hAnsi="Palatino Linotype"/>
          <w:lang w:val="es-ES_tradnl" w:eastAsia="es-ES"/>
        </w:rPr>
      </w:pPr>
    </w:p>
    <w:p w:rsidR="00F55822" w:rsidRPr="0052764F" w:rsidRDefault="00F55822"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r w:rsidR="00B7071C" w:rsidRPr="0052764F">
        <w:rPr>
          <w:rFonts w:ascii="Palatino Linotype" w:hAnsi="Palatino Linotype"/>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52764F">
        <w:rPr>
          <w:rFonts w:ascii="Palatino Linotype" w:hAnsi="Palatino Linotype"/>
          <w:i/>
          <w:lang w:val="es-ES_tradnl" w:eastAsia="es-ES"/>
        </w:rPr>
        <w:t>:</w:t>
      </w:r>
    </w:p>
    <w:p w:rsidR="00F55822" w:rsidRPr="0052764F" w:rsidRDefault="00F55822"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p>
    <w:p w:rsidR="00F55822" w:rsidRPr="0052764F" w:rsidRDefault="00F55822"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 xml:space="preserve">X. </w:t>
      </w:r>
      <w:r w:rsidR="00B7071C" w:rsidRPr="0052764F">
        <w:rPr>
          <w:rFonts w:ascii="Palatino Linotype" w:hAnsi="Palatino Linotype"/>
          <w:i/>
          <w:lang w:eastAsia="es-E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B7071C" w:rsidRPr="0052764F">
        <w:rPr>
          <w:rFonts w:ascii="Palatino Linotype" w:hAnsi="Palatino Linotype"/>
          <w:i/>
          <w:lang w:val="es-ES_tradnl" w:eastAsia="es-ES"/>
        </w:rPr>
        <w:t xml:space="preserve"> </w:t>
      </w:r>
      <w:r w:rsidRPr="0052764F">
        <w:rPr>
          <w:rFonts w:ascii="Palatino Linotype" w:hAnsi="Palatino Linotype"/>
          <w:i/>
          <w:lang w:val="es-ES_tradnl" w:eastAsia="es-ES"/>
        </w:rPr>
        <w:t>“</w:t>
      </w:r>
    </w:p>
    <w:p w:rsidR="00F55822" w:rsidRPr="0052764F" w:rsidRDefault="00F55822" w:rsidP="00CE4F60">
      <w:pPr>
        <w:spacing w:line="360" w:lineRule="auto"/>
        <w:ind w:left="567" w:right="567"/>
        <w:contextualSpacing/>
        <w:jc w:val="both"/>
        <w:rPr>
          <w:rFonts w:ascii="Palatino Linotype" w:hAnsi="Palatino Linotype"/>
          <w:i/>
          <w:lang w:val="es-ES_tradnl" w:eastAsia="es-ES"/>
        </w:rPr>
      </w:pPr>
      <w:r w:rsidRPr="0052764F">
        <w:rPr>
          <w:rFonts w:ascii="Palatino Linotype" w:hAnsi="Palatino Linotype"/>
          <w:i/>
          <w:lang w:val="es-ES_tradnl" w:eastAsia="es-ES"/>
        </w:rPr>
        <w:t>(…)</w:t>
      </w:r>
    </w:p>
    <w:p w:rsidR="00F55822" w:rsidRPr="0052764F" w:rsidRDefault="00F55822" w:rsidP="00CE4F60">
      <w:pPr>
        <w:spacing w:line="360" w:lineRule="auto"/>
        <w:contextualSpacing/>
        <w:jc w:val="both"/>
        <w:rPr>
          <w:rFonts w:ascii="Palatino Linotype" w:eastAsia="MS Mincho" w:hAnsi="Palatino Linotype" w:cs="Arial"/>
          <w:lang w:val="es-ES_tradnl" w:eastAsia="es-ES"/>
        </w:rPr>
      </w:pPr>
    </w:p>
    <w:p w:rsidR="00F55822" w:rsidRPr="0052764F" w:rsidRDefault="00B7071C" w:rsidP="00CE4F60">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2764F">
        <w:rPr>
          <w:rFonts w:ascii="Palatino Linotype" w:hAnsi="Palatino Linotype"/>
          <w:lang w:val="es-ES_tradnl" w:eastAsia="es-ES"/>
        </w:rPr>
        <w:t xml:space="preserve">Asimismo, el Reglamento Interior del Instituto de Transparencia, Acceso a la Información Pública y Protección de Datos del Estado de México y sus Municipios, establece en su artículo 22, fracción XIV, que es la Dirección Jurídica y de </w:t>
      </w:r>
      <w:r w:rsidRPr="0052764F">
        <w:rPr>
          <w:rFonts w:ascii="Palatino Linotype" w:hAnsi="Palatino Linotype"/>
          <w:lang w:val="es-ES_tradnl" w:eastAsia="es-ES"/>
        </w:rPr>
        <w:lastRenderedPageBreak/>
        <w:t>Verificaci</w:t>
      </w:r>
      <w:r w:rsidR="007E4D85" w:rsidRPr="0052764F">
        <w:rPr>
          <w:rFonts w:ascii="Palatino Linotype" w:hAnsi="Palatino Linotype"/>
          <w:lang w:val="es-ES_tradnl" w:eastAsia="es-ES"/>
        </w:rPr>
        <w:t xml:space="preserve">ón quien ordenará y practicará verificaciones en los portales de internet de los sujetos obligados: </w:t>
      </w:r>
    </w:p>
    <w:p w:rsidR="00B7071C" w:rsidRPr="0052764F" w:rsidRDefault="00B7071C" w:rsidP="00CE4F60">
      <w:pPr>
        <w:spacing w:line="360" w:lineRule="auto"/>
        <w:contextualSpacing/>
        <w:jc w:val="both"/>
        <w:rPr>
          <w:rFonts w:ascii="Palatino Linotype" w:eastAsiaTheme="minorEastAsia" w:hAnsi="Palatino Linotype"/>
          <w:i/>
          <w:lang w:val="es-ES_tradnl" w:eastAsia="es-ES"/>
        </w:rPr>
      </w:pPr>
    </w:p>
    <w:p w:rsidR="00B7071C" w:rsidRPr="0052764F" w:rsidRDefault="00B7071C" w:rsidP="00CE4F60">
      <w:pPr>
        <w:spacing w:line="360" w:lineRule="auto"/>
        <w:ind w:left="851" w:right="567"/>
        <w:contextualSpacing/>
        <w:jc w:val="both"/>
        <w:rPr>
          <w:rFonts w:ascii="Palatino Linotype" w:hAnsi="Palatino Linotype"/>
          <w:i/>
          <w:sz w:val="22"/>
        </w:rPr>
      </w:pPr>
      <w:r w:rsidRPr="0052764F">
        <w:rPr>
          <w:rFonts w:ascii="Palatino Linotype" w:hAnsi="Palatino Linotype"/>
          <w:i/>
          <w:sz w:val="22"/>
        </w:rPr>
        <w:t>Artículo 22. Corresponde a la Dirección Jurídica y de Verificación ejercer las atribuciones siguientes:</w:t>
      </w:r>
    </w:p>
    <w:p w:rsidR="00B7071C" w:rsidRPr="0052764F" w:rsidRDefault="00B7071C" w:rsidP="00CE4F60">
      <w:pPr>
        <w:spacing w:line="360" w:lineRule="auto"/>
        <w:ind w:left="851" w:right="567"/>
        <w:contextualSpacing/>
        <w:jc w:val="both"/>
        <w:rPr>
          <w:rFonts w:ascii="Palatino Linotype" w:hAnsi="Palatino Linotype"/>
          <w:i/>
          <w:sz w:val="22"/>
        </w:rPr>
      </w:pPr>
      <w:r w:rsidRPr="0052764F">
        <w:rPr>
          <w:rFonts w:ascii="Palatino Linotype" w:hAnsi="Palatino Linotype"/>
          <w:i/>
          <w:sz w:val="22"/>
        </w:rPr>
        <w:t xml:space="preserve">(…) </w:t>
      </w:r>
    </w:p>
    <w:p w:rsidR="00B7071C" w:rsidRPr="0052764F" w:rsidRDefault="00B7071C" w:rsidP="00CE4F60">
      <w:pPr>
        <w:spacing w:line="360" w:lineRule="auto"/>
        <w:ind w:left="851" w:right="567"/>
        <w:contextualSpacing/>
        <w:jc w:val="both"/>
        <w:rPr>
          <w:rFonts w:ascii="Palatino Linotype" w:hAnsi="Palatino Linotype"/>
          <w:i/>
          <w:sz w:val="22"/>
        </w:rPr>
      </w:pPr>
      <w:r w:rsidRPr="0052764F">
        <w:rPr>
          <w:rFonts w:ascii="Palatino Linotype" w:hAnsi="Palatino Linotype"/>
          <w:i/>
          <w:sz w:val="22"/>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7E4D85" w:rsidRPr="0052764F" w:rsidRDefault="007E4D85" w:rsidP="00CE4F60">
      <w:pPr>
        <w:spacing w:line="360" w:lineRule="auto"/>
        <w:ind w:left="851" w:right="567"/>
        <w:contextualSpacing/>
        <w:jc w:val="both"/>
        <w:rPr>
          <w:rFonts w:ascii="Palatino Linotype" w:hAnsi="Palatino Linotype"/>
          <w:i/>
          <w:sz w:val="22"/>
        </w:rPr>
      </w:pPr>
      <w:r w:rsidRPr="0052764F">
        <w:rPr>
          <w:rFonts w:ascii="Palatino Linotype" w:hAnsi="Palatino Linotype"/>
          <w:i/>
          <w:sz w:val="22"/>
        </w:rPr>
        <w:t>(…)</w:t>
      </w:r>
    </w:p>
    <w:p w:rsidR="00F55822" w:rsidRPr="0052764F" w:rsidRDefault="00F55822" w:rsidP="00CE4F60">
      <w:pPr>
        <w:spacing w:line="360" w:lineRule="auto"/>
        <w:ind w:right="49"/>
        <w:contextualSpacing/>
        <w:jc w:val="both"/>
        <w:rPr>
          <w:rFonts w:ascii="Palatino Linotype" w:hAnsi="Palatino Linotype" w:cs="Arial"/>
          <w:color w:val="000000"/>
          <w:lang w:val="es-ES_tradnl" w:eastAsia="es-ES"/>
        </w:rPr>
      </w:pPr>
    </w:p>
    <w:p w:rsidR="00911573" w:rsidRPr="0052764F" w:rsidRDefault="00911573" w:rsidP="00CE4F60">
      <w:pPr>
        <w:spacing w:line="360" w:lineRule="auto"/>
        <w:contextualSpacing/>
        <w:jc w:val="both"/>
        <w:rPr>
          <w:rFonts w:ascii="Palatino Linotype" w:eastAsia="Calibri" w:hAnsi="Palatino Linotype"/>
          <w:sz w:val="14"/>
          <w:szCs w:val="14"/>
        </w:rPr>
      </w:pPr>
    </w:p>
    <w:p w:rsidR="00911573" w:rsidRPr="0052764F" w:rsidRDefault="00911573" w:rsidP="00CE4F60">
      <w:pPr>
        <w:numPr>
          <w:ilvl w:val="0"/>
          <w:numId w:val="1"/>
        </w:numPr>
        <w:spacing w:line="360" w:lineRule="auto"/>
        <w:ind w:left="0" w:firstLine="0"/>
        <w:contextualSpacing/>
        <w:jc w:val="both"/>
        <w:rPr>
          <w:rFonts w:ascii="Palatino Linotype" w:eastAsia="Calibri" w:hAnsi="Palatino Linotype"/>
        </w:rPr>
      </w:pPr>
      <w:r w:rsidRPr="0052764F">
        <w:rPr>
          <w:rFonts w:ascii="Palatino Linotype" w:eastAsia="Calibri" w:hAnsi="Palatino Linotype"/>
        </w:rPr>
        <w:t xml:space="preserve">Por lo anteriormente expuesto y fundado, este </w:t>
      </w:r>
      <w:r w:rsidRPr="0052764F">
        <w:rPr>
          <w:rFonts w:ascii="Palatino Linotype" w:eastAsia="Calibri" w:hAnsi="Palatino Linotype"/>
          <w:b/>
          <w:bCs/>
        </w:rPr>
        <w:t>ÓRGANO GARANTE</w:t>
      </w:r>
      <w:r w:rsidRPr="0052764F">
        <w:rPr>
          <w:rFonts w:ascii="Palatino Linotype" w:eastAsia="Calibri" w:hAnsi="Palatino Linotype"/>
        </w:rPr>
        <w:t xml:space="preserve"> emite los siguientes:</w:t>
      </w:r>
    </w:p>
    <w:p w:rsidR="00911573" w:rsidRPr="0052764F" w:rsidRDefault="00911573"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D12B4C" w:rsidRPr="0052764F" w:rsidRDefault="00D12B4C" w:rsidP="00CE4F60">
      <w:pPr>
        <w:pStyle w:val="Prrafodelista"/>
        <w:rPr>
          <w:rFonts w:ascii="Palatino Linotype" w:eastAsia="Calibri" w:hAnsi="Palatino Linotype" w:cs="Times New Roman"/>
        </w:rPr>
      </w:pPr>
    </w:p>
    <w:p w:rsidR="00911573" w:rsidRPr="0052764F" w:rsidRDefault="00911573" w:rsidP="00CE4F60">
      <w:pPr>
        <w:spacing w:line="360" w:lineRule="auto"/>
        <w:contextualSpacing/>
        <w:jc w:val="both"/>
        <w:rPr>
          <w:rFonts w:ascii="Palatino Linotype" w:eastAsia="Calibri" w:hAnsi="Palatino Linotype"/>
        </w:rPr>
      </w:pPr>
    </w:p>
    <w:p w:rsidR="00911573" w:rsidRPr="0052764F" w:rsidRDefault="00911573" w:rsidP="00CE4F60">
      <w:pPr>
        <w:keepNext/>
        <w:keepLines/>
        <w:spacing w:line="360" w:lineRule="auto"/>
        <w:jc w:val="center"/>
        <w:outlineLvl w:val="0"/>
        <w:rPr>
          <w:rFonts w:ascii="Palatino Linotype" w:eastAsia="MS Gothic" w:hAnsi="Palatino Linotype"/>
          <w:b/>
          <w:color w:val="000000"/>
          <w:lang w:eastAsia="en-US"/>
        </w:rPr>
      </w:pPr>
      <w:bookmarkStart w:id="95" w:name="_Toc528153792"/>
      <w:bookmarkStart w:id="96" w:name="_Toc30094014"/>
      <w:bookmarkStart w:id="97" w:name="_Toc57902979"/>
      <w:r w:rsidRPr="0052764F">
        <w:rPr>
          <w:rFonts w:ascii="Palatino Linotype" w:eastAsia="MS Gothic" w:hAnsi="Palatino Linotype"/>
          <w:b/>
          <w:color w:val="000000"/>
          <w:lang w:eastAsia="en-US"/>
        </w:rPr>
        <w:lastRenderedPageBreak/>
        <w:t>R E S O L U T I V O S</w:t>
      </w:r>
      <w:bookmarkEnd w:id="95"/>
      <w:bookmarkEnd w:id="96"/>
      <w:bookmarkEnd w:id="97"/>
    </w:p>
    <w:p w:rsidR="00647636" w:rsidRPr="0052764F" w:rsidRDefault="00647636" w:rsidP="00CE4F60">
      <w:pPr>
        <w:spacing w:line="360" w:lineRule="auto"/>
        <w:jc w:val="both"/>
        <w:rPr>
          <w:rFonts w:ascii="Palatino Linotype" w:eastAsiaTheme="minorEastAsia" w:hAnsi="Palatino Linotype" w:cs="Arial"/>
          <w:bCs/>
          <w:lang w:val="es-ES_tradnl" w:eastAsia="es-ES"/>
        </w:rPr>
      </w:pPr>
      <w:r w:rsidRPr="0052764F">
        <w:rPr>
          <w:rFonts w:ascii="Palatino Linotype" w:hAnsi="Palatino Linotype" w:cs="Arial"/>
          <w:b/>
          <w:lang w:val="es-ES_tradnl" w:eastAsia="es-ES"/>
        </w:rPr>
        <w:t xml:space="preserve">PRIMERO. </w:t>
      </w:r>
      <w:r w:rsidRPr="0052764F">
        <w:rPr>
          <w:rFonts w:ascii="Palatino Linotype" w:hAnsi="Palatino Linotype" w:cs="Arial"/>
          <w:lang w:val="es-ES_tradnl" w:eastAsia="es-ES"/>
        </w:rPr>
        <w:t>Resultan infundadas las</w:t>
      </w:r>
      <w:r w:rsidRPr="0052764F">
        <w:rPr>
          <w:rFonts w:ascii="Palatino Linotype" w:hAnsi="Palatino Linotype" w:cs="Arial"/>
          <w:b/>
          <w:lang w:val="es-ES_tradnl" w:eastAsia="es-ES"/>
        </w:rPr>
        <w:t xml:space="preserve"> </w:t>
      </w:r>
      <w:r w:rsidRPr="0052764F">
        <w:rPr>
          <w:rFonts w:ascii="Palatino Linotype" w:hAnsi="Palatino Linotype" w:cs="Arial"/>
          <w:lang w:val="es-ES" w:eastAsia="es-ES"/>
        </w:rPr>
        <w:t xml:space="preserve">razones o motivos de inconformidad hechos valer </w:t>
      </w:r>
      <w:r w:rsidRPr="0052764F">
        <w:rPr>
          <w:rFonts w:ascii="Palatino Linotype" w:eastAsia="Calibri" w:hAnsi="Palatino Linotype" w:cs="Arial"/>
          <w:lang w:val="es-ES" w:eastAsia="es-ES"/>
        </w:rPr>
        <w:t xml:space="preserve">en los recursos de revisión </w:t>
      </w:r>
      <w:r w:rsidR="00335E39" w:rsidRPr="0052764F">
        <w:rPr>
          <w:rFonts w:ascii="Palatino Linotype" w:eastAsiaTheme="minorEastAsia" w:hAnsi="Palatino Linotype" w:cs="Arial"/>
          <w:b/>
          <w:bCs/>
          <w:lang w:val="es-ES_tradnl" w:eastAsia="es-ES"/>
        </w:rPr>
        <w:t>04593</w:t>
      </w:r>
      <w:r w:rsidRPr="0052764F">
        <w:rPr>
          <w:rFonts w:ascii="Palatino Linotype" w:eastAsiaTheme="minorEastAsia" w:hAnsi="Palatino Linotype" w:cs="Arial"/>
          <w:b/>
          <w:bCs/>
          <w:lang w:val="es-ES_tradnl" w:eastAsia="es-ES"/>
        </w:rPr>
        <w:t>/INFOEM/IP/RR/2020</w:t>
      </w:r>
      <w:r w:rsidR="00335E39" w:rsidRPr="0052764F">
        <w:rPr>
          <w:rFonts w:ascii="Palatino Linotype" w:eastAsiaTheme="minorEastAsia" w:hAnsi="Palatino Linotype" w:cs="Arial"/>
          <w:b/>
          <w:bCs/>
          <w:lang w:val="es-ES_tradnl" w:eastAsia="es-ES"/>
        </w:rPr>
        <w:t>, 04594/INFOEM/IP/RR/2020  y 04595</w:t>
      </w:r>
      <w:r w:rsidRPr="0052764F">
        <w:rPr>
          <w:rFonts w:ascii="Palatino Linotype" w:eastAsiaTheme="minorEastAsia" w:hAnsi="Palatino Linotype" w:cs="Arial"/>
          <w:b/>
          <w:bCs/>
          <w:lang w:val="es-ES_tradnl" w:eastAsia="es-ES"/>
        </w:rPr>
        <w:t xml:space="preserve">/INFOEM/IP/RR/2020, </w:t>
      </w:r>
      <w:r w:rsidRPr="0052764F">
        <w:rPr>
          <w:rFonts w:ascii="Palatino Linotype" w:eastAsiaTheme="minorEastAsia" w:hAnsi="Palatino Linotype" w:cs="Arial"/>
          <w:bCs/>
          <w:lang w:val="es-ES_tradnl" w:eastAsia="es-ES"/>
        </w:rPr>
        <w:t xml:space="preserve">en términos del </w:t>
      </w:r>
      <w:r w:rsidRPr="0052764F">
        <w:rPr>
          <w:rFonts w:ascii="Palatino Linotype" w:eastAsiaTheme="minorEastAsia" w:hAnsi="Palatino Linotype" w:cs="Arial"/>
          <w:b/>
          <w:bCs/>
          <w:lang w:val="es-ES_tradnl" w:eastAsia="es-ES"/>
        </w:rPr>
        <w:t>Considerando</w:t>
      </w:r>
      <w:r w:rsidRPr="0052764F">
        <w:rPr>
          <w:rFonts w:ascii="Palatino Linotype" w:eastAsiaTheme="minorEastAsia" w:hAnsi="Palatino Linotype" w:cs="Arial"/>
          <w:bCs/>
          <w:lang w:val="es-ES_tradnl" w:eastAsia="es-ES"/>
        </w:rPr>
        <w:t xml:space="preserve"> </w:t>
      </w:r>
      <w:r w:rsidRPr="0052764F">
        <w:rPr>
          <w:rFonts w:ascii="Palatino Linotype" w:eastAsiaTheme="minorEastAsia" w:hAnsi="Palatino Linotype" w:cs="Arial"/>
          <w:b/>
          <w:bCs/>
          <w:lang w:val="es-ES_tradnl" w:eastAsia="es-ES"/>
        </w:rPr>
        <w:t>CUARTO</w:t>
      </w:r>
      <w:r w:rsidRPr="0052764F">
        <w:rPr>
          <w:rFonts w:ascii="Palatino Linotype" w:eastAsiaTheme="minorEastAsia" w:hAnsi="Palatino Linotype" w:cs="Arial"/>
          <w:bCs/>
          <w:lang w:val="es-ES_tradnl" w:eastAsia="es-ES"/>
        </w:rPr>
        <w:t xml:space="preserve"> de la presente resolución.</w:t>
      </w:r>
    </w:p>
    <w:p w:rsidR="00647636" w:rsidRPr="0052764F" w:rsidRDefault="00647636" w:rsidP="00CE4F60">
      <w:pPr>
        <w:spacing w:line="360" w:lineRule="auto"/>
        <w:jc w:val="both"/>
        <w:rPr>
          <w:rFonts w:ascii="Palatino Linotype" w:hAnsi="Palatino Linotype"/>
          <w:lang w:val="es-ES_tradnl" w:eastAsia="es-ES"/>
        </w:rPr>
      </w:pPr>
    </w:p>
    <w:p w:rsidR="00647636" w:rsidRPr="0052764F" w:rsidRDefault="00647636" w:rsidP="00CE4F60">
      <w:pPr>
        <w:spacing w:line="360" w:lineRule="auto"/>
        <w:jc w:val="both"/>
        <w:rPr>
          <w:rFonts w:ascii="Palatino Linotype" w:eastAsia="Calibri" w:hAnsi="Palatino Linotype" w:cs="Arial"/>
          <w:sz w:val="28"/>
          <w:lang w:val="es-ES" w:eastAsia="es-ES"/>
        </w:rPr>
      </w:pPr>
      <w:r w:rsidRPr="0052764F">
        <w:rPr>
          <w:rFonts w:ascii="Palatino Linotype" w:eastAsiaTheme="minorEastAsia" w:hAnsi="Palatino Linotype"/>
          <w:b/>
          <w:lang w:val="es-ES_tradnl" w:eastAsia="es-ES"/>
        </w:rPr>
        <w:t>SEGUNDO.</w:t>
      </w:r>
      <w:r w:rsidRPr="0052764F">
        <w:rPr>
          <w:rFonts w:ascii="Palatino Linotype" w:eastAsiaTheme="majorEastAsia" w:hAnsi="Palatino Linotype" w:cstheme="majorBidi"/>
          <w:b/>
          <w:color w:val="2E74B5" w:themeColor="accent1" w:themeShade="BF"/>
          <w:sz w:val="26"/>
          <w:szCs w:val="26"/>
          <w:lang w:val="es-ES_tradnl" w:eastAsia="es-ES"/>
        </w:rPr>
        <w:t xml:space="preserve"> </w:t>
      </w:r>
      <w:r w:rsidRPr="0052764F">
        <w:rPr>
          <w:rFonts w:ascii="Palatino Linotype" w:eastAsia="Calibri" w:hAnsi="Palatino Linotype" w:cs="Arial"/>
          <w:lang w:val="es-ES" w:eastAsia="es-ES"/>
        </w:rPr>
        <w:t>Se</w:t>
      </w:r>
      <w:r w:rsidRPr="0052764F">
        <w:rPr>
          <w:rFonts w:ascii="Palatino Linotype" w:eastAsia="Calibri" w:hAnsi="Palatino Linotype" w:cs="Arial"/>
          <w:b/>
          <w:lang w:val="es-ES" w:eastAsia="es-ES"/>
        </w:rPr>
        <w:t xml:space="preserve"> CONFIRMAN </w:t>
      </w:r>
      <w:r w:rsidR="00335E39" w:rsidRPr="0052764F">
        <w:rPr>
          <w:rFonts w:ascii="Palatino Linotype" w:eastAsia="Calibri" w:hAnsi="Palatino Linotype" w:cs="Arial"/>
          <w:lang w:val="es-ES" w:eastAsia="es-ES"/>
        </w:rPr>
        <w:t>las respuestas emitidas por la</w:t>
      </w:r>
      <w:r w:rsidRPr="0052764F">
        <w:rPr>
          <w:rFonts w:ascii="Palatino Linotype" w:eastAsia="Calibri" w:hAnsi="Palatino Linotype" w:cs="Arial"/>
          <w:lang w:val="es-ES" w:eastAsia="es-ES"/>
        </w:rPr>
        <w:t xml:space="preserve"> </w:t>
      </w:r>
      <w:r w:rsidR="00335E39" w:rsidRPr="0052764F">
        <w:rPr>
          <w:rFonts w:ascii="Palatino Linotype" w:eastAsiaTheme="minorEastAsia" w:hAnsi="Palatino Linotype" w:cs="Arial"/>
          <w:b/>
          <w:lang w:val="es-ES_tradnl" w:eastAsia="es-ES"/>
        </w:rPr>
        <w:t xml:space="preserve">Secretaría de Finanzas </w:t>
      </w:r>
      <w:r w:rsidRPr="0052764F">
        <w:rPr>
          <w:rFonts w:ascii="Palatino Linotype" w:eastAsia="Calibri" w:hAnsi="Palatino Linotype" w:cs="Arial"/>
          <w:lang w:val="es-ES" w:eastAsia="es-ES"/>
        </w:rPr>
        <w:t xml:space="preserve"> a las solicitudes </w:t>
      </w:r>
      <w:r w:rsidRPr="0052764F">
        <w:rPr>
          <w:rFonts w:ascii="Palatino Linotype" w:hAnsi="Palatino Linotype"/>
          <w:b/>
          <w:bCs/>
          <w:color w:val="FF0000"/>
        </w:rPr>
        <w:t> </w:t>
      </w:r>
      <w:r w:rsidR="00335E39" w:rsidRPr="0052764F">
        <w:rPr>
          <w:rFonts w:ascii="Palatino Linotype" w:hAnsi="Palatino Linotype" w:cs="Arial"/>
          <w:b/>
          <w:bCs/>
        </w:rPr>
        <w:t>00460/SF/IP/2020</w:t>
      </w:r>
      <w:r w:rsidR="00335E39" w:rsidRPr="0052764F">
        <w:rPr>
          <w:rFonts w:ascii="Palatino Linotype" w:eastAsia="Calibri" w:hAnsi="Palatino Linotype" w:cs="Arial"/>
          <w:lang w:val="es-ES"/>
        </w:rPr>
        <w:t xml:space="preserve">, </w:t>
      </w:r>
      <w:r w:rsidR="00335E39" w:rsidRPr="0052764F">
        <w:rPr>
          <w:rFonts w:ascii="Palatino Linotype" w:hAnsi="Palatino Linotype" w:cs="Arial"/>
          <w:b/>
          <w:bCs/>
        </w:rPr>
        <w:t>00459/SF/IP/2020</w:t>
      </w:r>
      <w:r w:rsidR="00335E39" w:rsidRPr="0052764F">
        <w:rPr>
          <w:rFonts w:ascii="Palatino Linotype" w:eastAsia="Calibri" w:hAnsi="Palatino Linotype" w:cs="Arial"/>
          <w:lang w:val="es-ES"/>
        </w:rPr>
        <w:t xml:space="preserve"> y </w:t>
      </w:r>
      <w:r w:rsidR="00335E39" w:rsidRPr="0052764F">
        <w:rPr>
          <w:rFonts w:ascii="Palatino Linotype" w:hAnsi="Palatino Linotype" w:cs="Arial"/>
          <w:b/>
          <w:bCs/>
        </w:rPr>
        <w:t>00458/SF/IP/2020</w:t>
      </w:r>
      <w:r w:rsidRPr="0052764F">
        <w:rPr>
          <w:rFonts w:ascii="Palatino Linotype" w:eastAsia="Calibri" w:hAnsi="Palatino Linotype" w:cs="Arial"/>
          <w:b/>
          <w:lang w:val="es-ES" w:eastAsia="es-ES"/>
        </w:rPr>
        <w:t>.</w:t>
      </w:r>
      <w:r w:rsidRPr="0052764F">
        <w:rPr>
          <w:rFonts w:ascii="Palatino Linotype" w:eastAsia="Calibri" w:hAnsi="Palatino Linotype" w:cs="Arial"/>
          <w:sz w:val="28"/>
          <w:lang w:val="es-ES" w:eastAsia="es-ES"/>
        </w:rPr>
        <w:t xml:space="preserve"> </w:t>
      </w:r>
    </w:p>
    <w:p w:rsidR="00647636" w:rsidRPr="0052764F" w:rsidRDefault="00647636" w:rsidP="00CE4F60">
      <w:pPr>
        <w:spacing w:line="360" w:lineRule="auto"/>
        <w:jc w:val="both"/>
        <w:rPr>
          <w:rFonts w:ascii="Palatino Linotype" w:eastAsia="Calibri" w:hAnsi="Palatino Linotype" w:cs="Arial"/>
          <w:lang w:val="es-ES" w:eastAsia="es-ES"/>
        </w:rPr>
      </w:pPr>
    </w:p>
    <w:p w:rsidR="00647636" w:rsidRPr="0052764F" w:rsidRDefault="00647636" w:rsidP="00CE4F60">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2764F">
        <w:rPr>
          <w:rFonts w:ascii="Palatino Linotype" w:eastAsia="Palatino Linotype" w:hAnsi="Palatino Linotype" w:cs="Palatino Linotype"/>
          <w:b/>
          <w:lang w:val="es-ES_tradnl" w:eastAsia="es-ES"/>
        </w:rPr>
        <w:t xml:space="preserve">TERCERO. REMÍTASE, </w:t>
      </w:r>
      <w:r w:rsidRPr="0052764F">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52764F">
        <w:rPr>
          <w:rFonts w:ascii="Palatino Linotype" w:eastAsia="Palatino Linotype" w:hAnsi="Palatino Linotype" w:cs="Palatino Linotype"/>
          <w:b/>
          <w:lang w:val="es-ES_tradnl" w:eastAsia="es-ES"/>
        </w:rPr>
        <w:t>SUJETO OBLIGADO.</w:t>
      </w:r>
    </w:p>
    <w:p w:rsidR="00647636" w:rsidRPr="0052764F" w:rsidRDefault="00647636" w:rsidP="00CE4F60">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647636" w:rsidRPr="0052764F" w:rsidRDefault="00647636" w:rsidP="00CE4F60">
      <w:pPr>
        <w:shd w:val="clear" w:color="auto" w:fill="FFFFFF"/>
        <w:spacing w:line="360" w:lineRule="auto"/>
        <w:jc w:val="both"/>
        <w:rPr>
          <w:rFonts w:ascii="Palatino Linotype" w:eastAsiaTheme="minorEastAsia" w:hAnsi="Palatino Linotype"/>
          <w:lang w:val="es-ES_tradnl" w:eastAsia="es-ES"/>
        </w:rPr>
      </w:pPr>
      <w:r w:rsidRPr="0052764F">
        <w:rPr>
          <w:rFonts w:ascii="Palatino Linotype" w:hAnsi="Palatino Linotype" w:cs="Arial"/>
          <w:b/>
          <w:lang w:val="es-ES_tradnl" w:eastAsia="es-ES"/>
        </w:rPr>
        <w:t xml:space="preserve">CUARTO. </w:t>
      </w:r>
      <w:r w:rsidR="00183B16" w:rsidRPr="0052764F">
        <w:rPr>
          <w:rFonts w:ascii="Palatino Linotype" w:hAnsi="Palatino Linotype"/>
          <w:b/>
          <w:bCs/>
          <w:color w:val="222222"/>
          <w:lang w:val="es-ES" w:eastAsia="es-ES"/>
        </w:rPr>
        <w:t xml:space="preserve">Notifíquese al RECURRENTE </w:t>
      </w:r>
      <w:r w:rsidRPr="0052764F">
        <w:rPr>
          <w:rFonts w:ascii="Palatino Linotype" w:eastAsiaTheme="minorEastAsia" w:hAnsi="Palatino Linotype"/>
          <w:lang w:val="es-ES_tradnl" w:eastAsia="es-ES"/>
        </w:rPr>
        <w:t>la presente resolución.</w:t>
      </w:r>
    </w:p>
    <w:p w:rsidR="00647636" w:rsidRPr="0052764F" w:rsidRDefault="00647636" w:rsidP="00CE4F60">
      <w:pPr>
        <w:shd w:val="clear" w:color="auto" w:fill="FFFFFF"/>
        <w:spacing w:line="360" w:lineRule="auto"/>
        <w:jc w:val="both"/>
        <w:rPr>
          <w:rFonts w:ascii="Palatino Linotype" w:eastAsiaTheme="minorEastAsia" w:hAnsi="Palatino Linotype"/>
          <w:lang w:val="es-ES_tradnl" w:eastAsia="es-ES"/>
        </w:rPr>
      </w:pPr>
    </w:p>
    <w:p w:rsidR="00647636" w:rsidRPr="0052764F" w:rsidRDefault="00647636" w:rsidP="00CE4F60">
      <w:pPr>
        <w:spacing w:line="360" w:lineRule="auto"/>
        <w:jc w:val="both"/>
        <w:rPr>
          <w:rFonts w:ascii="Palatino Linotype" w:eastAsia="MS Mincho" w:hAnsi="Palatino Linotype"/>
          <w:lang w:val="es-ES" w:eastAsia="es-ES"/>
        </w:rPr>
      </w:pPr>
      <w:r w:rsidRPr="0052764F">
        <w:rPr>
          <w:rFonts w:ascii="Palatino Linotype" w:eastAsia="MS Mincho" w:hAnsi="Palatino Linotype"/>
          <w:b/>
          <w:lang w:eastAsia="es-ES"/>
        </w:rPr>
        <w:t>QUINTO.</w:t>
      </w:r>
      <w:r w:rsidRPr="0052764F">
        <w:rPr>
          <w:rFonts w:ascii="Palatino Linotype" w:eastAsia="MS Mincho" w:hAnsi="Palatino Linotype"/>
          <w:lang w:eastAsia="es-ES"/>
        </w:rPr>
        <w:t xml:space="preserve"> </w:t>
      </w:r>
      <w:r w:rsidRPr="0052764F">
        <w:rPr>
          <w:rFonts w:ascii="Palatino Linotype" w:eastAsia="MS Mincho" w:hAnsi="Palatino Linotype"/>
          <w:lang w:val="es-ES" w:eastAsia="es-ES"/>
        </w:rPr>
        <w:t xml:space="preserve">Se hace del conocimiento del </w:t>
      </w:r>
      <w:r w:rsidR="00183B16" w:rsidRPr="0052764F">
        <w:rPr>
          <w:rFonts w:ascii="Palatino Linotype" w:hAnsi="Palatino Linotype"/>
          <w:b/>
          <w:bCs/>
          <w:color w:val="222222"/>
          <w:lang w:val="es-ES" w:eastAsia="es-ES"/>
        </w:rPr>
        <w:t>RECURRENTE</w:t>
      </w:r>
      <w:r w:rsidRPr="0052764F">
        <w:rPr>
          <w:rFonts w:ascii="Palatino Linotype" w:eastAsiaTheme="minorEastAsia" w:hAnsi="Palatino Linotype"/>
          <w:b/>
          <w:lang w:val="es-ES_tradnl" w:eastAsia="es-ES"/>
        </w:rPr>
        <w:t xml:space="preserve"> </w:t>
      </w:r>
      <w:r w:rsidRPr="0052764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2764F">
        <w:rPr>
          <w:rFonts w:ascii="Palatino Linotype" w:eastAsia="MS Mincho" w:hAnsi="Palatino Linotype"/>
          <w:bCs/>
          <w:lang w:val="es-ES" w:eastAsia="es-ES"/>
        </w:rPr>
        <w:t>vía juicio de amparo</w:t>
      </w:r>
      <w:r w:rsidRPr="0052764F">
        <w:rPr>
          <w:rFonts w:ascii="Palatino Linotype" w:eastAsia="MS Mincho" w:hAnsi="Palatino Linotype"/>
          <w:lang w:val="es-ES" w:eastAsia="es-ES"/>
        </w:rPr>
        <w:t> en los términos de las leyes aplicables.</w:t>
      </w:r>
    </w:p>
    <w:p w:rsidR="00E3541B" w:rsidRPr="0052764F" w:rsidRDefault="00E3541B" w:rsidP="00CE4F60">
      <w:pPr>
        <w:spacing w:line="360" w:lineRule="auto"/>
        <w:jc w:val="both"/>
        <w:rPr>
          <w:rFonts w:ascii="Palatino Linotype" w:eastAsia="MS Mincho" w:hAnsi="Palatino Linotype"/>
          <w:lang w:val="es-ES" w:eastAsia="es-ES"/>
        </w:rPr>
      </w:pPr>
    </w:p>
    <w:p w:rsidR="00E3541B" w:rsidRPr="0052764F" w:rsidRDefault="00E3541B" w:rsidP="00E3541B">
      <w:pPr>
        <w:spacing w:line="360" w:lineRule="auto"/>
        <w:jc w:val="both"/>
        <w:rPr>
          <w:rFonts w:ascii="Palatino Linotype" w:eastAsia="MS Mincho" w:hAnsi="Palatino Linotype"/>
          <w:b/>
          <w:lang w:val="es-ES_tradnl" w:eastAsia="es-ES"/>
        </w:rPr>
      </w:pPr>
      <w:r w:rsidRPr="0052764F">
        <w:rPr>
          <w:rFonts w:ascii="Palatino Linotype" w:eastAsia="MS Mincho" w:hAnsi="Palatino Linotype"/>
          <w:b/>
          <w:lang w:val="es-ES" w:eastAsia="es-ES"/>
        </w:rPr>
        <w:t>SEXTO.</w:t>
      </w:r>
      <w:r w:rsidRPr="0052764F">
        <w:rPr>
          <w:rFonts w:ascii="Palatino Linotype" w:eastAsia="MS Mincho" w:hAnsi="Palatino Linotype"/>
          <w:lang w:val="es-ES" w:eastAsia="es-ES"/>
        </w:rPr>
        <w:t xml:space="preserve"> </w:t>
      </w:r>
      <w:r w:rsidRPr="0052764F">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w:t>
      </w:r>
      <w:r w:rsidRPr="0052764F">
        <w:rPr>
          <w:rFonts w:ascii="Palatino Linotype" w:eastAsia="MS Mincho" w:hAnsi="Palatino Linotype"/>
          <w:lang w:val="es-ES_tradnl" w:eastAsia="es-ES"/>
        </w:rPr>
        <w:lastRenderedPageBreak/>
        <w:t xml:space="preserve">Transparencia y Acceso a la Información Pública del Estado de México y Municipios, determine lo conducente en términos del </w:t>
      </w:r>
      <w:r w:rsidR="00E03C4E" w:rsidRPr="0052764F">
        <w:rPr>
          <w:rFonts w:ascii="Palatino Linotype" w:eastAsia="MS Mincho" w:hAnsi="Palatino Linotype"/>
          <w:b/>
          <w:lang w:val="es-ES_tradnl" w:eastAsia="es-ES"/>
        </w:rPr>
        <w:t>Considerando QUINTO</w:t>
      </w:r>
      <w:r w:rsidRPr="0052764F">
        <w:rPr>
          <w:rFonts w:ascii="Palatino Linotype" w:eastAsia="MS Mincho" w:hAnsi="Palatino Linotype"/>
          <w:b/>
          <w:lang w:val="es-ES_tradnl" w:eastAsia="es-ES"/>
        </w:rPr>
        <w:t>.</w:t>
      </w:r>
    </w:p>
    <w:p w:rsidR="00E3541B" w:rsidRPr="0052764F" w:rsidRDefault="00E3541B" w:rsidP="00CE4F60">
      <w:pPr>
        <w:spacing w:line="360" w:lineRule="auto"/>
        <w:jc w:val="both"/>
        <w:rPr>
          <w:rFonts w:ascii="Palatino Linotype" w:eastAsia="MS Mincho" w:hAnsi="Palatino Linotype"/>
          <w:lang w:val="es-ES" w:eastAsia="es-ES"/>
        </w:rPr>
      </w:pPr>
    </w:p>
    <w:p w:rsidR="004265DE" w:rsidRPr="0052764F" w:rsidRDefault="004265DE" w:rsidP="00CE4F60">
      <w:pPr>
        <w:spacing w:line="360" w:lineRule="auto"/>
        <w:jc w:val="both"/>
        <w:rPr>
          <w:rFonts w:ascii="Palatino Linotype" w:hAnsi="Palatino Linotype"/>
          <w:color w:val="000000"/>
          <w:lang w:val="es-ES" w:eastAsia="es-MX"/>
        </w:rPr>
      </w:pPr>
      <w:r w:rsidRPr="0052764F">
        <w:rPr>
          <w:rFonts w:ascii="Palatino Linotype" w:hAnsi="Palatino Linotype"/>
          <w:b/>
          <w:color w:val="000000"/>
          <w:lang w:val="es-ES" w:eastAsia="es-MX"/>
        </w:rPr>
        <w:t>SÉPTIMO</w:t>
      </w:r>
      <w:r w:rsidRPr="0052764F">
        <w:rPr>
          <w:rFonts w:ascii="Palatino Linotype" w:hAnsi="Palatino Linotype"/>
          <w:color w:val="000000"/>
          <w:lang w:val="es-ES" w:eastAsia="es-MX"/>
        </w:rPr>
        <w:t xml:space="preserve">. Gírese oficio al Titular de la Dirección Jurídica y Verificación de este Instituto, con fundamento en lo dispuesto por el artículo </w:t>
      </w:r>
      <w:r w:rsidR="00201B79" w:rsidRPr="0052764F">
        <w:rPr>
          <w:rFonts w:ascii="Palatino Linotype" w:hAnsi="Palatino Linotype"/>
          <w:color w:val="000000"/>
          <w:lang w:val="es-ES" w:eastAsia="es-MX"/>
        </w:rPr>
        <w:t>22</w:t>
      </w:r>
      <w:r w:rsidRPr="0052764F">
        <w:rPr>
          <w:rFonts w:ascii="Palatino Linotype" w:hAnsi="Palatino Linotype"/>
          <w:color w:val="000000"/>
          <w:lang w:val="es-ES" w:eastAsia="es-MX"/>
        </w:rPr>
        <w:t xml:space="preserve">, fracción XIV del Reglamento Interior del Instituto de Transparencia, Acceso a la Información Pública y Protección de Datos Personales del Estado de México y Municipios y determine lo conducente en términos del Considerando </w:t>
      </w:r>
      <w:r w:rsidR="00E03C4E" w:rsidRPr="0052764F">
        <w:rPr>
          <w:rFonts w:ascii="Palatino Linotype" w:hAnsi="Palatino Linotype"/>
          <w:color w:val="000000"/>
          <w:lang w:val="es-ES" w:eastAsia="es-MX"/>
        </w:rPr>
        <w:t>SEXTO</w:t>
      </w:r>
      <w:r w:rsidRPr="0052764F">
        <w:rPr>
          <w:rFonts w:ascii="Palatino Linotype" w:hAnsi="Palatino Linotype"/>
          <w:color w:val="000000"/>
          <w:lang w:val="es-ES" w:eastAsia="es-MX"/>
        </w:rPr>
        <w:t xml:space="preserve"> de la presente resolución.</w:t>
      </w:r>
    </w:p>
    <w:p w:rsidR="004265DE" w:rsidRPr="0052764F" w:rsidRDefault="004265DE" w:rsidP="00CE4F60">
      <w:pPr>
        <w:spacing w:line="360" w:lineRule="auto"/>
        <w:jc w:val="both"/>
        <w:rPr>
          <w:rFonts w:ascii="Palatino Linotype" w:hAnsi="Palatino Linotype"/>
          <w:color w:val="000000"/>
          <w:sz w:val="16"/>
          <w:szCs w:val="20"/>
          <w:lang w:val="es-ES" w:eastAsia="es-MX"/>
        </w:rPr>
      </w:pPr>
    </w:p>
    <w:p w:rsidR="00911573" w:rsidRPr="0052764F" w:rsidRDefault="00911573" w:rsidP="00CE4F60">
      <w:pPr>
        <w:spacing w:line="360" w:lineRule="auto"/>
        <w:jc w:val="both"/>
        <w:rPr>
          <w:rFonts w:ascii="Palatino Linotype" w:eastAsia="Calibri" w:hAnsi="Palatino Linotype" w:cs="Arial"/>
          <w:lang w:eastAsia="en-US"/>
        </w:rPr>
      </w:pPr>
      <w:r w:rsidRPr="0052764F">
        <w:rPr>
          <w:rFonts w:ascii="Palatino Linotype" w:eastAsia="Calibri" w:hAnsi="Palatino Linotype"/>
          <w:lang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52764F" w:rsidRPr="0052764F">
        <w:rPr>
          <w:rFonts w:ascii="Palatino Linotype" w:eastAsia="Calibri" w:hAnsi="Palatino Linotype"/>
          <w:lang w:eastAsia="en-US"/>
        </w:rPr>
        <w:t xml:space="preserve"> EMITIENDO VOTO PARTICULAR</w:t>
      </w:r>
      <w:r w:rsidRPr="0052764F">
        <w:rPr>
          <w:rFonts w:ascii="Palatino Linotype" w:eastAsia="Calibri" w:hAnsi="Palatino Linotype"/>
          <w:lang w:eastAsia="en-US"/>
        </w:rPr>
        <w:t xml:space="preserve"> Y LUIS GUSTAVO PARRA NORIEGA</w:t>
      </w:r>
      <w:r w:rsidR="00A12C73" w:rsidRPr="00A12C73">
        <w:rPr>
          <w:rFonts w:ascii="Palatino Linotype" w:eastAsia="Calibri" w:hAnsi="Palatino Linotype"/>
          <w:lang w:eastAsia="en-US"/>
        </w:rPr>
        <w:t xml:space="preserve"> </w:t>
      </w:r>
      <w:r w:rsidR="00A12C73" w:rsidRPr="0052764F">
        <w:rPr>
          <w:rFonts w:ascii="Palatino Linotype" w:eastAsia="Calibri" w:hAnsi="Palatino Linotype"/>
          <w:lang w:eastAsia="en-US"/>
        </w:rPr>
        <w:t>EMITIENDO VOTO PARTICULAR</w:t>
      </w:r>
      <w:r w:rsidR="00F969B3" w:rsidRPr="0052764F">
        <w:rPr>
          <w:rFonts w:ascii="Palatino Linotype" w:eastAsia="Calibri" w:hAnsi="Palatino Linotype"/>
          <w:lang w:eastAsia="en-US"/>
        </w:rPr>
        <w:t>; EN LA TRIGÉSIMA</w:t>
      </w:r>
      <w:r w:rsidRPr="0052764F">
        <w:rPr>
          <w:rFonts w:ascii="Palatino Linotype" w:eastAsia="Calibri" w:hAnsi="Palatino Linotype"/>
          <w:lang w:eastAsia="en-US"/>
        </w:rPr>
        <w:t xml:space="preserve"> SESIÓN ORDINARIA CEL</w:t>
      </w:r>
      <w:r w:rsidR="004C5AEE" w:rsidRPr="0052764F">
        <w:rPr>
          <w:rFonts w:ascii="Palatino Linotype" w:eastAsia="Calibri" w:hAnsi="Palatino Linotype"/>
          <w:lang w:eastAsia="en-US"/>
        </w:rPr>
        <w:t>EBRADA EL NUEVE DE DICIEMBRE</w:t>
      </w:r>
      <w:r w:rsidRPr="0052764F">
        <w:rPr>
          <w:rFonts w:ascii="Palatino Linotype" w:eastAsia="Calibri" w:hAnsi="Palatino Linotype"/>
          <w:lang w:eastAsia="en-US"/>
        </w:rPr>
        <w:t xml:space="preserve">  DE DOS MIL VEINTE, ANTE EL SECRETARIO TÉCNICO DEL PLENO ALEXIS TAPIA RAMÍREZ.</w:t>
      </w:r>
      <w:r w:rsidRPr="0052764F">
        <w:rPr>
          <w:rFonts w:ascii="Palatino Linotype" w:eastAsia="Calibri" w:hAnsi="Palatino Linotype" w:cs="Arial"/>
          <w:lang w:eastAsia="en-US"/>
        </w:rPr>
        <w:t xml:space="preserve"> </w:t>
      </w:r>
      <w:bookmarkStart w:id="98" w:name="_GoBack"/>
      <w:bookmarkEnd w:id="98"/>
    </w:p>
    <w:tbl>
      <w:tblPr>
        <w:tblW w:w="9918" w:type="dxa"/>
        <w:jc w:val="center"/>
        <w:tblLayout w:type="fixed"/>
        <w:tblLook w:val="04A0" w:firstRow="1" w:lastRow="0" w:firstColumn="1" w:lastColumn="0" w:noHBand="0" w:noVBand="1"/>
      </w:tblPr>
      <w:tblGrid>
        <w:gridCol w:w="4905"/>
        <w:gridCol w:w="5013"/>
      </w:tblGrid>
      <w:tr w:rsidR="00911573" w:rsidRPr="0052764F" w:rsidTr="00224E75">
        <w:trPr>
          <w:jc w:val="center"/>
        </w:trPr>
        <w:tc>
          <w:tcPr>
            <w:tcW w:w="9918" w:type="dxa"/>
            <w:gridSpan w:val="2"/>
          </w:tcPr>
          <w:p w:rsidR="00911573" w:rsidRPr="0052764F" w:rsidRDefault="00911573" w:rsidP="00D12B4C">
            <w:pPr>
              <w:tabs>
                <w:tab w:val="left" w:pos="0"/>
              </w:tabs>
              <w:rPr>
                <w:rFonts w:ascii="Palatino Linotype" w:hAnsi="Palatino Linotype" w:cs="Arial"/>
                <w:b/>
              </w:rPr>
            </w:pPr>
            <w:bookmarkStart w:id="99" w:name="_Toc445745137"/>
            <w:bookmarkStart w:id="100" w:name="_Toc447699318"/>
            <w:bookmarkStart w:id="101" w:name="_Toc452379730"/>
            <w:bookmarkStart w:id="102" w:name="_Toc459195482"/>
            <w:bookmarkStart w:id="103" w:name="_Toc461555892"/>
            <w:bookmarkStart w:id="104" w:name="_Toc462307689"/>
            <w:bookmarkStart w:id="105" w:name="_Toc473628138"/>
            <w:bookmarkEnd w:id="99"/>
            <w:bookmarkEnd w:id="100"/>
            <w:bookmarkEnd w:id="101"/>
            <w:bookmarkEnd w:id="102"/>
            <w:bookmarkEnd w:id="103"/>
            <w:bookmarkEnd w:id="104"/>
            <w:bookmarkEnd w:id="105"/>
          </w:p>
          <w:p w:rsidR="00911573" w:rsidRDefault="00911573" w:rsidP="00D12B4C">
            <w:pPr>
              <w:tabs>
                <w:tab w:val="left" w:pos="0"/>
              </w:tabs>
              <w:jc w:val="center"/>
              <w:rPr>
                <w:rFonts w:ascii="Palatino Linotype" w:hAnsi="Palatino Linotype" w:cs="Arial"/>
                <w:b/>
              </w:rPr>
            </w:pPr>
          </w:p>
          <w:p w:rsidR="0052764F" w:rsidRPr="0052764F" w:rsidRDefault="0052764F" w:rsidP="00D12B4C">
            <w:pPr>
              <w:tabs>
                <w:tab w:val="left" w:pos="0"/>
              </w:tabs>
              <w:jc w:val="center"/>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4C7A91" w:rsidRPr="0052764F" w:rsidRDefault="004C7A91"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52764F" w:rsidRDefault="0052764F" w:rsidP="00D12B4C">
            <w:pPr>
              <w:tabs>
                <w:tab w:val="left" w:pos="0"/>
              </w:tabs>
              <w:jc w:val="center"/>
              <w:rPr>
                <w:rFonts w:ascii="Palatino Linotype" w:hAnsi="Palatino Linotype" w:cs="Arial"/>
                <w:b/>
              </w:rPr>
            </w:pPr>
          </w:p>
          <w:p w:rsidR="0052764F" w:rsidRDefault="0052764F" w:rsidP="00D12B4C">
            <w:pPr>
              <w:tabs>
                <w:tab w:val="left" w:pos="0"/>
              </w:tabs>
              <w:jc w:val="center"/>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Zulema Martínez Sánchez</w:t>
            </w: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rPr>
              <w:t>Comisionada Presidenta</w:t>
            </w: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(Rúbrica)</w:t>
            </w:r>
          </w:p>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tc>
      </w:tr>
      <w:tr w:rsidR="00911573" w:rsidRPr="0052764F" w:rsidTr="00224E75">
        <w:trPr>
          <w:jc w:val="center"/>
        </w:trPr>
        <w:tc>
          <w:tcPr>
            <w:tcW w:w="4905" w:type="dxa"/>
          </w:tcPr>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lastRenderedPageBreak/>
              <w:t>Eva Abaid Yapur</w:t>
            </w:r>
          </w:p>
          <w:p w:rsidR="00911573" w:rsidRPr="0052764F" w:rsidRDefault="00911573" w:rsidP="00D12B4C">
            <w:pPr>
              <w:tabs>
                <w:tab w:val="left" w:pos="0"/>
              </w:tabs>
              <w:jc w:val="center"/>
              <w:rPr>
                <w:rFonts w:ascii="Palatino Linotype" w:hAnsi="Palatino Linotype" w:cs="Arial"/>
              </w:rPr>
            </w:pPr>
            <w:r w:rsidRPr="0052764F">
              <w:rPr>
                <w:rFonts w:ascii="Palatino Linotype" w:hAnsi="Palatino Linotype" w:cs="Arial"/>
              </w:rPr>
              <w:t>Comisionada</w:t>
            </w: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(Rúbrica)</w:t>
            </w:r>
          </w:p>
        </w:tc>
        <w:tc>
          <w:tcPr>
            <w:tcW w:w="5013" w:type="dxa"/>
          </w:tcPr>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José Guadalupe Luna Hernández</w:t>
            </w:r>
          </w:p>
          <w:p w:rsidR="00911573" w:rsidRPr="0052764F" w:rsidRDefault="00911573" w:rsidP="00D12B4C">
            <w:pPr>
              <w:tabs>
                <w:tab w:val="left" w:pos="0"/>
              </w:tabs>
              <w:jc w:val="center"/>
              <w:rPr>
                <w:rFonts w:ascii="Palatino Linotype" w:hAnsi="Palatino Linotype" w:cs="Arial"/>
              </w:rPr>
            </w:pPr>
            <w:r w:rsidRPr="0052764F">
              <w:rPr>
                <w:rFonts w:ascii="Palatino Linotype" w:hAnsi="Palatino Linotype" w:cs="Arial"/>
              </w:rPr>
              <w:t>Comisionado</w:t>
            </w: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(Rúbrica)</w:t>
            </w:r>
          </w:p>
          <w:p w:rsidR="00911573" w:rsidRPr="0052764F" w:rsidRDefault="00911573" w:rsidP="00D12B4C">
            <w:pPr>
              <w:tabs>
                <w:tab w:val="left" w:pos="0"/>
              </w:tabs>
              <w:jc w:val="center"/>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p>
        </w:tc>
      </w:tr>
      <w:tr w:rsidR="00911573" w:rsidRPr="0052764F" w:rsidTr="00224E75">
        <w:trPr>
          <w:jc w:val="center"/>
        </w:trPr>
        <w:tc>
          <w:tcPr>
            <w:tcW w:w="4905" w:type="dxa"/>
          </w:tcPr>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Javier Martínez Cruz</w:t>
            </w:r>
          </w:p>
          <w:p w:rsidR="00911573" w:rsidRPr="0052764F" w:rsidRDefault="00911573" w:rsidP="00D12B4C">
            <w:pPr>
              <w:tabs>
                <w:tab w:val="left" w:pos="0"/>
              </w:tabs>
              <w:jc w:val="center"/>
              <w:rPr>
                <w:rFonts w:ascii="Palatino Linotype" w:hAnsi="Palatino Linotype" w:cs="Arial"/>
              </w:rPr>
            </w:pPr>
            <w:r w:rsidRPr="0052764F">
              <w:rPr>
                <w:rFonts w:ascii="Palatino Linotype" w:hAnsi="Palatino Linotype" w:cs="Arial"/>
              </w:rPr>
              <w:t>Comisionado</w:t>
            </w: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(Rúbrica)</w:t>
            </w:r>
          </w:p>
        </w:tc>
        <w:tc>
          <w:tcPr>
            <w:tcW w:w="5013" w:type="dxa"/>
          </w:tcPr>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A12C73" w:rsidRDefault="00A12C73" w:rsidP="00D12B4C">
            <w:pPr>
              <w:tabs>
                <w:tab w:val="left" w:pos="0"/>
              </w:tabs>
              <w:jc w:val="center"/>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Luis Gustavo Parra Noriega</w:t>
            </w:r>
          </w:p>
          <w:p w:rsidR="00911573" w:rsidRPr="0052764F" w:rsidRDefault="00911573" w:rsidP="00D12B4C">
            <w:pPr>
              <w:tabs>
                <w:tab w:val="left" w:pos="0"/>
              </w:tabs>
              <w:jc w:val="center"/>
              <w:rPr>
                <w:rFonts w:ascii="Palatino Linotype" w:hAnsi="Palatino Linotype" w:cs="Arial"/>
              </w:rPr>
            </w:pPr>
            <w:r w:rsidRPr="0052764F">
              <w:rPr>
                <w:rFonts w:ascii="Palatino Linotype" w:hAnsi="Palatino Linotype" w:cs="Arial"/>
              </w:rPr>
              <w:t>Comisionado</w:t>
            </w: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(Rúbrica)</w:t>
            </w:r>
          </w:p>
        </w:tc>
      </w:tr>
      <w:tr w:rsidR="00911573" w:rsidRPr="0052764F" w:rsidTr="00224E75">
        <w:trPr>
          <w:jc w:val="center"/>
        </w:trPr>
        <w:tc>
          <w:tcPr>
            <w:tcW w:w="9918" w:type="dxa"/>
            <w:gridSpan w:val="2"/>
          </w:tcPr>
          <w:p w:rsidR="00911573" w:rsidRPr="0052764F" w:rsidRDefault="00911573" w:rsidP="00D12B4C">
            <w:pPr>
              <w:tabs>
                <w:tab w:val="left" w:pos="0"/>
              </w:tabs>
              <w:jc w:val="center"/>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p>
          <w:p w:rsidR="00911573" w:rsidRPr="0052764F" w:rsidRDefault="00911573" w:rsidP="00D12B4C">
            <w:pPr>
              <w:tabs>
                <w:tab w:val="left" w:pos="0"/>
              </w:tabs>
              <w:rPr>
                <w:rFonts w:ascii="Palatino Linotype" w:hAnsi="Palatino Linotype" w:cs="Arial"/>
                <w:b/>
              </w:rPr>
            </w:pP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Alexis Tapia Ramírez</w:t>
            </w:r>
          </w:p>
          <w:p w:rsidR="00911573" w:rsidRPr="0052764F" w:rsidRDefault="00911573" w:rsidP="00D12B4C">
            <w:pPr>
              <w:tabs>
                <w:tab w:val="left" w:pos="0"/>
              </w:tabs>
              <w:jc w:val="center"/>
              <w:rPr>
                <w:rFonts w:ascii="Palatino Linotype" w:hAnsi="Palatino Linotype" w:cs="Arial"/>
              </w:rPr>
            </w:pPr>
            <w:r w:rsidRPr="0052764F">
              <w:rPr>
                <w:rFonts w:ascii="Palatino Linotype" w:hAnsi="Palatino Linotype" w:cs="Arial"/>
              </w:rPr>
              <w:t>Secretario Técnico del Pleno</w:t>
            </w:r>
          </w:p>
          <w:p w:rsidR="00911573" w:rsidRPr="0052764F" w:rsidRDefault="00911573" w:rsidP="00D12B4C">
            <w:pPr>
              <w:tabs>
                <w:tab w:val="left" w:pos="0"/>
              </w:tabs>
              <w:jc w:val="center"/>
              <w:rPr>
                <w:rFonts w:ascii="Palatino Linotype" w:hAnsi="Palatino Linotype" w:cs="Arial"/>
                <w:b/>
              </w:rPr>
            </w:pPr>
            <w:r w:rsidRPr="0052764F">
              <w:rPr>
                <w:rFonts w:ascii="Palatino Linotype" w:hAnsi="Palatino Linotype" w:cs="Arial"/>
                <w:b/>
              </w:rPr>
              <w:t>(Rúbrica)</w:t>
            </w:r>
          </w:p>
        </w:tc>
      </w:tr>
    </w:tbl>
    <w:p w:rsidR="00911573" w:rsidRPr="0052764F" w:rsidRDefault="00911573" w:rsidP="00D12B4C">
      <w:pPr>
        <w:ind w:right="-567"/>
        <w:jc w:val="both"/>
        <w:rPr>
          <w:rFonts w:ascii="Palatino Linotype" w:hAnsi="Palatino Linotype" w:cs="Arial"/>
        </w:rPr>
      </w:pPr>
    </w:p>
    <w:p w:rsidR="00A212B7" w:rsidRPr="00D12B4C" w:rsidRDefault="00911573" w:rsidP="00D12B4C">
      <w:pPr>
        <w:ind w:right="-567"/>
        <w:jc w:val="both"/>
        <w:rPr>
          <w:rFonts w:ascii="Palatino Linotype" w:hAnsi="Palatino Linotype" w:cs="Arial"/>
          <w:b/>
        </w:rPr>
      </w:pPr>
      <w:r w:rsidRPr="0052764F">
        <w:rPr>
          <w:rFonts w:ascii="Palatino Linotype" w:hAnsi="Palatino Linotype" w:cs="Arial"/>
        </w:rPr>
        <w:t xml:space="preserve">Esta hoja corresponde a la resolución de fecha </w:t>
      </w:r>
      <w:r w:rsidR="00F969B3" w:rsidRPr="0052764F">
        <w:rPr>
          <w:rFonts w:ascii="Palatino Linotype" w:hAnsi="Palatino Linotype" w:cs="Arial"/>
        </w:rPr>
        <w:t xml:space="preserve">nueve (9) de diciembre </w:t>
      </w:r>
      <w:r w:rsidRPr="0052764F">
        <w:rPr>
          <w:rFonts w:ascii="Palatino Linotype" w:hAnsi="Palatino Linotype" w:cs="Arial"/>
        </w:rPr>
        <w:t xml:space="preserve">  de dos mil veinte, emitida en el recurso de revisión </w:t>
      </w:r>
      <w:r w:rsidR="00F969B3" w:rsidRPr="0052764F">
        <w:rPr>
          <w:rFonts w:ascii="Palatino Linotype" w:hAnsi="Palatino Linotype" w:cs="Arial"/>
          <w:b/>
        </w:rPr>
        <w:t>04593</w:t>
      </w:r>
      <w:r w:rsidRPr="0052764F">
        <w:rPr>
          <w:rFonts w:ascii="Palatino Linotype" w:hAnsi="Palatino Linotype" w:cs="Arial"/>
          <w:b/>
        </w:rPr>
        <w:t>/INFOEM/IP/RR/2020 y Acumulados</w:t>
      </w:r>
      <w:r w:rsidRPr="0052764F">
        <w:rPr>
          <w:rFonts w:ascii="Palatino Linotype" w:hAnsi="Palatino Linotype" w:cs="Arial"/>
        </w:rPr>
        <w:t>.</w:t>
      </w:r>
      <w:r w:rsidRPr="003E5C09">
        <w:rPr>
          <w:rFonts w:ascii="Palatino Linotype" w:hAnsi="Palatino Linotype" w:cs="Arial"/>
        </w:rPr>
        <w:t xml:space="preserve"> </w:t>
      </w:r>
    </w:p>
    <w:sectPr w:rsidR="00A212B7" w:rsidRPr="00D12B4C" w:rsidSect="00224E75">
      <w:headerReference w:type="even" r:id="rId29"/>
      <w:headerReference w:type="default" r:id="rId30"/>
      <w:footerReference w:type="even" r:id="rId31"/>
      <w:footerReference w:type="default" r:id="rId32"/>
      <w:headerReference w:type="first" r:id="rId33"/>
      <w:footerReference w:type="first" r:id="rId3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8FE" w:rsidRDefault="007A28FE" w:rsidP="00911573">
      <w:r>
        <w:separator/>
      </w:r>
    </w:p>
  </w:endnote>
  <w:endnote w:type="continuationSeparator" w:id="0">
    <w:p w:rsidR="007A28FE" w:rsidRDefault="007A28FE" w:rsidP="009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4F" w:rsidRDefault="005276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36C5F" w:rsidRPr="00883450" w:rsidRDefault="00436C5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2C73">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2C73">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rsidR="00436C5F" w:rsidRDefault="00436C5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5F" w:rsidRPr="00883450" w:rsidRDefault="00436C5F" w:rsidP="00224E7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2C73" w:rsidRPr="00A12C7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2C73" w:rsidRPr="00A12C73">
      <w:rPr>
        <w:rFonts w:ascii="Palatino Linotype" w:hAnsi="Palatino Linotype"/>
        <w:noProof/>
        <w:sz w:val="22"/>
        <w:szCs w:val="22"/>
        <w:lang w:val="es-ES"/>
      </w:rPr>
      <w:t>57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8FE" w:rsidRDefault="007A28FE" w:rsidP="00911573">
      <w:r>
        <w:separator/>
      </w:r>
    </w:p>
  </w:footnote>
  <w:footnote w:type="continuationSeparator" w:id="0">
    <w:p w:rsidR="007A28FE" w:rsidRDefault="007A28FE" w:rsidP="00911573">
      <w:r>
        <w:continuationSeparator/>
      </w:r>
    </w:p>
  </w:footnote>
  <w:footnote w:id="1">
    <w:p w:rsidR="00436C5F" w:rsidRPr="00F75272" w:rsidRDefault="00436C5F" w:rsidP="0091157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436C5F" w:rsidRDefault="00436C5F" w:rsidP="005D6676">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4F" w:rsidRDefault="007A28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63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5F" w:rsidRDefault="007A28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6373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436C5F" w:rsidRDefault="00436C5F">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436C5F" w:rsidRPr="00EF13C1" w:rsidTr="00224E75">
      <w:trPr>
        <w:trHeight w:val="138"/>
      </w:trPr>
      <w:tc>
        <w:tcPr>
          <w:tcW w:w="2835" w:type="dxa"/>
          <w:vAlign w:val="center"/>
        </w:tcPr>
        <w:p w:rsidR="00436C5F" w:rsidRPr="00EF13C1" w:rsidRDefault="00436C5F" w:rsidP="00224E75">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436C5F" w:rsidRPr="00073569" w:rsidRDefault="00436C5F" w:rsidP="00224E75">
          <w:pPr>
            <w:pStyle w:val="Encabezado"/>
            <w:jc w:val="both"/>
            <w:rPr>
              <w:rFonts w:ascii="Palatino Linotype" w:hAnsi="Palatino Linotype"/>
              <w:b/>
              <w:sz w:val="22"/>
              <w:szCs w:val="22"/>
            </w:rPr>
          </w:pPr>
          <w:r>
            <w:rPr>
              <w:rFonts w:ascii="Palatino Linotype" w:hAnsi="Palatino Linotype" w:cs="Arial"/>
              <w:b/>
              <w:bCs/>
              <w:sz w:val="22"/>
              <w:szCs w:val="22"/>
              <w:lang w:eastAsia="es-MX"/>
            </w:rPr>
            <w:t>04593</w:t>
          </w:r>
          <w:r w:rsidRPr="00073569">
            <w:rPr>
              <w:rFonts w:ascii="Palatino Linotype" w:hAnsi="Palatino Linotype" w:cs="Arial"/>
              <w:b/>
              <w:bCs/>
              <w:sz w:val="22"/>
              <w:szCs w:val="22"/>
              <w:lang w:eastAsia="es-MX"/>
            </w:rPr>
            <w:t>/INFOEM/IP/RR/2020 y acumulados.</w:t>
          </w:r>
        </w:p>
      </w:tc>
    </w:tr>
    <w:tr w:rsidR="00436C5F" w:rsidRPr="00073569" w:rsidTr="00224E75">
      <w:trPr>
        <w:gridAfter w:val="1"/>
        <w:wAfter w:w="284" w:type="dxa"/>
        <w:trHeight w:val="321"/>
      </w:trPr>
      <w:tc>
        <w:tcPr>
          <w:tcW w:w="2835" w:type="dxa"/>
          <w:vAlign w:val="center"/>
        </w:tcPr>
        <w:p w:rsidR="00436C5F" w:rsidRPr="00EF13C1" w:rsidRDefault="00436C5F" w:rsidP="00224E75">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436C5F" w:rsidRPr="00073569" w:rsidRDefault="00436C5F" w:rsidP="00224E75">
          <w:pPr>
            <w:pStyle w:val="Encabezado"/>
            <w:ind w:right="21"/>
            <w:jc w:val="both"/>
            <w:rPr>
              <w:rFonts w:ascii="Palatino Linotype" w:hAnsi="Palatino Linotype"/>
              <w:b/>
              <w:sz w:val="22"/>
              <w:szCs w:val="22"/>
            </w:rPr>
          </w:pPr>
          <w:r>
            <w:rPr>
              <w:rFonts w:ascii="Palatino Linotype" w:hAnsi="Palatino Linotype" w:cs="Arial"/>
              <w:b/>
              <w:sz w:val="22"/>
              <w:szCs w:val="22"/>
              <w:lang w:eastAsia="es-MX"/>
            </w:rPr>
            <w:t>Secretaría de Finanzas</w:t>
          </w:r>
        </w:p>
      </w:tc>
    </w:tr>
    <w:tr w:rsidR="00436C5F" w:rsidRPr="00EF13C1" w:rsidTr="00224E75">
      <w:trPr>
        <w:trHeight w:val="321"/>
      </w:trPr>
      <w:tc>
        <w:tcPr>
          <w:tcW w:w="2835" w:type="dxa"/>
          <w:vAlign w:val="center"/>
        </w:tcPr>
        <w:p w:rsidR="00436C5F" w:rsidRPr="00EF13C1" w:rsidRDefault="00436C5F" w:rsidP="00224E75">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436C5F" w:rsidRPr="00073569" w:rsidRDefault="00436C5F" w:rsidP="00224E75">
          <w:pPr>
            <w:pStyle w:val="Encabezado"/>
            <w:jc w:val="both"/>
            <w:rPr>
              <w:rFonts w:ascii="Palatino Linotype" w:hAnsi="Palatino Linotype"/>
              <w:b/>
              <w:sz w:val="22"/>
              <w:szCs w:val="22"/>
            </w:rPr>
          </w:pPr>
          <w:r w:rsidRPr="00073569">
            <w:rPr>
              <w:rFonts w:ascii="Palatino Linotype" w:hAnsi="Palatino Linotype"/>
              <w:b/>
              <w:sz w:val="22"/>
              <w:szCs w:val="22"/>
            </w:rPr>
            <w:t>José Guadalupe Luna Hernández</w:t>
          </w:r>
        </w:p>
      </w:tc>
    </w:tr>
  </w:tbl>
  <w:p w:rsidR="00436C5F" w:rsidRDefault="00436C5F" w:rsidP="00224E7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5F" w:rsidRDefault="007A28FE" w:rsidP="00224E75">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637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36C5F">
      <w:tab/>
    </w:r>
    <w:r w:rsidR="00436C5F">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436C5F" w:rsidRPr="00182113" w:rsidTr="00224E75">
      <w:trPr>
        <w:trHeight w:val="138"/>
      </w:trPr>
      <w:tc>
        <w:tcPr>
          <w:tcW w:w="2532" w:type="dxa"/>
          <w:vAlign w:val="center"/>
        </w:tcPr>
        <w:p w:rsidR="00436C5F" w:rsidRPr="00182113" w:rsidRDefault="00436C5F" w:rsidP="00224E7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436C5F" w:rsidRPr="00073569" w:rsidRDefault="00436C5F" w:rsidP="00224E75">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04593</w:t>
          </w:r>
          <w:r w:rsidRPr="00073569">
            <w:rPr>
              <w:rFonts w:ascii="Palatino Linotype" w:hAnsi="Palatino Linotype" w:cs="Arial"/>
              <w:b/>
              <w:bCs/>
              <w:sz w:val="22"/>
              <w:szCs w:val="22"/>
              <w:lang w:eastAsia="es-MX"/>
            </w:rPr>
            <w:t xml:space="preserve">/INFOEM/IP/RR/2020 y acumulados. </w:t>
          </w:r>
        </w:p>
      </w:tc>
    </w:tr>
    <w:tr w:rsidR="00436C5F" w:rsidRPr="00182113" w:rsidTr="00224E75">
      <w:trPr>
        <w:trHeight w:val="227"/>
      </w:trPr>
      <w:tc>
        <w:tcPr>
          <w:tcW w:w="2532" w:type="dxa"/>
          <w:vAlign w:val="center"/>
        </w:tcPr>
        <w:p w:rsidR="00436C5F" w:rsidRPr="00182113" w:rsidRDefault="00436C5F" w:rsidP="00224E75">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436C5F" w:rsidRPr="00073569" w:rsidRDefault="00436C5F" w:rsidP="003B7F21">
          <w:pPr>
            <w:pStyle w:val="Encabezado"/>
            <w:tabs>
              <w:tab w:val="clear" w:pos="4252"/>
            </w:tabs>
            <w:ind w:left="72" w:right="-250" w:hanging="142"/>
            <w:rPr>
              <w:rFonts w:ascii="Palatino Linotype" w:hAnsi="Palatino Linotype"/>
              <w:b/>
              <w:sz w:val="22"/>
              <w:szCs w:val="22"/>
            </w:rPr>
          </w:pPr>
          <w:r w:rsidRPr="00073569">
            <w:rPr>
              <w:rFonts w:ascii="Palatino Linotype" w:hAnsi="Palatino Linotype"/>
              <w:b/>
              <w:sz w:val="22"/>
              <w:szCs w:val="22"/>
            </w:rPr>
            <w:t xml:space="preserve"> </w:t>
          </w:r>
        </w:p>
      </w:tc>
    </w:tr>
    <w:tr w:rsidR="00436C5F" w:rsidRPr="00182113" w:rsidTr="00224E75">
      <w:trPr>
        <w:trHeight w:val="232"/>
      </w:trPr>
      <w:tc>
        <w:tcPr>
          <w:tcW w:w="2532" w:type="dxa"/>
          <w:vAlign w:val="center"/>
        </w:tcPr>
        <w:p w:rsidR="00436C5F" w:rsidRPr="00182113" w:rsidRDefault="00436C5F" w:rsidP="00224E75">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436C5F" w:rsidRPr="00073569" w:rsidRDefault="00436C5F" w:rsidP="00224E75">
          <w:pPr>
            <w:pStyle w:val="Encabezado"/>
            <w:rPr>
              <w:rFonts w:ascii="Palatino Linotype" w:hAnsi="Palatino Linotype"/>
              <w:b/>
              <w:sz w:val="22"/>
              <w:szCs w:val="22"/>
            </w:rPr>
          </w:pPr>
          <w:r>
            <w:rPr>
              <w:rFonts w:ascii="Palatino Linotype" w:hAnsi="Palatino Linotype" w:cs="Arial"/>
              <w:b/>
              <w:sz w:val="22"/>
              <w:szCs w:val="22"/>
              <w:lang w:eastAsia="es-MX"/>
            </w:rPr>
            <w:t>Secretaría de Finanzas</w:t>
          </w:r>
        </w:p>
      </w:tc>
    </w:tr>
    <w:tr w:rsidR="00436C5F" w:rsidRPr="00182113" w:rsidTr="00224E75">
      <w:trPr>
        <w:trHeight w:val="320"/>
      </w:trPr>
      <w:tc>
        <w:tcPr>
          <w:tcW w:w="2532" w:type="dxa"/>
          <w:vAlign w:val="center"/>
        </w:tcPr>
        <w:p w:rsidR="00436C5F" w:rsidRPr="00182113" w:rsidRDefault="00436C5F" w:rsidP="00224E75">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436C5F" w:rsidRPr="00073569" w:rsidRDefault="00436C5F" w:rsidP="00224E75">
          <w:pPr>
            <w:pStyle w:val="Encabezado"/>
            <w:rPr>
              <w:rFonts w:ascii="Palatino Linotype" w:hAnsi="Palatino Linotype"/>
              <w:b/>
              <w:sz w:val="22"/>
              <w:szCs w:val="22"/>
            </w:rPr>
          </w:pPr>
          <w:r w:rsidRPr="00073569">
            <w:rPr>
              <w:rFonts w:ascii="Palatino Linotype" w:hAnsi="Palatino Linotype"/>
              <w:b/>
              <w:sz w:val="22"/>
              <w:szCs w:val="22"/>
            </w:rPr>
            <w:t>José Guadalupe Luna Hernández</w:t>
          </w:r>
        </w:p>
      </w:tc>
    </w:tr>
  </w:tbl>
  <w:p w:rsidR="00436C5F" w:rsidRDefault="00436C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E63"/>
    <w:multiLevelType w:val="hybridMultilevel"/>
    <w:tmpl w:val="E836144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B1BB2"/>
    <w:multiLevelType w:val="hybridMultilevel"/>
    <w:tmpl w:val="BA42F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251DE1"/>
    <w:multiLevelType w:val="hybridMultilevel"/>
    <w:tmpl w:val="82DE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266A40"/>
    <w:multiLevelType w:val="hybridMultilevel"/>
    <w:tmpl w:val="D6CC0B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E8361446"/>
    <w:lvl w:ilvl="0" w:tplc="92BE0B36">
      <w:start w:val="1"/>
      <w:numFmt w:val="decimal"/>
      <w:lvlText w:val="%1."/>
      <w:lvlJc w:val="left"/>
      <w:pPr>
        <w:ind w:left="1353"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A84B97"/>
    <w:multiLevelType w:val="hybridMultilevel"/>
    <w:tmpl w:val="21C61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F45D65"/>
    <w:multiLevelType w:val="hybridMultilevel"/>
    <w:tmpl w:val="6DBAE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A60FB4"/>
    <w:multiLevelType w:val="hybridMultilevel"/>
    <w:tmpl w:val="EC1EE8E6"/>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1" w15:restartNumberingAfterBreak="0">
    <w:nsid w:val="66A87ECA"/>
    <w:multiLevelType w:val="hybridMultilevel"/>
    <w:tmpl w:val="C5920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076E4E"/>
    <w:multiLevelType w:val="hybridMultilevel"/>
    <w:tmpl w:val="ED289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0136A0"/>
    <w:multiLevelType w:val="hybridMultilevel"/>
    <w:tmpl w:val="08C83F2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14"/>
  </w:num>
  <w:num w:numId="4">
    <w:abstractNumId w:val="13"/>
  </w:num>
  <w:num w:numId="5">
    <w:abstractNumId w:val="6"/>
  </w:num>
  <w:num w:numId="6">
    <w:abstractNumId w:val="3"/>
  </w:num>
  <w:num w:numId="7">
    <w:abstractNumId w:val="1"/>
  </w:num>
  <w:num w:numId="8">
    <w:abstractNumId w:val="8"/>
  </w:num>
  <w:num w:numId="9">
    <w:abstractNumId w:val="0"/>
  </w:num>
  <w:num w:numId="10">
    <w:abstractNumId w:val="9"/>
  </w:num>
  <w:num w:numId="11">
    <w:abstractNumId w:val="12"/>
  </w:num>
  <w:num w:numId="12">
    <w:abstractNumId w:val="2"/>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73"/>
    <w:rsid w:val="00050E34"/>
    <w:rsid w:val="00070F51"/>
    <w:rsid w:val="000F0B60"/>
    <w:rsid w:val="000F3F0D"/>
    <w:rsid w:val="000F4103"/>
    <w:rsid w:val="00110983"/>
    <w:rsid w:val="001626DB"/>
    <w:rsid w:val="001835E5"/>
    <w:rsid w:val="00183B16"/>
    <w:rsid w:val="001B7E7E"/>
    <w:rsid w:val="001D11D8"/>
    <w:rsid w:val="001E200F"/>
    <w:rsid w:val="00201B79"/>
    <w:rsid w:val="00224E75"/>
    <w:rsid w:val="0029180C"/>
    <w:rsid w:val="002E4D36"/>
    <w:rsid w:val="00335E39"/>
    <w:rsid w:val="00386F18"/>
    <w:rsid w:val="00390D82"/>
    <w:rsid w:val="003B7F21"/>
    <w:rsid w:val="003F3B9F"/>
    <w:rsid w:val="004265DE"/>
    <w:rsid w:val="00436C5F"/>
    <w:rsid w:val="004512D3"/>
    <w:rsid w:val="00466580"/>
    <w:rsid w:val="004908FD"/>
    <w:rsid w:val="004C5AEE"/>
    <w:rsid w:val="004C7A91"/>
    <w:rsid w:val="004D069B"/>
    <w:rsid w:val="004F097B"/>
    <w:rsid w:val="00514FDB"/>
    <w:rsid w:val="0052166F"/>
    <w:rsid w:val="0052764F"/>
    <w:rsid w:val="005576E6"/>
    <w:rsid w:val="00561EBD"/>
    <w:rsid w:val="005A0A20"/>
    <w:rsid w:val="005C1982"/>
    <w:rsid w:val="005D6676"/>
    <w:rsid w:val="005E2720"/>
    <w:rsid w:val="005E711D"/>
    <w:rsid w:val="005F63C1"/>
    <w:rsid w:val="00647636"/>
    <w:rsid w:val="006770D3"/>
    <w:rsid w:val="0068144C"/>
    <w:rsid w:val="006C4E70"/>
    <w:rsid w:val="006E3D43"/>
    <w:rsid w:val="00730387"/>
    <w:rsid w:val="007A28FE"/>
    <w:rsid w:val="007C0E6A"/>
    <w:rsid w:val="007C2D2D"/>
    <w:rsid w:val="007D51AE"/>
    <w:rsid w:val="007E4D85"/>
    <w:rsid w:val="008363DD"/>
    <w:rsid w:val="0085436A"/>
    <w:rsid w:val="00874614"/>
    <w:rsid w:val="008D07D6"/>
    <w:rsid w:val="008D13B7"/>
    <w:rsid w:val="008D534C"/>
    <w:rsid w:val="00911573"/>
    <w:rsid w:val="00943292"/>
    <w:rsid w:val="009A239F"/>
    <w:rsid w:val="009F4550"/>
    <w:rsid w:val="00A12C73"/>
    <w:rsid w:val="00A212B7"/>
    <w:rsid w:val="00A4549E"/>
    <w:rsid w:val="00A760FF"/>
    <w:rsid w:val="00AB1BE3"/>
    <w:rsid w:val="00AE20F2"/>
    <w:rsid w:val="00B02992"/>
    <w:rsid w:val="00B35C42"/>
    <w:rsid w:val="00B5739A"/>
    <w:rsid w:val="00B7071C"/>
    <w:rsid w:val="00BA0E29"/>
    <w:rsid w:val="00C05976"/>
    <w:rsid w:val="00C173FF"/>
    <w:rsid w:val="00C40A7C"/>
    <w:rsid w:val="00C45363"/>
    <w:rsid w:val="00CE4F60"/>
    <w:rsid w:val="00D12B4C"/>
    <w:rsid w:val="00D3542A"/>
    <w:rsid w:val="00D6691A"/>
    <w:rsid w:val="00D677A9"/>
    <w:rsid w:val="00D7464D"/>
    <w:rsid w:val="00D77FDA"/>
    <w:rsid w:val="00D86280"/>
    <w:rsid w:val="00DB38E0"/>
    <w:rsid w:val="00DD3B6C"/>
    <w:rsid w:val="00DF1064"/>
    <w:rsid w:val="00E03C4E"/>
    <w:rsid w:val="00E211DA"/>
    <w:rsid w:val="00E240F5"/>
    <w:rsid w:val="00E3541B"/>
    <w:rsid w:val="00E7052E"/>
    <w:rsid w:val="00E8675B"/>
    <w:rsid w:val="00EA1241"/>
    <w:rsid w:val="00ED2855"/>
    <w:rsid w:val="00F41E7D"/>
    <w:rsid w:val="00F55822"/>
    <w:rsid w:val="00F969B3"/>
    <w:rsid w:val="00FC0AD5"/>
    <w:rsid w:val="00FE0770"/>
    <w:rsid w:val="00FE2747"/>
    <w:rsid w:val="00FF2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1D95056-4186-4A6E-824B-938CBE39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85"/>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911573"/>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91157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157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91157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11573"/>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911573"/>
    <w:rPr>
      <w:rFonts w:eastAsiaTheme="minorEastAsia"/>
      <w:sz w:val="24"/>
      <w:szCs w:val="24"/>
      <w:lang w:val="es-ES_tradnl" w:eastAsia="es-ES"/>
    </w:rPr>
  </w:style>
  <w:style w:type="paragraph" w:styleId="Piedepgina">
    <w:name w:val="footer"/>
    <w:basedOn w:val="Normal"/>
    <w:link w:val="PiedepginaCar"/>
    <w:uiPriority w:val="99"/>
    <w:unhideWhenUsed/>
    <w:rsid w:val="00911573"/>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911573"/>
    <w:rPr>
      <w:rFonts w:eastAsiaTheme="minorEastAsia"/>
      <w:sz w:val="24"/>
      <w:szCs w:val="24"/>
      <w:lang w:val="es-ES_tradnl" w:eastAsia="es-ES"/>
    </w:rPr>
  </w:style>
  <w:style w:type="table" w:styleId="Tablaconcuadrcula">
    <w:name w:val="Table Grid"/>
    <w:basedOn w:val="Tablanormal"/>
    <w:uiPriority w:val="39"/>
    <w:rsid w:val="0091157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573"/>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573"/>
    <w:rPr>
      <w:rFonts w:eastAsiaTheme="minorEastAsia"/>
      <w:sz w:val="24"/>
      <w:szCs w:val="24"/>
      <w:lang w:val="es-ES_tradnl" w:eastAsia="es-ES"/>
    </w:rPr>
  </w:style>
  <w:style w:type="character" w:styleId="Hipervnculo">
    <w:name w:val="Hyperlink"/>
    <w:basedOn w:val="Fuentedeprrafopredeter"/>
    <w:uiPriority w:val="99"/>
    <w:unhideWhenUsed/>
    <w:rsid w:val="00911573"/>
    <w:rPr>
      <w:color w:val="0563C1" w:themeColor="hyperlink"/>
      <w:u w:val="single"/>
    </w:rPr>
  </w:style>
  <w:style w:type="paragraph" w:styleId="TDC1">
    <w:name w:val="toc 1"/>
    <w:basedOn w:val="Normal"/>
    <w:next w:val="Normal"/>
    <w:autoRedefine/>
    <w:uiPriority w:val="39"/>
    <w:unhideWhenUsed/>
    <w:rsid w:val="00911573"/>
    <w:pPr>
      <w:spacing w:after="100"/>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911573"/>
    <w:pPr>
      <w:tabs>
        <w:tab w:val="right" w:leader="dot" w:pos="8779"/>
      </w:tabs>
      <w:spacing w:after="100"/>
    </w:pPr>
    <w:rPr>
      <w:rFonts w:asciiTheme="minorHAnsi" w:eastAsiaTheme="minorEastAsia" w:hAnsiTheme="minorHAnsi" w:cstheme="minorBidi"/>
      <w:lang w:val="es-ES_tradnl" w:eastAsia="es-ES"/>
    </w:rPr>
  </w:style>
  <w:style w:type="paragraph" w:styleId="TtulodeTDC">
    <w:name w:val="TOC Heading"/>
    <w:basedOn w:val="Ttulo1"/>
    <w:next w:val="Normal"/>
    <w:uiPriority w:val="39"/>
    <w:unhideWhenUsed/>
    <w:qFormat/>
    <w:rsid w:val="00911573"/>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1157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1157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11573"/>
    <w:rPr>
      <w:vertAlign w:val="superscript"/>
    </w:rPr>
  </w:style>
  <w:style w:type="character" w:customStyle="1" w:styleId="apple-converted-space">
    <w:name w:val="apple-converted-space"/>
    <w:basedOn w:val="Fuentedeprrafopredeter"/>
    <w:rsid w:val="00911573"/>
  </w:style>
  <w:style w:type="character" w:styleId="Hipervnculovisitado">
    <w:name w:val="FollowedHyperlink"/>
    <w:basedOn w:val="Fuentedeprrafopredeter"/>
    <w:uiPriority w:val="99"/>
    <w:semiHidden/>
    <w:unhideWhenUsed/>
    <w:rsid w:val="004908FD"/>
    <w:rPr>
      <w:color w:val="954F72" w:themeColor="followedHyperlink"/>
      <w:u w:val="single"/>
    </w:rPr>
  </w:style>
  <w:style w:type="paragraph" w:customStyle="1" w:styleId="Default">
    <w:name w:val="Default"/>
    <w:rsid w:val="001E20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9357">
      <w:bodyDiv w:val="1"/>
      <w:marLeft w:val="0"/>
      <w:marRight w:val="0"/>
      <w:marTop w:val="0"/>
      <w:marBottom w:val="0"/>
      <w:divBdr>
        <w:top w:val="none" w:sz="0" w:space="0" w:color="auto"/>
        <w:left w:val="none" w:sz="0" w:space="0" w:color="auto"/>
        <w:bottom w:val="none" w:sz="0" w:space="0" w:color="auto"/>
        <w:right w:val="none" w:sz="0" w:space="0" w:color="auto"/>
      </w:divBdr>
    </w:div>
    <w:div w:id="288585815">
      <w:bodyDiv w:val="1"/>
      <w:marLeft w:val="0"/>
      <w:marRight w:val="0"/>
      <w:marTop w:val="0"/>
      <w:marBottom w:val="0"/>
      <w:divBdr>
        <w:top w:val="none" w:sz="0" w:space="0" w:color="auto"/>
        <w:left w:val="none" w:sz="0" w:space="0" w:color="auto"/>
        <w:bottom w:val="none" w:sz="0" w:space="0" w:color="auto"/>
        <w:right w:val="none" w:sz="0" w:space="0" w:color="auto"/>
      </w:divBdr>
    </w:div>
    <w:div w:id="870729962">
      <w:bodyDiv w:val="1"/>
      <w:marLeft w:val="0"/>
      <w:marRight w:val="0"/>
      <w:marTop w:val="0"/>
      <w:marBottom w:val="0"/>
      <w:divBdr>
        <w:top w:val="none" w:sz="0" w:space="0" w:color="auto"/>
        <w:left w:val="none" w:sz="0" w:space="0" w:color="auto"/>
        <w:bottom w:val="none" w:sz="0" w:space="0" w:color="auto"/>
        <w:right w:val="none" w:sz="0" w:space="0" w:color="auto"/>
      </w:divBdr>
    </w:div>
    <w:div w:id="935987924">
      <w:bodyDiv w:val="1"/>
      <w:marLeft w:val="0"/>
      <w:marRight w:val="0"/>
      <w:marTop w:val="0"/>
      <w:marBottom w:val="0"/>
      <w:divBdr>
        <w:top w:val="none" w:sz="0" w:space="0" w:color="auto"/>
        <w:left w:val="none" w:sz="0" w:space="0" w:color="auto"/>
        <w:bottom w:val="none" w:sz="0" w:space="0" w:color="auto"/>
        <w:right w:val="none" w:sz="0" w:space="0" w:color="auto"/>
      </w:divBdr>
    </w:div>
    <w:div w:id="1076706511">
      <w:bodyDiv w:val="1"/>
      <w:marLeft w:val="0"/>
      <w:marRight w:val="0"/>
      <w:marTop w:val="0"/>
      <w:marBottom w:val="0"/>
      <w:divBdr>
        <w:top w:val="none" w:sz="0" w:space="0" w:color="auto"/>
        <w:left w:val="none" w:sz="0" w:space="0" w:color="auto"/>
        <w:bottom w:val="none" w:sz="0" w:space="0" w:color="auto"/>
        <w:right w:val="none" w:sz="0" w:space="0" w:color="auto"/>
      </w:divBdr>
    </w:div>
    <w:div w:id="159208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017601.page" TargetMode="External"/><Relationship Id="rId18" Type="http://schemas.openxmlformats.org/officeDocument/2006/relationships/hyperlink" Target="https://www.saimex.org.mx/saimex/solicitud/downloadAttach/1017607.page" TargetMode="External"/><Relationship Id="rId26" Type="http://schemas.openxmlformats.org/officeDocument/2006/relationships/hyperlink" Target="https://www.saimex.org.mx/saimex/solicitud/downloadAttach/1017615.page" TargetMode="External"/><Relationship Id="rId3" Type="http://schemas.openxmlformats.org/officeDocument/2006/relationships/settings" Target="settings.xml"/><Relationship Id="rId21" Type="http://schemas.openxmlformats.org/officeDocument/2006/relationships/hyperlink" Target="https://www.saimex.org.mx/saimex/solicitud/downloadAttach/1017610.page" TargetMode="External"/><Relationship Id="rId34" Type="http://schemas.openxmlformats.org/officeDocument/2006/relationships/footer" Target="footer3.xml"/><Relationship Id="rId7" Type="http://schemas.openxmlformats.org/officeDocument/2006/relationships/hyperlink" Target="https://www.saimex.org.mx/saimex/solicitud/downloadAttach/1007248.page" TargetMode="External"/><Relationship Id="rId12" Type="http://schemas.openxmlformats.org/officeDocument/2006/relationships/hyperlink" Target="https://www.saimex.org.mx/saimex/solicitud/downloadAttach/1007167.page" TargetMode="External"/><Relationship Id="rId17" Type="http://schemas.openxmlformats.org/officeDocument/2006/relationships/hyperlink" Target="https://www.saimex.org.mx/saimex/solicitud/downloadAttach/1017605.page" TargetMode="External"/><Relationship Id="rId25" Type="http://schemas.openxmlformats.org/officeDocument/2006/relationships/hyperlink" Target="https://www.saimex.org.mx/saimex/solicitud/downloadAttach/1017614.page"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saimex.org.mx/saimex/solicitud/downloadAttach/1017604.page" TargetMode="External"/><Relationship Id="rId20" Type="http://schemas.openxmlformats.org/officeDocument/2006/relationships/hyperlink" Target="https://www.saimex.org.mx/saimex/solicitud/downloadAttach/1017609.pag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007247.page" TargetMode="External"/><Relationship Id="rId24" Type="http://schemas.openxmlformats.org/officeDocument/2006/relationships/hyperlink" Target="https://www.saimex.org.mx/saimex/solicitud/downloadAttach/1017613.pag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aimex.org.mx/saimex/solicitud/downloadAttach/1017603.page" TargetMode="External"/><Relationship Id="rId23" Type="http://schemas.openxmlformats.org/officeDocument/2006/relationships/hyperlink" Target="https://www.saimex.org.mx/saimex/solicitud/downloadAttach/1017612.page"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hyperlink" Target="https://www.saimex.org.mx/saimex/solicitud/downloadAttach/1006626.page" TargetMode="External"/><Relationship Id="rId19" Type="http://schemas.openxmlformats.org/officeDocument/2006/relationships/hyperlink" Target="https://www.saimex.org.mx/saimex/solicitud/downloadAttach/1017608.pag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imex.org.mx/saimex/solicitud/downloadAttach/1007242.page" TargetMode="External"/><Relationship Id="rId14" Type="http://schemas.openxmlformats.org/officeDocument/2006/relationships/hyperlink" Target="https://www.saimex.org.mx/saimex/solicitud/downloadAttach/1017602.page" TargetMode="External"/><Relationship Id="rId22" Type="http://schemas.openxmlformats.org/officeDocument/2006/relationships/hyperlink" Target="https://www.saimex.org.mx/saimex/solicitud/downloadAttach/1017611.page" TargetMode="External"/><Relationship Id="rId27" Type="http://schemas.openxmlformats.org/officeDocument/2006/relationships/hyperlink" Target="https://www.saimex.org.mx/saimex/solicitud/downloadAttach/1017616.pag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saimex.org.mx/saimex/solicitud/downloadAttach/1006657.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12453</Words>
  <Characters>68495</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4</cp:revision>
  <dcterms:created xsi:type="dcterms:W3CDTF">2020-12-07T05:18:00Z</dcterms:created>
  <dcterms:modified xsi:type="dcterms:W3CDTF">2020-12-14T23:39:00Z</dcterms:modified>
</cp:coreProperties>
</file>