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A3E60" w14:textId="4137C708" w:rsidR="006168E4" w:rsidRPr="00D336C5" w:rsidRDefault="006168E4" w:rsidP="00844569">
      <w:pPr>
        <w:shd w:val="clear" w:color="auto" w:fill="FFFFFF"/>
        <w:spacing w:before="240" w:line="360" w:lineRule="auto"/>
        <w:jc w:val="both"/>
        <w:rPr>
          <w:rFonts w:ascii="Palatino Linotype" w:eastAsia="Times New Roman" w:hAnsi="Palatino Linotype" w:cs="Arial"/>
          <w:color w:val="000000"/>
          <w:sz w:val="24"/>
          <w:szCs w:val="24"/>
          <w:lang w:eastAsia="es-MX"/>
        </w:rPr>
      </w:pPr>
      <w:r w:rsidRPr="003003EE">
        <w:rPr>
          <w:rFonts w:ascii="Palatino Linotype" w:eastAsia="Times New Roman" w:hAnsi="Palatino Linotype" w:cs="Arial"/>
          <w:color w:val="000000"/>
          <w:sz w:val="24"/>
          <w:szCs w:val="24"/>
          <w:lang w:eastAsia="es-MX"/>
        </w:rPr>
        <w:t xml:space="preserve">Resolución del Pleno del Instituto de Transparencia, Acceso a la Información Pública y Protección de Datos Personales del Estado de México y Municipios, con domicilio en Metepec, Estado de México, a </w:t>
      </w:r>
      <w:r w:rsidR="000E168D">
        <w:rPr>
          <w:rFonts w:ascii="Palatino Linotype" w:eastAsia="Times New Roman" w:hAnsi="Palatino Linotype" w:cs="Arial"/>
          <w:color w:val="000000"/>
          <w:sz w:val="24"/>
          <w:szCs w:val="24"/>
          <w:lang w:eastAsia="es-MX"/>
        </w:rPr>
        <w:t>diecinueve de agosto</w:t>
      </w:r>
      <w:r w:rsidR="00A108AE" w:rsidRPr="003003EE">
        <w:rPr>
          <w:rFonts w:ascii="Palatino Linotype" w:eastAsia="Times New Roman" w:hAnsi="Palatino Linotype" w:cs="Arial"/>
          <w:color w:val="000000"/>
          <w:sz w:val="24"/>
          <w:szCs w:val="24"/>
          <w:lang w:eastAsia="es-MX"/>
        </w:rPr>
        <w:t xml:space="preserve"> de dos mil veinte.</w:t>
      </w:r>
      <w:r w:rsidR="00A108AE">
        <w:rPr>
          <w:rFonts w:ascii="Palatino Linotype" w:eastAsia="Times New Roman" w:hAnsi="Palatino Linotype" w:cs="Arial"/>
          <w:color w:val="000000"/>
          <w:sz w:val="24"/>
          <w:szCs w:val="24"/>
          <w:lang w:eastAsia="es-MX"/>
        </w:rPr>
        <w:t xml:space="preserve"> </w:t>
      </w:r>
      <w:r w:rsidR="000E6571">
        <w:rPr>
          <w:rFonts w:ascii="Palatino Linotype" w:eastAsia="Times New Roman" w:hAnsi="Palatino Linotype" w:cs="Arial"/>
          <w:color w:val="000000"/>
          <w:sz w:val="24"/>
          <w:szCs w:val="24"/>
          <w:lang w:eastAsia="es-MX"/>
        </w:rPr>
        <w:t xml:space="preserve"> </w:t>
      </w:r>
      <w:r w:rsidR="000E6E8E">
        <w:rPr>
          <w:rFonts w:ascii="Palatino Linotype" w:eastAsia="Times New Roman" w:hAnsi="Palatino Linotype" w:cs="Arial"/>
          <w:color w:val="000000"/>
          <w:sz w:val="24"/>
          <w:szCs w:val="24"/>
          <w:lang w:eastAsia="es-MX"/>
        </w:rPr>
        <w:t xml:space="preserve"> </w:t>
      </w:r>
      <w:r w:rsidR="00A44BB7">
        <w:rPr>
          <w:rFonts w:ascii="Palatino Linotype" w:eastAsia="Times New Roman" w:hAnsi="Palatino Linotype" w:cs="Arial"/>
          <w:color w:val="000000"/>
          <w:sz w:val="24"/>
          <w:szCs w:val="24"/>
          <w:lang w:eastAsia="es-MX"/>
        </w:rPr>
        <w:t xml:space="preserve"> </w:t>
      </w:r>
      <w:r w:rsidR="00A12F8D">
        <w:rPr>
          <w:rFonts w:ascii="Palatino Linotype" w:eastAsia="Times New Roman" w:hAnsi="Palatino Linotype" w:cs="Arial"/>
          <w:color w:val="000000"/>
          <w:sz w:val="24"/>
          <w:szCs w:val="24"/>
          <w:lang w:eastAsia="es-MX"/>
        </w:rPr>
        <w:t xml:space="preserve"> </w:t>
      </w:r>
      <w:r w:rsidR="005D2B04" w:rsidRPr="00D336C5">
        <w:rPr>
          <w:rFonts w:ascii="Palatino Linotype" w:eastAsia="Times New Roman" w:hAnsi="Palatino Linotype" w:cs="Arial"/>
          <w:color w:val="000000"/>
          <w:sz w:val="24"/>
          <w:szCs w:val="24"/>
          <w:lang w:eastAsia="es-MX"/>
        </w:rPr>
        <w:t xml:space="preserve"> </w:t>
      </w:r>
      <w:r w:rsidR="001A5522" w:rsidRPr="00D336C5">
        <w:rPr>
          <w:rFonts w:ascii="Palatino Linotype" w:eastAsia="Times New Roman" w:hAnsi="Palatino Linotype" w:cs="Arial"/>
          <w:color w:val="000000"/>
          <w:sz w:val="24"/>
          <w:szCs w:val="24"/>
          <w:lang w:eastAsia="es-MX"/>
        </w:rPr>
        <w:t xml:space="preserve"> </w:t>
      </w:r>
      <w:r w:rsidR="00A55818" w:rsidRPr="00D336C5">
        <w:rPr>
          <w:rFonts w:ascii="Palatino Linotype" w:eastAsia="Times New Roman" w:hAnsi="Palatino Linotype" w:cs="Arial"/>
          <w:color w:val="000000"/>
          <w:sz w:val="24"/>
          <w:szCs w:val="24"/>
          <w:lang w:eastAsia="es-MX"/>
        </w:rPr>
        <w:t xml:space="preserve"> </w:t>
      </w:r>
      <w:r w:rsidR="00381E2B" w:rsidRPr="00D336C5">
        <w:rPr>
          <w:rFonts w:ascii="Palatino Linotype" w:eastAsia="Times New Roman" w:hAnsi="Palatino Linotype" w:cs="Arial"/>
          <w:color w:val="000000"/>
          <w:sz w:val="24"/>
          <w:szCs w:val="24"/>
          <w:lang w:eastAsia="es-MX"/>
        </w:rPr>
        <w:t xml:space="preserve"> </w:t>
      </w:r>
      <w:r w:rsidR="006B20F0" w:rsidRPr="00D336C5">
        <w:rPr>
          <w:rFonts w:ascii="Palatino Linotype" w:eastAsia="Times New Roman" w:hAnsi="Palatino Linotype" w:cs="Arial"/>
          <w:color w:val="000000"/>
          <w:sz w:val="24"/>
          <w:szCs w:val="24"/>
          <w:lang w:eastAsia="es-MX"/>
        </w:rPr>
        <w:t xml:space="preserve"> </w:t>
      </w:r>
      <w:r w:rsidR="00172661" w:rsidRPr="00D336C5">
        <w:rPr>
          <w:rFonts w:ascii="Palatino Linotype" w:eastAsia="Times New Roman" w:hAnsi="Palatino Linotype" w:cs="Arial"/>
          <w:color w:val="000000"/>
          <w:sz w:val="24"/>
          <w:szCs w:val="24"/>
          <w:lang w:eastAsia="es-MX"/>
        </w:rPr>
        <w:t xml:space="preserve"> </w:t>
      </w:r>
      <w:r w:rsidR="00443AD4" w:rsidRPr="00D336C5">
        <w:rPr>
          <w:rFonts w:ascii="Palatino Linotype" w:eastAsia="Times New Roman" w:hAnsi="Palatino Linotype" w:cs="Arial"/>
          <w:color w:val="000000"/>
          <w:sz w:val="24"/>
          <w:szCs w:val="24"/>
          <w:lang w:eastAsia="es-MX"/>
        </w:rPr>
        <w:t xml:space="preserve"> </w:t>
      </w:r>
    </w:p>
    <w:p w14:paraId="15E219B0" w14:textId="613F3E5A" w:rsidR="00DB2BB2" w:rsidRPr="00DB2BB2" w:rsidRDefault="001A5522" w:rsidP="001A5522">
      <w:pPr>
        <w:tabs>
          <w:tab w:val="left" w:pos="1701"/>
        </w:tabs>
        <w:spacing w:before="240" w:line="360" w:lineRule="auto"/>
        <w:jc w:val="both"/>
        <w:rPr>
          <w:rFonts w:ascii="Palatino Linotype" w:hAnsi="Palatino Linotype" w:cs="Arial"/>
          <w:sz w:val="24"/>
        </w:rPr>
      </w:pPr>
      <w:r w:rsidRPr="00D336C5">
        <w:rPr>
          <w:rFonts w:ascii="Palatino Linotype" w:hAnsi="Palatino Linotype" w:cs="Arial"/>
          <w:b/>
          <w:sz w:val="24"/>
        </w:rPr>
        <w:t>VISTO</w:t>
      </w:r>
      <w:r w:rsidRPr="00D336C5">
        <w:rPr>
          <w:rFonts w:ascii="Palatino Linotype" w:hAnsi="Palatino Linotype" w:cs="Arial"/>
          <w:sz w:val="24"/>
        </w:rPr>
        <w:t xml:space="preserve"> el expediente electrónico formado con motivo del recurso de revisión número </w:t>
      </w:r>
      <w:r w:rsidR="00321C7E">
        <w:rPr>
          <w:rFonts w:ascii="Palatino Linotype" w:hAnsi="Palatino Linotype" w:cs="Arial"/>
          <w:b/>
          <w:sz w:val="24"/>
        </w:rPr>
        <w:t>0</w:t>
      </w:r>
      <w:r w:rsidR="00DB2BB2">
        <w:rPr>
          <w:rFonts w:ascii="Palatino Linotype" w:hAnsi="Palatino Linotype" w:cs="Arial"/>
          <w:b/>
          <w:sz w:val="24"/>
        </w:rPr>
        <w:t>1145</w:t>
      </w:r>
      <w:r w:rsidR="00A12F8D">
        <w:rPr>
          <w:rFonts w:ascii="Palatino Linotype" w:hAnsi="Palatino Linotype" w:cs="Arial"/>
          <w:b/>
          <w:sz w:val="24"/>
        </w:rPr>
        <w:t>/INFOEM/IP/RR/20</w:t>
      </w:r>
      <w:r w:rsidR="00A108AE">
        <w:rPr>
          <w:rFonts w:ascii="Palatino Linotype" w:hAnsi="Palatino Linotype" w:cs="Arial"/>
          <w:b/>
          <w:sz w:val="24"/>
        </w:rPr>
        <w:t>20</w:t>
      </w:r>
      <w:r w:rsidR="00A12F8D">
        <w:rPr>
          <w:rFonts w:ascii="Palatino Linotype" w:hAnsi="Palatino Linotype" w:cs="Arial"/>
          <w:b/>
          <w:sz w:val="24"/>
        </w:rPr>
        <w:t xml:space="preserve">, </w:t>
      </w:r>
      <w:r w:rsidR="00A44BB7">
        <w:rPr>
          <w:rFonts w:ascii="Palatino Linotype" w:hAnsi="Palatino Linotype" w:cs="Arial"/>
          <w:sz w:val="24"/>
        </w:rPr>
        <w:t>interpuesto por</w:t>
      </w:r>
      <w:r w:rsidR="00DB2BB2">
        <w:rPr>
          <w:rFonts w:ascii="Palatino Linotype" w:hAnsi="Palatino Linotype" w:cs="Arial"/>
          <w:sz w:val="24"/>
        </w:rPr>
        <w:t xml:space="preserve"> el </w:t>
      </w:r>
      <w:r w:rsidR="00DB2BB2">
        <w:rPr>
          <w:rFonts w:ascii="Palatino Linotype" w:hAnsi="Palatino Linotype" w:cs="Arial"/>
          <w:b/>
          <w:bCs/>
          <w:sz w:val="24"/>
        </w:rPr>
        <w:t xml:space="preserve">C. </w:t>
      </w:r>
      <w:r w:rsidR="008951D6">
        <w:rPr>
          <w:rFonts w:ascii="Palatino Linotype" w:hAnsi="Palatino Linotype" w:cs="Arial"/>
          <w:b/>
          <w:bCs/>
          <w:sz w:val="24"/>
        </w:rPr>
        <w:t>XXXXXXXXXXXXXXXX</w:t>
      </w:r>
      <w:r w:rsidR="00DB2BB2">
        <w:rPr>
          <w:rFonts w:ascii="Palatino Linotype" w:hAnsi="Palatino Linotype" w:cs="Arial"/>
          <w:b/>
          <w:bCs/>
          <w:sz w:val="24"/>
        </w:rPr>
        <w:t xml:space="preserve">, </w:t>
      </w:r>
      <w:r w:rsidR="00DB2BB2">
        <w:rPr>
          <w:rFonts w:ascii="Palatino Linotype" w:hAnsi="Palatino Linotype" w:cs="Arial"/>
          <w:sz w:val="24"/>
        </w:rPr>
        <w:t xml:space="preserve">en lo sucesivo </w:t>
      </w:r>
      <w:r w:rsidR="00DB2BB2">
        <w:rPr>
          <w:rFonts w:ascii="Palatino Linotype" w:hAnsi="Palatino Linotype" w:cs="Arial"/>
          <w:b/>
          <w:bCs/>
          <w:sz w:val="24"/>
        </w:rPr>
        <w:t xml:space="preserve">El Recurrente, </w:t>
      </w:r>
      <w:r w:rsidR="00DB2BB2">
        <w:rPr>
          <w:rFonts w:ascii="Palatino Linotype" w:hAnsi="Palatino Linotype" w:cs="Arial"/>
          <w:sz w:val="24"/>
        </w:rPr>
        <w:t xml:space="preserve">en contra de la respuesta de la </w:t>
      </w:r>
      <w:r w:rsidR="00DB2BB2">
        <w:rPr>
          <w:rFonts w:ascii="Palatino Linotype" w:hAnsi="Palatino Linotype" w:cs="Arial"/>
          <w:b/>
          <w:bCs/>
          <w:sz w:val="24"/>
        </w:rPr>
        <w:t xml:space="preserve">Secretaría del Medio Ambiente, </w:t>
      </w:r>
      <w:r w:rsidR="00DB2BB2">
        <w:rPr>
          <w:rFonts w:ascii="Palatino Linotype" w:hAnsi="Palatino Linotype" w:cs="Arial"/>
          <w:sz w:val="24"/>
        </w:rPr>
        <w:t xml:space="preserve">en lo subsecuente </w:t>
      </w:r>
      <w:r w:rsidR="00DB2BB2">
        <w:rPr>
          <w:rFonts w:ascii="Palatino Linotype" w:hAnsi="Palatino Linotype" w:cs="Arial"/>
          <w:b/>
          <w:bCs/>
          <w:sz w:val="24"/>
        </w:rPr>
        <w:t xml:space="preserve">El Sujeto Obligado, </w:t>
      </w:r>
      <w:r w:rsidR="00DB2BB2">
        <w:rPr>
          <w:rFonts w:ascii="Palatino Linotype" w:hAnsi="Palatino Linotype" w:cs="Arial"/>
          <w:sz w:val="24"/>
        </w:rPr>
        <w:t xml:space="preserve">se procede a dictar la presente resolución. </w:t>
      </w:r>
    </w:p>
    <w:p w14:paraId="0626E72D" w14:textId="77777777" w:rsidR="00DB2BB2" w:rsidRDefault="00DB2BB2" w:rsidP="001A5522">
      <w:pPr>
        <w:tabs>
          <w:tab w:val="left" w:pos="1701"/>
        </w:tabs>
        <w:spacing w:before="240" w:line="360" w:lineRule="auto"/>
        <w:jc w:val="both"/>
        <w:rPr>
          <w:rFonts w:ascii="Palatino Linotype" w:hAnsi="Palatino Linotype" w:cs="Arial"/>
          <w:sz w:val="24"/>
        </w:rPr>
      </w:pPr>
    </w:p>
    <w:p w14:paraId="4A689ECC" w14:textId="77777777" w:rsidR="006168E4" w:rsidRPr="00F205B9" w:rsidRDefault="006168E4" w:rsidP="00844569">
      <w:pPr>
        <w:spacing w:before="240" w:after="240" w:line="360" w:lineRule="auto"/>
        <w:jc w:val="center"/>
        <w:rPr>
          <w:rFonts w:ascii="Palatino Linotype" w:hAnsi="Palatino Linotype"/>
          <w:b/>
          <w:sz w:val="28"/>
        </w:rPr>
      </w:pPr>
      <w:r>
        <w:rPr>
          <w:rFonts w:ascii="Palatino Linotype" w:hAnsi="Palatino Linotype"/>
          <w:b/>
          <w:sz w:val="28"/>
        </w:rPr>
        <w:t>A N T E C E D E N T E S   D E L   A S U N T O</w:t>
      </w:r>
    </w:p>
    <w:p w14:paraId="2AA0CE0E" w14:textId="77777777" w:rsidR="006168E4" w:rsidRDefault="006168E4" w:rsidP="00844569">
      <w:pPr>
        <w:spacing w:before="240" w:after="240" w:line="360" w:lineRule="auto"/>
        <w:jc w:val="both"/>
        <w:rPr>
          <w:rFonts w:ascii="Palatino Linotype" w:hAnsi="Palatino Linotype"/>
        </w:rPr>
      </w:pPr>
      <w:r>
        <w:rPr>
          <w:rFonts w:ascii="Palatino Linotype" w:hAnsi="Palatino Linotype" w:cs="Arial"/>
          <w:b/>
          <w:sz w:val="28"/>
        </w:rPr>
        <w:t>PRIMERO.</w:t>
      </w:r>
      <w:r>
        <w:rPr>
          <w:rFonts w:ascii="Palatino Linotype" w:hAnsi="Palatino Linotype" w:cs="Arial"/>
        </w:rPr>
        <w:t xml:space="preserve"> </w:t>
      </w:r>
      <w:r w:rsidRPr="0087163A">
        <w:rPr>
          <w:rFonts w:ascii="Palatino Linotype" w:hAnsi="Palatino Linotype"/>
          <w:b/>
          <w:sz w:val="28"/>
          <w:szCs w:val="28"/>
        </w:rPr>
        <w:t>De la Solicitud de Información.</w:t>
      </w:r>
    </w:p>
    <w:p w14:paraId="17D8F849" w14:textId="7EF54E00" w:rsidR="00321C7E" w:rsidRDefault="005D2B04" w:rsidP="005D2B04">
      <w:pPr>
        <w:spacing w:before="240" w:line="360" w:lineRule="auto"/>
        <w:jc w:val="both"/>
        <w:rPr>
          <w:rFonts w:ascii="Palatino Linotype" w:hAnsi="Palatino Linotype" w:cs="Arial"/>
          <w:sz w:val="24"/>
        </w:rPr>
      </w:pPr>
      <w:r w:rsidRPr="00523CF0">
        <w:rPr>
          <w:rFonts w:ascii="Palatino Linotype" w:hAnsi="Palatino Linotype" w:cs="Arial"/>
          <w:sz w:val="24"/>
        </w:rPr>
        <w:t>Con fecha</w:t>
      </w:r>
      <w:r w:rsidR="00A44BB7">
        <w:rPr>
          <w:rFonts w:ascii="Palatino Linotype" w:hAnsi="Palatino Linotype" w:cs="Arial"/>
          <w:sz w:val="24"/>
        </w:rPr>
        <w:t xml:space="preserve"> </w:t>
      </w:r>
      <w:r w:rsidR="00DB2BB2">
        <w:rPr>
          <w:rFonts w:ascii="Palatino Linotype" w:hAnsi="Palatino Linotype" w:cs="Arial"/>
          <w:sz w:val="24"/>
        </w:rPr>
        <w:t>cuatro de febrero de dos mil veinte</w:t>
      </w:r>
      <w:r w:rsidR="00321C7E">
        <w:rPr>
          <w:rFonts w:ascii="Palatino Linotype" w:hAnsi="Palatino Linotype" w:cs="Arial"/>
          <w:sz w:val="24"/>
        </w:rPr>
        <w:t xml:space="preserve">, </w:t>
      </w:r>
      <w:r w:rsidR="00DB2BB2">
        <w:rPr>
          <w:rFonts w:ascii="Palatino Linotype" w:hAnsi="Palatino Linotype" w:cs="Arial"/>
          <w:b/>
          <w:sz w:val="24"/>
        </w:rPr>
        <w:t>El</w:t>
      </w:r>
      <w:r w:rsidR="00321C7E">
        <w:rPr>
          <w:rFonts w:ascii="Palatino Linotype" w:hAnsi="Palatino Linotype" w:cs="Arial"/>
          <w:b/>
          <w:sz w:val="24"/>
        </w:rPr>
        <w:t xml:space="preserve"> Recurrente, </w:t>
      </w:r>
      <w:r w:rsidR="00321C7E" w:rsidRPr="00523CF0">
        <w:rPr>
          <w:rFonts w:ascii="Palatino Linotype" w:hAnsi="Palatino Linotype" w:cs="Arial"/>
          <w:sz w:val="24"/>
        </w:rPr>
        <w:t>presentó a través del Sistema de Acceso a la Información Mexiquense (</w:t>
      </w:r>
      <w:r w:rsidR="00321C7E" w:rsidRPr="00523CF0">
        <w:rPr>
          <w:rFonts w:ascii="Palatino Linotype" w:hAnsi="Palatino Linotype" w:cs="Arial"/>
          <w:b/>
          <w:sz w:val="24"/>
        </w:rPr>
        <w:t>SAIMEX)</w:t>
      </w:r>
      <w:r w:rsidR="00321C7E" w:rsidRPr="00523CF0">
        <w:rPr>
          <w:rFonts w:ascii="Palatino Linotype" w:hAnsi="Palatino Linotype" w:cs="Arial"/>
          <w:sz w:val="24"/>
        </w:rPr>
        <w:t xml:space="preserve"> ante </w:t>
      </w:r>
      <w:r w:rsidR="00321C7E">
        <w:rPr>
          <w:rFonts w:ascii="Palatino Linotype" w:hAnsi="Palatino Linotype" w:cs="Arial"/>
          <w:b/>
          <w:sz w:val="24"/>
        </w:rPr>
        <w:t>El Sujeto Obligado</w:t>
      </w:r>
      <w:r w:rsidR="00321C7E" w:rsidRPr="00523CF0">
        <w:rPr>
          <w:rFonts w:ascii="Palatino Linotype" w:hAnsi="Palatino Linotype" w:cs="Arial"/>
          <w:sz w:val="24"/>
        </w:rPr>
        <w:t xml:space="preserve">, </w:t>
      </w:r>
      <w:r w:rsidR="00321C7E">
        <w:rPr>
          <w:rFonts w:ascii="Palatino Linotype" w:hAnsi="Palatino Linotype" w:cs="Arial"/>
          <w:sz w:val="24"/>
        </w:rPr>
        <w:t xml:space="preserve">la </w:t>
      </w:r>
      <w:r w:rsidR="00321C7E" w:rsidRPr="00523CF0">
        <w:rPr>
          <w:rFonts w:ascii="Palatino Linotype" w:hAnsi="Palatino Linotype" w:cs="Arial"/>
          <w:sz w:val="24"/>
        </w:rPr>
        <w:t>solicitud de acceso a la información pública, registrada</w:t>
      </w:r>
      <w:r w:rsidR="00321C7E">
        <w:rPr>
          <w:rFonts w:ascii="Palatino Linotype" w:hAnsi="Palatino Linotype" w:cs="Arial"/>
          <w:sz w:val="24"/>
        </w:rPr>
        <w:t xml:space="preserve"> bajo el</w:t>
      </w:r>
      <w:r w:rsidR="00321C7E" w:rsidRPr="00523CF0">
        <w:rPr>
          <w:rFonts w:ascii="Palatino Linotype" w:hAnsi="Palatino Linotype" w:cs="Arial"/>
          <w:sz w:val="24"/>
        </w:rPr>
        <w:t xml:space="preserve"> número de expediente</w:t>
      </w:r>
      <w:r w:rsidR="00321C7E">
        <w:rPr>
          <w:rFonts w:ascii="Palatino Linotype" w:hAnsi="Palatino Linotype" w:cs="Arial"/>
          <w:sz w:val="24"/>
        </w:rPr>
        <w:t xml:space="preserve"> </w:t>
      </w:r>
      <w:r w:rsidR="00DB2BB2">
        <w:rPr>
          <w:rFonts w:ascii="Palatino Linotype" w:hAnsi="Palatino Linotype" w:cs="Arial"/>
          <w:b/>
          <w:sz w:val="24"/>
        </w:rPr>
        <w:t>00048/SMA/IP/2020</w:t>
      </w:r>
      <w:r w:rsidR="00321C7E">
        <w:rPr>
          <w:rFonts w:ascii="Palatino Linotype" w:hAnsi="Palatino Linotype" w:cs="Arial"/>
          <w:b/>
          <w:sz w:val="24"/>
        </w:rPr>
        <w:t xml:space="preserve">, </w:t>
      </w:r>
      <w:r w:rsidR="00321C7E">
        <w:rPr>
          <w:rFonts w:ascii="Palatino Linotype" w:hAnsi="Palatino Linotype" w:cs="Arial"/>
          <w:sz w:val="24"/>
        </w:rPr>
        <w:t xml:space="preserve">mediante la cual solicitó información en el tenor siguiente: </w:t>
      </w:r>
    </w:p>
    <w:p w14:paraId="014C5EAD" w14:textId="32762DB2" w:rsidR="00A108AE" w:rsidRPr="00DB2BB2" w:rsidRDefault="00A108AE" w:rsidP="00A108AE">
      <w:pPr>
        <w:spacing w:before="240" w:line="360" w:lineRule="auto"/>
        <w:ind w:left="851" w:right="851"/>
        <w:jc w:val="both"/>
        <w:rPr>
          <w:rFonts w:ascii="Palatino Linotype" w:eastAsia="Times New Roman" w:hAnsi="Palatino Linotype" w:cs="Times New Roman"/>
          <w:b/>
          <w:i/>
          <w:iCs/>
          <w:lang w:val="es-ES_tradnl" w:eastAsia="es-ES"/>
        </w:rPr>
      </w:pPr>
      <w:r w:rsidRPr="00DB2BB2">
        <w:rPr>
          <w:rFonts w:ascii="Palatino Linotype" w:hAnsi="Palatino Linotype"/>
          <w:i/>
          <w:iCs/>
        </w:rPr>
        <w:t>“</w:t>
      </w:r>
      <w:r w:rsidR="00DB2BB2" w:rsidRPr="00DB2BB2">
        <w:rPr>
          <w:rFonts w:ascii="Palatino Linotype" w:hAnsi="Palatino Linotype"/>
          <w:i/>
          <w:iCs/>
        </w:rPr>
        <w:t xml:space="preserve">DE CONFORMIDAD CON los artículos 4, cuarto y quinto párrafos, 6 segundo párrafo, apartado A de la Constitución Política de Los Estados Unidos Mexicanos, 5 de la Constitución Política del Estado Libre y Soberano de México, 2.30 fracción II de El Código para la Biodiversidad en el Estado de México, 12 y el TITULO QUINTO, artículo 92 de la Ley de Transparencia y Acceso a la Información Pública </w:t>
      </w:r>
      <w:r w:rsidR="00DB2BB2" w:rsidRPr="00DB2BB2">
        <w:rPr>
          <w:rFonts w:ascii="Palatino Linotype" w:hAnsi="Palatino Linotype"/>
          <w:i/>
          <w:iCs/>
        </w:rPr>
        <w:lastRenderedPageBreak/>
        <w:t xml:space="preserve">del Estado de México y Municipios, de los LINEAMIENTOS GENERALES EN MATERIA DE CLASIFICACIÓN Y DESCLASIFICACIÓN DE LA INFORMACIÓN, ASÍ COMO PARA LA ELABORACIÓN DE VERSIONES PÚBLICAS; Capítulos IX, teniendo como sustento la vigésima segunda sesión ordinaria del Ayuntamiento Municipal de Tlalnepantla en fecha 31 de julio de 2019, donde entre los motivos que originaron la revocación de la concesión contenida en el contrato administrativo de concesión para la prestación del servicio de operación y disposición final de residuos sólidos, de fecha veintitrés de junio de mil novecientos noventa y siete, que fue celebrado entre el Municipio de Tlalnepantla de Baz, Estado de México, como concesionante, con la persona jurídica colectiva en ese entonces denominada MEXICANA DE MEDIO AMBIENTE, S.A. de C.V., hoy conocida como PROACTIVA MEDIO AMBIENTE MMA S.A. de C.V., y/o VEOLIA RESIDUOS BAJÍO, S.A. de C.V., en su carácter de concesionaria, fue de que esta empresa “no observo la normatividad ambiental vigente como es el contar con la manifestación de impacto ambiental, en cumplimiento de la Norma Oficial Mexicana 083 SEMARNAT 2003..”, que el día 12 de diciembre del año en curso se llevó a cabo la Trigésima séptima sesión ordinaria del Ayuntamiento Municipal de Tlalnepantla donde en el primer punto del orden del día se aprobó “…el ACUERDO donde se autoriza concesionar el servicio público de tratamiento y disposición final de residuos sólidos urbanos en el establecimiento que opera como relleno sanitario y su conversión a centro integral de residuos en el municipio de Tlalnepantla de Baz, Estado de México por una vigencia de la concesión por 20 años” sin demostrarse con estudios de ingeniería necesarios para determinar la vida útil a dicho relleno (Dimensionamiento de la Celda Diaria, Calendarización para el llenado de Celdas en el Relleno Sanitario, Cálculo de la Vida Útil del Relleno Sanitario, etc.) pretendiéndose suplir estos estudios con el estudio de Impacto Ambiental el cual ha </w:t>
      </w:r>
      <w:r w:rsidR="00DB2BB2" w:rsidRPr="00DB2BB2">
        <w:rPr>
          <w:rFonts w:ascii="Palatino Linotype" w:hAnsi="Palatino Linotype"/>
          <w:i/>
          <w:iCs/>
        </w:rPr>
        <w:lastRenderedPageBreak/>
        <w:t xml:space="preserve">estimado una vida útil de 15 años de vida útil para el Relleno en cuestión y el cual fue enviado mediante el oficio DSAM/DJNA/0585/2019 al Director General de Ordenamiento e Impacto Ambiental de la Secretaria del Medio Ambiente del Gobierno del Estado de México con fecha 7 de noviembre de 2019, por lo que solicito se me envié vía SAIMEX la siguiente información pública; </w:t>
      </w:r>
      <w:r w:rsidR="00DB2BB2" w:rsidRPr="00DB2BB2">
        <w:rPr>
          <w:rFonts w:ascii="Palatino Linotype" w:hAnsi="Palatino Linotype"/>
          <w:b/>
          <w:bCs/>
          <w:i/>
          <w:iCs/>
          <w:u w:val="single"/>
        </w:rPr>
        <w:t>1.- El estudio de Impacto Ambiental correspondiente al Relleno Sanitario de San Pedro Barrientos, elaborado por la empresa “</w:t>
      </w:r>
      <w:r w:rsidR="008E0810">
        <w:rPr>
          <w:rFonts w:ascii="Palatino Linotype" w:hAnsi="Palatino Linotype"/>
          <w:b/>
          <w:bCs/>
          <w:i/>
          <w:iCs/>
          <w:u w:val="single"/>
        </w:rPr>
        <w:t>XXXXXXXXXXXXXXXXX</w:t>
      </w:r>
      <w:r w:rsidR="00DB2BB2" w:rsidRPr="00DB2BB2">
        <w:rPr>
          <w:rFonts w:ascii="Palatino Linotype" w:hAnsi="Palatino Linotype"/>
          <w:b/>
          <w:bCs/>
          <w:i/>
          <w:iCs/>
          <w:u w:val="single"/>
        </w:rPr>
        <w:t xml:space="preserve"> </w:t>
      </w:r>
      <w:r w:rsidR="008E0810">
        <w:rPr>
          <w:rFonts w:ascii="Palatino Linotype" w:hAnsi="Palatino Linotype"/>
          <w:b/>
          <w:bCs/>
          <w:i/>
          <w:iCs/>
          <w:u w:val="single"/>
        </w:rPr>
        <w:t>XXXXXXXXXXXXXXXX</w:t>
      </w:r>
      <w:r w:rsidR="00DB2BB2" w:rsidRPr="00DB2BB2">
        <w:rPr>
          <w:rFonts w:ascii="Palatino Linotype" w:hAnsi="Palatino Linotype"/>
          <w:b/>
          <w:bCs/>
          <w:i/>
          <w:iCs/>
          <w:u w:val="single"/>
        </w:rPr>
        <w:t xml:space="preserve"> y enviado mediante el OFICIO; DSAM/DJNA/0585/2019 de fecha 7 de noviembre de 2019 a la Dirección General de Ordenamiento e Impacto Ambiental de la Secretaria del Medio Ambiente del Gobierno del Estado de México.</w:t>
      </w:r>
      <w:r w:rsidRPr="00DB2BB2">
        <w:rPr>
          <w:rFonts w:ascii="Palatino Linotype" w:hAnsi="Palatino Linotype"/>
          <w:b/>
          <w:bCs/>
          <w:i/>
          <w:iCs/>
          <w:u w:val="single"/>
        </w:rPr>
        <w:t>.</w:t>
      </w:r>
      <w:r w:rsidRPr="00DB2BB2">
        <w:rPr>
          <w:rFonts w:ascii="Palatino Linotype" w:eastAsia="Times New Roman" w:hAnsi="Palatino Linotype" w:cs="Times New Roman"/>
          <w:b/>
          <w:bCs/>
          <w:i/>
          <w:iCs/>
          <w:u w:val="single"/>
          <w:lang w:val="es-ES_tradnl" w:eastAsia="es-ES"/>
        </w:rPr>
        <w:t>”</w:t>
      </w:r>
      <w:r w:rsidRPr="00DB2BB2">
        <w:rPr>
          <w:rFonts w:ascii="Palatino Linotype" w:eastAsia="Times New Roman" w:hAnsi="Palatino Linotype" w:cs="Times New Roman"/>
          <w:b/>
          <w:i/>
          <w:iCs/>
          <w:lang w:val="es-ES_tradnl" w:eastAsia="es-ES"/>
        </w:rPr>
        <w:t xml:space="preserve"> [Sic]</w:t>
      </w:r>
    </w:p>
    <w:p w14:paraId="131FE2E1" w14:textId="365B078F" w:rsidR="005D2B04" w:rsidRDefault="005D2B04" w:rsidP="005D2B04">
      <w:pPr>
        <w:spacing w:before="240" w:line="360" w:lineRule="auto"/>
        <w:ind w:right="850"/>
        <w:jc w:val="both"/>
        <w:rPr>
          <w:rFonts w:ascii="Palatino Linotype" w:eastAsia="Times New Roman" w:hAnsi="Palatino Linotype" w:cs="Times New Roman"/>
          <w:sz w:val="24"/>
          <w:szCs w:val="24"/>
          <w:lang w:val="es-ES_tradnl" w:eastAsia="es-ES"/>
        </w:rPr>
      </w:pPr>
      <w:r w:rsidRPr="004926AC">
        <w:rPr>
          <w:rFonts w:ascii="Palatino Linotype" w:eastAsia="Times New Roman" w:hAnsi="Palatino Linotype" w:cs="Times New Roman"/>
          <w:b/>
          <w:sz w:val="24"/>
          <w:szCs w:val="24"/>
          <w:lang w:val="es-ES_tradnl" w:eastAsia="es-ES"/>
        </w:rPr>
        <w:t>Modalidad de entrega:</w:t>
      </w:r>
      <w:r w:rsidR="00DD2A69">
        <w:rPr>
          <w:rFonts w:ascii="Palatino Linotype" w:eastAsia="Times New Roman" w:hAnsi="Palatino Linotype" w:cs="Times New Roman"/>
          <w:sz w:val="24"/>
          <w:szCs w:val="24"/>
          <w:lang w:val="es-ES_tradnl" w:eastAsia="es-ES"/>
        </w:rPr>
        <w:t xml:space="preserve"> a través del SAIME</w:t>
      </w:r>
      <w:r w:rsidR="00A108AE">
        <w:rPr>
          <w:rFonts w:ascii="Palatino Linotype" w:eastAsia="Times New Roman" w:hAnsi="Palatino Linotype" w:cs="Times New Roman"/>
          <w:sz w:val="24"/>
          <w:szCs w:val="24"/>
          <w:lang w:val="es-ES_tradnl" w:eastAsia="es-ES"/>
        </w:rPr>
        <w:t xml:space="preserve">X. </w:t>
      </w:r>
    </w:p>
    <w:p w14:paraId="2E0A5C05" w14:textId="77777777" w:rsidR="00321C7E" w:rsidRDefault="00321C7E" w:rsidP="005D2B04">
      <w:pPr>
        <w:spacing w:before="240" w:line="360" w:lineRule="auto"/>
        <w:ind w:right="850"/>
        <w:jc w:val="both"/>
        <w:rPr>
          <w:rFonts w:ascii="Palatino Linotype" w:eastAsia="Times New Roman" w:hAnsi="Palatino Linotype" w:cs="Times New Roman"/>
          <w:sz w:val="24"/>
          <w:szCs w:val="24"/>
          <w:lang w:val="es-ES_tradnl" w:eastAsia="es-ES"/>
        </w:rPr>
      </w:pPr>
    </w:p>
    <w:p w14:paraId="0E1799BB" w14:textId="27F692CD" w:rsidR="005D2B04" w:rsidRPr="00523CF0" w:rsidRDefault="00DB2BB2" w:rsidP="005D2B04">
      <w:pPr>
        <w:spacing w:before="240" w:line="360" w:lineRule="auto"/>
        <w:jc w:val="both"/>
        <w:rPr>
          <w:rFonts w:ascii="Palatino Linotype" w:hAnsi="Palatino Linotype" w:cs="Arial"/>
          <w:b/>
          <w:sz w:val="28"/>
        </w:rPr>
      </w:pPr>
      <w:r>
        <w:rPr>
          <w:rFonts w:ascii="Palatino Linotype" w:hAnsi="Palatino Linotype" w:cs="Arial"/>
          <w:b/>
          <w:sz w:val="28"/>
        </w:rPr>
        <w:t>SEGUNDO</w:t>
      </w:r>
      <w:r w:rsidR="005D2B04" w:rsidRPr="00CA0732">
        <w:rPr>
          <w:rFonts w:ascii="Palatino Linotype" w:hAnsi="Palatino Linotype" w:cs="Arial"/>
          <w:b/>
          <w:sz w:val="28"/>
        </w:rPr>
        <w:t xml:space="preserve">. </w:t>
      </w:r>
      <w:r w:rsidR="005D2B04" w:rsidRPr="00CA0732">
        <w:rPr>
          <w:rFonts w:ascii="Palatino Linotype" w:hAnsi="Palatino Linotype" w:cs="Arial"/>
          <w:b/>
          <w:sz w:val="28"/>
          <w:szCs w:val="20"/>
        </w:rPr>
        <w:t xml:space="preserve">De </w:t>
      </w:r>
      <w:r w:rsidR="005D2B04">
        <w:rPr>
          <w:rFonts w:ascii="Palatino Linotype" w:hAnsi="Palatino Linotype" w:cs="Arial"/>
          <w:b/>
          <w:sz w:val="28"/>
          <w:szCs w:val="20"/>
        </w:rPr>
        <w:t xml:space="preserve">la respuesta del Sujeto Obligado.  </w:t>
      </w:r>
    </w:p>
    <w:p w14:paraId="497FD776" w14:textId="7F319856" w:rsidR="000A12D9" w:rsidRDefault="005D2B04" w:rsidP="005D2B04">
      <w:pPr>
        <w:spacing w:before="240" w:line="360" w:lineRule="auto"/>
        <w:jc w:val="both"/>
        <w:rPr>
          <w:rFonts w:ascii="Palatino Linotype" w:hAnsi="Palatino Linotype" w:cs="Arial"/>
          <w:sz w:val="24"/>
          <w:szCs w:val="24"/>
        </w:rPr>
      </w:pPr>
      <w:r w:rsidRPr="001B05B9">
        <w:rPr>
          <w:rFonts w:ascii="Palatino Linotype" w:hAnsi="Palatino Linotype" w:cs="Arial"/>
          <w:sz w:val="24"/>
          <w:szCs w:val="24"/>
        </w:rPr>
        <w:t xml:space="preserve">En el expediente electrónico </w:t>
      </w:r>
      <w:r w:rsidRPr="001B05B9">
        <w:rPr>
          <w:rFonts w:ascii="Palatino Linotype" w:hAnsi="Palatino Linotype" w:cs="Arial"/>
          <w:b/>
          <w:sz w:val="24"/>
          <w:szCs w:val="24"/>
        </w:rPr>
        <w:t>SAIMEX</w:t>
      </w:r>
      <w:r w:rsidRPr="001B05B9">
        <w:rPr>
          <w:rFonts w:ascii="Palatino Linotype" w:hAnsi="Palatino Linotype" w:cs="Arial"/>
          <w:sz w:val="24"/>
          <w:szCs w:val="24"/>
        </w:rPr>
        <w:t xml:space="preserve">, se aprecia que </w:t>
      </w:r>
      <w:r>
        <w:rPr>
          <w:rFonts w:ascii="Palatino Linotype" w:hAnsi="Palatino Linotype" w:cs="Arial"/>
          <w:sz w:val="24"/>
          <w:szCs w:val="24"/>
        </w:rPr>
        <w:t xml:space="preserve">el </w:t>
      </w:r>
      <w:r w:rsidR="00DB2BB2">
        <w:rPr>
          <w:rFonts w:ascii="Palatino Linotype" w:hAnsi="Palatino Linotype" w:cs="Arial"/>
          <w:sz w:val="24"/>
          <w:szCs w:val="24"/>
        </w:rPr>
        <w:t>diecisiete de febrero</w:t>
      </w:r>
      <w:r w:rsidR="000A12D9">
        <w:rPr>
          <w:rFonts w:ascii="Palatino Linotype" w:hAnsi="Palatino Linotype" w:cs="Arial"/>
          <w:sz w:val="24"/>
          <w:szCs w:val="24"/>
        </w:rPr>
        <w:t xml:space="preserve"> del presente, </w:t>
      </w:r>
      <w:r w:rsidR="000A12D9">
        <w:rPr>
          <w:rFonts w:ascii="Palatino Linotype" w:hAnsi="Palatino Linotype" w:cs="Arial"/>
          <w:b/>
          <w:bCs/>
          <w:sz w:val="24"/>
          <w:szCs w:val="24"/>
        </w:rPr>
        <w:t xml:space="preserve">El Sujeto Obligado </w:t>
      </w:r>
      <w:r w:rsidR="000A12D9">
        <w:rPr>
          <w:rFonts w:ascii="Palatino Linotype" w:hAnsi="Palatino Linotype" w:cs="Arial"/>
          <w:sz w:val="24"/>
          <w:szCs w:val="24"/>
        </w:rPr>
        <w:t xml:space="preserve">dio respuesta a la solicitud de información en los siguientes términos: </w:t>
      </w:r>
    </w:p>
    <w:p w14:paraId="0CCC0258" w14:textId="2BCE68F4" w:rsidR="00B278CF" w:rsidRPr="00DB2BB2" w:rsidRDefault="00B278CF" w:rsidP="00B278CF">
      <w:pPr>
        <w:spacing w:before="240" w:line="360" w:lineRule="auto"/>
        <w:ind w:left="851" w:right="851"/>
        <w:jc w:val="both"/>
        <w:rPr>
          <w:rFonts w:ascii="Palatino Linotype" w:hAnsi="Palatino Linotype" w:cs="Arial"/>
          <w:b/>
          <w:bCs/>
          <w:i/>
          <w:iCs/>
        </w:rPr>
      </w:pPr>
      <w:r w:rsidRPr="00DB2BB2">
        <w:rPr>
          <w:rFonts w:ascii="Palatino Linotype" w:eastAsia="Times New Roman" w:hAnsi="Palatino Linotype" w:cs="Times New Roman"/>
          <w:i/>
          <w:iCs/>
        </w:rPr>
        <w:t>“</w:t>
      </w:r>
      <w:r w:rsidR="00DB2BB2" w:rsidRPr="00DB2BB2">
        <w:rPr>
          <w:rFonts w:ascii="Palatino Linotype" w:hAnsi="Palatino Linotype"/>
          <w:i/>
          <w:iCs/>
        </w:rPr>
        <w:t xml:space="preserve">En atención a la presente solicitud de folio 00048/SMA/IP/2020, por este medio se envía en archivo electrónico formato PDF, el oficio No. 22100007010000L/DEIA/OF/052/2020, de la Dirección de Evaluación e Impacto Ambiental, de la Dirección General de Ordenamiento e Impacto Ambiental de esta Secretaría. Conforme a lo manifestado en dicho oficio, también se remite copia del Acta de la Cuarta Sesión Extraordinaria 2020 del Comité de Transparencia de la </w:t>
      </w:r>
      <w:r w:rsidR="00DB2BB2" w:rsidRPr="00DB2BB2">
        <w:rPr>
          <w:rFonts w:ascii="Palatino Linotype" w:hAnsi="Palatino Linotype"/>
          <w:i/>
          <w:iCs/>
        </w:rPr>
        <w:lastRenderedPageBreak/>
        <w:t>Secretaría del Medio Ambiente, en la cual se aprobó la RESERVA del estudio de su interés, Acuerdo No. CT-SMA/04-E/2020/002. Si se tuviese algún problema para descargar los archivos, queda a sus órdenes la Lic. Cinthya Herrera Sánchez, en el correo: medioambiente@itaipem.org.mx, y/o en el teléfono 7222756208</w:t>
      </w:r>
      <w:r w:rsidRPr="00DB2BB2">
        <w:rPr>
          <w:rFonts w:ascii="Palatino Linotype" w:eastAsia="Times New Roman" w:hAnsi="Palatino Linotype" w:cs="Times New Roman"/>
          <w:i/>
          <w:iCs/>
        </w:rPr>
        <w:t xml:space="preserve">.” </w:t>
      </w:r>
      <w:r w:rsidRPr="00DB2BB2">
        <w:rPr>
          <w:rFonts w:ascii="Palatino Linotype" w:eastAsia="Times New Roman" w:hAnsi="Palatino Linotype" w:cs="Times New Roman"/>
          <w:b/>
          <w:bCs/>
          <w:i/>
          <w:iCs/>
        </w:rPr>
        <w:t>[Sic]</w:t>
      </w:r>
    </w:p>
    <w:p w14:paraId="476EC2BD" w14:textId="77777777" w:rsidR="00C427C0" w:rsidRDefault="00C427C0" w:rsidP="005D2B04">
      <w:pPr>
        <w:spacing w:before="240" w:line="360" w:lineRule="auto"/>
        <w:jc w:val="both"/>
        <w:rPr>
          <w:rFonts w:ascii="Palatino Linotype" w:hAnsi="Palatino Linotype" w:cs="Arial"/>
          <w:sz w:val="24"/>
          <w:szCs w:val="24"/>
        </w:rPr>
      </w:pPr>
    </w:p>
    <w:p w14:paraId="58F328C1" w14:textId="5C52F159" w:rsidR="00DB2BB2" w:rsidRDefault="00B278CF" w:rsidP="005D2B04">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Adicionalmente, </w:t>
      </w:r>
      <w:r>
        <w:rPr>
          <w:rFonts w:ascii="Palatino Linotype" w:hAnsi="Palatino Linotype" w:cs="Arial"/>
          <w:b/>
          <w:bCs/>
          <w:sz w:val="24"/>
          <w:szCs w:val="24"/>
        </w:rPr>
        <w:t xml:space="preserve">El Sujeto Obligado </w:t>
      </w:r>
      <w:r>
        <w:rPr>
          <w:rFonts w:ascii="Palatino Linotype" w:hAnsi="Palatino Linotype" w:cs="Arial"/>
          <w:sz w:val="24"/>
          <w:szCs w:val="24"/>
        </w:rPr>
        <w:t xml:space="preserve">adjuntó </w:t>
      </w:r>
      <w:r w:rsidR="00DB2BB2">
        <w:rPr>
          <w:rFonts w:ascii="Palatino Linotype" w:hAnsi="Palatino Linotype" w:cs="Arial"/>
          <w:sz w:val="24"/>
          <w:szCs w:val="24"/>
        </w:rPr>
        <w:t xml:space="preserve">los documentos electrónicos </w:t>
      </w:r>
      <w:r w:rsidR="00DB2BB2">
        <w:rPr>
          <w:rFonts w:ascii="Palatino Linotype" w:hAnsi="Palatino Linotype" w:cs="Arial"/>
          <w:b/>
          <w:bCs/>
          <w:sz w:val="24"/>
          <w:szCs w:val="24"/>
        </w:rPr>
        <w:t xml:space="preserve">“SOL. 00048 OF. RESP..pdf” </w:t>
      </w:r>
      <w:r w:rsidR="00DB2BB2">
        <w:rPr>
          <w:rFonts w:ascii="Palatino Linotype" w:hAnsi="Palatino Linotype" w:cs="Arial"/>
          <w:sz w:val="24"/>
          <w:szCs w:val="24"/>
        </w:rPr>
        <w:t xml:space="preserve">y </w:t>
      </w:r>
      <w:r w:rsidR="00DB2BB2">
        <w:rPr>
          <w:rFonts w:ascii="Palatino Linotype" w:hAnsi="Palatino Linotype" w:cs="Arial"/>
          <w:b/>
          <w:bCs/>
          <w:sz w:val="24"/>
          <w:szCs w:val="24"/>
        </w:rPr>
        <w:t xml:space="preserve">“Acta 4a Ext 2020 Transp..pdf”, </w:t>
      </w:r>
      <w:r w:rsidR="00DB2BB2">
        <w:rPr>
          <w:rFonts w:ascii="Palatino Linotype" w:hAnsi="Palatino Linotype" w:cs="Arial"/>
          <w:sz w:val="24"/>
          <w:szCs w:val="24"/>
        </w:rPr>
        <w:t xml:space="preserve">mismos que se tienen por reproducidos como si a la letra se insertasen, en virtud de que será materia de análisis en el considerando respectivo. </w:t>
      </w:r>
    </w:p>
    <w:p w14:paraId="63D42FDB" w14:textId="77777777" w:rsidR="00DB2BB2" w:rsidRDefault="00DB2BB2" w:rsidP="005D2B04">
      <w:pPr>
        <w:spacing w:before="240" w:line="360" w:lineRule="auto"/>
        <w:jc w:val="both"/>
        <w:rPr>
          <w:rFonts w:ascii="Palatino Linotype" w:hAnsi="Palatino Linotype" w:cs="Arial"/>
          <w:sz w:val="24"/>
          <w:szCs w:val="24"/>
        </w:rPr>
      </w:pPr>
    </w:p>
    <w:p w14:paraId="3FCD2529" w14:textId="28890BE8" w:rsidR="005D2B04" w:rsidRPr="00B94D83" w:rsidRDefault="00DB2BB2" w:rsidP="005D2B04">
      <w:pPr>
        <w:spacing w:before="240" w:line="360" w:lineRule="auto"/>
        <w:jc w:val="both"/>
        <w:rPr>
          <w:rFonts w:ascii="Palatino Linotype" w:hAnsi="Palatino Linotype" w:cs="Arial"/>
          <w:b/>
          <w:sz w:val="28"/>
        </w:rPr>
      </w:pPr>
      <w:r>
        <w:rPr>
          <w:rFonts w:ascii="Palatino Linotype" w:hAnsi="Palatino Linotype" w:cs="Arial"/>
          <w:b/>
          <w:sz w:val="28"/>
        </w:rPr>
        <w:t>TERCERO</w:t>
      </w:r>
      <w:r w:rsidR="005D2B04" w:rsidRPr="00B94D83">
        <w:rPr>
          <w:rFonts w:ascii="Palatino Linotype" w:hAnsi="Palatino Linotype" w:cs="Arial"/>
          <w:b/>
          <w:sz w:val="28"/>
        </w:rPr>
        <w:t xml:space="preserve">. </w:t>
      </w:r>
      <w:r w:rsidR="005D2B04" w:rsidRPr="00B94D83">
        <w:rPr>
          <w:rFonts w:ascii="Palatino Linotype" w:hAnsi="Palatino Linotype"/>
          <w:b/>
          <w:sz w:val="28"/>
        </w:rPr>
        <w:t>Del recurso de revisión.</w:t>
      </w:r>
    </w:p>
    <w:p w14:paraId="3DCC77AE" w14:textId="6FE623AE" w:rsidR="00C427C0" w:rsidRPr="00C427C0" w:rsidRDefault="005D2B04" w:rsidP="005D2B04">
      <w:pPr>
        <w:spacing w:before="240" w:line="360" w:lineRule="auto"/>
        <w:jc w:val="both"/>
        <w:rPr>
          <w:rFonts w:ascii="Palatino Linotype" w:hAnsi="Palatino Linotype" w:cs="Arial"/>
          <w:sz w:val="24"/>
          <w:szCs w:val="24"/>
        </w:rPr>
      </w:pPr>
      <w:r w:rsidRPr="00B94D83">
        <w:rPr>
          <w:rFonts w:ascii="Palatino Linotype" w:hAnsi="Palatino Linotype" w:cs="Arial"/>
          <w:sz w:val="24"/>
          <w:szCs w:val="24"/>
        </w:rPr>
        <w:t xml:space="preserve">Inconforme con la respuesta notificada por </w:t>
      </w:r>
      <w:r w:rsidR="00A12F8D">
        <w:rPr>
          <w:rFonts w:ascii="Palatino Linotype" w:hAnsi="Palatino Linotype" w:cs="Arial"/>
          <w:b/>
          <w:sz w:val="24"/>
          <w:szCs w:val="24"/>
        </w:rPr>
        <w:t xml:space="preserve">El Sujeto Obligado, </w:t>
      </w:r>
      <w:r w:rsidR="00C427C0">
        <w:rPr>
          <w:rFonts w:ascii="Palatino Linotype" w:hAnsi="Palatino Linotype" w:cs="Arial"/>
          <w:b/>
          <w:sz w:val="24"/>
          <w:szCs w:val="24"/>
        </w:rPr>
        <w:t>El</w:t>
      </w:r>
      <w:r w:rsidR="00A44BB7">
        <w:rPr>
          <w:rFonts w:ascii="Palatino Linotype" w:hAnsi="Palatino Linotype" w:cs="Arial"/>
          <w:b/>
          <w:sz w:val="24"/>
          <w:szCs w:val="24"/>
        </w:rPr>
        <w:t xml:space="preserve"> Recurrente </w:t>
      </w:r>
      <w:r w:rsidR="00A44BB7">
        <w:rPr>
          <w:rFonts w:ascii="Palatino Linotype" w:hAnsi="Palatino Linotype" w:cs="Arial"/>
          <w:sz w:val="24"/>
          <w:szCs w:val="24"/>
        </w:rPr>
        <w:t xml:space="preserve">interpuso el recurso de revisión, en fecha </w:t>
      </w:r>
      <w:r w:rsidR="00C427C0">
        <w:rPr>
          <w:rFonts w:ascii="Palatino Linotype" w:hAnsi="Palatino Linotype" w:cs="Arial"/>
          <w:sz w:val="24"/>
          <w:szCs w:val="24"/>
        </w:rPr>
        <w:t xml:space="preserve">veintiuno de febrero del año en curso, el cual fue registrado con el expediente número </w:t>
      </w:r>
      <w:r w:rsidR="00C427C0">
        <w:rPr>
          <w:rFonts w:ascii="Palatino Linotype" w:hAnsi="Palatino Linotype" w:cs="Arial"/>
          <w:b/>
          <w:bCs/>
          <w:sz w:val="24"/>
          <w:szCs w:val="24"/>
        </w:rPr>
        <w:t xml:space="preserve">01145/INFOEM/IP/RR/2020, </w:t>
      </w:r>
      <w:r w:rsidR="00C427C0">
        <w:rPr>
          <w:rFonts w:ascii="Palatino Linotype" w:hAnsi="Palatino Linotype" w:cs="Arial"/>
          <w:sz w:val="24"/>
          <w:szCs w:val="24"/>
        </w:rPr>
        <w:t xml:space="preserve">en el cual arguye las siguientes manifestaciones: </w:t>
      </w:r>
    </w:p>
    <w:p w14:paraId="6ABBCA3E" w14:textId="77777777" w:rsidR="005D2B04" w:rsidRPr="00EE6BC3" w:rsidRDefault="005D2B04" w:rsidP="005D2B04">
      <w:pPr>
        <w:spacing w:before="240" w:line="360" w:lineRule="auto"/>
        <w:ind w:right="851"/>
        <w:jc w:val="both"/>
        <w:rPr>
          <w:rFonts w:ascii="Palatino Linotype" w:hAnsi="Palatino Linotype"/>
          <w:b/>
          <w:color w:val="000000"/>
          <w:sz w:val="24"/>
          <w:szCs w:val="24"/>
        </w:rPr>
      </w:pPr>
      <w:r w:rsidRPr="00EE6BC3">
        <w:rPr>
          <w:rFonts w:ascii="Palatino Linotype" w:hAnsi="Palatino Linotype"/>
          <w:b/>
          <w:color w:val="000000"/>
          <w:sz w:val="24"/>
          <w:szCs w:val="24"/>
        </w:rPr>
        <w:t>Acto Impugnado:</w:t>
      </w:r>
    </w:p>
    <w:p w14:paraId="414A95CC" w14:textId="7ACF833B" w:rsidR="005D2B04" w:rsidRDefault="005D2B04" w:rsidP="00BE5D85">
      <w:pPr>
        <w:pStyle w:val="Estilo1"/>
        <w:rPr>
          <w:b/>
        </w:rPr>
      </w:pPr>
      <w:r w:rsidRPr="00B278CF">
        <w:t>“</w:t>
      </w:r>
      <w:r w:rsidR="00C427C0" w:rsidRPr="00C427C0">
        <w:t>La insuficiencia de la fundamentacion en la respuesta emitida</w:t>
      </w:r>
      <w:r w:rsidRPr="00C427C0">
        <w:t>”</w:t>
      </w:r>
      <w:r w:rsidR="00B278CF" w:rsidRPr="00C427C0">
        <w:t xml:space="preserve"> </w:t>
      </w:r>
      <w:r w:rsidRPr="00C427C0">
        <w:rPr>
          <w:b/>
        </w:rPr>
        <w:t>[Sic]</w:t>
      </w:r>
    </w:p>
    <w:p w14:paraId="05EA6400" w14:textId="77777777" w:rsidR="00C427C0" w:rsidRPr="00B278CF" w:rsidRDefault="00C427C0" w:rsidP="00BE5D85">
      <w:pPr>
        <w:pStyle w:val="Estilo1"/>
      </w:pPr>
    </w:p>
    <w:p w14:paraId="6B96EA5E" w14:textId="77777777" w:rsidR="005D2B04" w:rsidRPr="00EE6BC3" w:rsidRDefault="005D2B04" w:rsidP="005D2B04">
      <w:pPr>
        <w:spacing w:before="240" w:line="360" w:lineRule="auto"/>
        <w:ind w:right="851"/>
        <w:jc w:val="both"/>
        <w:rPr>
          <w:rFonts w:ascii="Palatino Linotype" w:hAnsi="Palatino Linotype"/>
          <w:b/>
          <w:color w:val="000000"/>
          <w:sz w:val="24"/>
          <w:szCs w:val="24"/>
        </w:rPr>
      </w:pPr>
      <w:r w:rsidRPr="00EE6BC3">
        <w:rPr>
          <w:rFonts w:ascii="Palatino Linotype" w:hAnsi="Palatino Linotype"/>
          <w:b/>
          <w:color w:val="000000"/>
          <w:sz w:val="24"/>
          <w:szCs w:val="24"/>
        </w:rPr>
        <w:t>Razones o Motivos de Inconformidad:</w:t>
      </w:r>
    </w:p>
    <w:p w14:paraId="17AA0D30" w14:textId="733262D9" w:rsidR="005D2B04" w:rsidRPr="00C427C0" w:rsidRDefault="00A44BB7" w:rsidP="00BE5D85">
      <w:pPr>
        <w:pStyle w:val="Estilo1"/>
      </w:pPr>
      <w:r w:rsidRPr="00C427C0">
        <w:lastRenderedPageBreak/>
        <w:t>“</w:t>
      </w:r>
      <w:r w:rsidR="00C427C0" w:rsidRPr="00C427C0">
        <w:t>El sujeto obligado y su Comité con la resolución adoptada de RESERVA TOTAL de la información solicitada por 60 días hábiles, deja en estado de indefension y violenta gravemente los DERECHOS HUMANOS POR UN AMBIENTE SANO y el DERECHO HUMANO A LA SALUD y al autorizar el estudio de Impacto Ambiental en comento, sin contemplar lo siguiente y que ha sido motivo de litigios según lo señalado en el oficio numero 212090000/DGOIA/OF/2661/2017 de fecha 14 de noviembre de 2016 emitido por la Dirección General de Ordenamiento e Impacto Ambiental a través de la cual se determina que la parte actora (ahora el municipio) deberá someter a evaluación en materia de impacto ambiental, el proyecto denominado relleno sanitario del Municipio de Tlalnepantla de Baz, Estado de México, ubicado en la zona de Barrientos de dicho municipio; así mismo incluir como información adicional, el grado de cumplimiento a la NOM-083-SEMARNAT-2003 puntos 6.2.1, 6.2.2, 6.3, 6.4, 7.2, 7.3, 7.5, 7.10, 7.11, 7.11.1, 7.11.2, 7.11.3, 9.2, 9.3 y 9.4.2”. Por lo que dicha autorización, de darse positivamente AGRAVARÍA el MEDIO AMBIENTE Y LA SALUD de los habitantes, dado que pretenden ampliar por 20 años mas la vida útil de un Relleno que ya concluyo esta y donde la Secretaria del Medio Ambiente ha sido omisa en realizar la AUDITORIA AMBIENTAL necesaria.</w:t>
      </w:r>
      <w:r w:rsidR="005D2B04" w:rsidRPr="00C427C0">
        <w:t xml:space="preserve">” </w:t>
      </w:r>
      <w:r w:rsidR="005D2B04" w:rsidRPr="00C427C0">
        <w:rPr>
          <w:b/>
        </w:rPr>
        <w:t>[Sic]</w:t>
      </w:r>
    </w:p>
    <w:p w14:paraId="71C8B9C9" w14:textId="77777777" w:rsidR="005D2B04" w:rsidRDefault="005D2B04" w:rsidP="005D2B04">
      <w:pPr>
        <w:spacing w:before="240" w:line="360" w:lineRule="auto"/>
        <w:ind w:right="851"/>
        <w:jc w:val="both"/>
        <w:rPr>
          <w:rFonts w:ascii="Palatino Linotype" w:hAnsi="Palatino Linotype"/>
          <w:color w:val="000000"/>
        </w:rPr>
      </w:pPr>
    </w:p>
    <w:p w14:paraId="353F6C58" w14:textId="45F69039" w:rsidR="005D2B04" w:rsidRDefault="00C427C0" w:rsidP="005D2B04">
      <w:pPr>
        <w:spacing w:before="240" w:line="360" w:lineRule="auto"/>
        <w:jc w:val="both"/>
        <w:rPr>
          <w:rFonts w:ascii="Palatino Linotype" w:hAnsi="Palatino Linotype" w:cs="Arial"/>
          <w:b/>
          <w:sz w:val="28"/>
          <w:szCs w:val="28"/>
        </w:rPr>
      </w:pPr>
      <w:r>
        <w:rPr>
          <w:rFonts w:ascii="Palatino Linotype" w:hAnsi="Palatino Linotype" w:cs="Arial"/>
          <w:b/>
          <w:sz w:val="28"/>
        </w:rPr>
        <w:t>CUARTO</w:t>
      </w:r>
      <w:r w:rsidR="005D2B04" w:rsidRPr="00DB11D0">
        <w:rPr>
          <w:rFonts w:ascii="Palatino Linotype" w:hAnsi="Palatino Linotype" w:cs="Arial"/>
          <w:b/>
          <w:sz w:val="24"/>
          <w:szCs w:val="24"/>
        </w:rPr>
        <w:t>.</w:t>
      </w:r>
      <w:r w:rsidR="005D2B04" w:rsidRPr="00523CF0">
        <w:rPr>
          <w:rFonts w:ascii="Palatino Linotype" w:hAnsi="Palatino Linotype" w:cs="Arial"/>
          <w:b/>
          <w:sz w:val="24"/>
          <w:szCs w:val="24"/>
        </w:rPr>
        <w:t xml:space="preserve"> </w:t>
      </w:r>
      <w:r w:rsidR="005D2B04" w:rsidRPr="00523CF0">
        <w:rPr>
          <w:rFonts w:ascii="Palatino Linotype" w:hAnsi="Palatino Linotype" w:cs="Arial"/>
          <w:b/>
          <w:sz w:val="28"/>
          <w:szCs w:val="28"/>
        </w:rPr>
        <w:t>Del turno del recurso de revisión.</w:t>
      </w:r>
    </w:p>
    <w:p w14:paraId="2622A996" w14:textId="3799B2FB" w:rsidR="00E45181" w:rsidRDefault="005D2B04" w:rsidP="00B278CF">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Medio de impugnación que le fue turnado a la Comisionada </w:t>
      </w:r>
      <w:r>
        <w:rPr>
          <w:rFonts w:ascii="Palatino Linotype" w:hAnsi="Palatino Linotype" w:cs="Arial"/>
          <w:b/>
          <w:sz w:val="24"/>
          <w:szCs w:val="24"/>
        </w:rPr>
        <w:t>Zulema Martínez Sánchez</w:t>
      </w:r>
      <w:r>
        <w:rPr>
          <w:rFonts w:ascii="Palatino Linotype" w:hAnsi="Palatino Linotype" w:cs="Arial"/>
          <w:sz w:val="24"/>
          <w:szCs w:val="24"/>
        </w:rPr>
        <w:t xml:space="preserve">, por medio del sistema electrónico en términos del arábigo 185 fracción I de la Ley de Transparencia y Acceso a la información Pública del Estado de México y Municipios, del cual recayó acuerdo de admisión en fecha </w:t>
      </w:r>
      <w:r w:rsidR="00C427C0">
        <w:rPr>
          <w:rFonts w:ascii="Palatino Linotype" w:hAnsi="Palatino Linotype" w:cs="Arial"/>
          <w:sz w:val="24"/>
          <w:szCs w:val="24"/>
        </w:rPr>
        <w:t>veintisiete</w:t>
      </w:r>
      <w:r w:rsidR="00B278CF">
        <w:rPr>
          <w:rFonts w:ascii="Palatino Linotype" w:hAnsi="Palatino Linotype" w:cs="Arial"/>
          <w:sz w:val="24"/>
          <w:szCs w:val="24"/>
        </w:rPr>
        <w:t xml:space="preserve"> de febrero de dos </w:t>
      </w:r>
      <w:r w:rsidR="00B278CF">
        <w:rPr>
          <w:rFonts w:ascii="Palatino Linotype" w:hAnsi="Palatino Linotype" w:cs="Arial"/>
          <w:sz w:val="24"/>
          <w:szCs w:val="24"/>
        </w:rPr>
        <w:lastRenderedPageBreak/>
        <w:t xml:space="preserve">mil veinte, </w:t>
      </w:r>
      <w:r w:rsidR="00E45181">
        <w:rPr>
          <w:rFonts w:ascii="Palatino Linotype" w:hAnsi="Palatino Linotype" w:cs="Arial"/>
          <w:sz w:val="24"/>
          <w:szCs w:val="24"/>
        </w:rPr>
        <w:t>determinándose en él, un plazo de siete días para que las partes manifestaran lo que a su derecho corresponda en términos del numeral ya citado.</w:t>
      </w:r>
    </w:p>
    <w:p w14:paraId="31B73C93" w14:textId="77777777" w:rsidR="00B278CF" w:rsidRPr="00BE5D85" w:rsidRDefault="00B278CF" w:rsidP="00B278CF">
      <w:pPr>
        <w:spacing w:before="240" w:line="360" w:lineRule="auto"/>
        <w:jc w:val="both"/>
        <w:rPr>
          <w:rFonts w:ascii="Palatino Linotype" w:hAnsi="Palatino Linotype" w:cs="Arial"/>
          <w:sz w:val="24"/>
          <w:szCs w:val="24"/>
        </w:rPr>
      </w:pPr>
    </w:p>
    <w:p w14:paraId="0F405014" w14:textId="763A46F2" w:rsidR="005D2B04" w:rsidRDefault="00436337" w:rsidP="005D2B04">
      <w:pPr>
        <w:spacing w:before="240" w:line="360" w:lineRule="auto"/>
        <w:jc w:val="both"/>
        <w:rPr>
          <w:rFonts w:ascii="Palatino Linotype" w:hAnsi="Palatino Linotype" w:cs="Arial"/>
          <w:b/>
          <w:sz w:val="28"/>
          <w:szCs w:val="28"/>
        </w:rPr>
      </w:pPr>
      <w:r>
        <w:rPr>
          <w:rFonts w:ascii="Palatino Linotype" w:hAnsi="Palatino Linotype" w:cs="Arial"/>
          <w:b/>
          <w:sz w:val="28"/>
        </w:rPr>
        <w:t>SEXTO</w:t>
      </w:r>
      <w:r w:rsidR="005D2B04" w:rsidRPr="008551ED">
        <w:rPr>
          <w:rFonts w:ascii="Palatino Linotype" w:hAnsi="Palatino Linotype" w:cs="Arial"/>
          <w:b/>
          <w:sz w:val="24"/>
          <w:szCs w:val="24"/>
        </w:rPr>
        <w:t>.</w:t>
      </w:r>
      <w:r w:rsidR="005D2B04">
        <w:rPr>
          <w:rFonts w:ascii="Palatino Linotype" w:hAnsi="Palatino Linotype" w:cs="Arial"/>
          <w:b/>
          <w:sz w:val="24"/>
          <w:szCs w:val="24"/>
        </w:rPr>
        <w:t xml:space="preserve"> </w:t>
      </w:r>
      <w:r w:rsidR="005D2B04" w:rsidRPr="0087163A">
        <w:rPr>
          <w:rFonts w:ascii="Palatino Linotype" w:hAnsi="Palatino Linotype" w:cs="Arial"/>
          <w:b/>
          <w:sz w:val="28"/>
          <w:szCs w:val="28"/>
        </w:rPr>
        <w:t>De la etapa de instrucción.</w:t>
      </w:r>
    </w:p>
    <w:p w14:paraId="2BA0FB67" w14:textId="559AE2FA" w:rsidR="00B278CF" w:rsidRPr="00B278CF" w:rsidRDefault="00B278CF" w:rsidP="00B278CF">
      <w:pPr>
        <w:spacing w:before="240" w:line="360" w:lineRule="auto"/>
        <w:jc w:val="both"/>
        <w:rPr>
          <w:rFonts w:ascii="Palatino Linotype" w:hAnsi="Palatino Linotype" w:cs="Arial"/>
          <w:sz w:val="24"/>
          <w:szCs w:val="24"/>
        </w:rPr>
      </w:pPr>
      <w:r w:rsidRPr="00523CF0">
        <w:rPr>
          <w:rFonts w:ascii="Palatino Linotype" w:hAnsi="Palatino Linotype" w:cs="Arial"/>
          <w:sz w:val="24"/>
          <w:szCs w:val="24"/>
        </w:rPr>
        <w:t xml:space="preserve">Así, en la etapa de instrucción, </w:t>
      </w:r>
      <w:r>
        <w:rPr>
          <w:rFonts w:ascii="Palatino Linotype" w:hAnsi="Palatino Linotype" w:cs="Arial"/>
          <w:sz w:val="24"/>
          <w:szCs w:val="24"/>
        </w:rPr>
        <w:t xml:space="preserve">de las constancias que obran en </w:t>
      </w:r>
      <w:r w:rsidR="00C427C0">
        <w:rPr>
          <w:rFonts w:ascii="Palatino Linotype" w:hAnsi="Palatino Linotype" w:cs="Arial"/>
          <w:sz w:val="24"/>
          <w:szCs w:val="24"/>
        </w:rPr>
        <w:t>el expediente</w:t>
      </w:r>
      <w:r>
        <w:rPr>
          <w:rFonts w:ascii="Palatino Linotype" w:hAnsi="Palatino Linotype" w:cs="Arial"/>
          <w:sz w:val="24"/>
          <w:szCs w:val="24"/>
        </w:rPr>
        <w:t xml:space="preserve"> electrónico se advierte que </w:t>
      </w:r>
      <w:r>
        <w:rPr>
          <w:rFonts w:ascii="Palatino Linotype" w:hAnsi="Palatino Linotype" w:cs="Arial"/>
          <w:b/>
          <w:sz w:val="24"/>
          <w:szCs w:val="24"/>
        </w:rPr>
        <w:t xml:space="preserve">El Sujeto Obligado </w:t>
      </w:r>
      <w:r>
        <w:rPr>
          <w:rFonts w:ascii="Palatino Linotype" w:hAnsi="Palatino Linotype" w:cs="Arial"/>
          <w:sz w:val="24"/>
          <w:szCs w:val="24"/>
        </w:rPr>
        <w:t xml:space="preserve">rindió su informe justificado en fecha </w:t>
      </w:r>
      <w:r w:rsidR="00C427C0">
        <w:rPr>
          <w:rFonts w:ascii="Palatino Linotype" w:hAnsi="Palatino Linotype" w:cs="Arial"/>
          <w:sz w:val="24"/>
          <w:szCs w:val="24"/>
        </w:rPr>
        <w:t>veintisiete</w:t>
      </w:r>
      <w:r>
        <w:rPr>
          <w:rFonts w:ascii="Palatino Linotype" w:hAnsi="Palatino Linotype" w:cs="Arial"/>
          <w:sz w:val="24"/>
          <w:szCs w:val="24"/>
        </w:rPr>
        <w:t xml:space="preserve"> de febrero de los corrientes, mismo que fue puesto a la vista de</w:t>
      </w:r>
      <w:r w:rsidR="00C427C0">
        <w:rPr>
          <w:rFonts w:ascii="Palatino Linotype" w:hAnsi="Palatino Linotype" w:cs="Arial"/>
          <w:sz w:val="24"/>
          <w:szCs w:val="24"/>
        </w:rPr>
        <w:t>l</w:t>
      </w:r>
      <w:r>
        <w:rPr>
          <w:rFonts w:ascii="Palatino Linotype" w:hAnsi="Palatino Linotype" w:cs="Arial"/>
          <w:b/>
          <w:bCs/>
          <w:sz w:val="24"/>
          <w:szCs w:val="24"/>
        </w:rPr>
        <w:t xml:space="preserve"> Recurrente </w:t>
      </w:r>
      <w:r>
        <w:rPr>
          <w:rFonts w:ascii="Palatino Linotype" w:hAnsi="Palatino Linotype" w:cs="Arial"/>
          <w:sz w:val="24"/>
          <w:szCs w:val="24"/>
        </w:rPr>
        <w:t xml:space="preserve">el </w:t>
      </w:r>
      <w:r w:rsidR="00C427C0">
        <w:rPr>
          <w:rFonts w:ascii="Palatino Linotype" w:hAnsi="Palatino Linotype" w:cs="Arial"/>
          <w:sz w:val="24"/>
          <w:szCs w:val="24"/>
        </w:rPr>
        <w:t xml:space="preserve">cinco de marzo del mismo año. </w:t>
      </w:r>
      <w:r>
        <w:rPr>
          <w:rFonts w:ascii="Palatino Linotype" w:hAnsi="Palatino Linotype" w:cs="Arial"/>
          <w:sz w:val="24"/>
          <w:szCs w:val="24"/>
        </w:rPr>
        <w:t xml:space="preserve"> </w:t>
      </w:r>
    </w:p>
    <w:p w14:paraId="07EBAE1B" w14:textId="01549B96" w:rsidR="00B278CF" w:rsidRDefault="00B278CF" w:rsidP="00B278CF">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Por lo que una vez </w:t>
      </w:r>
      <w:r w:rsidRPr="00F12BAF">
        <w:rPr>
          <w:rFonts w:ascii="Palatino Linotype" w:hAnsi="Palatino Linotype" w:cs="Arial"/>
          <w:sz w:val="24"/>
          <w:szCs w:val="24"/>
        </w:rPr>
        <w:t xml:space="preserve">transcurrido el plazo establecido para que las partes manifestaran lo que a su derecho conviniera, en fecha </w:t>
      </w:r>
      <w:r w:rsidR="00C427C0">
        <w:rPr>
          <w:rFonts w:ascii="Palatino Linotype" w:hAnsi="Palatino Linotype" w:cs="Arial"/>
          <w:sz w:val="24"/>
          <w:szCs w:val="24"/>
        </w:rPr>
        <w:t>diecisiete de marzo</w:t>
      </w:r>
      <w:r>
        <w:rPr>
          <w:rFonts w:ascii="Palatino Linotype" w:hAnsi="Palatino Linotype" w:cs="Arial"/>
          <w:sz w:val="24"/>
          <w:szCs w:val="24"/>
        </w:rPr>
        <w:t xml:space="preserve"> de dos mil veinte se decretó el cierre de instrucción en términos del artículo 185 fracción VI de la Ley de Transparencia y Acceso a la Información Pública del Estado de México y Municipios, iniciando el término legal para dictar resolución definitiva del asunto.</w:t>
      </w:r>
    </w:p>
    <w:p w14:paraId="08BD21FB" w14:textId="7D2CC9F4" w:rsidR="00AA58A2" w:rsidRDefault="00EA4E39" w:rsidP="00844569">
      <w:pPr>
        <w:spacing w:before="240" w:line="360" w:lineRule="auto"/>
        <w:jc w:val="center"/>
        <w:rPr>
          <w:rFonts w:ascii="Palatino Linotype" w:hAnsi="Palatino Linotype" w:cs="Arial"/>
          <w:b/>
          <w:sz w:val="24"/>
        </w:rPr>
      </w:pPr>
      <w:r>
        <w:rPr>
          <w:rFonts w:ascii="Palatino Linotype" w:hAnsi="Palatino Linotype" w:cs="Arial"/>
          <w:b/>
          <w:sz w:val="24"/>
        </w:rPr>
        <w:tab/>
      </w:r>
    </w:p>
    <w:p w14:paraId="1859AF3E" w14:textId="77777777" w:rsidR="006168E4" w:rsidRDefault="006168E4" w:rsidP="00844569">
      <w:pPr>
        <w:spacing w:before="240" w:line="360" w:lineRule="auto"/>
        <w:jc w:val="center"/>
        <w:rPr>
          <w:rFonts w:ascii="Palatino Linotype" w:hAnsi="Palatino Linotype" w:cs="Arial"/>
          <w:b/>
          <w:sz w:val="24"/>
        </w:rPr>
      </w:pPr>
      <w:r w:rsidRPr="001B1519">
        <w:rPr>
          <w:rFonts w:ascii="Palatino Linotype" w:hAnsi="Palatino Linotype" w:cs="Arial"/>
          <w:b/>
          <w:sz w:val="24"/>
        </w:rPr>
        <w:t>C O N S I D E R A N D O</w:t>
      </w:r>
      <w:r w:rsidRPr="00311A15">
        <w:rPr>
          <w:rFonts w:ascii="Palatino Linotype" w:hAnsi="Palatino Linotype" w:cs="Arial"/>
          <w:b/>
          <w:sz w:val="24"/>
        </w:rPr>
        <w:t xml:space="preserve"> </w:t>
      </w:r>
    </w:p>
    <w:p w14:paraId="43A4AD19" w14:textId="77777777" w:rsidR="006168E4" w:rsidRDefault="006168E4" w:rsidP="00844569">
      <w:pPr>
        <w:spacing w:before="240" w:line="360" w:lineRule="auto"/>
        <w:jc w:val="both"/>
        <w:rPr>
          <w:rFonts w:ascii="Palatino Linotype" w:hAnsi="Palatino Linotype" w:cs="Arial"/>
          <w:sz w:val="24"/>
        </w:rPr>
      </w:pPr>
      <w:r w:rsidRPr="00C43323">
        <w:rPr>
          <w:rFonts w:ascii="Palatino Linotype" w:hAnsi="Palatino Linotype" w:cs="Arial"/>
          <w:b/>
          <w:sz w:val="28"/>
        </w:rPr>
        <w:t>PRIMERO.</w:t>
      </w:r>
      <w:r w:rsidRPr="00D24A52">
        <w:rPr>
          <w:rFonts w:ascii="Palatino Linotype" w:hAnsi="Palatino Linotype" w:cs="Arial"/>
          <w:b/>
        </w:rPr>
        <w:t xml:space="preserve"> </w:t>
      </w:r>
      <w:r w:rsidRPr="0087163A">
        <w:rPr>
          <w:rFonts w:ascii="Palatino Linotype" w:hAnsi="Palatino Linotype" w:cs="Arial"/>
          <w:b/>
          <w:sz w:val="28"/>
          <w:szCs w:val="28"/>
        </w:rPr>
        <w:t>De la competencia</w:t>
      </w:r>
      <w:r w:rsidRPr="0087163A">
        <w:rPr>
          <w:rFonts w:ascii="Palatino Linotype" w:hAnsi="Palatino Linotype" w:cs="Arial"/>
          <w:sz w:val="28"/>
          <w:szCs w:val="28"/>
        </w:rPr>
        <w:t>.</w:t>
      </w:r>
    </w:p>
    <w:p w14:paraId="2C9C464C" w14:textId="12139E39" w:rsidR="002F12F2" w:rsidRDefault="002F12F2" w:rsidP="002F12F2">
      <w:pPr>
        <w:spacing w:before="240" w:line="360" w:lineRule="auto"/>
        <w:jc w:val="both"/>
        <w:rPr>
          <w:rFonts w:ascii="Palatino Linotype" w:hAnsi="Palatino Linotype" w:cs="Arial"/>
          <w:sz w:val="24"/>
          <w:szCs w:val="24"/>
        </w:rPr>
      </w:pPr>
      <w:r w:rsidRPr="008F797B">
        <w:rPr>
          <w:rFonts w:ascii="Palatino Linotype" w:hAnsi="Palatino Linotype" w:cs="Arial"/>
          <w:sz w:val="24"/>
          <w:szCs w:val="24"/>
        </w:rPr>
        <w:t xml:space="preserve">Este Instituto de Transparencia, Acceso a la Información Pública y Protección de Datos Personales del Estado de México, es competente para conocer y resolver </w:t>
      </w:r>
      <w:r w:rsidR="00C427C0">
        <w:rPr>
          <w:rFonts w:ascii="Palatino Linotype" w:hAnsi="Palatino Linotype" w:cs="Arial"/>
          <w:sz w:val="24"/>
          <w:szCs w:val="24"/>
        </w:rPr>
        <w:t xml:space="preserve">el </w:t>
      </w:r>
      <w:r w:rsidRPr="008F797B">
        <w:rPr>
          <w:rFonts w:ascii="Palatino Linotype" w:hAnsi="Palatino Linotype" w:cs="Arial"/>
          <w:sz w:val="24"/>
          <w:szCs w:val="24"/>
        </w:rPr>
        <w:t xml:space="preserve">presente recurso de revisión interpuesto por </w:t>
      </w:r>
      <w:r w:rsidR="00C427C0">
        <w:rPr>
          <w:rFonts w:ascii="Palatino Linotype" w:hAnsi="Palatino Linotype" w:cs="Arial"/>
          <w:b/>
          <w:sz w:val="24"/>
          <w:szCs w:val="24"/>
        </w:rPr>
        <w:t>El</w:t>
      </w:r>
      <w:r w:rsidRPr="008F797B">
        <w:rPr>
          <w:rFonts w:ascii="Palatino Linotype" w:hAnsi="Palatino Linotype" w:cs="Arial"/>
          <w:b/>
          <w:sz w:val="24"/>
          <w:szCs w:val="24"/>
        </w:rPr>
        <w:t xml:space="preserve"> Recurrente </w:t>
      </w:r>
      <w:r w:rsidRPr="008F797B">
        <w:rPr>
          <w:rFonts w:ascii="Palatino Linotype" w:hAnsi="Palatino Linotype" w:cs="Arial"/>
          <w:sz w:val="24"/>
          <w:szCs w:val="24"/>
        </w:rPr>
        <w:t xml:space="preserve">conforme a lo dispuesto en los artículos 6, apartado A, fracción IV de la Constitución Política de los Estados Unidos </w:t>
      </w:r>
      <w:r w:rsidRPr="008F797B">
        <w:rPr>
          <w:rFonts w:ascii="Palatino Linotype" w:hAnsi="Palatino Linotype" w:cs="Arial"/>
          <w:sz w:val="24"/>
          <w:szCs w:val="24"/>
        </w:rPr>
        <w:lastRenderedPageBreak/>
        <w:t>Mexicanos, 5, párrafos vigésimo segundo, vigésimo tercero y vigésimo cuarto, fracción IV de la Constitución Política del Estado Libre y Soberano de México, 1, 2 fracción II, 13, 29, 36 fracciones II y III, 176, 178, 179 fracción I, 181 párrafo tercero, 182, 185, 188 y 194 de la Ley de Transparencia y Acceso a la Información Pública del Estado de México y Municipios, 9 fracciones I, XXIV, 11 y 14 fracción I del Reglamento Interior del Instituto de Transparencia, Acceso a la Información Pública y Protección de Datos Personales del Estado de México.</w:t>
      </w:r>
    </w:p>
    <w:p w14:paraId="08D464C6" w14:textId="77777777" w:rsidR="00B278CF" w:rsidRDefault="00B278CF" w:rsidP="002F12F2">
      <w:pPr>
        <w:spacing w:before="240" w:line="360" w:lineRule="auto"/>
        <w:jc w:val="both"/>
        <w:rPr>
          <w:rFonts w:ascii="Palatino Linotype" w:hAnsi="Palatino Linotype" w:cs="Arial"/>
          <w:sz w:val="24"/>
          <w:szCs w:val="24"/>
        </w:rPr>
      </w:pPr>
    </w:p>
    <w:p w14:paraId="11758CA4" w14:textId="77777777" w:rsidR="006168E4" w:rsidRDefault="006168E4" w:rsidP="00844569">
      <w:pPr>
        <w:pStyle w:val="Prrafodelista"/>
        <w:autoSpaceDE w:val="0"/>
        <w:autoSpaceDN w:val="0"/>
        <w:adjustRightInd w:val="0"/>
        <w:spacing w:before="240" w:after="160" w:line="360" w:lineRule="auto"/>
        <w:ind w:left="0"/>
        <w:jc w:val="both"/>
        <w:rPr>
          <w:rFonts w:ascii="Palatino Linotype" w:hAnsi="Palatino Linotype" w:cs="Arial"/>
          <w:b/>
        </w:rPr>
      </w:pPr>
      <w:r w:rsidRPr="00C43323">
        <w:rPr>
          <w:rFonts w:ascii="Palatino Linotype" w:hAnsi="Palatino Linotype" w:cs="Arial"/>
          <w:b/>
          <w:sz w:val="28"/>
        </w:rPr>
        <w:t>SEGUNDO</w:t>
      </w:r>
      <w:r w:rsidRPr="00D24A52">
        <w:rPr>
          <w:rFonts w:ascii="Palatino Linotype" w:hAnsi="Palatino Linotype" w:cs="Arial"/>
          <w:b/>
        </w:rPr>
        <w:t xml:space="preserve">. </w:t>
      </w:r>
      <w:r w:rsidRPr="0087163A">
        <w:rPr>
          <w:rFonts w:ascii="Palatino Linotype" w:hAnsi="Palatino Linotype" w:cs="Arial"/>
          <w:b/>
          <w:sz w:val="28"/>
          <w:szCs w:val="28"/>
        </w:rPr>
        <w:t>Sobre los alcances del recurso de revisión.</w:t>
      </w:r>
      <w:r>
        <w:rPr>
          <w:rFonts w:ascii="Palatino Linotype" w:hAnsi="Palatino Linotype" w:cs="Arial"/>
          <w:b/>
        </w:rPr>
        <w:t xml:space="preserve"> </w:t>
      </w:r>
    </w:p>
    <w:p w14:paraId="65A12B12" w14:textId="343A326B" w:rsidR="006168E4" w:rsidRDefault="006168E4" w:rsidP="00844569">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 xml:space="preserve">Derivado de la impugnación realizada, es preciso e importante señalar que el recurso de revisión inmerso en la Ley de Transparencia vigente en la entidad, </w:t>
      </w:r>
      <w:r w:rsidRPr="00B10F60">
        <w:rPr>
          <w:rFonts w:ascii="Palatino Linotype" w:hAnsi="Palatino Linotype" w:cs="Arial"/>
        </w:rPr>
        <w:t>tiene el fin y alcance que señalan los numerales 176, 179, 181 párrafo cuarto, 194 y 195 y demás aplicables de la Ley de Transparencia y Acceso a la Información Pública del Estado</w:t>
      </w:r>
      <w:r>
        <w:rPr>
          <w:rFonts w:ascii="Palatino Linotype" w:hAnsi="Palatino Linotype" w:cs="Arial"/>
        </w:rPr>
        <w:t xml:space="preserve"> de México y Municipios vigente, el cual </w:t>
      </w:r>
      <w:r w:rsidRPr="00B10F60">
        <w:rPr>
          <w:rFonts w:ascii="Palatino Linotype" w:hAnsi="Palatino Linotype" w:cs="Arial"/>
        </w:rPr>
        <w:t xml:space="preserve">será analizado conforme a </w:t>
      </w:r>
      <w:r>
        <w:rPr>
          <w:rFonts w:ascii="Palatino Linotype" w:hAnsi="Palatino Linotype" w:cs="Arial"/>
        </w:rPr>
        <w:t xml:space="preserve">las actuaciones que obren en </w:t>
      </w:r>
      <w:r w:rsidR="00C427C0">
        <w:rPr>
          <w:rFonts w:ascii="Palatino Linotype" w:hAnsi="Palatino Linotype" w:cs="Arial"/>
        </w:rPr>
        <w:t>el</w:t>
      </w:r>
      <w:r>
        <w:rPr>
          <w:rFonts w:ascii="Palatino Linotype" w:hAnsi="Palatino Linotype" w:cs="Arial"/>
        </w:rPr>
        <w:t xml:space="preserve"> expediente electrónico, con la finalidad de </w:t>
      </w:r>
      <w:r w:rsidRPr="00B10F60">
        <w:rPr>
          <w:rFonts w:ascii="Palatino Linotype" w:hAnsi="Palatino Linotype" w:cs="Arial"/>
        </w:rPr>
        <w:t>repara</w:t>
      </w:r>
      <w:r>
        <w:rPr>
          <w:rFonts w:ascii="Palatino Linotype" w:hAnsi="Palatino Linotype" w:cs="Arial"/>
        </w:rPr>
        <w:t>r</w:t>
      </w:r>
      <w:r w:rsidRPr="00B10F60">
        <w:rPr>
          <w:rFonts w:ascii="Palatino Linotype" w:hAnsi="Palatino Linotype" w:cs="Arial"/>
        </w:rPr>
        <w:t xml:space="preserve"> cualquier posible afectación al derecho de acceso a la información pública</w:t>
      </w:r>
      <w:r>
        <w:rPr>
          <w:rFonts w:ascii="Palatino Linotype" w:hAnsi="Palatino Linotype" w:cs="Arial"/>
        </w:rPr>
        <w:t xml:space="preserve"> y</w:t>
      </w:r>
      <w:r w:rsidRPr="00B10F60">
        <w:rPr>
          <w:rFonts w:ascii="Palatino Linotype" w:hAnsi="Palatino Linotype" w:cs="Arial"/>
        </w:rPr>
        <w:t xml:space="preserve"> garantizando el principio rector de máxima publicidad.</w:t>
      </w:r>
    </w:p>
    <w:p w14:paraId="025F34F2" w14:textId="77777777" w:rsidR="00E45181" w:rsidRDefault="00E45181" w:rsidP="00844569">
      <w:pPr>
        <w:pStyle w:val="Prrafodelista"/>
        <w:autoSpaceDE w:val="0"/>
        <w:autoSpaceDN w:val="0"/>
        <w:adjustRightInd w:val="0"/>
        <w:spacing w:before="240" w:after="160" w:line="360" w:lineRule="auto"/>
        <w:ind w:left="0"/>
        <w:jc w:val="both"/>
        <w:rPr>
          <w:rFonts w:ascii="Palatino Linotype" w:hAnsi="Palatino Linotype" w:cs="Arial"/>
        </w:rPr>
      </w:pPr>
    </w:p>
    <w:p w14:paraId="2E0044E0" w14:textId="77777777" w:rsidR="00E45181" w:rsidRDefault="00E45181" w:rsidP="00E45181">
      <w:pPr>
        <w:pStyle w:val="Prrafodelista"/>
        <w:autoSpaceDE w:val="0"/>
        <w:autoSpaceDN w:val="0"/>
        <w:adjustRightInd w:val="0"/>
        <w:spacing w:before="240" w:after="160" w:line="360" w:lineRule="auto"/>
        <w:ind w:left="0"/>
        <w:jc w:val="both"/>
        <w:rPr>
          <w:rFonts w:ascii="Palatino Linotype" w:hAnsi="Palatino Linotype" w:cs="Arial"/>
          <w:b/>
        </w:rPr>
      </w:pPr>
      <w:r>
        <w:rPr>
          <w:rFonts w:ascii="Palatino Linotype" w:hAnsi="Palatino Linotype"/>
          <w:b/>
          <w:sz w:val="28"/>
          <w:szCs w:val="28"/>
        </w:rPr>
        <w:t xml:space="preserve">TERCERO. </w:t>
      </w:r>
      <w:r w:rsidRPr="0087163A">
        <w:rPr>
          <w:rFonts w:ascii="Palatino Linotype" w:hAnsi="Palatino Linotype" w:cs="Arial"/>
          <w:b/>
          <w:sz w:val="28"/>
          <w:szCs w:val="28"/>
        </w:rPr>
        <w:t>De las causas de improcedencia.</w:t>
      </w:r>
    </w:p>
    <w:p w14:paraId="5B5EFF98" w14:textId="77777777" w:rsidR="00E45181" w:rsidRPr="00C07D77" w:rsidRDefault="00E45181" w:rsidP="00E45181">
      <w:pPr>
        <w:pStyle w:val="Prrafodelista"/>
        <w:autoSpaceDE w:val="0"/>
        <w:autoSpaceDN w:val="0"/>
        <w:adjustRightInd w:val="0"/>
        <w:spacing w:before="240" w:after="160" w:line="360" w:lineRule="auto"/>
        <w:ind w:left="0"/>
        <w:jc w:val="both"/>
        <w:rPr>
          <w:rFonts w:ascii="Palatino Linotype" w:hAnsi="Palatino Linotype" w:cs="Arial"/>
          <w:sz w:val="18"/>
        </w:rPr>
      </w:pPr>
      <w:r>
        <w:rPr>
          <w:rFonts w:ascii="Palatino Linotype" w:hAnsi="Palatino Linotype" w:cs="Arial"/>
        </w:rPr>
        <w:t xml:space="preserve">En el procedimiento de acceso a la información y de los medios de impugnación de la materia, se advierten diversos supuestos de procedibilidad, los cuales deben </w:t>
      </w:r>
      <w:r>
        <w:rPr>
          <w:rFonts w:ascii="Palatino Linotype" w:hAnsi="Palatino Linotype" w:cs="Arial"/>
        </w:rPr>
        <w:lastRenderedPageBreak/>
        <w:t xml:space="preserve">estudiarse con la finalidad de dar cumplimiento a los principios de legalidad y objetividad inmersos en el artículo 9 de </w:t>
      </w:r>
      <w:r w:rsidRPr="00025A37">
        <w:rPr>
          <w:rFonts w:ascii="Palatino Linotype" w:hAnsi="Palatino Linotype" w:cs="Arial"/>
        </w:rPr>
        <w:t>Ley de Transparencia y Acceso a la Información Pública del Estado de México y Municipios</w:t>
      </w:r>
      <w:r>
        <w:rPr>
          <w:rFonts w:ascii="Palatino Linotype" w:hAnsi="Palatino Linotype" w:cs="Arial"/>
        </w:rPr>
        <w:t>, en correlación con la seguridad jurídica que debe generar lo actuado ante este Organismo garante.</w:t>
      </w:r>
    </w:p>
    <w:p w14:paraId="6680493A" w14:textId="77777777" w:rsidR="00E45181" w:rsidRDefault="00E45181" w:rsidP="00E45181">
      <w:pPr>
        <w:pStyle w:val="Prrafodelista"/>
        <w:autoSpaceDE w:val="0"/>
        <w:autoSpaceDN w:val="0"/>
        <w:adjustRightInd w:val="0"/>
        <w:spacing w:line="360" w:lineRule="auto"/>
        <w:ind w:left="0"/>
        <w:jc w:val="both"/>
        <w:rPr>
          <w:rFonts w:ascii="Palatino Linotype" w:hAnsi="Palatino Linotype" w:cs="Arial"/>
        </w:rPr>
      </w:pPr>
      <w:r>
        <w:rPr>
          <w:rFonts w:ascii="Palatino Linotype" w:hAnsi="Palatino Linotype" w:cs="Arial"/>
        </w:rPr>
        <w:t>Siendo facultad de este Órgano entrar al estudio de las causas de improcedencia que hagan valer las partes o que se adviertan de oficio por este Resolutor y por ende objeto de análisis previo al estudio de fondo del asunto, en los presupuestos procesales sobre el inicio o trámite de un proceso, generando eficacia jurídica en las resoluciones, máxime que se trata de una figura procesal adoptada en la ley de la materia, la cual impide su estudio y resolución cuando una vez admitido el recurso de revisión se advierta una causa de improcedencia que permita sobreseer el recurso de revisión, sin estudiar el fondo del asunto; circunstancias anteriores que no son incompatibles con el derecho de acceso a la justicia, ya que éste no se coarta por regular causas de improcedencia y sobreseimiento con tales fines</w:t>
      </w:r>
      <w:r>
        <w:rPr>
          <w:rStyle w:val="Refdenotaalpie"/>
          <w:rFonts w:ascii="Palatino Linotype" w:hAnsi="Palatino Linotype" w:cs="Arial"/>
        </w:rPr>
        <w:footnoteReference w:id="1"/>
      </w:r>
      <w:r>
        <w:rPr>
          <w:rFonts w:ascii="Palatino Linotype" w:hAnsi="Palatino Linotype" w:cs="Arial"/>
        </w:rPr>
        <w:t>.</w:t>
      </w:r>
    </w:p>
    <w:p w14:paraId="62861C32" w14:textId="77777777" w:rsidR="00E45181" w:rsidRDefault="00E45181" w:rsidP="00E45181">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lastRenderedPageBreak/>
        <w:t>Así las cosas, del análisis del expediente electrónico no se advierte ninguna causa de improcedencia que se actualice ni mucho menos alguna hecha valer por alguna de las partes, procediendo al estudio del fondo del asunto, en los siguientes términos.</w:t>
      </w:r>
    </w:p>
    <w:p w14:paraId="186B8ED8" w14:textId="77777777" w:rsidR="00E45181" w:rsidRDefault="00E45181" w:rsidP="00E45181">
      <w:pPr>
        <w:pStyle w:val="Prrafodelista"/>
        <w:autoSpaceDE w:val="0"/>
        <w:autoSpaceDN w:val="0"/>
        <w:adjustRightInd w:val="0"/>
        <w:spacing w:before="240" w:after="160" w:line="360" w:lineRule="auto"/>
        <w:ind w:left="0"/>
        <w:jc w:val="both"/>
        <w:rPr>
          <w:rFonts w:ascii="Palatino Linotype" w:hAnsi="Palatino Linotype" w:cs="Arial"/>
        </w:rPr>
      </w:pPr>
    </w:p>
    <w:p w14:paraId="4DF49A1B" w14:textId="77777777" w:rsidR="00E45181" w:rsidRPr="009A0D0A" w:rsidRDefault="00E45181" w:rsidP="00E45181">
      <w:pPr>
        <w:tabs>
          <w:tab w:val="left" w:pos="709"/>
        </w:tabs>
        <w:spacing w:before="240" w:line="360" w:lineRule="auto"/>
        <w:ind w:right="51"/>
        <w:jc w:val="both"/>
        <w:rPr>
          <w:rFonts w:ascii="Palatino Linotype" w:hAnsi="Palatino Linotype"/>
          <w:b/>
          <w:sz w:val="28"/>
          <w:szCs w:val="28"/>
        </w:rPr>
      </w:pPr>
      <w:r w:rsidRPr="009A0D0A">
        <w:rPr>
          <w:rFonts w:ascii="Palatino Linotype" w:hAnsi="Palatino Linotype"/>
          <w:b/>
          <w:sz w:val="28"/>
          <w:szCs w:val="28"/>
        </w:rPr>
        <w:t xml:space="preserve">CUARTO. Estudio y resolución del asunto </w:t>
      </w:r>
    </w:p>
    <w:p w14:paraId="3BC8E5E2" w14:textId="77777777" w:rsidR="00E45181" w:rsidRDefault="00E45181" w:rsidP="00E45181">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El</w:t>
      </w:r>
      <w:r w:rsidRPr="00E42C3F">
        <w:rPr>
          <w:rFonts w:ascii="Palatino Linotype" w:hAnsi="Palatino Linotype" w:cs="Arial"/>
        </w:rPr>
        <w:t xml:space="preserve"> </w:t>
      </w:r>
      <w:r>
        <w:rPr>
          <w:rFonts w:ascii="Palatino Linotype" w:hAnsi="Palatino Linotype" w:cs="Arial"/>
        </w:rPr>
        <w:t xml:space="preserve">análisis del </w:t>
      </w:r>
      <w:r w:rsidRPr="00E42C3F">
        <w:rPr>
          <w:rFonts w:ascii="Palatino Linotype" w:hAnsi="Palatino Linotype" w:cs="Arial"/>
        </w:rPr>
        <w:t xml:space="preserve"> presente recurso, </w:t>
      </w:r>
      <w:r>
        <w:rPr>
          <w:rFonts w:ascii="Palatino Linotype" w:hAnsi="Palatino Linotype" w:cs="Arial"/>
        </w:rPr>
        <w:t>se basará en e</w:t>
      </w:r>
      <w:r w:rsidRPr="00E42C3F">
        <w:rPr>
          <w:rFonts w:ascii="Palatino Linotype" w:hAnsi="Palatino Linotype" w:cs="Arial"/>
        </w:rPr>
        <w:t xml:space="preserve">l contenido íntegro </w:t>
      </w:r>
      <w:r>
        <w:rPr>
          <w:rFonts w:ascii="Palatino Linotype" w:hAnsi="Palatino Linotype" w:cs="Arial"/>
        </w:rPr>
        <w:t>de las actuaciones que obran en el expediente electrónico,</w:t>
      </w:r>
      <w:r w:rsidRPr="00E42C3F">
        <w:rPr>
          <w:rFonts w:ascii="Palatino Linotype" w:hAnsi="Palatino Linotype" w:cs="Arial"/>
        </w:rPr>
        <w:t xml:space="preserve"> para así estar en posibilidad este Órgano Colegiado de dictar el fallo cor</w:t>
      </w:r>
      <w:r>
        <w:rPr>
          <w:rFonts w:ascii="Palatino Linotype" w:hAnsi="Palatino Linotype" w:cs="Arial"/>
        </w:rPr>
        <w:t xml:space="preserve">respondiente conforme a derecho, tomando en consideración los elementos aportados por las partes </w:t>
      </w:r>
      <w:r w:rsidRPr="00E42C3F">
        <w:rPr>
          <w:rFonts w:ascii="Palatino Linotype" w:hAnsi="Palatino Linotype" w:cs="Arial"/>
        </w:rPr>
        <w:t xml:space="preserve">y </w:t>
      </w:r>
      <w:r>
        <w:rPr>
          <w:rFonts w:ascii="Palatino Linotype" w:hAnsi="Palatino Linotype" w:cs="Arial"/>
        </w:rPr>
        <w:t>respetando</w:t>
      </w:r>
      <w:r w:rsidRPr="00E42C3F">
        <w:rPr>
          <w:rFonts w:ascii="Palatino Linotype" w:hAnsi="Palatino Linotype" w:cs="Arial"/>
        </w:rPr>
        <w:t xml:space="preserve"> en todo momento </w:t>
      </w:r>
      <w:r w:rsidRPr="008C0974">
        <w:rPr>
          <w:rFonts w:ascii="Palatino Linotype" w:hAnsi="Palatino Linotype" w:cs="Arial"/>
        </w:rPr>
        <w:t xml:space="preserve">al principio de máxima publicidad consagrado en nuestra Constitución Federal, Local </w:t>
      </w:r>
      <w:r w:rsidRPr="00AE4E9C">
        <w:rPr>
          <w:rFonts w:ascii="Palatino Linotype" w:hAnsi="Palatino Linotype" w:cs="Arial"/>
        </w:rPr>
        <w:t>y demás leyes aplicables en la materia, así como en los tratados internacionales en los que el Estado Mexicano sea parte, en concordancia con el párrafo tercero del artículo 1 de la Constitución Federal y el diverso 8 de la Ley de Transparencia local.</w:t>
      </w:r>
      <w:r>
        <w:rPr>
          <w:rFonts w:ascii="Palatino Linotype" w:hAnsi="Palatino Linotype" w:cs="Arial"/>
        </w:rPr>
        <w:t xml:space="preserve"> </w:t>
      </w:r>
    </w:p>
    <w:p w14:paraId="2527F468" w14:textId="77777777" w:rsidR="00E45181" w:rsidRPr="002869E1" w:rsidRDefault="00E45181" w:rsidP="00E45181">
      <w:pPr>
        <w:spacing w:after="0" w:line="360" w:lineRule="auto"/>
        <w:jc w:val="both"/>
        <w:rPr>
          <w:rFonts w:ascii="Palatino Linotype" w:eastAsia="Times New Roman" w:hAnsi="Palatino Linotype" w:cs="Times New Roman"/>
          <w:sz w:val="24"/>
          <w:szCs w:val="24"/>
          <w:lang w:eastAsia="es-ES"/>
        </w:rPr>
      </w:pPr>
      <w:r w:rsidRPr="002869E1">
        <w:rPr>
          <w:rFonts w:ascii="Palatino Linotype" w:hAnsi="Palatino Linotype" w:cs="Arial"/>
          <w:sz w:val="24"/>
          <w:szCs w:val="24"/>
        </w:rPr>
        <w:t xml:space="preserve">En este tenor, es necesario subrayar que </w:t>
      </w:r>
      <w:r w:rsidRPr="002869E1">
        <w:rPr>
          <w:rFonts w:ascii="Palatino Linotype" w:eastAsia="Times New Roman" w:hAnsi="Palatino Linotype" w:cs="Times New Roman"/>
          <w:sz w:val="24"/>
          <w:szCs w:val="24"/>
          <w:lang w:eastAsia="es-ES"/>
        </w:rPr>
        <w:t>el derecho de acceso a la información pública, implica que cualquier persona conozca la información contenida en los documentos que se encuentren en los archivos de los sujetos obligados, conforme a los artículos 4, 12, 24 último párrafo y 160 de la Ley local en la materia, que a la letra citan:</w:t>
      </w:r>
    </w:p>
    <w:p w14:paraId="08D80371"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Pr>
          <w:rFonts w:ascii="Palatino Linotype" w:eastAsia="Times New Roman" w:hAnsi="Palatino Linotype" w:cs="Times New Roman"/>
          <w:b/>
          <w:i/>
          <w:lang w:eastAsia="es-ES"/>
        </w:rPr>
        <w:t>“</w:t>
      </w:r>
      <w:r w:rsidRPr="006010FE">
        <w:rPr>
          <w:rFonts w:ascii="Palatino Linotype" w:eastAsia="Times New Roman" w:hAnsi="Palatino Linotype" w:cs="Times New Roman"/>
          <w:b/>
          <w:i/>
          <w:lang w:eastAsia="es-ES"/>
        </w:rPr>
        <w:t>Artículo 4.</w:t>
      </w:r>
      <w:r w:rsidRPr="006010FE">
        <w:rPr>
          <w:rFonts w:ascii="Palatino Linotype" w:eastAsia="Times New Roman" w:hAnsi="Palatino Linotype" w:cs="Times New Roman"/>
          <w:i/>
          <w:lang w:eastAsia="es-ES"/>
        </w:rPr>
        <w:t xml:space="preserve"> El derecho humano de acceso a la información pública es la prerrogativa de las personas para buscar, difundir, investigar, recabar, recibir y solicitar información pública, sin necesidad de acreditar personalidad ni interés jurídico.</w:t>
      </w:r>
    </w:p>
    <w:p w14:paraId="6208A85E"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t xml:space="preserve">Toda la información generada, obtenida, adquirida, transformada, administrada o en posesión de los sujetos obligados es pública y accesible de manera permanente a </w:t>
      </w:r>
      <w:r w:rsidRPr="006010FE">
        <w:rPr>
          <w:rFonts w:ascii="Palatino Linotype" w:eastAsia="Times New Roman" w:hAnsi="Palatino Linotype" w:cs="Times New Roman"/>
          <w:i/>
          <w:lang w:eastAsia="es-ES"/>
        </w:rPr>
        <w:lastRenderedPageBreak/>
        <w:t>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14:paraId="012FFF56"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t>Los sujetos obligados deben poner en práctica, políticas y programas de acceso a la información que se apeguen a criterios de publicidad, veracidad, oportunidad, precisión y suficiencia en beneficio de los solicitantes.</w:t>
      </w:r>
    </w:p>
    <w:p w14:paraId="296329E9" w14:textId="77777777" w:rsidR="00E45181" w:rsidRPr="00EB27EE" w:rsidRDefault="00E45181" w:rsidP="00E45181">
      <w:pPr>
        <w:spacing w:before="240" w:line="360" w:lineRule="auto"/>
        <w:ind w:left="851" w:right="851"/>
        <w:jc w:val="both"/>
        <w:rPr>
          <w:rFonts w:ascii="Palatino Linotype" w:eastAsia="Times New Roman" w:hAnsi="Palatino Linotype" w:cs="Times New Roman"/>
          <w:b/>
          <w:i/>
          <w:u w:val="single"/>
          <w:lang w:eastAsia="es-ES"/>
        </w:rPr>
      </w:pPr>
      <w:r w:rsidRPr="00EB27EE">
        <w:rPr>
          <w:rFonts w:ascii="Palatino Linotype" w:eastAsia="Times New Roman" w:hAnsi="Palatino Linotype" w:cs="Times New Roman"/>
          <w:b/>
          <w:i/>
          <w:u w:val="single"/>
          <w:lang w:eastAsia="es-ES"/>
        </w:rPr>
        <w:t>Artículo 12. Quienes generen, recopilen, administren, manejen, procesen, archiven o conserven información pública serán responsables de la misma en los términos de las disposiciones jurídicas aplicables.</w:t>
      </w:r>
    </w:p>
    <w:p w14:paraId="5C4B94CE" w14:textId="77777777" w:rsidR="00E45181" w:rsidRPr="00EB27EE" w:rsidRDefault="00E45181" w:rsidP="00E45181">
      <w:pPr>
        <w:spacing w:before="240" w:line="360" w:lineRule="auto"/>
        <w:ind w:left="851" w:right="851"/>
        <w:jc w:val="both"/>
        <w:rPr>
          <w:rFonts w:ascii="Palatino Linotype" w:eastAsia="Times New Roman" w:hAnsi="Palatino Linotype" w:cs="Times New Roman"/>
          <w:b/>
          <w:i/>
          <w:u w:val="single"/>
          <w:lang w:eastAsia="es-ES"/>
        </w:rPr>
      </w:pPr>
      <w:r w:rsidRPr="00EB27EE">
        <w:rPr>
          <w:rFonts w:ascii="Palatino Linotype" w:eastAsia="Times New Roman" w:hAnsi="Palatino Linotype" w:cs="Times New Roman"/>
          <w:b/>
          <w:i/>
          <w:u w:val="single"/>
          <w:lang w:eastAsia="es-ES"/>
        </w:rPr>
        <w:t xml:space="preserve">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 </w:t>
      </w:r>
    </w:p>
    <w:p w14:paraId="5A987AEA"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t>(…)</w:t>
      </w:r>
    </w:p>
    <w:p w14:paraId="26B03D86" w14:textId="77777777" w:rsidR="00E45181" w:rsidRPr="006010FE" w:rsidRDefault="00E45181" w:rsidP="00E45181">
      <w:pPr>
        <w:spacing w:before="240" w:line="360" w:lineRule="auto"/>
        <w:ind w:left="851" w:right="851"/>
        <w:jc w:val="both"/>
        <w:rPr>
          <w:rFonts w:ascii="Palatino Linotype" w:eastAsia="Times New Roman" w:hAnsi="Palatino Linotype" w:cs="Times New Roman"/>
          <w:b/>
          <w:i/>
          <w:lang w:eastAsia="es-ES"/>
        </w:rPr>
      </w:pPr>
      <w:r w:rsidRPr="006010FE">
        <w:rPr>
          <w:rFonts w:ascii="Palatino Linotype" w:eastAsia="Times New Roman" w:hAnsi="Palatino Linotype" w:cs="Times New Roman"/>
          <w:b/>
          <w:i/>
          <w:lang w:eastAsia="es-ES"/>
        </w:rPr>
        <w:t xml:space="preserve">Artículo 24. </w:t>
      </w:r>
    </w:p>
    <w:p w14:paraId="52350157"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t>(…)</w:t>
      </w:r>
    </w:p>
    <w:p w14:paraId="56814145"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t>Los sujetos obligados solo proporcionarán la información pública que generen, administren o posean en el ejercicio de sus atribuciones.”</w:t>
      </w:r>
    </w:p>
    <w:p w14:paraId="37B1C5AA"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i/>
          <w:lang w:eastAsia="es-ES"/>
        </w:rPr>
        <w:lastRenderedPageBreak/>
        <w:t>(…)</w:t>
      </w:r>
    </w:p>
    <w:p w14:paraId="39F8DD2E" w14:textId="77777777" w:rsidR="00E45181" w:rsidRPr="006010FE" w:rsidRDefault="00E45181" w:rsidP="00E45181">
      <w:pPr>
        <w:spacing w:before="240" w:line="360" w:lineRule="auto"/>
        <w:ind w:left="851" w:right="851"/>
        <w:jc w:val="both"/>
        <w:rPr>
          <w:rFonts w:ascii="Palatino Linotype" w:eastAsia="Times New Roman" w:hAnsi="Palatino Linotype" w:cs="Times New Roman"/>
          <w:i/>
          <w:lang w:eastAsia="es-ES"/>
        </w:rPr>
      </w:pPr>
      <w:r w:rsidRPr="006010FE">
        <w:rPr>
          <w:rFonts w:ascii="Palatino Linotype" w:eastAsia="Times New Roman" w:hAnsi="Palatino Linotype" w:cs="Times New Roman"/>
          <w:b/>
          <w:i/>
          <w:lang w:eastAsia="es-ES"/>
        </w:rPr>
        <w:t>Artículo 160.</w:t>
      </w:r>
      <w:r w:rsidRPr="006010FE">
        <w:rPr>
          <w:rFonts w:ascii="Palatino Linotype" w:eastAsia="Times New Roman" w:hAnsi="Palatino Linotype" w:cs="Times New Roman"/>
          <w:i/>
          <w:lang w:eastAsia="es-ES"/>
        </w:rPr>
        <w:t xml:space="preserve"> Los sujetos obligados deberán otorgar acceso a los documentos que se </w:t>
      </w:r>
      <w:r>
        <w:rPr>
          <w:rFonts w:ascii="Palatino Linotype" w:eastAsia="Times New Roman" w:hAnsi="Palatino Linotype" w:cs="Times New Roman"/>
          <w:b/>
          <w:i/>
          <w:lang w:eastAsia="es-ES"/>
        </w:rPr>
        <w:t xml:space="preserve"> </w:t>
      </w:r>
      <w:r w:rsidRPr="006010FE">
        <w:rPr>
          <w:rFonts w:ascii="Palatino Linotype" w:eastAsia="Times New Roman" w:hAnsi="Palatino Linotype" w:cs="Times New Roman"/>
          <w:i/>
          <w:lang w:eastAsia="es-ES"/>
        </w:rPr>
        <w:t>encuentren en sus archivos o que estén obligados a documentar de acuerdo con sus facultades, competencias o funciones en el formato que el solicitante manifieste, de entre aquellos formatos existentes, conforme a las características físicas de la información o del lugar donde se encuentre así lo permita.</w:t>
      </w:r>
    </w:p>
    <w:p w14:paraId="1B4A000F" w14:textId="15814F55" w:rsidR="00E45181" w:rsidRDefault="00E45181" w:rsidP="00E45181">
      <w:pPr>
        <w:spacing w:before="240" w:line="360" w:lineRule="auto"/>
        <w:ind w:left="851" w:right="851"/>
        <w:jc w:val="both"/>
        <w:rPr>
          <w:rFonts w:ascii="Palatino Linotype" w:eastAsia="Times New Roman" w:hAnsi="Palatino Linotype" w:cs="Times New Roman"/>
          <w:b/>
          <w:i/>
          <w:lang w:eastAsia="es-ES"/>
        </w:rPr>
      </w:pPr>
      <w:r w:rsidRPr="006010FE">
        <w:rPr>
          <w:rFonts w:ascii="Palatino Linotype" w:eastAsia="Times New Roman" w:hAnsi="Palatino Linotype" w:cs="Times New Roman"/>
          <w:i/>
          <w:lang w:eastAsia="es-ES"/>
        </w:rPr>
        <w:t>En caso que la información solicitada consista en bases de datos se deberá privilegiar la entrega de la misma en formatos abiertos.</w:t>
      </w:r>
      <w:r>
        <w:rPr>
          <w:rFonts w:ascii="Palatino Linotype" w:eastAsia="Times New Roman" w:hAnsi="Palatino Linotype" w:cs="Times New Roman"/>
          <w:i/>
          <w:lang w:eastAsia="es-ES"/>
        </w:rPr>
        <w:t>”</w:t>
      </w:r>
      <w:r>
        <w:rPr>
          <w:rFonts w:ascii="Palatino Linotype" w:eastAsia="Times New Roman" w:hAnsi="Palatino Linotype" w:cs="Times New Roman"/>
          <w:b/>
          <w:i/>
          <w:lang w:eastAsia="es-ES"/>
        </w:rPr>
        <w:t>[Sic]</w:t>
      </w:r>
    </w:p>
    <w:p w14:paraId="1CCD1FFC" w14:textId="77777777" w:rsidR="00794F39" w:rsidRDefault="00794F39" w:rsidP="00E45181">
      <w:pPr>
        <w:spacing w:before="240" w:line="360" w:lineRule="auto"/>
        <w:ind w:left="851" w:right="851"/>
        <w:jc w:val="both"/>
        <w:rPr>
          <w:rFonts w:ascii="Palatino Linotype" w:eastAsia="Times New Roman" w:hAnsi="Palatino Linotype" w:cs="Times New Roman"/>
          <w:b/>
          <w:i/>
          <w:lang w:eastAsia="es-ES"/>
        </w:rPr>
      </w:pPr>
    </w:p>
    <w:p w14:paraId="3A393684" w14:textId="77777777" w:rsidR="00E45181" w:rsidRPr="006010FE" w:rsidRDefault="00E45181" w:rsidP="00E45181">
      <w:pPr>
        <w:spacing w:after="0" w:line="360" w:lineRule="auto"/>
        <w:jc w:val="both"/>
        <w:rPr>
          <w:rFonts w:ascii="Palatino Linotype" w:eastAsia="Times New Roman" w:hAnsi="Palatino Linotype" w:cs="Times New Roman"/>
          <w:sz w:val="24"/>
          <w:szCs w:val="24"/>
          <w:lang w:eastAsia="es-ES"/>
        </w:rPr>
      </w:pPr>
      <w:r w:rsidRPr="008E0810">
        <w:rPr>
          <w:rFonts w:ascii="Palatino Linotype" w:eastAsia="Times New Roman" w:hAnsi="Palatino Linotype" w:cs="Times New Roman"/>
          <w:sz w:val="24"/>
          <w:szCs w:val="24"/>
          <w:lang w:eastAsia="es-ES"/>
        </w:rPr>
        <w:t xml:space="preserve">Así que la obligación de los </w:t>
      </w:r>
      <w:r w:rsidRPr="008E0810">
        <w:rPr>
          <w:rFonts w:ascii="Palatino Linotype" w:eastAsia="Times New Roman" w:hAnsi="Palatino Linotype" w:cs="Times New Roman"/>
          <w:b/>
          <w:sz w:val="24"/>
          <w:szCs w:val="24"/>
          <w:lang w:eastAsia="es-ES"/>
        </w:rPr>
        <w:t>Sujetos Obligados</w:t>
      </w:r>
      <w:r w:rsidRPr="008E0810">
        <w:rPr>
          <w:rFonts w:ascii="Palatino Linotype" w:eastAsia="Times New Roman" w:hAnsi="Palatino Linotype" w:cs="Times New Roman"/>
          <w:sz w:val="24"/>
          <w:szCs w:val="24"/>
          <w:lang w:eastAsia="es-ES"/>
        </w:rPr>
        <w:t xml:space="preserve"> de dar acceso a la información pública que generen, administren o posean, se tendrá por cumplida cuando el solicitante tenga a su disposición la información requerida, o cuando realice la consulta de la misma en el lugar que ésta se localice, de acuerdo a lo señalado por el artículo 166 </w:t>
      </w:r>
      <w:r w:rsidRPr="008E0810">
        <w:rPr>
          <w:rFonts w:ascii="Palatino Linotype" w:eastAsia="Times New Roman" w:hAnsi="Palatino Linotype" w:cs="Times New Roman"/>
          <w:bCs/>
          <w:sz w:val="24"/>
          <w:szCs w:val="24"/>
          <w:lang w:eastAsia="es-ES"/>
        </w:rPr>
        <w:t>de la Ley local en la materia, que se reproduce de la siguiente forma</w:t>
      </w:r>
      <w:r w:rsidRPr="008E0810">
        <w:rPr>
          <w:rFonts w:ascii="Palatino Linotype" w:eastAsia="Times New Roman" w:hAnsi="Palatino Linotype" w:cs="Times New Roman"/>
          <w:sz w:val="24"/>
          <w:szCs w:val="24"/>
          <w:lang w:eastAsia="es-ES"/>
        </w:rPr>
        <w:t>:</w:t>
      </w:r>
    </w:p>
    <w:p w14:paraId="3FED3514" w14:textId="77777777" w:rsidR="00E45181" w:rsidRPr="006E4CCA" w:rsidRDefault="00E45181" w:rsidP="00E45181">
      <w:pPr>
        <w:spacing w:before="240" w:line="360" w:lineRule="auto"/>
        <w:ind w:left="851" w:right="851"/>
        <w:jc w:val="both"/>
        <w:rPr>
          <w:rFonts w:ascii="Palatino Linotype" w:eastAsia="Times New Roman" w:hAnsi="Palatino Linotype" w:cs="Arial"/>
          <w:i/>
          <w:lang w:eastAsia="es-ES"/>
        </w:rPr>
      </w:pPr>
      <w:r w:rsidRPr="006E4CCA">
        <w:rPr>
          <w:rFonts w:ascii="Palatino Linotype" w:eastAsia="Times New Roman" w:hAnsi="Palatino Linotype" w:cs="Arial"/>
          <w:i/>
          <w:lang w:eastAsia="es-ES"/>
        </w:rPr>
        <w:t xml:space="preserve">“Artículo 166. La obligación de acceso a la información pública se tendrá por cumplida cuando el solicitante tenga a su disposición la información requerida, o cuando realice la consulta de la misma en el lugar en el que ésta se localice.” </w:t>
      </w:r>
      <w:r w:rsidRPr="006E4CCA">
        <w:rPr>
          <w:rFonts w:ascii="Palatino Linotype" w:eastAsia="Times New Roman" w:hAnsi="Palatino Linotype" w:cs="Arial"/>
          <w:b/>
          <w:i/>
          <w:lang w:eastAsia="es-ES"/>
        </w:rPr>
        <w:t>[Sic]</w:t>
      </w:r>
    </w:p>
    <w:p w14:paraId="7B22AFEB" w14:textId="45FDA06D" w:rsidR="002F12F2" w:rsidRDefault="002F12F2" w:rsidP="00E45181">
      <w:pPr>
        <w:pStyle w:val="Prrafodelista"/>
        <w:autoSpaceDE w:val="0"/>
        <w:autoSpaceDN w:val="0"/>
        <w:adjustRightInd w:val="0"/>
        <w:spacing w:before="240" w:after="160" w:line="360" w:lineRule="auto"/>
        <w:ind w:left="0"/>
        <w:jc w:val="both"/>
        <w:rPr>
          <w:rFonts w:ascii="Palatino Linotype" w:hAnsi="Palatino Linotype" w:cs="Arial"/>
          <w:bCs/>
          <w:sz w:val="16"/>
          <w:szCs w:val="16"/>
          <w:lang w:eastAsia="es-MX"/>
        </w:rPr>
      </w:pPr>
    </w:p>
    <w:p w14:paraId="67A23F12" w14:textId="76C76CF4" w:rsidR="00E65A0B" w:rsidRDefault="002D38FA" w:rsidP="00794F39">
      <w:pPr>
        <w:spacing w:before="240" w:line="360" w:lineRule="auto"/>
        <w:jc w:val="both"/>
        <w:rPr>
          <w:rFonts w:ascii="Palatino Linotype" w:hAnsi="Palatino Linotype" w:cs="Arial"/>
          <w:bCs/>
          <w:sz w:val="24"/>
          <w:szCs w:val="24"/>
          <w:lang w:eastAsia="es-MX"/>
        </w:rPr>
      </w:pPr>
      <w:r w:rsidRPr="00E268DB">
        <w:rPr>
          <w:rFonts w:ascii="Palatino Linotype" w:hAnsi="Palatino Linotype" w:cs="Arial"/>
          <w:bCs/>
          <w:sz w:val="24"/>
          <w:szCs w:val="24"/>
          <w:lang w:eastAsia="es-MX"/>
        </w:rPr>
        <w:t xml:space="preserve">Una vez sentado lo anterior, </w:t>
      </w:r>
      <w:r w:rsidR="00E268DB" w:rsidRPr="00E268DB">
        <w:rPr>
          <w:rFonts w:ascii="Palatino Linotype" w:hAnsi="Palatino Linotype" w:cs="Arial"/>
          <w:bCs/>
          <w:sz w:val="24"/>
          <w:szCs w:val="24"/>
          <w:lang w:eastAsia="es-MX"/>
        </w:rPr>
        <w:t xml:space="preserve">en una aproximación inicial, es procedente mencionar que </w:t>
      </w:r>
      <w:r w:rsidR="00794F39">
        <w:rPr>
          <w:rFonts w:ascii="Palatino Linotype" w:hAnsi="Palatino Linotype" w:cs="Arial"/>
          <w:bCs/>
          <w:sz w:val="24"/>
          <w:szCs w:val="24"/>
          <w:lang w:eastAsia="es-MX"/>
        </w:rPr>
        <w:t xml:space="preserve">el particular requirió la siguiente información: </w:t>
      </w:r>
    </w:p>
    <w:p w14:paraId="6FC41DE0" w14:textId="0ABE008E" w:rsidR="00794F39" w:rsidRPr="00833433" w:rsidRDefault="00794F39" w:rsidP="00794F39">
      <w:pPr>
        <w:spacing w:before="240" w:line="360" w:lineRule="auto"/>
        <w:jc w:val="both"/>
        <w:rPr>
          <w:rFonts w:ascii="Palatino Linotype" w:hAnsi="Palatino Linotype" w:cs="Arial"/>
          <w:b/>
          <w:bCs/>
          <w:sz w:val="24"/>
          <w:szCs w:val="24"/>
          <w:lang w:eastAsia="es-MX"/>
        </w:rPr>
      </w:pPr>
      <w:r>
        <w:rPr>
          <w:rFonts w:ascii="Palatino Linotype" w:hAnsi="Palatino Linotype" w:cs="Arial"/>
          <w:bCs/>
          <w:sz w:val="24"/>
          <w:szCs w:val="24"/>
          <w:lang w:eastAsia="es-MX"/>
        </w:rPr>
        <w:lastRenderedPageBreak/>
        <w:t xml:space="preserve">1.- Estudio de Impacto Ambiental correspondiente a la obra referida en la solicitud de información </w:t>
      </w:r>
      <w:r>
        <w:rPr>
          <w:rFonts w:ascii="Palatino Linotype" w:hAnsi="Palatino Linotype" w:cs="Arial"/>
          <w:b/>
          <w:sz w:val="24"/>
          <w:szCs w:val="24"/>
          <w:lang w:eastAsia="es-MX"/>
        </w:rPr>
        <w:t>00048/SMA/IP/2020</w:t>
      </w:r>
      <w:r w:rsidR="00833433">
        <w:rPr>
          <w:rFonts w:ascii="Palatino Linotype" w:hAnsi="Palatino Linotype" w:cs="Arial"/>
          <w:b/>
          <w:sz w:val="24"/>
          <w:szCs w:val="24"/>
          <w:lang w:eastAsia="es-MX"/>
        </w:rPr>
        <w:t xml:space="preserve"> </w:t>
      </w:r>
      <w:r w:rsidR="00833433" w:rsidRPr="00833433">
        <w:rPr>
          <w:rFonts w:ascii="Palatino Linotype" w:hAnsi="Palatino Linotype"/>
          <w:sz w:val="24"/>
          <w:szCs w:val="24"/>
        </w:rPr>
        <w:t xml:space="preserve">y remitida mediante el </w:t>
      </w:r>
      <w:r w:rsidR="00833433">
        <w:rPr>
          <w:rFonts w:ascii="Palatino Linotype" w:hAnsi="Palatino Linotype"/>
          <w:sz w:val="24"/>
          <w:szCs w:val="24"/>
        </w:rPr>
        <w:t>oficio</w:t>
      </w:r>
      <w:r w:rsidR="00833433" w:rsidRPr="00833433">
        <w:rPr>
          <w:rFonts w:ascii="Palatino Linotype" w:hAnsi="Palatino Linotype"/>
          <w:sz w:val="24"/>
          <w:szCs w:val="24"/>
        </w:rPr>
        <w:t xml:space="preserve"> </w:t>
      </w:r>
      <w:r w:rsidR="00833433" w:rsidRPr="00833433">
        <w:rPr>
          <w:rFonts w:ascii="Palatino Linotype" w:hAnsi="Palatino Linotype"/>
          <w:b/>
          <w:bCs/>
          <w:sz w:val="24"/>
          <w:szCs w:val="24"/>
        </w:rPr>
        <w:t>DSAM/DJNA/0585/2019.</w:t>
      </w:r>
      <w:r w:rsidR="00833433" w:rsidRPr="00833433">
        <w:rPr>
          <w:rFonts w:ascii="Palatino Linotype" w:hAnsi="Palatino Linotype"/>
          <w:b/>
          <w:bCs/>
          <w:i/>
          <w:iCs/>
          <w:u w:val="single"/>
        </w:rPr>
        <w:t xml:space="preserve"> </w:t>
      </w:r>
    </w:p>
    <w:p w14:paraId="2F27FDA0" w14:textId="348AC86B" w:rsidR="00B409FD" w:rsidRDefault="00784271" w:rsidP="00D800B7">
      <w:pPr>
        <w:pStyle w:val="Sinespaciado"/>
        <w:spacing w:line="360" w:lineRule="auto"/>
        <w:jc w:val="both"/>
        <w:rPr>
          <w:rFonts w:ascii="Palatino Linotype" w:hAnsi="Palatino Linotype"/>
        </w:rPr>
      </w:pPr>
      <w:r w:rsidRPr="00325087">
        <w:rPr>
          <w:rFonts w:ascii="Palatino Linotype" w:hAnsi="Palatino Linotype" w:cs="Arial"/>
          <w:bCs/>
          <w:lang w:eastAsia="es-MX"/>
        </w:rPr>
        <w:t xml:space="preserve">En este tenor, en alusión a los </w:t>
      </w:r>
      <w:r w:rsidR="00736CC2">
        <w:rPr>
          <w:rFonts w:ascii="Palatino Linotype" w:hAnsi="Palatino Linotype" w:cs="Arial"/>
          <w:bCs/>
          <w:lang w:eastAsia="es-MX"/>
        </w:rPr>
        <w:t xml:space="preserve">requerimientos </w:t>
      </w:r>
      <w:r w:rsidR="00E93AD5">
        <w:rPr>
          <w:rFonts w:ascii="Palatino Linotype" w:hAnsi="Palatino Linotype" w:cs="Arial"/>
          <w:bCs/>
          <w:lang w:eastAsia="es-MX"/>
        </w:rPr>
        <w:t>en cita</w:t>
      </w:r>
      <w:r w:rsidRPr="00325087">
        <w:rPr>
          <w:rFonts w:ascii="Palatino Linotype" w:hAnsi="Palatino Linotype" w:cs="Arial"/>
          <w:bCs/>
          <w:lang w:eastAsia="es-MX"/>
        </w:rPr>
        <w:t xml:space="preserve">, </w:t>
      </w:r>
      <w:r w:rsidRPr="00325087">
        <w:rPr>
          <w:rFonts w:ascii="Palatino Linotype" w:hAnsi="Palatino Linotype"/>
        </w:rPr>
        <w:t xml:space="preserve">resulta oportuno traer a colación </w:t>
      </w:r>
      <w:r w:rsidR="002B45FF">
        <w:rPr>
          <w:rFonts w:ascii="Palatino Linotype" w:hAnsi="Palatino Linotype"/>
        </w:rPr>
        <w:t>los artículos</w:t>
      </w:r>
      <w:r w:rsidR="00873034">
        <w:rPr>
          <w:rFonts w:ascii="Palatino Linotype" w:hAnsi="Palatino Linotype"/>
        </w:rPr>
        <w:t xml:space="preserve"> 19, fracción XVII y 32 Bis, fracción XXIV Bis de la Ley Orgánica de la Administración Pública del Estado de México, porciones normativas que disponen a la literalidad lo siguiente: </w:t>
      </w:r>
    </w:p>
    <w:p w14:paraId="3E3E3F76" w14:textId="0163CF01" w:rsidR="00B409FD" w:rsidRPr="00873034" w:rsidRDefault="00873034"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w:t>
      </w:r>
      <w:r w:rsidR="00B409FD" w:rsidRPr="00873034">
        <w:rPr>
          <w:rFonts w:ascii="Palatino Linotype" w:hAnsi="Palatino Linotype"/>
          <w:i/>
          <w:iCs/>
          <w:sz w:val="22"/>
          <w:szCs w:val="22"/>
        </w:rPr>
        <w:t xml:space="preserve">Artículo 19.- Para el estudio, planeación y despacho de los asuntos, en los diversos ramos de la Administración Pública del Estado, auxiliarán al Titular del Ejecutivo, las siguientes dependencias:   </w:t>
      </w:r>
    </w:p>
    <w:p w14:paraId="596F3864" w14:textId="08A47A3F" w:rsidR="00B409FD" w:rsidRPr="00873034" w:rsidRDefault="00B409FD"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w:t>
      </w:r>
    </w:p>
    <w:p w14:paraId="28F266B4" w14:textId="64B68780" w:rsidR="00B409FD" w:rsidRPr="00873034" w:rsidRDefault="00B409FD"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XVII. Secretaría del Medio Ambiente</w:t>
      </w:r>
    </w:p>
    <w:p w14:paraId="497935A8" w14:textId="23F3758C" w:rsidR="00B409FD" w:rsidRPr="00873034" w:rsidRDefault="00B409FD"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w:t>
      </w:r>
    </w:p>
    <w:p w14:paraId="4DF13FE5" w14:textId="4A7948F3" w:rsidR="00B409FD" w:rsidRPr="00873034" w:rsidRDefault="00873034"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Artículo 32 Bis.- La Secretaría del Medio Ambiente, es el órgano encargado de la formulación, ejecución y evaluación de la política estatal en materia de conservación ecológica, biodiversidad y protección al medio ambiente para el desarrollo sostenible.</w:t>
      </w:r>
    </w:p>
    <w:p w14:paraId="29F07928" w14:textId="644C36A2" w:rsidR="00873034" w:rsidRPr="00873034" w:rsidRDefault="00873034"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i/>
          <w:iCs/>
          <w:sz w:val="22"/>
          <w:szCs w:val="22"/>
        </w:rPr>
        <w:t>(…)</w:t>
      </w:r>
    </w:p>
    <w:p w14:paraId="55E495BB" w14:textId="5AD8C6A2" w:rsidR="00873034" w:rsidRPr="00873034" w:rsidRDefault="00873034" w:rsidP="00873034">
      <w:pPr>
        <w:pStyle w:val="Sinespaciado"/>
        <w:spacing w:before="240" w:after="160" w:line="360" w:lineRule="auto"/>
        <w:ind w:left="851" w:right="851"/>
        <w:jc w:val="both"/>
        <w:rPr>
          <w:rFonts w:ascii="Palatino Linotype" w:hAnsi="Palatino Linotype"/>
          <w:i/>
          <w:iCs/>
          <w:sz w:val="22"/>
          <w:szCs w:val="22"/>
        </w:rPr>
      </w:pPr>
      <w:r w:rsidRPr="00873034">
        <w:rPr>
          <w:rFonts w:ascii="Palatino Linotype" w:hAnsi="Palatino Linotype"/>
          <w:b/>
          <w:bCs/>
          <w:i/>
          <w:iCs/>
          <w:sz w:val="22"/>
          <w:szCs w:val="22"/>
          <w:u w:val="single"/>
        </w:rPr>
        <w:t>XXIV Bis. Emitir las evaluaciones técnicas de factibilidad de impacto ambiental</w:t>
      </w:r>
      <w:r w:rsidRPr="00873034">
        <w:rPr>
          <w:rFonts w:ascii="Palatino Linotype" w:hAnsi="Palatino Linotype"/>
          <w:i/>
          <w:iCs/>
          <w:sz w:val="22"/>
          <w:szCs w:val="22"/>
        </w:rPr>
        <w:t xml:space="preserve"> y de transformación forestal, en términos del Código para la Biodiversidad del Estado de México, de la Ley de Competitividad y Ordenamiento Comercial del Estado de México y demás disposiciones jurídicas aplicables;</w:t>
      </w:r>
    </w:p>
    <w:p w14:paraId="49491044" w14:textId="4C85932F" w:rsidR="00873034" w:rsidRPr="00873034" w:rsidRDefault="00873034" w:rsidP="00873034">
      <w:pPr>
        <w:pStyle w:val="Sinespaciado"/>
        <w:spacing w:before="240" w:after="160" w:line="360" w:lineRule="auto"/>
        <w:ind w:left="851" w:right="851"/>
        <w:jc w:val="both"/>
        <w:rPr>
          <w:rFonts w:ascii="Palatino Linotype" w:hAnsi="Palatino Linotype"/>
          <w:b/>
          <w:bCs/>
          <w:i/>
          <w:iCs/>
          <w:sz w:val="22"/>
          <w:szCs w:val="22"/>
        </w:rPr>
      </w:pPr>
      <w:r w:rsidRPr="00873034">
        <w:rPr>
          <w:rFonts w:ascii="Palatino Linotype" w:hAnsi="Palatino Linotype"/>
          <w:i/>
          <w:iCs/>
          <w:sz w:val="22"/>
          <w:szCs w:val="22"/>
        </w:rPr>
        <w:lastRenderedPageBreak/>
        <w:t xml:space="preserve">(…)” </w:t>
      </w:r>
      <w:r w:rsidRPr="00873034">
        <w:rPr>
          <w:rFonts w:ascii="Palatino Linotype" w:hAnsi="Palatino Linotype"/>
          <w:b/>
          <w:bCs/>
          <w:i/>
          <w:iCs/>
          <w:sz w:val="22"/>
          <w:szCs w:val="22"/>
        </w:rPr>
        <w:t>[Sic]</w:t>
      </w:r>
    </w:p>
    <w:p w14:paraId="53FC9777" w14:textId="77777777" w:rsidR="00B409FD" w:rsidRDefault="00B409FD" w:rsidP="00D800B7">
      <w:pPr>
        <w:pStyle w:val="Sinespaciado"/>
        <w:spacing w:line="360" w:lineRule="auto"/>
        <w:jc w:val="both"/>
        <w:rPr>
          <w:rFonts w:ascii="Palatino Linotype" w:hAnsi="Palatino Linotype"/>
        </w:rPr>
      </w:pPr>
    </w:p>
    <w:p w14:paraId="6EA3FEDD" w14:textId="1F81F509" w:rsidR="00873034" w:rsidRDefault="00D800B7" w:rsidP="00D800B7">
      <w:pPr>
        <w:spacing w:before="240" w:line="360" w:lineRule="auto"/>
        <w:jc w:val="both"/>
        <w:rPr>
          <w:rFonts w:ascii="Palatino Linotype" w:hAnsi="Palatino Linotype"/>
          <w:bCs/>
          <w:sz w:val="24"/>
          <w:szCs w:val="24"/>
        </w:rPr>
      </w:pPr>
      <w:r w:rsidRPr="00E93AD5">
        <w:rPr>
          <w:rFonts w:ascii="Palatino Linotype" w:hAnsi="Palatino Linotype"/>
          <w:sz w:val="24"/>
          <w:szCs w:val="24"/>
        </w:rPr>
        <w:t xml:space="preserve">De lo expuesto con anterioridad, se desprende que </w:t>
      </w:r>
      <w:r w:rsidRPr="00E93AD5">
        <w:rPr>
          <w:rFonts w:ascii="Palatino Linotype" w:hAnsi="Palatino Linotype"/>
          <w:b/>
          <w:sz w:val="24"/>
          <w:szCs w:val="24"/>
        </w:rPr>
        <w:t xml:space="preserve">El Sujeto Obligado </w:t>
      </w:r>
      <w:r w:rsidR="003A59CA" w:rsidRPr="00E93AD5">
        <w:rPr>
          <w:rFonts w:ascii="Palatino Linotype" w:hAnsi="Palatino Linotype"/>
          <w:bCs/>
          <w:sz w:val="24"/>
          <w:szCs w:val="24"/>
        </w:rPr>
        <w:t xml:space="preserve">funge como un organismo público </w:t>
      </w:r>
      <w:r w:rsidR="00873034">
        <w:rPr>
          <w:rFonts w:ascii="Palatino Linotype" w:hAnsi="Palatino Linotype"/>
          <w:bCs/>
          <w:sz w:val="24"/>
          <w:szCs w:val="24"/>
        </w:rPr>
        <w:t xml:space="preserve">de carácter centralizado, encargado de la formulación, ejecución y evaluación de la política ecológica, biodiversidad y protección del medio ambiente, englobando lo relativo a la emisión de evaluaciones técnicas de factibilidad de impacto ambiental. </w:t>
      </w:r>
    </w:p>
    <w:p w14:paraId="06EA47F5" w14:textId="3BC94B07" w:rsidR="00625760" w:rsidRPr="003A59CA" w:rsidRDefault="00625760" w:rsidP="00D800B7">
      <w:pPr>
        <w:spacing w:before="240" w:line="360" w:lineRule="auto"/>
        <w:jc w:val="both"/>
        <w:rPr>
          <w:rFonts w:ascii="Palatino Linotype" w:hAnsi="Palatino Linotype"/>
          <w:bCs/>
          <w:sz w:val="24"/>
          <w:szCs w:val="24"/>
        </w:rPr>
      </w:pPr>
      <w:r>
        <w:rPr>
          <w:rFonts w:ascii="Palatino Linotype" w:hAnsi="Palatino Linotype"/>
          <w:bCs/>
          <w:sz w:val="24"/>
          <w:szCs w:val="24"/>
        </w:rPr>
        <w:t xml:space="preserve">Aunado a lo anterior, </w:t>
      </w:r>
      <w:r>
        <w:rPr>
          <w:rFonts w:ascii="Palatino Linotype" w:hAnsi="Palatino Linotype" w:cs="Arial"/>
          <w:sz w:val="24"/>
          <w:szCs w:val="24"/>
        </w:rPr>
        <w:t xml:space="preserve">resulta oportuno traer a colación los </w:t>
      </w:r>
      <w:r>
        <w:rPr>
          <w:rFonts w:ascii="Palatino Linotype" w:hAnsi="Palatino Linotype" w:cs="Arial"/>
          <w:color w:val="000000"/>
          <w:sz w:val="24"/>
          <w:lang w:val="es-ES_tradnl"/>
        </w:rPr>
        <w:t>artículos 24, fracción XII y 92, fracción II de la Ley de Transparencia y Acceso a la Información Pública del Estado de México y Municipios, dispositivos jurídicos que disponen a la literalidad:</w:t>
      </w:r>
    </w:p>
    <w:p w14:paraId="1A5BF82A"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“Artículo 24. Para el cumplimiento de los objetivos de esta Ley, los sujetos obligados deberán cumplir con las siguientes obligaciones, según corresponda, de acuerdo a su naturaleza:</w:t>
      </w:r>
    </w:p>
    <w:p w14:paraId="554C300F"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w:t>
      </w:r>
    </w:p>
    <w:p w14:paraId="66DC9041"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XII. Publicar y mantener actualizada la información relativa a las obligaciones generales de transparencia previstas en la presente Ley o determinadas así por el Instituto, y en general aquella que sea de interés público;</w:t>
      </w:r>
    </w:p>
    <w:p w14:paraId="36970187"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w:t>
      </w:r>
    </w:p>
    <w:p w14:paraId="5A2271CE"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 xml:space="preserve">Artículo 92. Los sujetos obligados deberán poner a disposición del público de manera permanente y actualizada de forma sencilla, precisa y entendible, en los respectivos medios electrónicos, de acuerdo con sus facultades, atribuciones, funciones u objeto </w:t>
      </w:r>
      <w:r w:rsidRPr="00EB0591">
        <w:rPr>
          <w:rFonts w:ascii="Palatino Linotype" w:hAnsi="Palatino Linotype"/>
          <w:i/>
        </w:rPr>
        <w:lastRenderedPageBreak/>
        <w:t>social, según corresponda, la información, por lo menos, de los temas, documentos y políticas que a continuación se señalan:</w:t>
      </w:r>
    </w:p>
    <w:p w14:paraId="7674DCE6" w14:textId="77777777" w:rsidR="00B90DF8" w:rsidRPr="00EB0591"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w:t>
      </w:r>
    </w:p>
    <w:p w14:paraId="6DCBEE9F" w14:textId="77777777" w:rsidR="00F543C5" w:rsidRDefault="00B90DF8" w:rsidP="00B90DF8">
      <w:pPr>
        <w:spacing w:before="240" w:line="360" w:lineRule="auto"/>
        <w:ind w:left="851" w:right="851"/>
        <w:jc w:val="both"/>
        <w:rPr>
          <w:rFonts w:ascii="Palatino Linotype" w:hAnsi="Palatino Linotype"/>
          <w:i/>
        </w:rPr>
      </w:pPr>
      <w:r w:rsidRPr="00EB0591">
        <w:rPr>
          <w:rFonts w:ascii="Palatino Linotype" w:hAnsi="Palatino Linotype"/>
          <w:i/>
        </w:rPr>
        <w:t>II. Su estructura orgánica completa, en un formato que permita vincular cada parte de la estructura, las atribuciones y responsabilidades que le corresponden a cada servidor público, prestador de servicios profesionales o miembro de los sujetos obligados, de conformidad con las disposiciones jurídicas aplicables;</w:t>
      </w:r>
    </w:p>
    <w:p w14:paraId="73CBB4CF" w14:textId="1B141DE7" w:rsidR="00B90DF8" w:rsidRDefault="00B90DF8" w:rsidP="00B90DF8">
      <w:pPr>
        <w:spacing w:before="240" w:line="360" w:lineRule="auto"/>
        <w:ind w:left="851" w:right="851"/>
        <w:jc w:val="both"/>
        <w:rPr>
          <w:rFonts w:ascii="Palatino Linotype" w:hAnsi="Palatino Linotype"/>
          <w:b/>
          <w:i/>
        </w:rPr>
      </w:pPr>
      <w:r w:rsidRPr="00EB0591">
        <w:rPr>
          <w:rFonts w:ascii="Palatino Linotype" w:hAnsi="Palatino Linotype"/>
          <w:i/>
        </w:rPr>
        <w:t xml:space="preserve">(…)” </w:t>
      </w:r>
      <w:r w:rsidRPr="00EB0591">
        <w:rPr>
          <w:rFonts w:ascii="Palatino Linotype" w:hAnsi="Palatino Linotype"/>
          <w:b/>
          <w:i/>
        </w:rPr>
        <w:t>[Sic]</w:t>
      </w:r>
    </w:p>
    <w:p w14:paraId="019F60E3" w14:textId="77777777" w:rsidR="00E3326E" w:rsidRDefault="00E3326E" w:rsidP="00B90DF8">
      <w:pPr>
        <w:spacing w:after="0" w:line="360" w:lineRule="auto"/>
        <w:jc w:val="both"/>
        <w:rPr>
          <w:rFonts w:ascii="Palatino Linotype" w:hAnsi="Palatino Linotype" w:cs="Arial"/>
          <w:color w:val="000000"/>
          <w:sz w:val="24"/>
          <w:lang w:val="es-ES_tradnl"/>
        </w:rPr>
      </w:pPr>
    </w:p>
    <w:p w14:paraId="6FEF6DD3" w14:textId="62BBF7D6" w:rsidR="00B90DF8" w:rsidRDefault="00B90DF8" w:rsidP="00B90DF8">
      <w:pPr>
        <w:spacing w:after="0" w:line="360" w:lineRule="auto"/>
        <w:jc w:val="both"/>
        <w:rPr>
          <w:rFonts w:ascii="Palatino Linotype" w:hAnsi="Palatino Linotype" w:cs="Arial"/>
          <w:color w:val="000000"/>
          <w:sz w:val="24"/>
          <w:lang w:val="es-ES_tradnl"/>
        </w:rPr>
      </w:pPr>
      <w:r>
        <w:rPr>
          <w:rFonts w:ascii="Palatino Linotype" w:hAnsi="Palatino Linotype" w:cs="Arial"/>
          <w:color w:val="000000"/>
          <w:sz w:val="24"/>
          <w:lang w:val="es-ES_tradnl"/>
        </w:rPr>
        <w:t>A mayor abundamiento, en alusión a la normatividad previamente plasmada, sirve</w:t>
      </w:r>
      <w:r w:rsidR="004D4647">
        <w:rPr>
          <w:rFonts w:ascii="Palatino Linotype" w:hAnsi="Palatino Linotype" w:cs="Arial"/>
          <w:color w:val="000000"/>
          <w:sz w:val="24"/>
          <w:lang w:val="es-ES_tradnl"/>
        </w:rPr>
        <w:t>n</w:t>
      </w:r>
      <w:r>
        <w:rPr>
          <w:rFonts w:ascii="Palatino Linotype" w:hAnsi="Palatino Linotype" w:cs="Arial"/>
          <w:color w:val="000000"/>
          <w:sz w:val="24"/>
          <w:lang w:val="es-ES_tradnl"/>
        </w:rPr>
        <w:t xml:space="preserve"> de sustento la</w:t>
      </w:r>
      <w:r w:rsidR="004D4647">
        <w:rPr>
          <w:rFonts w:ascii="Palatino Linotype" w:hAnsi="Palatino Linotype" w:cs="Arial"/>
          <w:color w:val="000000"/>
          <w:sz w:val="24"/>
          <w:lang w:val="es-ES_tradnl"/>
        </w:rPr>
        <w:t>s</w:t>
      </w:r>
      <w:r>
        <w:rPr>
          <w:rFonts w:ascii="Palatino Linotype" w:hAnsi="Palatino Linotype" w:cs="Arial"/>
          <w:color w:val="000000"/>
          <w:sz w:val="24"/>
          <w:lang w:val="es-ES_tradnl"/>
        </w:rPr>
        <w:t xml:space="preserve"> siguiente</w:t>
      </w:r>
      <w:r w:rsidR="004D4647">
        <w:rPr>
          <w:rFonts w:ascii="Palatino Linotype" w:hAnsi="Palatino Linotype" w:cs="Arial"/>
          <w:color w:val="000000"/>
          <w:sz w:val="24"/>
          <w:lang w:val="es-ES_tradnl"/>
        </w:rPr>
        <w:t>s</w:t>
      </w:r>
      <w:r>
        <w:rPr>
          <w:rFonts w:ascii="Palatino Linotype" w:hAnsi="Palatino Linotype" w:cs="Arial"/>
          <w:color w:val="000000"/>
          <w:sz w:val="24"/>
          <w:lang w:val="es-ES_tradnl"/>
        </w:rPr>
        <w:t xml:space="preserve"> </w:t>
      </w:r>
      <w:r w:rsidR="004D4647">
        <w:rPr>
          <w:rFonts w:ascii="Palatino Linotype" w:hAnsi="Palatino Linotype" w:cs="Arial"/>
          <w:color w:val="000000"/>
          <w:sz w:val="24"/>
          <w:lang w:val="es-ES_tradnl"/>
        </w:rPr>
        <w:t>imágenes</w:t>
      </w:r>
      <w:r>
        <w:rPr>
          <w:rFonts w:ascii="Palatino Linotype" w:hAnsi="Palatino Linotype" w:cs="Arial"/>
          <w:color w:val="000000"/>
          <w:sz w:val="24"/>
          <w:lang w:val="es-ES_tradnl"/>
        </w:rPr>
        <w:t xml:space="preserve"> ilustrativa</w:t>
      </w:r>
      <w:r w:rsidR="004D4647">
        <w:rPr>
          <w:rFonts w:ascii="Palatino Linotype" w:hAnsi="Palatino Linotype" w:cs="Arial"/>
          <w:color w:val="000000"/>
          <w:sz w:val="24"/>
          <w:lang w:val="es-ES_tradnl"/>
        </w:rPr>
        <w:t>s</w:t>
      </w:r>
      <w:r>
        <w:rPr>
          <w:rFonts w:ascii="Palatino Linotype" w:hAnsi="Palatino Linotype" w:cs="Arial"/>
          <w:color w:val="000000"/>
          <w:sz w:val="24"/>
          <w:lang w:val="es-ES_tradnl"/>
        </w:rPr>
        <w:t>, correspondiente</w:t>
      </w:r>
      <w:r w:rsidR="004D4647">
        <w:rPr>
          <w:rFonts w:ascii="Palatino Linotype" w:hAnsi="Palatino Linotype" w:cs="Arial"/>
          <w:color w:val="000000"/>
          <w:sz w:val="24"/>
          <w:lang w:val="es-ES_tradnl"/>
        </w:rPr>
        <w:t>s</w:t>
      </w:r>
      <w:r>
        <w:rPr>
          <w:rFonts w:ascii="Palatino Linotype" w:hAnsi="Palatino Linotype" w:cs="Arial"/>
          <w:color w:val="000000"/>
          <w:sz w:val="24"/>
          <w:lang w:val="es-ES_tradnl"/>
        </w:rPr>
        <w:t xml:space="preserve"> al organigrama del </w:t>
      </w:r>
      <w:r>
        <w:rPr>
          <w:rFonts w:ascii="Palatino Linotype" w:hAnsi="Palatino Linotype" w:cs="Arial"/>
          <w:b/>
          <w:color w:val="000000"/>
          <w:sz w:val="24"/>
          <w:lang w:val="es-ES_tradnl"/>
        </w:rPr>
        <w:t xml:space="preserve">Sujeto Obligado, </w:t>
      </w:r>
      <w:r>
        <w:rPr>
          <w:rFonts w:ascii="Palatino Linotype" w:hAnsi="Palatino Linotype" w:cs="Arial"/>
          <w:color w:val="000000"/>
          <w:sz w:val="24"/>
          <w:lang w:val="es-ES_tradnl"/>
        </w:rPr>
        <w:t xml:space="preserve">mismo que puede ser consultado en la siguiente dirección electrónica: </w:t>
      </w:r>
    </w:p>
    <w:p w14:paraId="3C5ABF5E" w14:textId="77777777" w:rsidR="004D4647" w:rsidRPr="004D4647" w:rsidRDefault="00C55378" w:rsidP="00B90DF8">
      <w:pPr>
        <w:spacing w:after="0" w:line="360" w:lineRule="auto"/>
        <w:jc w:val="both"/>
        <w:rPr>
          <w:rFonts w:ascii="Palatino Linotype" w:hAnsi="Palatino Linotype"/>
          <w:sz w:val="24"/>
          <w:szCs w:val="24"/>
        </w:rPr>
      </w:pPr>
      <w:hyperlink r:id="rId8" w:history="1">
        <w:r w:rsidR="004D4647" w:rsidRPr="004D4647">
          <w:rPr>
            <w:rStyle w:val="Hipervnculo"/>
            <w:rFonts w:ascii="Palatino Linotype" w:hAnsi="Palatino Linotype"/>
            <w:sz w:val="24"/>
            <w:szCs w:val="24"/>
          </w:rPr>
          <w:t>https://www.ipomex.org.mx/ipo3/lgt/indice/SMA/art_92_ii_b/1.web</w:t>
        </w:r>
      </w:hyperlink>
      <w:r w:rsidR="004D4647" w:rsidRPr="004D4647">
        <w:rPr>
          <w:rFonts w:ascii="Palatino Linotype" w:hAnsi="Palatino Linotype"/>
          <w:sz w:val="24"/>
          <w:szCs w:val="24"/>
        </w:rPr>
        <w:t xml:space="preserve"> </w:t>
      </w:r>
    </w:p>
    <w:p w14:paraId="609DDAFD" w14:textId="08BB56F6" w:rsidR="00B90DF8" w:rsidRDefault="00833433" w:rsidP="00B90DF8">
      <w:pPr>
        <w:spacing w:after="0" w:line="360" w:lineRule="auto"/>
        <w:jc w:val="both"/>
        <w:rPr>
          <w:rFonts w:ascii="Palatino Linotype" w:hAnsi="Palatino Linotype" w:cs="Arial"/>
          <w:color w:val="000000"/>
          <w:sz w:val="24"/>
          <w:lang w:val="es-ES_tradnl"/>
        </w:rPr>
      </w:pPr>
      <w:r>
        <w:rPr>
          <w:rFonts w:ascii="Palatino Linotype" w:hAnsi="Palatino Linotype" w:cs="Arial"/>
          <w:noProof/>
          <w:color w:val="000000"/>
          <w:sz w:val="24"/>
          <w:lang w:val="es-ES_tradnl"/>
        </w:rPr>
        <mc:AlternateContent>
          <mc:Choice Requires="wps">
            <w:drawing>
              <wp:anchor distT="0" distB="0" distL="114300" distR="114300" simplePos="0" relativeHeight="251686912" behindDoc="0" locked="0" layoutInCell="1" allowOverlap="1" wp14:anchorId="1603C721" wp14:editId="7DF26E08">
                <wp:simplePos x="0" y="0"/>
                <wp:positionH relativeFrom="column">
                  <wp:posOffset>-477707</wp:posOffset>
                </wp:positionH>
                <wp:positionV relativeFrom="paragraph">
                  <wp:posOffset>312793</wp:posOffset>
                </wp:positionV>
                <wp:extent cx="6422316" cy="2506531"/>
                <wp:effectExtent l="0" t="0" r="36195" b="27305"/>
                <wp:wrapNone/>
                <wp:docPr id="16" name="Conector recto 16"/>
                <wp:cNvGraphicFramePr/>
                <a:graphic xmlns:a="http://schemas.openxmlformats.org/drawingml/2006/main">
                  <a:graphicData uri="http://schemas.microsoft.com/office/word/2010/wordprocessingShape">
                    <wps:wsp>
                      <wps:cNvCnPr/>
                      <wps:spPr>
                        <a:xfrm>
                          <a:off x="0" y="0"/>
                          <a:ext cx="6422316" cy="2506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A6214" id="Conector recto 1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7.6pt,24.65pt" to="468.1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" strokecolor="#5b9bd5 [3204]" strokeweight=".5pt">
                <v:stroke joinstyle="miter"/>
              </v:line>
            </w:pict>
          </mc:Fallback>
        </mc:AlternateContent>
      </w:r>
      <w:r w:rsidR="00B90DF8">
        <w:rPr>
          <w:rFonts w:ascii="Palatino Linotype" w:hAnsi="Palatino Linotype" w:cs="Arial"/>
          <w:color w:val="000000"/>
          <w:sz w:val="24"/>
          <w:lang w:val="es-ES_tradnl"/>
        </w:rPr>
        <w:t xml:space="preserve"> </w:t>
      </w:r>
    </w:p>
    <w:p w14:paraId="1CB891BC" w14:textId="09C13C17" w:rsidR="00873034" w:rsidRDefault="00873034" w:rsidP="00B90DF8">
      <w:pPr>
        <w:spacing w:after="0" w:line="360" w:lineRule="auto"/>
        <w:jc w:val="both"/>
        <w:rPr>
          <w:rFonts w:ascii="Palatino Linotype" w:hAnsi="Palatino Linotype" w:cs="Arial"/>
          <w:color w:val="000000"/>
          <w:sz w:val="24"/>
          <w:lang w:val="es-ES_tradnl"/>
        </w:rPr>
      </w:pPr>
      <w:r>
        <w:rPr>
          <w:rFonts w:ascii="Palatino Linotype" w:hAnsi="Palatino Linotype" w:cs="Arial"/>
          <w:noProof/>
          <w:color w:val="000000"/>
          <w:sz w:val="24"/>
          <w:lang w:val="es-ES_tradnl"/>
        </w:rPr>
        <w:lastRenderedPageBreak/>
        <w:drawing>
          <wp:inline distT="0" distB="0" distL="0" distR="0" wp14:anchorId="4542EE9E" wp14:editId="552AE338">
            <wp:extent cx="5597231" cy="3429544"/>
            <wp:effectExtent l="19050" t="19050" r="22860"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6721" cy="3435359"/>
                    </a:xfrm>
                    <a:prstGeom prst="rect">
                      <a:avLst/>
                    </a:prstGeom>
                    <a:noFill/>
                    <a:ln>
                      <a:solidFill>
                        <a:schemeClr val="tx1"/>
                      </a:solidFill>
                    </a:ln>
                  </pic:spPr>
                </pic:pic>
              </a:graphicData>
            </a:graphic>
          </wp:inline>
        </w:drawing>
      </w:r>
      <w:r w:rsidR="004D4647" w:rsidRPr="004D4647">
        <w:rPr>
          <w:rFonts w:ascii="Palatino Linotype" w:hAnsi="Palatino Linotype" w:cs="Arial"/>
          <w:noProof/>
          <w:color w:val="000000"/>
          <w:sz w:val="24"/>
          <w:lang w:val="es-ES_tradnl"/>
        </w:rPr>
        <w:t xml:space="preserve"> </w:t>
      </w:r>
    </w:p>
    <w:p w14:paraId="13539EFA" w14:textId="3EE97F0B" w:rsidR="004D4647" w:rsidRDefault="004D4647" w:rsidP="00D800B7">
      <w:pPr>
        <w:spacing w:before="240" w:line="360" w:lineRule="auto"/>
        <w:jc w:val="both"/>
        <w:rPr>
          <w:rFonts w:ascii="Palatino Linotype" w:hAnsi="Palatino Linotype" w:cs="Arial"/>
          <w:noProof/>
          <w:color w:val="000000"/>
          <w:sz w:val="24"/>
          <w:lang w:eastAsia="es-MX"/>
        </w:rPr>
      </w:pPr>
    </w:p>
    <w:p w14:paraId="39B52155" w14:textId="1EBB9BF2" w:rsidR="004D4647" w:rsidRDefault="00833433" w:rsidP="00D800B7">
      <w:pPr>
        <w:spacing w:before="240" w:line="360" w:lineRule="auto"/>
        <w:jc w:val="both"/>
        <w:rPr>
          <w:rFonts w:ascii="Palatino Linotype" w:hAnsi="Palatino Linotype" w:cs="Arial"/>
          <w:noProof/>
          <w:color w:val="000000"/>
          <w:sz w:val="24"/>
          <w:lang w:eastAsia="es-MX"/>
        </w:rPr>
      </w:pPr>
      <w:r>
        <w:rPr>
          <w:rFonts w:ascii="Palatino Linotype" w:hAnsi="Palatino Linotype" w:cs="Arial"/>
          <w:noProof/>
          <w:color w:val="000000"/>
          <w:sz w:val="24"/>
          <w:lang w:eastAsia="es-MX"/>
        </w:rPr>
        <w:drawing>
          <wp:anchor distT="0" distB="0" distL="114300" distR="114300" simplePos="0" relativeHeight="251669503" behindDoc="0" locked="0" layoutInCell="1" allowOverlap="1" wp14:anchorId="73B5FF5A" wp14:editId="5CB5EDFE">
            <wp:simplePos x="0" y="0"/>
            <wp:positionH relativeFrom="column">
              <wp:posOffset>1255395</wp:posOffset>
            </wp:positionH>
            <wp:positionV relativeFrom="paragraph">
              <wp:posOffset>-157480</wp:posOffset>
            </wp:positionV>
            <wp:extent cx="3117215" cy="3481705"/>
            <wp:effectExtent l="19050" t="19050" r="26035" b="23495"/>
            <wp:wrapThrough wrapText="bothSides">
              <wp:wrapPolygon edited="0">
                <wp:start x="-132" y="-118"/>
                <wp:lineTo x="-132" y="21628"/>
                <wp:lineTo x="21648" y="21628"/>
                <wp:lineTo x="21648" y="-118"/>
                <wp:lineTo x="-132" y="-118"/>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215" cy="34817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52C83F5" w14:textId="2074D9B0" w:rsidR="004D4647" w:rsidRDefault="004D4647" w:rsidP="00D800B7">
      <w:pPr>
        <w:spacing w:before="240" w:line="360" w:lineRule="auto"/>
        <w:jc w:val="both"/>
        <w:rPr>
          <w:rFonts w:ascii="Palatino Linotype" w:hAnsi="Palatino Linotype" w:cs="Arial"/>
          <w:noProof/>
          <w:color w:val="000000"/>
          <w:sz w:val="24"/>
          <w:lang w:eastAsia="es-MX"/>
        </w:rPr>
      </w:pPr>
    </w:p>
    <w:p w14:paraId="62E787BD" w14:textId="484470A4" w:rsidR="004D4647" w:rsidRDefault="004D4647" w:rsidP="00D800B7">
      <w:pPr>
        <w:spacing w:before="240" w:line="360" w:lineRule="auto"/>
        <w:jc w:val="both"/>
        <w:rPr>
          <w:rFonts w:ascii="Palatino Linotype" w:hAnsi="Palatino Linotype" w:cs="Arial"/>
          <w:noProof/>
          <w:color w:val="000000"/>
          <w:sz w:val="24"/>
          <w:lang w:eastAsia="es-MX"/>
        </w:rPr>
      </w:pPr>
    </w:p>
    <w:p w14:paraId="6A18C13B" w14:textId="77777777" w:rsidR="004D4647" w:rsidRDefault="004D4647" w:rsidP="00D800B7">
      <w:pPr>
        <w:spacing w:before="240" w:line="360" w:lineRule="auto"/>
        <w:jc w:val="both"/>
        <w:rPr>
          <w:rFonts w:ascii="Palatino Linotype" w:hAnsi="Palatino Linotype" w:cs="Arial"/>
          <w:noProof/>
          <w:color w:val="000000"/>
          <w:sz w:val="24"/>
          <w:lang w:eastAsia="es-MX"/>
        </w:rPr>
      </w:pPr>
    </w:p>
    <w:p w14:paraId="4221ABF1" w14:textId="66040E05" w:rsidR="004D4647" w:rsidRDefault="004D4647" w:rsidP="00D800B7">
      <w:pPr>
        <w:spacing w:before="240" w:line="360" w:lineRule="auto"/>
        <w:jc w:val="both"/>
        <w:rPr>
          <w:rFonts w:ascii="Palatino Linotype" w:hAnsi="Palatino Linotype" w:cs="Arial"/>
          <w:noProof/>
          <w:color w:val="000000"/>
          <w:sz w:val="24"/>
          <w:lang w:eastAsia="es-MX"/>
        </w:rPr>
      </w:pPr>
    </w:p>
    <w:p w14:paraId="1A696C98" w14:textId="2C1F68B8" w:rsidR="004D4647" w:rsidRDefault="004D4647" w:rsidP="00D800B7">
      <w:pPr>
        <w:spacing w:before="240" w:line="360" w:lineRule="auto"/>
        <w:jc w:val="both"/>
        <w:rPr>
          <w:rFonts w:ascii="Palatino Linotype" w:hAnsi="Palatino Linotype" w:cs="Arial"/>
          <w:noProof/>
          <w:color w:val="000000"/>
          <w:sz w:val="24"/>
          <w:lang w:eastAsia="es-MX"/>
        </w:rPr>
      </w:pPr>
    </w:p>
    <w:p w14:paraId="60FED874" w14:textId="77777777" w:rsidR="004D4647" w:rsidRDefault="004D4647" w:rsidP="00D800B7">
      <w:pPr>
        <w:spacing w:before="240" w:line="360" w:lineRule="auto"/>
        <w:jc w:val="both"/>
        <w:rPr>
          <w:rFonts w:ascii="Palatino Linotype" w:hAnsi="Palatino Linotype" w:cs="Arial"/>
          <w:noProof/>
          <w:color w:val="000000"/>
          <w:sz w:val="24"/>
          <w:lang w:eastAsia="es-MX"/>
        </w:rPr>
      </w:pPr>
    </w:p>
    <w:p w14:paraId="1EEB553F" w14:textId="44E1CCC5" w:rsidR="004E3FE2" w:rsidRDefault="00B90DF8" w:rsidP="004E3FE2">
      <w:pPr>
        <w:spacing w:before="240" w:line="360" w:lineRule="auto"/>
        <w:jc w:val="both"/>
        <w:rPr>
          <w:rFonts w:ascii="Palatino Linotype" w:hAnsi="Palatino Linotype" w:cs="Arial"/>
          <w:noProof/>
          <w:color w:val="000000"/>
          <w:sz w:val="24"/>
          <w:lang w:eastAsia="es-MX"/>
        </w:rPr>
      </w:pPr>
      <w:r>
        <w:rPr>
          <w:rFonts w:ascii="Palatino Linotype" w:hAnsi="Palatino Linotype" w:cs="Arial"/>
          <w:noProof/>
          <w:color w:val="000000"/>
          <w:sz w:val="24"/>
          <w:lang w:eastAsia="es-MX"/>
        </w:rPr>
        <w:lastRenderedPageBreak/>
        <w:t xml:space="preserve">De lo expuesto con anterioridad, se desprende que </w:t>
      </w:r>
      <w:r>
        <w:rPr>
          <w:rFonts w:ascii="Palatino Linotype" w:hAnsi="Palatino Linotype" w:cs="Arial"/>
          <w:b/>
          <w:noProof/>
          <w:color w:val="000000"/>
          <w:sz w:val="24"/>
          <w:lang w:eastAsia="es-MX"/>
        </w:rPr>
        <w:t xml:space="preserve">El Sujeto Obligado </w:t>
      </w:r>
      <w:r>
        <w:rPr>
          <w:rFonts w:ascii="Palatino Linotype" w:hAnsi="Palatino Linotype" w:cs="Arial"/>
          <w:noProof/>
          <w:color w:val="000000"/>
          <w:sz w:val="24"/>
          <w:lang w:eastAsia="es-MX"/>
        </w:rPr>
        <w:t xml:space="preserve">se auxilia de diversas Direcciones, </w:t>
      </w:r>
      <w:r w:rsidR="00D11CEB">
        <w:rPr>
          <w:rFonts w:ascii="Palatino Linotype" w:hAnsi="Palatino Linotype" w:cs="Arial"/>
          <w:noProof/>
          <w:color w:val="000000"/>
          <w:sz w:val="24"/>
          <w:lang w:eastAsia="es-MX"/>
        </w:rPr>
        <w:t xml:space="preserve">Subdirecciones y Departamentos para cumplir con sus fines y objetivos, resultando de nuestro interés la Dirección General de Ordenamiento e Impacto Ambiental, la Dirección de Evaluación e Impacto Ambiental, así como el Deparamento de Dictaminación Ambiental. </w:t>
      </w:r>
      <w:r w:rsidR="00D11CEB" w:rsidRPr="00D11CEB">
        <w:rPr>
          <w:rFonts w:ascii="Palatino Linotype" w:hAnsi="Palatino Linotype" w:cs="Arial"/>
          <w:noProof/>
          <w:color w:val="000000"/>
          <w:sz w:val="24"/>
          <w:szCs w:val="24"/>
          <w:lang w:eastAsia="es-MX"/>
        </w:rPr>
        <w:t xml:space="preserve">En este tenor, resultan aplicables los siguientes extractos de los apartados </w:t>
      </w:r>
      <w:r w:rsidR="00D11CEB" w:rsidRPr="00D11CEB">
        <w:rPr>
          <w:rFonts w:ascii="Palatino Linotype" w:hAnsi="Palatino Linotype" w:cs="Arial"/>
          <w:b/>
          <w:bCs/>
          <w:sz w:val="24"/>
          <w:szCs w:val="24"/>
        </w:rPr>
        <w:t>212090000, 212091000</w:t>
      </w:r>
      <w:r w:rsidR="00D11CEB" w:rsidRPr="00D11CEB">
        <w:rPr>
          <w:rFonts w:ascii="Palatino Linotype" w:hAnsi="Palatino Linotype" w:cs="Arial"/>
          <w:sz w:val="24"/>
          <w:szCs w:val="24"/>
        </w:rPr>
        <w:t xml:space="preserve"> y </w:t>
      </w:r>
      <w:r w:rsidR="00D11CEB" w:rsidRPr="00D11CEB">
        <w:rPr>
          <w:rFonts w:ascii="Palatino Linotype" w:hAnsi="Palatino Linotype" w:cs="Arial"/>
          <w:b/>
          <w:bCs/>
          <w:sz w:val="24"/>
          <w:szCs w:val="24"/>
        </w:rPr>
        <w:t>212091001</w:t>
      </w:r>
      <w:r w:rsidR="00D11CEB" w:rsidRPr="00D11CEB">
        <w:rPr>
          <w:rFonts w:ascii="Palatino Linotype" w:hAnsi="Palatino Linotype" w:cs="Arial"/>
          <w:sz w:val="24"/>
          <w:szCs w:val="24"/>
        </w:rPr>
        <w:t xml:space="preserve"> del </w:t>
      </w:r>
      <w:r w:rsidR="00D11CEB" w:rsidRPr="00CB21EB">
        <w:rPr>
          <w:rFonts w:ascii="Palatino Linotype" w:hAnsi="Palatino Linotype" w:cs="Arial"/>
          <w:sz w:val="24"/>
          <w:szCs w:val="24"/>
        </w:rPr>
        <w:t>Manual General de Organización de</w:t>
      </w:r>
      <w:r w:rsidR="00376BA9">
        <w:rPr>
          <w:rFonts w:ascii="Palatino Linotype" w:hAnsi="Palatino Linotype" w:cs="Arial"/>
          <w:sz w:val="24"/>
          <w:szCs w:val="24"/>
        </w:rPr>
        <w:t xml:space="preserve"> la Secretaría del </w:t>
      </w:r>
      <w:r w:rsidR="00D11CEB" w:rsidRPr="00CB21EB">
        <w:rPr>
          <w:rFonts w:ascii="Palatino Linotype" w:hAnsi="Palatino Linotype" w:cs="Arial"/>
          <w:sz w:val="24"/>
          <w:szCs w:val="24"/>
        </w:rPr>
        <w:t>Medio Ambiente</w:t>
      </w:r>
      <w:r w:rsidR="004E3FE2">
        <w:rPr>
          <w:rFonts w:ascii="Palatino Linotype" w:hAnsi="Palatino Linotype" w:cs="Arial"/>
          <w:sz w:val="24"/>
          <w:szCs w:val="24"/>
        </w:rPr>
        <w:t xml:space="preserve">, </w:t>
      </w:r>
      <w:r w:rsidR="004E3FE2">
        <w:rPr>
          <w:rFonts w:ascii="Palatino Linotype" w:hAnsi="Palatino Linotype" w:cs="Arial"/>
          <w:noProof/>
          <w:color w:val="000000"/>
          <w:sz w:val="24"/>
          <w:lang w:eastAsia="es-MX"/>
        </w:rPr>
        <w:t xml:space="preserve">normatividad que a la letra reza lo siguiente: </w:t>
      </w:r>
    </w:p>
    <w:p w14:paraId="1FF9C56F" w14:textId="2AE7D3C0" w:rsidR="00CB21EB" w:rsidRPr="00051B8D" w:rsidRDefault="00CB21EB" w:rsidP="00CB21EB">
      <w:pPr>
        <w:spacing w:before="240" w:line="360" w:lineRule="auto"/>
        <w:ind w:left="851" w:right="851"/>
        <w:jc w:val="both"/>
        <w:rPr>
          <w:rFonts w:ascii="Palatino Linotype" w:eastAsia="Times New Roman" w:hAnsi="Palatino Linotype" w:cs="Arial"/>
          <w:b/>
          <w:bCs/>
          <w:i/>
          <w:iCs/>
          <w:u w:val="single"/>
        </w:rPr>
      </w:pPr>
      <w:r w:rsidRPr="00051B8D">
        <w:rPr>
          <w:rFonts w:ascii="Palatino Linotype" w:eastAsia="Times New Roman" w:hAnsi="Palatino Linotype" w:cs="Arial"/>
          <w:b/>
          <w:bCs/>
          <w:i/>
          <w:iCs/>
          <w:u w:val="single"/>
        </w:rPr>
        <w:t>“</w:t>
      </w:r>
      <w:r w:rsidRPr="006F03F8">
        <w:rPr>
          <w:rFonts w:ascii="Palatino Linotype" w:eastAsia="Times New Roman" w:hAnsi="Palatino Linotype" w:cs="Arial"/>
          <w:b/>
          <w:bCs/>
          <w:i/>
          <w:iCs/>
          <w:u w:val="single"/>
        </w:rPr>
        <w:t>212090000</w:t>
      </w:r>
      <w:r w:rsidRPr="00051B8D">
        <w:rPr>
          <w:rFonts w:ascii="Palatino Linotype" w:eastAsia="Times New Roman" w:hAnsi="Palatino Linotype" w:cs="Arial"/>
          <w:b/>
          <w:bCs/>
          <w:i/>
          <w:iCs/>
          <w:u w:val="single"/>
        </w:rPr>
        <w:t xml:space="preserve"> </w:t>
      </w:r>
      <w:r w:rsidRPr="006F03F8">
        <w:rPr>
          <w:rFonts w:ascii="Palatino Linotype" w:eastAsia="Times New Roman" w:hAnsi="Palatino Linotype" w:cs="Arial"/>
          <w:b/>
          <w:bCs/>
          <w:i/>
          <w:iCs/>
          <w:u w:val="single"/>
        </w:rPr>
        <w:t xml:space="preserve">DIRECCIÓN GENERAL DE ORDENAMIENTO E IMPACTO </w:t>
      </w:r>
      <w:r w:rsidRPr="00051B8D">
        <w:rPr>
          <w:rFonts w:ascii="Palatino Linotype" w:eastAsia="Times New Roman" w:hAnsi="Palatino Linotype" w:cs="Arial"/>
          <w:b/>
          <w:bCs/>
          <w:i/>
          <w:iCs/>
          <w:u w:val="single"/>
        </w:rPr>
        <w:t>A</w:t>
      </w:r>
      <w:r w:rsidRPr="006F03F8">
        <w:rPr>
          <w:rFonts w:ascii="Palatino Linotype" w:eastAsia="Times New Roman" w:hAnsi="Palatino Linotype" w:cs="Arial"/>
          <w:b/>
          <w:bCs/>
          <w:i/>
          <w:iCs/>
          <w:u w:val="single"/>
        </w:rPr>
        <w:t>MBIENTAL</w:t>
      </w:r>
    </w:p>
    <w:p w14:paraId="4C40352B" w14:textId="77777777" w:rsidR="00CB21EB" w:rsidRPr="00CB21EB" w:rsidRDefault="00CB21EB" w:rsidP="00CB21EB">
      <w:pPr>
        <w:spacing w:before="240" w:line="360" w:lineRule="auto"/>
        <w:ind w:left="851" w:right="851"/>
        <w:jc w:val="both"/>
        <w:rPr>
          <w:rFonts w:ascii="Palatino Linotype" w:eastAsia="Times New Roman" w:hAnsi="Palatino Linotype" w:cs="Arial"/>
          <w:b/>
          <w:bCs/>
          <w:i/>
          <w:iCs/>
        </w:rPr>
      </w:pPr>
      <w:r w:rsidRPr="006F03F8">
        <w:rPr>
          <w:rFonts w:ascii="Palatino Linotype" w:eastAsia="Times New Roman" w:hAnsi="Palatino Linotype" w:cs="Arial"/>
          <w:b/>
          <w:bCs/>
          <w:i/>
          <w:iCs/>
        </w:rPr>
        <w:t>OBJETIVO:</w:t>
      </w:r>
    </w:p>
    <w:p w14:paraId="6E47908C" w14:textId="77777777" w:rsidR="00CB21EB" w:rsidRPr="00CB21EB" w:rsidRDefault="00CB21EB" w:rsidP="00CB21EB">
      <w:pPr>
        <w:spacing w:before="240" w:line="360" w:lineRule="auto"/>
        <w:ind w:left="851" w:right="851"/>
        <w:jc w:val="both"/>
        <w:rPr>
          <w:rFonts w:ascii="Palatino Linotype" w:eastAsia="Times New Roman" w:hAnsi="Palatino Linotype" w:cs="Arial"/>
          <w:i/>
          <w:iCs/>
        </w:rPr>
      </w:pPr>
      <w:r w:rsidRPr="006F03F8">
        <w:rPr>
          <w:rFonts w:ascii="Palatino Linotype" w:eastAsia="Times New Roman" w:hAnsi="Palatino Linotype" w:cs="Arial"/>
          <w:i/>
          <w:iCs/>
        </w:rPr>
        <w:t>Promover instrumentos de política ambiental para la planeación y ordenamiento ecológico de la entidad, que permita prevenir y</w:t>
      </w:r>
      <w:r w:rsidRPr="00CB21EB">
        <w:rPr>
          <w:rFonts w:ascii="Palatino Linotype" w:eastAsia="Times New Roman" w:hAnsi="Palatino Linotype" w:cs="Arial"/>
          <w:i/>
          <w:iCs/>
        </w:rPr>
        <w:t xml:space="preserve"> </w:t>
      </w:r>
      <w:r w:rsidRPr="006F03F8">
        <w:rPr>
          <w:rFonts w:ascii="Palatino Linotype" w:eastAsia="Times New Roman" w:hAnsi="Palatino Linotype" w:cs="Arial"/>
          <w:i/>
          <w:iCs/>
        </w:rPr>
        <w:t>controlar el deterioro delos recursos naturales y la contaminación ambiental, así como consolidar los procedimientos para la evaluación del impacto y riesgo ambiental.</w:t>
      </w:r>
    </w:p>
    <w:p w14:paraId="7D299EF0" w14:textId="590D65E4" w:rsidR="00CB21EB" w:rsidRPr="00CB21EB" w:rsidRDefault="00CB21EB" w:rsidP="00CB21EB">
      <w:pPr>
        <w:spacing w:before="240" w:line="360" w:lineRule="auto"/>
        <w:ind w:left="851" w:right="851"/>
        <w:jc w:val="both"/>
        <w:rPr>
          <w:rFonts w:ascii="Palatino Linotype" w:eastAsia="Times New Roman" w:hAnsi="Palatino Linotype" w:cs="Arial"/>
          <w:b/>
          <w:bCs/>
          <w:i/>
          <w:iCs/>
        </w:rPr>
      </w:pPr>
      <w:r w:rsidRPr="006F03F8">
        <w:rPr>
          <w:rFonts w:ascii="Palatino Linotype" w:eastAsia="Times New Roman" w:hAnsi="Palatino Linotype" w:cs="Arial"/>
          <w:b/>
          <w:bCs/>
          <w:i/>
          <w:iCs/>
        </w:rPr>
        <w:t>FUNCIONES</w:t>
      </w:r>
      <w:r w:rsidRPr="00CB21EB">
        <w:rPr>
          <w:rFonts w:ascii="Palatino Linotype" w:eastAsia="Times New Roman" w:hAnsi="Palatino Linotype" w:cs="Arial"/>
          <w:b/>
          <w:bCs/>
          <w:i/>
          <w:iCs/>
        </w:rPr>
        <w:t>:</w:t>
      </w:r>
    </w:p>
    <w:p w14:paraId="720AC852" w14:textId="24C1134D" w:rsidR="00CB21EB" w:rsidRPr="00CB21EB" w:rsidRDefault="00CB21EB" w:rsidP="00CB21EB">
      <w:pPr>
        <w:spacing w:before="240" w:line="360" w:lineRule="auto"/>
        <w:ind w:left="851" w:right="851"/>
        <w:jc w:val="both"/>
        <w:rPr>
          <w:rFonts w:ascii="Palatino Linotype" w:eastAsia="Times New Roman" w:hAnsi="Palatino Linotype" w:cs="Arial"/>
          <w:i/>
          <w:iCs/>
        </w:rPr>
      </w:pPr>
      <w:r w:rsidRPr="00CB21EB">
        <w:rPr>
          <w:rFonts w:ascii="Palatino Linotype" w:eastAsia="Times New Roman" w:hAnsi="Palatino Linotype" w:cs="Arial"/>
          <w:i/>
          <w:iCs/>
        </w:rPr>
        <w:t>(…)</w:t>
      </w:r>
    </w:p>
    <w:p w14:paraId="1E0E46B1" w14:textId="20054ADA" w:rsidR="00CB21EB" w:rsidRPr="00CB21EB" w:rsidRDefault="00CB21EB" w:rsidP="00CB21EB">
      <w:pPr>
        <w:pStyle w:val="Prrafodelista"/>
        <w:numPr>
          <w:ilvl w:val="0"/>
          <w:numId w:val="33"/>
        </w:numPr>
        <w:spacing w:before="240" w:after="160" w:line="360" w:lineRule="auto"/>
        <w:ind w:left="851" w:right="851" w:hanging="41"/>
        <w:jc w:val="both"/>
        <w:rPr>
          <w:rFonts w:ascii="Palatino Linotype" w:hAnsi="Palatino Linotype" w:cs="Arial"/>
          <w:b/>
          <w:bCs/>
          <w:i/>
          <w:iCs/>
          <w:noProof/>
          <w:color w:val="000000"/>
          <w:sz w:val="22"/>
          <w:szCs w:val="22"/>
          <w:u w:val="single"/>
          <w:lang w:eastAsia="es-MX"/>
        </w:rPr>
      </w:pPr>
      <w:r w:rsidRPr="006F03F8">
        <w:rPr>
          <w:rFonts w:ascii="Palatino Linotype" w:hAnsi="Palatino Linotype" w:cs="Arial"/>
          <w:b/>
          <w:bCs/>
          <w:i/>
          <w:iCs/>
          <w:sz w:val="22"/>
          <w:szCs w:val="22"/>
          <w:u w:val="single"/>
          <w:lang w:val="es-MX"/>
        </w:rPr>
        <w:t>Aprobar las propuestas técnicas y administrativas en materia de ordenamiento e impacto ambiental de las áreas que conforman la Dirección General.</w:t>
      </w:r>
    </w:p>
    <w:p w14:paraId="06155A00" w14:textId="6589ABBA" w:rsidR="00CB21EB" w:rsidRPr="00CB21EB" w:rsidRDefault="00CB21EB" w:rsidP="00CB21EB">
      <w:pPr>
        <w:spacing w:before="240" w:line="360" w:lineRule="auto"/>
        <w:ind w:left="851" w:right="851"/>
        <w:jc w:val="both"/>
        <w:rPr>
          <w:rFonts w:ascii="Palatino Linotype" w:hAnsi="Palatino Linotype" w:cs="Arial"/>
          <w:i/>
          <w:iCs/>
          <w:noProof/>
          <w:color w:val="000000"/>
          <w:lang w:eastAsia="es-MX"/>
        </w:rPr>
      </w:pPr>
      <w:r w:rsidRPr="00CB21EB">
        <w:rPr>
          <w:rFonts w:ascii="Palatino Linotype" w:hAnsi="Palatino Linotype" w:cs="Arial"/>
          <w:i/>
          <w:iCs/>
          <w:noProof/>
          <w:color w:val="000000"/>
          <w:lang w:eastAsia="es-MX"/>
        </w:rPr>
        <w:t>(…)</w:t>
      </w:r>
    </w:p>
    <w:p w14:paraId="2FA63776" w14:textId="77777777" w:rsidR="00CB21EB" w:rsidRPr="00CB21EB" w:rsidRDefault="00CB21EB" w:rsidP="00CB21EB">
      <w:pPr>
        <w:pStyle w:val="Prrafodelista"/>
        <w:numPr>
          <w:ilvl w:val="0"/>
          <w:numId w:val="33"/>
        </w:numPr>
        <w:spacing w:before="240" w:after="160" w:line="360" w:lineRule="auto"/>
        <w:ind w:left="851" w:right="851" w:hanging="41"/>
        <w:jc w:val="both"/>
        <w:rPr>
          <w:rFonts w:ascii="Palatino Linotype" w:hAnsi="Palatino Linotype"/>
          <w:i/>
          <w:iCs/>
          <w:sz w:val="22"/>
          <w:szCs w:val="22"/>
        </w:rPr>
      </w:pPr>
      <w:r w:rsidRPr="00CB21EB">
        <w:rPr>
          <w:rFonts w:ascii="Palatino Linotype" w:hAnsi="Palatino Linotype" w:cs="Arial"/>
          <w:i/>
          <w:iCs/>
          <w:sz w:val="22"/>
          <w:szCs w:val="22"/>
        </w:rPr>
        <w:lastRenderedPageBreak/>
        <w:t>Emitir autorizaciones para la ejecución de obras y actividades públicas o privadas, con base en la evaluación del impacto y riesgo ambiental, y de conformidad con lo establecido en el Código para la Biodiversidad del Estado de México y su Reglamento del Libro Segundo.</w:t>
      </w:r>
    </w:p>
    <w:p w14:paraId="6D8DE359" w14:textId="3FE8D4DA" w:rsidR="00CB21EB" w:rsidRDefault="00CB21EB" w:rsidP="00CB21EB">
      <w:pPr>
        <w:spacing w:before="240" w:line="360" w:lineRule="auto"/>
        <w:ind w:left="851" w:right="851"/>
        <w:jc w:val="both"/>
        <w:rPr>
          <w:rFonts w:ascii="Palatino Linotype" w:hAnsi="Palatino Linotype" w:cs="Arial"/>
          <w:i/>
          <w:iCs/>
          <w:noProof/>
          <w:color w:val="000000"/>
          <w:lang w:eastAsia="es-MX"/>
        </w:rPr>
      </w:pPr>
      <w:r w:rsidRPr="00CB21EB">
        <w:rPr>
          <w:rFonts w:ascii="Palatino Linotype" w:hAnsi="Palatino Linotype" w:cs="Arial"/>
          <w:i/>
          <w:iCs/>
          <w:noProof/>
          <w:color w:val="000000"/>
          <w:lang w:eastAsia="es-MX"/>
        </w:rPr>
        <w:t>(…)</w:t>
      </w:r>
    </w:p>
    <w:p w14:paraId="1826E458" w14:textId="09EB14AF" w:rsidR="00051B8D" w:rsidRPr="00051B8D" w:rsidRDefault="00051B8D" w:rsidP="00CB21EB">
      <w:pPr>
        <w:spacing w:before="240" w:line="360" w:lineRule="auto"/>
        <w:ind w:left="851" w:right="851"/>
        <w:jc w:val="both"/>
        <w:rPr>
          <w:rFonts w:ascii="Palatino Linotype" w:hAnsi="Palatino Linotype" w:cs="Arial"/>
          <w:b/>
          <w:bCs/>
          <w:i/>
          <w:iCs/>
        </w:rPr>
      </w:pPr>
      <w:r w:rsidRPr="00051B8D">
        <w:rPr>
          <w:rFonts w:ascii="Palatino Linotype" w:hAnsi="Palatino Linotype" w:cs="Arial"/>
          <w:b/>
          <w:bCs/>
          <w:i/>
          <w:iCs/>
        </w:rPr>
        <w:t>212091000 DIRECCIÓN DE EVALUACIÓN E IMPACTO</w:t>
      </w:r>
      <w:r w:rsidR="00376BA9">
        <w:rPr>
          <w:rFonts w:ascii="Palatino Linotype" w:hAnsi="Palatino Linotype" w:cs="Arial"/>
          <w:b/>
          <w:bCs/>
          <w:i/>
          <w:iCs/>
        </w:rPr>
        <w:t xml:space="preserve"> </w:t>
      </w:r>
      <w:r w:rsidRPr="00051B8D">
        <w:rPr>
          <w:rFonts w:ascii="Palatino Linotype" w:hAnsi="Palatino Linotype" w:cs="Arial"/>
          <w:b/>
          <w:bCs/>
          <w:i/>
          <w:iCs/>
        </w:rPr>
        <w:t>AMBIENTAL</w:t>
      </w:r>
    </w:p>
    <w:p w14:paraId="184EA166" w14:textId="77777777" w:rsidR="00051B8D" w:rsidRPr="00051B8D" w:rsidRDefault="00051B8D" w:rsidP="00CB21EB">
      <w:pPr>
        <w:spacing w:before="240" w:line="360" w:lineRule="auto"/>
        <w:ind w:left="851" w:right="851"/>
        <w:jc w:val="both"/>
        <w:rPr>
          <w:rFonts w:ascii="Palatino Linotype" w:hAnsi="Palatino Linotype" w:cs="Arial"/>
          <w:b/>
          <w:bCs/>
          <w:i/>
          <w:iCs/>
        </w:rPr>
      </w:pPr>
      <w:r w:rsidRPr="00051B8D">
        <w:rPr>
          <w:rFonts w:ascii="Palatino Linotype" w:hAnsi="Palatino Linotype" w:cs="Arial"/>
          <w:b/>
          <w:bCs/>
          <w:i/>
          <w:iCs/>
        </w:rPr>
        <w:t>OBJETIVO:</w:t>
      </w:r>
    </w:p>
    <w:p w14:paraId="5D8DD52B" w14:textId="77777777" w:rsidR="00051B8D" w:rsidRPr="00051B8D" w:rsidRDefault="00051B8D" w:rsidP="00CB21EB">
      <w:pPr>
        <w:spacing w:before="240" w:line="360" w:lineRule="auto"/>
        <w:ind w:left="851" w:right="851"/>
        <w:jc w:val="both"/>
        <w:rPr>
          <w:rFonts w:ascii="Palatino Linotype" w:hAnsi="Palatino Linotype" w:cs="Arial"/>
          <w:i/>
          <w:iCs/>
        </w:rPr>
      </w:pPr>
      <w:r w:rsidRPr="00051B8D">
        <w:rPr>
          <w:rFonts w:ascii="Palatino Linotype" w:hAnsi="Palatino Linotype" w:cs="Arial"/>
          <w:i/>
          <w:iCs/>
        </w:rPr>
        <w:t>Consolidar mecanismos y procedimientos para la evaluación del impacto y riesgo ambiental en el Estado de México.</w:t>
      </w:r>
    </w:p>
    <w:p w14:paraId="623A8C8E" w14:textId="75FD3AF5" w:rsidR="00CB21EB" w:rsidRPr="00051B8D" w:rsidRDefault="00051B8D" w:rsidP="00CB21EB">
      <w:pPr>
        <w:spacing w:before="240" w:line="360" w:lineRule="auto"/>
        <w:ind w:left="851" w:right="851"/>
        <w:jc w:val="both"/>
        <w:rPr>
          <w:rFonts w:ascii="Palatino Linotype" w:hAnsi="Palatino Linotype" w:cs="Arial"/>
          <w:b/>
          <w:bCs/>
          <w:i/>
          <w:iCs/>
        </w:rPr>
      </w:pPr>
      <w:r w:rsidRPr="00051B8D">
        <w:rPr>
          <w:rFonts w:ascii="Palatino Linotype" w:hAnsi="Palatino Linotype" w:cs="Arial"/>
          <w:b/>
          <w:bCs/>
          <w:i/>
          <w:iCs/>
        </w:rPr>
        <w:t>FUNCIONES:</w:t>
      </w:r>
    </w:p>
    <w:p w14:paraId="0ECBBEF2" w14:textId="249C5F94" w:rsidR="00051B8D" w:rsidRPr="00051B8D" w:rsidRDefault="00051B8D" w:rsidP="00CB21EB">
      <w:pPr>
        <w:spacing w:before="240" w:line="360" w:lineRule="auto"/>
        <w:ind w:left="851" w:right="851"/>
        <w:jc w:val="both"/>
        <w:rPr>
          <w:rFonts w:ascii="Palatino Linotype" w:hAnsi="Palatino Linotype" w:cs="Arial"/>
          <w:i/>
          <w:iCs/>
        </w:rPr>
      </w:pPr>
      <w:r w:rsidRPr="00051B8D">
        <w:rPr>
          <w:rFonts w:ascii="Palatino Linotype" w:hAnsi="Palatino Linotype" w:cs="Arial"/>
          <w:i/>
          <w:iCs/>
        </w:rPr>
        <w:t>(…)</w:t>
      </w:r>
    </w:p>
    <w:p w14:paraId="1E0B6B23" w14:textId="5A9B7054" w:rsidR="00051B8D" w:rsidRPr="0013005D" w:rsidRDefault="00051B8D" w:rsidP="00051B8D">
      <w:pPr>
        <w:pStyle w:val="Prrafodelista"/>
        <w:numPr>
          <w:ilvl w:val="0"/>
          <w:numId w:val="33"/>
        </w:numPr>
        <w:spacing w:before="240" w:line="360" w:lineRule="auto"/>
        <w:ind w:right="851"/>
        <w:jc w:val="both"/>
        <w:rPr>
          <w:rFonts w:ascii="Palatino Linotype" w:hAnsi="Palatino Linotype" w:cs="Arial"/>
          <w:b/>
          <w:bCs/>
          <w:i/>
          <w:iCs/>
          <w:sz w:val="22"/>
          <w:szCs w:val="22"/>
          <w:u w:val="single"/>
        </w:rPr>
      </w:pPr>
      <w:r w:rsidRPr="0013005D">
        <w:rPr>
          <w:rFonts w:ascii="Palatino Linotype" w:hAnsi="Palatino Linotype" w:cs="Arial"/>
          <w:b/>
          <w:bCs/>
          <w:i/>
          <w:iCs/>
          <w:sz w:val="22"/>
          <w:szCs w:val="22"/>
          <w:u w:val="single"/>
        </w:rPr>
        <w:t>Formular resoluciones en materia de impacto y riesgo ambiental, de obras industriales, comerciales y actividades que por su naturaleza puedan generar impacto ambiental o afectación a la salud, los bienes y la integridad física de los habitantes del Estado de México.</w:t>
      </w:r>
    </w:p>
    <w:p w14:paraId="140D4083" w14:textId="073A71FC" w:rsidR="00051B8D" w:rsidRDefault="00051B8D" w:rsidP="00CB21EB">
      <w:pPr>
        <w:spacing w:before="240" w:line="360" w:lineRule="auto"/>
        <w:ind w:left="851" w:right="851"/>
        <w:jc w:val="both"/>
        <w:rPr>
          <w:rFonts w:ascii="Palatino Linotype" w:hAnsi="Palatino Linotype" w:cs="Arial"/>
          <w:i/>
          <w:iCs/>
        </w:rPr>
      </w:pPr>
      <w:r w:rsidRPr="00051B8D">
        <w:rPr>
          <w:rFonts w:ascii="Palatino Linotype" w:hAnsi="Palatino Linotype" w:cs="Arial"/>
          <w:i/>
          <w:iCs/>
        </w:rPr>
        <w:t>(…)</w:t>
      </w:r>
    </w:p>
    <w:p w14:paraId="27B2A5E1" w14:textId="77777777" w:rsidR="0013005D" w:rsidRPr="00CF0541" w:rsidRDefault="00376BA9" w:rsidP="0013005D">
      <w:pPr>
        <w:spacing w:before="240" w:line="360" w:lineRule="auto"/>
        <w:ind w:left="851" w:right="851"/>
        <w:jc w:val="both"/>
        <w:rPr>
          <w:rFonts w:ascii="Palatino Linotype" w:hAnsi="Palatino Linotype" w:cs="Arial"/>
          <w:b/>
          <w:bCs/>
          <w:i/>
          <w:iCs/>
        </w:rPr>
      </w:pPr>
      <w:r w:rsidRPr="00CF0541">
        <w:rPr>
          <w:rStyle w:val="highlight"/>
          <w:rFonts w:ascii="Palatino Linotype" w:hAnsi="Palatino Linotype" w:cs="Arial"/>
          <w:b/>
          <w:bCs/>
          <w:i/>
          <w:iCs/>
        </w:rPr>
        <w:t>212091001</w:t>
      </w:r>
      <w:r w:rsidR="0013005D" w:rsidRPr="00CF0541">
        <w:rPr>
          <w:rStyle w:val="highlight"/>
          <w:rFonts w:ascii="Palatino Linotype" w:hAnsi="Palatino Linotype" w:cs="Arial"/>
          <w:b/>
          <w:bCs/>
          <w:i/>
          <w:iCs/>
        </w:rPr>
        <w:t xml:space="preserve"> </w:t>
      </w:r>
      <w:r w:rsidRPr="00CF0541">
        <w:rPr>
          <w:rFonts w:ascii="Palatino Linotype" w:hAnsi="Palatino Linotype" w:cs="Arial"/>
          <w:b/>
          <w:bCs/>
          <w:i/>
          <w:iCs/>
        </w:rPr>
        <w:t>DEPARTAMENTO DE DICTAMINACIÓN AMBIENTAL</w:t>
      </w:r>
    </w:p>
    <w:p w14:paraId="0AA6079C" w14:textId="77777777" w:rsidR="0013005D" w:rsidRPr="0013005D" w:rsidRDefault="00376BA9" w:rsidP="0013005D">
      <w:pPr>
        <w:spacing w:before="240" w:line="360" w:lineRule="auto"/>
        <w:ind w:left="851" w:right="851"/>
        <w:jc w:val="both"/>
        <w:rPr>
          <w:rFonts w:ascii="Palatino Linotype" w:hAnsi="Palatino Linotype" w:cs="Arial"/>
          <w:i/>
          <w:iCs/>
        </w:rPr>
      </w:pPr>
      <w:r w:rsidRPr="0013005D">
        <w:rPr>
          <w:rFonts w:ascii="Palatino Linotype" w:hAnsi="Palatino Linotype" w:cs="Arial"/>
          <w:i/>
          <w:iCs/>
        </w:rPr>
        <w:t>OBJETIVO:</w:t>
      </w:r>
    </w:p>
    <w:p w14:paraId="7C9D901A" w14:textId="77777777" w:rsidR="0013005D" w:rsidRPr="0013005D" w:rsidRDefault="00376BA9" w:rsidP="0013005D">
      <w:pPr>
        <w:spacing w:before="240" w:line="360" w:lineRule="auto"/>
        <w:ind w:left="851" w:right="851"/>
        <w:jc w:val="both"/>
        <w:rPr>
          <w:rFonts w:ascii="Palatino Linotype" w:hAnsi="Palatino Linotype" w:cs="Arial"/>
          <w:i/>
          <w:iCs/>
        </w:rPr>
      </w:pPr>
      <w:r w:rsidRPr="0013005D">
        <w:rPr>
          <w:rFonts w:ascii="Palatino Linotype" w:hAnsi="Palatino Linotype" w:cs="Arial"/>
          <w:i/>
          <w:iCs/>
        </w:rPr>
        <w:t>Evaluar y dictaminar en materia de impacto ambiental, las obras y actividades comerciales, industriales y de servicios públicos o privados en el territorio estatal.</w:t>
      </w:r>
    </w:p>
    <w:p w14:paraId="09E03A93" w14:textId="77777777" w:rsidR="0013005D" w:rsidRPr="0013005D" w:rsidRDefault="00376BA9" w:rsidP="0013005D">
      <w:pPr>
        <w:spacing w:before="240" w:line="360" w:lineRule="auto"/>
        <w:ind w:left="851" w:right="851"/>
        <w:jc w:val="both"/>
        <w:rPr>
          <w:rFonts w:ascii="Palatino Linotype" w:hAnsi="Palatino Linotype" w:cs="Arial"/>
          <w:i/>
          <w:iCs/>
        </w:rPr>
      </w:pPr>
      <w:r w:rsidRPr="0013005D">
        <w:rPr>
          <w:rFonts w:ascii="Palatino Linotype" w:hAnsi="Palatino Linotype" w:cs="Arial"/>
          <w:i/>
          <w:iCs/>
        </w:rPr>
        <w:lastRenderedPageBreak/>
        <w:t>FUNCIONES:</w:t>
      </w:r>
    </w:p>
    <w:p w14:paraId="5D4C5FD4" w14:textId="1573B2CC" w:rsidR="0013005D" w:rsidRPr="0013005D" w:rsidRDefault="00376BA9" w:rsidP="0013005D">
      <w:pPr>
        <w:pStyle w:val="Prrafodelista"/>
        <w:numPr>
          <w:ilvl w:val="0"/>
          <w:numId w:val="33"/>
        </w:numPr>
        <w:spacing w:before="240" w:after="160" w:line="360" w:lineRule="auto"/>
        <w:ind w:left="851" w:right="851"/>
        <w:jc w:val="both"/>
        <w:rPr>
          <w:rFonts w:ascii="Palatino Linotype" w:hAnsi="Palatino Linotype" w:cs="Arial"/>
          <w:b/>
          <w:bCs/>
          <w:i/>
          <w:iCs/>
          <w:sz w:val="22"/>
          <w:szCs w:val="22"/>
          <w:u w:val="single"/>
        </w:rPr>
      </w:pPr>
      <w:r w:rsidRPr="0013005D">
        <w:rPr>
          <w:rFonts w:ascii="Palatino Linotype" w:hAnsi="Palatino Linotype" w:cs="Arial"/>
          <w:b/>
          <w:bCs/>
          <w:i/>
          <w:iCs/>
          <w:sz w:val="22"/>
          <w:szCs w:val="22"/>
          <w:u w:val="single"/>
        </w:rPr>
        <w:t>Evaluar y dictaminar los estudios en materia de impacto ambiental de las obras y actividades industriales, comerciales y de servicios, así como las acciones que pueden tener como consecuencia la alteración del medio ambiente, de los ecosistemas y producir un desequilibrio ecológico.</w:t>
      </w:r>
    </w:p>
    <w:p w14:paraId="7D976C08" w14:textId="77777777" w:rsidR="0013005D" w:rsidRPr="0013005D" w:rsidRDefault="0013005D" w:rsidP="0013005D">
      <w:pPr>
        <w:spacing w:before="240" w:line="360" w:lineRule="auto"/>
        <w:ind w:left="851" w:right="851"/>
        <w:jc w:val="both"/>
        <w:rPr>
          <w:rFonts w:ascii="Palatino Linotype" w:hAnsi="Palatino Linotype" w:cs="Arial"/>
          <w:i/>
          <w:iCs/>
        </w:rPr>
      </w:pPr>
      <w:r w:rsidRPr="0013005D">
        <w:rPr>
          <w:rFonts w:ascii="Palatino Linotype" w:hAnsi="Palatino Linotype" w:cs="Arial"/>
          <w:i/>
          <w:iCs/>
        </w:rPr>
        <w:t>(…)</w:t>
      </w:r>
    </w:p>
    <w:p w14:paraId="683387EB" w14:textId="61F65D60" w:rsidR="00376BA9" w:rsidRPr="000D46AF" w:rsidRDefault="0013005D" w:rsidP="0013005D">
      <w:pPr>
        <w:pStyle w:val="Prrafodelista"/>
        <w:numPr>
          <w:ilvl w:val="0"/>
          <w:numId w:val="33"/>
        </w:numPr>
        <w:spacing w:before="240" w:after="160" w:line="360" w:lineRule="auto"/>
        <w:ind w:left="851" w:right="851"/>
        <w:jc w:val="both"/>
        <w:rPr>
          <w:rFonts w:ascii="Palatino Linotype" w:hAnsi="Palatino Linotype" w:cs="Arial"/>
          <w:i/>
          <w:iCs/>
          <w:noProof/>
          <w:color w:val="000000"/>
          <w:sz w:val="22"/>
          <w:szCs w:val="22"/>
          <w:lang w:eastAsia="es-MX"/>
        </w:rPr>
      </w:pPr>
      <w:r w:rsidRPr="0013005D">
        <w:rPr>
          <w:rFonts w:ascii="Palatino Linotype" w:hAnsi="Palatino Linotype" w:cs="Arial"/>
          <w:i/>
          <w:iCs/>
          <w:sz w:val="22"/>
          <w:szCs w:val="22"/>
        </w:rPr>
        <w:t xml:space="preserve"> </w:t>
      </w:r>
      <w:r w:rsidR="00376BA9" w:rsidRPr="0013005D">
        <w:rPr>
          <w:rFonts w:ascii="Palatino Linotype" w:hAnsi="Palatino Linotype" w:cs="Arial"/>
          <w:i/>
          <w:iCs/>
          <w:sz w:val="22"/>
          <w:szCs w:val="22"/>
        </w:rPr>
        <w:t>Atender las solicitudes de evaluación y dictaminación de proyectos industriales, comerciales y de servicios en materia de impacto ambiental remitidos a través de la Comisión Estatal de Atención Empresarial y la Comisión Estatal de Desarrollo Urbano y Vivienda</w:t>
      </w:r>
      <w:r w:rsidRPr="0013005D">
        <w:rPr>
          <w:rFonts w:ascii="Palatino Linotype" w:hAnsi="Palatino Linotype" w:cs="Arial"/>
          <w:i/>
          <w:iCs/>
          <w:sz w:val="22"/>
          <w:szCs w:val="22"/>
        </w:rPr>
        <w:t xml:space="preserve">” </w:t>
      </w:r>
      <w:r w:rsidRPr="0013005D">
        <w:rPr>
          <w:rFonts w:ascii="Palatino Linotype" w:hAnsi="Palatino Linotype" w:cs="Arial"/>
          <w:b/>
          <w:bCs/>
          <w:i/>
          <w:iCs/>
          <w:sz w:val="22"/>
          <w:szCs w:val="22"/>
        </w:rPr>
        <w:t>[Sic]</w:t>
      </w:r>
    </w:p>
    <w:p w14:paraId="43690A23" w14:textId="3F94903B" w:rsidR="000D46AF" w:rsidRDefault="000D46AF" w:rsidP="000D46AF">
      <w:pPr>
        <w:spacing w:before="240" w:line="360" w:lineRule="auto"/>
        <w:ind w:right="851"/>
        <w:jc w:val="both"/>
        <w:rPr>
          <w:rFonts w:ascii="Palatino Linotype" w:hAnsi="Palatino Linotype" w:cs="Arial"/>
          <w:i/>
          <w:iCs/>
          <w:noProof/>
          <w:color w:val="000000"/>
          <w:lang w:eastAsia="es-MX"/>
        </w:rPr>
      </w:pPr>
    </w:p>
    <w:p w14:paraId="7CB1CE13" w14:textId="03CFCF04" w:rsidR="004E3FE2" w:rsidRDefault="0013005D" w:rsidP="00D11CEB">
      <w:pPr>
        <w:spacing w:before="240" w:line="360" w:lineRule="auto"/>
        <w:jc w:val="both"/>
        <w:rPr>
          <w:rFonts w:ascii="Palatino Linotype" w:hAnsi="Palatino Linotype" w:cs="Arial"/>
          <w:noProof/>
          <w:color w:val="000000"/>
          <w:sz w:val="24"/>
          <w:lang w:eastAsia="es-MX"/>
        </w:rPr>
      </w:pPr>
      <w:r>
        <w:rPr>
          <w:rFonts w:ascii="Palatino Linotype" w:hAnsi="Palatino Linotype" w:cs="Arial"/>
          <w:noProof/>
          <w:color w:val="000000"/>
          <w:sz w:val="24"/>
          <w:lang w:eastAsia="es-MX"/>
        </w:rPr>
        <w:t>En efecto de la normatividad previamente plasmada se desprende que el Director General de Ordenamiento e Impacto Ambiental, a través de su Dirección y múltiples Jefaturas,</w:t>
      </w:r>
      <w:r w:rsidR="00CF0541">
        <w:rPr>
          <w:rFonts w:ascii="Palatino Linotype" w:hAnsi="Palatino Linotype" w:cs="Arial"/>
          <w:noProof/>
          <w:color w:val="000000"/>
          <w:sz w:val="24"/>
          <w:lang w:eastAsia="es-MX"/>
        </w:rPr>
        <w:t xml:space="preserve"> </w:t>
      </w:r>
      <w:r>
        <w:rPr>
          <w:rFonts w:ascii="Palatino Linotype" w:hAnsi="Palatino Linotype" w:cs="Arial"/>
          <w:noProof/>
          <w:color w:val="000000"/>
          <w:sz w:val="24"/>
          <w:lang w:eastAsia="es-MX"/>
        </w:rPr>
        <w:t xml:space="preserve">funge como el </w:t>
      </w:r>
      <w:r>
        <w:rPr>
          <w:rFonts w:ascii="Palatino Linotype" w:hAnsi="Palatino Linotype" w:cs="Arial"/>
          <w:b/>
          <w:bCs/>
          <w:noProof/>
          <w:color w:val="000000"/>
          <w:sz w:val="24"/>
          <w:lang w:eastAsia="es-MX"/>
        </w:rPr>
        <w:t xml:space="preserve">Sujeto Habilitado Competente </w:t>
      </w:r>
      <w:r>
        <w:rPr>
          <w:rFonts w:ascii="Palatino Linotype" w:hAnsi="Palatino Linotype" w:cs="Arial"/>
          <w:noProof/>
          <w:color w:val="000000"/>
          <w:sz w:val="24"/>
          <w:lang w:eastAsia="es-MX"/>
        </w:rPr>
        <w:t xml:space="preserve">para atender </w:t>
      </w:r>
      <w:r w:rsidR="00CF0541">
        <w:rPr>
          <w:rFonts w:ascii="Palatino Linotype" w:hAnsi="Palatino Linotype" w:cs="Arial"/>
          <w:noProof/>
          <w:color w:val="000000"/>
          <w:sz w:val="24"/>
          <w:lang w:eastAsia="es-MX"/>
        </w:rPr>
        <w:t xml:space="preserve">el </w:t>
      </w:r>
      <w:r>
        <w:rPr>
          <w:rFonts w:ascii="Palatino Linotype" w:hAnsi="Palatino Linotype" w:cs="Arial"/>
          <w:noProof/>
          <w:color w:val="000000"/>
          <w:sz w:val="24"/>
          <w:lang w:eastAsia="es-MX"/>
        </w:rPr>
        <w:t xml:space="preserve">requerimiento formulado por el particular, lo anterior en atención a las competencias, atribuciones y facultades reservadas a dichas unidades administrativas. </w:t>
      </w:r>
    </w:p>
    <w:p w14:paraId="28BE882C" w14:textId="37C05EF5" w:rsidR="00F4035D" w:rsidRDefault="000E3F2E" w:rsidP="007243C8">
      <w:pPr>
        <w:spacing w:before="240" w:line="360" w:lineRule="auto"/>
        <w:jc w:val="both"/>
        <w:rPr>
          <w:rFonts w:ascii="Palatino Linotype" w:hAnsi="Palatino Linotype"/>
          <w:sz w:val="24"/>
          <w:szCs w:val="24"/>
        </w:rPr>
      </w:pPr>
      <w:r>
        <w:rPr>
          <w:rFonts w:ascii="Palatino Linotype" w:hAnsi="Palatino Linotype"/>
          <w:sz w:val="24"/>
          <w:szCs w:val="24"/>
        </w:rPr>
        <w:t>A</w:t>
      </w:r>
      <w:r w:rsidR="007243C8">
        <w:rPr>
          <w:rFonts w:ascii="Palatino Linotype" w:hAnsi="Palatino Linotype"/>
          <w:sz w:val="24"/>
          <w:szCs w:val="24"/>
        </w:rPr>
        <w:t xml:space="preserve">unado a lo anterior, como se mencionó en el antecedente segundo, </w:t>
      </w:r>
      <w:r w:rsidR="007243C8">
        <w:rPr>
          <w:rFonts w:ascii="Palatino Linotype" w:hAnsi="Palatino Linotype"/>
          <w:b/>
          <w:sz w:val="24"/>
          <w:szCs w:val="24"/>
        </w:rPr>
        <w:t xml:space="preserve">El Sujeto Obligado </w:t>
      </w:r>
      <w:r w:rsidR="007243C8">
        <w:rPr>
          <w:rFonts w:ascii="Palatino Linotype" w:hAnsi="Palatino Linotype"/>
          <w:sz w:val="24"/>
          <w:szCs w:val="24"/>
        </w:rPr>
        <w:t xml:space="preserve">en fecha </w:t>
      </w:r>
      <w:r w:rsidR="0084234E">
        <w:rPr>
          <w:rFonts w:ascii="Palatino Linotype" w:hAnsi="Palatino Linotype"/>
          <w:sz w:val="24"/>
          <w:szCs w:val="24"/>
        </w:rPr>
        <w:t>diecisiete de febrero del presente, rindió su respuesta a la solicitud de información formulada por el particular, adjuntando para tal efecto lo siguiente:</w:t>
      </w:r>
    </w:p>
    <w:p w14:paraId="6A07B2DF" w14:textId="3DE99EDD" w:rsidR="0084234E" w:rsidRPr="0084234E" w:rsidRDefault="0084234E" w:rsidP="0084234E">
      <w:pPr>
        <w:pStyle w:val="Prrafodelista"/>
        <w:numPr>
          <w:ilvl w:val="0"/>
          <w:numId w:val="34"/>
        </w:numPr>
        <w:spacing w:before="240" w:line="360" w:lineRule="auto"/>
        <w:jc w:val="both"/>
        <w:rPr>
          <w:rFonts w:ascii="Palatino Linotype" w:hAnsi="Palatino Linotype"/>
          <w:b/>
          <w:bCs/>
          <w:lang w:val="es-MX"/>
        </w:rPr>
      </w:pPr>
      <w:r w:rsidRPr="00067960">
        <w:rPr>
          <w:rFonts w:ascii="Palatino Linotype" w:hAnsi="Palatino Linotype"/>
          <w:b/>
          <w:bCs/>
          <w:lang w:val="es-MX"/>
        </w:rPr>
        <w:t xml:space="preserve">“SOL. 00048 OF. </w:t>
      </w:r>
      <w:r w:rsidRPr="0084234E">
        <w:rPr>
          <w:rFonts w:ascii="Palatino Linotype" w:hAnsi="Palatino Linotype"/>
          <w:b/>
          <w:bCs/>
          <w:lang w:val="es-MX"/>
        </w:rPr>
        <w:t xml:space="preserve">RESP..pdf”: </w:t>
      </w:r>
      <w:r w:rsidRPr="0084234E">
        <w:rPr>
          <w:rFonts w:ascii="Palatino Linotype" w:hAnsi="Palatino Linotype"/>
          <w:lang w:val="es-MX"/>
        </w:rPr>
        <w:t xml:space="preserve">Oficio </w:t>
      </w:r>
      <w:r w:rsidRPr="0084234E">
        <w:rPr>
          <w:rFonts w:ascii="Palatino Linotype" w:hAnsi="Palatino Linotype"/>
          <w:b/>
          <w:bCs/>
          <w:lang w:val="es-MX"/>
        </w:rPr>
        <w:t xml:space="preserve">22100007010000L/DEIA/OF/052/2020 </w:t>
      </w:r>
      <w:r w:rsidRPr="0084234E">
        <w:rPr>
          <w:rFonts w:ascii="Palatino Linotype" w:hAnsi="Palatino Linotype"/>
          <w:lang w:val="es-MX"/>
        </w:rPr>
        <w:t>signado</w:t>
      </w:r>
      <w:r>
        <w:rPr>
          <w:rFonts w:ascii="Palatino Linotype" w:hAnsi="Palatino Linotype"/>
          <w:lang w:val="es-MX"/>
        </w:rPr>
        <w:t xml:space="preserve"> por el Director de Evaluación e Impacto Ambiental y Servidor Público </w:t>
      </w:r>
      <w:r>
        <w:rPr>
          <w:rFonts w:ascii="Palatino Linotype" w:hAnsi="Palatino Linotype"/>
          <w:lang w:val="es-MX"/>
        </w:rPr>
        <w:lastRenderedPageBreak/>
        <w:t xml:space="preserve">Habilitado en Materia de Transparencia, de fecha siete de febrero del presente, en lo medular resulta de nuestro interés lo siguiente: </w:t>
      </w:r>
    </w:p>
    <w:p w14:paraId="4680580E" w14:textId="53F29361" w:rsidR="0084234E" w:rsidRPr="0084234E" w:rsidRDefault="0084234E" w:rsidP="0084234E">
      <w:pPr>
        <w:pStyle w:val="Prrafodelista"/>
        <w:spacing w:before="240" w:line="360" w:lineRule="auto"/>
        <w:ind w:left="720"/>
        <w:jc w:val="both"/>
        <w:rPr>
          <w:rFonts w:ascii="Palatino Linotype" w:hAnsi="Palatino Linotype"/>
          <w:b/>
          <w:bCs/>
          <w:i/>
          <w:iCs/>
          <w:lang w:val="es-MX"/>
        </w:rPr>
      </w:pPr>
      <w:r w:rsidRPr="0084234E">
        <w:rPr>
          <w:rFonts w:ascii="Palatino Linotype" w:hAnsi="Palatino Linotype"/>
          <w:i/>
          <w:iCs/>
          <w:lang w:val="es-MX"/>
        </w:rPr>
        <w:t>“… Sobre el particular, inform</w:t>
      </w:r>
      <w:r>
        <w:rPr>
          <w:rFonts w:ascii="Palatino Linotype" w:hAnsi="Palatino Linotype"/>
          <w:i/>
          <w:iCs/>
          <w:lang w:val="es-MX"/>
        </w:rPr>
        <w:t xml:space="preserve">o a usted que el estudio de impacto Ambiental solicitado en la petición de información previamente señalada, aún se encuentra en proceso de evaluación, motivo por el cual se solicita atentamente someter ante el Comité de Transparencia de la Secretaría del Medio Ambiente, la PROPUESTA DE CLASIFICACIÓN COMO RESERVADA, por un período de 60 días hábiles, tiempo estimado para emitir la autorización correspondiente…” </w:t>
      </w:r>
      <w:r>
        <w:rPr>
          <w:rFonts w:ascii="Palatino Linotype" w:hAnsi="Palatino Linotype"/>
          <w:b/>
          <w:bCs/>
          <w:i/>
          <w:iCs/>
          <w:lang w:val="es-MX"/>
        </w:rPr>
        <w:t>[Sic]</w:t>
      </w:r>
    </w:p>
    <w:p w14:paraId="4A269F96" w14:textId="65A57515" w:rsidR="0084234E" w:rsidRPr="004F3A20" w:rsidRDefault="0084234E" w:rsidP="0084234E">
      <w:pPr>
        <w:pStyle w:val="Prrafodelista"/>
        <w:numPr>
          <w:ilvl w:val="0"/>
          <w:numId w:val="34"/>
        </w:numPr>
        <w:spacing w:before="240" w:line="360" w:lineRule="auto"/>
        <w:jc w:val="both"/>
        <w:rPr>
          <w:rFonts w:ascii="Palatino Linotype" w:hAnsi="Palatino Linotype"/>
          <w:b/>
          <w:bCs/>
          <w:lang w:val="es-MX"/>
        </w:rPr>
      </w:pPr>
      <w:r w:rsidRPr="004F3A20">
        <w:rPr>
          <w:rFonts w:ascii="Palatino Linotype" w:hAnsi="Palatino Linotype"/>
          <w:b/>
          <w:bCs/>
          <w:lang w:val="es-MX"/>
        </w:rPr>
        <w:t xml:space="preserve">“Acta 4a Ext 2020 Transp..pdf”: </w:t>
      </w:r>
      <w:r w:rsidR="004F3A20" w:rsidRPr="004F3A20">
        <w:rPr>
          <w:rFonts w:ascii="Palatino Linotype" w:hAnsi="Palatino Linotype"/>
          <w:lang w:val="es-MX"/>
        </w:rPr>
        <w:t xml:space="preserve">Acta </w:t>
      </w:r>
      <w:r w:rsidR="004F3A20">
        <w:rPr>
          <w:rFonts w:ascii="Palatino Linotype" w:hAnsi="Palatino Linotype"/>
          <w:lang w:val="es-MX"/>
        </w:rPr>
        <w:t xml:space="preserve">de la Cuarta Sesión Extraordinaria con número </w:t>
      </w:r>
      <w:r w:rsidR="004F3A20">
        <w:rPr>
          <w:rFonts w:ascii="Palatino Linotype" w:hAnsi="Palatino Linotype"/>
          <w:b/>
          <w:bCs/>
          <w:lang w:val="es-MX"/>
        </w:rPr>
        <w:t xml:space="preserve">CT-SMA/04-E/2020, </w:t>
      </w:r>
      <w:r w:rsidR="004F3A20">
        <w:rPr>
          <w:rFonts w:ascii="Palatino Linotype" w:hAnsi="Palatino Linotype"/>
          <w:lang w:val="es-MX"/>
        </w:rPr>
        <w:t xml:space="preserve">en lo medular se pretende clasificar como reservada la información requerida mediante la solicitud de información </w:t>
      </w:r>
      <w:r w:rsidR="004F3A20">
        <w:rPr>
          <w:rFonts w:ascii="Palatino Linotype" w:hAnsi="Palatino Linotype"/>
          <w:b/>
          <w:bCs/>
          <w:lang w:val="es-MX"/>
        </w:rPr>
        <w:t xml:space="preserve">00048/SMA/IP/2020; </w:t>
      </w:r>
      <w:r w:rsidR="004F3A20">
        <w:rPr>
          <w:rFonts w:ascii="Palatino Linotype" w:hAnsi="Palatino Linotype"/>
          <w:lang w:val="es-MX"/>
        </w:rPr>
        <w:t xml:space="preserve">de fecha diecisiete de febrero de dos mil veinte. En lo medular, sirve de sustento la siguiente imagen ilustrativa: </w:t>
      </w:r>
    </w:p>
    <w:p w14:paraId="306EDAF0" w14:textId="178980D8" w:rsidR="004F3A20" w:rsidRDefault="00833433" w:rsidP="004F3A20">
      <w:pPr>
        <w:spacing w:before="240" w:line="360" w:lineRule="auto"/>
        <w:jc w:val="both"/>
        <w:rPr>
          <w:rFonts w:ascii="Palatino Linotype" w:hAnsi="Palatino Linotype"/>
          <w:b/>
          <w:bCs/>
        </w:rPr>
      </w:pPr>
      <w:r>
        <w:rPr>
          <w:rFonts w:ascii="Palatino Linotype" w:hAnsi="Palatino Linotype"/>
          <w:b/>
          <w:bCs/>
          <w:noProof/>
        </w:rPr>
        <mc:AlternateContent>
          <mc:Choice Requires="wps">
            <w:drawing>
              <wp:anchor distT="0" distB="0" distL="114300" distR="114300" simplePos="0" relativeHeight="251683840" behindDoc="0" locked="0" layoutInCell="1" allowOverlap="1" wp14:anchorId="239A621A" wp14:editId="6BE8ADA4">
                <wp:simplePos x="0" y="0"/>
                <wp:positionH relativeFrom="margin">
                  <wp:posOffset>-542253</wp:posOffset>
                </wp:positionH>
                <wp:positionV relativeFrom="paragraph">
                  <wp:posOffset>2689</wp:posOffset>
                </wp:positionV>
                <wp:extent cx="6766560" cy="3130476"/>
                <wp:effectExtent l="0" t="0" r="34290" b="32385"/>
                <wp:wrapNone/>
                <wp:docPr id="12" name="Conector recto 12"/>
                <wp:cNvGraphicFramePr/>
                <a:graphic xmlns:a="http://schemas.openxmlformats.org/drawingml/2006/main">
                  <a:graphicData uri="http://schemas.microsoft.com/office/word/2010/wordprocessingShape">
                    <wps:wsp>
                      <wps:cNvCnPr/>
                      <wps:spPr>
                        <a:xfrm>
                          <a:off x="0" y="0"/>
                          <a:ext cx="6766560" cy="31304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C801A9" id="Conector recto 12"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7pt,.2pt" to="490.1pt,2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" strokecolor="#5b9bd5 [3204]" strokeweight=".5pt">
                <v:stroke joinstyle="miter"/>
                <w10:wrap anchorx="margin"/>
              </v:line>
            </w:pict>
          </mc:Fallback>
        </mc:AlternateContent>
      </w:r>
    </w:p>
    <w:p w14:paraId="7A6EB2C8" w14:textId="03CD9B85" w:rsidR="004F3A20" w:rsidRDefault="004F3A20" w:rsidP="004F3A20">
      <w:pPr>
        <w:spacing w:before="240" w:line="360" w:lineRule="auto"/>
        <w:jc w:val="both"/>
        <w:rPr>
          <w:rFonts w:ascii="Palatino Linotype" w:hAnsi="Palatino Linotype"/>
          <w:b/>
          <w:bCs/>
        </w:rPr>
      </w:pPr>
    </w:p>
    <w:p w14:paraId="01D3F059" w14:textId="3AB82E32" w:rsidR="004F3A20" w:rsidRDefault="004F3A20" w:rsidP="004F3A20">
      <w:pPr>
        <w:spacing w:before="240" w:line="360" w:lineRule="auto"/>
        <w:jc w:val="both"/>
        <w:rPr>
          <w:rFonts w:ascii="Palatino Linotype" w:hAnsi="Palatino Linotype"/>
          <w:b/>
          <w:bCs/>
        </w:rPr>
      </w:pPr>
    </w:p>
    <w:p w14:paraId="46D0FFEB" w14:textId="5AF6BD5A" w:rsidR="004F3A20" w:rsidRDefault="004F3A20" w:rsidP="004F3A20">
      <w:pPr>
        <w:spacing w:before="240" w:line="360" w:lineRule="auto"/>
        <w:jc w:val="both"/>
        <w:rPr>
          <w:rFonts w:ascii="Palatino Linotype" w:hAnsi="Palatino Linotype"/>
          <w:b/>
          <w:bCs/>
        </w:rPr>
      </w:pPr>
    </w:p>
    <w:p w14:paraId="46CAFD83" w14:textId="746C5FEE" w:rsidR="004F3A20" w:rsidRDefault="004F3A20" w:rsidP="004F3A20">
      <w:pPr>
        <w:spacing w:before="240" w:line="360" w:lineRule="auto"/>
        <w:jc w:val="both"/>
        <w:rPr>
          <w:rFonts w:ascii="Palatino Linotype" w:hAnsi="Palatino Linotype"/>
          <w:b/>
          <w:bCs/>
        </w:rPr>
      </w:pPr>
    </w:p>
    <w:p w14:paraId="7CA92964" w14:textId="00A5CBF5" w:rsidR="004F3A20" w:rsidRDefault="004F3A20" w:rsidP="004F3A20">
      <w:pPr>
        <w:spacing w:before="240" w:line="360" w:lineRule="auto"/>
        <w:jc w:val="both"/>
        <w:rPr>
          <w:rFonts w:ascii="Palatino Linotype" w:hAnsi="Palatino Linotype"/>
          <w:b/>
          <w:bCs/>
        </w:rPr>
      </w:pPr>
    </w:p>
    <w:p w14:paraId="738E1565" w14:textId="2CD7C804" w:rsidR="004F3A20" w:rsidRDefault="004F3A20" w:rsidP="004F3A20">
      <w:pPr>
        <w:spacing w:before="240" w:line="360" w:lineRule="auto"/>
        <w:jc w:val="both"/>
        <w:rPr>
          <w:rFonts w:ascii="Palatino Linotype" w:hAnsi="Palatino Linotype"/>
          <w:b/>
          <w:bCs/>
        </w:rPr>
      </w:pPr>
    </w:p>
    <w:p w14:paraId="0AECE353" w14:textId="32769707" w:rsidR="00F4035D" w:rsidRPr="004F3A20" w:rsidRDefault="00833433" w:rsidP="007243C8">
      <w:pPr>
        <w:spacing w:before="240" w:line="360" w:lineRule="auto"/>
        <w:jc w:val="both"/>
        <w:rPr>
          <w:rFonts w:ascii="Palatino Linotype" w:hAnsi="Palatino Linotype"/>
          <w:sz w:val="24"/>
          <w:szCs w:val="24"/>
        </w:rPr>
      </w:pPr>
      <w:r>
        <w:rPr>
          <w:rFonts w:ascii="Palatino Linotype" w:hAnsi="Palatino Linotype"/>
          <w:noProof/>
          <w:sz w:val="24"/>
          <w:szCs w:val="24"/>
        </w:rPr>
        <w:lastRenderedPageBreak/>
        <w:drawing>
          <wp:anchor distT="0" distB="0" distL="114300" distR="114300" simplePos="0" relativeHeight="251684864" behindDoc="0" locked="0" layoutInCell="1" allowOverlap="1" wp14:anchorId="473B8222" wp14:editId="1BEF852A">
            <wp:simplePos x="0" y="0"/>
            <wp:positionH relativeFrom="margin">
              <wp:align>center</wp:align>
            </wp:positionH>
            <wp:positionV relativeFrom="paragraph">
              <wp:posOffset>116280</wp:posOffset>
            </wp:positionV>
            <wp:extent cx="5042535" cy="6810375"/>
            <wp:effectExtent l="19050" t="19050" r="24765" b="28575"/>
            <wp:wrapThrough wrapText="bothSides">
              <wp:wrapPolygon edited="0">
                <wp:start x="-82" y="-60"/>
                <wp:lineTo x="-82" y="21630"/>
                <wp:lineTo x="21624" y="21630"/>
                <wp:lineTo x="21624" y="-60"/>
                <wp:lineTo x="-82" y="-6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2535" cy="68103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04473611" w14:textId="00A76FBF" w:rsidR="00F4035D" w:rsidRDefault="00F4035D" w:rsidP="007243C8">
      <w:pPr>
        <w:spacing w:before="240" w:line="360" w:lineRule="auto"/>
        <w:jc w:val="both"/>
        <w:rPr>
          <w:rFonts w:ascii="Palatino Linotype" w:hAnsi="Palatino Linotype"/>
          <w:sz w:val="24"/>
          <w:szCs w:val="24"/>
        </w:rPr>
      </w:pPr>
    </w:p>
    <w:p w14:paraId="547CB19B" w14:textId="6385F725" w:rsidR="004F3A20" w:rsidRDefault="004F3A20" w:rsidP="007243C8">
      <w:pPr>
        <w:spacing w:before="240" w:line="360" w:lineRule="auto"/>
        <w:jc w:val="both"/>
        <w:rPr>
          <w:rFonts w:ascii="Palatino Linotype" w:hAnsi="Palatino Linotype"/>
          <w:sz w:val="24"/>
          <w:szCs w:val="24"/>
        </w:rPr>
      </w:pPr>
    </w:p>
    <w:p w14:paraId="471590D4" w14:textId="5E3D6E99" w:rsidR="004F3A20" w:rsidRDefault="004F3A20" w:rsidP="007243C8">
      <w:pPr>
        <w:spacing w:before="240" w:line="360" w:lineRule="auto"/>
        <w:jc w:val="both"/>
        <w:rPr>
          <w:rFonts w:ascii="Palatino Linotype" w:hAnsi="Palatino Linotype"/>
          <w:sz w:val="24"/>
          <w:szCs w:val="24"/>
        </w:rPr>
      </w:pPr>
    </w:p>
    <w:p w14:paraId="4506B9E1" w14:textId="2E15B45F" w:rsidR="004F3A20" w:rsidRDefault="004F3A20" w:rsidP="007243C8">
      <w:pPr>
        <w:spacing w:before="240" w:line="360" w:lineRule="auto"/>
        <w:jc w:val="both"/>
        <w:rPr>
          <w:rFonts w:ascii="Palatino Linotype" w:hAnsi="Palatino Linotype"/>
          <w:sz w:val="24"/>
          <w:szCs w:val="24"/>
        </w:rPr>
      </w:pPr>
    </w:p>
    <w:p w14:paraId="11B56CDE" w14:textId="781E37A5" w:rsidR="004F3A20" w:rsidRDefault="004F3A20" w:rsidP="007243C8">
      <w:pPr>
        <w:spacing w:before="240" w:line="360" w:lineRule="auto"/>
        <w:jc w:val="both"/>
        <w:rPr>
          <w:rFonts w:ascii="Palatino Linotype" w:hAnsi="Palatino Linotype"/>
          <w:sz w:val="24"/>
          <w:szCs w:val="24"/>
        </w:rPr>
      </w:pPr>
    </w:p>
    <w:p w14:paraId="3A499B38" w14:textId="34D48AF0" w:rsidR="004F3A20" w:rsidRDefault="004F3A20" w:rsidP="007243C8">
      <w:pPr>
        <w:spacing w:before="240" w:line="360" w:lineRule="auto"/>
        <w:jc w:val="both"/>
        <w:rPr>
          <w:rFonts w:ascii="Palatino Linotype" w:hAnsi="Palatino Linotype"/>
          <w:sz w:val="24"/>
          <w:szCs w:val="24"/>
        </w:rPr>
      </w:pPr>
    </w:p>
    <w:p w14:paraId="58E2D9A0" w14:textId="11C3B10F" w:rsidR="004F3A20" w:rsidRDefault="004F3A20" w:rsidP="007243C8">
      <w:pPr>
        <w:spacing w:before="240" w:line="360" w:lineRule="auto"/>
        <w:jc w:val="both"/>
        <w:rPr>
          <w:rFonts w:ascii="Palatino Linotype" w:hAnsi="Palatino Linotype"/>
          <w:sz w:val="24"/>
          <w:szCs w:val="24"/>
        </w:rPr>
      </w:pPr>
    </w:p>
    <w:p w14:paraId="1B6C4F70" w14:textId="25303E00" w:rsidR="004F3A20" w:rsidRDefault="004F3A20" w:rsidP="007243C8">
      <w:pPr>
        <w:spacing w:before="240" w:line="360" w:lineRule="auto"/>
        <w:jc w:val="both"/>
        <w:rPr>
          <w:rFonts w:ascii="Palatino Linotype" w:hAnsi="Palatino Linotype"/>
          <w:sz w:val="24"/>
          <w:szCs w:val="24"/>
        </w:rPr>
      </w:pPr>
    </w:p>
    <w:p w14:paraId="46C75653" w14:textId="68477D33" w:rsidR="004F3A20" w:rsidRDefault="004F3A20" w:rsidP="007243C8">
      <w:pPr>
        <w:spacing w:before="240" w:line="360" w:lineRule="auto"/>
        <w:jc w:val="both"/>
        <w:rPr>
          <w:rFonts w:ascii="Palatino Linotype" w:hAnsi="Palatino Linotype"/>
          <w:sz w:val="24"/>
          <w:szCs w:val="24"/>
        </w:rPr>
      </w:pPr>
    </w:p>
    <w:p w14:paraId="199AFF92" w14:textId="6A4B490C" w:rsidR="004F3A20" w:rsidRDefault="004F3A20" w:rsidP="007243C8">
      <w:pPr>
        <w:spacing w:before="240" w:line="360" w:lineRule="auto"/>
        <w:jc w:val="both"/>
        <w:rPr>
          <w:rFonts w:ascii="Palatino Linotype" w:hAnsi="Palatino Linotype"/>
          <w:sz w:val="24"/>
          <w:szCs w:val="24"/>
        </w:rPr>
      </w:pPr>
    </w:p>
    <w:p w14:paraId="653E365C" w14:textId="1EB861EF" w:rsidR="004F3A20" w:rsidRDefault="004F3A20" w:rsidP="007243C8">
      <w:pPr>
        <w:spacing w:before="240" w:line="360" w:lineRule="auto"/>
        <w:jc w:val="both"/>
        <w:rPr>
          <w:rFonts w:ascii="Palatino Linotype" w:hAnsi="Palatino Linotype"/>
          <w:sz w:val="24"/>
          <w:szCs w:val="24"/>
        </w:rPr>
      </w:pPr>
    </w:p>
    <w:p w14:paraId="2291C0A1" w14:textId="4C9799CF" w:rsidR="004F3A20" w:rsidRDefault="004F3A20" w:rsidP="007243C8">
      <w:pPr>
        <w:spacing w:before="240" w:line="360" w:lineRule="auto"/>
        <w:jc w:val="both"/>
        <w:rPr>
          <w:rFonts w:ascii="Palatino Linotype" w:hAnsi="Palatino Linotype"/>
          <w:sz w:val="24"/>
          <w:szCs w:val="24"/>
        </w:rPr>
      </w:pPr>
    </w:p>
    <w:p w14:paraId="6EF47250" w14:textId="32D25848" w:rsidR="004F3A20" w:rsidRDefault="004F3A20" w:rsidP="007243C8">
      <w:pPr>
        <w:spacing w:before="240" w:line="360" w:lineRule="auto"/>
        <w:jc w:val="both"/>
        <w:rPr>
          <w:rFonts w:ascii="Palatino Linotype" w:hAnsi="Palatino Linotype"/>
          <w:sz w:val="24"/>
          <w:szCs w:val="24"/>
        </w:rPr>
      </w:pPr>
    </w:p>
    <w:p w14:paraId="4A918751" w14:textId="4C00FB01" w:rsidR="004F3A20" w:rsidRDefault="004F3A20" w:rsidP="007243C8">
      <w:pPr>
        <w:spacing w:before="240" w:line="360" w:lineRule="auto"/>
        <w:jc w:val="both"/>
        <w:rPr>
          <w:rFonts w:ascii="Palatino Linotype" w:hAnsi="Palatino Linotype"/>
          <w:sz w:val="24"/>
          <w:szCs w:val="24"/>
        </w:rPr>
      </w:pPr>
    </w:p>
    <w:p w14:paraId="5CAA2144" w14:textId="05CB079F" w:rsidR="004F3A20" w:rsidRDefault="004F3A20" w:rsidP="007243C8">
      <w:pPr>
        <w:spacing w:before="240" w:line="360" w:lineRule="auto"/>
        <w:jc w:val="both"/>
        <w:rPr>
          <w:rFonts w:ascii="Palatino Linotype" w:hAnsi="Palatino Linotype"/>
          <w:sz w:val="24"/>
          <w:szCs w:val="24"/>
        </w:rPr>
      </w:pPr>
    </w:p>
    <w:p w14:paraId="7F8B4C04" w14:textId="4D3323A9" w:rsidR="004F3A20" w:rsidRDefault="004F3A20" w:rsidP="007243C8">
      <w:pPr>
        <w:pStyle w:val="Sinespaciado"/>
        <w:spacing w:before="240" w:after="160" w:line="360" w:lineRule="auto"/>
        <w:jc w:val="both"/>
        <w:rPr>
          <w:rFonts w:ascii="Palatino Linotype" w:hAnsi="Palatino Linotype"/>
        </w:rPr>
      </w:pPr>
      <w:r>
        <w:rPr>
          <w:rFonts w:ascii="Palatino Linotype" w:hAnsi="Palatino Linotype"/>
        </w:rPr>
        <w:lastRenderedPageBreak/>
        <w:t>De lo anterior, se desprende la actualización del artículo 179, fracción II de la Ley de Transparencia y Acceso a la Información Pública del Estado de México y Municipios, normatividad invocada que dispone a la literalidad lo siguiente:</w:t>
      </w:r>
    </w:p>
    <w:p w14:paraId="39E01F09" w14:textId="781586B8" w:rsidR="004F3A20" w:rsidRPr="004F3A20" w:rsidRDefault="004F3A20" w:rsidP="004F3A20">
      <w:pPr>
        <w:pStyle w:val="Sinespaciado"/>
        <w:spacing w:before="240" w:after="160" w:line="360" w:lineRule="auto"/>
        <w:ind w:left="851" w:right="851"/>
        <w:jc w:val="both"/>
        <w:rPr>
          <w:rFonts w:ascii="Palatino Linotype" w:hAnsi="Palatino Linotype"/>
          <w:i/>
          <w:iCs/>
          <w:sz w:val="22"/>
          <w:szCs w:val="22"/>
        </w:rPr>
      </w:pPr>
      <w:r w:rsidRPr="004F3A20">
        <w:rPr>
          <w:rFonts w:ascii="Palatino Linotype" w:hAnsi="Palatino Linotype"/>
          <w:i/>
          <w:iCs/>
          <w:sz w:val="22"/>
          <w:szCs w:val="22"/>
        </w:rPr>
        <w:t xml:space="preserve">“Artículo 179. El recurso de revisión es un medio de protección que la Ley otorga a los particulares, para hacer valer su derecho de acceso a la información pública, y procederá en contra de las siguientes causas: </w:t>
      </w:r>
    </w:p>
    <w:p w14:paraId="0AA24FB2" w14:textId="0D43A578" w:rsidR="004F3A20" w:rsidRPr="004F3A20" w:rsidRDefault="004F3A20" w:rsidP="004F3A20">
      <w:pPr>
        <w:pStyle w:val="Sinespaciado"/>
        <w:spacing w:before="240" w:after="160" w:line="360" w:lineRule="auto"/>
        <w:ind w:left="851" w:right="851"/>
        <w:jc w:val="both"/>
        <w:rPr>
          <w:rFonts w:ascii="Palatino Linotype" w:hAnsi="Palatino Linotype"/>
          <w:i/>
          <w:iCs/>
          <w:sz w:val="22"/>
          <w:szCs w:val="22"/>
        </w:rPr>
      </w:pPr>
      <w:r w:rsidRPr="004F3A20">
        <w:rPr>
          <w:rFonts w:ascii="Palatino Linotype" w:hAnsi="Palatino Linotype"/>
          <w:i/>
          <w:iCs/>
          <w:sz w:val="22"/>
          <w:szCs w:val="22"/>
        </w:rPr>
        <w:t>(…)</w:t>
      </w:r>
    </w:p>
    <w:p w14:paraId="3DEBDCE4" w14:textId="772F9D4B" w:rsidR="004F3A20" w:rsidRPr="004F3A20" w:rsidRDefault="004F3A20" w:rsidP="004F3A20">
      <w:pPr>
        <w:pStyle w:val="Sinespaciado"/>
        <w:spacing w:before="240" w:after="160" w:line="360" w:lineRule="auto"/>
        <w:ind w:left="851" w:right="851"/>
        <w:jc w:val="both"/>
        <w:rPr>
          <w:rFonts w:ascii="Palatino Linotype" w:hAnsi="Palatino Linotype"/>
          <w:b/>
          <w:bCs/>
          <w:i/>
          <w:iCs/>
          <w:sz w:val="22"/>
          <w:szCs w:val="22"/>
          <w:u w:val="single"/>
        </w:rPr>
      </w:pPr>
      <w:r w:rsidRPr="004F3A20">
        <w:rPr>
          <w:rFonts w:ascii="Palatino Linotype" w:hAnsi="Palatino Linotype"/>
          <w:b/>
          <w:bCs/>
          <w:i/>
          <w:iCs/>
          <w:sz w:val="22"/>
          <w:szCs w:val="22"/>
          <w:u w:val="single"/>
        </w:rPr>
        <w:t>II. La clasificación de la información;</w:t>
      </w:r>
    </w:p>
    <w:p w14:paraId="78B248FE" w14:textId="49B3B2B2" w:rsidR="004F3A20" w:rsidRPr="004F3A20" w:rsidRDefault="004F3A20" w:rsidP="004F3A20">
      <w:pPr>
        <w:pStyle w:val="Sinespaciado"/>
        <w:spacing w:before="240" w:after="160" w:line="360" w:lineRule="auto"/>
        <w:ind w:left="851" w:right="851"/>
        <w:jc w:val="both"/>
        <w:rPr>
          <w:rFonts w:ascii="Palatino Linotype" w:hAnsi="Palatino Linotype"/>
          <w:i/>
          <w:iCs/>
          <w:sz w:val="22"/>
          <w:szCs w:val="22"/>
        </w:rPr>
      </w:pPr>
      <w:r w:rsidRPr="004F3A20">
        <w:rPr>
          <w:rFonts w:ascii="Palatino Linotype" w:hAnsi="Palatino Linotype"/>
          <w:i/>
          <w:iCs/>
          <w:sz w:val="22"/>
          <w:szCs w:val="22"/>
        </w:rPr>
        <w:t>(…)” [Sic]</w:t>
      </w:r>
    </w:p>
    <w:p w14:paraId="20841F98" w14:textId="77777777" w:rsidR="004F3A20" w:rsidRDefault="004F3A20" w:rsidP="007243C8">
      <w:pPr>
        <w:pStyle w:val="Sinespaciado"/>
        <w:spacing w:before="240" w:after="160" w:line="360" w:lineRule="auto"/>
        <w:jc w:val="both"/>
        <w:rPr>
          <w:rFonts w:ascii="Palatino Linotype" w:hAnsi="Palatino Linotype"/>
        </w:rPr>
      </w:pPr>
    </w:p>
    <w:p w14:paraId="6A78FA18" w14:textId="782040EB" w:rsidR="00F86877" w:rsidRDefault="007243C8" w:rsidP="007243C8">
      <w:pPr>
        <w:pStyle w:val="Sinespaciado"/>
        <w:spacing w:before="240" w:after="160" w:line="360" w:lineRule="auto"/>
        <w:jc w:val="both"/>
        <w:rPr>
          <w:rFonts w:ascii="Palatino Linotype" w:hAnsi="Palatino Linotype" w:cs="Arial"/>
        </w:rPr>
      </w:pPr>
      <w:r>
        <w:rPr>
          <w:rFonts w:ascii="Palatino Linotype" w:hAnsi="Palatino Linotype" w:cs="Arial"/>
        </w:rPr>
        <w:t xml:space="preserve">Inconforme con la respuesta del </w:t>
      </w:r>
      <w:r>
        <w:rPr>
          <w:rFonts w:ascii="Palatino Linotype" w:hAnsi="Palatino Linotype" w:cs="Arial"/>
          <w:b/>
        </w:rPr>
        <w:t xml:space="preserve">Sujeto Obligado, </w:t>
      </w:r>
      <w:r w:rsidR="00F86877">
        <w:rPr>
          <w:rFonts w:ascii="Palatino Linotype" w:hAnsi="Palatino Linotype" w:cs="Arial"/>
          <w:b/>
        </w:rPr>
        <w:t>El</w:t>
      </w:r>
      <w:r>
        <w:rPr>
          <w:rFonts w:ascii="Palatino Linotype" w:hAnsi="Palatino Linotype" w:cs="Arial"/>
          <w:b/>
        </w:rPr>
        <w:t xml:space="preserve"> Recurrente </w:t>
      </w:r>
      <w:r>
        <w:rPr>
          <w:rFonts w:ascii="Palatino Linotype" w:hAnsi="Palatino Linotype" w:cs="Arial"/>
        </w:rPr>
        <w:t xml:space="preserve">interpuso recurso de revisión en fecha </w:t>
      </w:r>
      <w:r w:rsidR="00F86877">
        <w:rPr>
          <w:rFonts w:ascii="Palatino Linotype" w:hAnsi="Palatino Linotype" w:cs="Arial"/>
        </w:rPr>
        <w:t>veintiuno de febrero, admitiéndose el veintisiete de febrero, ambos del año dos mil veinte. Señalando como razones o motivos de inconformidad:</w:t>
      </w:r>
    </w:p>
    <w:p w14:paraId="0554894A" w14:textId="77777777" w:rsidR="00F86877" w:rsidRPr="00C427C0" w:rsidRDefault="00F86877" w:rsidP="00F86877">
      <w:pPr>
        <w:pStyle w:val="Estilo1"/>
      </w:pPr>
      <w:r w:rsidRPr="00C427C0">
        <w:t xml:space="preserve">“El sujeto obligado y su Comité con la resolución adoptada de RESERVA TOTAL de la información solicitada por 60 días hábiles, deja en estado de indefension y violenta gravemente los DERECHOS HUMANOS POR UN AMBIENTE SANO y el DERECHO HUMANO A LA SALUD y al autorizar el estudio de Impacto Ambiental en comento, sin contemplar lo siguiente y que ha sido motivo de litigios según lo señalado en el oficio numero 212090000/DGOIA/OF/2661/2017 de fecha 14 de noviembre de 2016 emitido por la Dirección General de Ordenamiento e Impacto Ambiental a través de la cual se determina que la parte actora (ahora el municipio) deberá someter a evaluación en materia de impacto ambiental, el proyecto </w:t>
      </w:r>
      <w:r w:rsidRPr="00C427C0">
        <w:lastRenderedPageBreak/>
        <w:t xml:space="preserve">denominado relleno sanitario del Municipio de Tlalnepantla de Baz, Estado de México, ubicado en la zona de Barrientos de dicho municipio; así mismo incluir como información adicional, el grado de cumplimiento a la NOM-083-SEMARNAT-2003 puntos 6.2.1, 6.2.2, 6.3, 6.4, 7.2, 7.3, 7.5, 7.10, 7.11, 7.11.1, 7.11.2, 7.11.3, 9.2, 9.3 y 9.4.2”. Por lo que dicha autorización, de darse positivamente AGRAVARÍA el MEDIO AMBIENTE Y LA SALUD de los habitantes, dado que pretenden ampliar por 20 años mas la vida útil de un Relleno que ya concluyo esta y donde la Secretaria del Medio Ambiente ha sido omisa en realizar la AUDITORIA AMBIENTAL necesaria.” </w:t>
      </w:r>
      <w:r w:rsidRPr="00C427C0">
        <w:rPr>
          <w:b/>
        </w:rPr>
        <w:t>[Sic]</w:t>
      </w:r>
    </w:p>
    <w:p w14:paraId="08677DDF" w14:textId="77777777" w:rsidR="00F86877" w:rsidRDefault="00F86877" w:rsidP="007243C8">
      <w:pPr>
        <w:pStyle w:val="Sinespaciado"/>
        <w:spacing w:before="240" w:after="160" w:line="360" w:lineRule="auto"/>
        <w:jc w:val="both"/>
        <w:rPr>
          <w:rFonts w:ascii="Palatino Linotype" w:hAnsi="Palatino Linotype" w:cs="Arial"/>
        </w:rPr>
      </w:pPr>
    </w:p>
    <w:p w14:paraId="5181C005" w14:textId="5B4385FE" w:rsidR="00F86877" w:rsidRDefault="00F86877" w:rsidP="007243C8">
      <w:pPr>
        <w:pStyle w:val="Sinespaciado"/>
        <w:spacing w:before="240" w:after="160" w:line="360" w:lineRule="auto"/>
        <w:jc w:val="both"/>
        <w:rPr>
          <w:rFonts w:ascii="Palatino Linotype" w:hAnsi="Palatino Linotype" w:cs="Arial"/>
        </w:rPr>
      </w:pPr>
      <w:r>
        <w:rPr>
          <w:rFonts w:ascii="Palatino Linotype" w:hAnsi="Palatino Linotype" w:cs="Arial"/>
        </w:rPr>
        <w:t xml:space="preserve">Por otra parte, como fue mencionado en el antecedente quinto, mediante informe justificado rendido por </w:t>
      </w:r>
      <w:r>
        <w:rPr>
          <w:rFonts w:ascii="Palatino Linotype" w:hAnsi="Palatino Linotype" w:cs="Arial"/>
          <w:b/>
          <w:bCs/>
        </w:rPr>
        <w:t xml:space="preserve">El Sujeto Obligado, </w:t>
      </w:r>
      <w:r>
        <w:rPr>
          <w:rFonts w:ascii="Palatino Linotype" w:hAnsi="Palatino Linotype" w:cs="Arial"/>
        </w:rPr>
        <w:t xml:space="preserve">esta ponencia resolutora se allegó de lo siguiente: </w:t>
      </w:r>
    </w:p>
    <w:p w14:paraId="487839C3" w14:textId="09D9FD6A" w:rsidR="00F86877" w:rsidRPr="00F86877" w:rsidRDefault="00F86877" w:rsidP="00F86877">
      <w:pPr>
        <w:pStyle w:val="Sinespaciado"/>
        <w:numPr>
          <w:ilvl w:val="0"/>
          <w:numId w:val="35"/>
        </w:numPr>
        <w:spacing w:before="240" w:after="160" w:line="360" w:lineRule="auto"/>
        <w:jc w:val="both"/>
        <w:rPr>
          <w:rFonts w:ascii="Palatino Linotype" w:hAnsi="Palatino Linotype" w:cs="Arial"/>
          <w:b/>
          <w:bCs/>
        </w:rPr>
      </w:pPr>
      <w:r>
        <w:rPr>
          <w:rFonts w:ascii="Palatino Linotype" w:hAnsi="Palatino Linotype" w:cs="Arial"/>
          <w:b/>
          <w:bCs/>
        </w:rPr>
        <w:t xml:space="preserve">“INFORME SMA A RECURSO DE REV.pdf”: </w:t>
      </w:r>
      <w:r>
        <w:rPr>
          <w:rFonts w:ascii="Palatino Linotype" w:hAnsi="Palatino Linotype" w:cs="Arial"/>
        </w:rPr>
        <w:t xml:space="preserve">Informe justificado rendido por la Unidad de Transparencia del </w:t>
      </w:r>
      <w:r>
        <w:rPr>
          <w:rFonts w:ascii="Palatino Linotype" w:hAnsi="Palatino Linotype" w:cs="Arial"/>
          <w:b/>
          <w:bCs/>
        </w:rPr>
        <w:t xml:space="preserve">Sujeto Obligado, </w:t>
      </w:r>
      <w:r>
        <w:rPr>
          <w:rFonts w:ascii="Palatino Linotype" w:hAnsi="Palatino Linotype" w:cs="Arial"/>
        </w:rPr>
        <w:t xml:space="preserve">en lo medular manifiesta que mediante el acuerdo </w:t>
      </w:r>
      <w:r>
        <w:rPr>
          <w:rFonts w:ascii="Palatino Linotype" w:hAnsi="Palatino Linotype" w:cs="Arial"/>
          <w:b/>
          <w:bCs/>
        </w:rPr>
        <w:t xml:space="preserve">CT-SMA/04-E/2020/002 </w:t>
      </w:r>
      <w:r>
        <w:rPr>
          <w:rFonts w:ascii="Palatino Linotype" w:hAnsi="Palatino Linotype" w:cs="Arial"/>
        </w:rPr>
        <w:t xml:space="preserve">de la Cuarta Sesión Extraordinaria del ejercicio 2020 del Comité de Transparencia se fundamentó la reserva de la información requerida mediante la solicitud de información </w:t>
      </w:r>
      <w:r>
        <w:rPr>
          <w:rFonts w:ascii="Palatino Linotype" w:hAnsi="Palatino Linotype" w:cs="Arial"/>
          <w:b/>
          <w:bCs/>
        </w:rPr>
        <w:t xml:space="preserve">00048/SMA/IP/2020. </w:t>
      </w:r>
      <w:r>
        <w:rPr>
          <w:rFonts w:ascii="Palatino Linotype" w:hAnsi="Palatino Linotype" w:cs="Arial"/>
        </w:rPr>
        <w:t xml:space="preserve"> </w:t>
      </w:r>
    </w:p>
    <w:p w14:paraId="781BB993" w14:textId="77777777" w:rsidR="00E3326E" w:rsidRDefault="00E3326E" w:rsidP="005D698D">
      <w:pPr>
        <w:pStyle w:val="Sinespaciado"/>
        <w:spacing w:before="240" w:after="160" w:line="360" w:lineRule="auto"/>
        <w:jc w:val="both"/>
        <w:rPr>
          <w:rFonts w:ascii="Palatino Linotype" w:hAnsi="Palatino Linotype" w:cs="Arial"/>
        </w:rPr>
      </w:pPr>
    </w:p>
    <w:p w14:paraId="79BC4049" w14:textId="187A5312" w:rsidR="00D71D21" w:rsidRDefault="00D71D21" w:rsidP="00EE5787">
      <w:pPr>
        <w:spacing w:before="240" w:line="360" w:lineRule="auto"/>
        <w:jc w:val="both"/>
        <w:rPr>
          <w:rFonts w:ascii="Palatino Linotype" w:hAnsi="Palatino Linotype" w:cs="Arial"/>
          <w:sz w:val="24"/>
          <w:szCs w:val="24"/>
        </w:rPr>
      </w:pPr>
      <w:r>
        <w:rPr>
          <w:rFonts w:ascii="Palatino Linotype" w:hAnsi="Palatino Linotype" w:cs="Arial"/>
          <w:sz w:val="24"/>
          <w:szCs w:val="24"/>
        </w:rPr>
        <w:t>C</w:t>
      </w:r>
      <w:r w:rsidR="003F4F5D" w:rsidRPr="00EC3FC6">
        <w:rPr>
          <w:rFonts w:ascii="Palatino Linotype" w:hAnsi="Palatino Linotype" w:cs="Arial"/>
          <w:sz w:val="24"/>
          <w:szCs w:val="24"/>
        </w:rPr>
        <w:t xml:space="preserve">on base en lo anteriormente expuesto, </w:t>
      </w:r>
      <w:r w:rsidR="00EC3FC6">
        <w:rPr>
          <w:rFonts w:ascii="Palatino Linotype" w:hAnsi="Palatino Linotype" w:cs="Arial"/>
          <w:sz w:val="24"/>
          <w:szCs w:val="24"/>
        </w:rPr>
        <w:t xml:space="preserve">resulta inconcuso </w:t>
      </w:r>
      <w:r w:rsidR="00605178">
        <w:rPr>
          <w:rFonts w:ascii="Palatino Linotype" w:hAnsi="Palatino Linotype" w:cs="Arial"/>
          <w:sz w:val="24"/>
          <w:szCs w:val="24"/>
        </w:rPr>
        <w:t>que,</w:t>
      </w:r>
      <w:r>
        <w:rPr>
          <w:rFonts w:ascii="Palatino Linotype" w:hAnsi="Palatino Linotype" w:cs="Arial"/>
          <w:sz w:val="24"/>
          <w:szCs w:val="24"/>
        </w:rPr>
        <w:t xml:space="preserve"> </w:t>
      </w:r>
      <w:r w:rsidR="00605178">
        <w:rPr>
          <w:rFonts w:ascii="Palatino Linotype" w:hAnsi="Palatino Linotype" w:cs="Arial"/>
          <w:sz w:val="24"/>
          <w:szCs w:val="24"/>
        </w:rPr>
        <w:t xml:space="preserve">mediante respuesta e informe justificado, </w:t>
      </w:r>
      <w:r w:rsidR="00605178">
        <w:rPr>
          <w:rFonts w:ascii="Palatino Linotype" w:hAnsi="Palatino Linotype" w:cs="Arial"/>
          <w:b/>
          <w:bCs/>
          <w:sz w:val="24"/>
          <w:szCs w:val="24"/>
        </w:rPr>
        <w:t xml:space="preserve">El Sujeto Obligado </w:t>
      </w:r>
      <w:r w:rsidR="00605178">
        <w:rPr>
          <w:rFonts w:ascii="Palatino Linotype" w:hAnsi="Palatino Linotype" w:cs="Arial"/>
          <w:sz w:val="24"/>
          <w:szCs w:val="24"/>
        </w:rPr>
        <w:t xml:space="preserve">pretendió clasificar como reservada la </w:t>
      </w:r>
      <w:r w:rsidR="00605178">
        <w:rPr>
          <w:rFonts w:ascii="Palatino Linotype" w:hAnsi="Palatino Linotype" w:cs="Arial"/>
          <w:sz w:val="24"/>
          <w:szCs w:val="24"/>
        </w:rPr>
        <w:lastRenderedPageBreak/>
        <w:t xml:space="preserve">información requerida, estimando para tal efecto un plazo </w:t>
      </w:r>
      <w:r w:rsidR="00605178" w:rsidRPr="00605178">
        <w:rPr>
          <w:rFonts w:ascii="Palatino Linotype" w:hAnsi="Palatino Linotype" w:cs="Arial"/>
          <w:b/>
          <w:bCs/>
          <w:sz w:val="24"/>
          <w:szCs w:val="24"/>
          <w:u w:val="single"/>
        </w:rPr>
        <w:t>máximo</w:t>
      </w:r>
      <w:r w:rsidR="00605178">
        <w:rPr>
          <w:rFonts w:ascii="Palatino Linotype" w:hAnsi="Palatino Linotype" w:cs="Arial"/>
          <w:sz w:val="24"/>
          <w:szCs w:val="24"/>
        </w:rPr>
        <w:t xml:space="preserve"> de </w:t>
      </w:r>
      <w:r w:rsidR="00605178" w:rsidRPr="00605178">
        <w:rPr>
          <w:rFonts w:ascii="Palatino Linotype" w:hAnsi="Palatino Linotype" w:cs="Arial"/>
          <w:b/>
          <w:bCs/>
          <w:sz w:val="24"/>
          <w:szCs w:val="24"/>
        </w:rPr>
        <w:t xml:space="preserve">60 </w:t>
      </w:r>
      <w:r w:rsidR="00605178">
        <w:rPr>
          <w:rFonts w:ascii="Palatino Linotype" w:hAnsi="Palatino Linotype" w:cs="Arial"/>
          <w:sz w:val="24"/>
          <w:szCs w:val="24"/>
        </w:rPr>
        <w:t xml:space="preserve">-sesenta- días hábiles para formular la resolución en materia de impacto y riesgo ambiental, precisando que los documentos clasificados como reservados serán públicos cuando: </w:t>
      </w:r>
    </w:p>
    <w:p w14:paraId="5CF0AAED" w14:textId="3318AC95" w:rsidR="00605178" w:rsidRDefault="00605178" w:rsidP="00605178">
      <w:pPr>
        <w:pStyle w:val="Prrafodelista"/>
        <w:numPr>
          <w:ilvl w:val="0"/>
          <w:numId w:val="37"/>
        </w:numPr>
        <w:spacing w:before="240" w:line="360" w:lineRule="auto"/>
        <w:jc w:val="both"/>
        <w:rPr>
          <w:rFonts w:ascii="Palatino Linotype" w:hAnsi="Palatino Linotype" w:cs="Arial"/>
        </w:rPr>
      </w:pPr>
      <w:r>
        <w:rPr>
          <w:rFonts w:ascii="Palatino Linotype" w:hAnsi="Palatino Linotype" w:cs="Arial"/>
        </w:rPr>
        <w:t xml:space="preserve">Se extingan las causas que dieron origen a su clasificación. </w:t>
      </w:r>
    </w:p>
    <w:p w14:paraId="54A18DDF" w14:textId="7B77ACB9" w:rsidR="00605178" w:rsidRDefault="00605178" w:rsidP="00605178">
      <w:pPr>
        <w:pStyle w:val="Prrafodelista"/>
        <w:numPr>
          <w:ilvl w:val="0"/>
          <w:numId w:val="37"/>
        </w:numPr>
        <w:spacing w:before="240" w:line="360" w:lineRule="auto"/>
        <w:jc w:val="both"/>
        <w:rPr>
          <w:rFonts w:ascii="Palatino Linotype" w:hAnsi="Palatino Linotype" w:cs="Arial"/>
        </w:rPr>
      </w:pPr>
      <w:r>
        <w:rPr>
          <w:rFonts w:ascii="Palatino Linotype" w:hAnsi="Palatino Linotype" w:cs="Arial"/>
        </w:rPr>
        <w:t xml:space="preserve">Expire el plazo de clasificación. </w:t>
      </w:r>
    </w:p>
    <w:p w14:paraId="392A2D51" w14:textId="0F164BB2" w:rsidR="00605178" w:rsidRDefault="00605178" w:rsidP="00605178">
      <w:pPr>
        <w:pStyle w:val="Prrafodelista"/>
        <w:numPr>
          <w:ilvl w:val="0"/>
          <w:numId w:val="37"/>
        </w:numPr>
        <w:spacing w:before="240" w:line="360" w:lineRule="auto"/>
        <w:jc w:val="both"/>
        <w:rPr>
          <w:rFonts w:ascii="Palatino Linotype" w:hAnsi="Palatino Linotype" w:cs="Arial"/>
        </w:rPr>
      </w:pPr>
      <w:r>
        <w:rPr>
          <w:rFonts w:ascii="Palatino Linotype" w:hAnsi="Palatino Linotype" w:cs="Arial"/>
        </w:rPr>
        <w:t xml:space="preserve">Existe resolución de autoridad competente que determine la existencia de una causa de interés público que prevalece sobre la reserva de la información. </w:t>
      </w:r>
    </w:p>
    <w:p w14:paraId="6959E2A4" w14:textId="3ECD3CE1" w:rsidR="00605178" w:rsidRPr="00605178" w:rsidRDefault="00605178" w:rsidP="00605178">
      <w:pPr>
        <w:pStyle w:val="Prrafodelista"/>
        <w:numPr>
          <w:ilvl w:val="0"/>
          <w:numId w:val="37"/>
        </w:numPr>
        <w:spacing w:before="240" w:line="360" w:lineRule="auto"/>
        <w:jc w:val="both"/>
        <w:rPr>
          <w:rFonts w:ascii="Palatino Linotype" w:hAnsi="Palatino Linotype" w:cs="Arial"/>
        </w:rPr>
      </w:pPr>
      <w:r>
        <w:rPr>
          <w:rFonts w:ascii="Palatino Linotype" w:hAnsi="Palatino Linotype" w:cs="Arial"/>
        </w:rPr>
        <w:t xml:space="preserve">El Comité de Transparencia considere pertinente la desclasificación. </w:t>
      </w:r>
    </w:p>
    <w:p w14:paraId="3CCE64A0" w14:textId="65629CD1" w:rsidR="00605178" w:rsidRDefault="00605178" w:rsidP="00EE5787">
      <w:pPr>
        <w:spacing w:before="240" w:line="360" w:lineRule="auto"/>
        <w:jc w:val="both"/>
        <w:rPr>
          <w:rFonts w:ascii="Palatino Linotype" w:hAnsi="Palatino Linotype" w:cs="Arial"/>
          <w:sz w:val="24"/>
          <w:szCs w:val="24"/>
        </w:rPr>
      </w:pPr>
    </w:p>
    <w:p w14:paraId="1326DDC3" w14:textId="7E4E0DE6" w:rsidR="00605178" w:rsidRDefault="00605178" w:rsidP="00EE5787">
      <w:pPr>
        <w:spacing w:before="240" w:line="360" w:lineRule="auto"/>
        <w:jc w:val="both"/>
        <w:rPr>
          <w:rFonts w:ascii="Palatino Linotype" w:hAnsi="Palatino Linotype" w:cs="Arial"/>
          <w:sz w:val="24"/>
          <w:szCs w:val="24"/>
        </w:rPr>
      </w:pPr>
      <w:r>
        <w:rPr>
          <w:rFonts w:ascii="Palatino Linotype" w:hAnsi="Palatino Linotype" w:cs="Arial"/>
          <w:sz w:val="24"/>
          <w:szCs w:val="24"/>
        </w:rPr>
        <w:t>En este tenor, resulta inconcuso que la causal de reserva es susceptible de ser extinguida por diversas causales y no solo por el simple transcurso del tiempo</w:t>
      </w:r>
      <w:r w:rsidR="00C30E45">
        <w:rPr>
          <w:rFonts w:ascii="Palatino Linotype" w:hAnsi="Palatino Linotype" w:cs="Arial"/>
          <w:sz w:val="24"/>
          <w:szCs w:val="24"/>
        </w:rPr>
        <w:t xml:space="preserve">. </w:t>
      </w:r>
      <w:r w:rsidR="00F825BB">
        <w:rPr>
          <w:rFonts w:ascii="Palatino Linotype" w:hAnsi="Palatino Linotype" w:cs="Arial"/>
          <w:sz w:val="24"/>
          <w:szCs w:val="24"/>
        </w:rPr>
        <w:t>C</w:t>
      </w:r>
      <w:r>
        <w:rPr>
          <w:rFonts w:ascii="Palatino Linotype" w:hAnsi="Palatino Linotype" w:cs="Arial"/>
          <w:sz w:val="24"/>
          <w:szCs w:val="24"/>
        </w:rPr>
        <w:t xml:space="preserve">onsecuentemente, resulta procedente ordenar </w:t>
      </w:r>
      <w:r w:rsidR="006C3CF7">
        <w:rPr>
          <w:rFonts w:ascii="Palatino Linotype" w:hAnsi="Palatino Linotype" w:cs="Arial"/>
          <w:sz w:val="24"/>
          <w:szCs w:val="24"/>
        </w:rPr>
        <w:t>la entrega de</w:t>
      </w:r>
      <w:r>
        <w:rPr>
          <w:rFonts w:ascii="Palatino Linotype" w:hAnsi="Palatino Linotype" w:cs="Arial"/>
          <w:sz w:val="24"/>
          <w:szCs w:val="24"/>
        </w:rPr>
        <w:t xml:space="preserve"> la siguiente información en versión pública (acompañada del respectivo acuerdo), de ser procedente: </w:t>
      </w:r>
    </w:p>
    <w:p w14:paraId="65060F72" w14:textId="69C74D06" w:rsidR="00D31B35" w:rsidRPr="00833433" w:rsidRDefault="00605178" w:rsidP="00D31B35">
      <w:pPr>
        <w:spacing w:before="240" w:line="360" w:lineRule="auto"/>
        <w:jc w:val="both"/>
        <w:rPr>
          <w:rFonts w:ascii="Palatino Linotype" w:hAnsi="Palatino Linotype" w:cs="Arial"/>
          <w:b/>
          <w:bCs/>
          <w:sz w:val="24"/>
          <w:szCs w:val="24"/>
          <w:lang w:eastAsia="es-MX"/>
        </w:rPr>
      </w:pPr>
      <w:r>
        <w:rPr>
          <w:rFonts w:ascii="Palatino Linotype" w:hAnsi="Palatino Linotype" w:cs="Arial"/>
          <w:bCs/>
          <w:sz w:val="24"/>
          <w:szCs w:val="24"/>
          <w:lang w:eastAsia="es-MX"/>
        </w:rPr>
        <w:t xml:space="preserve">1.- Estudio de Impacto Ambiental correspondiente a la obra referida en la solicitud de información </w:t>
      </w:r>
      <w:r>
        <w:rPr>
          <w:rFonts w:ascii="Palatino Linotype" w:hAnsi="Palatino Linotype" w:cs="Arial"/>
          <w:b/>
          <w:sz w:val="24"/>
          <w:szCs w:val="24"/>
          <w:lang w:eastAsia="es-MX"/>
        </w:rPr>
        <w:t>00048/SMA/IP/2020</w:t>
      </w:r>
      <w:r w:rsidR="00D31B35">
        <w:rPr>
          <w:rFonts w:ascii="Palatino Linotype" w:hAnsi="Palatino Linotype" w:cs="Arial"/>
          <w:b/>
          <w:sz w:val="24"/>
          <w:szCs w:val="24"/>
          <w:lang w:eastAsia="es-MX"/>
        </w:rPr>
        <w:t xml:space="preserve"> </w:t>
      </w:r>
      <w:r w:rsidR="00D31B35" w:rsidRPr="00D31B35">
        <w:rPr>
          <w:rFonts w:ascii="Palatino Linotype" w:hAnsi="Palatino Linotype" w:cs="Arial"/>
          <w:bCs/>
          <w:sz w:val="24"/>
          <w:szCs w:val="24"/>
          <w:lang w:eastAsia="es-MX"/>
        </w:rPr>
        <w:t>y</w:t>
      </w:r>
      <w:r w:rsidR="00D31B35">
        <w:rPr>
          <w:rFonts w:ascii="Palatino Linotype" w:hAnsi="Palatino Linotype" w:cs="Arial"/>
          <w:b/>
          <w:sz w:val="24"/>
          <w:szCs w:val="24"/>
          <w:lang w:eastAsia="es-MX"/>
        </w:rPr>
        <w:t xml:space="preserve"> </w:t>
      </w:r>
      <w:r w:rsidR="00D31B35" w:rsidRPr="00833433">
        <w:rPr>
          <w:rFonts w:ascii="Palatino Linotype" w:hAnsi="Palatino Linotype"/>
          <w:sz w:val="24"/>
          <w:szCs w:val="24"/>
        </w:rPr>
        <w:t xml:space="preserve">remitida mediante el </w:t>
      </w:r>
      <w:r w:rsidR="00D31B35">
        <w:rPr>
          <w:rFonts w:ascii="Palatino Linotype" w:hAnsi="Palatino Linotype"/>
          <w:sz w:val="24"/>
          <w:szCs w:val="24"/>
        </w:rPr>
        <w:t>oficio</w:t>
      </w:r>
      <w:r w:rsidR="00D31B35" w:rsidRPr="00833433">
        <w:rPr>
          <w:rFonts w:ascii="Palatino Linotype" w:hAnsi="Palatino Linotype"/>
          <w:sz w:val="24"/>
          <w:szCs w:val="24"/>
        </w:rPr>
        <w:t xml:space="preserve"> </w:t>
      </w:r>
      <w:r w:rsidR="00D31B35" w:rsidRPr="00833433">
        <w:rPr>
          <w:rFonts w:ascii="Palatino Linotype" w:hAnsi="Palatino Linotype"/>
          <w:b/>
          <w:bCs/>
          <w:sz w:val="24"/>
          <w:szCs w:val="24"/>
        </w:rPr>
        <w:t>DSAM/DJNA/0585/2019.</w:t>
      </w:r>
      <w:r w:rsidR="00D31B35" w:rsidRPr="00833433">
        <w:rPr>
          <w:rFonts w:ascii="Palatino Linotype" w:hAnsi="Palatino Linotype"/>
          <w:b/>
          <w:bCs/>
          <w:i/>
          <w:iCs/>
          <w:u w:val="single"/>
        </w:rPr>
        <w:t xml:space="preserve"> </w:t>
      </w:r>
    </w:p>
    <w:p w14:paraId="178340A3" w14:textId="348B846C" w:rsidR="00605178" w:rsidRPr="00794F39" w:rsidRDefault="00605178" w:rsidP="00605178">
      <w:pPr>
        <w:spacing w:before="240" w:line="360" w:lineRule="auto"/>
        <w:jc w:val="both"/>
        <w:rPr>
          <w:rFonts w:ascii="Palatino Linotype" w:hAnsi="Palatino Linotype" w:cs="Arial"/>
          <w:b/>
          <w:sz w:val="24"/>
          <w:szCs w:val="24"/>
          <w:lang w:eastAsia="es-MX"/>
        </w:rPr>
      </w:pPr>
      <w:r>
        <w:rPr>
          <w:rFonts w:ascii="Palatino Linotype" w:hAnsi="Palatino Linotype" w:cs="Arial"/>
          <w:b/>
          <w:sz w:val="24"/>
          <w:szCs w:val="24"/>
          <w:lang w:eastAsia="es-MX"/>
        </w:rPr>
        <w:t xml:space="preserve"> </w:t>
      </w:r>
    </w:p>
    <w:p w14:paraId="309D9F3C" w14:textId="32681E9B" w:rsidR="00605178" w:rsidRDefault="00605178" w:rsidP="00EE5787">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Por otra parte, para el supuesto de que </w:t>
      </w:r>
      <w:r>
        <w:rPr>
          <w:rFonts w:ascii="Palatino Linotype" w:hAnsi="Palatino Linotype" w:cs="Arial"/>
          <w:b/>
          <w:bCs/>
          <w:sz w:val="24"/>
          <w:szCs w:val="24"/>
        </w:rPr>
        <w:t xml:space="preserve">EL Sujeto Obligado </w:t>
      </w:r>
      <w:r>
        <w:rPr>
          <w:rFonts w:ascii="Palatino Linotype" w:hAnsi="Palatino Linotype" w:cs="Arial"/>
          <w:sz w:val="24"/>
          <w:szCs w:val="24"/>
        </w:rPr>
        <w:t xml:space="preserve">determine que la causal de reserva sigue subsistente, esté deberá de remitir un nuevo acuerdo de clasificación que cumpla con los estándares mínimos contemplados en la normatividad aplicable. </w:t>
      </w:r>
    </w:p>
    <w:p w14:paraId="26B41833" w14:textId="5470AFCA" w:rsidR="00605178" w:rsidRPr="00E97BEA" w:rsidRDefault="00E97BEA" w:rsidP="00E97BEA">
      <w:pPr>
        <w:pStyle w:val="Prrafodelista"/>
        <w:numPr>
          <w:ilvl w:val="0"/>
          <w:numId w:val="38"/>
        </w:numPr>
        <w:spacing w:before="240" w:line="360" w:lineRule="auto"/>
        <w:jc w:val="both"/>
        <w:rPr>
          <w:rFonts w:ascii="Palatino Linotype" w:hAnsi="Palatino Linotype" w:cs="Arial"/>
          <w:b/>
          <w:bCs/>
          <w:sz w:val="28"/>
          <w:szCs w:val="28"/>
        </w:rPr>
      </w:pPr>
      <w:r w:rsidRPr="00E97BEA">
        <w:rPr>
          <w:rFonts w:ascii="Palatino Linotype" w:hAnsi="Palatino Linotype" w:cs="Arial"/>
          <w:b/>
          <w:bCs/>
          <w:sz w:val="28"/>
          <w:szCs w:val="28"/>
        </w:rPr>
        <w:lastRenderedPageBreak/>
        <w:t xml:space="preserve">De la clasificación de la información como reservada </w:t>
      </w:r>
    </w:p>
    <w:p w14:paraId="3073F742" w14:textId="77777777" w:rsidR="00D71D21" w:rsidRPr="00F825BB" w:rsidRDefault="00D71D21" w:rsidP="00E97BEA">
      <w:pPr>
        <w:spacing w:before="240" w:line="360" w:lineRule="auto"/>
        <w:jc w:val="both"/>
        <w:rPr>
          <w:rFonts w:ascii="Palatino Linotype" w:hAnsi="Palatino Linotype"/>
          <w:b/>
          <w:sz w:val="24"/>
          <w:szCs w:val="24"/>
        </w:rPr>
      </w:pPr>
      <w:r w:rsidRPr="00F825BB">
        <w:rPr>
          <w:rFonts w:ascii="Palatino Linotype" w:hAnsi="Palatino Linotype"/>
          <w:sz w:val="24"/>
          <w:szCs w:val="24"/>
        </w:rPr>
        <w:t xml:space="preserve">La clasificación de la información es el proceso mediante el cual los </w:t>
      </w:r>
      <w:r w:rsidRPr="00F825BB">
        <w:rPr>
          <w:rFonts w:ascii="Palatino Linotype" w:hAnsi="Palatino Linotype"/>
          <w:b/>
          <w:sz w:val="24"/>
          <w:szCs w:val="24"/>
        </w:rPr>
        <w:t xml:space="preserve">Sujetos Obligados </w:t>
      </w:r>
      <w:r w:rsidRPr="00F825BB">
        <w:rPr>
          <w:rFonts w:ascii="Palatino Linotype" w:hAnsi="Palatino Linotype"/>
          <w:sz w:val="24"/>
          <w:szCs w:val="24"/>
        </w:rPr>
        <w:t xml:space="preserve">determinan que la información requerida actualiza alguno de los supuestos de confidencialidad </w:t>
      </w:r>
      <w:r w:rsidRPr="00F825BB">
        <w:rPr>
          <w:rFonts w:ascii="Palatino Linotype" w:hAnsi="Palatino Linotype"/>
          <w:b/>
          <w:sz w:val="24"/>
          <w:szCs w:val="24"/>
        </w:rPr>
        <w:t xml:space="preserve">o </w:t>
      </w:r>
      <w:r w:rsidRPr="00F825BB">
        <w:rPr>
          <w:rFonts w:ascii="Palatino Linotype" w:hAnsi="Palatino Linotype"/>
          <w:b/>
          <w:sz w:val="24"/>
          <w:szCs w:val="24"/>
          <w:u w:val="single"/>
        </w:rPr>
        <w:t>reserva,</w:t>
      </w:r>
      <w:r w:rsidRPr="00F825BB">
        <w:rPr>
          <w:rFonts w:ascii="Palatino Linotype" w:hAnsi="Palatino Linotype"/>
          <w:b/>
          <w:sz w:val="24"/>
          <w:szCs w:val="24"/>
        </w:rPr>
        <w:t xml:space="preserve"> </w:t>
      </w:r>
      <w:r w:rsidRPr="00F825BB">
        <w:rPr>
          <w:rFonts w:ascii="Palatino Linotype" w:hAnsi="Palatino Linotype"/>
          <w:sz w:val="24"/>
          <w:szCs w:val="24"/>
        </w:rPr>
        <w:t xml:space="preserve">de acuerdo con las bases y los principios inmersos en la normatividad aplicable. </w:t>
      </w:r>
    </w:p>
    <w:p w14:paraId="6BE1627C" w14:textId="77777777" w:rsidR="00D71D21" w:rsidRPr="00F825BB" w:rsidRDefault="00D71D21" w:rsidP="00E97BEA">
      <w:pPr>
        <w:spacing w:before="240" w:line="360" w:lineRule="auto"/>
        <w:jc w:val="both"/>
        <w:rPr>
          <w:rFonts w:ascii="Palatino Linotype" w:hAnsi="Palatino Linotype"/>
          <w:b/>
          <w:sz w:val="24"/>
          <w:szCs w:val="24"/>
        </w:rPr>
      </w:pPr>
      <w:r w:rsidRPr="00F825BB">
        <w:rPr>
          <w:rFonts w:ascii="Palatino Linotype" w:hAnsi="Palatino Linotype"/>
          <w:sz w:val="24"/>
          <w:szCs w:val="24"/>
        </w:rPr>
        <w:t>El artículo 140 de la Ley de Transparencia y Acceso a la Información del Estado de México y Municipios enlista de manera estricta y limitativa las causales de procedencia para clasificar soportes documentales como información reservada.</w:t>
      </w:r>
    </w:p>
    <w:p w14:paraId="408C2223" w14:textId="77777777" w:rsidR="00D71D21" w:rsidRPr="00F825BB" w:rsidRDefault="00D71D21" w:rsidP="00E97BEA">
      <w:pPr>
        <w:spacing w:before="240" w:line="360" w:lineRule="auto"/>
        <w:jc w:val="both"/>
        <w:rPr>
          <w:rFonts w:ascii="Palatino Linotype" w:hAnsi="Palatino Linotype"/>
          <w:b/>
          <w:sz w:val="24"/>
          <w:szCs w:val="24"/>
        </w:rPr>
      </w:pPr>
      <w:r w:rsidRPr="00F825BB">
        <w:rPr>
          <w:rFonts w:ascii="Palatino Linotype" w:hAnsi="Palatino Linotype"/>
          <w:sz w:val="24"/>
          <w:szCs w:val="24"/>
        </w:rPr>
        <w:t xml:space="preserve">Para realizar la reserva la información, no basta con invocar alguna de las causales previstas en la Ley de transparencia local. En sentido contrario, dicha valoración debe realizarse a través de lo que se conoce como </w:t>
      </w:r>
      <w:r w:rsidRPr="00F825BB">
        <w:rPr>
          <w:rFonts w:ascii="Palatino Linotype" w:hAnsi="Palatino Linotype"/>
          <w:b/>
          <w:i/>
          <w:sz w:val="24"/>
          <w:szCs w:val="24"/>
        </w:rPr>
        <w:t xml:space="preserve">“prueba de daño”, </w:t>
      </w:r>
      <w:r w:rsidRPr="00F825BB">
        <w:rPr>
          <w:rFonts w:ascii="Palatino Linotype" w:hAnsi="Palatino Linotype"/>
          <w:sz w:val="24"/>
          <w:szCs w:val="24"/>
        </w:rPr>
        <w:t>que consiste en exponer los argumentos y razones, basados en elementos objetivos o verificables, a partir de los cuales se derive que la divulgación de información, en particular, puede afectar, poner en riesgo o dañar el interés protegido</w:t>
      </w:r>
      <w:r w:rsidRPr="00F825BB">
        <w:rPr>
          <w:sz w:val="24"/>
          <w:szCs w:val="24"/>
          <w:vertAlign w:val="superscript"/>
        </w:rPr>
        <w:footnoteReference w:id="2"/>
      </w:r>
      <w:r w:rsidRPr="00F825BB">
        <w:rPr>
          <w:rFonts w:ascii="Palatino Linotype" w:hAnsi="Palatino Linotype"/>
          <w:sz w:val="24"/>
          <w:szCs w:val="24"/>
        </w:rPr>
        <w:t>. Asimismo, ésta no debe basarse en meras especulaciones o suposiciones, sino en elementos objetivos que deban evaluar que existe un riego actual e inminente</w:t>
      </w:r>
      <w:r w:rsidRPr="00F825BB">
        <w:rPr>
          <w:sz w:val="24"/>
          <w:szCs w:val="24"/>
          <w:vertAlign w:val="superscript"/>
        </w:rPr>
        <w:footnoteReference w:id="3"/>
      </w:r>
      <w:r w:rsidRPr="00F825BB">
        <w:rPr>
          <w:rFonts w:ascii="Palatino Linotype" w:hAnsi="Palatino Linotype"/>
          <w:sz w:val="24"/>
          <w:szCs w:val="24"/>
        </w:rPr>
        <w:t>.</w:t>
      </w:r>
    </w:p>
    <w:p w14:paraId="5B06728D" w14:textId="77777777" w:rsidR="00D71D21" w:rsidRPr="00F825BB" w:rsidRDefault="00D71D21" w:rsidP="00E97BEA">
      <w:pPr>
        <w:spacing w:line="360" w:lineRule="auto"/>
        <w:jc w:val="both"/>
        <w:rPr>
          <w:rFonts w:ascii="Palatino Linotype" w:hAnsi="Palatino Linotype"/>
          <w:color w:val="000000" w:themeColor="text1"/>
          <w:sz w:val="24"/>
          <w:szCs w:val="24"/>
        </w:rPr>
      </w:pPr>
      <w:r w:rsidRPr="00F825BB">
        <w:rPr>
          <w:rFonts w:ascii="Palatino Linotype" w:hAnsi="Palatino Linotype"/>
          <w:color w:val="000000" w:themeColor="text1"/>
          <w:sz w:val="24"/>
          <w:szCs w:val="24"/>
        </w:rPr>
        <w:t xml:space="preserve">Adicionalmente los artículos 129 y 134 último párrafo de la Ley Estatal y 104 y 108 último párrafo de la Ley General, respectivamente, determinan que se debe realizar un análisis caso por caso, aplicando la prueba de daño. Esto implica que la motivación, </w:t>
      </w:r>
      <w:r w:rsidRPr="00F825BB">
        <w:rPr>
          <w:rFonts w:ascii="Palatino Linotype" w:hAnsi="Palatino Linotype"/>
          <w:color w:val="000000" w:themeColor="text1"/>
          <w:sz w:val="24"/>
          <w:szCs w:val="24"/>
        </w:rPr>
        <w:lastRenderedPageBreak/>
        <w:t xml:space="preserve">que acredite la correspondencia entre el supuesto de hecho y la hipótesis normativa señalando las razones, motivos o circunstancias es una parte del acuerdo y otra parte, distinta, es la que corresponde a la prueba de daño, la que debe aplicarse caso por caso, esto es, no se puede hacer una prueba de daño de un expediente completo, </w:t>
      </w:r>
      <w:r w:rsidRPr="00F825BB">
        <w:rPr>
          <w:rFonts w:ascii="Palatino Linotype" w:hAnsi="Palatino Linotype"/>
          <w:b/>
          <w:color w:val="000000" w:themeColor="text1"/>
          <w:sz w:val="24"/>
          <w:szCs w:val="24"/>
          <w:u w:val="single"/>
        </w:rPr>
        <w:t>sino de cada uno de los documentos que lo integran</w:t>
      </w:r>
      <w:r w:rsidRPr="00F825BB">
        <w:rPr>
          <w:rFonts w:ascii="Palatino Linotype" w:hAnsi="Palatino Linotype"/>
          <w:color w:val="000000" w:themeColor="text1"/>
          <w:sz w:val="24"/>
          <w:szCs w:val="24"/>
        </w:rPr>
        <w:t>.</w:t>
      </w:r>
    </w:p>
    <w:p w14:paraId="3E9E0A9C" w14:textId="77777777" w:rsidR="00D71D21" w:rsidRPr="00F825BB" w:rsidRDefault="00D71D21" w:rsidP="00E97BEA">
      <w:pPr>
        <w:spacing w:line="360" w:lineRule="auto"/>
        <w:jc w:val="both"/>
        <w:rPr>
          <w:rFonts w:ascii="Palatino Linotype" w:hAnsi="Palatino Linotype"/>
          <w:color w:val="000000" w:themeColor="text1"/>
          <w:sz w:val="24"/>
          <w:szCs w:val="24"/>
        </w:rPr>
      </w:pPr>
      <w:r w:rsidRPr="00F825BB">
        <w:rPr>
          <w:rFonts w:ascii="Palatino Linotype" w:hAnsi="Palatino Linotype"/>
          <w:color w:val="000000" w:themeColor="text1"/>
          <w:sz w:val="24"/>
          <w:szCs w:val="24"/>
        </w:rPr>
        <w:t>Para aplicar la prueba de daño, se deberán de precisar las razones objetivas por las que la apertura genera una afectación, acreditando que:</w:t>
      </w:r>
    </w:p>
    <w:p w14:paraId="5009DC96" w14:textId="77777777" w:rsidR="00D71D21" w:rsidRPr="00F825BB" w:rsidRDefault="00D71D21" w:rsidP="00D71D21">
      <w:pPr>
        <w:widowControl w:val="0"/>
        <w:autoSpaceDE w:val="0"/>
        <w:autoSpaceDN w:val="0"/>
        <w:adjustRightInd w:val="0"/>
        <w:spacing w:after="240" w:line="360" w:lineRule="auto"/>
        <w:ind w:left="851" w:right="333"/>
        <w:jc w:val="both"/>
        <w:rPr>
          <w:rFonts w:ascii="Palatino Linotype" w:hAnsi="Palatino Linotype" w:cs="Times"/>
          <w:color w:val="000000" w:themeColor="text1"/>
          <w:sz w:val="24"/>
          <w:szCs w:val="24"/>
          <w:lang w:val="es-ES_tradnl"/>
        </w:rPr>
      </w:pPr>
      <w:r w:rsidRPr="00F825BB">
        <w:rPr>
          <w:rFonts w:ascii="Palatino Linotype" w:hAnsi="Palatino Linotype" w:cs="Bookman Old Style"/>
          <w:bCs/>
          <w:color w:val="000000" w:themeColor="text1"/>
          <w:sz w:val="24"/>
          <w:szCs w:val="24"/>
          <w:lang w:val="es-ES_tradnl"/>
        </w:rPr>
        <w:t xml:space="preserve">I. </w:t>
      </w:r>
      <w:r w:rsidRPr="00F825BB">
        <w:rPr>
          <w:rFonts w:ascii="Palatino Linotype" w:hAnsi="Palatino Linotype" w:cs="Bookman Old Style"/>
          <w:color w:val="000000" w:themeColor="text1"/>
          <w:sz w:val="24"/>
          <w:szCs w:val="24"/>
          <w:lang w:val="es-ES_tradnl"/>
        </w:rPr>
        <w:t xml:space="preserve">La divulgación de la información representa un riesgo real, demostrable e identificable del perjuicio significativo al interés público o a la seguridad pública; </w:t>
      </w:r>
    </w:p>
    <w:p w14:paraId="25603F22" w14:textId="77777777" w:rsidR="00D71D21" w:rsidRPr="00F825BB" w:rsidRDefault="00D71D21" w:rsidP="00D71D21">
      <w:pPr>
        <w:widowControl w:val="0"/>
        <w:autoSpaceDE w:val="0"/>
        <w:autoSpaceDN w:val="0"/>
        <w:adjustRightInd w:val="0"/>
        <w:spacing w:after="240" w:line="360" w:lineRule="auto"/>
        <w:ind w:left="851" w:right="333"/>
        <w:jc w:val="both"/>
        <w:rPr>
          <w:rFonts w:ascii="Palatino Linotype" w:hAnsi="Palatino Linotype" w:cs="Times"/>
          <w:color w:val="000000" w:themeColor="text1"/>
          <w:sz w:val="24"/>
          <w:szCs w:val="24"/>
          <w:lang w:val="es-ES_tradnl"/>
        </w:rPr>
      </w:pPr>
      <w:r w:rsidRPr="00F825BB">
        <w:rPr>
          <w:rFonts w:ascii="Palatino Linotype" w:hAnsi="Palatino Linotype" w:cs="Bookman Old Style"/>
          <w:bCs/>
          <w:color w:val="000000" w:themeColor="text1"/>
          <w:sz w:val="24"/>
          <w:szCs w:val="24"/>
          <w:lang w:val="es-ES_tradnl"/>
        </w:rPr>
        <w:t xml:space="preserve">II. </w:t>
      </w:r>
      <w:r w:rsidRPr="00F825BB">
        <w:rPr>
          <w:rFonts w:ascii="Palatino Linotype" w:hAnsi="Palatino Linotype" w:cs="Bookman Old Style"/>
          <w:color w:val="000000" w:themeColor="text1"/>
          <w:sz w:val="24"/>
          <w:szCs w:val="24"/>
          <w:lang w:val="es-ES_tradnl"/>
        </w:rPr>
        <w:t xml:space="preserve">El riesgo de perjuicio que supondría la divulgación supera el interés público general de que se difunda; y </w:t>
      </w:r>
    </w:p>
    <w:p w14:paraId="7862D09E" w14:textId="77777777" w:rsidR="00D71D21" w:rsidRPr="00F825BB" w:rsidRDefault="00D71D21" w:rsidP="00D71D21">
      <w:pPr>
        <w:widowControl w:val="0"/>
        <w:autoSpaceDE w:val="0"/>
        <w:autoSpaceDN w:val="0"/>
        <w:adjustRightInd w:val="0"/>
        <w:spacing w:after="240" w:line="360" w:lineRule="auto"/>
        <w:ind w:left="851" w:right="333"/>
        <w:jc w:val="both"/>
        <w:rPr>
          <w:rFonts w:ascii="Palatino Linotype" w:hAnsi="Palatino Linotype" w:cs="Times"/>
          <w:color w:val="000000" w:themeColor="text1"/>
          <w:sz w:val="24"/>
          <w:szCs w:val="24"/>
          <w:lang w:val="es-ES_tradnl"/>
        </w:rPr>
      </w:pPr>
      <w:r w:rsidRPr="00F825BB">
        <w:rPr>
          <w:rFonts w:ascii="Palatino Linotype" w:hAnsi="Palatino Linotype" w:cs="Bookman Old Style"/>
          <w:bCs/>
          <w:color w:val="000000" w:themeColor="text1"/>
          <w:sz w:val="24"/>
          <w:szCs w:val="24"/>
          <w:lang w:val="es-ES_tradnl"/>
        </w:rPr>
        <w:t xml:space="preserve">III. </w:t>
      </w:r>
      <w:r w:rsidRPr="00F825BB">
        <w:rPr>
          <w:rFonts w:ascii="Palatino Linotype" w:hAnsi="Palatino Linotype" w:cs="Bookman Old Style"/>
          <w:color w:val="000000" w:themeColor="text1"/>
          <w:sz w:val="24"/>
          <w:szCs w:val="24"/>
          <w:lang w:val="es-ES_tradnl"/>
        </w:rPr>
        <w:t xml:space="preserve">La limitación se adecua al principio de proporcionalidad y representa el medio menos restrictivo disponible para evitar el perjuicio. </w:t>
      </w:r>
    </w:p>
    <w:p w14:paraId="01EA325E" w14:textId="77777777" w:rsidR="00D71D21" w:rsidRPr="00F825BB" w:rsidRDefault="00D71D21" w:rsidP="00E97BEA">
      <w:pPr>
        <w:pStyle w:val="j"/>
        <w:shd w:val="clear" w:color="auto" w:fill="FFFFFF"/>
        <w:suppressAutoHyphens/>
        <w:spacing w:line="360" w:lineRule="auto"/>
        <w:jc w:val="both"/>
        <w:textAlignment w:val="baseline"/>
        <w:rPr>
          <w:rFonts w:ascii="Palatino Linotype" w:hAnsi="Palatino Linotype"/>
          <w:color w:val="000000" w:themeColor="text1"/>
        </w:rPr>
      </w:pPr>
      <w:r w:rsidRPr="00F825BB">
        <w:rPr>
          <w:rFonts w:ascii="Palatino Linotype" w:hAnsi="Palatino Linotype"/>
          <w:color w:val="000000" w:themeColor="text1"/>
        </w:rPr>
        <w:t>Sobre el primer supuesto consideremos que según el diccionario del español jurídico, por riesgo podemos entender “la contingencia o proximidad de un daño”,</w:t>
      </w:r>
      <w:r w:rsidRPr="00F825BB">
        <w:rPr>
          <w:rStyle w:val="Refdenotaalpie"/>
          <w:rFonts w:ascii="Palatino Linotype" w:hAnsi="Palatino Linotype"/>
          <w:color w:val="000000" w:themeColor="text1"/>
        </w:rPr>
        <w:footnoteReference w:id="4"/>
      </w:r>
      <w:r w:rsidRPr="00F825BB">
        <w:rPr>
          <w:rFonts w:ascii="Palatino Linotype" w:hAnsi="Palatino Linotype"/>
          <w:color w:val="000000" w:themeColor="text1"/>
        </w:rPr>
        <w:t xml:space="preserve"> mientras que el daño es considerado como un “perjuicio o lesión”</w:t>
      </w:r>
      <w:r w:rsidRPr="00F825BB">
        <w:rPr>
          <w:rStyle w:val="Refdenotaalpie"/>
          <w:rFonts w:ascii="Palatino Linotype" w:hAnsi="Palatino Linotype"/>
          <w:color w:val="000000" w:themeColor="text1"/>
        </w:rPr>
        <w:footnoteReference w:id="5"/>
      </w:r>
      <w:r w:rsidRPr="00F825BB">
        <w:rPr>
          <w:rFonts w:ascii="Palatino Linotype" w:hAnsi="Palatino Linotype"/>
          <w:color w:val="000000" w:themeColor="text1"/>
        </w:rPr>
        <w:t>, mientras que según el Diccionario de la Lengua Española, lo real es</w:t>
      </w:r>
      <w:r w:rsidRPr="00F825BB">
        <w:rPr>
          <w:rFonts w:ascii="Palatino Linotype" w:eastAsia="Arial Unicode MS" w:hAnsi="Palatino Linotype" w:cs="Arial Unicode MS"/>
          <w:color w:val="000000" w:themeColor="text1"/>
          <w:spacing w:val="4"/>
          <w:shd w:val="clear" w:color="auto" w:fill="FFFFFF"/>
        </w:rPr>
        <w:t> lo “</w:t>
      </w:r>
      <w:r w:rsidRPr="00F825BB">
        <w:rPr>
          <w:rFonts w:ascii="Palatino Linotype" w:eastAsia="Times New Roman" w:hAnsi="Palatino Linotype"/>
          <w:color w:val="000000" w:themeColor="text1"/>
        </w:rPr>
        <w:t>(q)ue</w:t>
      </w:r>
      <w:r w:rsidRPr="00F825BB">
        <w:rPr>
          <w:rFonts w:ascii="Palatino Linotype" w:eastAsia="Arial Unicode MS" w:hAnsi="Palatino Linotype" w:cs="Arial Unicode MS"/>
          <w:color w:val="000000" w:themeColor="text1"/>
          <w:spacing w:val="4"/>
          <w:shd w:val="clear" w:color="auto" w:fill="FFFFFF"/>
        </w:rPr>
        <w:t> </w:t>
      </w:r>
      <w:r w:rsidRPr="00F825BB">
        <w:rPr>
          <w:rFonts w:ascii="Palatino Linotype" w:eastAsia="Times New Roman" w:hAnsi="Palatino Linotype"/>
          <w:color w:val="000000" w:themeColor="text1"/>
        </w:rPr>
        <w:t>tiene</w:t>
      </w:r>
      <w:r w:rsidRPr="00F825BB">
        <w:rPr>
          <w:rFonts w:ascii="Palatino Linotype" w:eastAsia="Arial Unicode MS" w:hAnsi="Palatino Linotype" w:cs="Arial Unicode MS"/>
          <w:color w:val="000000" w:themeColor="text1"/>
          <w:spacing w:val="4"/>
          <w:shd w:val="clear" w:color="auto" w:fill="FFFFFF"/>
        </w:rPr>
        <w:t> </w:t>
      </w:r>
      <w:r w:rsidRPr="00F825BB">
        <w:rPr>
          <w:rFonts w:ascii="Palatino Linotype" w:eastAsia="Times New Roman" w:hAnsi="Palatino Linotype"/>
          <w:color w:val="000000" w:themeColor="text1"/>
        </w:rPr>
        <w:t>existencia</w:t>
      </w:r>
      <w:r w:rsidRPr="00F825BB">
        <w:rPr>
          <w:rFonts w:ascii="Palatino Linotype" w:eastAsia="Arial Unicode MS" w:hAnsi="Palatino Linotype" w:cs="Arial Unicode MS"/>
          <w:color w:val="000000" w:themeColor="text1"/>
          <w:spacing w:val="4"/>
          <w:shd w:val="clear" w:color="auto" w:fill="FFFFFF"/>
        </w:rPr>
        <w:t> </w:t>
      </w:r>
      <w:r w:rsidRPr="00F825BB">
        <w:rPr>
          <w:rFonts w:ascii="Palatino Linotype" w:eastAsia="Times New Roman" w:hAnsi="Palatino Linotype"/>
          <w:color w:val="000000" w:themeColor="text1"/>
        </w:rPr>
        <w:t>objetiva”,</w:t>
      </w:r>
      <w:r w:rsidRPr="00F825BB">
        <w:rPr>
          <w:rStyle w:val="Refdenotaalpie"/>
          <w:rFonts w:ascii="Palatino Linotype" w:eastAsia="Times New Roman" w:hAnsi="Palatino Linotype"/>
          <w:color w:val="000000" w:themeColor="text1"/>
        </w:rPr>
        <w:footnoteReference w:id="6"/>
      </w:r>
      <w:r w:rsidRPr="00F825BB">
        <w:rPr>
          <w:rFonts w:ascii="Palatino Linotype" w:eastAsia="Times New Roman" w:hAnsi="Palatino Linotype"/>
          <w:color w:val="000000" w:themeColor="text1"/>
        </w:rPr>
        <w:t xml:space="preserve"> </w:t>
      </w:r>
      <w:r w:rsidRPr="00F825BB">
        <w:rPr>
          <w:rFonts w:ascii="Palatino Linotype" w:eastAsia="Arial Unicode MS" w:hAnsi="Palatino Linotype" w:cs="Arial Unicode MS"/>
          <w:color w:val="000000" w:themeColor="text1"/>
          <w:spacing w:val="4"/>
          <w:shd w:val="clear" w:color="auto" w:fill="FFFFFF"/>
        </w:rPr>
        <w:t xml:space="preserve">mientras que lo demostrables es, según la misma fuente, aquello que se puede </w:t>
      </w:r>
      <w:r w:rsidRPr="00F825BB">
        <w:rPr>
          <w:rFonts w:ascii="Palatino Linotype" w:eastAsia="Arial Unicode MS" w:hAnsi="Palatino Linotype" w:cs="Arial Unicode MS"/>
          <w:color w:val="000000" w:themeColor="text1"/>
          <w:spacing w:val="4"/>
          <w:shd w:val="clear" w:color="auto" w:fill="FFFFFF"/>
        </w:rPr>
        <w:lastRenderedPageBreak/>
        <w:t>demostrar,</w:t>
      </w:r>
      <w:r w:rsidRPr="00F825BB">
        <w:rPr>
          <w:rStyle w:val="Refdenotaalpie"/>
          <w:rFonts w:ascii="Palatino Linotype" w:eastAsia="Arial Unicode MS" w:hAnsi="Palatino Linotype" w:cs="Arial Unicode MS"/>
          <w:color w:val="000000" w:themeColor="text1"/>
          <w:spacing w:val="4"/>
          <w:shd w:val="clear" w:color="auto" w:fill="FFFFFF"/>
        </w:rPr>
        <w:footnoteReference w:id="7"/>
      </w:r>
      <w:r w:rsidRPr="00F825BB">
        <w:rPr>
          <w:rFonts w:ascii="Palatino Linotype" w:eastAsia="Arial Unicode MS" w:hAnsi="Palatino Linotype" w:cs="Arial Unicode MS"/>
          <w:color w:val="000000" w:themeColor="text1"/>
          <w:spacing w:val="4"/>
          <w:shd w:val="clear" w:color="auto" w:fill="FFFFFF"/>
        </w:rPr>
        <w:t xml:space="preserve"> es decir, </w:t>
      </w:r>
      <w:r w:rsidRPr="00F825BB">
        <w:rPr>
          <w:rFonts w:ascii="Palatino Linotype" w:hAnsi="Palatino Linotype" w:cstheme="minorBidi"/>
          <w:color w:val="000000" w:themeColor="text1"/>
          <w:lang w:val="es-MX" w:eastAsia="en-US"/>
        </w:rPr>
        <w:t>“(m)anifestar, declarar. Probar, sirviéndose de cualquier género de demostración, </w:t>
      </w:r>
      <w:hyperlink r:id="rId12" w:anchor="6nAyKjE" w:history="1">
        <w:r w:rsidRPr="00F825BB">
          <w:rPr>
            <w:rFonts w:ascii="Palatino Linotype" w:hAnsi="Palatino Linotype" w:cstheme="minorBidi"/>
            <w:color w:val="000000" w:themeColor="text1"/>
            <w:lang w:val="es-MX" w:eastAsia="en-US"/>
          </w:rPr>
          <w:t>enseñar</w:t>
        </w:r>
      </w:hyperlink>
      <w:r w:rsidRPr="00F825BB">
        <w:rPr>
          <w:rFonts w:ascii="Palatino Linotype" w:hAnsi="Palatino Linotype" w:cstheme="minorBidi"/>
          <w:color w:val="000000" w:themeColor="text1"/>
          <w:lang w:val="es-MX" w:eastAsia="en-US"/>
        </w:rPr>
        <w:t> mostrar o exponer algo)”.</w:t>
      </w:r>
      <w:r w:rsidRPr="00F825BB">
        <w:rPr>
          <w:rStyle w:val="Refdenotaalpie"/>
          <w:rFonts w:ascii="Palatino Linotype" w:hAnsi="Palatino Linotype" w:cstheme="minorBidi"/>
          <w:color w:val="000000" w:themeColor="text1"/>
          <w:lang w:val="es-MX" w:eastAsia="en-US"/>
        </w:rPr>
        <w:footnoteReference w:id="8"/>
      </w:r>
      <w:r w:rsidRPr="00F825BB">
        <w:rPr>
          <w:rFonts w:ascii="Palatino Linotype" w:hAnsi="Palatino Linotype" w:cstheme="minorBidi"/>
          <w:color w:val="000000" w:themeColor="text1"/>
          <w:lang w:val="es-MX" w:eastAsia="en-US"/>
        </w:rPr>
        <w:t xml:space="preserve"> Mientras que lo identificable es lo que puede ser identificado,</w:t>
      </w:r>
      <w:r w:rsidRPr="00F825BB">
        <w:rPr>
          <w:rStyle w:val="Refdenotaalpie"/>
          <w:rFonts w:ascii="Palatino Linotype" w:hAnsi="Palatino Linotype" w:cstheme="minorBidi"/>
          <w:color w:val="000000" w:themeColor="text1"/>
          <w:lang w:val="es-MX" w:eastAsia="en-US"/>
        </w:rPr>
        <w:footnoteReference w:id="9"/>
      </w:r>
      <w:r w:rsidRPr="00F825BB">
        <w:rPr>
          <w:rFonts w:ascii="Palatino Linotype" w:hAnsi="Palatino Linotype" w:cstheme="minorBidi"/>
          <w:color w:val="000000" w:themeColor="text1"/>
          <w:lang w:val="es-MX" w:eastAsia="en-US"/>
        </w:rPr>
        <w:t xml:space="preserve"> esto es,</w:t>
      </w:r>
      <w:r w:rsidRPr="00F825BB">
        <w:rPr>
          <w:rFonts w:ascii="Palatino Linotype" w:hAnsi="Palatino Linotype" w:cstheme="minorBidi"/>
          <w:color w:val="000000" w:themeColor="text1"/>
        </w:rPr>
        <w:t>  “(d)ar los datos necesarios para ser reconocido”.</w:t>
      </w:r>
      <w:r w:rsidRPr="00F825BB">
        <w:rPr>
          <w:rStyle w:val="Refdenotaalpie"/>
          <w:rFonts w:ascii="Palatino Linotype" w:hAnsi="Palatino Linotype" w:cstheme="minorBidi"/>
          <w:color w:val="000000" w:themeColor="text1"/>
        </w:rPr>
        <w:footnoteReference w:id="10"/>
      </w:r>
    </w:p>
    <w:p w14:paraId="20E07110" w14:textId="77777777" w:rsidR="00D71D21" w:rsidRPr="00F825BB" w:rsidRDefault="00D71D21" w:rsidP="00E97BEA">
      <w:pPr>
        <w:spacing w:line="360" w:lineRule="auto"/>
        <w:jc w:val="both"/>
        <w:rPr>
          <w:rFonts w:ascii="Palatino Linotype" w:hAnsi="Palatino Linotype"/>
          <w:color w:val="000000" w:themeColor="text1"/>
          <w:sz w:val="24"/>
          <w:szCs w:val="24"/>
        </w:rPr>
      </w:pPr>
      <w:r w:rsidRPr="00F825BB">
        <w:rPr>
          <w:rFonts w:ascii="Palatino Linotype" w:hAnsi="Palatino Linotype"/>
          <w:color w:val="000000" w:themeColor="text1"/>
          <w:sz w:val="24"/>
          <w:szCs w:val="24"/>
        </w:rPr>
        <w:t>Por lo que entonces, el primer supuesto de la prueba de daño consiste en acreditar que la entrega de la información provoca tres aspectos concurrentes: 1) la contingencia o proximidad de un daño, un perjuicio o lesión que tiene existencia objetiva, que se puede manifestar, declarar o probar mediante cualquier género de demostración a partir de proporcionar datos necesarios para reconocer el daño, perjuicio o lesión que provocaría a un interés público o a la seguridad pública.</w:t>
      </w:r>
    </w:p>
    <w:p w14:paraId="5D5E4216" w14:textId="77777777" w:rsidR="00D71D21" w:rsidRPr="00F825BB" w:rsidRDefault="00D71D21" w:rsidP="00E97BEA">
      <w:pPr>
        <w:spacing w:line="360" w:lineRule="auto"/>
        <w:jc w:val="both"/>
        <w:rPr>
          <w:rFonts w:ascii="Palatino Linotype" w:hAnsi="Palatino Linotype"/>
          <w:color w:val="000000" w:themeColor="text1"/>
          <w:sz w:val="24"/>
          <w:szCs w:val="24"/>
        </w:rPr>
      </w:pPr>
      <w:r w:rsidRPr="00F825BB">
        <w:rPr>
          <w:rFonts w:ascii="Palatino Linotype" w:hAnsi="Palatino Linotype"/>
          <w:color w:val="000000" w:themeColor="text1"/>
          <w:sz w:val="24"/>
          <w:szCs w:val="24"/>
        </w:rPr>
        <w:t xml:space="preserve">Identificado ese riesgo, se debe demostrar que el mismo supera el interés público general porque se difunda dicha información. </w:t>
      </w:r>
    </w:p>
    <w:p w14:paraId="041A2694" w14:textId="77777777" w:rsidR="00D71D21" w:rsidRDefault="00D71D21" w:rsidP="00E97BEA">
      <w:pPr>
        <w:spacing w:line="360" w:lineRule="auto"/>
        <w:jc w:val="both"/>
        <w:rPr>
          <w:rFonts w:ascii="Palatino Linotype" w:hAnsi="Palatino Linotype"/>
          <w:color w:val="000000" w:themeColor="text1"/>
          <w:sz w:val="24"/>
          <w:szCs w:val="24"/>
        </w:rPr>
      </w:pPr>
      <w:r w:rsidRPr="00E01285">
        <w:rPr>
          <w:rFonts w:ascii="Palatino Linotype" w:hAnsi="Palatino Linotype"/>
          <w:color w:val="000000" w:themeColor="text1"/>
          <w:sz w:val="24"/>
          <w:szCs w:val="24"/>
        </w:rPr>
        <w:t>Y, por último,  que la limitación es acorde con el principio de proporcionalidad, para ello, se sugiere emplear los tres juicios propuestos por la Corte Constitucional Colombiana</w:t>
      </w:r>
      <w:r w:rsidRPr="00774B2D">
        <w:rPr>
          <w:rStyle w:val="Refdenotaalpie"/>
          <w:rFonts w:ascii="Palatino Linotype" w:hAnsi="Palatino Linotype"/>
          <w:color w:val="000000" w:themeColor="text1"/>
        </w:rPr>
        <w:footnoteReference w:id="11"/>
      </w:r>
      <w:r w:rsidRPr="00E01285">
        <w:rPr>
          <w:rFonts w:ascii="Palatino Linotype" w:hAnsi="Palatino Linotype"/>
          <w:color w:val="000000" w:themeColor="text1"/>
          <w:sz w:val="24"/>
          <w:szCs w:val="24"/>
        </w:rPr>
        <w:t xml:space="preserve">, siguiendo el principio de ponderación propuesto por el Tribunal </w:t>
      </w:r>
      <w:r w:rsidRPr="00E01285">
        <w:rPr>
          <w:rFonts w:ascii="Palatino Linotype" w:hAnsi="Palatino Linotype"/>
          <w:color w:val="000000" w:themeColor="text1"/>
          <w:sz w:val="24"/>
          <w:szCs w:val="24"/>
        </w:rPr>
        <w:lastRenderedPageBreak/>
        <w:t>Constitucional Alemán,</w:t>
      </w:r>
      <w:r w:rsidRPr="00774B2D">
        <w:rPr>
          <w:rStyle w:val="Refdenotaalpie"/>
          <w:rFonts w:ascii="Palatino Linotype" w:hAnsi="Palatino Linotype"/>
          <w:color w:val="000000" w:themeColor="text1"/>
        </w:rPr>
        <w:footnoteReference w:id="12"/>
      </w:r>
      <w:r w:rsidRPr="00E01285">
        <w:rPr>
          <w:rFonts w:ascii="Palatino Linotype" w:hAnsi="Palatino Linotype"/>
          <w:color w:val="000000" w:themeColor="text1"/>
          <w:sz w:val="24"/>
          <w:szCs w:val="24"/>
        </w:rPr>
        <w:t xml:space="preserve"> el juicio de idoneidad, que la medida adoptada sea la idónea para el ejercicio del derecho; de necesidad, que sea necearía para que el derecho que prevalece se ejerza y el de estricta proporcionalidad esto es, que el derecho que prevalezca sea en la dimensión estrictamente proporcional al derecho que retrocede.</w:t>
      </w:r>
    </w:p>
    <w:p w14:paraId="7A46B468" w14:textId="77777777" w:rsidR="00D71D21" w:rsidRPr="00E01285" w:rsidRDefault="00D71D21" w:rsidP="00E97BEA">
      <w:pPr>
        <w:spacing w:line="360" w:lineRule="auto"/>
        <w:jc w:val="both"/>
        <w:rPr>
          <w:rFonts w:ascii="Palatino Linotype" w:hAnsi="Palatino Linotype"/>
          <w:color w:val="000000" w:themeColor="text1"/>
          <w:sz w:val="24"/>
          <w:szCs w:val="24"/>
        </w:rPr>
      </w:pPr>
      <w:r>
        <w:rPr>
          <w:rFonts w:ascii="Palatino Linotype" w:hAnsi="Palatino Linotype"/>
          <w:color w:val="000000" w:themeColor="text1"/>
          <w:sz w:val="24"/>
          <w:szCs w:val="24"/>
        </w:rPr>
        <w:t xml:space="preserve">Es así, que al configurarse tales requisitos, se otorga certidumbre jurídica y se protege la esfera más íntima del derecho humano constitucional y convencionalmente reconocido. </w:t>
      </w:r>
    </w:p>
    <w:p w14:paraId="522CA812" w14:textId="77777777" w:rsidR="00D71D21" w:rsidRDefault="00D71D21" w:rsidP="00EE5787">
      <w:pPr>
        <w:spacing w:before="240" w:line="360" w:lineRule="auto"/>
        <w:jc w:val="both"/>
        <w:rPr>
          <w:rFonts w:ascii="Palatino Linotype" w:hAnsi="Palatino Linotype" w:cs="Arial"/>
          <w:b/>
          <w:bCs/>
          <w:sz w:val="24"/>
          <w:szCs w:val="24"/>
        </w:rPr>
      </w:pPr>
    </w:p>
    <w:p w14:paraId="7D63CE9E" w14:textId="77777777" w:rsidR="002E13CF" w:rsidRDefault="002E13CF" w:rsidP="002E13CF">
      <w:pPr>
        <w:pStyle w:val="Prrafodelista"/>
        <w:numPr>
          <w:ilvl w:val="0"/>
          <w:numId w:val="8"/>
        </w:numPr>
        <w:autoSpaceDE w:val="0"/>
        <w:autoSpaceDN w:val="0"/>
        <w:adjustRightInd w:val="0"/>
        <w:spacing w:before="240" w:line="360" w:lineRule="auto"/>
        <w:jc w:val="both"/>
        <w:rPr>
          <w:rFonts w:ascii="Palatino Linotype" w:hAnsi="Palatino Linotype"/>
          <w:b/>
          <w:sz w:val="28"/>
          <w:szCs w:val="28"/>
        </w:rPr>
      </w:pPr>
      <w:r w:rsidRPr="003F3322">
        <w:rPr>
          <w:rFonts w:ascii="Palatino Linotype" w:hAnsi="Palatino Linotype"/>
          <w:b/>
          <w:sz w:val="28"/>
          <w:szCs w:val="28"/>
        </w:rPr>
        <w:t xml:space="preserve">Versión Pública </w:t>
      </w:r>
    </w:p>
    <w:p w14:paraId="78FA8CBD" w14:textId="77777777" w:rsidR="002E13CF" w:rsidRPr="001571EB" w:rsidRDefault="002E13CF" w:rsidP="002E13CF">
      <w:pPr>
        <w:tabs>
          <w:tab w:val="left" w:pos="7938"/>
        </w:tabs>
        <w:spacing w:before="240" w:after="240" w:line="360" w:lineRule="auto"/>
        <w:jc w:val="both"/>
        <w:rPr>
          <w:rFonts w:ascii="Palatino Linotype" w:eastAsia="Arial Unicode MS" w:hAnsi="Palatino Linotype" w:cs="Arial"/>
          <w:sz w:val="24"/>
          <w:szCs w:val="24"/>
        </w:rPr>
      </w:pPr>
      <w:r>
        <w:rPr>
          <w:rFonts w:ascii="Palatino Linotype" w:eastAsia="Arial Unicode MS" w:hAnsi="Palatino Linotype" w:cs="Arial"/>
          <w:sz w:val="24"/>
          <w:szCs w:val="24"/>
        </w:rPr>
        <w:t>N</w:t>
      </w:r>
      <w:r w:rsidRPr="001571EB">
        <w:rPr>
          <w:rFonts w:ascii="Palatino Linotype" w:eastAsia="Arial Unicode MS" w:hAnsi="Palatino Linotype" w:cs="Arial"/>
          <w:sz w:val="24"/>
          <w:szCs w:val="24"/>
        </w:rPr>
        <w:t xml:space="preserve">o pasa desapercibido que la información podría contener información susceptible de clasificar, por lo cual, dicha información debe ser clasificada para no vulnerar un derecho intangible. Aunado a que de ser en caso de contar con otra información consistente en datos personales, deberá generarse una versión pública, tal excepción a la publicidad, atiende a la coexistencia de datos públicos e información que tenga el carácter de confidencial (datos personales) o reservada, por lo que debe privilegiarse el acceso a la información bajo el principio de máxima divulgación, empero sin violar </w:t>
      </w:r>
      <w:r w:rsidRPr="001571EB">
        <w:rPr>
          <w:rFonts w:ascii="Palatino Linotype" w:eastAsia="Arial Unicode MS" w:hAnsi="Palatino Linotype" w:cs="Arial"/>
          <w:sz w:val="24"/>
          <w:szCs w:val="24"/>
        </w:rPr>
        <w:lastRenderedPageBreak/>
        <w:t>el derecho a la protección de datos personales, cuyo fundamento legal aplicable se encuentra inmerso en los numerales de la Ley de la materia, que a la letra esgrimen:</w:t>
      </w:r>
    </w:p>
    <w:p w14:paraId="3EF62CEA" w14:textId="77777777" w:rsidR="002E13CF" w:rsidRPr="00E60DEF" w:rsidRDefault="002E13CF" w:rsidP="002E13CF">
      <w:pPr>
        <w:spacing w:before="240" w:line="360" w:lineRule="auto"/>
        <w:ind w:left="851" w:right="851"/>
        <w:jc w:val="both"/>
        <w:rPr>
          <w:rFonts w:ascii="Palatino Linotype" w:hAnsi="Palatino Linotype" w:cs="Arial"/>
          <w:i/>
        </w:rPr>
      </w:pPr>
      <w:r w:rsidRPr="00E60DEF">
        <w:rPr>
          <w:rFonts w:ascii="Palatino Linotype" w:hAnsi="Palatino Linotype" w:cs="Arial"/>
          <w:i/>
        </w:rPr>
        <w:t>“Artículo 3. Para los efectos de la presente Ley se entenderá por:</w:t>
      </w:r>
    </w:p>
    <w:p w14:paraId="0525E966" w14:textId="77777777" w:rsidR="002E13CF" w:rsidRPr="00E60DEF" w:rsidRDefault="002E13CF" w:rsidP="002E13CF">
      <w:pPr>
        <w:spacing w:before="240" w:line="360" w:lineRule="auto"/>
        <w:ind w:left="851" w:right="851"/>
        <w:jc w:val="both"/>
        <w:rPr>
          <w:rFonts w:ascii="Palatino Linotype" w:hAnsi="Palatino Linotype" w:cs="Arial"/>
          <w:i/>
        </w:rPr>
      </w:pPr>
      <w:r>
        <w:rPr>
          <w:rFonts w:ascii="Palatino Linotype" w:hAnsi="Palatino Linotype" w:cs="Arial"/>
          <w:i/>
        </w:rPr>
        <w:t>(</w:t>
      </w:r>
      <w:r w:rsidRPr="00E60DEF">
        <w:rPr>
          <w:rFonts w:ascii="Palatino Linotype" w:hAnsi="Palatino Linotype" w:cs="Arial"/>
          <w:i/>
        </w:rPr>
        <w:t>…</w:t>
      </w:r>
      <w:r>
        <w:rPr>
          <w:rFonts w:ascii="Palatino Linotype" w:hAnsi="Palatino Linotype" w:cs="Arial"/>
          <w:i/>
        </w:rPr>
        <w:t>)</w:t>
      </w:r>
    </w:p>
    <w:p w14:paraId="1A77A01C" w14:textId="77777777" w:rsidR="002E13CF" w:rsidRPr="001571EB" w:rsidRDefault="002E13CF" w:rsidP="002E13CF">
      <w:pPr>
        <w:spacing w:before="240" w:line="360" w:lineRule="auto"/>
        <w:ind w:left="851" w:right="851"/>
        <w:jc w:val="both"/>
        <w:rPr>
          <w:rFonts w:ascii="Palatino Linotype" w:hAnsi="Palatino Linotype" w:cs="Arial"/>
          <w:b/>
          <w:i/>
        </w:rPr>
      </w:pPr>
      <w:r w:rsidRPr="00E60DEF">
        <w:rPr>
          <w:rFonts w:ascii="Palatino Linotype" w:hAnsi="Palatino Linotype" w:cs="Arial"/>
          <w:b/>
          <w:i/>
          <w:u w:val="single"/>
        </w:rPr>
        <w:t>IX. Datos personales:</w:t>
      </w:r>
      <w:r w:rsidRPr="001571EB">
        <w:rPr>
          <w:rFonts w:ascii="Palatino Linotype" w:hAnsi="Palatino Linotype" w:cs="Arial"/>
          <w:b/>
          <w:i/>
        </w:rPr>
        <w:t xml:space="preserve"> </w:t>
      </w:r>
      <w:r w:rsidRPr="00E60DEF">
        <w:rPr>
          <w:rFonts w:ascii="Palatino Linotype" w:hAnsi="Palatino Linotype" w:cs="Arial"/>
          <w:i/>
        </w:rPr>
        <w:t>La información concerniente a una persona, identificada o identificable según lo dispuesto por la Ley de Protección de Datos Personales del Estado de México;</w:t>
      </w:r>
    </w:p>
    <w:p w14:paraId="7A461288" w14:textId="77777777" w:rsidR="002E13CF" w:rsidRPr="001571EB" w:rsidRDefault="002E13CF" w:rsidP="002E13CF">
      <w:pPr>
        <w:spacing w:before="240" w:line="360" w:lineRule="auto"/>
        <w:ind w:left="851" w:right="851"/>
        <w:jc w:val="both"/>
        <w:rPr>
          <w:rFonts w:ascii="Palatino Linotype" w:hAnsi="Palatino Linotype" w:cs="Arial"/>
          <w:b/>
          <w:i/>
        </w:rPr>
      </w:pPr>
      <w:r>
        <w:rPr>
          <w:rFonts w:ascii="Palatino Linotype" w:hAnsi="Palatino Linotype" w:cs="Arial"/>
          <w:b/>
          <w:i/>
        </w:rPr>
        <w:t>(</w:t>
      </w:r>
      <w:r w:rsidRPr="001571EB">
        <w:rPr>
          <w:rFonts w:ascii="Palatino Linotype" w:hAnsi="Palatino Linotype" w:cs="Arial"/>
          <w:b/>
          <w:i/>
        </w:rPr>
        <w:t>…</w:t>
      </w:r>
      <w:r>
        <w:rPr>
          <w:rFonts w:ascii="Palatino Linotype" w:hAnsi="Palatino Linotype" w:cs="Arial"/>
          <w:b/>
          <w:i/>
        </w:rPr>
        <w:t>)</w:t>
      </w:r>
    </w:p>
    <w:p w14:paraId="6D41ECBB" w14:textId="77777777" w:rsidR="002E13CF" w:rsidRPr="001571EB" w:rsidRDefault="002E13CF" w:rsidP="002E13CF">
      <w:pPr>
        <w:spacing w:before="240" w:line="360" w:lineRule="auto"/>
        <w:ind w:left="851" w:right="851"/>
        <w:jc w:val="both"/>
        <w:rPr>
          <w:rFonts w:ascii="Palatino Linotype" w:hAnsi="Palatino Linotype" w:cs="Arial"/>
          <w:b/>
          <w:i/>
        </w:rPr>
      </w:pPr>
      <w:r w:rsidRPr="00E60DEF">
        <w:rPr>
          <w:rFonts w:ascii="Palatino Linotype" w:hAnsi="Palatino Linotype" w:cs="Arial"/>
          <w:b/>
          <w:i/>
          <w:u w:val="single"/>
        </w:rPr>
        <w:t>XLV. Versión pública:</w:t>
      </w:r>
      <w:r w:rsidRPr="001571EB">
        <w:rPr>
          <w:rFonts w:ascii="Palatino Linotype" w:hAnsi="Palatino Linotype" w:cs="Arial"/>
          <w:b/>
          <w:i/>
        </w:rPr>
        <w:t xml:space="preserve"> </w:t>
      </w:r>
      <w:r w:rsidRPr="00E60DEF">
        <w:rPr>
          <w:rFonts w:ascii="Palatino Linotype" w:hAnsi="Palatino Linotype" w:cs="Arial"/>
          <w:i/>
        </w:rPr>
        <w:t>Documento en el que se elimine, suprime o borra la información clasificada como reservada o confidencial para permitir su acceso.</w:t>
      </w:r>
    </w:p>
    <w:p w14:paraId="1523AF8E" w14:textId="77777777" w:rsidR="002E13CF" w:rsidRPr="001571EB" w:rsidRDefault="002E13CF" w:rsidP="002E13CF">
      <w:pPr>
        <w:spacing w:before="240" w:line="360" w:lineRule="auto"/>
        <w:ind w:left="851" w:right="851"/>
        <w:jc w:val="both"/>
        <w:rPr>
          <w:rFonts w:ascii="Palatino Linotype" w:hAnsi="Palatino Linotype" w:cs="Arial"/>
          <w:b/>
          <w:i/>
        </w:rPr>
      </w:pPr>
      <w:r w:rsidRPr="001571EB">
        <w:rPr>
          <w:rFonts w:ascii="Palatino Linotype" w:hAnsi="Palatino Linotype" w:cs="Arial"/>
          <w:i/>
        </w:rPr>
        <w:t xml:space="preserve">Artículo 122. </w:t>
      </w:r>
      <w:r w:rsidRPr="00E60DEF">
        <w:rPr>
          <w:rFonts w:ascii="Palatino Linotype" w:hAnsi="Palatino Linotype" w:cs="Arial"/>
          <w:b/>
          <w:i/>
          <w:u w:val="single"/>
        </w:rPr>
        <w:t>La clasificación es el proceso mediante el cual el sujeto obligado determina que la información en su poder actualiza alguno de los supuestos de reserva o confidencialidad, de conformidad con lo dispuesto en el presente título.</w:t>
      </w:r>
    </w:p>
    <w:p w14:paraId="1512AA8A" w14:textId="77777777" w:rsidR="002E13CF" w:rsidRPr="001571EB" w:rsidRDefault="002E13CF" w:rsidP="002E13CF">
      <w:pPr>
        <w:spacing w:before="240" w:line="360" w:lineRule="auto"/>
        <w:ind w:left="851" w:right="851"/>
        <w:jc w:val="both"/>
        <w:rPr>
          <w:rFonts w:ascii="Palatino Linotype" w:hAnsi="Palatino Linotype" w:cs="Arial"/>
          <w:i/>
        </w:rPr>
      </w:pPr>
      <w:r w:rsidRPr="001571EB">
        <w:rPr>
          <w:rFonts w:ascii="Palatino Linotype" w:hAnsi="Palatino Linotype" w:cs="Arial"/>
          <w:i/>
        </w:rPr>
        <w:t>[…]</w:t>
      </w:r>
    </w:p>
    <w:p w14:paraId="08251C58" w14:textId="77777777" w:rsidR="002E13CF" w:rsidRPr="001571EB" w:rsidRDefault="002E13CF" w:rsidP="002E13CF">
      <w:pPr>
        <w:spacing w:before="240" w:line="360" w:lineRule="auto"/>
        <w:ind w:left="851" w:right="851"/>
        <w:jc w:val="both"/>
        <w:rPr>
          <w:rFonts w:ascii="Palatino Linotype" w:hAnsi="Palatino Linotype" w:cs="Arial"/>
          <w:i/>
        </w:rPr>
      </w:pPr>
      <w:r w:rsidRPr="001571EB">
        <w:rPr>
          <w:rFonts w:ascii="Palatino Linotype" w:hAnsi="Palatino Linotype" w:cs="Arial"/>
          <w:i/>
        </w:rPr>
        <w:t>Artículo 132. La clasificación de la información se llevará a cabo en el momento en que:</w:t>
      </w:r>
    </w:p>
    <w:p w14:paraId="12BD15E4" w14:textId="77777777" w:rsidR="002E13CF" w:rsidRPr="001571EB" w:rsidRDefault="002E13CF" w:rsidP="002E13CF">
      <w:pPr>
        <w:spacing w:before="240" w:line="360" w:lineRule="auto"/>
        <w:ind w:left="851" w:right="851"/>
        <w:jc w:val="both"/>
        <w:rPr>
          <w:rFonts w:ascii="Palatino Linotype" w:hAnsi="Palatino Linotype" w:cs="Arial"/>
          <w:i/>
        </w:rPr>
      </w:pPr>
      <w:r w:rsidRPr="001571EB">
        <w:rPr>
          <w:rFonts w:ascii="Palatino Linotype" w:hAnsi="Palatino Linotype" w:cs="Arial"/>
          <w:i/>
        </w:rPr>
        <w:t>[…]</w:t>
      </w:r>
    </w:p>
    <w:p w14:paraId="7AFD8EF6" w14:textId="77777777" w:rsidR="002E13CF" w:rsidRPr="00E60DEF" w:rsidRDefault="002E13CF" w:rsidP="002E13CF">
      <w:pPr>
        <w:spacing w:before="240" w:line="360" w:lineRule="auto"/>
        <w:ind w:left="851" w:right="851"/>
        <w:jc w:val="both"/>
        <w:rPr>
          <w:rFonts w:ascii="Palatino Linotype" w:hAnsi="Palatino Linotype" w:cs="Arial"/>
          <w:b/>
          <w:i/>
          <w:u w:val="single"/>
        </w:rPr>
      </w:pPr>
      <w:r w:rsidRPr="00E60DEF">
        <w:rPr>
          <w:rFonts w:ascii="Palatino Linotype" w:hAnsi="Palatino Linotype" w:cs="Arial"/>
          <w:b/>
          <w:i/>
          <w:u w:val="single"/>
        </w:rPr>
        <w:t>II. Se determine mediante resolución de autoridad competente; o</w:t>
      </w:r>
    </w:p>
    <w:p w14:paraId="6C6269FA" w14:textId="77777777" w:rsidR="002E13CF" w:rsidRPr="001571EB" w:rsidRDefault="002E13CF" w:rsidP="002E13CF">
      <w:pPr>
        <w:spacing w:before="240" w:line="360" w:lineRule="auto"/>
        <w:ind w:left="851" w:right="851"/>
        <w:jc w:val="both"/>
        <w:rPr>
          <w:rFonts w:ascii="Palatino Linotype" w:hAnsi="Palatino Linotype" w:cs="Arial"/>
          <w:b/>
          <w:i/>
        </w:rPr>
      </w:pPr>
      <w:r>
        <w:rPr>
          <w:rFonts w:ascii="Palatino Linotype" w:hAnsi="Palatino Linotype" w:cs="Arial"/>
          <w:b/>
          <w:i/>
        </w:rPr>
        <w:t>(…)</w:t>
      </w:r>
    </w:p>
    <w:p w14:paraId="16888A58" w14:textId="77777777" w:rsidR="002E13CF" w:rsidRPr="00E60DEF" w:rsidRDefault="002E13CF" w:rsidP="002E13CF">
      <w:pPr>
        <w:spacing w:before="240" w:line="360" w:lineRule="auto"/>
        <w:ind w:left="851" w:right="851"/>
        <w:jc w:val="both"/>
        <w:rPr>
          <w:rFonts w:ascii="Palatino Linotype" w:hAnsi="Palatino Linotype" w:cs="Arial"/>
          <w:b/>
          <w:i/>
        </w:rPr>
      </w:pPr>
      <w:r w:rsidRPr="00E60DEF">
        <w:rPr>
          <w:rFonts w:ascii="Palatino Linotype" w:hAnsi="Palatino Linotype" w:cs="Arial"/>
          <w:i/>
        </w:rPr>
        <w:lastRenderedPageBreak/>
        <w:t>Artículo 137. Cuando un mismo medio, impreso o electrónico, contenga información pública y reservada o confidencial, la Unidad de Transparencia para efectos de atender una solicitud de información, deberán elaborar una versión pública en la que se testen las partes o secciones clasificadas, indicando su contenido</w:t>
      </w:r>
      <w:r w:rsidRPr="001571EB">
        <w:rPr>
          <w:rFonts w:ascii="Palatino Linotype" w:hAnsi="Palatino Linotype" w:cs="Arial"/>
          <w:b/>
          <w:i/>
        </w:rPr>
        <w:t xml:space="preserve"> </w:t>
      </w:r>
      <w:r w:rsidRPr="001571EB">
        <w:rPr>
          <w:rFonts w:ascii="Palatino Linotype" w:hAnsi="Palatino Linotype" w:cs="Arial"/>
          <w:b/>
          <w:i/>
          <w:u w:val="single"/>
        </w:rPr>
        <w:t>de manera genérica y fundando y motivando su clasificación.</w:t>
      </w:r>
      <w:r>
        <w:rPr>
          <w:rFonts w:ascii="Palatino Linotype" w:hAnsi="Palatino Linotype" w:cs="Arial"/>
          <w:b/>
          <w:i/>
          <w:u w:val="single"/>
        </w:rPr>
        <w:t xml:space="preserve">” </w:t>
      </w:r>
      <w:r w:rsidRPr="00E60DEF">
        <w:rPr>
          <w:rFonts w:ascii="Palatino Linotype" w:hAnsi="Palatino Linotype" w:cs="Arial"/>
          <w:b/>
          <w:i/>
        </w:rPr>
        <w:t>[Sic]</w:t>
      </w:r>
    </w:p>
    <w:p w14:paraId="0F300273" w14:textId="77777777" w:rsidR="002E13CF" w:rsidRPr="001571EB" w:rsidRDefault="002E13CF" w:rsidP="002E13CF">
      <w:pPr>
        <w:spacing w:line="240" w:lineRule="auto"/>
        <w:ind w:left="851" w:right="851"/>
        <w:jc w:val="both"/>
        <w:rPr>
          <w:rFonts w:ascii="Palatino Linotype" w:hAnsi="Palatino Linotype" w:cs="Arial"/>
          <w:b/>
          <w:i/>
          <w:u w:val="single"/>
        </w:rPr>
      </w:pPr>
    </w:p>
    <w:p w14:paraId="3FDABD42" w14:textId="77777777" w:rsidR="002E13CF" w:rsidRPr="001571EB" w:rsidRDefault="002E13CF" w:rsidP="002E13CF">
      <w:pPr>
        <w:spacing w:after="0" w:line="360" w:lineRule="auto"/>
        <w:ind w:right="51"/>
        <w:jc w:val="both"/>
        <w:rPr>
          <w:rFonts w:ascii="Palatino Linotype" w:hAnsi="Palatino Linotype" w:cs="Arial"/>
          <w:sz w:val="24"/>
          <w:szCs w:val="24"/>
        </w:rPr>
      </w:pPr>
      <w:r w:rsidRPr="001571EB">
        <w:rPr>
          <w:rFonts w:ascii="Palatino Linotype" w:eastAsia="Arial Unicode MS" w:hAnsi="Palatino Linotype" w:cs="Arial"/>
          <w:sz w:val="24"/>
          <w:szCs w:val="24"/>
        </w:rPr>
        <w:t xml:space="preserve">Verbigracia, previo a poner a disposición la información correspondiente debe considerarse que tiene carácter de confidencial </w:t>
      </w:r>
      <w:r w:rsidRPr="001571EB">
        <w:rPr>
          <w:rFonts w:ascii="Palatino Linotype" w:hAnsi="Palatino Linotype" w:cs="Arial"/>
          <w:sz w:val="24"/>
          <w:szCs w:val="24"/>
        </w:rPr>
        <w:t>el Registro Federal de Contribuyentes (RFC) que no sean de proveedores, cuenta bancaria, la Clave Única de Registro de Población (CURP), domicilio particular, teléfono particular, el nombre de las personas físicas que no tengan la calidad de servidor público  o aquellos que no reciban recursos públicos, entre otros considerados como datos personales en términos de la normatividad aplicable.</w:t>
      </w:r>
    </w:p>
    <w:p w14:paraId="459B71C1" w14:textId="77777777" w:rsidR="002E13CF" w:rsidRPr="001571EB" w:rsidRDefault="002E13CF" w:rsidP="002E13CF">
      <w:pPr>
        <w:autoSpaceDE w:val="0"/>
        <w:autoSpaceDN w:val="0"/>
        <w:adjustRightInd w:val="0"/>
        <w:spacing w:before="240" w:after="240" w:line="360" w:lineRule="auto"/>
        <w:ind w:right="-91"/>
        <w:jc w:val="both"/>
        <w:rPr>
          <w:rFonts w:ascii="Palatino Linotype" w:eastAsia="Times New Roman" w:hAnsi="Palatino Linotype" w:cs="Arial"/>
          <w:sz w:val="24"/>
          <w:szCs w:val="24"/>
          <w:lang w:eastAsia="es-MX"/>
        </w:rPr>
      </w:pPr>
      <w:r w:rsidRPr="001571EB">
        <w:rPr>
          <w:rFonts w:ascii="Palatino Linotype" w:eastAsia="Times New Roman" w:hAnsi="Palatino Linotype" w:cs="Arial"/>
          <w:sz w:val="24"/>
          <w:szCs w:val="24"/>
          <w:lang w:eastAsia="es-MX"/>
        </w:rPr>
        <w:t>En cuanto al Registro Federal de Contribuyentes de las personas físicas constituye un dato personal, ya que para su obtención es necesario acreditar ante la autoridad fiscal previamente la identidad de la persona, su fecha de nacimiento, entre otros aspectos.</w:t>
      </w:r>
    </w:p>
    <w:p w14:paraId="7767DEB7" w14:textId="77777777" w:rsidR="002E13CF" w:rsidRPr="001571EB" w:rsidRDefault="002E13CF" w:rsidP="002E13CF">
      <w:pPr>
        <w:spacing w:before="240" w:after="240" w:line="360" w:lineRule="auto"/>
        <w:ind w:right="-91"/>
        <w:jc w:val="both"/>
        <w:rPr>
          <w:rFonts w:ascii="Palatino Linotype" w:eastAsia="Times New Roman" w:hAnsi="Palatino Linotype" w:cs="Arial"/>
          <w:sz w:val="24"/>
          <w:szCs w:val="24"/>
          <w:lang w:eastAsia="es-MX"/>
        </w:rPr>
      </w:pPr>
      <w:r w:rsidRPr="001571EB">
        <w:rPr>
          <w:rFonts w:ascii="Palatino Linotype" w:eastAsia="Times New Roman" w:hAnsi="Palatino Linotype" w:cs="Arial"/>
          <w:sz w:val="24"/>
          <w:szCs w:val="24"/>
          <w:lang w:eastAsia="es-MX"/>
        </w:rPr>
        <w:t>Ahora bien, las personas físicas tramitan su inscripción en el registro con el propósito de realizar —mediante esa clave de identificación— operaciones o actividades de naturaleza fiscal, la cual, les permite hacer identificable respecto de una situación fiscal determinada.</w:t>
      </w:r>
    </w:p>
    <w:p w14:paraId="66D7F802" w14:textId="77777777" w:rsidR="002E13CF" w:rsidRDefault="002E13CF" w:rsidP="002E13CF">
      <w:pPr>
        <w:spacing w:before="240" w:after="240" w:line="360" w:lineRule="auto"/>
        <w:ind w:right="-91"/>
        <w:jc w:val="both"/>
        <w:rPr>
          <w:rFonts w:ascii="Palatino Linotype" w:eastAsia="Times New Roman" w:hAnsi="Palatino Linotype" w:cs="Arial"/>
          <w:sz w:val="24"/>
          <w:szCs w:val="24"/>
          <w:lang w:eastAsia="es-MX"/>
        </w:rPr>
      </w:pPr>
      <w:r w:rsidRPr="001571EB">
        <w:rPr>
          <w:rFonts w:ascii="Palatino Linotype" w:eastAsia="Times New Roman" w:hAnsi="Palatino Linotype" w:cs="Arial"/>
          <w:sz w:val="24"/>
          <w:szCs w:val="24"/>
          <w:lang w:eastAsia="es-MX"/>
        </w:rPr>
        <w:t xml:space="preserve">Lo anterior es compartido por el ahora </w:t>
      </w:r>
      <w:r w:rsidRPr="001571EB">
        <w:rPr>
          <w:rFonts w:ascii="Palatino Linotype" w:eastAsia="Times New Roman" w:hAnsi="Palatino Linotype" w:cs="Arial"/>
          <w:b/>
          <w:bCs/>
          <w:sz w:val="24"/>
          <w:szCs w:val="24"/>
          <w:lang w:eastAsia="es-MX"/>
        </w:rPr>
        <w:t>Instituto Nacional de Transparencia, Acceso a la Información y Protección de Datos Personales</w:t>
      </w:r>
      <w:r w:rsidRPr="001571EB">
        <w:rPr>
          <w:rFonts w:ascii="Palatino Linotype" w:eastAsia="Times New Roman" w:hAnsi="Palatino Linotype" w:cs="Arial"/>
          <w:sz w:val="24"/>
          <w:szCs w:val="24"/>
          <w:lang w:eastAsia="es-MX"/>
        </w:rPr>
        <w:t xml:space="preserve"> (INAI), conforme al criterio </w:t>
      </w:r>
      <w:r w:rsidRPr="00E60DEF">
        <w:rPr>
          <w:rFonts w:ascii="Palatino Linotype" w:eastAsia="Times New Roman" w:hAnsi="Palatino Linotype" w:cs="Arial"/>
          <w:b/>
          <w:sz w:val="24"/>
          <w:szCs w:val="24"/>
          <w:lang w:eastAsia="es-MX"/>
        </w:rPr>
        <w:t>19/17,</w:t>
      </w:r>
      <w:r w:rsidRPr="001571EB">
        <w:rPr>
          <w:rFonts w:ascii="Palatino Linotype" w:eastAsia="Times New Roman" w:hAnsi="Palatino Linotype" w:cs="Arial"/>
          <w:sz w:val="24"/>
          <w:szCs w:val="24"/>
          <w:lang w:eastAsia="es-MX"/>
        </w:rPr>
        <w:t xml:space="preserve"> el cual es del tenor literal siguiente:</w:t>
      </w:r>
    </w:p>
    <w:p w14:paraId="0652435D" w14:textId="77777777" w:rsidR="002E13CF" w:rsidRDefault="002E13CF" w:rsidP="002E13CF">
      <w:pPr>
        <w:autoSpaceDE w:val="0"/>
        <w:autoSpaceDN w:val="0"/>
        <w:adjustRightInd w:val="0"/>
        <w:spacing w:before="240" w:line="360" w:lineRule="auto"/>
        <w:ind w:left="851" w:right="851"/>
        <w:jc w:val="center"/>
        <w:rPr>
          <w:rFonts w:ascii="Palatino Linotype" w:eastAsia="Times New Roman" w:hAnsi="Palatino Linotype" w:cs="Arial"/>
          <w:b/>
          <w:bCs/>
          <w:i/>
        </w:rPr>
      </w:pPr>
      <w:r w:rsidRPr="001571EB">
        <w:rPr>
          <w:rFonts w:ascii="Palatino Linotype" w:eastAsia="Times New Roman" w:hAnsi="Palatino Linotype" w:cs="Arial"/>
          <w:bCs/>
          <w:i/>
        </w:rPr>
        <w:lastRenderedPageBreak/>
        <w:t>“</w:t>
      </w:r>
      <w:r w:rsidRPr="001571EB">
        <w:rPr>
          <w:rFonts w:ascii="Palatino Linotype" w:eastAsia="Times New Roman" w:hAnsi="Palatino Linotype" w:cs="Arial"/>
          <w:b/>
          <w:bCs/>
          <w:i/>
        </w:rPr>
        <w:t>REGISTRO FEDERAL DE CONTRIBUYENTES (RFC) DE PERSONAS FÍSICAS.</w:t>
      </w:r>
    </w:p>
    <w:p w14:paraId="1CEF0A13"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Cs/>
          <w:i/>
        </w:rPr>
      </w:pPr>
      <w:r w:rsidRPr="001571EB">
        <w:rPr>
          <w:rFonts w:ascii="Palatino Linotype" w:eastAsia="Times New Roman" w:hAnsi="Palatino Linotype" w:cs="Arial"/>
          <w:bCs/>
          <w:i/>
        </w:rPr>
        <w:t>El RFC es una clave de carácter fiscal, única e irrepetible, que permite identificar al titular, su edad y fecha de nacimiento, por lo que es un dato personal de carácter confidencial.</w:t>
      </w:r>
    </w:p>
    <w:p w14:paraId="196232BA"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rPr>
      </w:pPr>
      <w:r w:rsidRPr="001571EB">
        <w:rPr>
          <w:rFonts w:ascii="Palatino Linotype" w:eastAsia="Times New Roman" w:hAnsi="Palatino Linotype" w:cs="Arial"/>
          <w:b/>
          <w:i/>
        </w:rPr>
        <w:t>Resoluciones:</w:t>
      </w:r>
    </w:p>
    <w:p w14:paraId="6740C968"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i/>
          <w:lang w:val="es-ES"/>
        </w:rPr>
      </w:pPr>
      <w:r w:rsidRPr="001571EB">
        <w:rPr>
          <w:rFonts w:ascii="Palatino Linotype" w:eastAsia="Times New Roman" w:hAnsi="Palatino Linotype" w:cs="Arial"/>
          <w:b/>
          <w:i/>
        </w:rPr>
        <w:t xml:space="preserve">RRA </w:t>
      </w:r>
      <w:r w:rsidRPr="001571EB">
        <w:rPr>
          <w:rFonts w:ascii="Palatino Linotype" w:eastAsia="Times New Roman" w:hAnsi="Palatino Linotype" w:cs="Arial"/>
          <w:b/>
          <w:i/>
          <w:lang w:val="es-ES"/>
        </w:rPr>
        <w:t xml:space="preserve">0189/17. </w:t>
      </w:r>
      <w:r w:rsidRPr="001571EB">
        <w:rPr>
          <w:rFonts w:ascii="Palatino Linotype" w:eastAsia="Times New Roman" w:hAnsi="Palatino Linotype" w:cs="Arial"/>
          <w:i/>
          <w:lang w:val="es-ES"/>
        </w:rPr>
        <w:t xml:space="preserve">Morena. 08 de febrero de 2017. Por unanimidad. Comisionado Ponente </w:t>
      </w:r>
      <w:r w:rsidRPr="001571EB">
        <w:rPr>
          <w:rFonts w:ascii="Palatino Linotype" w:eastAsia="Times New Roman" w:hAnsi="Palatino Linotype" w:cs="Arial"/>
          <w:i/>
        </w:rPr>
        <w:t>Joel Salas Suárez.</w:t>
      </w:r>
    </w:p>
    <w:p w14:paraId="3B7B91B1"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i/>
          <w:lang w:val="es-ES"/>
        </w:rPr>
      </w:pPr>
      <w:r w:rsidRPr="001571EB">
        <w:rPr>
          <w:rFonts w:ascii="Palatino Linotype" w:eastAsia="Times New Roman" w:hAnsi="Palatino Linotype" w:cs="Arial"/>
          <w:b/>
          <w:i/>
        </w:rPr>
        <w:t xml:space="preserve">RRA </w:t>
      </w:r>
      <w:r w:rsidRPr="001571EB">
        <w:rPr>
          <w:rFonts w:ascii="Palatino Linotype" w:eastAsia="Times New Roman" w:hAnsi="Palatino Linotype" w:cs="Arial"/>
          <w:b/>
          <w:bCs/>
          <w:i/>
        </w:rPr>
        <w:t>0677</w:t>
      </w:r>
      <w:r w:rsidRPr="001571EB">
        <w:rPr>
          <w:rFonts w:ascii="Palatino Linotype" w:eastAsia="Times New Roman" w:hAnsi="Palatino Linotype" w:cs="Arial"/>
          <w:b/>
          <w:i/>
        </w:rPr>
        <w:t xml:space="preserve">/17. </w:t>
      </w:r>
      <w:r w:rsidRPr="001571EB">
        <w:rPr>
          <w:rFonts w:ascii="Palatino Linotype" w:eastAsia="Times New Roman" w:hAnsi="Palatino Linotype" w:cs="Arial"/>
          <w:i/>
          <w:lang w:val="es-ES"/>
        </w:rPr>
        <w:t>Universidad Nacional Autónoma de México. 08 de marzo de 2017. Por unanimidad. Comisionado Ponente Rosendoevgueni Monterrey Chepov</w:t>
      </w:r>
      <w:r w:rsidRPr="001571EB">
        <w:rPr>
          <w:rFonts w:ascii="Palatino Linotype" w:eastAsia="Times New Roman" w:hAnsi="Palatino Linotype" w:cs="Arial"/>
          <w:i/>
        </w:rPr>
        <w:t>.</w:t>
      </w:r>
      <w:r w:rsidRPr="001571EB">
        <w:rPr>
          <w:rFonts w:ascii="Palatino Linotype" w:eastAsia="Times New Roman" w:hAnsi="Palatino Linotype" w:cs="Arial"/>
          <w:b/>
          <w:i/>
        </w:rPr>
        <w:t xml:space="preserve"> </w:t>
      </w:r>
    </w:p>
    <w:p w14:paraId="0E911742" w14:textId="77777777" w:rsidR="002E13CF" w:rsidRPr="00EE0180"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lang w:val="es-ES"/>
        </w:rPr>
      </w:pPr>
      <w:r w:rsidRPr="001571EB">
        <w:rPr>
          <w:rFonts w:ascii="Palatino Linotype" w:eastAsia="Times New Roman" w:hAnsi="Palatino Linotype" w:cs="Arial"/>
          <w:b/>
          <w:i/>
        </w:rPr>
        <w:t>RRA</w:t>
      </w:r>
      <w:r w:rsidRPr="001571EB">
        <w:rPr>
          <w:rFonts w:ascii="Palatino Linotype" w:eastAsia="Times New Roman" w:hAnsi="Palatino Linotype" w:cs="Arial"/>
          <w:i/>
          <w:lang w:val="es-ES"/>
        </w:rPr>
        <w:t xml:space="preserve"> </w:t>
      </w:r>
      <w:r w:rsidRPr="001571EB">
        <w:rPr>
          <w:rFonts w:ascii="Palatino Linotype" w:eastAsia="Times New Roman" w:hAnsi="Palatino Linotype" w:cs="Arial"/>
          <w:b/>
          <w:i/>
        </w:rPr>
        <w:t xml:space="preserve">1564/17. </w:t>
      </w:r>
      <w:r w:rsidRPr="001571EB">
        <w:rPr>
          <w:rFonts w:ascii="Palatino Linotype" w:eastAsia="Times New Roman" w:hAnsi="Palatino Linotype" w:cs="Arial"/>
          <w:i/>
          <w:lang w:val="es-ES"/>
        </w:rPr>
        <w:t>Tribunal Electoral del Poder Judicial de la Federación</w:t>
      </w:r>
      <w:r w:rsidRPr="001571EB">
        <w:rPr>
          <w:rFonts w:ascii="Palatino Linotype" w:eastAsia="Times New Roman" w:hAnsi="Palatino Linotype" w:cs="Arial"/>
          <w:i/>
        </w:rPr>
        <w:t>. 26 de abril de 2017. Por unanimidad. Comisionado Ponente Oscar Mauricio Guerra Ford.</w:t>
      </w:r>
      <w:r>
        <w:rPr>
          <w:rFonts w:ascii="Palatino Linotype" w:eastAsia="Times New Roman" w:hAnsi="Palatino Linotype" w:cs="Arial"/>
          <w:i/>
        </w:rPr>
        <w:t xml:space="preserve">” </w:t>
      </w:r>
      <w:r>
        <w:rPr>
          <w:rFonts w:ascii="Palatino Linotype" w:eastAsia="Times New Roman" w:hAnsi="Palatino Linotype" w:cs="Arial"/>
          <w:b/>
          <w:i/>
        </w:rPr>
        <w:t>[Sic]</w:t>
      </w:r>
    </w:p>
    <w:p w14:paraId="6F35FE4A" w14:textId="77777777" w:rsidR="002E13CF" w:rsidRPr="001571EB" w:rsidRDefault="002E13CF" w:rsidP="002E13CF">
      <w:pPr>
        <w:autoSpaceDE w:val="0"/>
        <w:autoSpaceDN w:val="0"/>
        <w:adjustRightInd w:val="0"/>
        <w:spacing w:before="120" w:after="120"/>
        <w:ind w:left="567" w:right="850"/>
        <w:jc w:val="both"/>
        <w:rPr>
          <w:rFonts w:ascii="Palatino Linotype" w:eastAsia="Times New Roman" w:hAnsi="Palatino Linotype" w:cs="Arial"/>
          <w:i/>
        </w:rPr>
      </w:pPr>
    </w:p>
    <w:p w14:paraId="05694962" w14:textId="77777777" w:rsidR="002E13CF" w:rsidRPr="001571EB" w:rsidRDefault="002E13CF" w:rsidP="002E13CF">
      <w:pPr>
        <w:spacing w:before="240" w:after="240" w:line="360" w:lineRule="auto"/>
        <w:jc w:val="both"/>
        <w:rPr>
          <w:rFonts w:ascii="Palatino Linotype" w:hAnsi="Palatino Linotype" w:cs="Arial"/>
          <w:sz w:val="24"/>
          <w:szCs w:val="24"/>
          <w:lang w:eastAsia="es-MX"/>
        </w:rPr>
      </w:pPr>
      <w:r w:rsidRPr="001571EB">
        <w:rPr>
          <w:rFonts w:ascii="Palatino Linotype" w:hAnsi="Palatino Linotype" w:cs="Arial"/>
          <w:sz w:val="24"/>
          <w:szCs w:val="24"/>
          <w:lang w:eastAsia="es-MX"/>
        </w:rPr>
        <w:t>Así, el RFC se vincula al nombre de su titular, permite identificar la edad de la persona, su fecha de nacimiento, así como su homoclave, la cual es única e irrepetible y determina justamente la identificación de dicha persona para efectos fiscales, por lo éste constituye un dato personal que concierne a una persona física identificada e identificable.</w:t>
      </w:r>
    </w:p>
    <w:p w14:paraId="3330E8AE" w14:textId="77777777" w:rsidR="002E13CF" w:rsidRPr="001571EB" w:rsidRDefault="002E13CF" w:rsidP="002E13CF">
      <w:pPr>
        <w:spacing w:before="240" w:after="240" w:line="360" w:lineRule="auto"/>
        <w:jc w:val="both"/>
        <w:rPr>
          <w:rFonts w:ascii="Palatino Linotype" w:eastAsia="Calibri" w:hAnsi="Palatino Linotype" w:cs="Arial"/>
          <w:sz w:val="24"/>
          <w:szCs w:val="24"/>
          <w:lang w:eastAsia="es-MX"/>
        </w:rPr>
      </w:pPr>
      <w:r w:rsidRPr="001571EB">
        <w:rPr>
          <w:rFonts w:ascii="Palatino Linotype" w:hAnsi="Palatino Linotype" w:cs="Arial"/>
          <w:sz w:val="24"/>
          <w:szCs w:val="24"/>
          <w:lang w:eastAsia="es-MX"/>
        </w:rPr>
        <w:t xml:space="preserve">En cuanto a la </w:t>
      </w:r>
      <w:r w:rsidRPr="001571EB">
        <w:rPr>
          <w:rFonts w:ascii="Palatino Linotype" w:hAnsi="Palatino Linotype" w:cs="Arial"/>
          <w:sz w:val="24"/>
          <w:szCs w:val="24"/>
        </w:rPr>
        <w:t xml:space="preserve">Clave Única de Registro de Población (CURP) en virtud de que éste se </w:t>
      </w:r>
      <w:r w:rsidRPr="001571EB">
        <w:rPr>
          <w:rFonts w:ascii="Palatino Linotype" w:eastAsia="Calibri" w:hAnsi="Palatino Linotype" w:cs="Arial"/>
          <w:sz w:val="24"/>
          <w:szCs w:val="24"/>
          <w:lang w:eastAsia="es-MX"/>
        </w:rPr>
        <w:t xml:space="preserve">integra por datos personales que únicamente le conciernen a un particular como son su fecha de nacimiento, su nombre, sus apellidos y su lugar de nacimiento; </w:t>
      </w:r>
      <w:r w:rsidRPr="001571EB">
        <w:rPr>
          <w:rFonts w:ascii="Palatino Linotype" w:eastAsia="Calibri" w:hAnsi="Palatino Linotype" w:cs="Arial"/>
          <w:sz w:val="24"/>
          <w:szCs w:val="24"/>
          <w:lang w:eastAsia="es-MX"/>
        </w:rPr>
        <w:lastRenderedPageBreak/>
        <w:t>información que permite distinguirlo del resto de los habitantes, se considera que es de carácter confidencial.</w:t>
      </w:r>
    </w:p>
    <w:p w14:paraId="765B17E6" w14:textId="77777777" w:rsidR="002E13CF" w:rsidRDefault="002E13CF" w:rsidP="002E13CF">
      <w:pPr>
        <w:spacing w:before="240" w:after="240" w:line="360" w:lineRule="auto"/>
        <w:ind w:right="-91"/>
        <w:jc w:val="both"/>
        <w:rPr>
          <w:rFonts w:ascii="Palatino Linotype" w:eastAsia="Times New Roman" w:hAnsi="Palatino Linotype" w:cs="Arial"/>
          <w:sz w:val="24"/>
          <w:szCs w:val="24"/>
        </w:rPr>
      </w:pPr>
      <w:r w:rsidRPr="001571EB">
        <w:rPr>
          <w:rFonts w:ascii="Palatino Linotype" w:hAnsi="Palatino Linotype" w:cs="Arial"/>
          <w:sz w:val="24"/>
          <w:szCs w:val="24"/>
        </w:rPr>
        <w:t xml:space="preserve">Argumento que es compartido por el </w:t>
      </w:r>
      <w:r w:rsidRPr="001571EB">
        <w:rPr>
          <w:rStyle w:val="Textoennegrita"/>
          <w:rFonts w:ascii="Palatino Linotype" w:hAnsi="Palatino Linotype" w:cs="Arial"/>
          <w:sz w:val="24"/>
          <w:szCs w:val="24"/>
        </w:rPr>
        <w:t xml:space="preserve">Instituto Nacional de Transparencia, Acceso a la Información y Protección de Datos Personales, conforme al </w:t>
      </w:r>
      <w:r w:rsidRPr="001571EB">
        <w:rPr>
          <w:rFonts w:ascii="Palatino Linotype" w:eastAsia="Times New Roman" w:hAnsi="Palatino Linotype" w:cs="Arial"/>
          <w:sz w:val="24"/>
          <w:szCs w:val="24"/>
        </w:rPr>
        <w:t xml:space="preserve">criterio número 18/17 el cual refiere: </w:t>
      </w:r>
    </w:p>
    <w:p w14:paraId="1FB0D7B4" w14:textId="77777777" w:rsidR="002E13CF" w:rsidRDefault="002E13CF" w:rsidP="002E13CF">
      <w:pPr>
        <w:autoSpaceDE w:val="0"/>
        <w:autoSpaceDN w:val="0"/>
        <w:adjustRightInd w:val="0"/>
        <w:spacing w:before="240" w:line="360" w:lineRule="auto"/>
        <w:ind w:left="851" w:right="851"/>
        <w:jc w:val="center"/>
        <w:rPr>
          <w:rFonts w:ascii="Palatino Linotype" w:eastAsia="Times New Roman" w:hAnsi="Palatino Linotype" w:cs="Arial"/>
          <w:b/>
          <w:bCs/>
          <w:i/>
          <w:lang w:eastAsia="es-MX"/>
        </w:rPr>
      </w:pPr>
      <w:r w:rsidRPr="001571EB">
        <w:rPr>
          <w:rFonts w:ascii="Palatino Linotype" w:eastAsia="Times New Roman" w:hAnsi="Palatino Linotype" w:cs="Arial"/>
          <w:bCs/>
          <w:i/>
          <w:lang w:eastAsia="es-MX"/>
        </w:rPr>
        <w:t>“</w:t>
      </w:r>
      <w:r w:rsidRPr="001571EB">
        <w:rPr>
          <w:rFonts w:ascii="Palatino Linotype" w:eastAsia="Times New Roman" w:hAnsi="Palatino Linotype" w:cs="Arial"/>
          <w:b/>
          <w:bCs/>
          <w:i/>
          <w:lang w:eastAsia="es-MX"/>
        </w:rPr>
        <w:t>CLAVE ÚNICA DE REGISTRO DE POBLACIÓN (CURP).</w:t>
      </w:r>
    </w:p>
    <w:p w14:paraId="5E4FE5B0"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bCs/>
          <w:i/>
          <w:lang w:eastAsia="es-MX"/>
        </w:rPr>
      </w:pPr>
      <w:r w:rsidRPr="001571EB">
        <w:rPr>
          <w:rFonts w:ascii="Palatino Linotype" w:eastAsia="Times New Roman" w:hAnsi="Palatino Linotype" w:cs="Arial"/>
          <w:bCs/>
          <w:i/>
          <w:lang w:eastAsia="es-MX"/>
        </w:rPr>
        <w:t xml:space="preserve">La Clave Única de Registro de Población se integra por datos personales que sólo conciernen al particular titular de la misma, como lo son su nombre, apellidos, fecha de nacimiento, lugar de nacimiento y sexo. Dichos datos, constituyen información que distingue plenamente a una persona física del resto de los habitantes del país, por lo que la CURP está considerada como información confidencial”. </w:t>
      </w:r>
    </w:p>
    <w:p w14:paraId="3A2B6DD9"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lang w:eastAsia="es-MX"/>
        </w:rPr>
      </w:pPr>
      <w:r w:rsidRPr="001571EB">
        <w:rPr>
          <w:rFonts w:ascii="Palatino Linotype" w:eastAsia="Times New Roman" w:hAnsi="Palatino Linotype" w:cs="Arial"/>
          <w:i/>
          <w:lang w:eastAsia="es-MX"/>
        </w:rPr>
        <w:t xml:space="preserve"> </w:t>
      </w:r>
      <w:r w:rsidRPr="001571EB">
        <w:rPr>
          <w:rFonts w:ascii="Palatino Linotype" w:eastAsia="Times New Roman" w:hAnsi="Palatino Linotype" w:cs="Arial"/>
          <w:b/>
          <w:i/>
          <w:lang w:eastAsia="es-MX"/>
        </w:rPr>
        <w:t>Resoluciones:</w:t>
      </w:r>
    </w:p>
    <w:p w14:paraId="2F2200AA"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lang w:eastAsia="es-MX"/>
        </w:rPr>
      </w:pPr>
      <w:r w:rsidRPr="001571EB">
        <w:rPr>
          <w:rFonts w:ascii="Palatino Linotype" w:eastAsia="Times New Roman" w:hAnsi="Palatino Linotype" w:cs="Arial"/>
          <w:b/>
          <w:i/>
          <w:lang w:eastAsia="es-MX"/>
        </w:rPr>
        <w:t xml:space="preserve">RRA 3995/16. </w:t>
      </w:r>
      <w:r w:rsidRPr="001571EB">
        <w:rPr>
          <w:rFonts w:ascii="Palatino Linotype" w:eastAsia="Times New Roman" w:hAnsi="Palatino Linotype" w:cs="Arial"/>
          <w:i/>
          <w:lang w:eastAsia="es-MX"/>
        </w:rPr>
        <w:t>Secretaría de la Defensa Nacional. 1 de febrero de 2017. Por unanimidad. Comisionado Ponente Rosendoevgueni Monterrey Chepov.</w:t>
      </w:r>
    </w:p>
    <w:p w14:paraId="468043A3" w14:textId="77777777" w:rsidR="002E13CF" w:rsidRPr="001571EB"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lang w:eastAsia="es-MX"/>
        </w:rPr>
      </w:pPr>
      <w:r w:rsidRPr="001571EB">
        <w:rPr>
          <w:rFonts w:ascii="Palatino Linotype" w:eastAsia="Times New Roman" w:hAnsi="Palatino Linotype" w:cs="Arial"/>
          <w:b/>
          <w:i/>
          <w:lang w:eastAsia="es-MX"/>
        </w:rPr>
        <w:t xml:space="preserve">RRA </w:t>
      </w:r>
      <w:r w:rsidRPr="001571EB">
        <w:rPr>
          <w:rFonts w:ascii="Palatino Linotype" w:eastAsia="Times New Roman" w:hAnsi="Palatino Linotype" w:cs="Arial"/>
          <w:b/>
          <w:bCs/>
          <w:i/>
          <w:lang w:eastAsia="es-MX"/>
        </w:rPr>
        <w:t xml:space="preserve">0937/17. </w:t>
      </w:r>
      <w:r w:rsidRPr="001571EB">
        <w:rPr>
          <w:rFonts w:ascii="Palatino Linotype" w:eastAsia="Times New Roman" w:hAnsi="Palatino Linotype" w:cs="Arial"/>
          <w:bCs/>
          <w:i/>
          <w:lang w:eastAsia="es-MX"/>
        </w:rPr>
        <w:t xml:space="preserve">Senado de la República. </w:t>
      </w:r>
      <w:r w:rsidRPr="001571EB">
        <w:rPr>
          <w:rFonts w:ascii="Palatino Linotype" w:eastAsia="Times New Roman" w:hAnsi="Palatino Linotype" w:cs="Arial"/>
          <w:bCs/>
          <w:i/>
          <w:lang w:val="es-ES_tradnl" w:eastAsia="es-MX"/>
        </w:rPr>
        <w:t xml:space="preserve">15 de marzo de 2017. Por unanimidad. Comisionada Ponente Ximena Puente de la Mora. </w:t>
      </w:r>
    </w:p>
    <w:p w14:paraId="41AFA1CD" w14:textId="77777777" w:rsidR="002E13CF" w:rsidRPr="00EE0180" w:rsidRDefault="002E13CF" w:rsidP="002E13CF">
      <w:pPr>
        <w:autoSpaceDE w:val="0"/>
        <w:autoSpaceDN w:val="0"/>
        <w:adjustRightInd w:val="0"/>
        <w:spacing w:before="240" w:line="360" w:lineRule="auto"/>
        <w:ind w:left="851" w:right="851"/>
        <w:jc w:val="both"/>
        <w:rPr>
          <w:rFonts w:ascii="Palatino Linotype" w:eastAsia="Times New Roman" w:hAnsi="Palatino Linotype" w:cs="Arial"/>
          <w:b/>
          <w:i/>
          <w:lang w:eastAsia="es-MX"/>
        </w:rPr>
      </w:pPr>
      <w:r w:rsidRPr="001571EB">
        <w:rPr>
          <w:rFonts w:ascii="Palatino Linotype" w:eastAsia="Times New Roman" w:hAnsi="Palatino Linotype" w:cs="Arial"/>
          <w:b/>
          <w:i/>
          <w:lang w:eastAsia="es-MX"/>
        </w:rPr>
        <w:t xml:space="preserve">RRA 0478/17. </w:t>
      </w:r>
      <w:r w:rsidRPr="001571EB">
        <w:rPr>
          <w:rFonts w:ascii="Palatino Linotype" w:eastAsia="Times New Roman" w:hAnsi="Palatino Linotype" w:cs="Arial"/>
          <w:i/>
          <w:lang w:eastAsia="es-MX"/>
        </w:rPr>
        <w:t>Secretaría de Relaciones Exteriores. 26 de abril de 2017. Por unanimidad. Comisionada Ponente Areli Cano Guadiana.</w:t>
      </w:r>
      <w:r>
        <w:rPr>
          <w:rFonts w:ascii="Palatino Linotype" w:eastAsia="Times New Roman" w:hAnsi="Palatino Linotype" w:cs="Arial"/>
          <w:i/>
          <w:lang w:eastAsia="es-MX"/>
        </w:rPr>
        <w:t xml:space="preserve">” </w:t>
      </w:r>
      <w:r>
        <w:rPr>
          <w:rFonts w:ascii="Palatino Linotype" w:eastAsia="Times New Roman" w:hAnsi="Palatino Linotype" w:cs="Arial"/>
          <w:b/>
          <w:i/>
          <w:lang w:eastAsia="es-MX"/>
        </w:rPr>
        <w:t>[Sic]</w:t>
      </w:r>
    </w:p>
    <w:p w14:paraId="09DF0A4C" w14:textId="77777777" w:rsidR="002E13CF" w:rsidRPr="001571EB" w:rsidRDefault="002E13CF" w:rsidP="002E13CF">
      <w:pPr>
        <w:spacing w:after="0" w:line="360" w:lineRule="auto"/>
        <w:jc w:val="both"/>
        <w:rPr>
          <w:rFonts w:ascii="Palatino Linotype" w:hAnsi="Palatino Linotype" w:cs="Arial"/>
        </w:rPr>
      </w:pPr>
    </w:p>
    <w:p w14:paraId="4C9AAA66" w14:textId="77777777" w:rsidR="002E13CF" w:rsidRDefault="002E13CF" w:rsidP="002E13CF">
      <w:pPr>
        <w:spacing w:after="0" w:line="360" w:lineRule="auto"/>
        <w:ind w:right="51"/>
        <w:jc w:val="both"/>
        <w:rPr>
          <w:rFonts w:ascii="Palatino Linotype" w:hAnsi="Palatino Linotype" w:cs="Arial"/>
          <w:sz w:val="24"/>
          <w:szCs w:val="24"/>
        </w:rPr>
      </w:pPr>
      <w:r w:rsidRPr="001571EB">
        <w:rPr>
          <w:rFonts w:ascii="Palatino Linotype" w:hAnsi="Palatino Linotype" w:cs="Arial"/>
          <w:sz w:val="24"/>
          <w:szCs w:val="24"/>
        </w:rPr>
        <w:t xml:space="preserve">Lo anterior, sólo en caso de advertir información susceptible de clasificar, por ende, resulta necesario que el Comité de Transparencia del Sujeto Obligado emita el </w:t>
      </w:r>
      <w:r w:rsidRPr="001571EB">
        <w:rPr>
          <w:rFonts w:ascii="Palatino Linotype" w:hAnsi="Palatino Linotype" w:cs="Arial"/>
          <w:sz w:val="24"/>
          <w:szCs w:val="24"/>
        </w:rPr>
        <w:lastRenderedPageBreak/>
        <w:t xml:space="preserve">Acuerdo de Clasificación correspondiente que sustente la versión pública, el cual deberá cumplir cabalmente las formalidades previstas en el artículo 137 de la Ley de Transparencia y Acceso a la Información Pública del Estado de México y Municipios, así como los numerales aplicables de los LINEAMIENTOS GENERALES EN MATERIA DE CLASIFICACIÓN Y DESCLASIFICACIÓN DE LA INFORMACIÓN, ASÍ COMO PARA LA ELABORACIÓN DE VERSIONES PÚBLICAS, publicados en el Diario Oficial de la Federación en fecha quince de abril de dos mil dieciséis, mediante Acuerdo del Consejo Nacional del Sistema Nacional de Transparencia, Acceso a la Información Pública y Protección de Datos Personales. </w:t>
      </w:r>
    </w:p>
    <w:p w14:paraId="193976BA" w14:textId="14124F7E" w:rsidR="00EE5787" w:rsidRPr="009A7912" w:rsidRDefault="00EE5787" w:rsidP="00EE5787">
      <w:pPr>
        <w:pStyle w:val="Prrafodelista"/>
        <w:spacing w:before="240" w:after="240" w:line="360" w:lineRule="auto"/>
        <w:ind w:left="0"/>
        <w:jc w:val="both"/>
        <w:rPr>
          <w:rFonts w:ascii="Palatino Linotype" w:hAnsi="Palatino Linotype"/>
        </w:rPr>
      </w:pPr>
      <w:r w:rsidRPr="00A47ADD">
        <w:rPr>
          <w:rFonts w:ascii="Palatino Linotype" w:hAnsi="Palatino Linotype"/>
        </w:rPr>
        <w:t xml:space="preserve">En mérito de lo expuesto en líneas </w:t>
      </w:r>
      <w:r>
        <w:rPr>
          <w:rFonts w:ascii="Palatino Linotype" w:hAnsi="Palatino Linotype"/>
        </w:rPr>
        <w:t xml:space="preserve">anteriores, resultan fundados los motivos de inconformidad que arguye </w:t>
      </w:r>
      <w:r>
        <w:rPr>
          <w:rFonts w:ascii="Palatino Linotype" w:hAnsi="Palatino Linotype"/>
          <w:b/>
        </w:rPr>
        <w:t xml:space="preserve">El Recurrente </w:t>
      </w:r>
      <w:r>
        <w:rPr>
          <w:rFonts w:ascii="Palatino Linotype" w:hAnsi="Palatino Linotype"/>
        </w:rPr>
        <w:t xml:space="preserve">en su medio de impugnación que fuera materia de estudio, por ello con fundamento en la primera hipótesis de la fracción III del artículo 186, de la Ley de Transparencia y Acceso a la Información Pública del Estado de México y Municipios, se </w:t>
      </w:r>
      <w:r>
        <w:rPr>
          <w:rFonts w:ascii="Palatino Linotype" w:hAnsi="Palatino Linotype"/>
          <w:b/>
        </w:rPr>
        <w:t xml:space="preserve">REVOCA </w:t>
      </w:r>
      <w:r>
        <w:rPr>
          <w:rFonts w:ascii="Palatino Linotype" w:hAnsi="Palatino Linotype"/>
        </w:rPr>
        <w:t xml:space="preserve">la respuesta a la solicitud de información número </w:t>
      </w:r>
      <w:r w:rsidR="00E97BEA">
        <w:rPr>
          <w:rFonts w:ascii="Palatino Linotype" w:hAnsi="Palatino Linotype"/>
          <w:b/>
        </w:rPr>
        <w:t>00048/SMA/IP/2020</w:t>
      </w:r>
      <w:r w:rsidR="00E3326E">
        <w:rPr>
          <w:rFonts w:ascii="Palatino Linotype" w:hAnsi="Palatino Linotype"/>
          <w:b/>
        </w:rPr>
        <w:t xml:space="preserve"> </w:t>
      </w:r>
      <w:r w:rsidRPr="00271298">
        <w:rPr>
          <w:rFonts w:ascii="Palatino Linotype" w:hAnsi="Palatino Linotype"/>
        </w:rPr>
        <w:t>que</w:t>
      </w:r>
      <w:r>
        <w:rPr>
          <w:rFonts w:ascii="Palatino Linotype" w:hAnsi="Palatino Linotype"/>
        </w:rPr>
        <w:t xml:space="preserve"> ha sido materia del presente fallo. </w:t>
      </w:r>
    </w:p>
    <w:p w14:paraId="4C8C8CFE" w14:textId="637A6F6E" w:rsidR="00EE5787" w:rsidRDefault="00EE5787" w:rsidP="00EE5787">
      <w:pPr>
        <w:pStyle w:val="Prrafodelista"/>
        <w:spacing w:before="240" w:after="240" w:line="360" w:lineRule="auto"/>
        <w:ind w:left="0"/>
        <w:jc w:val="both"/>
        <w:rPr>
          <w:rFonts w:ascii="Palatino Linotype" w:hAnsi="Palatino Linotype"/>
        </w:rPr>
      </w:pPr>
      <w:r w:rsidRPr="00FD725A">
        <w:rPr>
          <w:rFonts w:ascii="Palatino Linotype" w:hAnsi="Palatino Linotype"/>
        </w:rPr>
        <w:t xml:space="preserve">Razón por la cual es dable </w:t>
      </w:r>
      <w:r w:rsidRPr="00FD725A">
        <w:rPr>
          <w:rFonts w:ascii="Palatino Linotype" w:hAnsi="Palatino Linotype"/>
          <w:b/>
        </w:rPr>
        <w:t xml:space="preserve">ORDENAR </w:t>
      </w:r>
      <w:r w:rsidRPr="00FD725A">
        <w:rPr>
          <w:rFonts w:ascii="Palatino Linotype" w:hAnsi="Palatino Linotype"/>
        </w:rPr>
        <w:t xml:space="preserve">al </w:t>
      </w:r>
      <w:r w:rsidRPr="00FD725A">
        <w:rPr>
          <w:rFonts w:ascii="Palatino Linotype" w:hAnsi="Palatino Linotype"/>
          <w:b/>
        </w:rPr>
        <w:t xml:space="preserve">Sujeto Obligado </w:t>
      </w:r>
      <w:r>
        <w:rPr>
          <w:rFonts w:ascii="Palatino Linotype" w:hAnsi="Palatino Linotype"/>
        </w:rPr>
        <w:t>haga entrega a</w:t>
      </w:r>
      <w:r w:rsidR="00E97BEA">
        <w:rPr>
          <w:rFonts w:ascii="Palatino Linotype" w:hAnsi="Palatino Linotype"/>
        </w:rPr>
        <w:t>l</w:t>
      </w:r>
      <w:r>
        <w:rPr>
          <w:rFonts w:ascii="Palatino Linotype" w:hAnsi="Palatino Linotype"/>
          <w:b/>
        </w:rPr>
        <w:t xml:space="preserve"> Recurrente </w:t>
      </w:r>
      <w:r>
        <w:rPr>
          <w:rFonts w:ascii="Palatino Linotype" w:hAnsi="Palatino Linotype"/>
        </w:rPr>
        <w:t xml:space="preserve">vía </w:t>
      </w:r>
      <w:r w:rsidRPr="00E43116">
        <w:rPr>
          <w:rFonts w:ascii="Palatino Linotype" w:hAnsi="Palatino Linotype"/>
          <w:b/>
        </w:rPr>
        <w:t>SAIMEX</w:t>
      </w:r>
      <w:r>
        <w:rPr>
          <w:rFonts w:ascii="Palatino Linotype" w:hAnsi="Palatino Linotype"/>
        </w:rPr>
        <w:t xml:space="preserve">, de la información precisada con anterioridad. </w:t>
      </w:r>
    </w:p>
    <w:p w14:paraId="4709DACB" w14:textId="35B557C3" w:rsidR="00EE5787" w:rsidRDefault="00E97BEA" w:rsidP="00EE5787">
      <w:pPr>
        <w:pStyle w:val="Prrafodelista"/>
        <w:spacing w:before="240" w:after="240" w:line="360" w:lineRule="auto"/>
        <w:ind w:left="0"/>
        <w:jc w:val="both"/>
        <w:rPr>
          <w:rFonts w:ascii="Palatino Linotype" w:hAnsi="Palatino Linotype"/>
        </w:rPr>
      </w:pPr>
      <w:r>
        <w:rPr>
          <w:rFonts w:ascii="Palatino Linotype" w:hAnsi="Palatino Linotype"/>
          <w:noProof/>
        </w:rPr>
        <mc:AlternateContent>
          <mc:Choice Requires="wps">
            <w:drawing>
              <wp:anchor distT="0" distB="0" distL="114300" distR="114300" simplePos="0" relativeHeight="251685888" behindDoc="0" locked="0" layoutInCell="1" allowOverlap="1" wp14:anchorId="08F4B061" wp14:editId="2D55650A">
                <wp:simplePos x="0" y="0"/>
                <wp:positionH relativeFrom="column">
                  <wp:posOffset>-316342</wp:posOffset>
                </wp:positionH>
                <wp:positionV relativeFrom="paragraph">
                  <wp:posOffset>391496</wp:posOffset>
                </wp:positionV>
                <wp:extent cx="6153374" cy="1463040"/>
                <wp:effectExtent l="0" t="0" r="19050" b="22860"/>
                <wp:wrapNone/>
                <wp:docPr id="14" name="Conector recto 14"/>
                <wp:cNvGraphicFramePr/>
                <a:graphic xmlns:a="http://schemas.openxmlformats.org/drawingml/2006/main">
                  <a:graphicData uri="http://schemas.microsoft.com/office/word/2010/wordprocessingShape">
                    <wps:wsp>
                      <wps:cNvCnPr/>
                      <wps:spPr>
                        <a:xfrm>
                          <a:off x="0" y="0"/>
                          <a:ext cx="6153374" cy="1463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0CD00" id="Conector recto 1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4.9pt,30.85pt" to="459.6pt,1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" strokecolor="#5b9bd5 [3204]" strokeweight=".5pt">
                <v:stroke joinstyle="miter"/>
              </v:line>
            </w:pict>
          </mc:Fallback>
        </mc:AlternateContent>
      </w:r>
      <w:r w:rsidR="00EE5787">
        <w:rPr>
          <w:rFonts w:ascii="Palatino Linotype" w:hAnsi="Palatino Linotype"/>
        </w:rPr>
        <w:t>Por lo antes expuesto y fundado es de resolverse y;</w:t>
      </w:r>
    </w:p>
    <w:p w14:paraId="300C997A" w14:textId="6B11B66F" w:rsidR="00642453" w:rsidRDefault="00642453" w:rsidP="00EE5787">
      <w:pPr>
        <w:spacing w:before="240" w:after="240" w:line="360" w:lineRule="auto"/>
        <w:jc w:val="center"/>
        <w:rPr>
          <w:rFonts w:ascii="Palatino Linotype" w:hAnsi="Palatino Linotype"/>
          <w:b/>
          <w:spacing w:val="60"/>
          <w:sz w:val="24"/>
          <w:szCs w:val="24"/>
        </w:rPr>
      </w:pPr>
    </w:p>
    <w:p w14:paraId="2190BA9C" w14:textId="4853B6EE" w:rsidR="00E97BEA" w:rsidRDefault="00E97BEA" w:rsidP="00EE5787">
      <w:pPr>
        <w:spacing w:before="240" w:after="240" w:line="360" w:lineRule="auto"/>
        <w:jc w:val="center"/>
        <w:rPr>
          <w:rFonts w:ascii="Palatino Linotype" w:hAnsi="Palatino Linotype"/>
          <w:b/>
          <w:spacing w:val="60"/>
          <w:sz w:val="24"/>
          <w:szCs w:val="24"/>
        </w:rPr>
      </w:pPr>
    </w:p>
    <w:p w14:paraId="4E9DB482" w14:textId="77777777" w:rsidR="00E97BEA" w:rsidRDefault="00E97BEA" w:rsidP="00EE5787">
      <w:pPr>
        <w:spacing w:before="240" w:after="240" w:line="360" w:lineRule="auto"/>
        <w:jc w:val="center"/>
        <w:rPr>
          <w:rFonts w:ascii="Palatino Linotype" w:hAnsi="Palatino Linotype"/>
          <w:b/>
          <w:spacing w:val="60"/>
          <w:sz w:val="24"/>
          <w:szCs w:val="24"/>
        </w:rPr>
      </w:pPr>
    </w:p>
    <w:p w14:paraId="1851AC78" w14:textId="53EFC2AF" w:rsidR="00EE5787" w:rsidRPr="00413327" w:rsidRDefault="00EE5787" w:rsidP="00EE5787">
      <w:pPr>
        <w:spacing w:before="240" w:after="240" w:line="360" w:lineRule="auto"/>
        <w:jc w:val="center"/>
        <w:rPr>
          <w:rFonts w:ascii="Palatino Linotype" w:hAnsi="Palatino Linotype"/>
          <w:b/>
          <w:spacing w:val="60"/>
          <w:sz w:val="24"/>
          <w:szCs w:val="24"/>
        </w:rPr>
      </w:pPr>
      <w:r>
        <w:rPr>
          <w:rFonts w:ascii="Palatino Linotype" w:hAnsi="Palatino Linotype"/>
          <w:b/>
          <w:spacing w:val="60"/>
          <w:sz w:val="24"/>
          <w:szCs w:val="24"/>
        </w:rPr>
        <w:lastRenderedPageBreak/>
        <w:t>S E RESUELVE</w:t>
      </w:r>
    </w:p>
    <w:p w14:paraId="10523A22" w14:textId="1AF708C9" w:rsidR="00EE5787" w:rsidRDefault="00EE5787" w:rsidP="00EE5787">
      <w:pPr>
        <w:spacing w:before="240" w:line="360" w:lineRule="auto"/>
        <w:jc w:val="both"/>
        <w:rPr>
          <w:rFonts w:ascii="Palatino Linotype" w:hAnsi="Palatino Linotype" w:cs="Arial"/>
          <w:sz w:val="24"/>
          <w:szCs w:val="24"/>
        </w:rPr>
      </w:pPr>
      <w:r w:rsidRPr="00413327">
        <w:rPr>
          <w:rFonts w:ascii="Palatino Linotype" w:hAnsi="Palatino Linotype" w:cs="Arial"/>
          <w:b/>
          <w:sz w:val="24"/>
          <w:szCs w:val="24"/>
          <w:lang w:val="es-ES_tradnl"/>
        </w:rPr>
        <w:t>PRIMERO.</w:t>
      </w:r>
      <w:r w:rsidRPr="00413327">
        <w:rPr>
          <w:rFonts w:ascii="Palatino Linotype" w:hAnsi="Palatino Linotype" w:cs="Arial"/>
          <w:sz w:val="24"/>
          <w:szCs w:val="24"/>
          <w:lang w:val="es-ES_tradnl"/>
        </w:rPr>
        <w:t xml:space="preserve"> </w:t>
      </w:r>
      <w:r w:rsidRPr="00413327">
        <w:rPr>
          <w:rFonts w:ascii="Palatino Linotype" w:hAnsi="Palatino Linotype" w:cs="Arial"/>
          <w:sz w:val="24"/>
          <w:szCs w:val="24"/>
        </w:rPr>
        <w:t xml:space="preserve">Se </w:t>
      </w:r>
      <w:r w:rsidRPr="00413327">
        <w:rPr>
          <w:rFonts w:ascii="Palatino Linotype" w:hAnsi="Palatino Linotype" w:cs="Arial"/>
          <w:b/>
          <w:sz w:val="24"/>
          <w:szCs w:val="24"/>
        </w:rPr>
        <w:t xml:space="preserve">REVOCA </w:t>
      </w:r>
      <w:r w:rsidRPr="00413327">
        <w:rPr>
          <w:rFonts w:ascii="Palatino Linotype" w:hAnsi="Palatino Linotype" w:cs="Arial"/>
          <w:sz w:val="24"/>
          <w:szCs w:val="24"/>
        </w:rPr>
        <w:t xml:space="preserve">la respuesta entregada por </w:t>
      </w:r>
      <w:r w:rsidRPr="00413327">
        <w:rPr>
          <w:rFonts w:ascii="Palatino Linotype" w:hAnsi="Palatino Linotype" w:cs="Arial"/>
          <w:b/>
          <w:sz w:val="24"/>
          <w:szCs w:val="24"/>
        </w:rPr>
        <w:t xml:space="preserve">EL SUJETO OBLIGADO, </w:t>
      </w:r>
      <w:r>
        <w:rPr>
          <w:rFonts w:ascii="Palatino Linotype" w:hAnsi="Palatino Linotype" w:cs="Arial"/>
          <w:sz w:val="24"/>
          <w:szCs w:val="24"/>
        </w:rPr>
        <w:t xml:space="preserve">a la solicitud de información número </w:t>
      </w:r>
      <w:r w:rsidR="00E97BEA">
        <w:rPr>
          <w:rFonts w:ascii="Palatino Linotype" w:hAnsi="Palatino Linotype" w:cs="Arial"/>
          <w:b/>
          <w:sz w:val="24"/>
          <w:szCs w:val="24"/>
        </w:rPr>
        <w:t>00048/SMA/IP/2020</w:t>
      </w:r>
      <w:r>
        <w:rPr>
          <w:rFonts w:ascii="Palatino Linotype" w:hAnsi="Palatino Linotype" w:cs="Arial"/>
          <w:b/>
          <w:sz w:val="24"/>
          <w:szCs w:val="24"/>
        </w:rPr>
        <w:t xml:space="preserve">, </w:t>
      </w:r>
      <w:r>
        <w:rPr>
          <w:rFonts w:ascii="Palatino Linotype" w:hAnsi="Palatino Linotype" w:cs="Arial"/>
          <w:sz w:val="24"/>
          <w:szCs w:val="24"/>
        </w:rPr>
        <w:t xml:space="preserve">por resultar fundados los motivos de inconformidad que arguye </w:t>
      </w:r>
      <w:r w:rsidR="00E97BEA">
        <w:rPr>
          <w:rFonts w:ascii="Palatino Linotype" w:hAnsi="Palatino Linotype" w:cs="Arial"/>
          <w:b/>
          <w:sz w:val="24"/>
          <w:szCs w:val="24"/>
        </w:rPr>
        <w:t>EL</w:t>
      </w:r>
      <w:r>
        <w:rPr>
          <w:rFonts w:ascii="Palatino Linotype" w:hAnsi="Palatino Linotype" w:cs="Arial"/>
          <w:b/>
          <w:sz w:val="24"/>
          <w:szCs w:val="24"/>
        </w:rPr>
        <w:t xml:space="preserve"> RECURRENTE, </w:t>
      </w:r>
      <w:r>
        <w:rPr>
          <w:rFonts w:ascii="Palatino Linotype" w:hAnsi="Palatino Linotype" w:cs="Arial"/>
          <w:sz w:val="24"/>
          <w:szCs w:val="24"/>
        </w:rPr>
        <w:t xml:space="preserve">en términos del considerando </w:t>
      </w:r>
      <w:r>
        <w:rPr>
          <w:rFonts w:ascii="Palatino Linotype" w:hAnsi="Palatino Linotype" w:cs="Arial"/>
          <w:b/>
          <w:sz w:val="24"/>
          <w:szCs w:val="24"/>
        </w:rPr>
        <w:t xml:space="preserve">CUARTO </w:t>
      </w:r>
      <w:r>
        <w:rPr>
          <w:rFonts w:ascii="Palatino Linotype" w:hAnsi="Palatino Linotype" w:cs="Arial"/>
          <w:sz w:val="24"/>
          <w:szCs w:val="24"/>
        </w:rPr>
        <w:t xml:space="preserve">de la presente resolución. </w:t>
      </w:r>
    </w:p>
    <w:p w14:paraId="036CE803" w14:textId="77777777" w:rsidR="00E97BEA" w:rsidRDefault="00E97BEA" w:rsidP="00EE5787">
      <w:pPr>
        <w:spacing w:before="240" w:line="360" w:lineRule="auto"/>
        <w:jc w:val="both"/>
        <w:rPr>
          <w:rFonts w:ascii="Palatino Linotype" w:hAnsi="Palatino Linotype" w:cs="Arial"/>
          <w:sz w:val="24"/>
          <w:szCs w:val="24"/>
        </w:rPr>
      </w:pPr>
    </w:p>
    <w:p w14:paraId="61DBCC07" w14:textId="4F73829D" w:rsidR="00EE5787" w:rsidRDefault="00EE5787" w:rsidP="00EE5787">
      <w:pPr>
        <w:autoSpaceDE w:val="0"/>
        <w:autoSpaceDN w:val="0"/>
        <w:adjustRightInd w:val="0"/>
        <w:spacing w:before="240" w:line="360" w:lineRule="auto"/>
        <w:ind w:right="49"/>
        <w:jc w:val="both"/>
        <w:rPr>
          <w:rFonts w:ascii="Palatino Linotype" w:hAnsi="Palatino Linotype" w:cs="Arial"/>
          <w:sz w:val="24"/>
          <w:szCs w:val="24"/>
        </w:rPr>
      </w:pPr>
      <w:r w:rsidRPr="00413327">
        <w:rPr>
          <w:rFonts w:ascii="Palatino Linotype" w:hAnsi="Palatino Linotype" w:cs="Arial"/>
          <w:b/>
          <w:sz w:val="24"/>
          <w:szCs w:val="24"/>
          <w:lang w:val="es-ES_tradnl"/>
        </w:rPr>
        <w:t>SEGUNDO.</w:t>
      </w:r>
      <w:r w:rsidRPr="00413327">
        <w:rPr>
          <w:rFonts w:ascii="Palatino Linotype" w:hAnsi="Palatino Linotype" w:cs="Arial"/>
          <w:sz w:val="24"/>
          <w:szCs w:val="24"/>
        </w:rPr>
        <w:t xml:space="preserve"> Se </w:t>
      </w:r>
      <w:r w:rsidRPr="00413327">
        <w:rPr>
          <w:rFonts w:ascii="Palatino Linotype" w:hAnsi="Palatino Linotype" w:cs="Arial"/>
          <w:b/>
          <w:sz w:val="24"/>
          <w:szCs w:val="24"/>
        </w:rPr>
        <w:t>ORDENA</w:t>
      </w:r>
      <w:r w:rsidRPr="00413327">
        <w:rPr>
          <w:rFonts w:ascii="Palatino Linotype" w:hAnsi="Palatino Linotype" w:cs="Arial"/>
          <w:sz w:val="24"/>
          <w:szCs w:val="24"/>
        </w:rPr>
        <w:t xml:space="preserve"> al </w:t>
      </w:r>
      <w:r w:rsidRPr="00413327">
        <w:rPr>
          <w:rFonts w:ascii="Palatino Linotype" w:hAnsi="Palatino Linotype" w:cs="Arial"/>
          <w:b/>
          <w:sz w:val="24"/>
          <w:szCs w:val="24"/>
        </w:rPr>
        <w:t>SUJETO OBLIGADO</w:t>
      </w:r>
      <w:r>
        <w:rPr>
          <w:rFonts w:ascii="Palatino Linotype" w:hAnsi="Palatino Linotype" w:cs="Arial"/>
          <w:sz w:val="24"/>
          <w:szCs w:val="24"/>
        </w:rPr>
        <w:t xml:space="preserve"> </w:t>
      </w:r>
      <w:r w:rsidR="006C3CF7">
        <w:rPr>
          <w:rFonts w:ascii="Palatino Linotype" w:hAnsi="Palatino Linotype" w:cs="Arial"/>
          <w:sz w:val="24"/>
          <w:szCs w:val="24"/>
        </w:rPr>
        <w:t>haga entrega</w:t>
      </w:r>
      <w:r>
        <w:rPr>
          <w:rFonts w:ascii="Palatino Linotype" w:hAnsi="Palatino Linotype" w:cs="Arial"/>
          <w:sz w:val="24"/>
          <w:szCs w:val="24"/>
        </w:rPr>
        <w:t xml:space="preserve"> a</w:t>
      </w:r>
      <w:r w:rsidR="006C3CF7">
        <w:rPr>
          <w:rFonts w:ascii="Palatino Linotype" w:hAnsi="Palatino Linotype" w:cs="Arial"/>
          <w:sz w:val="24"/>
          <w:szCs w:val="24"/>
        </w:rPr>
        <w:t>l</w:t>
      </w:r>
      <w:r>
        <w:rPr>
          <w:rFonts w:ascii="Palatino Linotype" w:hAnsi="Palatino Linotype" w:cs="Arial"/>
          <w:b/>
          <w:sz w:val="24"/>
          <w:szCs w:val="24"/>
        </w:rPr>
        <w:t xml:space="preserve"> RECURRENTE, </w:t>
      </w:r>
      <w:r w:rsidRPr="002100EB">
        <w:rPr>
          <w:rFonts w:ascii="Palatino Linotype" w:hAnsi="Palatino Linotype" w:cs="Arial"/>
          <w:sz w:val="24"/>
          <w:szCs w:val="24"/>
        </w:rPr>
        <w:t xml:space="preserve">vía </w:t>
      </w:r>
      <w:r w:rsidRPr="00D178CD">
        <w:rPr>
          <w:rFonts w:ascii="Palatino Linotype" w:hAnsi="Palatino Linotype" w:cs="Arial"/>
          <w:b/>
          <w:sz w:val="24"/>
          <w:szCs w:val="24"/>
        </w:rPr>
        <w:t>SAIMEX</w:t>
      </w:r>
      <w:r>
        <w:rPr>
          <w:rFonts w:ascii="Palatino Linotype" w:hAnsi="Palatino Linotype" w:cs="Arial"/>
          <w:sz w:val="24"/>
          <w:szCs w:val="24"/>
        </w:rPr>
        <w:t xml:space="preserve">, </w:t>
      </w:r>
      <w:r w:rsidR="002E13CF">
        <w:rPr>
          <w:rFonts w:ascii="Palatino Linotype" w:hAnsi="Palatino Linotype" w:cs="Arial"/>
          <w:sz w:val="24"/>
          <w:szCs w:val="24"/>
        </w:rPr>
        <w:t xml:space="preserve">en versión pública de ser procedente, </w:t>
      </w:r>
      <w:r>
        <w:rPr>
          <w:rFonts w:ascii="Palatino Linotype" w:hAnsi="Palatino Linotype" w:cs="Arial"/>
          <w:sz w:val="24"/>
          <w:szCs w:val="24"/>
        </w:rPr>
        <w:t xml:space="preserve">de lo siguiente: </w:t>
      </w:r>
    </w:p>
    <w:p w14:paraId="627CBC0C" w14:textId="71906358" w:rsidR="00EE5787" w:rsidRPr="00DB4557" w:rsidRDefault="00E97BEA" w:rsidP="00EE5787">
      <w:pPr>
        <w:pStyle w:val="Prrafodelista"/>
        <w:numPr>
          <w:ilvl w:val="0"/>
          <w:numId w:val="31"/>
        </w:numPr>
        <w:spacing w:before="240" w:line="360" w:lineRule="auto"/>
        <w:ind w:right="851"/>
        <w:jc w:val="both"/>
        <w:rPr>
          <w:rFonts w:ascii="Palatino Linotype" w:hAnsi="Palatino Linotype" w:cs="Arial"/>
        </w:rPr>
      </w:pPr>
      <w:r>
        <w:rPr>
          <w:rFonts w:ascii="Palatino Linotype" w:hAnsi="Palatino Linotype" w:cs="Arial"/>
        </w:rPr>
        <w:t xml:space="preserve">Estudio de Impacto Ambiental correspondiente a la obra referida en la solicitud de información </w:t>
      </w:r>
      <w:r>
        <w:rPr>
          <w:rFonts w:ascii="Palatino Linotype" w:hAnsi="Palatino Linotype" w:cs="Arial"/>
          <w:b/>
          <w:bCs/>
        </w:rPr>
        <w:t>00048/SMA/IP/2020</w:t>
      </w:r>
      <w:r w:rsidR="00DB4557">
        <w:rPr>
          <w:rFonts w:ascii="Palatino Linotype" w:hAnsi="Palatino Linotype" w:cs="Arial"/>
          <w:b/>
          <w:bCs/>
        </w:rPr>
        <w:t xml:space="preserve"> </w:t>
      </w:r>
      <w:r w:rsidR="00DB4557" w:rsidRPr="006C3CF7">
        <w:rPr>
          <w:rFonts w:ascii="Palatino Linotype" w:hAnsi="Palatino Linotype" w:cs="Arial"/>
        </w:rPr>
        <w:t>y</w:t>
      </w:r>
      <w:r w:rsidR="00DB4557">
        <w:rPr>
          <w:rFonts w:ascii="Palatino Linotype" w:hAnsi="Palatino Linotype" w:cs="Arial"/>
          <w:b/>
          <w:bCs/>
        </w:rPr>
        <w:t xml:space="preserve"> </w:t>
      </w:r>
      <w:r w:rsidR="00DB4557">
        <w:rPr>
          <w:rFonts w:ascii="Palatino Linotype" w:hAnsi="Palatino Linotype" w:cs="Arial"/>
        </w:rPr>
        <w:t>remitid</w:t>
      </w:r>
      <w:r w:rsidR="006C3CF7">
        <w:rPr>
          <w:rFonts w:ascii="Palatino Linotype" w:hAnsi="Palatino Linotype" w:cs="Arial"/>
        </w:rPr>
        <w:t>o</w:t>
      </w:r>
      <w:r w:rsidR="00DB4557">
        <w:rPr>
          <w:rFonts w:ascii="Palatino Linotype" w:hAnsi="Palatino Linotype" w:cs="Arial"/>
        </w:rPr>
        <w:t xml:space="preserve"> mediante el oficio </w:t>
      </w:r>
      <w:r w:rsidR="00DB4557">
        <w:rPr>
          <w:rFonts w:ascii="Palatino Linotype" w:hAnsi="Palatino Linotype" w:cs="Arial"/>
          <w:b/>
          <w:bCs/>
        </w:rPr>
        <w:t xml:space="preserve">DSAM/DJNA/0585/2019. </w:t>
      </w:r>
    </w:p>
    <w:p w14:paraId="2F80E068" w14:textId="49C238A3" w:rsidR="00E11EF7" w:rsidRDefault="00E11EF7" w:rsidP="00BB2819">
      <w:pPr>
        <w:pStyle w:val="Prrafodelista"/>
        <w:spacing w:before="240" w:line="360" w:lineRule="auto"/>
        <w:ind w:left="1211" w:right="792"/>
        <w:jc w:val="both"/>
        <w:rPr>
          <w:rFonts w:ascii="Palatino Linotype" w:hAnsi="Palatino Linotype" w:cs="Arial"/>
          <w:i/>
        </w:rPr>
      </w:pPr>
      <w:r>
        <w:rPr>
          <w:rFonts w:ascii="Palatino Linotype" w:hAnsi="Palatino Linotype" w:cs="Arial"/>
          <w:i/>
        </w:rPr>
        <w:t xml:space="preserve">En referencia al numeral 1, de no haber quedado firme, resulta procedente la entrega del acuerdo de clasificación como información reservada. </w:t>
      </w:r>
    </w:p>
    <w:p w14:paraId="31B16F61" w14:textId="5F753BB8" w:rsidR="002E13CF" w:rsidRDefault="002E13CF" w:rsidP="00BB2819">
      <w:pPr>
        <w:pStyle w:val="Prrafodelista"/>
        <w:spacing w:before="240" w:line="360" w:lineRule="auto"/>
        <w:ind w:left="1211" w:right="792"/>
        <w:jc w:val="both"/>
        <w:rPr>
          <w:rFonts w:ascii="Palatino Linotype" w:hAnsi="Palatino Linotype" w:cs="Arial"/>
          <w:i/>
        </w:rPr>
      </w:pPr>
      <w:r>
        <w:rPr>
          <w:rFonts w:ascii="Palatino Linotype" w:hAnsi="Palatino Linotype" w:cs="Arial"/>
          <w:i/>
        </w:rPr>
        <w:t>Para  la entrega en versión pública deberá emitir el Acuerdo del Comité de Transparencia en términos de los artículos 49, fracción VIII y 132 fracción II de la Ley de Transparencia y Acceso a la Información Pública del Estado de México y Municipios, en el que funde y motive las razones sobre los datos que se supriman o eliminen y se ponga a disposición del recurrente.</w:t>
      </w:r>
    </w:p>
    <w:p w14:paraId="050AFDE3" w14:textId="77777777" w:rsidR="00825B49" w:rsidRDefault="00825B49" w:rsidP="00EE5787">
      <w:pPr>
        <w:autoSpaceDE w:val="0"/>
        <w:autoSpaceDN w:val="0"/>
        <w:adjustRightInd w:val="0"/>
        <w:spacing w:before="240" w:line="360" w:lineRule="auto"/>
        <w:jc w:val="both"/>
        <w:rPr>
          <w:rFonts w:ascii="Palatino Linotype" w:hAnsi="Palatino Linotype" w:cs="Arial"/>
          <w:b/>
          <w:sz w:val="24"/>
          <w:szCs w:val="24"/>
          <w:lang w:val="es-ES"/>
        </w:rPr>
      </w:pPr>
    </w:p>
    <w:p w14:paraId="3E1F21D9" w14:textId="77777777" w:rsidR="00825B49" w:rsidRDefault="00825B49" w:rsidP="00EE5787">
      <w:pPr>
        <w:autoSpaceDE w:val="0"/>
        <w:autoSpaceDN w:val="0"/>
        <w:adjustRightInd w:val="0"/>
        <w:spacing w:before="240" w:line="360" w:lineRule="auto"/>
        <w:jc w:val="both"/>
        <w:rPr>
          <w:rFonts w:ascii="Palatino Linotype" w:hAnsi="Palatino Linotype" w:cs="Arial"/>
          <w:b/>
          <w:sz w:val="24"/>
          <w:szCs w:val="24"/>
          <w:lang w:val="es-ES"/>
        </w:rPr>
      </w:pPr>
    </w:p>
    <w:p w14:paraId="596E4F3B" w14:textId="57F99FBA" w:rsidR="00EE5787" w:rsidRDefault="00EE5787" w:rsidP="00EE5787">
      <w:pPr>
        <w:autoSpaceDE w:val="0"/>
        <w:autoSpaceDN w:val="0"/>
        <w:adjustRightInd w:val="0"/>
        <w:spacing w:before="240" w:line="360" w:lineRule="auto"/>
        <w:jc w:val="both"/>
        <w:rPr>
          <w:rFonts w:ascii="Palatino Linotype" w:hAnsi="Palatino Linotype" w:cs="Arial"/>
          <w:sz w:val="24"/>
          <w:szCs w:val="24"/>
        </w:rPr>
      </w:pPr>
      <w:r>
        <w:rPr>
          <w:rFonts w:ascii="Palatino Linotype" w:hAnsi="Palatino Linotype" w:cs="Arial"/>
          <w:b/>
          <w:sz w:val="24"/>
          <w:szCs w:val="24"/>
        </w:rPr>
        <w:lastRenderedPageBreak/>
        <w:t xml:space="preserve">TERCERO. </w:t>
      </w:r>
      <w:r w:rsidRPr="002A12F5">
        <w:rPr>
          <w:rFonts w:ascii="Palatino Linotype" w:hAnsi="Palatino Linotype" w:cs="Arial"/>
          <w:b/>
          <w:sz w:val="24"/>
          <w:szCs w:val="24"/>
        </w:rPr>
        <w:t>Notifíquese</w:t>
      </w:r>
      <w:r w:rsidRPr="002A12F5">
        <w:rPr>
          <w:rFonts w:ascii="Palatino Linotype" w:hAnsi="Palatino Linotype" w:cs="Arial"/>
          <w:b/>
          <w:i/>
          <w:sz w:val="24"/>
          <w:szCs w:val="24"/>
        </w:rPr>
        <w:t xml:space="preserve"> </w:t>
      </w:r>
      <w:r w:rsidRPr="002A12F5">
        <w:rPr>
          <w:rFonts w:ascii="Palatino Linotype" w:hAnsi="Palatino Linotype" w:cs="Arial"/>
          <w:sz w:val="24"/>
          <w:szCs w:val="24"/>
        </w:rPr>
        <w:t>al Titular de la Unidad de Transparencia del</w:t>
      </w:r>
      <w:r w:rsidRPr="002A12F5">
        <w:rPr>
          <w:rFonts w:ascii="Palatino Linotype" w:hAnsi="Palatino Linotype" w:cs="Arial"/>
          <w:b/>
          <w:sz w:val="24"/>
          <w:szCs w:val="24"/>
        </w:rPr>
        <w:t xml:space="preserve"> SUJETO OBLIGADO</w:t>
      </w:r>
      <w:r w:rsidRPr="002A12F5">
        <w:rPr>
          <w:rFonts w:ascii="Palatino Linotype" w:hAnsi="Palatino Linotype" w:cs="Arial"/>
          <w:sz w:val="24"/>
          <w:szCs w:val="24"/>
        </w:rPr>
        <w:t>, para que conforme al artículo 186 último párrafo, 189 segundo párrafo y 194 de la Ley de Transparencia y Acceso a la Información Pública del Estado de México y Municipios; dé cumplimiento a lo ordenado dentr</w:t>
      </w:r>
      <w:r w:rsidRPr="00D05C83">
        <w:rPr>
          <w:rFonts w:ascii="Palatino Linotype" w:hAnsi="Palatino Linotype" w:cs="Arial"/>
          <w:sz w:val="24"/>
          <w:szCs w:val="24"/>
        </w:rPr>
        <w:t xml:space="preserve">o del plazo de </w:t>
      </w:r>
      <w:r w:rsidR="00F64B49">
        <w:rPr>
          <w:rFonts w:ascii="Palatino Linotype" w:hAnsi="Palatino Linotype" w:cs="Arial"/>
          <w:sz w:val="24"/>
          <w:szCs w:val="24"/>
        </w:rPr>
        <w:t>diez</w:t>
      </w:r>
      <w:r w:rsidRPr="00D05C83">
        <w:rPr>
          <w:rFonts w:ascii="Palatino Linotype" w:hAnsi="Palatino Linotype" w:cs="Arial"/>
          <w:sz w:val="24"/>
          <w:szCs w:val="24"/>
        </w:rPr>
        <w:t xml:space="preserve"> días hábiles, debiendo informar a este Instituto en un plazo de tres días hábiles siguientes sobre el cumplimiento dado a la presente resolución.</w:t>
      </w:r>
    </w:p>
    <w:p w14:paraId="77E262B2" w14:textId="77777777" w:rsidR="00EE5787" w:rsidRPr="00D05C83" w:rsidRDefault="00EE5787" w:rsidP="00EE5787">
      <w:pPr>
        <w:autoSpaceDE w:val="0"/>
        <w:autoSpaceDN w:val="0"/>
        <w:adjustRightInd w:val="0"/>
        <w:spacing w:before="240" w:line="360" w:lineRule="auto"/>
        <w:jc w:val="both"/>
        <w:rPr>
          <w:rFonts w:ascii="Palatino Linotype" w:hAnsi="Palatino Linotype" w:cs="Arial"/>
          <w:sz w:val="24"/>
          <w:szCs w:val="24"/>
        </w:rPr>
      </w:pPr>
    </w:p>
    <w:p w14:paraId="4D7C2EA9" w14:textId="5C36C528" w:rsidR="00BB7FA2" w:rsidRPr="00827063" w:rsidRDefault="00BB7FA2" w:rsidP="00BB7FA2">
      <w:pPr>
        <w:autoSpaceDE w:val="0"/>
        <w:autoSpaceDN w:val="0"/>
        <w:adjustRightInd w:val="0"/>
        <w:spacing w:before="240" w:line="360" w:lineRule="auto"/>
        <w:jc w:val="both"/>
        <w:rPr>
          <w:rFonts w:ascii="Palatino Linotype" w:hAnsi="Palatino Linotype" w:cs="Arial"/>
          <w:sz w:val="24"/>
          <w:szCs w:val="24"/>
        </w:rPr>
      </w:pPr>
      <w:r w:rsidRPr="00475990">
        <w:rPr>
          <w:rFonts w:ascii="Palatino Linotype" w:hAnsi="Palatino Linotype" w:cs="Arial"/>
          <w:b/>
          <w:sz w:val="24"/>
          <w:szCs w:val="24"/>
        </w:rPr>
        <w:t>CUARTO</w:t>
      </w:r>
      <w:r w:rsidRPr="00475990">
        <w:rPr>
          <w:rFonts w:ascii="Palatino Linotype" w:hAnsi="Palatino Linotype" w:cs="Arial"/>
          <w:sz w:val="24"/>
          <w:szCs w:val="24"/>
        </w:rPr>
        <w:t>.</w:t>
      </w:r>
      <w:r w:rsidRPr="00AF6553">
        <w:rPr>
          <w:rFonts w:ascii="Palatino Linotype" w:hAnsi="Palatino Linotype" w:cs="Arial"/>
          <w:sz w:val="24"/>
          <w:szCs w:val="24"/>
        </w:rPr>
        <w:t xml:space="preserve"> </w:t>
      </w:r>
      <w:r w:rsidRPr="00AF6553">
        <w:rPr>
          <w:rFonts w:ascii="Palatino Linotype" w:hAnsi="Palatino Linotype" w:cs="Arial"/>
          <w:b/>
          <w:bCs/>
          <w:color w:val="222222"/>
          <w:sz w:val="24"/>
          <w:szCs w:val="24"/>
          <w:shd w:val="clear" w:color="auto" w:fill="FFFFFF"/>
          <w:lang w:val="es-ES"/>
        </w:rPr>
        <w:t>Notifíquese</w:t>
      </w:r>
      <w:r>
        <w:rPr>
          <w:rFonts w:ascii="Palatino Linotype" w:hAnsi="Palatino Linotype" w:cs="Arial"/>
          <w:sz w:val="24"/>
          <w:szCs w:val="24"/>
        </w:rPr>
        <w:t xml:space="preserve"> la presente resolución a</w:t>
      </w:r>
      <w:r w:rsidR="00E97BEA">
        <w:rPr>
          <w:rFonts w:ascii="Palatino Linotype" w:hAnsi="Palatino Linotype" w:cs="Arial"/>
          <w:sz w:val="24"/>
          <w:szCs w:val="24"/>
        </w:rPr>
        <w:t>l</w:t>
      </w:r>
      <w:r>
        <w:rPr>
          <w:rFonts w:ascii="Palatino Linotype" w:hAnsi="Palatino Linotype" w:cs="Arial"/>
          <w:b/>
          <w:sz w:val="24"/>
          <w:szCs w:val="24"/>
        </w:rPr>
        <w:t xml:space="preserve"> </w:t>
      </w:r>
      <w:r w:rsidRPr="00AF6553">
        <w:rPr>
          <w:rFonts w:ascii="Palatino Linotype" w:hAnsi="Palatino Linotype" w:cs="Arial"/>
          <w:b/>
          <w:sz w:val="24"/>
          <w:szCs w:val="24"/>
        </w:rPr>
        <w:t>RECURRENTE</w:t>
      </w:r>
      <w:r>
        <w:rPr>
          <w:rFonts w:ascii="Palatino Linotype" w:hAnsi="Palatino Linotype" w:cs="Arial"/>
          <w:b/>
          <w:sz w:val="24"/>
          <w:szCs w:val="24"/>
        </w:rPr>
        <w:t xml:space="preserve"> </w:t>
      </w:r>
      <w:r w:rsidRPr="00AF6553">
        <w:rPr>
          <w:rFonts w:ascii="Palatino Linotype" w:hAnsi="Palatino Linotype" w:cs="Arial"/>
          <w:b/>
          <w:sz w:val="24"/>
          <w:szCs w:val="24"/>
        </w:rPr>
        <w:t>a</w:t>
      </w:r>
      <w:r w:rsidRPr="00AF6553">
        <w:rPr>
          <w:rFonts w:ascii="Palatino Linotype" w:hAnsi="Palatino Linotype" w:cs="Arial"/>
          <w:sz w:val="24"/>
          <w:szCs w:val="24"/>
        </w:rPr>
        <w:t xml:space="preserve"> través del Sistema de Acceso a la Información Mexiquense </w:t>
      </w:r>
      <w:r>
        <w:rPr>
          <w:rFonts w:ascii="Palatino Linotype" w:hAnsi="Palatino Linotype" w:cs="Arial"/>
          <w:b/>
          <w:sz w:val="24"/>
          <w:szCs w:val="24"/>
        </w:rPr>
        <w:t xml:space="preserve">(SAIMEX). </w:t>
      </w:r>
      <w:r>
        <w:rPr>
          <w:rFonts w:ascii="Palatino Linotype" w:hAnsi="Palatino Linotype" w:cs="Arial"/>
          <w:sz w:val="24"/>
          <w:szCs w:val="24"/>
        </w:rPr>
        <w:t xml:space="preserve"> </w:t>
      </w:r>
    </w:p>
    <w:p w14:paraId="3016D8CE" w14:textId="77777777" w:rsidR="00BB7FA2" w:rsidRDefault="00BB7FA2" w:rsidP="00BB7FA2">
      <w:pPr>
        <w:autoSpaceDE w:val="0"/>
        <w:autoSpaceDN w:val="0"/>
        <w:adjustRightInd w:val="0"/>
        <w:spacing w:before="240" w:line="360" w:lineRule="auto"/>
        <w:jc w:val="both"/>
        <w:rPr>
          <w:rFonts w:ascii="Palatino Linotype" w:hAnsi="Palatino Linotype" w:cs="Arial"/>
          <w:b/>
          <w:sz w:val="24"/>
          <w:szCs w:val="24"/>
        </w:rPr>
      </w:pPr>
    </w:p>
    <w:p w14:paraId="77882E80" w14:textId="77777777" w:rsidR="00BB7FA2" w:rsidRDefault="00BB7FA2" w:rsidP="00BB7FA2">
      <w:pPr>
        <w:autoSpaceDE w:val="0"/>
        <w:autoSpaceDN w:val="0"/>
        <w:adjustRightInd w:val="0"/>
        <w:spacing w:before="240" w:line="360" w:lineRule="auto"/>
        <w:jc w:val="both"/>
        <w:rPr>
          <w:rFonts w:ascii="Palatino Linotype" w:hAnsi="Palatino Linotype" w:cs="Arial"/>
          <w:sz w:val="24"/>
          <w:szCs w:val="24"/>
        </w:rPr>
      </w:pPr>
      <w:r w:rsidRPr="00475990">
        <w:rPr>
          <w:rFonts w:ascii="Palatino Linotype" w:hAnsi="Palatino Linotype" w:cs="Arial"/>
          <w:b/>
          <w:sz w:val="24"/>
          <w:szCs w:val="24"/>
        </w:rPr>
        <w:t>QUINTO.</w:t>
      </w:r>
      <w:r>
        <w:rPr>
          <w:rFonts w:ascii="Palatino Linotype" w:hAnsi="Palatino Linotype" w:cs="Arial"/>
          <w:b/>
          <w:sz w:val="28"/>
          <w:szCs w:val="28"/>
        </w:rPr>
        <w:t xml:space="preserve"> </w:t>
      </w:r>
      <w:r>
        <w:rPr>
          <w:rFonts w:ascii="Palatino Linotype" w:hAnsi="Palatino Linotype" w:cs="Arial"/>
          <w:sz w:val="24"/>
          <w:szCs w:val="24"/>
        </w:rPr>
        <w:t xml:space="preserve">Se hace del conocimiento de </w:t>
      </w:r>
      <w:r>
        <w:rPr>
          <w:rFonts w:ascii="Palatino Linotype" w:hAnsi="Palatino Linotype" w:cs="Arial"/>
          <w:b/>
          <w:sz w:val="24"/>
          <w:szCs w:val="24"/>
        </w:rPr>
        <w:t xml:space="preserve">LA RECURRENTE </w:t>
      </w:r>
      <w:r>
        <w:rPr>
          <w:rFonts w:ascii="Palatino Linotype" w:hAnsi="Palatino Linotype" w:cs="Arial"/>
          <w:sz w:val="24"/>
          <w:szCs w:val="24"/>
        </w:rPr>
        <w:t xml:space="preserve">que, de conformidad con lo establecido en el artículo 196 de la Ley de Transparencia y Acceso a la Información Pública del Estado de México y Municipios, en caso de que considere que la resolución le cause algún perjuicio podrá impugnarla vía juicio de amparo en los términos de las leyes aplicables. </w:t>
      </w:r>
    </w:p>
    <w:p w14:paraId="04EB7EDB" w14:textId="2B560B91" w:rsidR="00EE5787" w:rsidRDefault="00EE5787" w:rsidP="001D58D7">
      <w:pPr>
        <w:pStyle w:val="Sinespaciado"/>
        <w:spacing w:before="240" w:after="160" w:line="360" w:lineRule="auto"/>
        <w:jc w:val="both"/>
        <w:rPr>
          <w:rFonts w:ascii="Palatino Linotype" w:hAnsi="Palatino Linotype" w:cs="Arial"/>
        </w:rPr>
      </w:pPr>
    </w:p>
    <w:p w14:paraId="554E8EC0" w14:textId="61256F25" w:rsidR="00EE5787" w:rsidRDefault="00EE5787" w:rsidP="00EE5787">
      <w:pPr>
        <w:spacing w:before="240" w:line="360" w:lineRule="auto"/>
        <w:jc w:val="both"/>
        <w:rPr>
          <w:rFonts w:ascii="Palatino Linotype" w:hAnsi="Palatino Linotype" w:cs="Arial"/>
          <w:sz w:val="24"/>
          <w:szCs w:val="24"/>
        </w:rPr>
      </w:pPr>
      <w:r w:rsidRPr="00C91103">
        <w:rPr>
          <w:rFonts w:ascii="Palatino Linotype" w:hAnsi="Palatino Linotype" w:cs="Arial"/>
          <w:sz w:val="24"/>
          <w:szCs w:val="24"/>
        </w:rPr>
        <w:t xml:space="preserve">ASÍ LO RESUELVE, POR UNANIMIDAD DE </w:t>
      </w:r>
      <w:r>
        <w:rPr>
          <w:rFonts w:ascii="Palatino Linotype" w:hAnsi="Palatino Linotype" w:cs="Arial"/>
          <w:sz w:val="24"/>
          <w:szCs w:val="24"/>
        </w:rPr>
        <w:t>VOTOS,</w:t>
      </w:r>
      <w:r w:rsidRPr="00C91103">
        <w:rPr>
          <w:rFonts w:ascii="Palatino Linotype" w:hAnsi="Palatino Linotype" w:cs="Arial"/>
          <w:sz w:val="24"/>
          <w:szCs w:val="24"/>
        </w:rPr>
        <w:t xml:space="preserve"> EL PLENO DEL</w:t>
      </w:r>
      <w:r w:rsidRPr="00C91103">
        <w:rPr>
          <w:rFonts w:ascii="Palatino Linotype" w:eastAsia="Arial Unicode MS" w:hAnsi="Palatino Linotype" w:cs="Arial"/>
          <w:sz w:val="24"/>
          <w:szCs w:val="24"/>
        </w:rPr>
        <w:t xml:space="preserve"> INSTITUTO DE TRANSPARENCIA, ACCESO A LA INFORMACIÓN PÚBLICA Y PROTECCIÓN DE DATOS PERSONALES DEL ESTADO DE MÉXICO Y MUNICIPIOS</w:t>
      </w:r>
      <w:r w:rsidRPr="00C91103">
        <w:rPr>
          <w:rFonts w:ascii="Palatino Linotype" w:hAnsi="Palatino Linotype" w:cs="Arial"/>
          <w:sz w:val="24"/>
          <w:szCs w:val="24"/>
        </w:rPr>
        <w:t>, CONFORMADO POR LOS COMISIONADOS ZULEMA MARTÍNEZ SÁNCHEZ, EVA ABAID YAPUR, JOSÉ GUADALUPE LUNA HERNÁNDEZ</w:t>
      </w:r>
      <w:r w:rsidR="00C77F77">
        <w:rPr>
          <w:rFonts w:ascii="Palatino Linotype" w:hAnsi="Palatino Linotype" w:cs="Arial"/>
          <w:sz w:val="24"/>
          <w:szCs w:val="24"/>
        </w:rPr>
        <w:t xml:space="preserve"> (VOTO </w:t>
      </w:r>
      <w:r w:rsidR="00C77F77">
        <w:rPr>
          <w:rFonts w:ascii="Palatino Linotype" w:hAnsi="Palatino Linotype" w:cs="Arial"/>
          <w:sz w:val="24"/>
          <w:szCs w:val="24"/>
        </w:rPr>
        <w:lastRenderedPageBreak/>
        <w:t>PARTICULAR)</w:t>
      </w:r>
      <w:r>
        <w:rPr>
          <w:rFonts w:ascii="Palatino Linotype" w:hAnsi="Palatino Linotype" w:cs="Arial"/>
          <w:sz w:val="24"/>
          <w:szCs w:val="24"/>
        </w:rPr>
        <w:t xml:space="preserve">, </w:t>
      </w:r>
      <w:r w:rsidRPr="006C6A05">
        <w:rPr>
          <w:rFonts w:ascii="Palatino Linotype" w:hAnsi="Palatino Linotype" w:cs="Arial"/>
          <w:sz w:val="24"/>
          <w:szCs w:val="24"/>
        </w:rPr>
        <w:t xml:space="preserve">JAVIER </w:t>
      </w:r>
      <w:r>
        <w:rPr>
          <w:rFonts w:ascii="Palatino Linotype" w:hAnsi="Palatino Linotype" w:cs="Arial"/>
          <w:sz w:val="24"/>
          <w:szCs w:val="24"/>
        </w:rPr>
        <w:t xml:space="preserve">MARTÍNEZ CRUZ Y LUIS GUSTAVO PARRA NORIEGA </w:t>
      </w:r>
      <w:r w:rsidR="00C77F77">
        <w:rPr>
          <w:rFonts w:ascii="Palatino Linotype" w:hAnsi="Palatino Linotype" w:cs="Arial"/>
          <w:sz w:val="24"/>
          <w:szCs w:val="24"/>
        </w:rPr>
        <w:t xml:space="preserve">(VOTO PARTICULAR) </w:t>
      </w:r>
      <w:r w:rsidRPr="006C6A05">
        <w:rPr>
          <w:rFonts w:ascii="Palatino Linotype" w:hAnsi="Palatino Linotype" w:cs="Arial"/>
          <w:sz w:val="24"/>
          <w:szCs w:val="24"/>
        </w:rPr>
        <w:t xml:space="preserve">EN </w:t>
      </w:r>
      <w:r w:rsidRPr="00C77F77">
        <w:rPr>
          <w:rFonts w:ascii="Palatino Linotype" w:hAnsi="Palatino Linotype" w:cs="Arial"/>
          <w:sz w:val="24"/>
          <w:szCs w:val="24"/>
        </w:rPr>
        <w:t xml:space="preserve">LA DÉCIMA </w:t>
      </w:r>
      <w:r w:rsidR="000E168D" w:rsidRPr="00C77F77">
        <w:rPr>
          <w:rFonts w:ascii="Palatino Linotype" w:hAnsi="Palatino Linotype" w:cs="Arial"/>
          <w:sz w:val="24"/>
          <w:szCs w:val="24"/>
        </w:rPr>
        <w:t>CUARTA</w:t>
      </w:r>
      <w:r w:rsidR="00F263AD" w:rsidRPr="00C77F77">
        <w:rPr>
          <w:rFonts w:ascii="Palatino Linotype" w:hAnsi="Palatino Linotype" w:cs="Arial"/>
          <w:sz w:val="24"/>
          <w:szCs w:val="24"/>
        </w:rPr>
        <w:t xml:space="preserve"> </w:t>
      </w:r>
      <w:r w:rsidRPr="00C77F77">
        <w:rPr>
          <w:rFonts w:ascii="Palatino Linotype" w:hAnsi="Palatino Linotype" w:cs="Arial"/>
          <w:sz w:val="24"/>
          <w:szCs w:val="24"/>
        </w:rPr>
        <w:t>SESIÓN ORDINARIA</w:t>
      </w:r>
      <w:r w:rsidRPr="006C6A05">
        <w:rPr>
          <w:rFonts w:ascii="Palatino Linotype" w:hAnsi="Palatino Linotype" w:cs="Arial"/>
          <w:sz w:val="24"/>
          <w:szCs w:val="24"/>
        </w:rPr>
        <w:t xml:space="preserve"> CELEBRADA</w:t>
      </w:r>
      <w:r>
        <w:rPr>
          <w:rFonts w:ascii="Palatino Linotype" w:hAnsi="Palatino Linotype" w:cs="Arial"/>
          <w:sz w:val="24"/>
          <w:szCs w:val="24"/>
        </w:rPr>
        <w:t xml:space="preserve"> EL </w:t>
      </w:r>
      <w:r w:rsidR="000E168D">
        <w:rPr>
          <w:rFonts w:ascii="Palatino Linotype" w:hAnsi="Palatino Linotype" w:cs="Arial"/>
          <w:sz w:val="24"/>
          <w:szCs w:val="24"/>
        </w:rPr>
        <w:t>DIECINUEVE DE AGOSTO</w:t>
      </w:r>
      <w:r>
        <w:rPr>
          <w:rFonts w:ascii="Palatino Linotype" w:hAnsi="Palatino Linotype" w:cs="Arial"/>
          <w:sz w:val="24"/>
          <w:szCs w:val="24"/>
        </w:rPr>
        <w:t xml:space="preserve"> DE DOS MIL VEINTE, ANTE EL </w:t>
      </w:r>
      <w:r w:rsidRPr="006C6A05">
        <w:rPr>
          <w:rFonts w:ascii="Palatino Linotype" w:hAnsi="Palatino Linotype" w:cs="Arial"/>
          <w:sz w:val="24"/>
          <w:szCs w:val="24"/>
        </w:rPr>
        <w:t>SECRETARIO TÉCNICO DEL PLENO, ALEXIS TAPIA RAMÍREZ.</w:t>
      </w:r>
      <w:r>
        <w:rPr>
          <w:rFonts w:ascii="Palatino Linotype" w:hAnsi="Palatino Linotype" w:cs="Arial"/>
          <w:sz w:val="24"/>
          <w:szCs w:val="24"/>
        </w:rPr>
        <w:t xml:space="preserve">  </w:t>
      </w:r>
    </w:p>
    <w:p w14:paraId="723DB034" w14:textId="24C3245D" w:rsidR="00E3326E" w:rsidRDefault="00642453" w:rsidP="00EE5787">
      <w:pPr>
        <w:spacing w:before="240" w:line="360" w:lineRule="auto"/>
        <w:jc w:val="both"/>
        <w:rPr>
          <w:rFonts w:ascii="Palatino Linotype" w:hAnsi="Palatino Linotype" w:cs="Arial"/>
          <w:sz w:val="24"/>
          <w:szCs w:val="24"/>
        </w:rPr>
      </w:pPr>
      <w:r>
        <w:rPr>
          <w:rFonts w:ascii="Palatino Linotype" w:hAnsi="Palatino Linotype" w:cs="Arial"/>
          <w:noProof/>
          <w:sz w:val="24"/>
          <w:szCs w:val="24"/>
        </w:rPr>
        <mc:AlternateContent>
          <mc:Choice Requires="wps">
            <w:drawing>
              <wp:anchor distT="0" distB="0" distL="114300" distR="114300" simplePos="0" relativeHeight="251681792" behindDoc="0" locked="0" layoutInCell="1" allowOverlap="1" wp14:anchorId="1471DB54" wp14:editId="1A7FFB9C">
                <wp:simplePos x="0" y="0"/>
                <wp:positionH relativeFrom="margin">
                  <wp:posOffset>-99060</wp:posOffset>
                </wp:positionH>
                <wp:positionV relativeFrom="paragraph">
                  <wp:posOffset>56515</wp:posOffset>
                </wp:positionV>
                <wp:extent cx="6267450" cy="6057900"/>
                <wp:effectExtent l="0" t="0" r="19050" b="19050"/>
                <wp:wrapNone/>
                <wp:docPr id="19" name="Conector recto 19"/>
                <wp:cNvGraphicFramePr/>
                <a:graphic xmlns:a="http://schemas.openxmlformats.org/drawingml/2006/main">
                  <a:graphicData uri="http://schemas.microsoft.com/office/word/2010/wordprocessingShape">
                    <wps:wsp>
                      <wps:cNvCnPr/>
                      <wps:spPr>
                        <a:xfrm>
                          <a:off x="0" y="0"/>
                          <a:ext cx="6267450" cy="6057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A10112" id="Conector recto 19" o:spid="_x0000_s1026" style="position:absolute;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4.45pt" to="485.7pt,4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" strokecolor="#5b9bd5 [3204]" strokeweight=".5pt">
                <v:stroke joinstyle="miter"/>
                <w10:wrap anchorx="margin"/>
              </v:line>
            </w:pict>
          </mc:Fallback>
        </mc:AlternateContent>
      </w:r>
    </w:p>
    <w:p w14:paraId="158F7480" w14:textId="3B750C32" w:rsidR="00E3326E" w:rsidRDefault="00E3326E" w:rsidP="00EE5787">
      <w:pPr>
        <w:spacing w:before="240" w:line="360" w:lineRule="auto"/>
        <w:jc w:val="both"/>
        <w:rPr>
          <w:rFonts w:ascii="Palatino Linotype" w:hAnsi="Palatino Linotype" w:cs="Arial"/>
          <w:sz w:val="24"/>
          <w:szCs w:val="24"/>
        </w:rPr>
      </w:pPr>
    </w:p>
    <w:p w14:paraId="1461AEC3" w14:textId="027A2518" w:rsidR="00E3326E" w:rsidRDefault="00E3326E" w:rsidP="00EE5787">
      <w:pPr>
        <w:spacing w:before="240" w:line="360" w:lineRule="auto"/>
        <w:jc w:val="both"/>
        <w:rPr>
          <w:rFonts w:ascii="Palatino Linotype" w:hAnsi="Palatino Linotype" w:cs="Arial"/>
          <w:sz w:val="24"/>
          <w:szCs w:val="24"/>
        </w:rPr>
      </w:pPr>
    </w:p>
    <w:p w14:paraId="22EDAA51" w14:textId="12AB996E" w:rsidR="00E3326E" w:rsidRDefault="00E3326E" w:rsidP="00EE5787">
      <w:pPr>
        <w:spacing w:before="240" w:line="360" w:lineRule="auto"/>
        <w:jc w:val="both"/>
        <w:rPr>
          <w:rFonts w:ascii="Palatino Linotype" w:hAnsi="Palatino Linotype" w:cs="Arial"/>
          <w:sz w:val="24"/>
          <w:szCs w:val="24"/>
        </w:rPr>
      </w:pPr>
    </w:p>
    <w:p w14:paraId="5C29DDB0" w14:textId="4D2A82C7" w:rsidR="00E3326E" w:rsidRDefault="00E3326E" w:rsidP="00EE5787">
      <w:pPr>
        <w:spacing w:before="240" w:line="360" w:lineRule="auto"/>
        <w:jc w:val="both"/>
        <w:rPr>
          <w:rFonts w:ascii="Palatino Linotype" w:hAnsi="Palatino Linotype" w:cs="Arial"/>
          <w:sz w:val="24"/>
          <w:szCs w:val="24"/>
        </w:rPr>
      </w:pPr>
    </w:p>
    <w:p w14:paraId="72E7DDF6" w14:textId="443B261F" w:rsidR="00E3326E" w:rsidRDefault="00E3326E" w:rsidP="00EE5787">
      <w:pPr>
        <w:spacing w:before="240" w:line="360" w:lineRule="auto"/>
        <w:jc w:val="both"/>
        <w:rPr>
          <w:rFonts w:ascii="Palatino Linotype" w:hAnsi="Palatino Linotype" w:cs="Arial"/>
          <w:sz w:val="24"/>
          <w:szCs w:val="24"/>
        </w:rPr>
      </w:pPr>
    </w:p>
    <w:p w14:paraId="2C324190" w14:textId="1F0A0409" w:rsidR="00E3326E" w:rsidRDefault="00E3326E" w:rsidP="00EE5787">
      <w:pPr>
        <w:spacing w:before="240" w:line="360" w:lineRule="auto"/>
        <w:jc w:val="both"/>
        <w:rPr>
          <w:rFonts w:ascii="Palatino Linotype" w:hAnsi="Palatino Linotype" w:cs="Arial"/>
          <w:sz w:val="24"/>
          <w:szCs w:val="24"/>
        </w:rPr>
      </w:pPr>
    </w:p>
    <w:p w14:paraId="5E499520" w14:textId="47EACDE2" w:rsidR="00E3326E" w:rsidRDefault="00E3326E" w:rsidP="00EE5787">
      <w:pPr>
        <w:spacing w:before="240" w:line="360" w:lineRule="auto"/>
        <w:jc w:val="both"/>
        <w:rPr>
          <w:rFonts w:ascii="Palatino Linotype" w:hAnsi="Palatino Linotype" w:cs="Arial"/>
          <w:sz w:val="24"/>
          <w:szCs w:val="24"/>
        </w:rPr>
      </w:pPr>
    </w:p>
    <w:p w14:paraId="15E9281A" w14:textId="2CB42E7C" w:rsidR="00E3326E" w:rsidRDefault="00E3326E" w:rsidP="00EE5787">
      <w:pPr>
        <w:spacing w:before="240" w:line="360" w:lineRule="auto"/>
        <w:jc w:val="both"/>
        <w:rPr>
          <w:rFonts w:ascii="Palatino Linotype" w:hAnsi="Palatino Linotype" w:cs="Arial"/>
          <w:sz w:val="24"/>
          <w:szCs w:val="24"/>
        </w:rPr>
      </w:pPr>
    </w:p>
    <w:p w14:paraId="17681800" w14:textId="75F42999" w:rsidR="00E3326E" w:rsidRDefault="00E3326E" w:rsidP="00EE5787">
      <w:pPr>
        <w:spacing w:before="240" w:line="360" w:lineRule="auto"/>
        <w:jc w:val="both"/>
        <w:rPr>
          <w:rFonts w:ascii="Palatino Linotype" w:hAnsi="Palatino Linotype" w:cs="Arial"/>
          <w:sz w:val="24"/>
          <w:szCs w:val="24"/>
        </w:rPr>
      </w:pPr>
    </w:p>
    <w:p w14:paraId="32ECBA6F" w14:textId="3EB904DF" w:rsidR="002E13CF" w:rsidRDefault="002E13CF" w:rsidP="00EE5787">
      <w:pPr>
        <w:spacing w:before="240" w:line="360" w:lineRule="auto"/>
        <w:jc w:val="both"/>
        <w:rPr>
          <w:rFonts w:ascii="Palatino Linotype" w:hAnsi="Palatino Linotype" w:cs="Arial"/>
          <w:sz w:val="24"/>
          <w:szCs w:val="24"/>
        </w:rPr>
      </w:pPr>
    </w:p>
    <w:p w14:paraId="5AFCC2F7" w14:textId="77777777" w:rsidR="002E13CF" w:rsidRDefault="002E13CF" w:rsidP="00EE5787">
      <w:pPr>
        <w:spacing w:before="240" w:line="360" w:lineRule="auto"/>
        <w:jc w:val="both"/>
        <w:rPr>
          <w:rFonts w:ascii="Palatino Linotype" w:hAnsi="Palatino Linotype" w:cs="Arial"/>
          <w:sz w:val="24"/>
          <w:szCs w:val="24"/>
        </w:rPr>
      </w:pPr>
    </w:p>
    <w:p w14:paraId="14709BBC" w14:textId="77777777" w:rsidR="00EE5787" w:rsidRDefault="00EE5787" w:rsidP="00EE5787">
      <w:pPr>
        <w:spacing w:before="240" w:line="360" w:lineRule="auto"/>
        <w:jc w:val="both"/>
        <w:rPr>
          <w:rFonts w:ascii="Palatino Linotype" w:hAnsi="Palatino Linotype" w:cs="Arial"/>
          <w:sz w:val="24"/>
          <w:szCs w:val="24"/>
        </w:rPr>
      </w:pPr>
      <w:r w:rsidRPr="00D05C83">
        <w:rPr>
          <w:rFonts w:ascii="Palatino Linotype" w:hAnsi="Palatino Linotype" w:cs="Arial"/>
          <w:sz w:val="24"/>
          <w:szCs w:val="24"/>
        </w:rPr>
        <w:t xml:space="preserve"> </w:t>
      </w:r>
      <w:r>
        <w:rPr>
          <w:rFonts w:ascii="Palatino Linotype" w:hAnsi="Palatino Linotype" w:cs="Arial"/>
          <w:sz w:val="24"/>
          <w:szCs w:val="24"/>
        </w:rPr>
        <w:t xml:space="preserve"> </w:t>
      </w:r>
    </w:p>
    <w:p w14:paraId="73462188" w14:textId="77777777" w:rsidR="006C3CF7" w:rsidRDefault="006C3CF7" w:rsidP="00EE5787">
      <w:pPr>
        <w:spacing w:before="240" w:line="360" w:lineRule="auto"/>
        <w:jc w:val="both"/>
        <w:rPr>
          <w:rFonts w:ascii="Palatino Linotype" w:hAnsi="Palatino Linotype" w:cs="Arial"/>
          <w:sz w:val="24"/>
          <w:szCs w:val="24"/>
        </w:rPr>
      </w:pPr>
    </w:p>
    <w:p w14:paraId="3F133751" w14:textId="6481425C" w:rsidR="00EE5787" w:rsidRPr="00D05C83" w:rsidRDefault="00EE5787" w:rsidP="00EE5787">
      <w:pPr>
        <w:spacing w:before="240" w:line="360" w:lineRule="auto"/>
        <w:jc w:val="both"/>
        <w:rPr>
          <w:rFonts w:ascii="Palatino Linotype" w:hAnsi="Palatino Linotype" w:cs="Arial"/>
          <w:sz w:val="24"/>
          <w:szCs w:val="24"/>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4624" behindDoc="0" locked="0" layoutInCell="1" allowOverlap="1" wp14:anchorId="43C2E336" wp14:editId="26937353">
                <wp:simplePos x="0" y="0"/>
                <wp:positionH relativeFrom="page">
                  <wp:posOffset>2600325</wp:posOffset>
                </wp:positionH>
                <wp:positionV relativeFrom="paragraph">
                  <wp:posOffset>178435</wp:posOffset>
                </wp:positionV>
                <wp:extent cx="2551430" cy="971550"/>
                <wp:effectExtent l="0" t="0" r="20320" b="19050"/>
                <wp:wrapNone/>
                <wp:docPr id="15" name="Cuadro de texto 15"/>
                <wp:cNvGraphicFramePr/>
                <a:graphic xmlns:a="http://schemas.openxmlformats.org/drawingml/2006/main">
                  <a:graphicData uri="http://schemas.microsoft.com/office/word/2010/wordprocessingShape">
                    <wps:wsp>
                      <wps:cNvSpPr txBox="1"/>
                      <wps:spPr>
                        <a:xfrm>
                          <a:off x="0" y="0"/>
                          <a:ext cx="2551430" cy="971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2B34046" w14:textId="77777777" w:rsidR="00D71D21" w:rsidRPr="00EF2FC0" w:rsidRDefault="00D71D21" w:rsidP="00EE5787">
                            <w:pPr>
                              <w:jc w:val="center"/>
                              <w:rPr>
                                <w:rFonts w:ascii="Palatino Linotype" w:hAnsi="Palatino Linotype"/>
                              </w:rPr>
                            </w:pPr>
                            <w:r w:rsidRPr="00EF2FC0">
                              <w:rPr>
                                <w:rFonts w:ascii="Palatino Linotype" w:hAnsi="Palatino Linotype"/>
                                <w:b/>
                              </w:rPr>
                              <w:t>Zulema Martínez Sánchez</w:t>
                            </w:r>
                          </w:p>
                          <w:p w14:paraId="61B5BD7B" w14:textId="77777777" w:rsidR="00D71D21" w:rsidRDefault="00D71D21" w:rsidP="00EE5787">
                            <w:pPr>
                              <w:jc w:val="center"/>
                              <w:rPr>
                                <w:rFonts w:ascii="Palatino Linotype" w:hAnsi="Palatino Linotype"/>
                              </w:rPr>
                            </w:pPr>
                            <w:r>
                              <w:rPr>
                                <w:rFonts w:ascii="Palatino Linotype" w:hAnsi="Palatino Linotype"/>
                              </w:rPr>
                              <w:t>Comisionada Presidenta</w:t>
                            </w:r>
                          </w:p>
                          <w:p w14:paraId="143301DC" w14:textId="77777777" w:rsidR="00D71D21" w:rsidRDefault="00D71D21" w:rsidP="00EE5787">
                            <w:pPr>
                              <w:jc w:val="center"/>
                              <w:rPr>
                                <w:rFonts w:ascii="Palatino Linotype" w:hAnsi="Palatino Linotype"/>
                                <w:b/>
                              </w:rPr>
                            </w:pPr>
                            <w:r>
                              <w:rPr>
                                <w:rFonts w:ascii="Palatino Linotype" w:hAnsi="Palatino Linotype"/>
                                <w:b/>
                              </w:rPr>
                              <w:t>(Rúbrica).</w:t>
                            </w:r>
                          </w:p>
                          <w:p w14:paraId="03DB172A" w14:textId="77777777" w:rsidR="00D71D21" w:rsidRPr="00016AF3" w:rsidRDefault="00D71D21" w:rsidP="00EE5787">
                            <w:pPr>
                              <w:jc w:val="center"/>
                              <w:rPr>
                                <w:rFonts w:ascii="Palatino Linotype" w:hAnsi="Palatino Linotype"/>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C2E336" id="_x0000_t202" coordsize="21600,21600" o:spt="202" path="m,l,21600r21600,l21600,xe">
                <v:stroke joinstyle="miter"/>
                <v:path gradientshapeok="t" o:connecttype="rect"/>
              </v:shapetype>
              <v:shape id="Cuadro de texto 15" o:spid="_x0000_s1026" type="#_x0000_t202" style="position:absolute;left:0;text-align:left;margin-left:204.75pt;margin-top:14.05pt;width:200.9pt;height:76.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" fillcolor="white [3201]" strokecolor="white [3212]" strokeweight=".5pt">
                <v:textbox>
                  <w:txbxContent>
                    <w:p w14:paraId="72B34046" w14:textId="77777777" w:rsidR="00D71D21" w:rsidRPr="00EF2FC0" w:rsidRDefault="00D71D21" w:rsidP="00EE5787">
                      <w:pPr>
                        <w:jc w:val="center"/>
                        <w:rPr>
                          <w:rFonts w:ascii="Palatino Linotype" w:hAnsi="Palatino Linotype"/>
                        </w:rPr>
                      </w:pPr>
                      <w:r w:rsidRPr="00EF2FC0">
                        <w:rPr>
                          <w:rFonts w:ascii="Palatino Linotype" w:hAnsi="Palatino Linotype"/>
                          <w:b/>
                        </w:rPr>
                        <w:t>Zulema Martínez Sánchez</w:t>
                      </w:r>
                    </w:p>
                    <w:p w14:paraId="61B5BD7B" w14:textId="77777777" w:rsidR="00D71D21" w:rsidRDefault="00D71D21" w:rsidP="00EE5787">
                      <w:pPr>
                        <w:jc w:val="center"/>
                        <w:rPr>
                          <w:rFonts w:ascii="Palatino Linotype" w:hAnsi="Palatino Linotype"/>
                        </w:rPr>
                      </w:pPr>
                      <w:r>
                        <w:rPr>
                          <w:rFonts w:ascii="Palatino Linotype" w:hAnsi="Palatino Linotype"/>
                        </w:rPr>
                        <w:t xml:space="preserve">Comisionada </w:t>
                      </w:r>
                      <w:proofErr w:type="gramStart"/>
                      <w:r>
                        <w:rPr>
                          <w:rFonts w:ascii="Palatino Linotype" w:hAnsi="Palatino Linotype"/>
                        </w:rPr>
                        <w:t>Presidenta</w:t>
                      </w:r>
                      <w:proofErr w:type="gramEnd"/>
                    </w:p>
                    <w:p w14:paraId="143301DC" w14:textId="77777777" w:rsidR="00D71D21" w:rsidRDefault="00D71D21" w:rsidP="00EE5787">
                      <w:pPr>
                        <w:jc w:val="center"/>
                        <w:rPr>
                          <w:rFonts w:ascii="Palatino Linotype" w:hAnsi="Palatino Linotype"/>
                          <w:b/>
                        </w:rPr>
                      </w:pPr>
                      <w:r>
                        <w:rPr>
                          <w:rFonts w:ascii="Palatino Linotype" w:hAnsi="Palatino Linotype"/>
                          <w:b/>
                        </w:rPr>
                        <w:t>(Rúbrica).</w:t>
                      </w:r>
                    </w:p>
                    <w:p w14:paraId="03DB172A" w14:textId="77777777" w:rsidR="00D71D21" w:rsidRPr="00016AF3" w:rsidRDefault="00D71D21" w:rsidP="00EE5787">
                      <w:pPr>
                        <w:jc w:val="center"/>
                        <w:rPr>
                          <w:rFonts w:ascii="Palatino Linotype" w:hAnsi="Palatino Linotype"/>
                          <w:b/>
                        </w:rPr>
                      </w:pPr>
                    </w:p>
                  </w:txbxContent>
                </v:textbox>
                <w10:wrap anchorx="page"/>
              </v:shape>
            </w:pict>
          </mc:Fallback>
        </mc:AlternateContent>
      </w:r>
    </w:p>
    <w:p w14:paraId="5F3DE4DB" w14:textId="77777777" w:rsidR="00EE5787" w:rsidRDefault="00EE5787" w:rsidP="00EE5787">
      <w:pPr>
        <w:autoSpaceDE w:val="0"/>
        <w:autoSpaceDN w:val="0"/>
        <w:adjustRightInd w:val="0"/>
        <w:spacing w:before="240" w:line="480" w:lineRule="auto"/>
        <w:jc w:val="both"/>
        <w:rPr>
          <w:rFonts w:ascii="Palatino Linotype" w:hAnsi="Palatino Linotype" w:cs="Arial"/>
          <w:sz w:val="24"/>
          <w:szCs w:val="24"/>
        </w:rPr>
      </w:pPr>
    </w:p>
    <w:p w14:paraId="64819BDE" w14:textId="77777777" w:rsidR="00EE5787" w:rsidRDefault="00EE5787" w:rsidP="00EE5787">
      <w:pPr>
        <w:autoSpaceDE w:val="0"/>
        <w:autoSpaceDN w:val="0"/>
        <w:adjustRightInd w:val="0"/>
        <w:spacing w:before="240" w:line="480" w:lineRule="auto"/>
        <w:jc w:val="both"/>
        <w:rPr>
          <w:rFonts w:ascii="Palatino Linotype" w:hAnsi="Palatino Linotype" w:cs="Arial"/>
          <w:sz w:val="24"/>
          <w:szCs w:val="24"/>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5648" behindDoc="0" locked="0" layoutInCell="1" allowOverlap="1" wp14:anchorId="01BBEF6D" wp14:editId="21DCEBE3">
                <wp:simplePos x="0" y="0"/>
                <wp:positionH relativeFrom="margin">
                  <wp:posOffset>-333375</wp:posOffset>
                </wp:positionH>
                <wp:positionV relativeFrom="paragraph">
                  <wp:posOffset>619760</wp:posOffset>
                </wp:positionV>
                <wp:extent cx="2486025" cy="895350"/>
                <wp:effectExtent l="0" t="0" r="28575" b="19050"/>
                <wp:wrapNone/>
                <wp:docPr id="18" name="Cuadro de texto 18"/>
                <wp:cNvGraphicFramePr/>
                <a:graphic xmlns:a="http://schemas.openxmlformats.org/drawingml/2006/main">
                  <a:graphicData uri="http://schemas.microsoft.com/office/word/2010/wordprocessingShape">
                    <wps:wsp>
                      <wps:cNvSpPr txBox="1"/>
                      <wps:spPr>
                        <a:xfrm>
                          <a:off x="0" y="0"/>
                          <a:ext cx="2486025" cy="8953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7144941" w14:textId="77777777" w:rsidR="00D71D21" w:rsidRPr="00EF2FC0" w:rsidRDefault="00D71D21" w:rsidP="00EE5787">
                            <w:pPr>
                              <w:jc w:val="center"/>
                              <w:rPr>
                                <w:rFonts w:ascii="Palatino Linotype" w:hAnsi="Palatino Linotype"/>
                                <w:b/>
                              </w:rPr>
                            </w:pPr>
                            <w:r w:rsidRPr="00EF2FC0">
                              <w:rPr>
                                <w:rFonts w:ascii="Palatino Linotype" w:hAnsi="Palatino Linotype"/>
                                <w:b/>
                              </w:rPr>
                              <w:t>Eva Abaid Yapur</w:t>
                            </w:r>
                          </w:p>
                          <w:p w14:paraId="304AEF6C" w14:textId="77777777" w:rsidR="00D71D21" w:rsidRPr="00EF2FC0" w:rsidRDefault="00D71D21" w:rsidP="00EE5787">
                            <w:pPr>
                              <w:jc w:val="center"/>
                              <w:rPr>
                                <w:rFonts w:ascii="Palatino Linotype" w:hAnsi="Palatino Linotype"/>
                              </w:rPr>
                            </w:pPr>
                            <w:r w:rsidRPr="00EF2FC0">
                              <w:rPr>
                                <w:rFonts w:ascii="Palatino Linotype" w:hAnsi="Palatino Linotype"/>
                              </w:rPr>
                              <w:t>Comisionada</w:t>
                            </w:r>
                          </w:p>
                          <w:p w14:paraId="45CFCD8A" w14:textId="77777777" w:rsidR="00D71D21" w:rsidRDefault="00D71D21" w:rsidP="00EE5787">
                            <w:pPr>
                              <w:jc w:val="center"/>
                              <w:rPr>
                                <w:rFonts w:ascii="Palatino Linotype" w:hAnsi="Palatino Linotype"/>
                                <w:b/>
                              </w:rPr>
                            </w:pPr>
                            <w:r>
                              <w:rPr>
                                <w:rFonts w:ascii="Palatino Linotype" w:hAnsi="Palatino Linotype"/>
                                <w:b/>
                              </w:rPr>
                              <w:t>(Rúbrica).</w:t>
                            </w:r>
                          </w:p>
                          <w:p w14:paraId="500CEFAA" w14:textId="77777777" w:rsidR="00D71D21" w:rsidRDefault="00D71D21" w:rsidP="00EE578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BEF6D" id="Cuadro de texto 18" o:spid="_x0000_s1027" type="#_x0000_t202" style="position:absolute;left:0;text-align:left;margin-left:-26.25pt;margin-top:48.8pt;width:195.75pt;height:7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" fillcolor="white [3201]" strokecolor="white [3212]" strokeweight=".5pt">
                <v:textbox>
                  <w:txbxContent>
                    <w:p w14:paraId="07144941" w14:textId="77777777" w:rsidR="00D71D21" w:rsidRPr="00EF2FC0" w:rsidRDefault="00D71D21" w:rsidP="00EE5787">
                      <w:pPr>
                        <w:jc w:val="center"/>
                        <w:rPr>
                          <w:rFonts w:ascii="Palatino Linotype" w:hAnsi="Palatino Linotype"/>
                          <w:b/>
                        </w:rPr>
                      </w:pPr>
                      <w:r w:rsidRPr="00EF2FC0">
                        <w:rPr>
                          <w:rFonts w:ascii="Palatino Linotype" w:hAnsi="Palatino Linotype"/>
                          <w:b/>
                        </w:rPr>
                        <w:t xml:space="preserve">Eva </w:t>
                      </w:r>
                      <w:proofErr w:type="spellStart"/>
                      <w:r w:rsidRPr="00EF2FC0">
                        <w:rPr>
                          <w:rFonts w:ascii="Palatino Linotype" w:hAnsi="Palatino Linotype"/>
                          <w:b/>
                        </w:rPr>
                        <w:t>Abaid</w:t>
                      </w:r>
                      <w:proofErr w:type="spellEnd"/>
                      <w:r w:rsidRPr="00EF2FC0">
                        <w:rPr>
                          <w:rFonts w:ascii="Palatino Linotype" w:hAnsi="Palatino Linotype"/>
                          <w:b/>
                        </w:rPr>
                        <w:t xml:space="preserve"> Yapur</w:t>
                      </w:r>
                    </w:p>
                    <w:p w14:paraId="304AEF6C" w14:textId="77777777" w:rsidR="00D71D21" w:rsidRPr="00EF2FC0" w:rsidRDefault="00D71D21" w:rsidP="00EE5787">
                      <w:pPr>
                        <w:jc w:val="center"/>
                        <w:rPr>
                          <w:rFonts w:ascii="Palatino Linotype" w:hAnsi="Palatino Linotype"/>
                        </w:rPr>
                      </w:pPr>
                      <w:r w:rsidRPr="00EF2FC0">
                        <w:rPr>
                          <w:rFonts w:ascii="Palatino Linotype" w:hAnsi="Palatino Linotype"/>
                        </w:rPr>
                        <w:t>Comisionada</w:t>
                      </w:r>
                    </w:p>
                    <w:p w14:paraId="45CFCD8A" w14:textId="77777777" w:rsidR="00D71D21" w:rsidRDefault="00D71D21" w:rsidP="00EE5787">
                      <w:pPr>
                        <w:jc w:val="center"/>
                        <w:rPr>
                          <w:rFonts w:ascii="Palatino Linotype" w:hAnsi="Palatino Linotype"/>
                          <w:b/>
                        </w:rPr>
                      </w:pPr>
                      <w:r>
                        <w:rPr>
                          <w:rFonts w:ascii="Palatino Linotype" w:hAnsi="Palatino Linotype"/>
                          <w:b/>
                        </w:rPr>
                        <w:t>(Rúbrica).</w:t>
                      </w:r>
                    </w:p>
                    <w:p w14:paraId="500CEFAA" w14:textId="77777777" w:rsidR="00D71D21" w:rsidRDefault="00D71D21" w:rsidP="00EE5787">
                      <w:pPr>
                        <w:jc w:val="center"/>
                      </w:pPr>
                    </w:p>
                  </w:txbxContent>
                </v:textbox>
                <w10:wrap anchorx="margin"/>
              </v:shape>
            </w:pict>
          </mc:Fallback>
        </mc:AlternateContent>
      </w:r>
    </w:p>
    <w:p w14:paraId="5B458C95" w14:textId="77777777" w:rsidR="00EE5787" w:rsidRDefault="00EE5787" w:rsidP="00EE5787">
      <w:pPr>
        <w:autoSpaceDE w:val="0"/>
        <w:autoSpaceDN w:val="0"/>
        <w:adjustRightInd w:val="0"/>
        <w:spacing w:before="240" w:line="480" w:lineRule="auto"/>
        <w:jc w:val="both"/>
        <w:rPr>
          <w:rFonts w:ascii="Palatino Linotype" w:hAnsi="Palatino Linotype"/>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6672" behindDoc="0" locked="0" layoutInCell="1" allowOverlap="1" wp14:anchorId="33521B4A" wp14:editId="6FEDBCB9">
                <wp:simplePos x="0" y="0"/>
                <wp:positionH relativeFrom="margin">
                  <wp:posOffset>3558540</wp:posOffset>
                </wp:positionH>
                <wp:positionV relativeFrom="paragraph">
                  <wp:posOffset>85090</wp:posOffset>
                </wp:positionV>
                <wp:extent cx="2543175" cy="942975"/>
                <wp:effectExtent l="0" t="0" r="28575" b="28575"/>
                <wp:wrapNone/>
                <wp:docPr id="23" name="Cuadro de texto 23"/>
                <wp:cNvGraphicFramePr/>
                <a:graphic xmlns:a="http://schemas.openxmlformats.org/drawingml/2006/main">
                  <a:graphicData uri="http://schemas.microsoft.com/office/word/2010/wordprocessingShape">
                    <wps:wsp>
                      <wps:cNvSpPr txBox="1"/>
                      <wps:spPr>
                        <a:xfrm>
                          <a:off x="0" y="0"/>
                          <a:ext cx="2543175" cy="9429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B532001" w14:textId="77777777" w:rsidR="00D71D21" w:rsidRPr="00EF2FC0" w:rsidRDefault="00D71D21" w:rsidP="00EE5787">
                            <w:pPr>
                              <w:jc w:val="center"/>
                              <w:rPr>
                                <w:rFonts w:ascii="Palatino Linotype" w:hAnsi="Palatino Linotype"/>
                              </w:rPr>
                            </w:pPr>
                            <w:r>
                              <w:rPr>
                                <w:rFonts w:ascii="Palatino Linotype" w:hAnsi="Palatino Linotype"/>
                                <w:b/>
                              </w:rPr>
                              <w:t>José Guadalupe Luna Hernández</w:t>
                            </w:r>
                          </w:p>
                          <w:p w14:paraId="5EFF98A2"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0E8F69A1" w14:textId="77777777" w:rsidR="00D71D21" w:rsidRPr="009234AD" w:rsidRDefault="00D71D21" w:rsidP="00EE5787">
                            <w:pPr>
                              <w:jc w:val="center"/>
                              <w:rPr>
                                <w:rFonts w:ascii="Palatino Linotype" w:hAnsi="Palatino Linotype"/>
                                <w:b/>
                              </w:rPr>
                            </w:pPr>
                            <w:r>
                              <w:rPr>
                                <w:rFonts w:ascii="Palatino Linotype" w:hAnsi="Palatino Linotype"/>
                                <w:b/>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21B4A" id="Cuadro de texto 23" o:spid="_x0000_s1028" type="#_x0000_t202" style="position:absolute;left:0;text-align:left;margin-left:280.2pt;margin-top:6.7pt;width:200.25pt;height:74.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" fillcolor="white [3201]" strokecolor="white [3212]" strokeweight=".5pt">
                <v:textbox>
                  <w:txbxContent>
                    <w:p w14:paraId="1B532001" w14:textId="77777777" w:rsidR="00D71D21" w:rsidRPr="00EF2FC0" w:rsidRDefault="00D71D21" w:rsidP="00EE5787">
                      <w:pPr>
                        <w:jc w:val="center"/>
                        <w:rPr>
                          <w:rFonts w:ascii="Palatino Linotype" w:hAnsi="Palatino Linotype"/>
                        </w:rPr>
                      </w:pPr>
                      <w:r>
                        <w:rPr>
                          <w:rFonts w:ascii="Palatino Linotype" w:hAnsi="Palatino Linotype"/>
                          <w:b/>
                        </w:rPr>
                        <w:t>José Guadalupe Luna Hernández</w:t>
                      </w:r>
                    </w:p>
                    <w:p w14:paraId="5EFF98A2"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0E8F69A1" w14:textId="77777777" w:rsidR="00D71D21" w:rsidRPr="009234AD" w:rsidRDefault="00D71D21" w:rsidP="00EE5787">
                      <w:pPr>
                        <w:jc w:val="center"/>
                        <w:rPr>
                          <w:rFonts w:ascii="Palatino Linotype" w:hAnsi="Palatino Linotype"/>
                          <w:b/>
                        </w:rPr>
                      </w:pPr>
                      <w:r>
                        <w:rPr>
                          <w:rFonts w:ascii="Palatino Linotype" w:hAnsi="Palatino Linotype"/>
                          <w:b/>
                        </w:rPr>
                        <w:t>(Rúbrica).</w:t>
                      </w:r>
                    </w:p>
                  </w:txbxContent>
                </v:textbox>
                <w10:wrap anchorx="margin"/>
              </v:shape>
            </w:pict>
          </mc:Fallback>
        </mc:AlternateContent>
      </w:r>
      <w:r>
        <w:rPr>
          <w:rFonts w:ascii="Palatino Linotype" w:hAnsi="Palatino Linotype" w:cs="Arial"/>
          <w:sz w:val="24"/>
          <w:szCs w:val="24"/>
        </w:rPr>
        <w:t xml:space="preserve"> </w:t>
      </w:r>
    </w:p>
    <w:p w14:paraId="162F106A" w14:textId="77777777" w:rsidR="00EE5787" w:rsidRPr="00D54B7D" w:rsidRDefault="00EE5787" w:rsidP="00EE5787">
      <w:pPr>
        <w:spacing w:before="240" w:line="480" w:lineRule="auto"/>
        <w:jc w:val="both"/>
        <w:rPr>
          <w:rFonts w:ascii="Palatino Linotype" w:hAnsi="Palatino Linotype"/>
        </w:rPr>
      </w:pPr>
    </w:p>
    <w:p w14:paraId="269575A5" w14:textId="77777777" w:rsidR="00EE5787" w:rsidRDefault="00EE5787" w:rsidP="00EE5787">
      <w:pPr>
        <w:spacing w:before="240" w:line="480" w:lineRule="auto"/>
        <w:rPr>
          <w:rFonts w:ascii="Palatino Linotype" w:hAnsi="Palatino Linotype"/>
          <w:b/>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9744" behindDoc="0" locked="0" layoutInCell="1" allowOverlap="1" wp14:anchorId="0E6DF30E" wp14:editId="2B121EA7">
                <wp:simplePos x="0" y="0"/>
                <wp:positionH relativeFrom="margin">
                  <wp:posOffset>-299085</wp:posOffset>
                </wp:positionH>
                <wp:positionV relativeFrom="paragraph">
                  <wp:posOffset>582930</wp:posOffset>
                </wp:positionV>
                <wp:extent cx="2486025" cy="937895"/>
                <wp:effectExtent l="0" t="0" r="9525" b="0"/>
                <wp:wrapNone/>
                <wp:docPr id="24" name="Cuadro de texto 24"/>
                <wp:cNvGraphicFramePr/>
                <a:graphic xmlns:a="http://schemas.openxmlformats.org/drawingml/2006/main">
                  <a:graphicData uri="http://schemas.microsoft.com/office/word/2010/wordprocessingShape">
                    <wps:wsp>
                      <wps:cNvSpPr txBox="1"/>
                      <wps:spPr>
                        <a:xfrm>
                          <a:off x="0" y="0"/>
                          <a:ext cx="2486025" cy="937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3F2BF" w14:textId="77777777" w:rsidR="00D71D21" w:rsidRPr="00EF2FC0" w:rsidRDefault="00D71D21" w:rsidP="00EE5787">
                            <w:pPr>
                              <w:jc w:val="center"/>
                              <w:rPr>
                                <w:rFonts w:ascii="Palatino Linotype" w:hAnsi="Palatino Linotype"/>
                              </w:rPr>
                            </w:pPr>
                            <w:r w:rsidRPr="00EF2FC0">
                              <w:rPr>
                                <w:rFonts w:ascii="Palatino Linotype" w:hAnsi="Palatino Linotype"/>
                                <w:b/>
                              </w:rPr>
                              <w:t>Javier Martínez Cruz</w:t>
                            </w:r>
                          </w:p>
                          <w:p w14:paraId="14145824"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6B860CE1" w14:textId="77777777" w:rsidR="00D71D21" w:rsidRPr="00F55D03" w:rsidRDefault="00D71D21" w:rsidP="00EE5787">
                            <w:pPr>
                              <w:jc w:val="center"/>
                              <w:rPr>
                                <w:rFonts w:ascii="Palatino Linotype" w:hAnsi="Palatino Linotype"/>
                                <w:b/>
                              </w:rPr>
                            </w:pPr>
                            <w:r>
                              <w:rPr>
                                <w:rFonts w:ascii="Palatino Linotype" w:hAnsi="Palatino Linotype"/>
                                <w:b/>
                              </w:rPr>
                              <w:t>(Rúbrica).</w:t>
                            </w:r>
                          </w:p>
                          <w:p w14:paraId="10A90F99" w14:textId="77777777" w:rsidR="00D71D21" w:rsidRDefault="00D71D21" w:rsidP="00EE57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DF30E" id="Cuadro de texto 24" o:spid="_x0000_s1029" type="#_x0000_t202" style="position:absolute;margin-left:-23.55pt;margin-top:45.9pt;width:195.75pt;height:73.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" fillcolor="white [3201]" stroked="f" strokeweight=".5pt">
                <v:textbox>
                  <w:txbxContent>
                    <w:p w14:paraId="2ED3F2BF" w14:textId="77777777" w:rsidR="00D71D21" w:rsidRPr="00EF2FC0" w:rsidRDefault="00D71D21" w:rsidP="00EE5787">
                      <w:pPr>
                        <w:jc w:val="center"/>
                        <w:rPr>
                          <w:rFonts w:ascii="Palatino Linotype" w:hAnsi="Palatino Linotype"/>
                        </w:rPr>
                      </w:pPr>
                      <w:r w:rsidRPr="00EF2FC0">
                        <w:rPr>
                          <w:rFonts w:ascii="Palatino Linotype" w:hAnsi="Palatino Linotype"/>
                          <w:b/>
                        </w:rPr>
                        <w:t>Javier Martínez Cruz</w:t>
                      </w:r>
                    </w:p>
                    <w:p w14:paraId="14145824"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6B860CE1" w14:textId="77777777" w:rsidR="00D71D21" w:rsidRPr="00F55D03" w:rsidRDefault="00D71D21" w:rsidP="00EE5787">
                      <w:pPr>
                        <w:jc w:val="center"/>
                        <w:rPr>
                          <w:rFonts w:ascii="Palatino Linotype" w:hAnsi="Palatino Linotype"/>
                          <w:b/>
                        </w:rPr>
                      </w:pPr>
                      <w:r>
                        <w:rPr>
                          <w:rFonts w:ascii="Palatino Linotype" w:hAnsi="Palatino Linotype"/>
                          <w:b/>
                        </w:rPr>
                        <w:t>(Rúbrica).</w:t>
                      </w:r>
                    </w:p>
                    <w:p w14:paraId="10A90F99" w14:textId="77777777" w:rsidR="00D71D21" w:rsidRDefault="00D71D21" w:rsidP="00EE5787"/>
                  </w:txbxContent>
                </v:textbox>
                <w10:wrap anchorx="margin"/>
              </v:shape>
            </w:pict>
          </mc:Fallback>
        </mc:AlternateContent>
      </w:r>
    </w:p>
    <w:p w14:paraId="4ECF0B30" w14:textId="77777777" w:rsidR="00EE5787" w:rsidRDefault="00EE5787" w:rsidP="00EE5787">
      <w:pPr>
        <w:spacing w:before="240" w:line="480" w:lineRule="auto"/>
        <w:rPr>
          <w:rFonts w:ascii="Palatino Linotype" w:hAnsi="Palatino Linotype"/>
          <w:b/>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8720" behindDoc="0" locked="0" layoutInCell="1" allowOverlap="1" wp14:anchorId="712EB9D7" wp14:editId="289C70C2">
                <wp:simplePos x="0" y="0"/>
                <wp:positionH relativeFrom="margin">
                  <wp:posOffset>3577590</wp:posOffset>
                </wp:positionH>
                <wp:positionV relativeFrom="paragraph">
                  <wp:posOffset>53340</wp:posOffset>
                </wp:positionV>
                <wp:extent cx="2543175" cy="937895"/>
                <wp:effectExtent l="0" t="0" r="28575" b="14605"/>
                <wp:wrapNone/>
                <wp:docPr id="25" name="Cuadro de texto 25"/>
                <wp:cNvGraphicFramePr/>
                <a:graphic xmlns:a="http://schemas.openxmlformats.org/drawingml/2006/main">
                  <a:graphicData uri="http://schemas.microsoft.com/office/word/2010/wordprocessingShape">
                    <wps:wsp>
                      <wps:cNvSpPr txBox="1"/>
                      <wps:spPr>
                        <a:xfrm>
                          <a:off x="0" y="0"/>
                          <a:ext cx="2543175" cy="9378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0C81DCC" w14:textId="77777777" w:rsidR="00D71D21" w:rsidRPr="00EF2FC0" w:rsidRDefault="00D71D21" w:rsidP="00EE5787">
                            <w:pPr>
                              <w:jc w:val="center"/>
                              <w:rPr>
                                <w:rFonts w:ascii="Palatino Linotype" w:hAnsi="Palatino Linotype"/>
                              </w:rPr>
                            </w:pPr>
                            <w:r>
                              <w:rPr>
                                <w:rFonts w:ascii="Palatino Linotype" w:hAnsi="Palatino Linotype"/>
                                <w:b/>
                              </w:rPr>
                              <w:t>Luis Gustavo Parra Noriega</w:t>
                            </w:r>
                          </w:p>
                          <w:p w14:paraId="582C044F"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2BAE2570" w14:textId="77777777" w:rsidR="00D71D21" w:rsidRPr="00F55D03" w:rsidRDefault="00D71D21" w:rsidP="00EE5787">
                            <w:pPr>
                              <w:jc w:val="center"/>
                              <w:rPr>
                                <w:rFonts w:ascii="Palatino Linotype" w:hAnsi="Palatino Linotype"/>
                                <w:b/>
                              </w:rPr>
                            </w:pPr>
                            <w:r>
                              <w:rPr>
                                <w:rFonts w:ascii="Palatino Linotype" w:hAnsi="Palatino Linotype"/>
                                <w:b/>
                              </w:rPr>
                              <w:t>(Rúbrica).</w:t>
                            </w:r>
                          </w:p>
                          <w:p w14:paraId="52DF1240" w14:textId="77777777" w:rsidR="00D71D21" w:rsidRDefault="00D71D21" w:rsidP="00EE57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EB9D7" id="Cuadro de texto 25" o:spid="_x0000_s1030" type="#_x0000_t202" style="position:absolute;margin-left:281.7pt;margin-top:4.2pt;width:200.25pt;height:73.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" fillcolor="white [3201]" strokecolor="white [3212]" strokeweight=".5pt">
                <v:textbox>
                  <w:txbxContent>
                    <w:p w14:paraId="40C81DCC" w14:textId="77777777" w:rsidR="00D71D21" w:rsidRPr="00EF2FC0" w:rsidRDefault="00D71D21" w:rsidP="00EE5787">
                      <w:pPr>
                        <w:jc w:val="center"/>
                        <w:rPr>
                          <w:rFonts w:ascii="Palatino Linotype" w:hAnsi="Palatino Linotype"/>
                        </w:rPr>
                      </w:pPr>
                      <w:r>
                        <w:rPr>
                          <w:rFonts w:ascii="Palatino Linotype" w:hAnsi="Palatino Linotype"/>
                          <w:b/>
                        </w:rPr>
                        <w:t>Luis Gustavo Parra Noriega</w:t>
                      </w:r>
                    </w:p>
                    <w:p w14:paraId="582C044F" w14:textId="77777777" w:rsidR="00D71D21" w:rsidRDefault="00D71D21" w:rsidP="00EE5787">
                      <w:pPr>
                        <w:jc w:val="center"/>
                        <w:rPr>
                          <w:rFonts w:ascii="Palatino Linotype" w:hAnsi="Palatino Linotype"/>
                        </w:rPr>
                      </w:pPr>
                      <w:r w:rsidRPr="00EF2FC0">
                        <w:rPr>
                          <w:rFonts w:ascii="Palatino Linotype" w:hAnsi="Palatino Linotype"/>
                        </w:rPr>
                        <w:t>Comisionado</w:t>
                      </w:r>
                    </w:p>
                    <w:p w14:paraId="2BAE2570" w14:textId="77777777" w:rsidR="00D71D21" w:rsidRPr="00F55D03" w:rsidRDefault="00D71D21" w:rsidP="00EE5787">
                      <w:pPr>
                        <w:jc w:val="center"/>
                        <w:rPr>
                          <w:rFonts w:ascii="Palatino Linotype" w:hAnsi="Palatino Linotype"/>
                          <w:b/>
                        </w:rPr>
                      </w:pPr>
                      <w:r>
                        <w:rPr>
                          <w:rFonts w:ascii="Palatino Linotype" w:hAnsi="Palatino Linotype"/>
                          <w:b/>
                        </w:rPr>
                        <w:t>(Rúbrica).</w:t>
                      </w:r>
                    </w:p>
                    <w:p w14:paraId="52DF1240" w14:textId="77777777" w:rsidR="00D71D21" w:rsidRDefault="00D71D21" w:rsidP="00EE5787"/>
                  </w:txbxContent>
                </v:textbox>
                <w10:wrap anchorx="margin"/>
              </v:shape>
            </w:pict>
          </mc:Fallback>
        </mc:AlternateContent>
      </w:r>
    </w:p>
    <w:p w14:paraId="77ED1EE1" w14:textId="77777777" w:rsidR="00EE5787" w:rsidRDefault="00EE5787" w:rsidP="00EE5787">
      <w:pPr>
        <w:spacing w:before="240" w:line="480" w:lineRule="auto"/>
        <w:rPr>
          <w:rFonts w:ascii="Palatino Linotype" w:hAnsi="Palatino Linotype"/>
          <w:b/>
        </w:rPr>
      </w:pPr>
    </w:p>
    <w:p w14:paraId="5EC693E6" w14:textId="77777777" w:rsidR="00EE5787" w:rsidRDefault="00EE5787" w:rsidP="00EE5787">
      <w:pPr>
        <w:spacing w:before="240" w:line="480" w:lineRule="auto"/>
        <w:rPr>
          <w:rFonts w:ascii="Palatino Linotype" w:hAnsi="Palatino Linotype"/>
          <w:b/>
        </w:rPr>
      </w:pPr>
      <w:r w:rsidRPr="006C6A05">
        <w:rPr>
          <w:rFonts w:ascii="Palatino Linotype" w:hAnsi="Palatino Linotype" w:cs="Arial"/>
          <w:noProof/>
          <w:sz w:val="24"/>
          <w:szCs w:val="24"/>
          <w:lang w:eastAsia="es-MX"/>
        </w:rPr>
        <mc:AlternateContent>
          <mc:Choice Requires="wps">
            <w:drawing>
              <wp:anchor distT="0" distB="0" distL="114300" distR="114300" simplePos="0" relativeHeight="251677696" behindDoc="0" locked="0" layoutInCell="1" allowOverlap="1" wp14:anchorId="149E7B80" wp14:editId="1EF499BF">
                <wp:simplePos x="0" y="0"/>
                <wp:positionH relativeFrom="margin">
                  <wp:posOffset>1289685</wp:posOffset>
                </wp:positionH>
                <wp:positionV relativeFrom="paragraph">
                  <wp:posOffset>231140</wp:posOffset>
                </wp:positionV>
                <wp:extent cx="3152775" cy="914400"/>
                <wp:effectExtent l="0" t="0" r="28575" b="19050"/>
                <wp:wrapNone/>
                <wp:docPr id="26" name="Cuadro de texto 26"/>
                <wp:cNvGraphicFramePr/>
                <a:graphic xmlns:a="http://schemas.openxmlformats.org/drawingml/2006/main">
                  <a:graphicData uri="http://schemas.microsoft.com/office/word/2010/wordprocessingShape">
                    <wps:wsp>
                      <wps:cNvSpPr txBox="1"/>
                      <wps:spPr>
                        <a:xfrm>
                          <a:off x="0" y="0"/>
                          <a:ext cx="3152775" cy="914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2CC15EA" w14:textId="77777777" w:rsidR="00D71D21" w:rsidRPr="007F6133" w:rsidRDefault="00D71D21" w:rsidP="00EE5787">
                            <w:pPr>
                              <w:jc w:val="center"/>
                              <w:rPr>
                                <w:rFonts w:ascii="Palatino Linotype" w:hAnsi="Palatino Linotype"/>
                                <w:b/>
                              </w:rPr>
                            </w:pPr>
                            <w:r>
                              <w:rPr>
                                <w:rFonts w:ascii="Palatino Linotype" w:hAnsi="Palatino Linotype"/>
                                <w:b/>
                              </w:rPr>
                              <w:t xml:space="preserve">Alexis Tapia Ramírez </w:t>
                            </w:r>
                          </w:p>
                          <w:p w14:paraId="7A7184BA" w14:textId="77777777" w:rsidR="00D71D21" w:rsidRDefault="00D71D21" w:rsidP="00EE5787">
                            <w:pPr>
                              <w:jc w:val="center"/>
                              <w:rPr>
                                <w:rFonts w:ascii="Palatino Linotype" w:hAnsi="Palatino Linotype"/>
                              </w:rPr>
                            </w:pPr>
                            <w:r>
                              <w:rPr>
                                <w:rFonts w:ascii="Palatino Linotype" w:hAnsi="Palatino Linotype"/>
                              </w:rPr>
                              <w:t>Secretario Técnico</w:t>
                            </w:r>
                            <w:r w:rsidRPr="007F6133">
                              <w:rPr>
                                <w:rFonts w:ascii="Palatino Linotype" w:hAnsi="Palatino Linotype"/>
                              </w:rPr>
                              <w:t xml:space="preserve"> del Pleno</w:t>
                            </w:r>
                            <w:r w:rsidRPr="00EF2FC0">
                              <w:rPr>
                                <w:rFonts w:ascii="Palatino Linotype" w:hAnsi="Palatino Linotype"/>
                              </w:rPr>
                              <w:t xml:space="preserve"> </w:t>
                            </w:r>
                          </w:p>
                          <w:p w14:paraId="6FFDC1CA" w14:textId="77777777" w:rsidR="00D71D21" w:rsidRDefault="00D71D21" w:rsidP="00EE5787">
                            <w:pPr>
                              <w:jc w:val="center"/>
                              <w:rPr>
                                <w:rFonts w:ascii="Palatino Linotype" w:hAnsi="Palatino Linotype"/>
                                <w:b/>
                              </w:rPr>
                            </w:pPr>
                            <w:r>
                              <w:rPr>
                                <w:rFonts w:ascii="Palatino Linotype" w:hAnsi="Palatino Linotype"/>
                                <w:b/>
                              </w:rPr>
                              <w:t>(Rúbrica).</w:t>
                            </w:r>
                          </w:p>
                          <w:p w14:paraId="750043B6" w14:textId="77777777" w:rsidR="00D71D21" w:rsidRDefault="00D71D21" w:rsidP="00EE5787">
                            <w:pPr>
                              <w:jc w:val="center"/>
                              <w:rPr>
                                <w:rFonts w:ascii="Palatino Linotype" w:hAnsi="Palatino Linotype"/>
                              </w:rPr>
                            </w:pPr>
                          </w:p>
                          <w:p w14:paraId="26329B86" w14:textId="77777777" w:rsidR="00D71D21" w:rsidRPr="00EF2FC0" w:rsidRDefault="00D71D21" w:rsidP="00EE5787">
                            <w:pPr>
                              <w:jc w:val="center"/>
                              <w:rPr>
                                <w:rFonts w:ascii="Palatino Linotype" w:hAnsi="Palatino Linotype"/>
                              </w:rPr>
                            </w:pPr>
                          </w:p>
                          <w:p w14:paraId="7E8527A3" w14:textId="77777777" w:rsidR="00D71D21" w:rsidRDefault="00D71D21" w:rsidP="00EE57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E7B80" id="Cuadro de texto 26" o:spid="_x0000_s1031" type="#_x0000_t202" style="position:absolute;margin-left:101.55pt;margin-top:18.2pt;width:248.25pt;height:1in;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" fillcolor="white [3201]" strokecolor="white [3212]" strokeweight=".5pt">
                <v:textbox>
                  <w:txbxContent>
                    <w:p w14:paraId="52CC15EA" w14:textId="77777777" w:rsidR="00D71D21" w:rsidRPr="007F6133" w:rsidRDefault="00D71D21" w:rsidP="00EE5787">
                      <w:pPr>
                        <w:jc w:val="center"/>
                        <w:rPr>
                          <w:rFonts w:ascii="Palatino Linotype" w:hAnsi="Palatino Linotype"/>
                          <w:b/>
                        </w:rPr>
                      </w:pPr>
                      <w:r>
                        <w:rPr>
                          <w:rFonts w:ascii="Palatino Linotype" w:hAnsi="Palatino Linotype"/>
                          <w:b/>
                        </w:rPr>
                        <w:t xml:space="preserve">Alexis Tapia Ramírez </w:t>
                      </w:r>
                    </w:p>
                    <w:p w14:paraId="7A7184BA" w14:textId="77777777" w:rsidR="00D71D21" w:rsidRDefault="00D71D21" w:rsidP="00EE5787">
                      <w:pPr>
                        <w:jc w:val="center"/>
                        <w:rPr>
                          <w:rFonts w:ascii="Palatino Linotype" w:hAnsi="Palatino Linotype"/>
                        </w:rPr>
                      </w:pPr>
                      <w:r>
                        <w:rPr>
                          <w:rFonts w:ascii="Palatino Linotype" w:hAnsi="Palatino Linotype"/>
                        </w:rPr>
                        <w:t>Secretario Técnico</w:t>
                      </w:r>
                      <w:r w:rsidRPr="007F6133">
                        <w:rPr>
                          <w:rFonts w:ascii="Palatino Linotype" w:hAnsi="Palatino Linotype"/>
                        </w:rPr>
                        <w:t xml:space="preserve"> del Pleno</w:t>
                      </w:r>
                      <w:r w:rsidRPr="00EF2FC0">
                        <w:rPr>
                          <w:rFonts w:ascii="Palatino Linotype" w:hAnsi="Palatino Linotype"/>
                        </w:rPr>
                        <w:t xml:space="preserve"> </w:t>
                      </w:r>
                    </w:p>
                    <w:p w14:paraId="6FFDC1CA" w14:textId="77777777" w:rsidR="00D71D21" w:rsidRDefault="00D71D21" w:rsidP="00EE5787">
                      <w:pPr>
                        <w:jc w:val="center"/>
                        <w:rPr>
                          <w:rFonts w:ascii="Palatino Linotype" w:hAnsi="Palatino Linotype"/>
                          <w:b/>
                        </w:rPr>
                      </w:pPr>
                      <w:r>
                        <w:rPr>
                          <w:rFonts w:ascii="Palatino Linotype" w:hAnsi="Palatino Linotype"/>
                          <w:b/>
                        </w:rPr>
                        <w:t>(Rúbrica).</w:t>
                      </w:r>
                    </w:p>
                    <w:p w14:paraId="750043B6" w14:textId="77777777" w:rsidR="00D71D21" w:rsidRDefault="00D71D21" w:rsidP="00EE5787">
                      <w:pPr>
                        <w:jc w:val="center"/>
                        <w:rPr>
                          <w:rFonts w:ascii="Palatino Linotype" w:hAnsi="Palatino Linotype"/>
                        </w:rPr>
                      </w:pPr>
                    </w:p>
                    <w:p w14:paraId="26329B86" w14:textId="77777777" w:rsidR="00D71D21" w:rsidRPr="00EF2FC0" w:rsidRDefault="00D71D21" w:rsidP="00EE5787">
                      <w:pPr>
                        <w:jc w:val="center"/>
                        <w:rPr>
                          <w:rFonts w:ascii="Palatino Linotype" w:hAnsi="Palatino Linotype"/>
                        </w:rPr>
                      </w:pPr>
                    </w:p>
                    <w:p w14:paraId="7E8527A3" w14:textId="77777777" w:rsidR="00D71D21" w:rsidRDefault="00D71D21" w:rsidP="00EE5787"/>
                  </w:txbxContent>
                </v:textbox>
                <w10:wrap anchorx="margin"/>
              </v:shape>
            </w:pict>
          </mc:Fallback>
        </mc:AlternateContent>
      </w:r>
    </w:p>
    <w:p w14:paraId="0324C9A2" w14:textId="77777777" w:rsidR="00EE5787" w:rsidRPr="00D54B7D" w:rsidRDefault="00EE5787" w:rsidP="00EE5787">
      <w:pPr>
        <w:spacing w:before="240" w:line="480" w:lineRule="auto"/>
        <w:rPr>
          <w:rFonts w:ascii="Palatino Linotype" w:hAnsi="Palatino Linotype"/>
          <w:b/>
        </w:rPr>
      </w:pPr>
    </w:p>
    <w:p w14:paraId="3557EE9F" w14:textId="77777777" w:rsidR="00EE5787" w:rsidRDefault="00EE5787" w:rsidP="00EE5787">
      <w:pPr>
        <w:tabs>
          <w:tab w:val="left" w:pos="5415"/>
        </w:tabs>
        <w:spacing w:before="240" w:line="360" w:lineRule="auto"/>
        <w:ind w:right="51"/>
        <w:jc w:val="both"/>
        <w:rPr>
          <w:rFonts w:ascii="Palatino Linotype" w:hAnsi="Palatino Linotype" w:cs="Arial"/>
          <w:sz w:val="16"/>
          <w:szCs w:val="16"/>
        </w:rPr>
      </w:pPr>
    </w:p>
    <w:p w14:paraId="1F0674F2" w14:textId="528D19FC" w:rsidR="00EE5787" w:rsidRDefault="00EE5787" w:rsidP="00E531DD">
      <w:pPr>
        <w:tabs>
          <w:tab w:val="left" w:pos="5415"/>
        </w:tabs>
        <w:spacing w:before="240" w:line="360" w:lineRule="auto"/>
        <w:ind w:right="51"/>
        <w:jc w:val="both"/>
        <w:rPr>
          <w:rFonts w:ascii="Palatino Linotype" w:hAnsi="Palatino Linotype" w:cs="Arial"/>
          <w:bCs/>
          <w:sz w:val="16"/>
          <w:szCs w:val="16"/>
          <w:lang w:eastAsia="es-MX"/>
        </w:rPr>
      </w:pPr>
      <w:r w:rsidRPr="0007089E">
        <w:rPr>
          <w:rFonts w:ascii="Palatino Linotype" w:hAnsi="Palatino Linotype" w:cs="Arial"/>
          <w:sz w:val="16"/>
          <w:szCs w:val="16"/>
        </w:rPr>
        <w:t xml:space="preserve">Esta hoja corresponde a la resolución </w:t>
      </w:r>
      <w:r w:rsidRPr="00DF4D67">
        <w:rPr>
          <w:rFonts w:ascii="Palatino Linotype" w:hAnsi="Palatino Linotype" w:cs="Arial"/>
          <w:sz w:val="16"/>
          <w:szCs w:val="16"/>
        </w:rPr>
        <w:t xml:space="preserve">de fecha </w:t>
      </w:r>
      <w:r w:rsidR="000E168D">
        <w:rPr>
          <w:rFonts w:ascii="Palatino Linotype" w:hAnsi="Palatino Linotype" w:cs="Arial"/>
          <w:sz w:val="16"/>
          <w:szCs w:val="16"/>
        </w:rPr>
        <w:t>diecinueve de agosto</w:t>
      </w:r>
      <w:r>
        <w:rPr>
          <w:rFonts w:ascii="Palatino Linotype" w:hAnsi="Palatino Linotype" w:cs="Arial"/>
          <w:sz w:val="16"/>
          <w:szCs w:val="16"/>
        </w:rPr>
        <w:t xml:space="preserve"> de dos mil veinte</w:t>
      </w:r>
      <w:r w:rsidRPr="00DF4D67">
        <w:rPr>
          <w:rFonts w:ascii="Palatino Linotype" w:hAnsi="Palatino Linotype" w:cs="Arial"/>
          <w:sz w:val="16"/>
          <w:szCs w:val="16"/>
        </w:rPr>
        <w:t>, emitida</w:t>
      </w:r>
      <w:r>
        <w:rPr>
          <w:rFonts w:ascii="Palatino Linotype" w:hAnsi="Palatino Linotype" w:cs="Arial"/>
          <w:sz w:val="16"/>
          <w:szCs w:val="16"/>
        </w:rPr>
        <w:t xml:space="preserve"> en el</w:t>
      </w:r>
      <w:r w:rsidRPr="00861BBC">
        <w:rPr>
          <w:rFonts w:ascii="Palatino Linotype" w:hAnsi="Palatino Linotype" w:cs="Arial"/>
          <w:sz w:val="16"/>
          <w:szCs w:val="16"/>
        </w:rPr>
        <w:t xml:space="preserve"> recurso de revisión </w:t>
      </w:r>
      <w:r>
        <w:rPr>
          <w:rFonts w:ascii="Palatino Linotype" w:hAnsi="Palatino Linotype" w:cs="Arial"/>
          <w:sz w:val="16"/>
          <w:szCs w:val="16"/>
        </w:rPr>
        <w:t xml:space="preserve">              </w:t>
      </w:r>
      <w:r>
        <w:rPr>
          <w:rFonts w:ascii="Palatino Linotype" w:hAnsi="Palatino Linotype" w:cs="Arial"/>
          <w:bCs/>
          <w:sz w:val="16"/>
          <w:szCs w:val="16"/>
          <w:lang w:eastAsia="es-MX"/>
        </w:rPr>
        <w:t>0</w:t>
      </w:r>
      <w:r w:rsidR="002C7101">
        <w:rPr>
          <w:rFonts w:ascii="Palatino Linotype" w:hAnsi="Palatino Linotype" w:cs="Arial"/>
          <w:bCs/>
          <w:sz w:val="16"/>
          <w:szCs w:val="16"/>
          <w:lang w:eastAsia="es-MX"/>
        </w:rPr>
        <w:t>1145</w:t>
      </w:r>
      <w:r>
        <w:rPr>
          <w:rFonts w:ascii="Palatino Linotype" w:hAnsi="Palatino Linotype" w:cs="Arial"/>
          <w:bCs/>
          <w:sz w:val="16"/>
          <w:szCs w:val="16"/>
          <w:lang w:eastAsia="es-MX"/>
        </w:rPr>
        <w:t>/INFOEM/IP/RR/2020</w:t>
      </w:r>
    </w:p>
    <w:p w14:paraId="0A2AB7C9" w14:textId="1AD5909E" w:rsidR="000E168D" w:rsidRPr="00EE5787" w:rsidRDefault="000E168D" w:rsidP="00E531DD">
      <w:pPr>
        <w:tabs>
          <w:tab w:val="left" w:pos="5415"/>
        </w:tabs>
        <w:spacing w:before="240" w:line="360" w:lineRule="auto"/>
        <w:ind w:right="51"/>
        <w:jc w:val="both"/>
        <w:rPr>
          <w:rFonts w:ascii="Palatino Linotype" w:hAnsi="Palatino Linotype" w:cs="Arial"/>
        </w:rPr>
      </w:pPr>
      <w:r>
        <w:rPr>
          <w:rFonts w:ascii="Palatino Linotype" w:hAnsi="Palatino Linotype" w:cs="Arial"/>
          <w:bCs/>
          <w:sz w:val="16"/>
          <w:szCs w:val="16"/>
          <w:lang w:eastAsia="es-MX"/>
        </w:rPr>
        <w:t>OSAM/JCMA</w:t>
      </w:r>
    </w:p>
    <w:sectPr w:rsidR="000E168D" w:rsidRPr="00EE5787" w:rsidSect="00FB4AAD">
      <w:headerReference w:type="default" r:id="rId13"/>
      <w:footerReference w:type="default" r:id="rId14"/>
      <w:headerReference w:type="first" r:id="rId15"/>
      <w:footerReference w:type="first" r:id="rId16"/>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2A0316" w14:textId="77777777" w:rsidR="00C55378" w:rsidRDefault="00C55378" w:rsidP="006168E4">
      <w:pPr>
        <w:spacing w:after="0" w:line="240" w:lineRule="auto"/>
      </w:pPr>
      <w:r>
        <w:separator/>
      </w:r>
    </w:p>
  </w:endnote>
  <w:endnote w:type="continuationSeparator" w:id="0">
    <w:p w14:paraId="43773A32" w14:textId="77777777" w:rsidR="00C55378" w:rsidRDefault="00C55378" w:rsidP="00616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08625" w14:textId="77777777" w:rsidR="00D71D21" w:rsidRPr="000B69FA" w:rsidRDefault="00D71D21" w:rsidP="00FB4AA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Pr>
        <w:rFonts w:ascii="Palatino Linotype" w:hAnsi="Palatino Linotype"/>
        <w:bCs/>
        <w:noProof/>
        <w:sz w:val="20"/>
      </w:rPr>
      <w:t>21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Pr>
        <w:rFonts w:ascii="Palatino Linotype" w:hAnsi="Palatino Linotype"/>
        <w:bCs/>
        <w:noProof/>
        <w:sz w:val="20"/>
      </w:rPr>
      <w:t>29</w:t>
    </w:r>
    <w:r w:rsidRPr="000B69FA">
      <w:rPr>
        <w:rFonts w:ascii="Palatino Linotype" w:hAnsi="Palatino Linotype"/>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85C75" w14:textId="77777777" w:rsidR="00D71D21" w:rsidRPr="000B69FA" w:rsidRDefault="00D71D21" w:rsidP="00FB4AA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Pr>
        <w:rFonts w:ascii="Palatino Linotype" w:hAnsi="Palatino Linotype"/>
        <w:bCs/>
        <w:noProof/>
        <w:sz w:val="20"/>
      </w:rPr>
      <w:t>29</w:t>
    </w:r>
    <w:r w:rsidRPr="000B69FA">
      <w:rPr>
        <w:rFonts w:ascii="Palatino Linotype" w:hAnsi="Palatino Linotype"/>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11686" w14:textId="77777777" w:rsidR="00C55378" w:rsidRDefault="00C55378" w:rsidP="006168E4">
      <w:pPr>
        <w:spacing w:after="0" w:line="240" w:lineRule="auto"/>
      </w:pPr>
      <w:r>
        <w:separator/>
      </w:r>
    </w:p>
  </w:footnote>
  <w:footnote w:type="continuationSeparator" w:id="0">
    <w:p w14:paraId="675B529A" w14:textId="77777777" w:rsidR="00C55378" w:rsidRDefault="00C55378" w:rsidP="006168E4">
      <w:pPr>
        <w:spacing w:after="0" w:line="240" w:lineRule="auto"/>
      </w:pPr>
      <w:r>
        <w:continuationSeparator/>
      </w:r>
    </w:p>
  </w:footnote>
  <w:footnote w:id="1">
    <w:p w14:paraId="0A1A1E61" w14:textId="77777777" w:rsidR="00D71D21" w:rsidRPr="005552A8" w:rsidRDefault="00D71D21" w:rsidP="00E45181">
      <w:pPr>
        <w:jc w:val="both"/>
        <w:rPr>
          <w:rFonts w:ascii="Palatino Linotype" w:eastAsia="Times New Roman" w:hAnsi="Palatino Linotype"/>
          <w:b/>
          <w:bCs/>
          <w:i/>
          <w:sz w:val="16"/>
          <w:szCs w:val="16"/>
          <w:lang w:eastAsia="es-MX"/>
        </w:rPr>
      </w:pPr>
      <w:r>
        <w:rPr>
          <w:rStyle w:val="Refdenotaalpie"/>
        </w:rPr>
        <w:footnoteRef/>
      </w:r>
      <w:r>
        <w:t xml:space="preserve"> </w:t>
      </w:r>
      <w:r w:rsidRPr="005552A8">
        <w:rPr>
          <w:rFonts w:ascii="Palatino Linotype" w:hAnsi="Palatino Linotype"/>
          <w:b/>
          <w:bCs/>
          <w:i/>
          <w:sz w:val="16"/>
          <w:szCs w:val="16"/>
        </w:rPr>
        <w:t>IMPROCEDENCIA Y SOBRESEIMIENTO EN EL JUICIO DE AMPARO. LAS CAUSAS PREVISTAS EN LOS ARTÍCULOS 73 Y 74 DE LA LEY DE LA MATERIA, RESPECTIVAMENTE, NO SON INCOMPATIBLES CON EL ARTÍCULO 25.1 DE LA CONVENCIÓN AMERICANA SOBRE DERECHOS HUMANOS.</w:t>
      </w:r>
    </w:p>
    <w:p w14:paraId="270C281C" w14:textId="77777777" w:rsidR="00D71D21" w:rsidRPr="005552A8" w:rsidRDefault="00D71D21" w:rsidP="00E45181">
      <w:pPr>
        <w:jc w:val="both"/>
        <w:rPr>
          <w:rFonts w:ascii="Palatino Linotype" w:hAnsi="Palatino Linotype"/>
          <w:i/>
          <w:sz w:val="16"/>
          <w:szCs w:val="16"/>
        </w:rPr>
      </w:pPr>
      <w:r w:rsidRPr="005552A8">
        <w:rPr>
          <w:rFonts w:ascii="Palatino Linotype" w:hAnsi="Palatino Linotype"/>
          <w:i/>
          <w:sz w:val="16"/>
          <w:szCs w:val="16"/>
        </w:rPr>
        <w:t>Del examen de compatibilidad de los artículos</w:t>
      </w:r>
      <w:r w:rsidRPr="005552A8">
        <w:rPr>
          <w:rStyle w:val="apple-converted-space"/>
          <w:rFonts w:ascii="Palatino Linotype" w:hAnsi="Palatino Linotype"/>
          <w:i/>
          <w:sz w:val="16"/>
          <w:szCs w:val="16"/>
        </w:rPr>
        <w:t> </w:t>
      </w:r>
      <w:hyperlink r:id="rId1" w:history="1">
        <w:r w:rsidRPr="005552A8">
          <w:rPr>
            <w:rStyle w:val="Hipervnculo"/>
            <w:rFonts w:ascii="Palatino Linotype" w:hAnsi="Palatino Linotype"/>
            <w:i/>
            <w:sz w:val="16"/>
            <w:szCs w:val="16"/>
          </w:rPr>
          <w:t>73 y 74 de la Ley de Amparo</w:t>
        </w:r>
      </w:hyperlink>
      <w:r w:rsidRPr="005552A8">
        <w:rPr>
          <w:rStyle w:val="apple-converted-space"/>
          <w:rFonts w:ascii="Palatino Linotype" w:hAnsi="Palatino Linotype"/>
          <w:i/>
          <w:sz w:val="16"/>
          <w:szCs w:val="16"/>
        </w:rPr>
        <w:t> </w:t>
      </w:r>
      <w:r w:rsidRPr="005552A8">
        <w:rPr>
          <w:rFonts w:ascii="Palatino Linotype" w:hAnsi="Palatino Linotype"/>
          <w:i/>
          <w:sz w:val="16"/>
          <w:szCs w:val="16"/>
        </w:rPr>
        <w:t>con el artículo</w:t>
      </w:r>
      <w:r w:rsidRPr="005552A8">
        <w:rPr>
          <w:rStyle w:val="apple-converted-space"/>
          <w:rFonts w:ascii="Palatino Linotype" w:hAnsi="Palatino Linotype"/>
          <w:i/>
          <w:sz w:val="16"/>
          <w:szCs w:val="16"/>
        </w:rPr>
        <w:t> </w:t>
      </w:r>
      <w:hyperlink r:id="rId2" w:history="1">
        <w:r w:rsidRPr="005552A8">
          <w:rPr>
            <w:rStyle w:val="Hipervnculo"/>
            <w:rFonts w:ascii="Palatino Linotype" w:hAnsi="Palatino Linotype"/>
            <w:i/>
            <w:sz w:val="16"/>
            <w:szCs w:val="16"/>
          </w:rPr>
          <w:t>25.1 de la Convención Americana sobre Derechos Humanos</w:t>
        </w:r>
      </w:hyperlink>
      <w:r w:rsidRPr="005552A8">
        <w:rPr>
          <w:rStyle w:val="apple-converted-space"/>
          <w:rFonts w:ascii="Palatino Linotype" w:hAnsi="Palatino Linotype"/>
          <w:i/>
          <w:sz w:val="16"/>
          <w:szCs w:val="16"/>
        </w:rPr>
        <w:t> </w:t>
      </w:r>
      <w:r w:rsidRPr="005552A8">
        <w:rPr>
          <w:rFonts w:ascii="Palatino Linotype" w:hAnsi="Palatino Linotype"/>
          <w:b/>
          <w:i/>
          <w:sz w:val="16"/>
          <w:szCs w:val="16"/>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5552A8">
        <w:rPr>
          <w:rFonts w:ascii="Palatino Linotype" w:hAnsi="Palatino Linotype"/>
          <w:i/>
          <w:sz w:val="16"/>
          <w:szCs w:val="16"/>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concesoria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footnote>
  <w:footnote w:id="2">
    <w:p w14:paraId="05840647" w14:textId="77777777" w:rsidR="00D71D21" w:rsidRDefault="00D71D21" w:rsidP="00D71D21">
      <w:pPr>
        <w:pStyle w:val="Textonotapie"/>
        <w:jc w:val="both"/>
      </w:pPr>
      <w:r>
        <w:rPr>
          <w:rStyle w:val="Refdenotaalpie"/>
        </w:rPr>
        <w:footnoteRef/>
      </w:r>
      <w:r>
        <w:t xml:space="preserve"> </w:t>
      </w:r>
      <w:r w:rsidRPr="00BE033D">
        <w:rPr>
          <w:rFonts w:ascii="Palatino Linotype" w:hAnsi="Palatino Linotype"/>
          <w:sz w:val="16"/>
          <w:szCs w:val="16"/>
        </w:rPr>
        <w:t>Artículos 129 y 134, último párrafo de la Ley de Transparencia y Acceso a la Información Pública del Estado de México y Municipios, en relación con los diversos 104 y 108, último párrafo, de la Ley General de Transparencia y Acceso a la Información Pública.</w:t>
      </w:r>
    </w:p>
  </w:footnote>
  <w:footnote w:id="3">
    <w:p w14:paraId="34F17516" w14:textId="77777777" w:rsidR="00D71D21" w:rsidRDefault="00D71D21" w:rsidP="00D71D21">
      <w:pPr>
        <w:pStyle w:val="Textonotapie"/>
        <w:jc w:val="both"/>
      </w:pPr>
      <w:r>
        <w:rPr>
          <w:rStyle w:val="Refdenotaalpie"/>
        </w:rPr>
        <w:footnoteRef/>
      </w:r>
      <w:r>
        <w:t xml:space="preserve"> </w:t>
      </w:r>
      <w:r w:rsidRPr="003F34E5">
        <w:rPr>
          <w:sz w:val="16"/>
          <w:szCs w:val="16"/>
        </w:rPr>
        <w:t>Sergio López Ayllón y Alejandro Posadas. “Las pruebas de Daño e Interés Público en materia de acceso a la información. Una perspectiva comparada” en Derecho comparada de la Información, enero-junio de 2007.</w:t>
      </w:r>
    </w:p>
  </w:footnote>
  <w:footnote w:id="4">
    <w:p w14:paraId="2E2595AD"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3" w:anchor="/entry-id/E216930" w:history="1">
        <w:r w:rsidRPr="000553F9">
          <w:rPr>
            <w:rStyle w:val="Hipervnculo"/>
            <w:color w:val="000000" w:themeColor="text1"/>
          </w:rPr>
          <w:t>http://dej.rae.es/#/entry-id/E216930</w:t>
        </w:r>
      </w:hyperlink>
      <w:r w:rsidRPr="000553F9">
        <w:rPr>
          <w:color w:val="000000" w:themeColor="text1"/>
        </w:rPr>
        <w:t xml:space="preserve"> </w:t>
      </w:r>
    </w:p>
  </w:footnote>
  <w:footnote w:id="5">
    <w:p w14:paraId="72EBC8AA"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4" w:anchor="/entry-id/E87450" w:history="1">
        <w:r w:rsidRPr="000553F9">
          <w:rPr>
            <w:rStyle w:val="Hipervnculo"/>
            <w:color w:val="000000" w:themeColor="text1"/>
          </w:rPr>
          <w:t>http://dej.rae.es/#/entry-id/E87450</w:t>
        </w:r>
      </w:hyperlink>
      <w:r w:rsidRPr="000553F9">
        <w:rPr>
          <w:color w:val="000000" w:themeColor="text1"/>
        </w:rPr>
        <w:t xml:space="preserve"> </w:t>
      </w:r>
    </w:p>
  </w:footnote>
  <w:footnote w:id="6">
    <w:p w14:paraId="5A7E1226"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5" w:history="1">
        <w:r w:rsidRPr="000553F9">
          <w:rPr>
            <w:rStyle w:val="Hipervnculo"/>
            <w:color w:val="000000" w:themeColor="text1"/>
          </w:rPr>
          <w:t>http://dle.rae.es/?id=VGqyuLj|VGtxgAo|VGuc9Wg</w:t>
        </w:r>
      </w:hyperlink>
      <w:r w:rsidRPr="000553F9">
        <w:rPr>
          <w:color w:val="000000" w:themeColor="text1"/>
        </w:rPr>
        <w:t xml:space="preserve"> </w:t>
      </w:r>
    </w:p>
  </w:footnote>
  <w:footnote w:id="7">
    <w:p w14:paraId="318B2754"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6" w:history="1">
        <w:r w:rsidRPr="000553F9">
          <w:rPr>
            <w:rStyle w:val="Hipervnculo"/>
            <w:color w:val="000000" w:themeColor="text1"/>
          </w:rPr>
          <w:t>http://dle.rae.es/?id=CAjNzMR</w:t>
        </w:r>
      </w:hyperlink>
      <w:r w:rsidRPr="000553F9">
        <w:rPr>
          <w:color w:val="000000" w:themeColor="text1"/>
        </w:rPr>
        <w:t xml:space="preserve"> </w:t>
      </w:r>
    </w:p>
  </w:footnote>
  <w:footnote w:id="8">
    <w:p w14:paraId="42708E18"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7" w:history="1">
        <w:r w:rsidRPr="000553F9">
          <w:rPr>
            <w:rStyle w:val="Hipervnculo"/>
            <w:color w:val="000000" w:themeColor="text1"/>
          </w:rPr>
          <w:t>http://dle.rae.es/?id=CAqWkEB</w:t>
        </w:r>
      </w:hyperlink>
      <w:r w:rsidRPr="000553F9">
        <w:rPr>
          <w:color w:val="000000" w:themeColor="text1"/>
        </w:rPr>
        <w:t xml:space="preserve"> </w:t>
      </w:r>
    </w:p>
  </w:footnote>
  <w:footnote w:id="9">
    <w:p w14:paraId="7307FA9E" w14:textId="77777777" w:rsidR="00D71D21" w:rsidRPr="000553F9" w:rsidRDefault="00D71D21" w:rsidP="00D71D21">
      <w:pPr>
        <w:pStyle w:val="Textonotapie"/>
        <w:jc w:val="both"/>
        <w:rPr>
          <w:color w:val="000000" w:themeColor="text1"/>
          <w:lang w:val="es-ES"/>
        </w:rPr>
      </w:pPr>
      <w:r w:rsidRPr="000553F9">
        <w:rPr>
          <w:rStyle w:val="Refdenotaalpie"/>
          <w:color w:val="000000" w:themeColor="text1"/>
        </w:rPr>
        <w:footnoteRef/>
      </w:r>
      <w:r w:rsidRPr="000553F9">
        <w:rPr>
          <w:color w:val="000000" w:themeColor="text1"/>
        </w:rPr>
        <w:t xml:space="preserve"> </w:t>
      </w:r>
      <w:hyperlink r:id="rId8" w:history="1">
        <w:r w:rsidRPr="000553F9">
          <w:rPr>
            <w:rStyle w:val="Hipervnculo"/>
            <w:color w:val="000000" w:themeColor="text1"/>
          </w:rPr>
          <w:t>http://dle.rae.es/?id=KtnHLLd</w:t>
        </w:r>
      </w:hyperlink>
      <w:r w:rsidRPr="000553F9">
        <w:rPr>
          <w:color w:val="000000" w:themeColor="text1"/>
        </w:rPr>
        <w:t xml:space="preserve"> </w:t>
      </w:r>
    </w:p>
  </w:footnote>
  <w:footnote w:id="10">
    <w:p w14:paraId="14267FAE" w14:textId="77777777" w:rsidR="00D71D21" w:rsidRPr="000406A4" w:rsidRDefault="00D71D21" w:rsidP="00D71D21">
      <w:pPr>
        <w:pStyle w:val="Textonotapie"/>
        <w:jc w:val="both"/>
        <w:rPr>
          <w:lang w:val="es-ES"/>
        </w:rPr>
      </w:pPr>
      <w:r w:rsidRPr="000553F9">
        <w:rPr>
          <w:rStyle w:val="Refdenotaalpie"/>
          <w:color w:val="000000" w:themeColor="text1"/>
        </w:rPr>
        <w:footnoteRef/>
      </w:r>
      <w:r w:rsidRPr="000553F9">
        <w:rPr>
          <w:color w:val="000000" w:themeColor="text1"/>
        </w:rPr>
        <w:t xml:space="preserve"> </w:t>
      </w:r>
      <w:hyperlink r:id="rId9" w:history="1">
        <w:r w:rsidRPr="000553F9">
          <w:rPr>
            <w:rStyle w:val="Hipervnculo"/>
            <w:color w:val="000000" w:themeColor="text1"/>
          </w:rPr>
          <w:t>http://dle.rae.es/?id=KtpfgjV</w:t>
        </w:r>
      </w:hyperlink>
      <w:r w:rsidRPr="000553F9">
        <w:rPr>
          <w:color w:val="000000" w:themeColor="text1"/>
        </w:rPr>
        <w:t xml:space="preserve"> </w:t>
      </w:r>
    </w:p>
  </w:footnote>
  <w:footnote w:id="11">
    <w:p w14:paraId="23FCE87D" w14:textId="77777777" w:rsidR="00D71D21" w:rsidRPr="00D75A73" w:rsidRDefault="00D71D21" w:rsidP="00D71D21">
      <w:pPr>
        <w:jc w:val="both"/>
        <w:rPr>
          <w:rFonts w:ascii="Palatino Linotype" w:eastAsia="Times New Roman" w:hAnsi="Palatino Linotype" w:cs="Times New Roman"/>
          <w:color w:val="000000" w:themeColor="text1"/>
          <w:sz w:val="16"/>
          <w:szCs w:val="16"/>
          <w:lang w:val="es-ES_tradnl" w:eastAsia="es-ES_tradnl"/>
        </w:rPr>
      </w:pPr>
      <w:r w:rsidRPr="00D75A73">
        <w:rPr>
          <w:rStyle w:val="Refdenotaalpie"/>
          <w:rFonts w:ascii="Palatino Linotype" w:hAnsi="Palatino Linotype"/>
          <w:color w:val="000000" w:themeColor="text1"/>
          <w:sz w:val="16"/>
          <w:szCs w:val="16"/>
        </w:rPr>
        <w:footnoteRef/>
      </w:r>
      <w:r w:rsidRPr="00D75A73">
        <w:rPr>
          <w:rFonts w:ascii="Palatino Linotype" w:hAnsi="Palatino Linotype"/>
          <w:color w:val="000000" w:themeColor="text1"/>
          <w:sz w:val="16"/>
          <w:szCs w:val="16"/>
        </w:rPr>
        <w:t xml:space="preserve"> </w:t>
      </w:r>
      <w:r w:rsidRPr="00D75A73">
        <w:rPr>
          <w:rFonts w:ascii="Palatino Linotype" w:hAnsi="Palatino Linotype"/>
          <w:color w:val="000000" w:themeColor="text1"/>
          <w:sz w:val="16"/>
          <w:szCs w:val="16"/>
          <w:lang w:val="es-ES"/>
        </w:rPr>
        <w:t>“</w:t>
      </w:r>
      <w:r w:rsidRPr="00D75A73">
        <w:rPr>
          <w:rFonts w:ascii="Palatino Linotype" w:eastAsia="Times New Roman" w:hAnsi="Palatino Linotype" w:cs="Arial"/>
          <w:color w:val="000000" w:themeColor="text1"/>
          <w:sz w:val="16"/>
          <w:szCs w:val="16"/>
          <w:lang w:val="es-ES_tradnl" w:eastAsia="es-ES_tradnl"/>
        </w:rPr>
        <w:t>En las sentencias C-093 de 2001 y C-671 de 2001, se explicó el alcance de este tipo de escrutinio, denominado test integrado de igualdad: "[a] fin de determinar si el trato discriminatorio vulnera el derecho fundamental a la igualdad, la Corte ha elaborado un modelo de análisis que integra el juicio de proporcionalidad y el test de igualdad. Lo que en este modelo se hace, básicamente, es retomar y armonizar los elementos del test o juicio de proporcionalidad europeo con los aportes de la tendencia estadounidense. Así, se emplean las etapas metodológicas del test europeo, que comprende las siguientes fases de análisis: (i) se examina si la medida es o no adecuada, es decir, si constituye o no un medio idóneo para alcanzar un fin constitucionalmente válido; (ii) se analiza si el trato diferente es o no necesario o indispensable; y (iii) se realiza un análisis de proporcionalidad en estricto sentido, para determinar si el trato desigual no sacrifica valores y principios constitucionales que tengan mayor relevancia que los alcanzados con la medida diferencia. De otra parte, se toman los distintos niveles de intensidad en la aplicación de los escrutinios o tests de igualdad. Dichos niveles pueden variar entre (i) estricto, en el cual el trato diferente debe constituir una medida necesaria para alcanzar un objetivo constitucionalmente imperioso; (ii) intermedio, es aquel en el cual el fin debe ser importante constitucionalmente y el medio debe ser altamente conducente para lograr el fin propuesto; y (iii) flexible o de mera razonabilidad, es decir que es suficiente con que la medida sea potencialmente adecuada para alcanzar un propósito que no esté prohibido por el ordenamiento. Lo anterior debe tener aplicación, según el carácter de la disposición legislativa o la medida administrativa atacada". El test integrado fue aplicado en un caso de discriminación por VIH en la sentencia T-376 de 2013.” Citado en Corte Interamericana de Derechos Humanos. Caso Gonzales Lluy y otros contra Ecuador. Excepciones preliminares, fondo, reparaciones y costas. Sentencia del 01 de septiembre de 2015. Párr. 256.  </w:t>
      </w:r>
    </w:p>
  </w:footnote>
  <w:footnote w:id="12">
    <w:p w14:paraId="386FD8AE" w14:textId="77777777" w:rsidR="00D71D21" w:rsidRPr="00D75A73" w:rsidRDefault="00D71D21" w:rsidP="00D71D21">
      <w:pPr>
        <w:pStyle w:val="Textonotapie"/>
        <w:rPr>
          <w:rFonts w:ascii="Palatino Linotype" w:hAnsi="Palatino Linotype"/>
          <w:color w:val="000000" w:themeColor="text1"/>
          <w:sz w:val="16"/>
          <w:szCs w:val="16"/>
          <w:lang w:val="es-ES"/>
        </w:rPr>
      </w:pPr>
      <w:r w:rsidRPr="00D75A73">
        <w:rPr>
          <w:rStyle w:val="Refdenotaalpie"/>
          <w:rFonts w:ascii="Palatino Linotype" w:hAnsi="Palatino Linotype"/>
          <w:color w:val="000000" w:themeColor="text1"/>
          <w:sz w:val="16"/>
          <w:szCs w:val="16"/>
        </w:rPr>
        <w:footnoteRef/>
      </w:r>
      <w:r w:rsidRPr="00D75A73">
        <w:rPr>
          <w:rFonts w:ascii="Palatino Linotype" w:hAnsi="Palatino Linotype"/>
          <w:color w:val="000000" w:themeColor="text1"/>
          <w:sz w:val="16"/>
          <w:szCs w:val="16"/>
        </w:rPr>
        <w:t xml:space="preserve"> </w:t>
      </w:r>
      <w:r w:rsidRPr="00D75A73">
        <w:rPr>
          <w:rFonts w:ascii="Palatino Linotype" w:hAnsi="Palatino Linotype"/>
          <w:color w:val="000000" w:themeColor="text1"/>
          <w:sz w:val="16"/>
          <w:szCs w:val="16"/>
          <w:lang w:val="es-ES"/>
        </w:rPr>
        <w:t>Tribunal Constitucional Alemán. Resolución sobre los soldados son asesinos, de 10 de octubre de 1995 (BVerfGE 93, 266). En ALÁEZ CORRAL, Benito y ÁLVAREZ ÁLVAREZ, Leonardo. Las decisiones básicas del Tribunal Constitucional Federal Alemán en las encrucijadas del cambio de milenio. Ed. Centro de Estudios Políticos y Constitucionales y boletín oficial del Estado, Madrid, 2008. Pp. 1045-1096.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43EEC" w14:textId="77777777" w:rsidR="00D71D21" w:rsidRDefault="00D71D21">
    <w:pPr>
      <w:pStyle w:val="Encabezado"/>
    </w:pPr>
  </w:p>
  <w:tbl>
    <w:tblPr>
      <w:tblW w:w="10065" w:type="dxa"/>
      <w:tblInd w:w="-85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5529"/>
      <w:gridCol w:w="4536"/>
    </w:tblGrid>
    <w:tr w:rsidR="00D71D21" w14:paraId="49E2D54C" w14:textId="77777777" w:rsidTr="00964F9E">
      <w:trPr>
        <w:trHeight w:val="227"/>
      </w:trPr>
      <w:tc>
        <w:tcPr>
          <w:tcW w:w="5529" w:type="dxa"/>
          <w:hideMark/>
        </w:tcPr>
        <w:p w14:paraId="76EE969C" w14:textId="77777777" w:rsidR="00D71D21" w:rsidRDefault="00D71D21" w:rsidP="009A686F">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14:paraId="3A14C553" w14:textId="12B85133" w:rsidR="00D71D21" w:rsidRPr="00B4142F" w:rsidRDefault="00D71D21" w:rsidP="001A5522">
          <w:pPr>
            <w:spacing w:after="120" w:line="256" w:lineRule="auto"/>
            <w:ind w:left="639" w:right="214"/>
            <w:jc w:val="both"/>
            <w:rPr>
              <w:rFonts w:ascii="Palatino Linotype" w:hAnsi="Palatino Linotype" w:cs="Arial"/>
              <w:szCs w:val="20"/>
            </w:rPr>
          </w:pPr>
          <w:r>
            <w:rPr>
              <w:rFonts w:ascii="Palatino Linotype" w:hAnsi="Palatino Linotype" w:cs="Arial"/>
              <w:bCs/>
              <w:sz w:val="24"/>
              <w:lang w:eastAsia="es-MX"/>
            </w:rPr>
            <w:t>01145/INFOEM/IP/RR/2020</w:t>
          </w:r>
        </w:p>
      </w:tc>
    </w:tr>
    <w:tr w:rsidR="00D71D21" w14:paraId="6F642326" w14:textId="77777777" w:rsidTr="00964F9E">
      <w:trPr>
        <w:trHeight w:val="242"/>
      </w:trPr>
      <w:tc>
        <w:tcPr>
          <w:tcW w:w="5529" w:type="dxa"/>
          <w:hideMark/>
        </w:tcPr>
        <w:p w14:paraId="1E1D9DC7" w14:textId="77777777" w:rsidR="00D71D21" w:rsidRDefault="00D71D21" w:rsidP="009A686F">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14:paraId="713A949C" w14:textId="77BEC465" w:rsidR="00D71D21" w:rsidRPr="00F06FED" w:rsidRDefault="00D71D21" w:rsidP="00321C7E">
          <w:pPr>
            <w:spacing w:after="120" w:line="256" w:lineRule="auto"/>
            <w:ind w:left="639" w:right="214"/>
            <w:jc w:val="both"/>
            <w:rPr>
              <w:rFonts w:ascii="Palatino Linotype" w:hAnsi="Palatino Linotype" w:cs="Arial"/>
            </w:rPr>
          </w:pPr>
          <w:r>
            <w:rPr>
              <w:rFonts w:ascii="Palatino Linotype" w:hAnsi="Palatino Linotype" w:cs="Arial"/>
              <w:szCs w:val="20"/>
            </w:rPr>
            <w:t>Secretaría del Medio Ambiente</w:t>
          </w:r>
        </w:p>
      </w:tc>
    </w:tr>
    <w:tr w:rsidR="00D71D21" w14:paraId="58B89F42" w14:textId="77777777" w:rsidTr="00964F9E">
      <w:trPr>
        <w:trHeight w:val="342"/>
      </w:trPr>
      <w:tc>
        <w:tcPr>
          <w:tcW w:w="5529" w:type="dxa"/>
          <w:hideMark/>
        </w:tcPr>
        <w:p w14:paraId="6FA55A05" w14:textId="77777777" w:rsidR="00D71D21" w:rsidRDefault="00D71D21" w:rsidP="009A686F">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14:paraId="357B5D57" w14:textId="77777777" w:rsidR="00D71D21" w:rsidRDefault="00D71D21" w:rsidP="009A686F">
          <w:pPr>
            <w:spacing w:after="120" w:line="256" w:lineRule="auto"/>
            <w:ind w:left="497" w:right="214" w:firstLine="142"/>
            <w:jc w:val="both"/>
            <w:rPr>
              <w:rFonts w:ascii="Palatino Linotype" w:hAnsi="Palatino Linotype" w:cs="Arial"/>
              <w:szCs w:val="20"/>
            </w:rPr>
          </w:pPr>
          <w:r>
            <w:rPr>
              <w:rFonts w:ascii="Palatino Linotype" w:hAnsi="Palatino Linotype" w:cs="Arial"/>
              <w:szCs w:val="20"/>
            </w:rPr>
            <w:t>Zulema Martínez Sánchez</w:t>
          </w:r>
        </w:p>
      </w:tc>
    </w:tr>
  </w:tbl>
  <w:p w14:paraId="3DC279D9" w14:textId="77777777" w:rsidR="00D71D21" w:rsidRDefault="00D71D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85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4A0" w:firstRow="1" w:lastRow="0" w:firstColumn="1" w:lastColumn="0" w:noHBand="0" w:noVBand="1"/>
    </w:tblPr>
    <w:tblGrid>
      <w:gridCol w:w="5529"/>
      <w:gridCol w:w="4536"/>
    </w:tblGrid>
    <w:tr w:rsidR="00D71D21" w14:paraId="7E869E4A" w14:textId="77777777" w:rsidTr="00964F9E">
      <w:trPr>
        <w:trHeight w:val="227"/>
      </w:trPr>
      <w:tc>
        <w:tcPr>
          <w:tcW w:w="5529" w:type="dxa"/>
          <w:hideMark/>
        </w:tcPr>
        <w:p w14:paraId="00255304" w14:textId="77777777" w:rsidR="00D71D21" w:rsidRDefault="00D71D21" w:rsidP="00FB4AAD">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14:paraId="32EE6432" w14:textId="78618BB6" w:rsidR="00D71D21" w:rsidRPr="00B4142F" w:rsidRDefault="00D71D21" w:rsidP="001A5522">
          <w:pPr>
            <w:spacing w:after="120" w:line="256" w:lineRule="auto"/>
            <w:ind w:left="639" w:right="214"/>
            <w:jc w:val="both"/>
            <w:rPr>
              <w:rFonts w:ascii="Palatino Linotype" w:hAnsi="Palatino Linotype" w:cs="Arial"/>
              <w:szCs w:val="20"/>
            </w:rPr>
          </w:pPr>
          <w:r>
            <w:rPr>
              <w:rFonts w:ascii="Palatino Linotype" w:hAnsi="Palatino Linotype" w:cs="Arial"/>
              <w:bCs/>
              <w:sz w:val="24"/>
              <w:lang w:eastAsia="es-MX"/>
            </w:rPr>
            <w:t xml:space="preserve">01145/INFOEM/IP/RR/2020 </w:t>
          </w:r>
        </w:p>
      </w:tc>
    </w:tr>
    <w:tr w:rsidR="00D71D21" w14:paraId="2F475565" w14:textId="77777777" w:rsidTr="00964F9E">
      <w:trPr>
        <w:trHeight w:val="196"/>
      </w:trPr>
      <w:tc>
        <w:tcPr>
          <w:tcW w:w="5529" w:type="dxa"/>
          <w:hideMark/>
        </w:tcPr>
        <w:p w14:paraId="0D737A17" w14:textId="6B5976A3" w:rsidR="00D71D21" w:rsidRDefault="00D71D21" w:rsidP="00FB4AAD">
          <w:pPr>
            <w:spacing w:after="120" w:line="256" w:lineRule="auto"/>
            <w:ind w:right="204"/>
            <w:jc w:val="right"/>
            <w:rPr>
              <w:rFonts w:ascii="Palatino Linotype" w:hAnsi="Palatino Linotype" w:cs="Arial"/>
              <w:b/>
              <w:szCs w:val="20"/>
            </w:rPr>
          </w:pPr>
        </w:p>
      </w:tc>
      <w:tc>
        <w:tcPr>
          <w:tcW w:w="4536" w:type="dxa"/>
          <w:hideMark/>
        </w:tcPr>
        <w:p w14:paraId="221F8BEA" w14:textId="677F2F41" w:rsidR="00D71D21" w:rsidRPr="00F06FED" w:rsidRDefault="008951D6" w:rsidP="00CC0C5F">
          <w:pPr>
            <w:spacing w:after="120" w:line="256" w:lineRule="auto"/>
            <w:ind w:left="639" w:right="214"/>
            <w:jc w:val="both"/>
            <w:rPr>
              <w:rFonts w:ascii="Palatino Linotype" w:hAnsi="Palatino Linotype" w:cs="Arial"/>
            </w:rPr>
          </w:pPr>
          <w:r>
            <w:rPr>
              <w:rFonts w:ascii="Palatino Linotype" w:hAnsi="Palatino Linotype" w:cs="Arial"/>
            </w:rPr>
            <w:t>XXXXXXXXXXXXXXXXX</w:t>
          </w:r>
          <w:r w:rsidR="00D71D21">
            <w:rPr>
              <w:rFonts w:ascii="Palatino Linotype" w:hAnsi="Palatino Linotype" w:cs="Arial"/>
            </w:rPr>
            <w:t xml:space="preserve"> </w:t>
          </w:r>
        </w:p>
      </w:tc>
    </w:tr>
    <w:tr w:rsidR="00D71D21" w14:paraId="72BD4D7B" w14:textId="77777777" w:rsidTr="00964F9E">
      <w:trPr>
        <w:trHeight w:val="242"/>
      </w:trPr>
      <w:tc>
        <w:tcPr>
          <w:tcW w:w="5529" w:type="dxa"/>
          <w:hideMark/>
        </w:tcPr>
        <w:p w14:paraId="5EA3BECF" w14:textId="77777777" w:rsidR="00D71D21" w:rsidRDefault="00D71D21" w:rsidP="00FB4AAD">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14:paraId="4ADBF11A" w14:textId="104A22E4" w:rsidR="00D71D21" w:rsidRDefault="00D71D21" w:rsidP="00321C7E">
          <w:pPr>
            <w:spacing w:after="120" w:line="256" w:lineRule="auto"/>
            <w:ind w:left="639" w:right="214"/>
            <w:jc w:val="both"/>
            <w:rPr>
              <w:rFonts w:ascii="Palatino Linotype" w:hAnsi="Palatino Linotype" w:cs="Arial"/>
              <w:szCs w:val="20"/>
            </w:rPr>
          </w:pPr>
          <w:r>
            <w:rPr>
              <w:rFonts w:ascii="Palatino Linotype" w:hAnsi="Palatino Linotype" w:cs="Arial"/>
              <w:szCs w:val="20"/>
            </w:rPr>
            <w:t>Secretaría del Medio Ambiente</w:t>
          </w:r>
        </w:p>
      </w:tc>
    </w:tr>
    <w:tr w:rsidR="00D71D21" w14:paraId="786E8402" w14:textId="77777777" w:rsidTr="00964F9E">
      <w:trPr>
        <w:trHeight w:val="342"/>
      </w:trPr>
      <w:tc>
        <w:tcPr>
          <w:tcW w:w="5529" w:type="dxa"/>
          <w:hideMark/>
        </w:tcPr>
        <w:p w14:paraId="63525C1F" w14:textId="77777777" w:rsidR="00D71D21" w:rsidRDefault="00D71D21" w:rsidP="00FB4AAD">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14:paraId="69A4F597" w14:textId="77777777" w:rsidR="00D71D21" w:rsidRDefault="00D71D21" w:rsidP="007D1F15">
          <w:pPr>
            <w:spacing w:after="120" w:line="256" w:lineRule="auto"/>
            <w:ind w:left="639" w:right="214"/>
            <w:jc w:val="both"/>
            <w:rPr>
              <w:rFonts w:ascii="Palatino Linotype" w:hAnsi="Palatino Linotype" w:cs="Arial"/>
              <w:szCs w:val="20"/>
            </w:rPr>
          </w:pPr>
          <w:r>
            <w:rPr>
              <w:rFonts w:ascii="Palatino Linotype" w:hAnsi="Palatino Linotype" w:cs="Arial"/>
              <w:szCs w:val="20"/>
            </w:rPr>
            <w:t>Zulema Martínez Sánchez</w:t>
          </w:r>
        </w:p>
      </w:tc>
    </w:tr>
  </w:tbl>
  <w:p w14:paraId="42CB3EFB" w14:textId="77777777" w:rsidR="00D71D21" w:rsidRDefault="00D71D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0DA"/>
    <w:multiLevelType w:val="hybridMultilevel"/>
    <w:tmpl w:val="C05ABC0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3035CB"/>
    <w:multiLevelType w:val="hybridMultilevel"/>
    <w:tmpl w:val="F5905F2C"/>
    <w:lvl w:ilvl="0" w:tplc="080A0001">
      <w:start w:val="1"/>
      <w:numFmt w:val="bullet"/>
      <w:lvlText w:val=""/>
      <w:lvlJc w:val="left"/>
      <w:pPr>
        <w:ind w:left="786" w:hanging="360"/>
      </w:pPr>
      <w:rPr>
        <w:rFonts w:ascii="Symbol" w:hAnsi="Symbo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2" w15:restartNumberingAfterBreak="0">
    <w:nsid w:val="08683A06"/>
    <w:multiLevelType w:val="hybridMultilevel"/>
    <w:tmpl w:val="79FC247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C8917E4"/>
    <w:multiLevelType w:val="hybridMultilevel"/>
    <w:tmpl w:val="99EEC7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D1939E5"/>
    <w:multiLevelType w:val="hybridMultilevel"/>
    <w:tmpl w:val="FB70B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F5258"/>
    <w:multiLevelType w:val="hybridMultilevel"/>
    <w:tmpl w:val="FB70B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82F53"/>
    <w:multiLevelType w:val="hybridMultilevel"/>
    <w:tmpl w:val="F10853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C66A0F"/>
    <w:multiLevelType w:val="hybridMultilevel"/>
    <w:tmpl w:val="AD9237A8"/>
    <w:lvl w:ilvl="0" w:tplc="DA5473EC">
      <w:start w:val="1"/>
      <w:numFmt w:val="lowerLetter"/>
      <w:lvlText w:val="%1)"/>
      <w:lvlJc w:val="left"/>
      <w:pPr>
        <w:ind w:left="1571" w:hanging="360"/>
      </w:pPr>
      <w:rPr>
        <w:rFonts w:hint="default"/>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8" w15:restartNumberingAfterBreak="0">
    <w:nsid w:val="15562F0A"/>
    <w:multiLevelType w:val="hybridMultilevel"/>
    <w:tmpl w:val="8D7AFA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6974471"/>
    <w:multiLevelType w:val="hybridMultilevel"/>
    <w:tmpl w:val="D03874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7B07799"/>
    <w:multiLevelType w:val="hybridMultilevel"/>
    <w:tmpl w:val="C95692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8A2BEF"/>
    <w:multiLevelType w:val="hybridMultilevel"/>
    <w:tmpl w:val="4AD0926E"/>
    <w:lvl w:ilvl="0" w:tplc="EBFCCE0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E7654D8"/>
    <w:multiLevelType w:val="hybridMultilevel"/>
    <w:tmpl w:val="CDB8B7E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F687D89"/>
    <w:multiLevelType w:val="hybridMultilevel"/>
    <w:tmpl w:val="AB2665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6123394"/>
    <w:multiLevelType w:val="hybridMultilevel"/>
    <w:tmpl w:val="771CEE82"/>
    <w:lvl w:ilvl="0" w:tplc="F2AC59C0">
      <w:start w:val="1"/>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268F7AAB"/>
    <w:multiLevelType w:val="hybridMultilevel"/>
    <w:tmpl w:val="A9C44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7121B10"/>
    <w:multiLevelType w:val="hybridMultilevel"/>
    <w:tmpl w:val="2638B5B2"/>
    <w:lvl w:ilvl="0" w:tplc="90AEF77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3981A33"/>
    <w:multiLevelType w:val="hybridMultilevel"/>
    <w:tmpl w:val="86EC91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50D9B"/>
    <w:multiLevelType w:val="hybridMultilevel"/>
    <w:tmpl w:val="BE8A5C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6D55F7"/>
    <w:multiLevelType w:val="hybridMultilevel"/>
    <w:tmpl w:val="D0B68AFE"/>
    <w:lvl w:ilvl="0" w:tplc="196484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B50492"/>
    <w:multiLevelType w:val="hybridMultilevel"/>
    <w:tmpl w:val="FB70B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D50D0B"/>
    <w:multiLevelType w:val="hybridMultilevel"/>
    <w:tmpl w:val="C05ABC0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0FE062C"/>
    <w:multiLevelType w:val="hybridMultilevel"/>
    <w:tmpl w:val="719CE9D8"/>
    <w:lvl w:ilvl="0" w:tplc="860614CE">
      <w:start w:val="1"/>
      <w:numFmt w:val="bullet"/>
      <w:lvlText w:val="-"/>
      <w:lvlJc w:val="left"/>
      <w:pPr>
        <w:ind w:left="720" w:hanging="360"/>
      </w:pPr>
      <w:rPr>
        <w:rFonts w:ascii="Palatino Linotype" w:eastAsiaTheme="minorHAnsi" w:hAnsi="Palatino Linotype"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87A4E"/>
    <w:multiLevelType w:val="hybridMultilevel"/>
    <w:tmpl w:val="87BC9AE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6E501B9"/>
    <w:multiLevelType w:val="hybridMultilevel"/>
    <w:tmpl w:val="6EF2D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8E23A2B"/>
    <w:multiLevelType w:val="hybridMultilevel"/>
    <w:tmpl w:val="5BF05F4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B570283"/>
    <w:multiLevelType w:val="hybridMultilevel"/>
    <w:tmpl w:val="AE22E4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87B26FC"/>
    <w:multiLevelType w:val="hybridMultilevel"/>
    <w:tmpl w:val="3E84ADBA"/>
    <w:lvl w:ilvl="0" w:tplc="D8245F7A">
      <w:start w:val="3"/>
      <w:numFmt w:val="upperRoman"/>
      <w:lvlText w:val="%1."/>
      <w:lvlJc w:val="left"/>
      <w:pPr>
        <w:ind w:left="1571" w:hanging="72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8" w15:restartNumberingAfterBreak="0">
    <w:nsid w:val="5F9178B7"/>
    <w:multiLevelType w:val="hybridMultilevel"/>
    <w:tmpl w:val="B862063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49B51D3"/>
    <w:multiLevelType w:val="hybridMultilevel"/>
    <w:tmpl w:val="E3D2729A"/>
    <w:lvl w:ilvl="0" w:tplc="E1F4E6E0">
      <w:start w:val="22"/>
      <w:numFmt w:val="bullet"/>
      <w:lvlText w:val="-"/>
      <w:lvlJc w:val="left"/>
      <w:pPr>
        <w:ind w:left="720" w:hanging="360"/>
      </w:pPr>
      <w:rPr>
        <w:rFonts w:ascii="Palatino Linotype" w:eastAsiaTheme="minorHAnsi" w:hAnsi="Palatino Linotyp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631451A"/>
    <w:multiLevelType w:val="hybridMultilevel"/>
    <w:tmpl w:val="66B4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B4877B5"/>
    <w:multiLevelType w:val="hybridMultilevel"/>
    <w:tmpl w:val="7250F8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CA66FD1"/>
    <w:multiLevelType w:val="hybridMultilevel"/>
    <w:tmpl w:val="D1B211F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602EB9"/>
    <w:multiLevelType w:val="hybridMultilevel"/>
    <w:tmpl w:val="0D70E33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AD7614"/>
    <w:multiLevelType w:val="hybridMultilevel"/>
    <w:tmpl w:val="677802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4FA704A"/>
    <w:multiLevelType w:val="hybridMultilevel"/>
    <w:tmpl w:val="CABAB9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9635E6"/>
    <w:multiLevelType w:val="hybridMultilevel"/>
    <w:tmpl w:val="FEB4F506"/>
    <w:lvl w:ilvl="0" w:tplc="0409000F">
      <w:start w:val="1"/>
      <w:numFmt w:val="decimal"/>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7" w15:restartNumberingAfterBreak="0">
    <w:nsid w:val="7FD31A6C"/>
    <w:multiLevelType w:val="hybridMultilevel"/>
    <w:tmpl w:val="93C8012E"/>
    <w:lvl w:ilvl="0" w:tplc="080A0013">
      <w:start w:val="1"/>
      <w:numFmt w:val="upperRoman"/>
      <w:lvlText w:val="%1."/>
      <w:lvlJc w:val="righ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38" w15:restartNumberingAfterBreak="0">
    <w:nsid w:val="7FEA79D3"/>
    <w:multiLevelType w:val="hybridMultilevel"/>
    <w:tmpl w:val="C05ABC0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2"/>
  </w:num>
  <w:num w:numId="3">
    <w:abstractNumId w:val="15"/>
  </w:num>
  <w:num w:numId="4">
    <w:abstractNumId w:val="27"/>
  </w:num>
  <w:num w:numId="5">
    <w:abstractNumId w:val="31"/>
  </w:num>
  <w:num w:numId="6">
    <w:abstractNumId w:val="25"/>
  </w:num>
  <w:num w:numId="7">
    <w:abstractNumId w:val="26"/>
  </w:num>
  <w:num w:numId="8">
    <w:abstractNumId w:val="8"/>
  </w:num>
  <w:num w:numId="9">
    <w:abstractNumId w:val="16"/>
  </w:num>
  <w:num w:numId="10">
    <w:abstractNumId w:val="11"/>
  </w:num>
  <w:num w:numId="11">
    <w:abstractNumId w:val="33"/>
  </w:num>
  <w:num w:numId="12">
    <w:abstractNumId w:val="28"/>
  </w:num>
  <w:num w:numId="13">
    <w:abstractNumId w:val="3"/>
  </w:num>
  <w:num w:numId="14">
    <w:abstractNumId w:val="13"/>
  </w:num>
  <w:num w:numId="15">
    <w:abstractNumId w:val="32"/>
  </w:num>
  <w:num w:numId="16">
    <w:abstractNumId w:val="12"/>
  </w:num>
  <w:num w:numId="17">
    <w:abstractNumId w:val="0"/>
  </w:num>
  <w:num w:numId="18">
    <w:abstractNumId w:val="21"/>
  </w:num>
  <w:num w:numId="19">
    <w:abstractNumId w:val="37"/>
  </w:num>
  <w:num w:numId="20">
    <w:abstractNumId w:val="34"/>
  </w:num>
  <w:num w:numId="21">
    <w:abstractNumId w:val="23"/>
  </w:num>
  <w:num w:numId="22">
    <w:abstractNumId w:val="38"/>
  </w:num>
  <w:num w:numId="23">
    <w:abstractNumId w:val="20"/>
  </w:num>
  <w:num w:numId="24">
    <w:abstractNumId w:val="22"/>
  </w:num>
  <w:num w:numId="25">
    <w:abstractNumId w:val="10"/>
  </w:num>
  <w:num w:numId="26">
    <w:abstractNumId w:val="35"/>
  </w:num>
  <w:num w:numId="27">
    <w:abstractNumId w:val="9"/>
  </w:num>
  <w:num w:numId="28">
    <w:abstractNumId w:val="5"/>
  </w:num>
  <w:num w:numId="29">
    <w:abstractNumId w:val="1"/>
  </w:num>
  <w:num w:numId="30">
    <w:abstractNumId w:val="14"/>
  </w:num>
  <w:num w:numId="31">
    <w:abstractNumId w:val="36"/>
  </w:num>
  <w:num w:numId="32">
    <w:abstractNumId w:val="4"/>
  </w:num>
  <w:num w:numId="33">
    <w:abstractNumId w:val="29"/>
  </w:num>
  <w:num w:numId="34">
    <w:abstractNumId w:val="18"/>
  </w:num>
  <w:num w:numId="35">
    <w:abstractNumId w:val="17"/>
  </w:num>
  <w:num w:numId="36">
    <w:abstractNumId w:val="7"/>
  </w:num>
  <w:num w:numId="37">
    <w:abstractNumId w:val="24"/>
  </w:num>
  <w:num w:numId="38">
    <w:abstractNumId w:val="30"/>
  </w:num>
  <w:num w:numId="39">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8E4"/>
    <w:rsid w:val="000026CF"/>
    <w:rsid w:val="000037E2"/>
    <w:rsid w:val="00004CD9"/>
    <w:rsid w:val="00010F2B"/>
    <w:rsid w:val="000128AE"/>
    <w:rsid w:val="0001317D"/>
    <w:rsid w:val="00020A70"/>
    <w:rsid w:val="00026E47"/>
    <w:rsid w:val="0002766F"/>
    <w:rsid w:val="00027B22"/>
    <w:rsid w:val="000306A7"/>
    <w:rsid w:val="000357DD"/>
    <w:rsid w:val="00035D8F"/>
    <w:rsid w:val="00045379"/>
    <w:rsid w:val="000461DF"/>
    <w:rsid w:val="00051B8D"/>
    <w:rsid w:val="00055224"/>
    <w:rsid w:val="0005543E"/>
    <w:rsid w:val="00061821"/>
    <w:rsid w:val="000623F9"/>
    <w:rsid w:val="00062482"/>
    <w:rsid w:val="00063A10"/>
    <w:rsid w:val="00063C65"/>
    <w:rsid w:val="000662F8"/>
    <w:rsid w:val="00067960"/>
    <w:rsid w:val="00072BF4"/>
    <w:rsid w:val="00073E78"/>
    <w:rsid w:val="00085927"/>
    <w:rsid w:val="00091552"/>
    <w:rsid w:val="00091C3A"/>
    <w:rsid w:val="000A12D9"/>
    <w:rsid w:val="000A2D37"/>
    <w:rsid w:val="000A3486"/>
    <w:rsid w:val="000A70F8"/>
    <w:rsid w:val="000A79DA"/>
    <w:rsid w:val="000B2F09"/>
    <w:rsid w:val="000B4B51"/>
    <w:rsid w:val="000B7158"/>
    <w:rsid w:val="000C0572"/>
    <w:rsid w:val="000C5265"/>
    <w:rsid w:val="000C5B8B"/>
    <w:rsid w:val="000C6395"/>
    <w:rsid w:val="000D1B55"/>
    <w:rsid w:val="000D2785"/>
    <w:rsid w:val="000D3C75"/>
    <w:rsid w:val="000D46AF"/>
    <w:rsid w:val="000E0411"/>
    <w:rsid w:val="000E168D"/>
    <w:rsid w:val="000E2692"/>
    <w:rsid w:val="000E3F2E"/>
    <w:rsid w:val="000E6571"/>
    <w:rsid w:val="000E686B"/>
    <w:rsid w:val="000E6E8E"/>
    <w:rsid w:val="000E7FF7"/>
    <w:rsid w:val="000F62A0"/>
    <w:rsid w:val="000F6F19"/>
    <w:rsid w:val="00101FA7"/>
    <w:rsid w:val="00102D69"/>
    <w:rsid w:val="001033BA"/>
    <w:rsid w:val="0010344C"/>
    <w:rsid w:val="00111D2D"/>
    <w:rsid w:val="00111DCD"/>
    <w:rsid w:val="0011210C"/>
    <w:rsid w:val="00114CF9"/>
    <w:rsid w:val="00115137"/>
    <w:rsid w:val="001167AA"/>
    <w:rsid w:val="00117157"/>
    <w:rsid w:val="00124855"/>
    <w:rsid w:val="001254F5"/>
    <w:rsid w:val="0012550E"/>
    <w:rsid w:val="0013005D"/>
    <w:rsid w:val="0013407C"/>
    <w:rsid w:val="001364A2"/>
    <w:rsid w:val="00136FAD"/>
    <w:rsid w:val="00141330"/>
    <w:rsid w:val="00144269"/>
    <w:rsid w:val="00146F0A"/>
    <w:rsid w:val="00152C2B"/>
    <w:rsid w:val="0016227F"/>
    <w:rsid w:val="00163786"/>
    <w:rsid w:val="00165645"/>
    <w:rsid w:val="00166F80"/>
    <w:rsid w:val="00172661"/>
    <w:rsid w:val="00174EE4"/>
    <w:rsid w:val="00175897"/>
    <w:rsid w:val="00177D2C"/>
    <w:rsid w:val="001804C3"/>
    <w:rsid w:val="00180B9F"/>
    <w:rsid w:val="00181CC5"/>
    <w:rsid w:val="0018567C"/>
    <w:rsid w:val="00191599"/>
    <w:rsid w:val="00193784"/>
    <w:rsid w:val="001942EE"/>
    <w:rsid w:val="001A02EC"/>
    <w:rsid w:val="001A196F"/>
    <w:rsid w:val="001A22D7"/>
    <w:rsid w:val="001A5522"/>
    <w:rsid w:val="001A577E"/>
    <w:rsid w:val="001A58DE"/>
    <w:rsid w:val="001A7C9B"/>
    <w:rsid w:val="001B05B9"/>
    <w:rsid w:val="001B1519"/>
    <w:rsid w:val="001B27C5"/>
    <w:rsid w:val="001B7B88"/>
    <w:rsid w:val="001C7319"/>
    <w:rsid w:val="001C7D87"/>
    <w:rsid w:val="001D3E87"/>
    <w:rsid w:val="001D44C2"/>
    <w:rsid w:val="001D58D7"/>
    <w:rsid w:val="001D5F16"/>
    <w:rsid w:val="001D6FAB"/>
    <w:rsid w:val="001F5ED9"/>
    <w:rsid w:val="001F6CAA"/>
    <w:rsid w:val="00203D3A"/>
    <w:rsid w:val="00203FF3"/>
    <w:rsid w:val="002044B4"/>
    <w:rsid w:val="00206AC8"/>
    <w:rsid w:val="00207086"/>
    <w:rsid w:val="002116F4"/>
    <w:rsid w:val="0021501E"/>
    <w:rsid w:val="00217B20"/>
    <w:rsid w:val="002205C0"/>
    <w:rsid w:val="0023373D"/>
    <w:rsid w:val="0023423C"/>
    <w:rsid w:val="002369F6"/>
    <w:rsid w:val="00236F5B"/>
    <w:rsid w:val="00245912"/>
    <w:rsid w:val="0025121E"/>
    <w:rsid w:val="00254477"/>
    <w:rsid w:val="002563E2"/>
    <w:rsid w:val="002577FE"/>
    <w:rsid w:val="00273D0E"/>
    <w:rsid w:val="00286235"/>
    <w:rsid w:val="00290FD4"/>
    <w:rsid w:val="00297EF9"/>
    <w:rsid w:val="002A2034"/>
    <w:rsid w:val="002A24F4"/>
    <w:rsid w:val="002A38BF"/>
    <w:rsid w:val="002A597E"/>
    <w:rsid w:val="002B037C"/>
    <w:rsid w:val="002B0FB9"/>
    <w:rsid w:val="002B2B0E"/>
    <w:rsid w:val="002B4382"/>
    <w:rsid w:val="002B45FF"/>
    <w:rsid w:val="002B5DBD"/>
    <w:rsid w:val="002C498D"/>
    <w:rsid w:val="002C7101"/>
    <w:rsid w:val="002C72D2"/>
    <w:rsid w:val="002D2AAF"/>
    <w:rsid w:val="002D314A"/>
    <w:rsid w:val="002D38FA"/>
    <w:rsid w:val="002D79E2"/>
    <w:rsid w:val="002D7A5D"/>
    <w:rsid w:val="002E0A4A"/>
    <w:rsid w:val="002E0BC4"/>
    <w:rsid w:val="002E13CF"/>
    <w:rsid w:val="002E16CC"/>
    <w:rsid w:val="002E21B4"/>
    <w:rsid w:val="002E2D7B"/>
    <w:rsid w:val="002E5E6A"/>
    <w:rsid w:val="002F12F2"/>
    <w:rsid w:val="002F37BE"/>
    <w:rsid w:val="002F41CA"/>
    <w:rsid w:val="002F4C6A"/>
    <w:rsid w:val="002F70F6"/>
    <w:rsid w:val="003003EE"/>
    <w:rsid w:val="00300D0B"/>
    <w:rsid w:val="003043BE"/>
    <w:rsid w:val="00305D40"/>
    <w:rsid w:val="00306096"/>
    <w:rsid w:val="00307014"/>
    <w:rsid w:val="00313C2B"/>
    <w:rsid w:val="0031591A"/>
    <w:rsid w:val="0031645D"/>
    <w:rsid w:val="00320A67"/>
    <w:rsid w:val="00321C7E"/>
    <w:rsid w:val="00325087"/>
    <w:rsid w:val="003272FB"/>
    <w:rsid w:val="00331499"/>
    <w:rsid w:val="00335D14"/>
    <w:rsid w:val="00335D76"/>
    <w:rsid w:val="00343D1E"/>
    <w:rsid w:val="00350DD0"/>
    <w:rsid w:val="00354258"/>
    <w:rsid w:val="0035549D"/>
    <w:rsid w:val="0036000F"/>
    <w:rsid w:val="003613D7"/>
    <w:rsid w:val="00361B9C"/>
    <w:rsid w:val="003672FB"/>
    <w:rsid w:val="00372764"/>
    <w:rsid w:val="00376AC6"/>
    <w:rsid w:val="00376BA9"/>
    <w:rsid w:val="00376CEC"/>
    <w:rsid w:val="00380495"/>
    <w:rsid w:val="00380758"/>
    <w:rsid w:val="00381E2B"/>
    <w:rsid w:val="0038429B"/>
    <w:rsid w:val="00386125"/>
    <w:rsid w:val="00390BAC"/>
    <w:rsid w:val="00392BFB"/>
    <w:rsid w:val="00393B8E"/>
    <w:rsid w:val="00394A1E"/>
    <w:rsid w:val="00395520"/>
    <w:rsid w:val="003968C7"/>
    <w:rsid w:val="003A59CA"/>
    <w:rsid w:val="003A61F9"/>
    <w:rsid w:val="003B1E88"/>
    <w:rsid w:val="003B2086"/>
    <w:rsid w:val="003C25CA"/>
    <w:rsid w:val="003C7464"/>
    <w:rsid w:val="003D0B7E"/>
    <w:rsid w:val="003D4E0F"/>
    <w:rsid w:val="003E16E1"/>
    <w:rsid w:val="003E1E9F"/>
    <w:rsid w:val="003F4F5D"/>
    <w:rsid w:val="004012CF"/>
    <w:rsid w:val="00402FF3"/>
    <w:rsid w:val="004059B0"/>
    <w:rsid w:val="00405FC5"/>
    <w:rsid w:val="004069EB"/>
    <w:rsid w:val="00407BC8"/>
    <w:rsid w:val="004176C6"/>
    <w:rsid w:val="00422ED2"/>
    <w:rsid w:val="00423213"/>
    <w:rsid w:val="0042327A"/>
    <w:rsid w:val="004233F2"/>
    <w:rsid w:val="0042416D"/>
    <w:rsid w:val="004261E4"/>
    <w:rsid w:val="00436337"/>
    <w:rsid w:val="00436802"/>
    <w:rsid w:val="00442E45"/>
    <w:rsid w:val="00443AD4"/>
    <w:rsid w:val="00445C0F"/>
    <w:rsid w:val="004462B6"/>
    <w:rsid w:val="00450CC3"/>
    <w:rsid w:val="00451448"/>
    <w:rsid w:val="004516EB"/>
    <w:rsid w:val="004529B6"/>
    <w:rsid w:val="00453DBD"/>
    <w:rsid w:val="00454CE6"/>
    <w:rsid w:val="00457305"/>
    <w:rsid w:val="00457955"/>
    <w:rsid w:val="00460A79"/>
    <w:rsid w:val="00461824"/>
    <w:rsid w:val="00462881"/>
    <w:rsid w:val="004636E2"/>
    <w:rsid w:val="0046596C"/>
    <w:rsid w:val="00467337"/>
    <w:rsid w:val="00470D7D"/>
    <w:rsid w:val="004744A9"/>
    <w:rsid w:val="00475F48"/>
    <w:rsid w:val="00477CC2"/>
    <w:rsid w:val="00477D47"/>
    <w:rsid w:val="00481297"/>
    <w:rsid w:val="0048180A"/>
    <w:rsid w:val="00481C7A"/>
    <w:rsid w:val="00485C60"/>
    <w:rsid w:val="00486209"/>
    <w:rsid w:val="004906C8"/>
    <w:rsid w:val="00492BC7"/>
    <w:rsid w:val="00493C88"/>
    <w:rsid w:val="004967E2"/>
    <w:rsid w:val="00496D7B"/>
    <w:rsid w:val="004A290F"/>
    <w:rsid w:val="004A55D8"/>
    <w:rsid w:val="004A5FFD"/>
    <w:rsid w:val="004A7CE2"/>
    <w:rsid w:val="004B031A"/>
    <w:rsid w:val="004B234F"/>
    <w:rsid w:val="004B59BB"/>
    <w:rsid w:val="004C16E7"/>
    <w:rsid w:val="004C7961"/>
    <w:rsid w:val="004D02D8"/>
    <w:rsid w:val="004D08EB"/>
    <w:rsid w:val="004D1B5B"/>
    <w:rsid w:val="004D4647"/>
    <w:rsid w:val="004E1077"/>
    <w:rsid w:val="004E2371"/>
    <w:rsid w:val="004E3FE2"/>
    <w:rsid w:val="004E6BE9"/>
    <w:rsid w:val="004E7FC9"/>
    <w:rsid w:val="004F3A20"/>
    <w:rsid w:val="005002C5"/>
    <w:rsid w:val="00502086"/>
    <w:rsid w:val="005020E9"/>
    <w:rsid w:val="00503655"/>
    <w:rsid w:val="00505191"/>
    <w:rsid w:val="00514207"/>
    <w:rsid w:val="005149BE"/>
    <w:rsid w:val="00515090"/>
    <w:rsid w:val="00521010"/>
    <w:rsid w:val="00521E57"/>
    <w:rsid w:val="00523ADA"/>
    <w:rsid w:val="0052727E"/>
    <w:rsid w:val="005305EA"/>
    <w:rsid w:val="0053652A"/>
    <w:rsid w:val="0053679B"/>
    <w:rsid w:val="005371E7"/>
    <w:rsid w:val="00540538"/>
    <w:rsid w:val="00541165"/>
    <w:rsid w:val="00542664"/>
    <w:rsid w:val="005471A6"/>
    <w:rsid w:val="00547695"/>
    <w:rsid w:val="00547DD4"/>
    <w:rsid w:val="005515AC"/>
    <w:rsid w:val="005520FE"/>
    <w:rsid w:val="0055263C"/>
    <w:rsid w:val="0055472B"/>
    <w:rsid w:val="00555D9A"/>
    <w:rsid w:val="00556513"/>
    <w:rsid w:val="00557A61"/>
    <w:rsid w:val="00562653"/>
    <w:rsid w:val="00563BC3"/>
    <w:rsid w:val="005662E2"/>
    <w:rsid w:val="005724A9"/>
    <w:rsid w:val="00572A34"/>
    <w:rsid w:val="005733EB"/>
    <w:rsid w:val="00580802"/>
    <w:rsid w:val="00581A22"/>
    <w:rsid w:val="00593E91"/>
    <w:rsid w:val="0059421C"/>
    <w:rsid w:val="00596FDA"/>
    <w:rsid w:val="005A0262"/>
    <w:rsid w:val="005A0AC6"/>
    <w:rsid w:val="005A0B49"/>
    <w:rsid w:val="005A353A"/>
    <w:rsid w:val="005A6D57"/>
    <w:rsid w:val="005A71FD"/>
    <w:rsid w:val="005A7B45"/>
    <w:rsid w:val="005B506F"/>
    <w:rsid w:val="005B5B70"/>
    <w:rsid w:val="005B5F05"/>
    <w:rsid w:val="005B5F59"/>
    <w:rsid w:val="005C17BF"/>
    <w:rsid w:val="005C404A"/>
    <w:rsid w:val="005C5015"/>
    <w:rsid w:val="005C5210"/>
    <w:rsid w:val="005C6982"/>
    <w:rsid w:val="005C6B74"/>
    <w:rsid w:val="005C7AEA"/>
    <w:rsid w:val="005D1FF3"/>
    <w:rsid w:val="005D2B04"/>
    <w:rsid w:val="005D2B59"/>
    <w:rsid w:val="005D362F"/>
    <w:rsid w:val="005D370F"/>
    <w:rsid w:val="005D58F2"/>
    <w:rsid w:val="005D66D9"/>
    <w:rsid w:val="005D698D"/>
    <w:rsid w:val="005E4D7C"/>
    <w:rsid w:val="005F048E"/>
    <w:rsid w:val="005F3BB2"/>
    <w:rsid w:val="005F4499"/>
    <w:rsid w:val="005F57F0"/>
    <w:rsid w:val="005F78E9"/>
    <w:rsid w:val="00600339"/>
    <w:rsid w:val="006028C9"/>
    <w:rsid w:val="00605178"/>
    <w:rsid w:val="00605EB1"/>
    <w:rsid w:val="0061042F"/>
    <w:rsid w:val="006168E4"/>
    <w:rsid w:val="00620999"/>
    <w:rsid w:val="0062237B"/>
    <w:rsid w:val="00625200"/>
    <w:rsid w:val="00625760"/>
    <w:rsid w:val="00627CD7"/>
    <w:rsid w:val="0063003B"/>
    <w:rsid w:val="00637512"/>
    <w:rsid w:val="0064065B"/>
    <w:rsid w:val="00640EE4"/>
    <w:rsid w:val="006423C6"/>
    <w:rsid w:val="00642453"/>
    <w:rsid w:val="006466F5"/>
    <w:rsid w:val="00651E02"/>
    <w:rsid w:val="00652603"/>
    <w:rsid w:val="00661753"/>
    <w:rsid w:val="006654F6"/>
    <w:rsid w:val="00666E57"/>
    <w:rsid w:val="00672388"/>
    <w:rsid w:val="00676CAA"/>
    <w:rsid w:val="006807D4"/>
    <w:rsid w:val="006848B7"/>
    <w:rsid w:val="006868A7"/>
    <w:rsid w:val="00691DD2"/>
    <w:rsid w:val="00693C8B"/>
    <w:rsid w:val="006944B4"/>
    <w:rsid w:val="006A1E31"/>
    <w:rsid w:val="006A3810"/>
    <w:rsid w:val="006A68B8"/>
    <w:rsid w:val="006B1953"/>
    <w:rsid w:val="006B1BF1"/>
    <w:rsid w:val="006B20F0"/>
    <w:rsid w:val="006B26E3"/>
    <w:rsid w:val="006B3085"/>
    <w:rsid w:val="006B36EE"/>
    <w:rsid w:val="006B7444"/>
    <w:rsid w:val="006C28CA"/>
    <w:rsid w:val="006C350D"/>
    <w:rsid w:val="006C3CF7"/>
    <w:rsid w:val="006D23FC"/>
    <w:rsid w:val="006E063C"/>
    <w:rsid w:val="006F19E6"/>
    <w:rsid w:val="006F1B7A"/>
    <w:rsid w:val="006F4044"/>
    <w:rsid w:val="006F6886"/>
    <w:rsid w:val="00701033"/>
    <w:rsid w:val="00703F15"/>
    <w:rsid w:val="007101FE"/>
    <w:rsid w:val="00712FDE"/>
    <w:rsid w:val="00721506"/>
    <w:rsid w:val="007216DB"/>
    <w:rsid w:val="007243C8"/>
    <w:rsid w:val="007246D3"/>
    <w:rsid w:val="00725681"/>
    <w:rsid w:val="00725F5A"/>
    <w:rsid w:val="00736CC2"/>
    <w:rsid w:val="007404D5"/>
    <w:rsid w:val="00742AAA"/>
    <w:rsid w:val="00744EEF"/>
    <w:rsid w:val="00745D76"/>
    <w:rsid w:val="00754CAE"/>
    <w:rsid w:val="00755D9B"/>
    <w:rsid w:val="00757271"/>
    <w:rsid w:val="00763EE7"/>
    <w:rsid w:val="0076623B"/>
    <w:rsid w:val="00767E4B"/>
    <w:rsid w:val="007718AD"/>
    <w:rsid w:val="00772D5B"/>
    <w:rsid w:val="00784271"/>
    <w:rsid w:val="007851D5"/>
    <w:rsid w:val="00787168"/>
    <w:rsid w:val="00790558"/>
    <w:rsid w:val="00791929"/>
    <w:rsid w:val="0079486A"/>
    <w:rsid w:val="00794F39"/>
    <w:rsid w:val="00794F80"/>
    <w:rsid w:val="007A1C9E"/>
    <w:rsid w:val="007A4CA1"/>
    <w:rsid w:val="007A5C48"/>
    <w:rsid w:val="007B0398"/>
    <w:rsid w:val="007B2C77"/>
    <w:rsid w:val="007B43E7"/>
    <w:rsid w:val="007C3C4B"/>
    <w:rsid w:val="007D1A27"/>
    <w:rsid w:val="007D1B24"/>
    <w:rsid w:val="007D1F15"/>
    <w:rsid w:val="007D25B1"/>
    <w:rsid w:val="007D2878"/>
    <w:rsid w:val="007D4451"/>
    <w:rsid w:val="007D68CD"/>
    <w:rsid w:val="007D6EB8"/>
    <w:rsid w:val="007D7BC6"/>
    <w:rsid w:val="007E3CEB"/>
    <w:rsid w:val="007E69B4"/>
    <w:rsid w:val="007E72E5"/>
    <w:rsid w:val="007E7B07"/>
    <w:rsid w:val="007E7BAB"/>
    <w:rsid w:val="007E7DCE"/>
    <w:rsid w:val="007E7FA9"/>
    <w:rsid w:val="007F20AC"/>
    <w:rsid w:val="007F49C6"/>
    <w:rsid w:val="008013BA"/>
    <w:rsid w:val="00802C56"/>
    <w:rsid w:val="00807E35"/>
    <w:rsid w:val="00811205"/>
    <w:rsid w:val="00812C48"/>
    <w:rsid w:val="008146F9"/>
    <w:rsid w:val="0082054C"/>
    <w:rsid w:val="008212C7"/>
    <w:rsid w:val="00824DCD"/>
    <w:rsid w:val="00825B49"/>
    <w:rsid w:val="00826F04"/>
    <w:rsid w:val="00833433"/>
    <w:rsid w:val="00833E8A"/>
    <w:rsid w:val="0084234E"/>
    <w:rsid w:val="008439F7"/>
    <w:rsid w:val="00844009"/>
    <w:rsid w:val="00844569"/>
    <w:rsid w:val="00844AAF"/>
    <w:rsid w:val="00847D23"/>
    <w:rsid w:val="008556FF"/>
    <w:rsid w:val="00857106"/>
    <w:rsid w:val="00857765"/>
    <w:rsid w:val="00863327"/>
    <w:rsid w:val="00867F7E"/>
    <w:rsid w:val="00870189"/>
    <w:rsid w:val="00870F44"/>
    <w:rsid w:val="00873034"/>
    <w:rsid w:val="0087456A"/>
    <w:rsid w:val="00881C5D"/>
    <w:rsid w:val="00884054"/>
    <w:rsid w:val="00890C62"/>
    <w:rsid w:val="008947F2"/>
    <w:rsid w:val="00894C6D"/>
    <w:rsid w:val="00895089"/>
    <w:rsid w:val="0089512B"/>
    <w:rsid w:val="008951D6"/>
    <w:rsid w:val="008951ED"/>
    <w:rsid w:val="0089761E"/>
    <w:rsid w:val="008A28BC"/>
    <w:rsid w:val="008A2C0F"/>
    <w:rsid w:val="008A3A59"/>
    <w:rsid w:val="008A5928"/>
    <w:rsid w:val="008A75BE"/>
    <w:rsid w:val="008A7DEC"/>
    <w:rsid w:val="008B060F"/>
    <w:rsid w:val="008B1D2E"/>
    <w:rsid w:val="008B5C49"/>
    <w:rsid w:val="008B779D"/>
    <w:rsid w:val="008C07AB"/>
    <w:rsid w:val="008C08BE"/>
    <w:rsid w:val="008C229F"/>
    <w:rsid w:val="008C2A5D"/>
    <w:rsid w:val="008C32A8"/>
    <w:rsid w:val="008C3445"/>
    <w:rsid w:val="008C4E94"/>
    <w:rsid w:val="008C55A3"/>
    <w:rsid w:val="008E0810"/>
    <w:rsid w:val="008E11C6"/>
    <w:rsid w:val="008E3E9A"/>
    <w:rsid w:val="008E587B"/>
    <w:rsid w:val="008E6375"/>
    <w:rsid w:val="008F09D7"/>
    <w:rsid w:val="008F17A1"/>
    <w:rsid w:val="008F18BF"/>
    <w:rsid w:val="008F24F3"/>
    <w:rsid w:val="008F4C65"/>
    <w:rsid w:val="008F7579"/>
    <w:rsid w:val="00905422"/>
    <w:rsid w:val="00906BD5"/>
    <w:rsid w:val="009104D1"/>
    <w:rsid w:val="00913133"/>
    <w:rsid w:val="00913ED4"/>
    <w:rsid w:val="009217C8"/>
    <w:rsid w:val="00921DB9"/>
    <w:rsid w:val="0092403D"/>
    <w:rsid w:val="00927C3D"/>
    <w:rsid w:val="009313A9"/>
    <w:rsid w:val="00932E3C"/>
    <w:rsid w:val="009402DB"/>
    <w:rsid w:val="00942E41"/>
    <w:rsid w:val="009440D8"/>
    <w:rsid w:val="009449B8"/>
    <w:rsid w:val="00944DC9"/>
    <w:rsid w:val="0094603F"/>
    <w:rsid w:val="00951494"/>
    <w:rsid w:val="00951D70"/>
    <w:rsid w:val="009611E0"/>
    <w:rsid w:val="00962383"/>
    <w:rsid w:val="00963120"/>
    <w:rsid w:val="00964753"/>
    <w:rsid w:val="00964F9E"/>
    <w:rsid w:val="00965FEE"/>
    <w:rsid w:val="0096643B"/>
    <w:rsid w:val="009706B5"/>
    <w:rsid w:val="00972BDF"/>
    <w:rsid w:val="00973F49"/>
    <w:rsid w:val="0098182D"/>
    <w:rsid w:val="00983E98"/>
    <w:rsid w:val="009855E2"/>
    <w:rsid w:val="00987C03"/>
    <w:rsid w:val="0099557F"/>
    <w:rsid w:val="009A686F"/>
    <w:rsid w:val="009B33A8"/>
    <w:rsid w:val="009B3487"/>
    <w:rsid w:val="009B3768"/>
    <w:rsid w:val="009B3B9E"/>
    <w:rsid w:val="009B5680"/>
    <w:rsid w:val="009B7C61"/>
    <w:rsid w:val="009C3246"/>
    <w:rsid w:val="009C3793"/>
    <w:rsid w:val="009C48EF"/>
    <w:rsid w:val="009C492F"/>
    <w:rsid w:val="009D341C"/>
    <w:rsid w:val="009D4B61"/>
    <w:rsid w:val="009E1411"/>
    <w:rsid w:val="009E19FC"/>
    <w:rsid w:val="009E52F2"/>
    <w:rsid w:val="009F3C1F"/>
    <w:rsid w:val="009F614E"/>
    <w:rsid w:val="009F762B"/>
    <w:rsid w:val="00A02047"/>
    <w:rsid w:val="00A02E9D"/>
    <w:rsid w:val="00A036BE"/>
    <w:rsid w:val="00A0575E"/>
    <w:rsid w:val="00A07F07"/>
    <w:rsid w:val="00A108AE"/>
    <w:rsid w:val="00A12205"/>
    <w:rsid w:val="00A12E63"/>
    <w:rsid w:val="00A12F8D"/>
    <w:rsid w:val="00A139AF"/>
    <w:rsid w:val="00A3050E"/>
    <w:rsid w:val="00A3248C"/>
    <w:rsid w:val="00A358E6"/>
    <w:rsid w:val="00A37C0F"/>
    <w:rsid w:val="00A44BB7"/>
    <w:rsid w:val="00A453DC"/>
    <w:rsid w:val="00A47E33"/>
    <w:rsid w:val="00A50182"/>
    <w:rsid w:val="00A55091"/>
    <w:rsid w:val="00A55818"/>
    <w:rsid w:val="00A625E2"/>
    <w:rsid w:val="00A63DC7"/>
    <w:rsid w:val="00A70289"/>
    <w:rsid w:val="00A72465"/>
    <w:rsid w:val="00A72FC4"/>
    <w:rsid w:val="00A76C31"/>
    <w:rsid w:val="00A80C92"/>
    <w:rsid w:val="00A80E5C"/>
    <w:rsid w:val="00A82461"/>
    <w:rsid w:val="00A851D8"/>
    <w:rsid w:val="00A870C4"/>
    <w:rsid w:val="00A87326"/>
    <w:rsid w:val="00A953BA"/>
    <w:rsid w:val="00A9556B"/>
    <w:rsid w:val="00AA0848"/>
    <w:rsid w:val="00AA0AAF"/>
    <w:rsid w:val="00AA58A2"/>
    <w:rsid w:val="00AA5D62"/>
    <w:rsid w:val="00AB2CB6"/>
    <w:rsid w:val="00AB3710"/>
    <w:rsid w:val="00AB4B0F"/>
    <w:rsid w:val="00AB6C3B"/>
    <w:rsid w:val="00AC0806"/>
    <w:rsid w:val="00AC1F0C"/>
    <w:rsid w:val="00AC226E"/>
    <w:rsid w:val="00AC7906"/>
    <w:rsid w:val="00AD134F"/>
    <w:rsid w:val="00AD3428"/>
    <w:rsid w:val="00AD3AA2"/>
    <w:rsid w:val="00AE008F"/>
    <w:rsid w:val="00AE2660"/>
    <w:rsid w:val="00AE5651"/>
    <w:rsid w:val="00AE61BC"/>
    <w:rsid w:val="00AF0161"/>
    <w:rsid w:val="00AF2A1F"/>
    <w:rsid w:val="00AF2D9B"/>
    <w:rsid w:val="00AF6936"/>
    <w:rsid w:val="00AF71F4"/>
    <w:rsid w:val="00B06BAC"/>
    <w:rsid w:val="00B0749B"/>
    <w:rsid w:val="00B10A1E"/>
    <w:rsid w:val="00B11E08"/>
    <w:rsid w:val="00B149FA"/>
    <w:rsid w:val="00B20A68"/>
    <w:rsid w:val="00B227A0"/>
    <w:rsid w:val="00B2330D"/>
    <w:rsid w:val="00B26445"/>
    <w:rsid w:val="00B278CF"/>
    <w:rsid w:val="00B32CD3"/>
    <w:rsid w:val="00B333E1"/>
    <w:rsid w:val="00B35A93"/>
    <w:rsid w:val="00B3672D"/>
    <w:rsid w:val="00B409FD"/>
    <w:rsid w:val="00B431CC"/>
    <w:rsid w:val="00B4745C"/>
    <w:rsid w:val="00B52D3E"/>
    <w:rsid w:val="00B57980"/>
    <w:rsid w:val="00B60048"/>
    <w:rsid w:val="00B601D4"/>
    <w:rsid w:val="00B62165"/>
    <w:rsid w:val="00B63BC9"/>
    <w:rsid w:val="00B653BB"/>
    <w:rsid w:val="00B65862"/>
    <w:rsid w:val="00B66E86"/>
    <w:rsid w:val="00B67A20"/>
    <w:rsid w:val="00B803F2"/>
    <w:rsid w:val="00B83FC7"/>
    <w:rsid w:val="00B87D50"/>
    <w:rsid w:val="00B87E3E"/>
    <w:rsid w:val="00B90DF8"/>
    <w:rsid w:val="00B9223B"/>
    <w:rsid w:val="00B94D83"/>
    <w:rsid w:val="00BA35FA"/>
    <w:rsid w:val="00BA4D1F"/>
    <w:rsid w:val="00BA6A47"/>
    <w:rsid w:val="00BA7AD1"/>
    <w:rsid w:val="00BB2250"/>
    <w:rsid w:val="00BB2819"/>
    <w:rsid w:val="00BB4D6F"/>
    <w:rsid w:val="00BB7FA2"/>
    <w:rsid w:val="00BC0FDD"/>
    <w:rsid w:val="00BC22E0"/>
    <w:rsid w:val="00BD004A"/>
    <w:rsid w:val="00BD352C"/>
    <w:rsid w:val="00BE28ED"/>
    <w:rsid w:val="00BE2BE7"/>
    <w:rsid w:val="00BE3111"/>
    <w:rsid w:val="00BE3A3C"/>
    <w:rsid w:val="00BE5D85"/>
    <w:rsid w:val="00BF5D0B"/>
    <w:rsid w:val="00C008B2"/>
    <w:rsid w:val="00C00A8C"/>
    <w:rsid w:val="00C018A3"/>
    <w:rsid w:val="00C11C39"/>
    <w:rsid w:val="00C23439"/>
    <w:rsid w:val="00C25084"/>
    <w:rsid w:val="00C3056F"/>
    <w:rsid w:val="00C30E45"/>
    <w:rsid w:val="00C357BE"/>
    <w:rsid w:val="00C427C0"/>
    <w:rsid w:val="00C513B2"/>
    <w:rsid w:val="00C51F07"/>
    <w:rsid w:val="00C55378"/>
    <w:rsid w:val="00C56C44"/>
    <w:rsid w:val="00C6332C"/>
    <w:rsid w:val="00C65017"/>
    <w:rsid w:val="00C65FDB"/>
    <w:rsid w:val="00C71CD1"/>
    <w:rsid w:val="00C73143"/>
    <w:rsid w:val="00C772EE"/>
    <w:rsid w:val="00C77685"/>
    <w:rsid w:val="00C77815"/>
    <w:rsid w:val="00C77F77"/>
    <w:rsid w:val="00C814A1"/>
    <w:rsid w:val="00C85378"/>
    <w:rsid w:val="00C9297C"/>
    <w:rsid w:val="00C9480A"/>
    <w:rsid w:val="00CA3D18"/>
    <w:rsid w:val="00CA6B49"/>
    <w:rsid w:val="00CA6FDA"/>
    <w:rsid w:val="00CB21EB"/>
    <w:rsid w:val="00CB2771"/>
    <w:rsid w:val="00CB3B6F"/>
    <w:rsid w:val="00CC0C5F"/>
    <w:rsid w:val="00CC2F3D"/>
    <w:rsid w:val="00CC5FF3"/>
    <w:rsid w:val="00CD0D74"/>
    <w:rsid w:val="00CD365B"/>
    <w:rsid w:val="00CD4BFA"/>
    <w:rsid w:val="00CE2ADF"/>
    <w:rsid w:val="00CE5C62"/>
    <w:rsid w:val="00CF0541"/>
    <w:rsid w:val="00CF181D"/>
    <w:rsid w:val="00CF1D7D"/>
    <w:rsid w:val="00CF45D3"/>
    <w:rsid w:val="00CF51F9"/>
    <w:rsid w:val="00CF6B6C"/>
    <w:rsid w:val="00CF7EA2"/>
    <w:rsid w:val="00D042BB"/>
    <w:rsid w:val="00D06CA0"/>
    <w:rsid w:val="00D10041"/>
    <w:rsid w:val="00D115BB"/>
    <w:rsid w:val="00D11797"/>
    <w:rsid w:val="00D11CEB"/>
    <w:rsid w:val="00D12C68"/>
    <w:rsid w:val="00D134FB"/>
    <w:rsid w:val="00D1498A"/>
    <w:rsid w:val="00D17789"/>
    <w:rsid w:val="00D21565"/>
    <w:rsid w:val="00D22F7D"/>
    <w:rsid w:val="00D2737E"/>
    <w:rsid w:val="00D274A9"/>
    <w:rsid w:val="00D31B35"/>
    <w:rsid w:val="00D32644"/>
    <w:rsid w:val="00D32D91"/>
    <w:rsid w:val="00D33619"/>
    <w:rsid w:val="00D336C5"/>
    <w:rsid w:val="00D35FAE"/>
    <w:rsid w:val="00D36291"/>
    <w:rsid w:val="00D36987"/>
    <w:rsid w:val="00D449AE"/>
    <w:rsid w:val="00D45EF4"/>
    <w:rsid w:val="00D477C3"/>
    <w:rsid w:val="00D47EF6"/>
    <w:rsid w:val="00D50F42"/>
    <w:rsid w:val="00D52AC7"/>
    <w:rsid w:val="00D54CA9"/>
    <w:rsid w:val="00D54D64"/>
    <w:rsid w:val="00D6340F"/>
    <w:rsid w:val="00D642BA"/>
    <w:rsid w:val="00D654EC"/>
    <w:rsid w:val="00D71D21"/>
    <w:rsid w:val="00D72D16"/>
    <w:rsid w:val="00D800B7"/>
    <w:rsid w:val="00D8195B"/>
    <w:rsid w:val="00D821F8"/>
    <w:rsid w:val="00D85695"/>
    <w:rsid w:val="00D8619F"/>
    <w:rsid w:val="00D86764"/>
    <w:rsid w:val="00D951DC"/>
    <w:rsid w:val="00DA41D7"/>
    <w:rsid w:val="00DA5AA0"/>
    <w:rsid w:val="00DA6830"/>
    <w:rsid w:val="00DA766B"/>
    <w:rsid w:val="00DB00FD"/>
    <w:rsid w:val="00DB2BB2"/>
    <w:rsid w:val="00DB4557"/>
    <w:rsid w:val="00DB5C0A"/>
    <w:rsid w:val="00DC4716"/>
    <w:rsid w:val="00DC4C3E"/>
    <w:rsid w:val="00DD13E2"/>
    <w:rsid w:val="00DD2A69"/>
    <w:rsid w:val="00DD2B76"/>
    <w:rsid w:val="00DE1D5A"/>
    <w:rsid w:val="00DE5679"/>
    <w:rsid w:val="00DF003C"/>
    <w:rsid w:val="00DF4501"/>
    <w:rsid w:val="00DF5BB3"/>
    <w:rsid w:val="00DF78AE"/>
    <w:rsid w:val="00E00957"/>
    <w:rsid w:val="00E00E78"/>
    <w:rsid w:val="00E010F0"/>
    <w:rsid w:val="00E076C1"/>
    <w:rsid w:val="00E11E2E"/>
    <w:rsid w:val="00E11EF7"/>
    <w:rsid w:val="00E13C83"/>
    <w:rsid w:val="00E15555"/>
    <w:rsid w:val="00E15B7D"/>
    <w:rsid w:val="00E22A8F"/>
    <w:rsid w:val="00E24053"/>
    <w:rsid w:val="00E2408E"/>
    <w:rsid w:val="00E268DB"/>
    <w:rsid w:val="00E327A8"/>
    <w:rsid w:val="00E3326E"/>
    <w:rsid w:val="00E33E1E"/>
    <w:rsid w:val="00E371EC"/>
    <w:rsid w:val="00E40803"/>
    <w:rsid w:val="00E43116"/>
    <w:rsid w:val="00E45181"/>
    <w:rsid w:val="00E531DD"/>
    <w:rsid w:val="00E571F8"/>
    <w:rsid w:val="00E606CB"/>
    <w:rsid w:val="00E63CC4"/>
    <w:rsid w:val="00E65A0B"/>
    <w:rsid w:val="00E66C30"/>
    <w:rsid w:val="00E70AEE"/>
    <w:rsid w:val="00E7107E"/>
    <w:rsid w:val="00E72AE3"/>
    <w:rsid w:val="00E73B51"/>
    <w:rsid w:val="00E75906"/>
    <w:rsid w:val="00E8151C"/>
    <w:rsid w:val="00E81E9C"/>
    <w:rsid w:val="00E85CD2"/>
    <w:rsid w:val="00E9108A"/>
    <w:rsid w:val="00E936FF"/>
    <w:rsid w:val="00E93AD5"/>
    <w:rsid w:val="00E97BEA"/>
    <w:rsid w:val="00EA1F89"/>
    <w:rsid w:val="00EA2CCF"/>
    <w:rsid w:val="00EA4A9D"/>
    <w:rsid w:val="00EA4E39"/>
    <w:rsid w:val="00EB0286"/>
    <w:rsid w:val="00EB117B"/>
    <w:rsid w:val="00EB2BEB"/>
    <w:rsid w:val="00EB40D6"/>
    <w:rsid w:val="00EB5B24"/>
    <w:rsid w:val="00EB5F75"/>
    <w:rsid w:val="00EB79CD"/>
    <w:rsid w:val="00EC26CF"/>
    <w:rsid w:val="00EC2B84"/>
    <w:rsid w:val="00EC3FC6"/>
    <w:rsid w:val="00EC572F"/>
    <w:rsid w:val="00ED08DA"/>
    <w:rsid w:val="00ED176C"/>
    <w:rsid w:val="00ED5F40"/>
    <w:rsid w:val="00EE0F2E"/>
    <w:rsid w:val="00EE2A41"/>
    <w:rsid w:val="00EE5787"/>
    <w:rsid w:val="00EE6EC2"/>
    <w:rsid w:val="00EF09FB"/>
    <w:rsid w:val="00EF102E"/>
    <w:rsid w:val="00F02923"/>
    <w:rsid w:val="00F0351B"/>
    <w:rsid w:val="00F052D9"/>
    <w:rsid w:val="00F05716"/>
    <w:rsid w:val="00F06196"/>
    <w:rsid w:val="00F06472"/>
    <w:rsid w:val="00F125CE"/>
    <w:rsid w:val="00F12AE7"/>
    <w:rsid w:val="00F2087F"/>
    <w:rsid w:val="00F20EEC"/>
    <w:rsid w:val="00F21A13"/>
    <w:rsid w:val="00F22566"/>
    <w:rsid w:val="00F226DB"/>
    <w:rsid w:val="00F22963"/>
    <w:rsid w:val="00F24599"/>
    <w:rsid w:val="00F26054"/>
    <w:rsid w:val="00F263AD"/>
    <w:rsid w:val="00F30F82"/>
    <w:rsid w:val="00F340C4"/>
    <w:rsid w:val="00F367F2"/>
    <w:rsid w:val="00F370A2"/>
    <w:rsid w:val="00F4035D"/>
    <w:rsid w:val="00F403EA"/>
    <w:rsid w:val="00F40F76"/>
    <w:rsid w:val="00F42753"/>
    <w:rsid w:val="00F44A7B"/>
    <w:rsid w:val="00F44FFA"/>
    <w:rsid w:val="00F45B6F"/>
    <w:rsid w:val="00F510DB"/>
    <w:rsid w:val="00F54361"/>
    <w:rsid w:val="00F543C5"/>
    <w:rsid w:val="00F573AA"/>
    <w:rsid w:val="00F60E66"/>
    <w:rsid w:val="00F62329"/>
    <w:rsid w:val="00F64B49"/>
    <w:rsid w:val="00F727B0"/>
    <w:rsid w:val="00F7409F"/>
    <w:rsid w:val="00F74783"/>
    <w:rsid w:val="00F82477"/>
    <w:rsid w:val="00F825BB"/>
    <w:rsid w:val="00F8441F"/>
    <w:rsid w:val="00F85E87"/>
    <w:rsid w:val="00F86877"/>
    <w:rsid w:val="00F90A69"/>
    <w:rsid w:val="00F91981"/>
    <w:rsid w:val="00F91AEE"/>
    <w:rsid w:val="00F97986"/>
    <w:rsid w:val="00FA047C"/>
    <w:rsid w:val="00FA0F05"/>
    <w:rsid w:val="00FA2545"/>
    <w:rsid w:val="00FA5F10"/>
    <w:rsid w:val="00FB231E"/>
    <w:rsid w:val="00FB3A81"/>
    <w:rsid w:val="00FB4AAD"/>
    <w:rsid w:val="00FB4E3D"/>
    <w:rsid w:val="00FB5F2A"/>
    <w:rsid w:val="00FC0822"/>
    <w:rsid w:val="00FC14F9"/>
    <w:rsid w:val="00FC279C"/>
    <w:rsid w:val="00FC45DE"/>
    <w:rsid w:val="00FC4F9B"/>
    <w:rsid w:val="00FC59F0"/>
    <w:rsid w:val="00FC6247"/>
    <w:rsid w:val="00FD4599"/>
    <w:rsid w:val="00FD4784"/>
    <w:rsid w:val="00FD65FE"/>
    <w:rsid w:val="00FD74EB"/>
    <w:rsid w:val="00FE0BD9"/>
    <w:rsid w:val="00FE19E3"/>
    <w:rsid w:val="00FE54C6"/>
    <w:rsid w:val="00FF4AE5"/>
    <w:rsid w:val="00FF5E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16E59"/>
  <w15:chartTrackingRefBased/>
  <w15:docId w15:val="{175E7C73-AFDC-44F9-AE75-54416C74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D8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6168E4"/>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6168E4"/>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6168E4"/>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6168E4"/>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6168E4"/>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6168E4"/>
    <w:rPr>
      <w:vertAlign w:val="superscript"/>
    </w:rPr>
  </w:style>
  <w:style w:type="character" w:styleId="Hipervnculo">
    <w:name w:val="Hyperlink"/>
    <w:aliases w:val="Hipervínculo1,Hipervínculo11,Hipervínculo12,Hipervínculo13,Hipervínculo14,Hipervínculo15"/>
    <w:basedOn w:val="Fuentedeprrafopredeter"/>
    <w:uiPriority w:val="99"/>
    <w:unhideWhenUsed/>
    <w:rsid w:val="006168E4"/>
    <w:rPr>
      <w:color w:val="0563C1" w:themeColor="hyperlink"/>
      <w:u w:val="single"/>
    </w:rPr>
  </w:style>
  <w:style w:type="paragraph" w:styleId="Sinespaciado">
    <w:name w:val="No Spacing"/>
    <w:aliases w:val="Francesa,INAI"/>
    <w:link w:val="SinespaciadoCar"/>
    <w:uiPriority w:val="1"/>
    <w:qFormat/>
    <w:rsid w:val="006168E4"/>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6168E4"/>
    <w:rPr>
      <w:b/>
      <w:bCs/>
    </w:rPr>
  </w:style>
  <w:style w:type="character" w:customStyle="1" w:styleId="SinespaciadoCar">
    <w:name w:val="Sin espaciado Car"/>
    <w:aliases w:val="Francesa Car,INAI Car"/>
    <w:link w:val="Sinespaciado"/>
    <w:uiPriority w:val="1"/>
    <w:locked/>
    <w:rsid w:val="006168E4"/>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8C55A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8C55A3"/>
    <w:rPr>
      <w:sz w:val="20"/>
      <w:szCs w:val="20"/>
    </w:rPr>
  </w:style>
  <w:style w:type="paragraph" w:customStyle="1" w:styleId="Default">
    <w:name w:val="Default"/>
    <w:rsid w:val="00BA7AD1"/>
    <w:pPr>
      <w:autoSpaceDE w:val="0"/>
      <w:autoSpaceDN w:val="0"/>
      <w:adjustRightInd w:val="0"/>
      <w:spacing w:after="0" w:line="240" w:lineRule="auto"/>
    </w:pPr>
    <w:rPr>
      <w:rFonts w:ascii="Arial" w:hAnsi="Arial" w:cs="Arial"/>
      <w:color w:val="000000"/>
      <w:sz w:val="24"/>
      <w:szCs w:val="24"/>
    </w:rPr>
  </w:style>
  <w:style w:type="table" w:styleId="Tablaconcuadrcula1clara">
    <w:name w:val="Grid Table 1 Light"/>
    <w:basedOn w:val="Tablanormal"/>
    <w:uiPriority w:val="46"/>
    <w:rsid w:val="00870F4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0662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62F8"/>
    <w:rPr>
      <w:rFonts w:ascii="Segoe UI" w:hAnsi="Segoe UI" w:cs="Segoe UI"/>
      <w:sz w:val="18"/>
      <w:szCs w:val="18"/>
    </w:rPr>
  </w:style>
  <w:style w:type="table" w:styleId="Tablaconcuadrcula">
    <w:name w:val="Table Grid"/>
    <w:basedOn w:val="Tablanormal"/>
    <w:uiPriority w:val="39"/>
    <w:rsid w:val="00207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semiHidden/>
    <w:unhideWhenUsed/>
    <w:qFormat/>
    <w:rsid w:val="007216DB"/>
    <w:pPr>
      <w:widowControl w:val="0"/>
      <w:spacing w:after="0" w:line="240" w:lineRule="auto"/>
      <w:ind w:left="20"/>
    </w:pPr>
    <w:rPr>
      <w:rFonts w:ascii="Times New Roman" w:eastAsia="Times New Roman" w:hAnsi="Times New Roman"/>
      <w:sz w:val="25"/>
      <w:szCs w:val="25"/>
      <w:lang w:val="en-US"/>
    </w:rPr>
  </w:style>
  <w:style w:type="character" w:customStyle="1" w:styleId="TextoindependienteCar">
    <w:name w:val="Texto independiente Car"/>
    <w:basedOn w:val="Fuentedeprrafopredeter"/>
    <w:link w:val="Textoindependiente"/>
    <w:uiPriority w:val="1"/>
    <w:semiHidden/>
    <w:rsid w:val="007216DB"/>
    <w:rPr>
      <w:rFonts w:ascii="Times New Roman" w:eastAsia="Times New Roman" w:hAnsi="Times New Roman"/>
      <w:sz w:val="25"/>
      <w:szCs w:val="25"/>
      <w:lang w:val="en-US"/>
    </w:rPr>
  </w:style>
  <w:style w:type="character" w:customStyle="1" w:styleId="apple-style-span">
    <w:name w:val="apple-style-span"/>
    <w:rsid w:val="00B87E3E"/>
  </w:style>
  <w:style w:type="character" w:styleId="Refdecomentario">
    <w:name w:val="annotation reference"/>
    <w:basedOn w:val="Fuentedeprrafopredeter"/>
    <w:uiPriority w:val="99"/>
    <w:semiHidden/>
    <w:unhideWhenUsed/>
    <w:rsid w:val="000128AE"/>
    <w:rPr>
      <w:sz w:val="16"/>
      <w:szCs w:val="16"/>
    </w:rPr>
  </w:style>
  <w:style w:type="paragraph" w:styleId="Textocomentario">
    <w:name w:val="annotation text"/>
    <w:basedOn w:val="Normal"/>
    <w:link w:val="TextocomentarioCar"/>
    <w:uiPriority w:val="99"/>
    <w:semiHidden/>
    <w:unhideWhenUsed/>
    <w:rsid w:val="000128A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128AE"/>
    <w:rPr>
      <w:sz w:val="20"/>
      <w:szCs w:val="20"/>
    </w:rPr>
  </w:style>
  <w:style w:type="paragraph" w:styleId="Asuntodelcomentario">
    <w:name w:val="annotation subject"/>
    <w:basedOn w:val="Textocomentario"/>
    <w:next w:val="Textocomentario"/>
    <w:link w:val="AsuntodelcomentarioCar"/>
    <w:uiPriority w:val="99"/>
    <w:semiHidden/>
    <w:unhideWhenUsed/>
    <w:rsid w:val="000128AE"/>
    <w:rPr>
      <w:b/>
      <w:bCs/>
    </w:rPr>
  </w:style>
  <w:style w:type="character" w:customStyle="1" w:styleId="AsuntodelcomentarioCar">
    <w:name w:val="Asunto del comentario Car"/>
    <w:basedOn w:val="TextocomentarioCar"/>
    <w:link w:val="Asuntodelcomentario"/>
    <w:uiPriority w:val="99"/>
    <w:semiHidden/>
    <w:rsid w:val="000128AE"/>
    <w:rPr>
      <w:b/>
      <w:bCs/>
      <w:sz w:val="20"/>
      <w:szCs w:val="20"/>
    </w:rPr>
  </w:style>
  <w:style w:type="paragraph" w:customStyle="1" w:styleId="CitasINFOEM">
    <w:name w:val="Citas INFOEM"/>
    <w:basedOn w:val="Normal"/>
    <w:qFormat/>
    <w:rsid w:val="00A44BB7"/>
    <w:pPr>
      <w:spacing w:before="240" w:line="360" w:lineRule="auto"/>
      <w:ind w:right="851"/>
      <w:jc w:val="both"/>
    </w:pPr>
    <w:rPr>
      <w:rFonts w:ascii="Palatino Linotype" w:hAnsi="Palatino Linotype"/>
      <w:b/>
      <w:color w:val="000000"/>
    </w:rPr>
  </w:style>
  <w:style w:type="paragraph" w:customStyle="1" w:styleId="Estilo1">
    <w:name w:val="Estilo1"/>
    <w:basedOn w:val="CitasINFOEM"/>
    <w:qFormat/>
    <w:rsid w:val="00BE5D85"/>
    <w:pPr>
      <w:ind w:left="851"/>
    </w:pPr>
    <w:rPr>
      <w:b w:val="0"/>
      <w:i/>
    </w:rPr>
  </w:style>
  <w:style w:type="paragraph" w:customStyle="1" w:styleId="Estilo2">
    <w:name w:val="Estilo2"/>
    <w:basedOn w:val="CitasINFOEM"/>
    <w:qFormat/>
    <w:rsid w:val="00BE5D85"/>
    <w:rPr>
      <w:i/>
    </w:rPr>
  </w:style>
  <w:style w:type="paragraph" w:customStyle="1" w:styleId="Citas">
    <w:name w:val="Citas"/>
    <w:basedOn w:val="Normal"/>
    <w:qFormat/>
    <w:rsid w:val="00321C7E"/>
    <w:pPr>
      <w:spacing w:before="240" w:line="360" w:lineRule="auto"/>
      <w:ind w:left="851" w:right="851"/>
      <w:jc w:val="both"/>
    </w:pPr>
    <w:rPr>
      <w:rFonts w:ascii="Palatino Linotype" w:hAnsi="Palatino Linotype" w:cs="Arial"/>
      <w:i/>
    </w:rPr>
  </w:style>
  <w:style w:type="character" w:customStyle="1" w:styleId="highlight">
    <w:name w:val="highlight"/>
    <w:basedOn w:val="Fuentedeprrafopredeter"/>
    <w:rsid w:val="002B45FF"/>
  </w:style>
  <w:style w:type="character" w:styleId="Mencinsinresolver">
    <w:name w:val="Unresolved Mention"/>
    <w:basedOn w:val="Fuentedeprrafopredeter"/>
    <w:uiPriority w:val="99"/>
    <w:semiHidden/>
    <w:unhideWhenUsed/>
    <w:rsid w:val="00B90DF8"/>
    <w:rPr>
      <w:color w:val="605E5C"/>
      <w:shd w:val="clear" w:color="auto" w:fill="E1DFDD"/>
    </w:rPr>
  </w:style>
  <w:style w:type="paragraph" w:customStyle="1" w:styleId="j">
    <w:name w:val="j"/>
    <w:basedOn w:val="Normal"/>
    <w:rsid w:val="001D44C2"/>
    <w:pPr>
      <w:spacing w:before="100" w:beforeAutospacing="1" w:after="100" w:afterAutospacing="1" w:line="240" w:lineRule="auto"/>
    </w:pPr>
    <w:rPr>
      <w:rFonts w:ascii="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39902">
      <w:bodyDiv w:val="1"/>
      <w:marLeft w:val="0"/>
      <w:marRight w:val="0"/>
      <w:marTop w:val="0"/>
      <w:marBottom w:val="0"/>
      <w:divBdr>
        <w:top w:val="none" w:sz="0" w:space="0" w:color="auto"/>
        <w:left w:val="none" w:sz="0" w:space="0" w:color="auto"/>
        <w:bottom w:val="none" w:sz="0" w:space="0" w:color="auto"/>
        <w:right w:val="none" w:sz="0" w:space="0" w:color="auto"/>
      </w:divBdr>
    </w:div>
    <w:div w:id="179663290">
      <w:bodyDiv w:val="1"/>
      <w:marLeft w:val="0"/>
      <w:marRight w:val="0"/>
      <w:marTop w:val="0"/>
      <w:marBottom w:val="0"/>
      <w:divBdr>
        <w:top w:val="none" w:sz="0" w:space="0" w:color="auto"/>
        <w:left w:val="none" w:sz="0" w:space="0" w:color="auto"/>
        <w:bottom w:val="none" w:sz="0" w:space="0" w:color="auto"/>
        <w:right w:val="none" w:sz="0" w:space="0" w:color="auto"/>
      </w:divBdr>
    </w:div>
    <w:div w:id="209584679">
      <w:bodyDiv w:val="1"/>
      <w:marLeft w:val="0"/>
      <w:marRight w:val="0"/>
      <w:marTop w:val="0"/>
      <w:marBottom w:val="0"/>
      <w:divBdr>
        <w:top w:val="none" w:sz="0" w:space="0" w:color="auto"/>
        <w:left w:val="none" w:sz="0" w:space="0" w:color="auto"/>
        <w:bottom w:val="none" w:sz="0" w:space="0" w:color="auto"/>
        <w:right w:val="none" w:sz="0" w:space="0" w:color="auto"/>
      </w:divBdr>
    </w:div>
    <w:div w:id="250510219">
      <w:bodyDiv w:val="1"/>
      <w:marLeft w:val="0"/>
      <w:marRight w:val="0"/>
      <w:marTop w:val="0"/>
      <w:marBottom w:val="0"/>
      <w:divBdr>
        <w:top w:val="none" w:sz="0" w:space="0" w:color="auto"/>
        <w:left w:val="none" w:sz="0" w:space="0" w:color="auto"/>
        <w:bottom w:val="none" w:sz="0" w:space="0" w:color="auto"/>
        <w:right w:val="none" w:sz="0" w:space="0" w:color="auto"/>
      </w:divBdr>
    </w:div>
    <w:div w:id="375473416">
      <w:bodyDiv w:val="1"/>
      <w:marLeft w:val="0"/>
      <w:marRight w:val="0"/>
      <w:marTop w:val="0"/>
      <w:marBottom w:val="0"/>
      <w:divBdr>
        <w:top w:val="none" w:sz="0" w:space="0" w:color="auto"/>
        <w:left w:val="none" w:sz="0" w:space="0" w:color="auto"/>
        <w:bottom w:val="none" w:sz="0" w:space="0" w:color="auto"/>
        <w:right w:val="none" w:sz="0" w:space="0" w:color="auto"/>
      </w:divBdr>
    </w:div>
    <w:div w:id="484666848">
      <w:bodyDiv w:val="1"/>
      <w:marLeft w:val="0"/>
      <w:marRight w:val="0"/>
      <w:marTop w:val="0"/>
      <w:marBottom w:val="0"/>
      <w:divBdr>
        <w:top w:val="none" w:sz="0" w:space="0" w:color="auto"/>
        <w:left w:val="none" w:sz="0" w:space="0" w:color="auto"/>
        <w:bottom w:val="none" w:sz="0" w:space="0" w:color="auto"/>
        <w:right w:val="none" w:sz="0" w:space="0" w:color="auto"/>
      </w:divBdr>
    </w:div>
    <w:div w:id="521479201">
      <w:bodyDiv w:val="1"/>
      <w:marLeft w:val="0"/>
      <w:marRight w:val="0"/>
      <w:marTop w:val="0"/>
      <w:marBottom w:val="0"/>
      <w:divBdr>
        <w:top w:val="none" w:sz="0" w:space="0" w:color="auto"/>
        <w:left w:val="none" w:sz="0" w:space="0" w:color="auto"/>
        <w:bottom w:val="none" w:sz="0" w:space="0" w:color="auto"/>
        <w:right w:val="none" w:sz="0" w:space="0" w:color="auto"/>
      </w:divBdr>
    </w:div>
    <w:div w:id="728041959">
      <w:bodyDiv w:val="1"/>
      <w:marLeft w:val="0"/>
      <w:marRight w:val="0"/>
      <w:marTop w:val="0"/>
      <w:marBottom w:val="0"/>
      <w:divBdr>
        <w:top w:val="none" w:sz="0" w:space="0" w:color="auto"/>
        <w:left w:val="none" w:sz="0" w:space="0" w:color="auto"/>
        <w:bottom w:val="none" w:sz="0" w:space="0" w:color="auto"/>
        <w:right w:val="none" w:sz="0" w:space="0" w:color="auto"/>
      </w:divBdr>
    </w:div>
    <w:div w:id="759179153">
      <w:bodyDiv w:val="1"/>
      <w:marLeft w:val="0"/>
      <w:marRight w:val="0"/>
      <w:marTop w:val="0"/>
      <w:marBottom w:val="0"/>
      <w:divBdr>
        <w:top w:val="none" w:sz="0" w:space="0" w:color="auto"/>
        <w:left w:val="none" w:sz="0" w:space="0" w:color="auto"/>
        <w:bottom w:val="none" w:sz="0" w:space="0" w:color="auto"/>
        <w:right w:val="none" w:sz="0" w:space="0" w:color="auto"/>
      </w:divBdr>
    </w:div>
    <w:div w:id="783614496">
      <w:bodyDiv w:val="1"/>
      <w:marLeft w:val="0"/>
      <w:marRight w:val="0"/>
      <w:marTop w:val="0"/>
      <w:marBottom w:val="0"/>
      <w:divBdr>
        <w:top w:val="none" w:sz="0" w:space="0" w:color="auto"/>
        <w:left w:val="none" w:sz="0" w:space="0" w:color="auto"/>
        <w:bottom w:val="none" w:sz="0" w:space="0" w:color="auto"/>
        <w:right w:val="none" w:sz="0" w:space="0" w:color="auto"/>
      </w:divBdr>
    </w:div>
    <w:div w:id="804542210">
      <w:bodyDiv w:val="1"/>
      <w:marLeft w:val="0"/>
      <w:marRight w:val="0"/>
      <w:marTop w:val="0"/>
      <w:marBottom w:val="0"/>
      <w:divBdr>
        <w:top w:val="none" w:sz="0" w:space="0" w:color="auto"/>
        <w:left w:val="none" w:sz="0" w:space="0" w:color="auto"/>
        <w:bottom w:val="none" w:sz="0" w:space="0" w:color="auto"/>
        <w:right w:val="none" w:sz="0" w:space="0" w:color="auto"/>
      </w:divBdr>
    </w:div>
    <w:div w:id="807625324">
      <w:bodyDiv w:val="1"/>
      <w:marLeft w:val="0"/>
      <w:marRight w:val="0"/>
      <w:marTop w:val="0"/>
      <w:marBottom w:val="0"/>
      <w:divBdr>
        <w:top w:val="none" w:sz="0" w:space="0" w:color="auto"/>
        <w:left w:val="none" w:sz="0" w:space="0" w:color="auto"/>
        <w:bottom w:val="none" w:sz="0" w:space="0" w:color="auto"/>
        <w:right w:val="none" w:sz="0" w:space="0" w:color="auto"/>
      </w:divBdr>
    </w:div>
    <w:div w:id="809516213">
      <w:bodyDiv w:val="1"/>
      <w:marLeft w:val="0"/>
      <w:marRight w:val="0"/>
      <w:marTop w:val="0"/>
      <w:marBottom w:val="0"/>
      <w:divBdr>
        <w:top w:val="none" w:sz="0" w:space="0" w:color="auto"/>
        <w:left w:val="none" w:sz="0" w:space="0" w:color="auto"/>
        <w:bottom w:val="none" w:sz="0" w:space="0" w:color="auto"/>
        <w:right w:val="none" w:sz="0" w:space="0" w:color="auto"/>
      </w:divBdr>
    </w:div>
    <w:div w:id="857044212">
      <w:bodyDiv w:val="1"/>
      <w:marLeft w:val="0"/>
      <w:marRight w:val="0"/>
      <w:marTop w:val="0"/>
      <w:marBottom w:val="0"/>
      <w:divBdr>
        <w:top w:val="none" w:sz="0" w:space="0" w:color="auto"/>
        <w:left w:val="none" w:sz="0" w:space="0" w:color="auto"/>
        <w:bottom w:val="none" w:sz="0" w:space="0" w:color="auto"/>
        <w:right w:val="none" w:sz="0" w:space="0" w:color="auto"/>
      </w:divBdr>
    </w:div>
    <w:div w:id="892816050">
      <w:bodyDiv w:val="1"/>
      <w:marLeft w:val="0"/>
      <w:marRight w:val="0"/>
      <w:marTop w:val="0"/>
      <w:marBottom w:val="0"/>
      <w:divBdr>
        <w:top w:val="none" w:sz="0" w:space="0" w:color="auto"/>
        <w:left w:val="none" w:sz="0" w:space="0" w:color="auto"/>
        <w:bottom w:val="none" w:sz="0" w:space="0" w:color="auto"/>
        <w:right w:val="none" w:sz="0" w:space="0" w:color="auto"/>
      </w:divBdr>
    </w:div>
    <w:div w:id="905720805">
      <w:bodyDiv w:val="1"/>
      <w:marLeft w:val="0"/>
      <w:marRight w:val="0"/>
      <w:marTop w:val="0"/>
      <w:marBottom w:val="0"/>
      <w:divBdr>
        <w:top w:val="none" w:sz="0" w:space="0" w:color="auto"/>
        <w:left w:val="none" w:sz="0" w:space="0" w:color="auto"/>
        <w:bottom w:val="none" w:sz="0" w:space="0" w:color="auto"/>
        <w:right w:val="none" w:sz="0" w:space="0" w:color="auto"/>
      </w:divBdr>
    </w:div>
    <w:div w:id="932979146">
      <w:bodyDiv w:val="1"/>
      <w:marLeft w:val="0"/>
      <w:marRight w:val="0"/>
      <w:marTop w:val="0"/>
      <w:marBottom w:val="0"/>
      <w:divBdr>
        <w:top w:val="none" w:sz="0" w:space="0" w:color="auto"/>
        <w:left w:val="none" w:sz="0" w:space="0" w:color="auto"/>
        <w:bottom w:val="none" w:sz="0" w:space="0" w:color="auto"/>
        <w:right w:val="none" w:sz="0" w:space="0" w:color="auto"/>
      </w:divBdr>
    </w:div>
    <w:div w:id="960840771">
      <w:bodyDiv w:val="1"/>
      <w:marLeft w:val="0"/>
      <w:marRight w:val="0"/>
      <w:marTop w:val="0"/>
      <w:marBottom w:val="0"/>
      <w:divBdr>
        <w:top w:val="none" w:sz="0" w:space="0" w:color="auto"/>
        <w:left w:val="none" w:sz="0" w:space="0" w:color="auto"/>
        <w:bottom w:val="none" w:sz="0" w:space="0" w:color="auto"/>
        <w:right w:val="none" w:sz="0" w:space="0" w:color="auto"/>
      </w:divBdr>
    </w:div>
    <w:div w:id="966080722">
      <w:bodyDiv w:val="1"/>
      <w:marLeft w:val="0"/>
      <w:marRight w:val="0"/>
      <w:marTop w:val="0"/>
      <w:marBottom w:val="0"/>
      <w:divBdr>
        <w:top w:val="none" w:sz="0" w:space="0" w:color="auto"/>
        <w:left w:val="none" w:sz="0" w:space="0" w:color="auto"/>
        <w:bottom w:val="none" w:sz="0" w:space="0" w:color="auto"/>
        <w:right w:val="none" w:sz="0" w:space="0" w:color="auto"/>
      </w:divBdr>
    </w:div>
    <w:div w:id="1112242907">
      <w:bodyDiv w:val="1"/>
      <w:marLeft w:val="0"/>
      <w:marRight w:val="0"/>
      <w:marTop w:val="0"/>
      <w:marBottom w:val="0"/>
      <w:divBdr>
        <w:top w:val="none" w:sz="0" w:space="0" w:color="auto"/>
        <w:left w:val="none" w:sz="0" w:space="0" w:color="auto"/>
        <w:bottom w:val="none" w:sz="0" w:space="0" w:color="auto"/>
        <w:right w:val="none" w:sz="0" w:space="0" w:color="auto"/>
      </w:divBdr>
    </w:div>
    <w:div w:id="1213077593">
      <w:bodyDiv w:val="1"/>
      <w:marLeft w:val="0"/>
      <w:marRight w:val="0"/>
      <w:marTop w:val="0"/>
      <w:marBottom w:val="0"/>
      <w:divBdr>
        <w:top w:val="none" w:sz="0" w:space="0" w:color="auto"/>
        <w:left w:val="none" w:sz="0" w:space="0" w:color="auto"/>
        <w:bottom w:val="none" w:sz="0" w:space="0" w:color="auto"/>
        <w:right w:val="none" w:sz="0" w:space="0" w:color="auto"/>
      </w:divBdr>
    </w:div>
    <w:div w:id="1245067843">
      <w:bodyDiv w:val="1"/>
      <w:marLeft w:val="0"/>
      <w:marRight w:val="0"/>
      <w:marTop w:val="0"/>
      <w:marBottom w:val="0"/>
      <w:divBdr>
        <w:top w:val="none" w:sz="0" w:space="0" w:color="auto"/>
        <w:left w:val="none" w:sz="0" w:space="0" w:color="auto"/>
        <w:bottom w:val="none" w:sz="0" w:space="0" w:color="auto"/>
        <w:right w:val="none" w:sz="0" w:space="0" w:color="auto"/>
      </w:divBdr>
    </w:div>
    <w:div w:id="1335113774">
      <w:bodyDiv w:val="1"/>
      <w:marLeft w:val="0"/>
      <w:marRight w:val="0"/>
      <w:marTop w:val="0"/>
      <w:marBottom w:val="0"/>
      <w:divBdr>
        <w:top w:val="none" w:sz="0" w:space="0" w:color="auto"/>
        <w:left w:val="none" w:sz="0" w:space="0" w:color="auto"/>
        <w:bottom w:val="none" w:sz="0" w:space="0" w:color="auto"/>
        <w:right w:val="none" w:sz="0" w:space="0" w:color="auto"/>
      </w:divBdr>
    </w:div>
    <w:div w:id="1481771543">
      <w:bodyDiv w:val="1"/>
      <w:marLeft w:val="0"/>
      <w:marRight w:val="0"/>
      <w:marTop w:val="0"/>
      <w:marBottom w:val="0"/>
      <w:divBdr>
        <w:top w:val="none" w:sz="0" w:space="0" w:color="auto"/>
        <w:left w:val="none" w:sz="0" w:space="0" w:color="auto"/>
        <w:bottom w:val="none" w:sz="0" w:space="0" w:color="auto"/>
        <w:right w:val="none" w:sz="0" w:space="0" w:color="auto"/>
      </w:divBdr>
    </w:div>
    <w:div w:id="1504511205">
      <w:bodyDiv w:val="1"/>
      <w:marLeft w:val="0"/>
      <w:marRight w:val="0"/>
      <w:marTop w:val="0"/>
      <w:marBottom w:val="0"/>
      <w:divBdr>
        <w:top w:val="none" w:sz="0" w:space="0" w:color="auto"/>
        <w:left w:val="none" w:sz="0" w:space="0" w:color="auto"/>
        <w:bottom w:val="none" w:sz="0" w:space="0" w:color="auto"/>
        <w:right w:val="none" w:sz="0" w:space="0" w:color="auto"/>
      </w:divBdr>
    </w:div>
    <w:div w:id="1534072149">
      <w:bodyDiv w:val="1"/>
      <w:marLeft w:val="0"/>
      <w:marRight w:val="0"/>
      <w:marTop w:val="0"/>
      <w:marBottom w:val="0"/>
      <w:divBdr>
        <w:top w:val="none" w:sz="0" w:space="0" w:color="auto"/>
        <w:left w:val="none" w:sz="0" w:space="0" w:color="auto"/>
        <w:bottom w:val="none" w:sz="0" w:space="0" w:color="auto"/>
        <w:right w:val="none" w:sz="0" w:space="0" w:color="auto"/>
      </w:divBdr>
    </w:div>
    <w:div w:id="1583561149">
      <w:bodyDiv w:val="1"/>
      <w:marLeft w:val="0"/>
      <w:marRight w:val="0"/>
      <w:marTop w:val="0"/>
      <w:marBottom w:val="0"/>
      <w:divBdr>
        <w:top w:val="none" w:sz="0" w:space="0" w:color="auto"/>
        <w:left w:val="none" w:sz="0" w:space="0" w:color="auto"/>
        <w:bottom w:val="none" w:sz="0" w:space="0" w:color="auto"/>
        <w:right w:val="none" w:sz="0" w:space="0" w:color="auto"/>
      </w:divBdr>
    </w:div>
    <w:div w:id="1624382850">
      <w:bodyDiv w:val="1"/>
      <w:marLeft w:val="0"/>
      <w:marRight w:val="0"/>
      <w:marTop w:val="0"/>
      <w:marBottom w:val="0"/>
      <w:divBdr>
        <w:top w:val="none" w:sz="0" w:space="0" w:color="auto"/>
        <w:left w:val="none" w:sz="0" w:space="0" w:color="auto"/>
        <w:bottom w:val="none" w:sz="0" w:space="0" w:color="auto"/>
        <w:right w:val="none" w:sz="0" w:space="0" w:color="auto"/>
      </w:divBdr>
    </w:div>
    <w:div w:id="1626812807">
      <w:bodyDiv w:val="1"/>
      <w:marLeft w:val="0"/>
      <w:marRight w:val="0"/>
      <w:marTop w:val="0"/>
      <w:marBottom w:val="0"/>
      <w:divBdr>
        <w:top w:val="none" w:sz="0" w:space="0" w:color="auto"/>
        <w:left w:val="none" w:sz="0" w:space="0" w:color="auto"/>
        <w:bottom w:val="none" w:sz="0" w:space="0" w:color="auto"/>
        <w:right w:val="none" w:sz="0" w:space="0" w:color="auto"/>
      </w:divBdr>
    </w:div>
    <w:div w:id="1627930448">
      <w:bodyDiv w:val="1"/>
      <w:marLeft w:val="0"/>
      <w:marRight w:val="0"/>
      <w:marTop w:val="0"/>
      <w:marBottom w:val="0"/>
      <w:divBdr>
        <w:top w:val="none" w:sz="0" w:space="0" w:color="auto"/>
        <w:left w:val="none" w:sz="0" w:space="0" w:color="auto"/>
        <w:bottom w:val="none" w:sz="0" w:space="0" w:color="auto"/>
        <w:right w:val="none" w:sz="0" w:space="0" w:color="auto"/>
      </w:divBdr>
    </w:div>
    <w:div w:id="1639187770">
      <w:bodyDiv w:val="1"/>
      <w:marLeft w:val="0"/>
      <w:marRight w:val="0"/>
      <w:marTop w:val="0"/>
      <w:marBottom w:val="0"/>
      <w:divBdr>
        <w:top w:val="none" w:sz="0" w:space="0" w:color="auto"/>
        <w:left w:val="none" w:sz="0" w:space="0" w:color="auto"/>
        <w:bottom w:val="none" w:sz="0" w:space="0" w:color="auto"/>
        <w:right w:val="none" w:sz="0" w:space="0" w:color="auto"/>
      </w:divBdr>
    </w:div>
    <w:div w:id="1769035463">
      <w:bodyDiv w:val="1"/>
      <w:marLeft w:val="0"/>
      <w:marRight w:val="0"/>
      <w:marTop w:val="0"/>
      <w:marBottom w:val="0"/>
      <w:divBdr>
        <w:top w:val="none" w:sz="0" w:space="0" w:color="auto"/>
        <w:left w:val="none" w:sz="0" w:space="0" w:color="auto"/>
        <w:bottom w:val="none" w:sz="0" w:space="0" w:color="auto"/>
        <w:right w:val="none" w:sz="0" w:space="0" w:color="auto"/>
      </w:divBdr>
    </w:div>
    <w:div w:id="1786196112">
      <w:bodyDiv w:val="1"/>
      <w:marLeft w:val="0"/>
      <w:marRight w:val="0"/>
      <w:marTop w:val="0"/>
      <w:marBottom w:val="0"/>
      <w:divBdr>
        <w:top w:val="none" w:sz="0" w:space="0" w:color="auto"/>
        <w:left w:val="none" w:sz="0" w:space="0" w:color="auto"/>
        <w:bottom w:val="none" w:sz="0" w:space="0" w:color="auto"/>
        <w:right w:val="none" w:sz="0" w:space="0" w:color="auto"/>
      </w:divBdr>
    </w:div>
    <w:div w:id="1864787372">
      <w:bodyDiv w:val="1"/>
      <w:marLeft w:val="0"/>
      <w:marRight w:val="0"/>
      <w:marTop w:val="0"/>
      <w:marBottom w:val="0"/>
      <w:divBdr>
        <w:top w:val="none" w:sz="0" w:space="0" w:color="auto"/>
        <w:left w:val="none" w:sz="0" w:space="0" w:color="auto"/>
        <w:bottom w:val="none" w:sz="0" w:space="0" w:color="auto"/>
        <w:right w:val="none" w:sz="0" w:space="0" w:color="auto"/>
      </w:divBdr>
    </w:div>
    <w:div w:id="1906256901">
      <w:bodyDiv w:val="1"/>
      <w:marLeft w:val="0"/>
      <w:marRight w:val="0"/>
      <w:marTop w:val="0"/>
      <w:marBottom w:val="0"/>
      <w:divBdr>
        <w:top w:val="none" w:sz="0" w:space="0" w:color="auto"/>
        <w:left w:val="none" w:sz="0" w:space="0" w:color="auto"/>
        <w:bottom w:val="none" w:sz="0" w:space="0" w:color="auto"/>
        <w:right w:val="none" w:sz="0" w:space="0" w:color="auto"/>
      </w:divBdr>
    </w:div>
    <w:div w:id="1934433067">
      <w:bodyDiv w:val="1"/>
      <w:marLeft w:val="0"/>
      <w:marRight w:val="0"/>
      <w:marTop w:val="0"/>
      <w:marBottom w:val="0"/>
      <w:divBdr>
        <w:top w:val="none" w:sz="0" w:space="0" w:color="auto"/>
        <w:left w:val="none" w:sz="0" w:space="0" w:color="auto"/>
        <w:bottom w:val="none" w:sz="0" w:space="0" w:color="auto"/>
        <w:right w:val="none" w:sz="0" w:space="0" w:color="auto"/>
      </w:divBdr>
    </w:div>
    <w:div w:id="1957321820">
      <w:bodyDiv w:val="1"/>
      <w:marLeft w:val="0"/>
      <w:marRight w:val="0"/>
      <w:marTop w:val="0"/>
      <w:marBottom w:val="0"/>
      <w:divBdr>
        <w:top w:val="none" w:sz="0" w:space="0" w:color="auto"/>
        <w:left w:val="none" w:sz="0" w:space="0" w:color="auto"/>
        <w:bottom w:val="none" w:sz="0" w:space="0" w:color="auto"/>
        <w:right w:val="none" w:sz="0" w:space="0" w:color="auto"/>
      </w:divBdr>
    </w:div>
    <w:div w:id="1985809555">
      <w:bodyDiv w:val="1"/>
      <w:marLeft w:val="0"/>
      <w:marRight w:val="0"/>
      <w:marTop w:val="0"/>
      <w:marBottom w:val="0"/>
      <w:divBdr>
        <w:top w:val="none" w:sz="0" w:space="0" w:color="auto"/>
        <w:left w:val="none" w:sz="0" w:space="0" w:color="auto"/>
        <w:bottom w:val="none" w:sz="0" w:space="0" w:color="auto"/>
        <w:right w:val="none" w:sz="0" w:space="0" w:color="auto"/>
      </w:divBdr>
    </w:div>
    <w:div w:id="2038970081">
      <w:bodyDiv w:val="1"/>
      <w:marLeft w:val="0"/>
      <w:marRight w:val="0"/>
      <w:marTop w:val="0"/>
      <w:marBottom w:val="0"/>
      <w:divBdr>
        <w:top w:val="none" w:sz="0" w:space="0" w:color="auto"/>
        <w:left w:val="none" w:sz="0" w:space="0" w:color="auto"/>
        <w:bottom w:val="none" w:sz="0" w:space="0" w:color="auto"/>
        <w:right w:val="none" w:sz="0" w:space="0" w:color="auto"/>
      </w:divBdr>
    </w:div>
    <w:div w:id="2041936191">
      <w:bodyDiv w:val="1"/>
      <w:marLeft w:val="0"/>
      <w:marRight w:val="0"/>
      <w:marTop w:val="0"/>
      <w:marBottom w:val="0"/>
      <w:divBdr>
        <w:top w:val="none" w:sz="0" w:space="0" w:color="auto"/>
        <w:left w:val="none" w:sz="0" w:space="0" w:color="auto"/>
        <w:bottom w:val="none" w:sz="0" w:space="0" w:color="auto"/>
        <w:right w:val="none" w:sz="0" w:space="0" w:color="auto"/>
      </w:divBdr>
    </w:div>
    <w:div w:id="2053535162">
      <w:bodyDiv w:val="1"/>
      <w:marLeft w:val="0"/>
      <w:marRight w:val="0"/>
      <w:marTop w:val="0"/>
      <w:marBottom w:val="0"/>
      <w:divBdr>
        <w:top w:val="none" w:sz="0" w:space="0" w:color="auto"/>
        <w:left w:val="none" w:sz="0" w:space="0" w:color="auto"/>
        <w:bottom w:val="none" w:sz="0" w:space="0" w:color="auto"/>
        <w:right w:val="none" w:sz="0" w:space="0" w:color="auto"/>
      </w:divBdr>
    </w:div>
    <w:div w:id="2057851788">
      <w:bodyDiv w:val="1"/>
      <w:marLeft w:val="0"/>
      <w:marRight w:val="0"/>
      <w:marTop w:val="0"/>
      <w:marBottom w:val="0"/>
      <w:divBdr>
        <w:top w:val="none" w:sz="0" w:space="0" w:color="auto"/>
        <w:left w:val="none" w:sz="0" w:space="0" w:color="auto"/>
        <w:bottom w:val="none" w:sz="0" w:space="0" w:color="auto"/>
        <w:right w:val="none" w:sz="0" w:space="0" w:color="auto"/>
      </w:divBdr>
    </w:div>
    <w:div w:id="209023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omex.org.mx/ipo3/lgt/indice/SMA/art_92_ii_b/1.web"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le.rae.es/?id=FdI00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dle.rae.es/?id=KtnHLLd" TargetMode="External"/><Relationship Id="rId3" Type="http://schemas.openxmlformats.org/officeDocument/2006/relationships/hyperlink" Target="http://dej.rae.es/" TargetMode="External"/><Relationship Id="rId7" Type="http://schemas.openxmlformats.org/officeDocument/2006/relationships/hyperlink" Target="http://dle.rae.es/?id=CAqWkEB" TargetMode="External"/><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 Id="rId6" Type="http://schemas.openxmlformats.org/officeDocument/2006/relationships/hyperlink" Target="http://dle.rae.es/?id=CAjNzMR" TargetMode="External"/><Relationship Id="rId5" Type="http://schemas.openxmlformats.org/officeDocument/2006/relationships/hyperlink" Target="http://dle.rae.es/?id=VGqyuLj|VGtxgAo|VGuc9Wg" TargetMode="External"/><Relationship Id="rId4" Type="http://schemas.openxmlformats.org/officeDocument/2006/relationships/hyperlink" Target="http://dej.rae.es/" TargetMode="External"/><Relationship Id="rId9" Type="http://schemas.openxmlformats.org/officeDocument/2006/relationships/hyperlink" Target="http://dle.rae.es/?id=Ktpfgj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25E5B-58E3-4F8C-87E0-587B3AAEE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36</Pages>
  <Words>6312</Words>
  <Characters>35980</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 Carlos Miranda Araiza</cp:lastModifiedBy>
  <cp:revision>20</cp:revision>
  <cp:lastPrinted>2019-08-14T22:43:00Z</cp:lastPrinted>
  <dcterms:created xsi:type="dcterms:W3CDTF">2020-04-16T23:12:00Z</dcterms:created>
  <dcterms:modified xsi:type="dcterms:W3CDTF">2020-08-23T14:39:00Z</dcterms:modified>
</cp:coreProperties>
</file>