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1968F5FC" w:rsidR="00E731A1" w:rsidRPr="00BE448F" w:rsidRDefault="000D5A1D" w:rsidP="00CB7B22">
      <w:pPr>
        <w:tabs>
          <w:tab w:val="center" w:pos="4419"/>
          <w:tab w:val="right" w:pos="8838"/>
        </w:tabs>
        <w:spacing w:before="240" w:after="240" w:line="360" w:lineRule="auto"/>
        <w:jc w:val="center"/>
        <w:rPr>
          <w:rFonts w:ascii="Palatino Linotype" w:hAnsi="Palatino Linotype"/>
          <w:b/>
        </w:rPr>
      </w:pPr>
      <w:r w:rsidRPr="00BE448F">
        <w:rPr>
          <w:rFonts w:ascii="Palatino Linotype" w:hAnsi="Palatino Linotype"/>
          <w:b/>
        </w:rPr>
        <w:t>LÍNEAS ARGUMENTATIVAS.</w:t>
      </w:r>
    </w:p>
    <w:p w14:paraId="4A304B2E" w14:textId="0C251622" w:rsidR="005351C0" w:rsidRPr="00BE448F" w:rsidRDefault="005351C0" w:rsidP="00CB7B22">
      <w:pPr>
        <w:spacing w:before="240" w:after="240" w:line="360" w:lineRule="auto"/>
        <w:jc w:val="both"/>
        <w:rPr>
          <w:rFonts w:ascii="Palatino Linotype" w:hAnsi="Palatino Linotype"/>
          <w:b/>
        </w:rPr>
      </w:pPr>
      <w:r w:rsidRPr="00BE448F">
        <w:rPr>
          <w:rFonts w:ascii="Palatino Linotype" w:eastAsia="MS Mincho" w:hAnsi="Palatino Linotype" w:cs="Times New Roman"/>
          <w:b/>
        </w:rPr>
        <w:t xml:space="preserve">RESPUESTAS IMPRECISAS O INCOMPLETAS, DEBER DE REPARACIÓN. </w:t>
      </w:r>
      <w:r w:rsidRPr="00BE448F">
        <w:rPr>
          <w:rFonts w:ascii="Palatino Linotype" w:eastAsia="MS Mincho" w:hAnsi="Palatino Linotype" w:cs="Times New Roman"/>
          <w:lang w:eastAsia="es-MX"/>
        </w:rPr>
        <w:t xml:space="preserve">Es </w:t>
      </w:r>
      <w:proofErr w:type="gramStart"/>
      <w:r w:rsidRPr="00BE448F">
        <w:rPr>
          <w:rFonts w:ascii="Palatino Linotype" w:eastAsia="MS Mincho" w:hAnsi="Palatino Linotype" w:cs="Times New Roman"/>
          <w:lang w:eastAsia="es-MX"/>
        </w:rPr>
        <w:t>obligación</w:t>
      </w:r>
      <w:proofErr w:type="gramEnd"/>
      <w:r w:rsidRPr="00BE448F">
        <w:rPr>
          <w:rFonts w:ascii="Palatino Linotype" w:eastAsia="MS Mincho" w:hAnsi="Palatino Linotype" w:cs="Times New Roman"/>
          <w:lang w:eastAsia="es-MX"/>
        </w:rPr>
        <w:t xml:space="preserve">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BE448F" w:rsidRPr="00BE448F">
        <w:rPr>
          <w:rFonts w:ascii="Palatino Linotype" w:eastAsia="MS Mincho" w:hAnsi="Palatino Linotype" w:cs="Times New Roman"/>
          <w:lang w:eastAsia="es-MX"/>
        </w:rPr>
        <w:t>.</w:t>
      </w:r>
    </w:p>
    <w:p w14:paraId="39C0FCA7" w14:textId="31113B10" w:rsidR="005351C0" w:rsidRPr="00BE448F" w:rsidRDefault="005351C0" w:rsidP="00CB7B22">
      <w:pPr>
        <w:spacing w:before="240" w:after="240" w:line="360" w:lineRule="auto"/>
        <w:jc w:val="both"/>
        <w:rPr>
          <w:rFonts w:ascii="Palatino Linotype" w:hAnsi="Palatino Linotype" w:cs="Arial"/>
        </w:rPr>
      </w:pPr>
      <w:r w:rsidRPr="00BE448F">
        <w:rPr>
          <w:rFonts w:ascii="Palatino Linotype" w:eastAsia="Calibri" w:hAnsi="Palatino Linotype" w:cs="Arial"/>
          <w:b/>
          <w:szCs w:val="22"/>
          <w:lang w:val="es-ES" w:eastAsia="es-MX"/>
        </w:rPr>
        <w:t>DE LAS FORMALIDADES LEGALES DE LA CLASIFICACIÓN DE LA INFORMACIÓN.</w:t>
      </w:r>
      <w:r w:rsidRPr="00BE448F">
        <w:rPr>
          <w:rFonts w:ascii="Palatino Linotype" w:eastAsia="Calibri" w:hAnsi="Palatino Linotype" w:cs="Arial"/>
          <w:szCs w:val="22"/>
          <w:lang w:val="es-ES" w:eastAsia="es-MX"/>
        </w:rPr>
        <w:t xml:space="preserve"> Para que los sujetos obligados procedan a la clasificación de la información como </w:t>
      </w:r>
      <w:r w:rsidR="00E31E5E" w:rsidRPr="00BE448F">
        <w:rPr>
          <w:rFonts w:ascii="Palatino Linotype" w:eastAsia="Calibri" w:hAnsi="Palatino Linotype" w:cs="Arial"/>
          <w:szCs w:val="22"/>
          <w:lang w:val="es-ES" w:eastAsia="es-MX"/>
        </w:rPr>
        <w:t>reservada</w:t>
      </w:r>
      <w:r w:rsidRPr="00BE448F">
        <w:rPr>
          <w:rFonts w:ascii="Palatino Linotype" w:eastAsia="Calibri" w:hAnsi="Palatino Linotype" w:cs="Arial"/>
          <w:szCs w:val="22"/>
          <w:lang w:val="es-ES" w:eastAsia="es-MX"/>
        </w:rPr>
        <w:t xml:space="preserve">, es necesario que en las documentales públicas </w:t>
      </w:r>
      <w:r w:rsidR="00E31E5E" w:rsidRPr="00BE448F">
        <w:rPr>
          <w:rFonts w:ascii="Palatino Linotype" w:eastAsia="Calibri" w:hAnsi="Palatino Linotype" w:cs="Arial"/>
          <w:szCs w:val="22"/>
          <w:lang w:val="es-ES" w:eastAsia="es-MX"/>
        </w:rPr>
        <w:t>se contenga información que comprometa la seguridad pública; menoscabe la conducción de negociaciones; ponga en riesgo la vida, seguridad o salud de una persona; obstruya o cause perjuicio a actividades de fiscalización, persecución de delitos o vulnere la sustanciación de investigaciones; entre otras.</w:t>
      </w:r>
      <w:r w:rsidRPr="00BE448F">
        <w:rPr>
          <w:rFonts w:ascii="Palatino Linotype" w:eastAsia="Calibri" w:hAnsi="Palatino Linotype" w:cs="Arial"/>
          <w:szCs w:val="22"/>
          <w:lang w:val="es-ES" w:eastAsia="es-MX"/>
        </w:rPr>
        <w:t xml:space="preserve"> </w:t>
      </w:r>
      <w:r w:rsidR="00E31E5E" w:rsidRPr="00BE448F">
        <w:rPr>
          <w:rFonts w:ascii="Palatino Linotype" w:eastAsia="Calibri" w:hAnsi="Palatino Linotype" w:cs="Arial"/>
          <w:szCs w:val="22"/>
          <w:lang w:val="es-ES" w:eastAsia="es-MX"/>
        </w:rPr>
        <w:t>P</w:t>
      </w:r>
      <w:r w:rsidRPr="00BE448F">
        <w:rPr>
          <w:rFonts w:ascii="Palatino Linotype" w:eastAsia="Calibri" w:hAnsi="Palatino Linotype" w:cs="Arial"/>
          <w:szCs w:val="22"/>
          <w:lang w:val="es-ES" w:eastAsia="es-MX"/>
        </w:rPr>
        <w:t>or lo que resulta necesario clasificarlas observando las formalidades que establece la Ley de Transparencia y Acceso a la Información Pública del Estado de México y Municipio, en sus artículos 49 fracción</w:t>
      </w:r>
      <w:r w:rsidRPr="00BE448F">
        <w:rPr>
          <w:rFonts w:ascii="Palatino Linotype" w:eastAsia="Calibri" w:hAnsi="Palatino Linotype" w:cs="Arial"/>
          <w:bCs/>
          <w:lang w:val="es-MX" w:eastAsia="en-US"/>
        </w:rPr>
        <w:t xml:space="preserve"> VIII,</w:t>
      </w:r>
      <w:r w:rsidRPr="00BE448F">
        <w:rPr>
          <w:rFonts w:ascii="Palatino Linotype" w:eastAsia="Calibri" w:hAnsi="Palatino Linotype" w:cs="Arial"/>
          <w:szCs w:val="22"/>
          <w:lang w:val="es-ES" w:eastAsia="es-MX"/>
        </w:rPr>
        <w:t xml:space="preserve"> 122, 135 </w:t>
      </w:r>
      <w:r w:rsidR="00E31E5E" w:rsidRPr="00BE448F">
        <w:rPr>
          <w:rFonts w:ascii="Palatino Linotype" w:hAnsi="Palatino Linotype" w:cs="Arial"/>
        </w:rPr>
        <w:t>140 y 141, así como lo</w:t>
      </w:r>
      <w:r w:rsidRPr="00BE448F">
        <w:rPr>
          <w:rFonts w:ascii="Palatino Linotype" w:hAnsi="Palatino Linotype" w:cs="Arial"/>
        </w:rPr>
        <w:t xml:space="preserve"> establecido en los Lineamientos Generales en Materia de Clasificación</w:t>
      </w:r>
      <w:r w:rsidRPr="00BE448F">
        <w:rPr>
          <w:rFonts w:ascii="Palatino Linotype" w:hAnsi="Palatino Linotype"/>
        </w:rPr>
        <w:t xml:space="preserve"> </w:t>
      </w:r>
      <w:r w:rsidRPr="00BE448F">
        <w:rPr>
          <w:rFonts w:ascii="Palatino Linotype" w:hAnsi="Palatino Linotype" w:cs="Arial"/>
        </w:rPr>
        <w:t>y Desclasificación de la Información.</w:t>
      </w:r>
    </w:p>
    <w:p w14:paraId="669F889E" w14:textId="5CE49901" w:rsidR="008A5237" w:rsidRPr="00BE448F" w:rsidRDefault="008A5237" w:rsidP="00CB7B22">
      <w:pPr>
        <w:spacing w:line="360" w:lineRule="auto"/>
        <w:jc w:val="both"/>
        <w:rPr>
          <w:rFonts w:ascii="Palatino Linotype" w:eastAsia="MS Mincho" w:hAnsi="Palatino Linotype" w:cs="Times New Roman"/>
        </w:rPr>
      </w:pPr>
      <w:r w:rsidRPr="00BE448F">
        <w:rPr>
          <w:rFonts w:ascii="Palatino Linotype" w:eastAsia="MS Mincho" w:hAnsi="Palatino Linotype" w:cs="Times New Roman"/>
          <w:b/>
        </w:rPr>
        <w:t xml:space="preserve">DE LA SUPLENCIA DE LA QUEJA. </w:t>
      </w:r>
      <w:r w:rsidRPr="00BE448F">
        <w:rPr>
          <w:rFonts w:ascii="Palatino Linotype" w:eastAsia="MS Mincho" w:hAnsi="Palatino Linotype" w:cs="Times New Roman"/>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w:t>
      </w:r>
      <w:r w:rsidRPr="00BE448F">
        <w:rPr>
          <w:rFonts w:ascii="Palatino Linotype" w:eastAsia="MS Mincho" w:hAnsi="Palatino Linotype" w:cs="Times New Roman"/>
        </w:rPr>
        <w:lastRenderedPageBreak/>
        <w:t xml:space="preserve">corregir cualquier error o deficiencia en que hubiese incurrido el </w:t>
      </w:r>
      <w:proofErr w:type="spellStart"/>
      <w:r w:rsidRPr="00BE448F">
        <w:rPr>
          <w:rFonts w:ascii="Palatino Linotype" w:eastAsia="MS Mincho" w:hAnsi="Palatino Linotype" w:cs="Times New Roman"/>
        </w:rPr>
        <w:t>promovente</w:t>
      </w:r>
      <w:proofErr w:type="spellEnd"/>
      <w:r w:rsidRPr="00BE448F">
        <w:rPr>
          <w:rFonts w:ascii="Palatino Linotype" w:eastAsia="MS Mincho" w:hAnsi="Palatino Linotype" w:cs="Times New Roman"/>
        </w:rPr>
        <w:t xml:space="preserve"> al momento de formular su solicitud de información, ya que se presume que los particulares pueden no ser expertos en la materia, es por ello, que debe tenerse </w:t>
      </w:r>
      <w:r w:rsidR="00B12F29" w:rsidRPr="00BE448F">
        <w:rPr>
          <w:rFonts w:ascii="Palatino Linotype" w:eastAsia="MS Mincho" w:hAnsi="Palatino Linotype" w:cs="Times New Roman"/>
          <w:noProof/>
          <w:lang w:val="es-MX" w:eastAsia="es-MX"/>
        </w:rPr>
        <mc:AlternateContent>
          <mc:Choice Requires="wps">
            <w:drawing>
              <wp:anchor distT="0" distB="0" distL="114300" distR="114300" simplePos="0" relativeHeight="251659264" behindDoc="0" locked="0" layoutInCell="1" allowOverlap="1" wp14:anchorId="48CEB51F" wp14:editId="4F50F5C8">
                <wp:simplePos x="0" y="0"/>
                <wp:positionH relativeFrom="column">
                  <wp:posOffset>-99060</wp:posOffset>
                </wp:positionH>
                <wp:positionV relativeFrom="paragraph">
                  <wp:posOffset>1262379</wp:posOffset>
                </wp:positionV>
                <wp:extent cx="5753100" cy="623887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753100" cy="623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2A1CBDC" id="Conector recto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pt,99.4pt" to="445.2pt,5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" strokecolor="black [3040]"/>
            </w:pict>
          </mc:Fallback>
        </mc:AlternateContent>
      </w:r>
      <w:r w:rsidRPr="00BE448F">
        <w:rPr>
          <w:rFonts w:ascii="Palatino Linotype" w:eastAsia="MS Mincho" w:hAnsi="Palatino Linotype" w:cs="Times New Roman"/>
        </w:rPr>
        <w:t xml:space="preserve">siempre presente esta figura procedimental, bajo el principio </w:t>
      </w:r>
      <w:proofErr w:type="spellStart"/>
      <w:r w:rsidRPr="00BE448F">
        <w:rPr>
          <w:rFonts w:ascii="Palatino Linotype" w:eastAsia="MS Mincho" w:hAnsi="Palatino Linotype" w:cs="Times New Roman"/>
        </w:rPr>
        <w:t>pro</w:t>
      </w:r>
      <w:proofErr w:type="spellEnd"/>
      <w:r w:rsidRPr="00BE448F">
        <w:rPr>
          <w:rFonts w:ascii="Palatino Linotype" w:eastAsia="MS Mincho" w:hAnsi="Palatino Linotype" w:cs="Times New Roman"/>
        </w:rPr>
        <w:t xml:space="preserve"> persona.</w:t>
      </w:r>
    </w:p>
    <w:p w14:paraId="2DBB6724" w14:textId="2FA2A41B" w:rsidR="00F509B9" w:rsidRPr="00BE448F" w:rsidRDefault="00BE4F24" w:rsidP="00CB7B22">
      <w:pPr>
        <w:spacing w:line="360" w:lineRule="auto"/>
        <w:rPr>
          <w:rFonts w:ascii="Palatino Linotype" w:eastAsia="Times New Roman" w:hAnsi="Palatino Linotype" w:cs="Times New Roman"/>
          <w:b/>
        </w:rPr>
      </w:pPr>
      <w:r w:rsidRPr="00BE448F">
        <w:rPr>
          <w:rFonts w:ascii="Palatino Linotype" w:hAnsi="Palatino Linotype" w:cs="Arial"/>
          <w:lang w:val="es-MX"/>
        </w:rPr>
        <w:br w:type="page"/>
      </w:r>
    </w:p>
    <w:p w14:paraId="16CF6752" w14:textId="70BCCF0E" w:rsidR="00F509B9" w:rsidRPr="00BE448F" w:rsidRDefault="00A20B1F" w:rsidP="00CB7B22">
      <w:pPr>
        <w:spacing w:line="360" w:lineRule="auto"/>
        <w:jc w:val="center"/>
        <w:rPr>
          <w:rFonts w:ascii="Palatino Linotype" w:eastAsia="Times New Roman" w:hAnsi="Palatino Linotype" w:cs="Times New Roman"/>
          <w:b/>
        </w:rPr>
      </w:pPr>
      <w:r w:rsidRPr="00BE448F">
        <w:rPr>
          <w:rFonts w:ascii="Palatino Linotype" w:eastAsia="Times New Roman" w:hAnsi="Palatino Linotype" w:cs="Times New Roman"/>
          <w:b/>
        </w:rPr>
        <w:lastRenderedPageBreak/>
        <w:t>ÍNDICE</w:t>
      </w:r>
    </w:p>
    <w:sdt>
      <w:sdtPr>
        <w:rPr>
          <w:b/>
          <w:sz w:val="22"/>
          <w:szCs w:val="22"/>
          <w:lang w:val="es-ES"/>
        </w:rPr>
        <w:id w:val="-1245946457"/>
        <w:docPartObj>
          <w:docPartGallery w:val="Table of Contents"/>
          <w:docPartUnique/>
        </w:docPartObj>
      </w:sdtPr>
      <w:sdtContent>
        <w:p w14:paraId="79761BC1" w14:textId="77777777" w:rsidR="00E4244F" w:rsidRPr="00BE448F" w:rsidRDefault="00185B0D" w:rsidP="00E4244F">
          <w:pPr>
            <w:pStyle w:val="TDC1"/>
            <w:tabs>
              <w:tab w:val="left" w:pos="0"/>
            </w:tabs>
            <w:spacing w:line="240" w:lineRule="auto"/>
            <w:ind w:left="0" w:firstLine="0"/>
            <w:rPr>
              <w:rFonts w:ascii="Palatino Linotype" w:hAnsi="Palatino Linotype"/>
              <w:noProof/>
              <w:sz w:val="22"/>
              <w:szCs w:val="22"/>
              <w:lang w:val="es-MX" w:eastAsia="es-MX"/>
            </w:rPr>
          </w:pPr>
          <w:r w:rsidRPr="00BE448F">
            <w:rPr>
              <w:rFonts w:ascii="Palatino Linotype" w:hAnsi="Palatino Linotype"/>
              <w:b/>
              <w:sz w:val="22"/>
              <w:szCs w:val="22"/>
            </w:rPr>
            <w:fldChar w:fldCharType="begin"/>
          </w:r>
          <w:r w:rsidRPr="00BE448F">
            <w:rPr>
              <w:rFonts w:ascii="Palatino Linotype" w:hAnsi="Palatino Linotype"/>
              <w:b/>
              <w:sz w:val="22"/>
              <w:szCs w:val="22"/>
            </w:rPr>
            <w:instrText xml:space="preserve"> TOC \o "1-4" \h \z \u </w:instrText>
          </w:r>
          <w:r w:rsidRPr="00BE448F">
            <w:rPr>
              <w:rFonts w:ascii="Palatino Linotype" w:hAnsi="Palatino Linotype"/>
              <w:b/>
              <w:sz w:val="22"/>
              <w:szCs w:val="22"/>
            </w:rPr>
            <w:fldChar w:fldCharType="separate"/>
          </w:r>
          <w:hyperlink w:anchor="_Toc54877498" w:history="1">
            <w:r w:rsidR="00E4244F" w:rsidRPr="00BE448F">
              <w:rPr>
                <w:rStyle w:val="Hipervnculo"/>
                <w:rFonts w:ascii="Palatino Linotype" w:hAnsi="Palatino Linotype"/>
                <w:b/>
                <w:noProof/>
              </w:rPr>
              <w:t>ANTECEDENTES</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_Toc54877498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4</w:t>
            </w:r>
            <w:r w:rsidR="00E4244F" w:rsidRPr="00BE448F">
              <w:rPr>
                <w:rFonts w:ascii="Palatino Linotype" w:hAnsi="Palatino Linotype"/>
                <w:noProof/>
                <w:webHidden/>
              </w:rPr>
              <w:fldChar w:fldCharType="end"/>
            </w:r>
          </w:hyperlink>
        </w:p>
        <w:p w14:paraId="4313BC84"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499" w:history="1">
            <w:r w:rsidR="00E4244F" w:rsidRPr="00BE448F">
              <w:rPr>
                <w:rStyle w:val="Hipervnculo"/>
                <w:rFonts w:ascii="Palatino Linotype" w:hAnsi="Palatino Linotype"/>
                <w:b/>
                <w:noProof/>
              </w:rPr>
              <w:t>CONSIDERANDO</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_Toc54877499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8</w:t>
            </w:r>
            <w:r w:rsidR="00E4244F" w:rsidRPr="00BE448F">
              <w:rPr>
                <w:rFonts w:ascii="Palatino Linotype" w:hAnsi="Palatino Linotype"/>
                <w:noProof/>
                <w:webHidden/>
              </w:rPr>
              <w:fldChar w:fldCharType="end"/>
            </w:r>
          </w:hyperlink>
        </w:p>
        <w:p w14:paraId="6733E21A" w14:textId="77777777" w:rsidR="00E4244F" w:rsidRPr="00BE448F" w:rsidRDefault="00077ECF" w:rsidP="00E4244F">
          <w:pPr>
            <w:pStyle w:val="TDC2"/>
            <w:tabs>
              <w:tab w:val="left" w:pos="0"/>
            </w:tabs>
            <w:spacing w:line="240" w:lineRule="auto"/>
            <w:ind w:left="0" w:firstLine="0"/>
            <w:rPr>
              <w:rFonts w:ascii="Palatino Linotype" w:hAnsi="Palatino Linotype"/>
              <w:noProof/>
              <w:sz w:val="22"/>
              <w:szCs w:val="22"/>
              <w:lang w:val="es-MX" w:eastAsia="es-MX"/>
            </w:rPr>
          </w:pPr>
          <w:hyperlink w:anchor="_Toc54877500" w:history="1">
            <w:r w:rsidR="00E4244F" w:rsidRPr="00BE448F">
              <w:rPr>
                <w:rStyle w:val="Hipervnculo"/>
                <w:rFonts w:ascii="Palatino Linotype" w:hAnsi="Palatino Linotype"/>
                <w:b/>
                <w:noProof/>
              </w:rPr>
              <w:t>PRIMERO. De la competencia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_Toc54877500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8</w:t>
            </w:r>
            <w:r w:rsidR="00E4244F" w:rsidRPr="00BE448F">
              <w:rPr>
                <w:rFonts w:ascii="Palatino Linotype" w:hAnsi="Palatino Linotype"/>
                <w:noProof/>
                <w:webHidden/>
              </w:rPr>
              <w:fldChar w:fldCharType="end"/>
            </w:r>
          </w:hyperlink>
        </w:p>
        <w:p w14:paraId="4C75EA98" w14:textId="77777777" w:rsidR="00E4244F" w:rsidRPr="00BE448F" w:rsidRDefault="00077ECF" w:rsidP="00E4244F">
          <w:pPr>
            <w:pStyle w:val="TDC2"/>
            <w:tabs>
              <w:tab w:val="left" w:pos="0"/>
            </w:tabs>
            <w:spacing w:line="240" w:lineRule="auto"/>
            <w:ind w:left="0" w:firstLine="0"/>
            <w:rPr>
              <w:rFonts w:ascii="Palatino Linotype" w:hAnsi="Palatino Linotype"/>
              <w:noProof/>
              <w:sz w:val="22"/>
              <w:szCs w:val="22"/>
              <w:lang w:val="es-MX" w:eastAsia="es-MX"/>
            </w:rPr>
          </w:pPr>
          <w:hyperlink w:anchor="_Toc54877501" w:history="1">
            <w:r w:rsidR="00E4244F" w:rsidRPr="00BE448F">
              <w:rPr>
                <w:rStyle w:val="Hipervnculo"/>
                <w:rFonts w:ascii="Palatino Linotype" w:hAnsi="Palatino Linotype"/>
                <w:b/>
                <w:noProof/>
              </w:rPr>
              <w:t>SEGUNDO. De la oportunidad y procedencia.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_Toc54877501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9</w:t>
            </w:r>
            <w:r w:rsidR="00E4244F" w:rsidRPr="00BE448F">
              <w:rPr>
                <w:rFonts w:ascii="Palatino Linotype" w:hAnsi="Palatino Linotype"/>
                <w:noProof/>
                <w:webHidden/>
              </w:rPr>
              <w:fldChar w:fldCharType="end"/>
            </w:r>
          </w:hyperlink>
        </w:p>
        <w:p w14:paraId="62B59951"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02" w:history="1">
            <w:r w:rsidR="00E4244F" w:rsidRPr="00BE448F">
              <w:rPr>
                <w:rStyle w:val="Hipervnculo"/>
                <w:rFonts w:ascii="Palatino Linotype" w:hAnsi="Palatino Linotype"/>
                <w:b/>
                <w:noProof/>
              </w:rPr>
              <w:t xml:space="preserve">TERCERO. Del planteamiento de la </w:t>
            </w:r>
            <w:r w:rsidR="00E4244F" w:rsidRPr="00BE448F">
              <w:rPr>
                <w:rStyle w:val="Hipervnculo"/>
                <w:rFonts w:ascii="Palatino Linotype" w:hAnsi="Palatino Linotype"/>
                <w:b/>
                <w:i/>
                <w:noProof/>
              </w:rPr>
              <w:t>Litis.</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_Toc54877502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10</w:t>
            </w:r>
            <w:r w:rsidR="00E4244F" w:rsidRPr="00BE448F">
              <w:rPr>
                <w:rFonts w:ascii="Palatino Linotype" w:hAnsi="Palatino Linotype"/>
                <w:noProof/>
                <w:webHidden/>
              </w:rPr>
              <w:fldChar w:fldCharType="end"/>
            </w:r>
          </w:hyperlink>
        </w:p>
        <w:p w14:paraId="6BC798EE"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03" w:history="1">
            <w:r w:rsidR="00E4244F" w:rsidRPr="00BE448F">
              <w:rPr>
                <w:rStyle w:val="Hipervnculo"/>
                <w:rFonts w:ascii="Palatino Linotype" w:hAnsi="Palatino Linotype"/>
                <w:b/>
                <w:noProof/>
              </w:rPr>
              <w:t>CUARTO.</w:t>
            </w:r>
            <w:r w:rsidR="00E4244F" w:rsidRPr="00BE448F">
              <w:rPr>
                <w:rStyle w:val="Hipervnculo"/>
                <w:rFonts w:ascii="Palatino Linotype" w:hAnsi="Palatino Linotype"/>
                <w:noProof/>
              </w:rPr>
              <w:t xml:space="preserve"> </w:t>
            </w:r>
            <w:r w:rsidR="00E4244F" w:rsidRPr="00BE448F">
              <w:rPr>
                <w:rStyle w:val="Hipervnculo"/>
                <w:rFonts w:ascii="Palatino Linotype" w:hAnsi="Palatino Linotype"/>
                <w:b/>
                <w:noProof/>
              </w:rPr>
              <w:t>Del estudio y resolución del asunto.</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_Toc54877503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11</w:t>
            </w:r>
            <w:r w:rsidR="00E4244F" w:rsidRPr="00BE448F">
              <w:rPr>
                <w:rFonts w:ascii="Palatino Linotype" w:hAnsi="Palatino Linotype"/>
                <w:noProof/>
                <w:webHidden/>
              </w:rPr>
              <w:fldChar w:fldCharType="end"/>
            </w:r>
          </w:hyperlink>
        </w:p>
        <w:p w14:paraId="6342E0DD"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04" w:history="1">
            <w:r w:rsidR="00E4244F" w:rsidRPr="00BE448F">
              <w:rPr>
                <w:rStyle w:val="Hipervnculo"/>
                <w:rFonts w:ascii="Palatino Linotype" w:eastAsiaTheme="majorEastAsia" w:hAnsi="Palatino Linotype" w:cstheme="majorBidi"/>
                <w:b/>
                <w:noProof/>
                <w:lang w:val="es-MX" w:eastAsia="en-US"/>
              </w:rPr>
              <w:t>I. Del deber de las autoridades de promover, respetar, proteger, y garantizar los derechos humanos.</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_Toc54877504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11</w:t>
            </w:r>
            <w:r w:rsidR="00E4244F" w:rsidRPr="00BE448F">
              <w:rPr>
                <w:rFonts w:ascii="Palatino Linotype" w:hAnsi="Palatino Linotype"/>
                <w:noProof/>
                <w:webHidden/>
              </w:rPr>
              <w:fldChar w:fldCharType="end"/>
            </w:r>
          </w:hyperlink>
        </w:p>
        <w:p w14:paraId="17B9689C"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05" w:history="1">
            <w:r w:rsidR="00E4244F" w:rsidRPr="00BE448F">
              <w:rPr>
                <w:rStyle w:val="Hipervnculo"/>
                <w:rFonts w:ascii="Palatino Linotype" w:hAnsi="Palatino Linotype"/>
                <w:b/>
                <w:noProof/>
              </w:rPr>
              <w:t>II. De la Información Solicitada.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_Toc54877505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15</w:t>
            </w:r>
            <w:r w:rsidR="00E4244F" w:rsidRPr="00BE448F">
              <w:rPr>
                <w:rFonts w:ascii="Palatino Linotype" w:hAnsi="Palatino Linotype"/>
                <w:noProof/>
                <w:webHidden/>
              </w:rPr>
              <w:fldChar w:fldCharType="end"/>
            </w:r>
          </w:hyperlink>
        </w:p>
        <w:p w14:paraId="3EEEF8D8"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06" w:history="1">
            <w:r w:rsidR="00E4244F" w:rsidRPr="00BE448F">
              <w:rPr>
                <w:rStyle w:val="Hipervnculo"/>
                <w:rFonts w:ascii="Palatino Linotype" w:hAnsi="Palatino Linotype"/>
                <w:b/>
                <w:noProof/>
              </w:rPr>
              <w:t>III. De la Suplencia Queja de la Información Solicitada.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_Toc54877506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21</w:t>
            </w:r>
            <w:r w:rsidR="00E4244F" w:rsidRPr="00BE448F">
              <w:rPr>
                <w:rFonts w:ascii="Palatino Linotype" w:hAnsi="Palatino Linotype"/>
                <w:noProof/>
                <w:webHidden/>
              </w:rPr>
              <w:fldChar w:fldCharType="end"/>
            </w:r>
          </w:hyperlink>
        </w:p>
        <w:p w14:paraId="70CD5DF1"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07" w:history="1">
            <w:r w:rsidR="00E4244F" w:rsidRPr="00BE448F">
              <w:rPr>
                <w:rStyle w:val="Hipervnculo"/>
                <w:rFonts w:ascii="Palatino Linotype" w:hAnsi="Palatino Linotype" w:cs="Arial"/>
                <w:b/>
                <w:noProof/>
              </w:rPr>
              <w:t>IV. De la Clasificación de la Información.</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_Toc54877507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27</w:t>
            </w:r>
            <w:r w:rsidR="00E4244F" w:rsidRPr="00BE448F">
              <w:rPr>
                <w:rFonts w:ascii="Palatino Linotype" w:hAnsi="Palatino Linotype"/>
                <w:noProof/>
                <w:webHidden/>
              </w:rPr>
              <w:fldChar w:fldCharType="end"/>
            </w:r>
          </w:hyperlink>
        </w:p>
        <w:p w14:paraId="1199E0D6"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08" w:history="1">
            <w:r w:rsidR="00E4244F" w:rsidRPr="00BE448F">
              <w:rPr>
                <w:rStyle w:val="Hipervnculo"/>
                <w:rFonts w:ascii="Palatino Linotype" w:eastAsia="Calibri" w:hAnsi="Palatino Linotype" w:cs="Arial"/>
                <w:b/>
                <w:bCs/>
                <w:noProof/>
              </w:rPr>
              <w:t>IV.I Condiciones especiales de la clasificación de la información como confidencial.</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_Toc54877508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47</w:t>
            </w:r>
            <w:r w:rsidR="00E4244F" w:rsidRPr="00BE448F">
              <w:rPr>
                <w:rFonts w:ascii="Palatino Linotype" w:hAnsi="Palatino Linotype"/>
                <w:noProof/>
                <w:webHidden/>
              </w:rPr>
              <w:fldChar w:fldCharType="end"/>
            </w:r>
          </w:hyperlink>
        </w:p>
        <w:p w14:paraId="57533600"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09" w:history="1">
            <w:r w:rsidR="00E4244F" w:rsidRPr="00BE448F">
              <w:rPr>
                <w:rStyle w:val="Hipervnculo"/>
                <w:rFonts w:ascii="Palatino Linotype" w:eastAsia="Calibri" w:hAnsi="Palatino Linotype" w:cs="Arial"/>
                <w:b/>
                <w:bCs/>
                <w:noProof/>
              </w:rPr>
              <w:t>IV.II Condiciones especiales de la clasificación de la información como reservada.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_Toc54877509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51</w:t>
            </w:r>
            <w:r w:rsidR="00E4244F" w:rsidRPr="00BE448F">
              <w:rPr>
                <w:rFonts w:ascii="Palatino Linotype" w:hAnsi="Palatino Linotype"/>
                <w:noProof/>
                <w:webHidden/>
              </w:rPr>
              <w:fldChar w:fldCharType="end"/>
            </w:r>
          </w:hyperlink>
        </w:p>
        <w:p w14:paraId="2E4B8A0C"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10" w:history="1">
            <w:r w:rsidR="00E4244F" w:rsidRPr="00BE448F">
              <w:rPr>
                <w:rStyle w:val="Hipervnculo"/>
                <w:rFonts w:ascii="Palatino Linotype" w:eastAsia="Calibri" w:hAnsi="Palatino Linotype" w:cs="Arial"/>
                <w:b/>
                <w:noProof/>
              </w:rPr>
              <w:t>IV.II.I De la prueba de daño.</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_Toc54877510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52</w:t>
            </w:r>
            <w:r w:rsidR="00E4244F" w:rsidRPr="00BE448F">
              <w:rPr>
                <w:rFonts w:ascii="Palatino Linotype" w:hAnsi="Palatino Linotype"/>
                <w:noProof/>
                <w:webHidden/>
              </w:rPr>
              <w:fldChar w:fldCharType="end"/>
            </w:r>
          </w:hyperlink>
        </w:p>
        <w:p w14:paraId="22FBC55A"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11" w:history="1">
            <w:r w:rsidR="00E4244F" w:rsidRPr="00BE448F">
              <w:rPr>
                <w:rStyle w:val="Hipervnculo"/>
                <w:rFonts w:ascii="Palatino Linotype" w:eastAsia="Calibri" w:hAnsi="Palatino Linotype" w:cs="Arial"/>
                <w:b/>
                <w:noProof/>
              </w:rPr>
              <w:t>IV.II.I.I Desarrollo de la prueba de daño.</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_Toc54877511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55</w:t>
            </w:r>
            <w:r w:rsidR="00E4244F" w:rsidRPr="00BE448F">
              <w:rPr>
                <w:rFonts w:ascii="Palatino Linotype" w:hAnsi="Palatino Linotype"/>
                <w:noProof/>
                <w:webHidden/>
              </w:rPr>
              <w:fldChar w:fldCharType="end"/>
            </w:r>
          </w:hyperlink>
        </w:p>
        <w:p w14:paraId="2FCEE31D" w14:textId="77777777" w:rsidR="00E4244F" w:rsidRPr="00BE448F" w:rsidRDefault="00077ECF" w:rsidP="00E4244F">
          <w:pPr>
            <w:pStyle w:val="TDC4"/>
            <w:tabs>
              <w:tab w:val="left" w:pos="0"/>
              <w:tab w:val="right" w:leader="dot" w:pos="8828"/>
            </w:tabs>
            <w:ind w:left="0"/>
            <w:rPr>
              <w:rFonts w:ascii="Palatino Linotype" w:hAnsi="Palatino Linotype"/>
              <w:noProof/>
              <w:sz w:val="22"/>
              <w:szCs w:val="22"/>
              <w:lang w:val="es-MX" w:eastAsia="es-MX"/>
            </w:rPr>
          </w:pPr>
          <w:hyperlink w:anchor="_Toc54877512" w:history="1">
            <w:r w:rsidR="00E4244F" w:rsidRPr="00BE448F">
              <w:rPr>
                <w:rStyle w:val="Hipervnculo"/>
                <w:rFonts w:ascii="Palatino Linotype" w:eastAsia="Calibri" w:hAnsi="Palatino Linotype" w:cs="Arial"/>
                <w:b/>
                <w:noProof/>
              </w:rPr>
              <w:t>IV.II.I.I.I La divulgación de la información representa un riesgo real, demostrable e identificable del perjuicio significativo al interés público o a la seguridad pública.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_Toc54877512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58</w:t>
            </w:r>
            <w:r w:rsidR="00E4244F" w:rsidRPr="00BE448F">
              <w:rPr>
                <w:rFonts w:ascii="Palatino Linotype" w:hAnsi="Palatino Linotype"/>
                <w:noProof/>
                <w:webHidden/>
              </w:rPr>
              <w:fldChar w:fldCharType="end"/>
            </w:r>
          </w:hyperlink>
        </w:p>
        <w:p w14:paraId="2EEBAC13" w14:textId="77777777" w:rsidR="00E4244F" w:rsidRPr="00BE448F" w:rsidRDefault="00077ECF" w:rsidP="00E4244F">
          <w:pPr>
            <w:pStyle w:val="TDC4"/>
            <w:tabs>
              <w:tab w:val="left" w:pos="0"/>
              <w:tab w:val="right" w:leader="dot" w:pos="8828"/>
            </w:tabs>
            <w:ind w:left="0"/>
            <w:rPr>
              <w:rFonts w:ascii="Palatino Linotype" w:hAnsi="Palatino Linotype"/>
              <w:noProof/>
              <w:sz w:val="22"/>
              <w:szCs w:val="22"/>
              <w:lang w:val="es-MX" w:eastAsia="es-MX"/>
            </w:rPr>
          </w:pPr>
          <w:hyperlink w:anchor="_Toc54877513" w:history="1">
            <w:r w:rsidR="00E4244F" w:rsidRPr="00BE448F">
              <w:rPr>
                <w:rStyle w:val="Hipervnculo"/>
                <w:rFonts w:ascii="Palatino Linotype" w:eastAsia="Calibri" w:hAnsi="Palatino Linotype" w:cs="Arial"/>
                <w:b/>
                <w:noProof/>
              </w:rPr>
              <w:t>IV.II.I.I.II El riesgo de perjuicio que supondría la divulgación supera el interés público general de que se difunda.</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_Toc54877513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61</w:t>
            </w:r>
            <w:r w:rsidR="00E4244F" w:rsidRPr="00BE448F">
              <w:rPr>
                <w:rFonts w:ascii="Palatino Linotype" w:hAnsi="Palatino Linotype"/>
                <w:noProof/>
                <w:webHidden/>
              </w:rPr>
              <w:fldChar w:fldCharType="end"/>
            </w:r>
          </w:hyperlink>
        </w:p>
        <w:p w14:paraId="223514E5" w14:textId="77777777" w:rsidR="00E4244F" w:rsidRPr="00BE448F" w:rsidRDefault="00077ECF" w:rsidP="00E4244F">
          <w:pPr>
            <w:pStyle w:val="TDC4"/>
            <w:tabs>
              <w:tab w:val="left" w:pos="0"/>
              <w:tab w:val="right" w:leader="dot" w:pos="8828"/>
            </w:tabs>
            <w:ind w:left="0"/>
            <w:rPr>
              <w:rFonts w:ascii="Palatino Linotype" w:hAnsi="Palatino Linotype"/>
              <w:noProof/>
              <w:sz w:val="22"/>
              <w:szCs w:val="22"/>
              <w:lang w:val="es-MX" w:eastAsia="es-MX"/>
            </w:rPr>
          </w:pPr>
          <w:hyperlink w:anchor="_Toc54877514" w:history="1">
            <w:r w:rsidR="00E4244F" w:rsidRPr="00BE448F">
              <w:rPr>
                <w:rStyle w:val="Hipervnculo"/>
                <w:rFonts w:ascii="Palatino Linotype" w:eastAsia="Calibri" w:hAnsi="Palatino Linotype" w:cs="Arial"/>
                <w:b/>
                <w:noProof/>
              </w:rPr>
              <w:t>IV.II.I.I.III. La protección se adecua al principio de proporcionalidad y representa el medio menos restrictivo disponible para evitar el perjuicio.</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_Toc54877514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64</w:t>
            </w:r>
            <w:r w:rsidR="00E4244F" w:rsidRPr="00BE448F">
              <w:rPr>
                <w:rFonts w:ascii="Palatino Linotype" w:hAnsi="Palatino Linotype"/>
                <w:noProof/>
                <w:webHidden/>
              </w:rPr>
              <w:fldChar w:fldCharType="end"/>
            </w:r>
          </w:hyperlink>
        </w:p>
        <w:p w14:paraId="696F4D4F"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15" w:history="1">
            <w:r w:rsidR="00E4244F" w:rsidRPr="00BE448F">
              <w:rPr>
                <w:rStyle w:val="Hipervnculo"/>
                <w:rFonts w:ascii="Palatino Linotype" w:eastAsia="Calibri" w:hAnsi="Palatino Linotype" w:cs="Arial"/>
                <w:b/>
                <w:bCs/>
                <w:noProof/>
              </w:rPr>
              <w:t>a) Primer juicio: el de idoneidad.</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_Toc54877515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66</w:t>
            </w:r>
            <w:r w:rsidR="00E4244F" w:rsidRPr="00BE448F">
              <w:rPr>
                <w:rFonts w:ascii="Palatino Linotype" w:hAnsi="Palatino Linotype"/>
                <w:noProof/>
                <w:webHidden/>
              </w:rPr>
              <w:fldChar w:fldCharType="end"/>
            </w:r>
          </w:hyperlink>
        </w:p>
        <w:p w14:paraId="6DF5D1C6"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16" w:history="1">
            <w:r w:rsidR="00E4244F" w:rsidRPr="00BE448F">
              <w:rPr>
                <w:rStyle w:val="Hipervnculo"/>
                <w:rFonts w:ascii="Palatino Linotype" w:eastAsia="Calibri" w:hAnsi="Palatino Linotype" w:cs="Arial"/>
                <w:b/>
                <w:bCs/>
                <w:noProof/>
              </w:rPr>
              <w:t>b) Segundo juicio: el de necesidad.</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_Toc54877516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69</w:t>
            </w:r>
            <w:r w:rsidR="00E4244F" w:rsidRPr="00BE448F">
              <w:rPr>
                <w:rFonts w:ascii="Palatino Linotype" w:hAnsi="Palatino Linotype"/>
                <w:noProof/>
                <w:webHidden/>
              </w:rPr>
              <w:fldChar w:fldCharType="end"/>
            </w:r>
          </w:hyperlink>
        </w:p>
        <w:p w14:paraId="0A7D7F5C"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17" w:history="1">
            <w:r w:rsidR="00E4244F" w:rsidRPr="00BE448F">
              <w:rPr>
                <w:rStyle w:val="Hipervnculo"/>
                <w:rFonts w:ascii="Palatino Linotype" w:eastAsia="Calibri" w:hAnsi="Palatino Linotype" w:cs="Arial"/>
                <w:b/>
                <w:bCs/>
                <w:noProof/>
              </w:rPr>
              <w:t>c) Tercer juicio: Estricta proporcionalidad.</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_Toc54877517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70</w:t>
            </w:r>
            <w:r w:rsidR="00E4244F" w:rsidRPr="00BE448F">
              <w:rPr>
                <w:rFonts w:ascii="Palatino Linotype" w:hAnsi="Palatino Linotype"/>
                <w:noProof/>
                <w:webHidden/>
              </w:rPr>
              <w:fldChar w:fldCharType="end"/>
            </w:r>
          </w:hyperlink>
        </w:p>
        <w:p w14:paraId="0B8BAB97" w14:textId="77777777" w:rsidR="00E4244F" w:rsidRPr="00BE448F" w:rsidRDefault="00077ECF" w:rsidP="00E4244F">
          <w:pPr>
            <w:pStyle w:val="TDC4"/>
            <w:tabs>
              <w:tab w:val="left" w:pos="0"/>
              <w:tab w:val="right" w:leader="dot" w:pos="8828"/>
            </w:tabs>
            <w:ind w:left="0"/>
            <w:rPr>
              <w:rFonts w:ascii="Palatino Linotype" w:hAnsi="Palatino Linotype"/>
              <w:noProof/>
              <w:sz w:val="22"/>
              <w:szCs w:val="22"/>
              <w:lang w:val="es-MX" w:eastAsia="es-MX"/>
            </w:rPr>
          </w:pPr>
          <w:hyperlink w:anchor="_Toc54877518" w:history="1">
            <w:r w:rsidR="00E4244F" w:rsidRPr="00BE448F">
              <w:rPr>
                <w:rStyle w:val="Hipervnculo"/>
                <w:rFonts w:ascii="Palatino Linotype" w:eastAsia="Calibri" w:hAnsi="Palatino Linotype" w:cs="Arial"/>
                <w:b/>
                <w:noProof/>
              </w:rPr>
              <w:t>IV.II.II Excepciones.</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_Toc54877518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73</w:t>
            </w:r>
            <w:r w:rsidR="00E4244F" w:rsidRPr="00BE448F">
              <w:rPr>
                <w:rFonts w:ascii="Palatino Linotype" w:hAnsi="Palatino Linotype"/>
                <w:noProof/>
                <w:webHidden/>
              </w:rPr>
              <w:fldChar w:fldCharType="end"/>
            </w:r>
          </w:hyperlink>
        </w:p>
        <w:p w14:paraId="0842780E"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19" w:history="1">
            <w:r w:rsidR="00E4244F" w:rsidRPr="00BE448F">
              <w:rPr>
                <w:rStyle w:val="Hipervnculo"/>
                <w:rFonts w:ascii="Palatino Linotype" w:eastAsia="Calibri" w:hAnsi="Palatino Linotype" w:cs="Arial"/>
                <w:b/>
                <w:bCs/>
                <w:noProof/>
              </w:rPr>
              <w:t>IV.II.III. Conclusión</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_Toc54877519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80</w:t>
            </w:r>
            <w:r w:rsidR="00E4244F" w:rsidRPr="00BE448F">
              <w:rPr>
                <w:rFonts w:ascii="Palatino Linotype" w:hAnsi="Palatino Linotype"/>
                <w:noProof/>
                <w:webHidden/>
              </w:rPr>
              <w:fldChar w:fldCharType="end"/>
            </w:r>
          </w:hyperlink>
        </w:p>
        <w:p w14:paraId="79046D66" w14:textId="77777777" w:rsidR="00E4244F" w:rsidRPr="00BE448F" w:rsidRDefault="00077ECF" w:rsidP="00E4244F">
          <w:pPr>
            <w:pStyle w:val="TDC3"/>
            <w:tabs>
              <w:tab w:val="left" w:pos="0"/>
              <w:tab w:val="right" w:leader="dot" w:pos="8828"/>
            </w:tabs>
            <w:ind w:left="0"/>
            <w:rPr>
              <w:rFonts w:ascii="Palatino Linotype" w:hAnsi="Palatino Linotype"/>
              <w:noProof/>
              <w:sz w:val="22"/>
              <w:szCs w:val="22"/>
              <w:lang w:val="es-MX" w:eastAsia="es-MX"/>
            </w:rPr>
          </w:pPr>
          <w:hyperlink w:anchor="_Toc54877520" w:history="1">
            <w:r w:rsidR="00E4244F" w:rsidRPr="00BE448F">
              <w:rPr>
                <w:rStyle w:val="Hipervnculo"/>
                <w:rFonts w:ascii="Palatino Linotype" w:eastAsia="Calibri" w:hAnsi="Palatino Linotype" w:cs="Arial"/>
                <w:b/>
                <w:noProof/>
              </w:rPr>
              <w:t>V. De la adecuada clasificación.</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_Toc54877520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81</w:t>
            </w:r>
            <w:r w:rsidR="00E4244F" w:rsidRPr="00BE448F">
              <w:rPr>
                <w:rFonts w:ascii="Palatino Linotype" w:hAnsi="Palatino Linotype"/>
                <w:noProof/>
                <w:webHidden/>
              </w:rPr>
              <w:fldChar w:fldCharType="end"/>
            </w:r>
          </w:hyperlink>
        </w:p>
        <w:p w14:paraId="39E5EAB9"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21" w:history="1">
            <w:r w:rsidR="00E4244F" w:rsidRPr="00BE448F">
              <w:rPr>
                <w:rStyle w:val="Hipervnculo"/>
                <w:rFonts w:ascii="Palatino Linotype" w:hAnsi="Palatino Linotype"/>
                <w:b/>
                <w:noProof/>
              </w:rPr>
              <w:t>QUINTO. De los procedimientos de sanción instados  por parte del Instituto de Transparencia, Acceso a la Información y Protección de Datos Personales y  la Vista a los órganos de control interno.</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_Toc54877521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89</w:t>
            </w:r>
            <w:r w:rsidR="00E4244F" w:rsidRPr="00BE448F">
              <w:rPr>
                <w:rFonts w:ascii="Palatino Linotype" w:hAnsi="Palatino Linotype"/>
                <w:noProof/>
                <w:webHidden/>
              </w:rPr>
              <w:fldChar w:fldCharType="end"/>
            </w:r>
          </w:hyperlink>
        </w:p>
        <w:p w14:paraId="446AA109" w14:textId="77777777" w:rsidR="00E4244F" w:rsidRPr="00BE448F" w:rsidRDefault="00077ECF" w:rsidP="00E4244F">
          <w:pPr>
            <w:pStyle w:val="TDC1"/>
            <w:tabs>
              <w:tab w:val="left" w:pos="0"/>
            </w:tabs>
            <w:spacing w:line="240" w:lineRule="auto"/>
            <w:ind w:left="0" w:firstLine="0"/>
            <w:rPr>
              <w:rFonts w:ascii="Palatino Linotype" w:hAnsi="Palatino Linotype"/>
              <w:noProof/>
              <w:sz w:val="22"/>
              <w:szCs w:val="22"/>
              <w:lang w:val="es-MX" w:eastAsia="es-MX"/>
            </w:rPr>
          </w:pPr>
          <w:hyperlink w:anchor="_Toc54877522" w:history="1">
            <w:r w:rsidR="00E4244F" w:rsidRPr="00BE448F">
              <w:rPr>
                <w:rStyle w:val="Hipervnculo"/>
                <w:rFonts w:ascii="Palatino Linotype" w:hAnsi="Palatino Linotype"/>
                <w:b/>
                <w:noProof/>
              </w:rPr>
              <w:t>R E S O L U T I V O S</w:t>
            </w:r>
            <w:r w:rsidR="00E4244F" w:rsidRPr="00BE448F">
              <w:rPr>
                <w:rFonts w:ascii="Palatino Linotype" w:hAnsi="Palatino Linotype"/>
                <w:noProof/>
                <w:webHidden/>
              </w:rPr>
              <w:tab/>
            </w:r>
            <w:r w:rsidR="00E4244F" w:rsidRPr="00BE448F">
              <w:rPr>
                <w:rFonts w:ascii="Palatino Linotype" w:hAnsi="Palatino Linotype"/>
                <w:noProof/>
                <w:webHidden/>
              </w:rPr>
              <w:fldChar w:fldCharType="begin"/>
            </w:r>
            <w:r w:rsidR="00E4244F" w:rsidRPr="00BE448F">
              <w:rPr>
                <w:rFonts w:ascii="Palatino Linotype" w:hAnsi="Palatino Linotype"/>
                <w:noProof/>
                <w:webHidden/>
              </w:rPr>
              <w:instrText xml:space="preserve"> PAGEREF _Toc54877522 \h </w:instrText>
            </w:r>
            <w:r w:rsidR="00E4244F" w:rsidRPr="00BE448F">
              <w:rPr>
                <w:rFonts w:ascii="Palatino Linotype" w:hAnsi="Palatino Linotype"/>
                <w:noProof/>
                <w:webHidden/>
              </w:rPr>
            </w:r>
            <w:r w:rsidR="00E4244F" w:rsidRPr="00BE448F">
              <w:rPr>
                <w:rFonts w:ascii="Palatino Linotype" w:hAnsi="Palatino Linotype"/>
                <w:noProof/>
                <w:webHidden/>
              </w:rPr>
              <w:fldChar w:fldCharType="separate"/>
            </w:r>
            <w:r w:rsidR="00E4244F" w:rsidRPr="00BE448F">
              <w:rPr>
                <w:rFonts w:ascii="Palatino Linotype" w:hAnsi="Palatino Linotype"/>
                <w:noProof/>
                <w:webHidden/>
              </w:rPr>
              <w:t>92</w:t>
            </w:r>
            <w:r w:rsidR="00E4244F" w:rsidRPr="00BE448F">
              <w:rPr>
                <w:rFonts w:ascii="Palatino Linotype" w:hAnsi="Palatino Linotype"/>
                <w:noProof/>
                <w:webHidden/>
              </w:rPr>
              <w:fldChar w:fldCharType="end"/>
            </w:r>
          </w:hyperlink>
        </w:p>
        <w:p w14:paraId="62016EB3" w14:textId="23CA3CEA" w:rsidR="000C1C1E" w:rsidRPr="00BE448F" w:rsidRDefault="00E4244F" w:rsidP="00CB7B22">
          <w:pPr>
            <w:tabs>
              <w:tab w:val="left" w:pos="567"/>
            </w:tabs>
            <w:spacing w:line="360" w:lineRule="auto"/>
            <w:ind w:right="49"/>
            <w:rPr>
              <w:rFonts w:ascii="Palatino Linotype" w:hAnsi="Palatino Linotype"/>
              <w:b/>
              <w:sz w:val="22"/>
              <w:szCs w:val="22"/>
            </w:rPr>
          </w:pPr>
          <w:r w:rsidRPr="00BE448F">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E569BCF" wp14:editId="798D7647">
                    <wp:simplePos x="0" y="0"/>
                    <wp:positionH relativeFrom="margin">
                      <wp:align>right</wp:align>
                    </wp:positionH>
                    <wp:positionV relativeFrom="paragraph">
                      <wp:posOffset>60960</wp:posOffset>
                    </wp:positionV>
                    <wp:extent cx="5514975" cy="59436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514975" cy="594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0A09811" id="Conector recto 1"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4.8pt" to="817.3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" strokecolor="black [3040]">
                    <w10:wrap anchorx="margin"/>
                  </v:line>
                </w:pict>
              </mc:Fallback>
            </mc:AlternateContent>
          </w:r>
          <w:r w:rsidR="00185B0D" w:rsidRPr="00BE448F">
            <w:rPr>
              <w:rFonts w:ascii="Palatino Linotype" w:hAnsi="Palatino Linotype"/>
              <w:b/>
              <w:sz w:val="22"/>
              <w:szCs w:val="22"/>
            </w:rPr>
            <w:fldChar w:fldCharType="end"/>
          </w:r>
        </w:p>
      </w:sdtContent>
    </w:sdt>
    <w:p w14:paraId="2E78434B" w14:textId="3FCC82FF" w:rsidR="00E4244F" w:rsidRPr="00BE448F" w:rsidRDefault="00E4244F" w:rsidP="00CB7B22">
      <w:pPr>
        <w:spacing w:before="240" w:after="240" w:line="360" w:lineRule="auto"/>
        <w:ind w:right="47"/>
        <w:jc w:val="both"/>
        <w:rPr>
          <w:rFonts w:ascii="Palatino Linotype" w:hAnsi="Palatino Linotype"/>
        </w:rPr>
      </w:pPr>
    </w:p>
    <w:p w14:paraId="56BA5BCD" w14:textId="77777777" w:rsidR="00E4244F" w:rsidRPr="00BE448F" w:rsidRDefault="00E4244F" w:rsidP="00CB7B22">
      <w:pPr>
        <w:spacing w:before="240" w:after="240" w:line="360" w:lineRule="auto"/>
        <w:ind w:right="47"/>
        <w:jc w:val="both"/>
        <w:rPr>
          <w:rFonts w:ascii="Palatino Linotype" w:hAnsi="Palatino Linotype"/>
        </w:rPr>
      </w:pPr>
    </w:p>
    <w:p w14:paraId="4660B338" w14:textId="3EBC2902" w:rsidR="00E4244F" w:rsidRPr="00BE448F" w:rsidRDefault="00E4244F" w:rsidP="00CB7B22">
      <w:pPr>
        <w:spacing w:before="240" w:after="240" w:line="360" w:lineRule="auto"/>
        <w:ind w:right="47"/>
        <w:jc w:val="both"/>
        <w:rPr>
          <w:rFonts w:ascii="Palatino Linotype" w:hAnsi="Palatino Linotype"/>
        </w:rPr>
      </w:pPr>
    </w:p>
    <w:p w14:paraId="486081F5" w14:textId="77777777" w:rsidR="00E4244F" w:rsidRPr="00BE448F" w:rsidRDefault="00E4244F" w:rsidP="00CB7B22">
      <w:pPr>
        <w:spacing w:before="240" w:after="240" w:line="360" w:lineRule="auto"/>
        <w:ind w:right="47"/>
        <w:jc w:val="both"/>
        <w:rPr>
          <w:rFonts w:ascii="Palatino Linotype" w:hAnsi="Palatino Linotype"/>
        </w:rPr>
      </w:pPr>
    </w:p>
    <w:p w14:paraId="39666082" w14:textId="703B4CA2" w:rsidR="00E4244F" w:rsidRPr="00BE448F" w:rsidRDefault="00E4244F" w:rsidP="00CB7B22">
      <w:pPr>
        <w:spacing w:before="240" w:after="240" w:line="360" w:lineRule="auto"/>
        <w:ind w:right="47"/>
        <w:jc w:val="both"/>
        <w:rPr>
          <w:rFonts w:ascii="Palatino Linotype" w:hAnsi="Palatino Linotype"/>
        </w:rPr>
      </w:pPr>
    </w:p>
    <w:p w14:paraId="2791202A" w14:textId="77777777" w:rsidR="00E4244F" w:rsidRPr="00BE448F" w:rsidRDefault="00E4244F" w:rsidP="00CB7B22">
      <w:pPr>
        <w:spacing w:before="240" w:after="240" w:line="360" w:lineRule="auto"/>
        <w:ind w:right="47"/>
        <w:jc w:val="both"/>
        <w:rPr>
          <w:rFonts w:ascii="Palatino Linotype" w:hAnsi="Palatino Linotype"/>
        </w:rPr>
      </w:pPr>
    </w:p>
    <w:p w14:paraId="058BA2EF" w14:textId="3E3F5854" w:rsidR="00E4244F" w:rsidRPr="00BE448F" w:rsidRDefault="00E4244F" w:rsidP="00CB7B22">
      <w:pPr>
        <w:spacing w:before="240" w:after="240" w:line="360" w:lineRule="auto"/>
        <w:ind w:right="47"/>
        <w:jc w:val="both"/>
        <w:rPr>
          <w:rFonts w:ascii="Palatino Linotype" w:hAnsi="Palatino Linotype"/>
        </w:rPr>
      </w:pPr>
    </w:p>
    <w:p w14:paraId="58F65CBA" w14:textId="77777777" w:rsidR="00E4244F" w:rsidRPr="00BE448F" w:rsidRDefault="00E4244F" w:rsidP="00CB7B22">
      <w:pPr>
        <w:spacing w:before="240" w:after="240" w:line="360" w:lineRule="auto"/>
        <w:ind w:right="47"/>
        <w:jc w:val="both"/>
        <w:rPr>
          <w:rFonts w:ascii="Palatino Linotype" w:hAnsi="Palatino Linotype"/>
        </w:rPr>
      </w:pPr>
    </w:p>
    <w:p w14:paraId="7E50245B" w14:textId="6438BD87" w:rsidR="00E4244F" w:rsidRPr="00BE448F" w:rsidRDefault="00E4244F" w:rsidP="00CB7B22">
      <w:pPr>
        <w:spacing w:before="240" w:after="240" w:line="360" w:lineRule="auto"/>
        <w:ind w:right="47"/>
        <w:jc w:val="both"/>
        <w:rPr>
          <w:rFonts w:ascii="Palatino Linotype" w:hAnsi="Palatino Linotype"/>
        </w:rPr>
      </w:pPr>
    </w:p>
    <w:p w14:paraId="06C84CD4" w14:textId="5FE7555F" w:rsidR="00E4244F" w:rsidRPr="00BE448F" w:rsidRDefault="00E4244F" w:rsidP="00CB7B22">
      <w:pPr>
        <w:spacing w:before="240" w:after="240" w:line="360" w:lineRule="auto"/>
        <w:ind w:right="47"/>
        <w:jc w:val="both"/>
        <w:rPr>
          <w:rFonts w:ascii="Palatino Linotype" w:hAnsi="Palatino Linotype"/>
        </w:rPr>
      </w:pPr>
    </w:p>
    <w:p w14:paraId="4D38208E" w14:textId="77777777" w:rsidR="00E4244F" w:rsidRPr="00BE448F" w:rsidRDefault="00E4244F" w:rsidP="00CB7B22">
      <w:pPr>
        <w:spacing w:before="240" w:after="240" w:line="360" w:lineRule="auto"/>
        <w:ind w:right="47"/>
        <w:jc w:val="both"/>
        <w:rPr>
          <w:rFonts w:ascii="Palatino Linotype" w:hAnsi="Palatino Linotype"/>
        </w:rPr>
      </w:pPr>
    </w:p>
    <w:p w14:paraId="30467D4E" w14:textId="77777777" w:rsidR="00E4244F" w:rsidRPr="00BE448F" w:rsidRDefault="00E4244F" w:rsidP="00CB7B22">
      <w:pPr>
        <w:spacing w:before="240" w:after="240" w:line="360" w:lineRule="auto"/>
        <w:ind w:right="47"/>
        <w:jc w:val="both"/>
        <w:rPr>
          <w:rFonts w:ascii="Palatino Linotype" w:hAnsi="Palatino Linotype"/>
        </w:rPr>
      </w:pPr>
    </w:p>
    <w:p w14:paraId="73F7F940" w14:textId="09854C6D" w:rsidR="00662C69" w:rsidRPr="00BE448F" w:rsidRDefault="009B11D6" w:rsidP="00CB7B22">
      <w:pPr>
        <w:spacing w:before="240" w:after="240" w:line="360" w:lineRule="auto"/>
        <w:ind w:right="47"/>
        <w:jc w:val="both"/>
        <w:rPr>
          <w:rFonts w:ascii="Palatino Linotype" w:hAnsi="Palatino Linotype"/>
        </w:rPr>
      </w:pPr>
      <w:r w:rsidRPr="00BE448F">
        <w:rPr>
          <w:rFonts w:ascii="Palatino Linotype" w:hAnsi="Palatino Linotype"/>
        </w:rPr>
        <w:lastRenderedPageBreak/>
        <w:t>R</w:t>
      </w:r>
      <w:r w:rsidR="00662C69" w:rsidRPr="00BE448F">
        <w:rPr>
          <w:rFonts w:ascii="Palatino Linotype" w:hAnsi="Palatino Linotype"/>
        </w:rPr>
        <w:t>esolución del Pleno del Instituto de Transparencia, Acceso a la Información Pública y Protección de Datos Personales del Estado de México y Mun</w:t>
      </w:r>
      <w:r w:rsidR="000D5A1D" w:rsidRPr="00BE448F">
        <w:rPr>
          <w:rFonts w:ascii="Palatino Linotype" w:hAnsi="Palatino Linotype"/>
        </w:rPr>
        <w:t>icipios, con</w:t>
      </w:r>
      <w:r w:rsidR="00662C69" w:rsidRPr="00BE448F">
        <w:rPr>
          <w:rFonts w:ascii="Palatino Linotype" w:hAnsi="Palatino Linotype"/>
        </w:rPr>
        <w:t xml:space="preserve"> </w:t>
      </w:r>
      <w:r w:rsidR="00485DB6" w:rsidRPr="00BE448F">
        <w:rPr>
          <w:rFonts w:ascii="Palatino Linotype" w:hAnsi="Palatino Linotype"/>
        </w:rPr>
        <w:t xml:space="preserve">domicilio </w:t>
      </w:r>
      <w:r w:rsidR="00662C69" w:rsidRPr="00BE448F">
        <w:rPr>
          <w:rFonts w:ascii="Palatino Linotype" w:hAnsi="Palatino Linotype"/>
        </w:rPr>
        <w:t>en Metepec, Estado de México</w:t>
      </w:r>
      <w:r w:rsidR="003217E4" w:rsidRPr="00BE448F">
        <w:rPr>
          <w:rFonts w:ascii="Palatino Linotype" w:hAnsi="Palatino Linotype"/>
        </w:rPr>
        <w:t>; de</w:t>
      </w:r>
      <w:r w:rsidR="00CF0623">
        <w:rPr>
          <w:rFonts w:ascii="Palatino Linotype" w:hAnsi="Palatino Linotype"/>
        </w:rPr>
        <w:t xml:space="preserve"> fecha</w:t>
      </w:r>
      <w:r w:rsidR="003217E4" w:rsidRPr="00BE448F">
        <w:rPr>
          <w:rFonts w:ascii="Palatino Linotype" w:hAnsi="Palatino Linotype"/>
        </w:rPr>
        <w:t xml:space="preserve"> cinco</w:t>
      </w:r>
      <w:r w:rsidR="00F227DF" w:rsidRPr="00BE448F">
        <w:rPr>
          <w:rFonts w:ascii="Palatino Linotype" w:hAnsi="Palatino Linotype"/>
        </w:rPr>
        <w:t xml:space="preserve"> (</w:t>
      </w:r>
      <w:r w:rsidR="003217E4" w:rsidRPr="00BE448F">
        <w:rPr>
          <w:rFonts w:ascii="Palatino Linotype" w:hAnsi="Palatino Linotype"/>
        </w:rPr>
        <w:t>05</w:t>
      </w:r>
      <w:r w:rsidR="00F227DF" w:rsidRPr="00BE448F">
        <w:rPr>
          <w:rFonts w:ascii="Palatino Linotype" w:hAnsi="Palatino Linotype"/>
        </w:rPr>
        <w:t>) de</w:t>
      </w:r>
      <w:r w:rsidR="003217E4" w:rsidRPr="00BE448F">
        <w:rPr>
          <w:rFonts w:ascii="Palatino Linotype" w:hAnsi="Palatino Linotype"/>
        </w:rPr>
        <w:t xml:space="preserve"> noviembre </w:t>
      </w:r>
      <w:r w:rsidR="00F227DF" w:rsidRPr="00BE448F">
        <w:rPr>
          <w:rFonts w:ascii="Palatino Linotype" w:hAnsi="Palatino Linotype"/>
        </w:rPr>
        <w:t>de dos mil veinte</w:t>
      </w:r>
      <w:r w:rsidR="00662C69" w:rsidRPr="00BE448F">
        <w:rPr>
          <w:rFonts w:ascii="Palatino Linotype" w:hAnsi="Palatino Linotype"/>
        </w:rPr>
        <w:t>.</w:t>
      </w:r>
    </w:p>
    <w:p w14:paraId="2171CFE0" w14:textId="0C2B041B" w:rsidR="00DA2F64" w:rsidRPr="00BE448F" w:rsidRDefault="00662C69" w:rsidP="00CB7B22">
      <w:pPr>
        <w:spacing w:before="240" w:after="360" w:line="360" w:lineRule="auto"/>
        <w:jc w:val="both"/>
        <w:rPr>
          <w:rFonts w:ascii="Palatino Linotype" w:hAnsi="Palatino Linotype"/>
        </w:rPr>
      </w:pPr>
      <w:r w:rsidRPr="00BE448F">
        <w:rPr>
          <w:rFonts w:ascii="Palatino Linotype" w:hAnsi="Palatino Linotype"/>
          <w:b/>
        </w:rPr>
        <w:t>VISTO</w:t>
      </w:r>
      <w:r w:rsidRPr="00BE448F">
        <w:rPr>
          <w:rFonts w:ascii="Palatino Linotype" w:hAnsi="Palatino Linotype"/>
        </w:rPr>
        <w:t xml:space="preserve"> </w:t>
      </w:r>
      <w:r w:rsidR="00BE4F24" w:rsidRPr="00BE448F">
        <w:rPr>
          <w:rFonts w:ascii="Palatino Linotype" w:hAnsi="Palatino Linotype"/>
        </w:rPr>
        <w:t>el</w:t>
      </w:r>
      <w:r w:rsidRPr="00BE448F">
        <w:rPr>
          <w:rFonts w:ascii="Palatino Linotype" w:hAnsi="Palatino Linotype"/>
        </w:rPr>
        <w:t xml:space="preserve"> expediente electrónico for</w:t>
      </w:r>
      <w:r w:rsidR="00335BFE" w:rsidRPr="00BE448F">
        <w:rPr>
          <w:rFonts w:ascii="Palatino Linotype" w:hAnsi="Palatino Linotype"/>
        </w:rPr>
        <w:t>mado con motivo del</w:t>
      </w:r>
      <w:r w:rsidRPr="00BE448F">
        <w:rPr>
          <w:rFonts w:ascii="Palatino Linotype" w:hAnsi="Palatino Linotype"/>
        </w:rPr>
        <w:t xml:space="preserve"> recurso</w:t>
      </w:r>
      <w:r w:rsidR="004B5C6B" w:rsidRPr="00BE448F">
        <w:rPr>
          <w:rFonts w:ascii="Palatino Linotype" w:hAnsi="Palatino Linotype"/>
        </w:rPr>
        <w:t xml:space="preserve"> de revisión </w:t>
      </w:r>
      <w:r w:rsidR="003217E4" w:rsidRPr="00BE448F">
        <w:rPr>
          <w:rFonts w:ascii="Palatino Linotype" w:hAnsi="Palatino Linotype"/>
          <w:b/>
        </w:rPr>
        <w:t xml:space="preserve">03508/INFOEM/IP/RR/2020, </w:t>
      </w:r>
      <w:r w:rsidR="00C63FAC" w:rsidRPr="00BE448F">
        <w:rPr>
          <w:rFonts w:ascii="Palatino Linotype" w:hAnsi="Palatino Linotype"/>
        </w:rPr>
        <w:t>promovido por</w:t>
      </w:r>
      <w:r w:rsidR="003217E4" w:rsidRPr="00BE448F">
        <w:rPr>
          <w:rFonts w:ascii="Palatino Linotype" w:hAnsi="Palatino Linotype"/>
          <w:b/>
        </w:rPr>
        <w:t xml:space="preserve"> </w:t>
      </w:r>
      <w:r w:rsidR="00077ECF" w:rsidRPr="00077ECF">
        <w:rPr>
          <w:rFonts w:ascii="Palatino Linotype" w:hAnsi="Palatino Linotype"/>
          <w:b/>
          <w:highlight w:val="black"/>
        </w:rPr>
        <w:t>---------------------------</w:t>
      </w:r>
      <w:r w:rsidR="00C63FAC" w:rsidRPr="00BE448F">
        <w:rPr>
          <w:rFonts w:ascii="Palatino Linotype" w:hAnsi="Palatino Linotype"/>
        </w:rPr>
        <w:t xml:space="preserve">, en contra de la respuesta del </w:t>
      </w:r>
      <w:r w:rsidR="003217E4" w:rsidRPr="00BE448F">
        <w:rPr>
          <w:rFonts w:ascii="Palatino Linotype" w:hAnsi="Palatino Linotype"/>
          <w:b/>
        </w:rPr>
        <w:t>Ayuntamiento de Tecámac</w:t>
      </w:r>
      <w:r w:rsidR="001A35DC" w:rsidRPr="00BE448F">
        <w:rPr>
          <w:rFonts w:ascii="Palatino Linotype" w:hAnsi="Palatino Linotype"/>
          <w:b/>
        </w:rPr>
        <w:t xml:space="preserve">, </w:t>
      </w:r>
      <w:r w:rsidR="00C63FAC" w:rsidRPr="00BE448F">
        <w:rPr>
          <w:rFonts w:ascii="Palatino Linotype" w:hAnsi="Palatino Linotype"/>
        </w:rPr>
        <w:t>en lo sucesivo el</w:t>
      </w:r>
      <w:r w:rsidR="00C63FAC" w:rsidRPr="00BE448F">
        <w:rPr>
          <w:rFonts w:ascii="Palatino Linotype" w:hAnsi="Palatino Linotype"/>
          <w:b/>
        </w:rPr>
        <w:t xml:space="preserve"> SUJETO OBLIGADO, </w:t>
      </w:r>
      <w:r w:rsidR="00C63FAC" w:rsidRPr="00BE448F">
        <w:rPr>
          <w:rFonts w:ascii="Palatino Linotype" w:hAnsi="Palatino Linotype"/>
        </w:rPr>
        <w:t>se procede a dictar la presente resolució</w:t>
      </w:r>
      <w:r w:rsidR="00186ABE" w:rsidRPr="00BE448F">
        <w:rPr>
          <w:rFonts w:ascii="Palatino Linotype" w:hAnsi="Palatino Linotype"/>
        </w:rPr>
        <w:t xml:space="preserve">n, con base en los siguientes: </w:t>
      </w:r>
    </w:p>
    <w:p w14:paraId="769E1410" w14:textId="093BA166" w:rsidR="00587366" w:rsidRPr="00BE448F" w:rsidRDefault="00662C69" w:rsidP="00CB7B22">
      <w:pPr>
        <w:pStyle w:val="Ttulo1"/>
        <w:spacing w:line="360" w:lineRule="auto"/>
        <w:jc w:val="center"/>
        <w:rPr>
          <w:b/>
        </w:rPr>
      </w:pPr>
      <w:bookmarkStart w:id="0" w:name="_Toc461555884"/>
      <w:bookmarkStart w:id="1" w:name="_Toc466371847"/>
      <w:bookmarkStart w:id="2" w:name="_Toc54877498"/>
      <w:r w:rsidRPr="00BE448F">
        <w:rPr>
          <w:b/>
        </w:rPr>
        <w:t>ANTECEDENTES</w:t>
      </w:r>
      <w:bookmarkEnd w:id="0"/>
      <w:bookmarkEnd w:id="1"/>
      <w:bookmarkEnd w:id="2"/>
    </w:p>
    <w:p w14:paraId="4F797A84" w14:textId="21836CFA" w:rsidR="00A40EF1" w:rsidRPr="00BE448F" w:rsidRDefault="00F243B4" w:rsidP="00CB7B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E448F">
        <w:rPr>
          <w:rFonts w:ascii="Palatino Linotype" w:eastAsia="Calibri" w:hAnsi="Palatino Linotype" w:cs="Arial"/>
          <w:lang w:val="es-ES"/>
        </w:rPr>
        <w:t xml:space="preserve">El </w:t>
      </w:r>
      <w:r w:rsidR="003217E4" w:rsidRPr="00BE448F">
        <w:rPr>
          <w:rFonts w:ascii="Palatino Linotype" w:eastAsia="Calibri" w:hAnsi="Palatino Linotype" w:cs="Arial"/>
          <w:lang w:val="es-ES"/>
        </w:rPr>
        <w:t>once (11</w:t>
      </w:r>
      <w:r w:rsidR="0010486E" w:rsidRPr="00BE448F">
        <w:rPr>
          <w:rFonts w:ascii="Palatino Linotype" w:eastAsia="Calibri" w:hAnsi="Palatino Linotype" w:cs="Arial"/>
          <w:lang w:val="es-ES"/>
        </w:rPr>
        <w:t>) de</w:t>
      </w:r>
      <w:r w:rsidR="00DC2579" w:rsidRPr="00BE448F">
        <w:rPr>
          <w:rFonts w:ascii="Palatino Linotype" w:eastAsia="Calibri" w:hAnsi="Palatino Linotype" w:cs="Arial"/>
          <w:lang w:val="es-ES"/>
        </w:rPr>
        <w:t xml:space="preserve"> </w:t>
      </w:r>
      <w:r w:rsidR="003217E4" w:rsidRPr="00BE448F">
        <w:rPr>
          <w:rFonts w:ascii="Palatino Linotype" w:eastAsia="Calibri" w:hAnsi="Palatino Linotype" w:cs="Arial"/>
          <w:lang w:val="es-ES"/>
        </w:rPr>
        <w:t xml:space="preserve">junio </w:t>
      </w:r>
      <w:r w:rsidR="0010486E" w:rsidRPr="00BE448F">
        <w:rPr>
          <w:rFonts w:ascii="Palatino Linotype" w:eastAsia="Calibri" w:hAnsi="Palatino Linotype" w:cs="Arial"/>
          <w:lang w:val="es-ES"/>
        </w:rPr>
        <w:t>de dos mil</w:t>
      </w:r>
      <w:r w:rsidR="003217E4" w:rsidRPr="00BE448F">
        <w:rPr>
          <w:rFonts w:ascii="Palatino Linotype" w:eastAsia="Calibri" w:hAnsi="Palatino Linotype" w:cs="Arial"/>
          <w:lang w:val="es-ES"/>
        </w:rPr>
        <w:t xml:space="preserve"> veinte</w:t>
      </w:r>
      <w:r w:rsidR="00DB4BEF" w:rsidRPr="00BE448F">
        <w:rPr>
          <w:rFonts w:ascii="Palatino Linotype" w:eastAsia="Calibri" w:hAnsi="Palatino Linotype" w:cs="Arial"/>
          <w:lang w:val="es-ES"/>
        </w:rPr>
        <w:t>,</w:t>
      </w:r>
      <w:r w:rsidR="00DB4BEF" w:rsidRPr="00BE448F">
        <w:rPr>
          <w:rFonts w:ascii="Palatino Linotype" w:eastAsia="Calibri" w:hAnsi="Palatino Linotype" w:cs="Times New Roman"/>
          <w:lang w:val="es-ES"/>
        </w:rPr>
        <w:t xml:space="preserve"> </w:t>
      </w:r>
      <w:r w:rsidR="003217E4" w:rsidRPr="00BE448F">
        <w:rPr>
          <w:rFonts w:ascii="Palatino Linotype" w:eastAsia="Calibri" w:hAnsi="Palatino Linotype" w:cs="Times New Roman"/>
          <w:lang w:val="es-ES"/>
        </w:rPr>
        <w:t>la</w:t>
      </w:r>
      <w:r w:rsidR="0010486E" w:rsidRPr="00BE448F">
        <w:rPr>
          <w:rFonts w:ascii="Palatino Linotype" w:eastAsia="Calibri" w:hAnsi="Palatino Linotype" w:cs="Times New Roman"/>
          <w:lang w:val="es-ES"/>
        </w:rPr>
        <w:t xml:space="preserve"> </w:t>
      </w:r>
      <w:r w:rsidR="00E62303" w:rsidRPr="00BE448F">
        <w:rPr>
          <w:rFonts w:ascii="Palatino Linotype" w:hAnsi="Palatino Linotype"/>
          <w:b/>
          <w:szCs w:val="22"/>
        </w:rPr>
        <w:t>RECURRENTE</w:t>
      </w:r>
      <w:r w:rsidR="00AB274F" w:rsidRPr="00BE448F">
        <w:rPr>
          <w:rFonts w:ascii="Palatino Linotype" w:hAnsi="Palatino Linotype"/>
          <w:b/>
          <w:sz w:val="22"/>
          <w:szCs w:val="22"/>
        </w:rPr>
        <w:t xml:space="preserve"> </w:t>
      </w:r>
      <w:r w:rsidR="003116A6" w:rsidRPr="00BE448F">
        <w:rPr>
          <w:rFonts w:ascii="Palatino Linotype" w:eastAsia="Calibri" w:hAnsi="Palatino Linotype" w:cs="Arial"/>
          <w:lang w:val="es-ES"/>
        </w:rPr>
        <w:t xml:space="preserve">presentó ante el </w:t>
      </w:r>
      <w:r w:rsidR="003116A6" w:rsidRPr="00BE448F">
        <w:rPr>
          <w:rFonts w:ascii="Palatino Linotype" w:eastAsia="Calibri" w:hAnsi="Palatino Linotype" w:cs="Arial"/>
          <w:b/>
          <w:lang w:val="es-ES"/>
        </w:rPr>
        <w:t>SUJETO OBLIGADO</w:t>
      </w:r>
      <w:r w:rsidR="003116A6" w:rsidRPr="00BE448F">
        <w:rPr>
          <w:rFonts w:ascii="Palatino Linotype" w:eastAsia="Calibri" w:hAnsi="Palatino Linotype" w:cs="Arial"/>
        </w:rPr>
        <w:t xml:space="preserve"> vía</w:t>
      </w:r>
      <w:r w:rsidR="00DB4BEF" w:rsidRPr="00BE448F">
        <w:rPr>
          <w:rFonts w:ascii="Palatino Linotype" w:eastAsia="Calibri" w:hAnsi="Palatino Linotype" w:cs="Arial"/>
        </w:rPr>
        <w:t xml:space="preserve"> </w:t>
      </w:r>
      <w:r w:rsidR="00DB4BEF" w:rsidRPr="00BE448F">
        <w:rPr>
          <w:rFonts w:ascii="Palatino Linotype" w:eastAsia="Calibri" w:hAnsi="Palatino Linotype" w:cs="Arial"/>
          <w:lang w:val="es-ES"/>
        </w:rPr>
        <w:t xml:space="preserve">Sistema de Acceso a la Información Mexiquense </w:t>
      </w:r>
      <w:r w:rsidR="006B7A58" w:rsidRPr="00BE448F">
        <w:rPr>
          <w:rFonts w:ascii="Palatino Linotype" w:eastAsia="Calibri" w:hAnsi="Palatino Linotype" w:cs="Arial"/>
          <w:lang w:val="es-ES"/>
        </w:rPr>
        <w:t>(</w:t>
      </w:r>
      <w:r w:rsidR="00DB4BEF" w:rsidRPr="00BE448F">
        <w:rPr>
          <w:rFonts w:ascii="Palatino Linotype" w:eastAsia="Calibri" w:hAnsi="Palatino Linotype" w:cs="Arial"/>
          <w:b/>
          <w:lang w:val="es-ES"/>
        </w:rPr>
        <w:t>SAIMEX</w:t>
      </w:r>
      <w:r w:rsidR="006B7A58" w:rsidRPr="00BE448F">
        <w:rPr>
          <w:rFonts w:ascii="Palatino Linotype" w:eastAsia="Calibri" w:hAnsi="Palatino Linotype" w:cs="Arial"/>
          <w:b/>
          <w:lang w:val="es-ES"/>
        </w:rPr>
        <w:t>)</w:t>
      </w:r>
      <w:r w:rsidR="00DB4BEF" w:rsidRPr="00BE448F">
        <w:rPr>
          <w:rFonts w:ascii="Palatino Linotype" w:eastAsia="Calibri" w:hAnsi="Palatino Linotype" w:cs="Arial"/>
          <w:lang w:val="es-ES"/>
        </w:rPr>
        <w:t>, la solicitud de información pública</w:t>
      </w:r>
      <w:r w:rsidR="004B5C6B" w:rsidRPr="00BE448F">
        <w:rPr>
          <w:rFonts w:ascii="Palatino Linotype" w:eastAsia="Calibri" w:hAnsi="Palatino Linotype" w:cs="Arial"/>
          <w:lang w:val="es-ES"/>
        </w:rPr>
        <w:t xml:space="preserve">, </w:t>
      </w:r>
      <w:r w:rsidR="00B5559A" w:rsidRPr="00BE448F">
        <w:rPr>
          <w:rFonts w:ascii="Palatino Linotype" w:eastAsia="Calibri" w:hAnsi="Palatino Linotype" w:cs="Arial"/>
          <w:lang w:val="es-ES"/>
        </w:rPr>
        <w:t xml:space="preserve">registrada con </w:t>
      </w:r>
      <w:r w:rsidR="00BE4F24" w:rsidRPr="00BE448F">
        <w:rPr>
          <w:rFonts w:ascii="Palatino Linotype" w:eastAsia="Calibri" w:hAnsi="Palatino Linotype" w:cs="Arial"/>
          <w:lang w:val="es-ES"/>
        </w:rPr>
        <w:t>el número</w:t>
      </w:r>
      <w:hyperlink r:id="rId8" w:history="1"/>
      <w:r w:rsidR="003217E4" w:rsidRPr="00BE448F">
        <w:rPr>
          <w:rStyle w:val="Hipervnculo"/>
          <w:rFonts w:ascii="Palatino Linotype" w:eastAsia="Calibri" w:hAnsi="Palatino Linotype" w:cs="Arial"/>
          <w:b/>
          <w:bCs/>
          <w:color w:val="0D0D0D" w:themeColor="text1" w:themeTint="F2"/>
          <w:u w:val="none"/>
        </w:rPr>
        <w:t xml:space="preserve"> </w:t>
      </w:r>
      <w:r w:rsidR="003217E4" w:rsidRPr="00BE448F">
        <w:rPr>
          <w:rFonts w:ascii="Palatino Linotype" w:eastAsia="Calibri" w:hAnsi="Palatino Linotype" w:cs="Arial"/>
          <w:b/>
          <w:bCs/>
          <w:color w:val="0D0D0D" w:themeColor="text1" w:themeTint="F2"/>
        </w:rPr>
        <w:t> 00257/TECAMAC/IP/2020</w:t>
      </w:r>
      <w:r w:rsidR="00DC2579" w:rsidRPr="00BE448F">
        <w:rPr>
          <w:rFonts w:ascii="Palatino Linotype" w:eastAsia="Calibri" w:hAnsi="Palatino Linotype" w:cs="Arial"/>
          <w:b/>
          <w:bCs/>
          <w:color w:val="0D0D0D" w:themeColor="text1" w:themeTint="F2"/>
        </w:rPr>
        <w:t xml:space="preserve">. </w:t>
      </w:r>
    </w:p>
    <w:p w14:paraId="49EACD2C" w14:textId="77777777" w:rsidR="005B1B6A" w:rsidRPr="00BE448F" w:rsidRDefault="005B1B6A" w:rsidP="00CB7B22">
      <w:pPr>
        <w:pStyle w:val="Prrafodelista"/>
        <w:spacing w:before="240" w:after="240" w:line="360" w:lineRule="auto"/>
        <w:ind w:left="360"/>
        <w:jc w:val="both"/>
        <w:rPr>
          <w:rFonts w:ascii="Palatino Linotype" w:eastAsia="Calibri" w:hAnsi="Palatino Linotype" w:cs="Arial"/>
          <w:lang w:val="es-ES"/>
        </w:rPr>
      </w:pPr>
    </w:p>
    <w:p w14:paraId="05690C70" w14:textId="50120F60" w:rsidR="00D617B7" w:rsidRPr="00BE448F" w:rsidRDefault="00BE4F24" w:rsidP="00CB7B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E448F">
        <w:rPr>
          <w:rFonts w:ascii="Palatino Linotype" w:eastAsia="Calibri" w:hAnsi="Palatino Linotype" w:cs="Arial"/>
          <w:lang w:val="es-ES"/>
        </w:rPr>
        <w:t xml:space="preserve">Solicitud </w:t>
      </w:r>
      <w:r w:rsidR="0042490C" w:rsidRPr="00BE448F">
        <w:rPr>
          <w:rFonts w:ascii="Palatino Linotype" w:eastAsia="Calibri" w:hAnsi="Palatino Linotype" w:cs="Arial"/>
          <w:lang w:val="es-ES"/>
        </w:rPr>
        <w:t>de información mediante</w:t>
      </w:r>
      <w:r w:rsidR="00DB4BEF" w:rsidRPr="00BE448F">
        <w:rPr>
          <w:rFonts w:ascii="Palatino Linotype" w:eastAsia="Calibri" w:hAnsi="Palatino Linotype" w:cs="Arial"/>
          <w:lang w:val="es-ES"/>
        </w:rPr>
        <w:t xml:space="preserve"> la cual</w:t>
      </w:r>
      <w:r w:rsidR="00AD7314" w:rsidRPr="00BE448F">
        <w:rPr>
          <w:rFonts w:ascii="Palatino Linotype" w:eastAsia="Calibri" w:hAnsi="Palatino Linotype" w:cs="Arial"/>
          <w:lang w:val="es-ES"/>
        </w:rPr>
        <w:t xml:space="preserve"> requirió </w:t>
      </w:r>
      <w:r w:rsidR="00B5559A" w:rsidRPr="00BE448F">
        <w:rPr>
          <w:rFonts w:ascii="Palatino Linotype" w:eastAsia="Calibri" w:hAnsi="Palatino Linotype" w:cs="Arial"/>
          <w:lang w:val="es-ES"/>
        </w:rPr>
        <w:t>lo siguiente</w:t>
      </w:r>
      <w:r w:rsidR="00DB4BEF" w:rsidRPr="00BE448F">
        <w:rPr>
          <w:rFonts w:ascii="Palatino Linotype" w:eastAsia="Calibri" w:hAnsi="Palatino Linotype" w:cs="Arial"/>
          <w:lang w:val="es-ES"/>
        </w:rPr>
        <w:t>:</w:t>
      </w:r>
    </w:p>
    <w:p w14:paraId="1A2E8BDB" w14:textId="77777777" w:rsidR="005B76C1" w:rsidRPr="00BE448F" w:rsidRDefault="005B76C1" w:rsidP="00CB7B22">
      <w:pPr>
        <w:pStyle w:val="Prrafodelista"/>
        <w:spacing w:before="240" w:after="240" w:line="360" w:lineRule="auto"/>
        <w:ind w:left="0"/>
        <w:jc w:val="both"/>
        <w:rPr>
          <w:rFonts w:ascii="Palatino Linotype" w:eastAsia="Calibri" w:hAnsi="Palatino Linotype" w:cs="Arial"/>
          <w:lang w:val="es-ES"/>
        </w:rPr>
      </w:pPr>
    </w:p>
    <w:p w14:paraId="5FE4BEB3" w14:textId="771A6719" w:rsidR="00BE4F24" w:rsidRPr="00BE448F" w:rsidRDefault="00BE4F24" w:rsidP="00CB7B22">
      <w:pPr>
        <w:pStyle w:val="Prrafodelista"/>
        <w:spacing w:before="240" w:after="240" w:line="360" w:lineRule="auto"/>
        <w:ind w:left="567" w:right="567"/>
        <w:jc w:val="both"/>
        <w:rPr>
          <w:rFonts w:ascii="Palatino Linotype" w:eastAsia="Calibri" w:hAnsi="Palatino Linotype" w:cs="Arial"/>
          <w:lang w:val="es-ES"/>
        </w:rPr>
      </w:pPr>
      <w:r w:rsidRPr="00BE448F">
        <w:rPr>
          <w:rFonts w:ascii="Palatino Linotype" w:eastAsia="Calibri" w:hAnsi="Palatino Linotype" w:cs="Arial"/>
          <w:i/>
          <w:lang w:val="es-ES"/>
        </w:rPr>
        <w:t>“</w:t>
      </w:r>
      <w:r w:rsidR="003217E4" w:rsidRPr="00BE448F">
        <w:rPr>
          <w:rFonts w:ascii="Palatino Linotype" w:eastAsia="Calibri" w:hAnsi="Palatino Linotype" w:cs="Arial"/>
          <w:i/>
          <w:lang w:val="es-ES"/>
        </w:rPr>
        <w:t xml:space="preserve">Buenas tardes, solicito información de todos los servidores públicos que hayan sido, apercibidos, amonestados, sancionados, multados e inhabilitados de sus funciones por la contraloría General municipal, del Estado o Federal y por la </w:t>
      </w:r>
      <w:proofErr w:type="spellStart"/>
      <w:r w:rsidR="003217E4" w:rsidRPr="00BE448F">
        <w:rPr>
          <w:rFonts w:ascii="Palatino Linotype" w:eastAsia="Calibri" w:hAnsi="Palatino Linotype" w:cs="Arial"/>
          <w:i/>
          <w:lang w:val="es-ES"/>
        </w:rPr>
        <w:t>contraloria</w:t>
      </w:r>
      <w:proofErr w:type="spellEnd"/>
      <w:r w:rsidR="003217E4" w:rsidRPr="00BE448F">
        <w:rPr>
          <w:rFonts w:ascii="Palatino Linotype" w:eastAsia="Calibri" w:hAnsi="Palatino Linotype" w:cs="Arial"/>
          <w:i/>
          <w:lang w:val="es-ES"/>
        </w:rPr>
        <w:t xml:space="preserve"> del INFOEM, tanto servidores públicos de la administración 2016-2018 y los de la administración 2019-2021. En esta información debe de especificar del actual y ex Servidor público, Nombre, cargo que realizaba cuando se suscitó la falta, </w:t>
      </w:r>
      <w:proofErr w:type="spellStart"/>
      <w:r w:rsidR="003217E4" w:rsidRPr="00BE448F">
        <w:rPr>
          <w:rFonts w:ascii="Palatino Linotype" w:eastAsia="Calibri" w:hAnsi="Palatino Linotype" w:cs="Arial"/>
          <w:i/>
          <w:lang w:val="es-ES"/>
        </w:rPr>
        <w:t>cual</w:t>
      </w:r>
      <w:proofErr w:type="spellEnd"/>
      <w:r w:rsidR="003217E4" w:rsidRPr="00BE448F">
        <w:rPr>
          <w:rFonts w:ascii="Palatino Linotype" w:eastAsia="Calibri" w:hAnsi="Palatino Linotype" w:cs="Arial"/>
          <w:i/>
          <w:lang w:val="es-ES"/>
        </w:rPr>
        <w:t xml:space="preserve"> fue su falta y omisión por la que fue procesado, el monto </w:t>
      </w:r>
      <w:r w:rsidR="003217E4" w:rsidRPr="00BE448F">
        <w:rPr>
          <w:rFonts w:ascii="Palatino Linotype" w:eastAsia="Calibri" w:hAnsi="Palatino Linotype" w:cs="Arial"/>
          <w:i/>
          <w:lang w:val="es-ES"/>
        </w:rPr>
        <w:lastRenderedPageBreak/>
        <w:t xml:space="preserve">de la multa (si es el caso), y resolución de la contraloría para ejecutarla. </w:t>
      </w:r>
      <w:proofErr w:type="gramStart"/>
      <w:r w:rsidR="003217E4" w:rsidRPr="00BE448F">
        <w:rPr>
          <w:rFonts w:ascii="Palatino Linotype" w:eastAsia="Calibri" w:hAnsi="Palatino Linotype" w:cs="Arial"/>
          <w:i/>
          <w:lang w:val="es-ES"/>
        </w:rPr>
        <w:t>ya</w:t>
      </w:r>
      <w:proofErr w:type="gramEnd"/>
      <w:r w:rsidR="003217E4" w:rsidRPr="00BE448F">
        <w:rPr>
          <w:rFonts w:ascii="Palatino Linotype" w:eastAsia="Calibri" w:hAnsi="Palatino Linotype" w:cs="Arial"/>
          <w:i/>
          <w:lang w:val="es-ES"/>
        </w:rPr>
        <w:t xml:space="preserve"> que el contralor municipal </w:t>
      </w:r>
      <w:proofErr w:type="spellStart"/>
      <w:r w:rsidR="003217E4" w:rsidRPr="00BE448F">
        <w:rPr>
          <w:rFonts w:ascii="Palatino Linotype" w:eastAsia="Calibri" w:hAnsi="Palatino Linotype" w:cs="Arial"/>
          <w:i/>
          <w:lang w:val="es-ES"/>
        </w:rPr>
        <w:t>tambien</w:t>
      </w:r>
      <w:proofErr w:type="spellEnd"/>
      <w:r w:rsidR="003217E4" w:rsidRPr="00BE448F">
        <w:rPr>
          <w:rFonts w:ascii="Palatino Linotype" w:eastAsia="Calibri" w:hAnsi="Palatino Linotype" w:cs="Arial"/>
          <w:i/>
          <w:lang w:val="es-ES"/>
        </w:rPr>
        <w:t xml:space="preserve"> es el contralor de ODAPAS solicito </w:t>
      </w:r>
      <w:proofErr w:type="spellStart"/>
      <w:r w:rsidR="003217E4" w:rsidRPr="00BE448F">
        <w:rPr>
          <w:rFonts w:ascii="Palatino Linotype" w:eastAsia="Calibri" w:hAnsi="Palatino Linotype" w:cs="Arial"/>
          <w:i/>
          <w:lang w:val="es-ES"/>
        </w:rPr>
        <w:t>tambien</w:t>
      </w:r>
      <w:proofErr w:type="spellEnd"/>
      <w:r w:rsidR="003217E4" w:rsidRPr="00BE448F">
        <w:rPr>
          <w:rFonts w:ascii="Palatino Linotype" w:eastAsia="Calibri" w:hAnsi="Palatino Linotype" w:cs="Arial"/>
          <w:i/>
          <w:lang w:val="es-ES"/>
        </w:rPr>
        <w:t xml:space="preserve"> la relación con las mismas </w:t>
      </w:r>
      <w:proofErr w:type="spellStart"/>
      <w:r w:rsidR="003217E4" w:rsidRPr="00BE448F">
        <w:rPr>
          <w:rFonts w:ascii="Palatino Linotype" w:eastAsia="Calibri" w:hAnsi="Palatino Linotype" w:cs="Arial"/>
          <w:i/>
          <w:lang w:val="es-ES"/>
        </w:rPr>
        <w:t>caracteristicas</w:t>
      </w:r>
      <w:proofErr w:type="spellEnd"/>
      <w:r w:rsidR="003217E4" w:rsidRPr="00BE448F">
        <w:rPr>
          <w:rFonts w:ascii="Palatino Linotype" w:eastAsia="Calibri" w:hAnsi="Palatino Linotype" w:cs="Arial"/>
          <w:i/>
          <w:lang w:val="es-ES"/>
        </w:rPr>
        <w:t xml:space="preserve"> pero de servidores y ex servidores públicos de ODAPAS</w:t>
      </w:r>
      <w:r w:rsidR="005351C0" w:rsidRPr="00BE448F">
        <w:rPr>
          <w:rFonts w:ascii="Palatino Linotype" w:eastAsia="Calibri" w:hAnsi="Palatino Linotype" w:cs="Arial"/>
          <w:i/>
          <w:lang w:val="es-ES"/>
        </w:rPr>
        <w:t>.</w:t>
      </w:r>
      <w:r w:rsidRPr="00BE448F">
        <w:rPr>
          <w:rFonts w:ascii="Palatino Linotype" w:eastAsia="Calibri" w:hAnsi="Palatino Linotype" w:cs="Arial"/>
          <w:i/>
          <w:lang w:val="es-ES"/>
        </w:rPr>
        <w:t>”</w:t>
      </w:r>
      <w:r w:rsidRPr="00BE448F">
        <w:rPr>
          <w:rFonts w:ascii="Palatino Linotype" w:eastAsia="Calibri" w:hAnsi="Palatino Linotype" w:cs="Arial"/>
          <w:lang w:val="es-ES"/>
        </w:rPr>
        <w:t xml:space="preserve"> (Sic).</w:t>
      </w:r>
    </w:p>
    <w:p w14:paraId="6574B749" w14:textId="77777777" w:rsidR="00BE4F24" w:rsidRPr="00BE448F" w:rsidRDefault="00BE4F24" w:rsidP="00CB7B22">
      <w:pPr>
        <w:pStyle w:val="Prrafodelista"/>
        <w:spacing w:before="240" w:after="240" w:line="360" w:lineRule="auto"/>
        <w:ind w:left="0"/>
        <w:jc w:val="both"/>
        <w:rPr>
          <w:rFonts w:ascii="Palatino Linotype" w:eastAsia="Calibri" w:hAnsi="Palatino Linotype" w:cs="Arial"/>
          <w:lang w:val="es-ES"/>
        </w:rPr>
      </w:pPr>
    </w:p>
    <w:p w14:paraId="44B924B1" w14:textId="1D905830" w:rsidR="00A550DC" w:rsidRPr="00BE448F" w:rsidRDefault="00EF758E" w:rsidP="00CB7B22">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BE448F">
        <w:rPr>
          <w:rFonts w:ascii="Palatino Linotype" w:eastAsia="Calibri" w:hAnsi="Palatino Linotype" w:cs="Times New Roman"/>
          <w:lang w:val="es-ES"/>
        </w:rPr>
        <w:t xml:space="preserve">Se hace constar </w:t>
      </w:r>
      <w:r w:rsidR="00BE4F24" w:rsidRPr="00BE448F">
        <w:rPr>
          <w:rFonts w:ascii="Palatino Linotype" w:eastAsia="Calibri" w:hAnsi="Palatino Linotype" w:cs="Times New Roman"/>
          <w:lang w:val="es-ES"/>
        </w:rPr>
        <w:t xml:space="preserve">que el particular </w:t>
      </w:r>
      <w:r w:rsidRPr="00BE448F">
        <w:rPr>
          <w:rFonts w:ascii="Palatino Linotype" w:eastAsia="Calibri" w:hAnsi="Palatino Linotype" w:cs="Times New Roman"/>
          <w:lang w:val="es-ES"/>
        </w:rPr>
        <w:t>s</w:t>
      </w:r>
      <w:r w:rsidR="005E570D" w:rsidRPr="00BE448F">
        <w:rPr>
          <w:rFonts w:ascii="Palatino Linotype" w:eastAsia="Calibri" w:hAnsi="Palatino Linotype" w:cs="Times New Roman"/>
          <w:lang w:val="es-ES"/>
        </w:rPr>
        <w:t>eñaló como modalid</w:t>
      </w:r>
      <w:r w:rsidRPr="00BE448F">
        <w:rPr>
          <w:rFonts w:ascii="Palatino Linotype" w:eastAsia="Calibri" w:hAnsi="Palatino Linotype" w:cs="Times New Roman"/>
          <w:lang w:val="es-ES"/>
        </w:rPr>
        <w:t>ad de entrega de l</w:t>
      </w:r>
      <w:r w:rsidR="00A40EF1" w:rsidRPr="00BE448F">
        <w:rPr>
          <w:rFonts w:ascii="Palatino Linotype" w:eastAsia="Calibri" w:hAnsi="Palatino Linotype" w:cs="Times New Roman"/>
          <w:lang w:val="es-ES"/>
        </w:rPr>
        <w:t>a información</w:t>
      </w:r>
      <w:r w:rsidR="00F14835" w:rsidRPr="00BE448F">
        <w:rPr>
          <w:rFonts w:ascii="Palatino Linotype" w:eastAsia="Calibri" w:hAnsi="Palatino Linotype" w:cs="Times New Roman"/>
          <w:lang w:val="es-ES"/>
        </w:rPr>
        <w:t xml:space="preserve"> </w:t>
      </w:r>
      <w:r w:rsidRPr="00BE448F">
        <w:rPr>
          <w:rFonts w:ascii="Palatino Linotype" w:eastAsia="Calibri" w:hAnsi="Palatino Linotype" w:cs="Times New Roman"/>
          <w:lang w:val="es-ES"/>
        </w:rPr>
        <w:t xml:space="preserve">a través del Sistema de Acceso a la Información Mexiquense </w:t>
      </w:r>
      <w:r w:rsidRPr="00BE448F">
        <w:rPr>
          <w:rFonts w:ascii="Palatino Linotype" w:eastAsia="Calibri" w:hAnsi="Palatino Linotype" w:cs="Times New Roman"/>
          <w:b/>
          <w:lang w:val="es-ES"/>
        </w:rPr>
        <w:t>(SAIMEX).</w:t>
      </w:r>
    </w:p>
    <w:p w14:paraId="409E46C9" w14:textId="77777777" w:rsidR="00DC2579" w:rsidRPr="00BE448F" w:rsidRDefault="00DC2579" w:rsidP="00CB7B22">
      <w:pPr>
        <w:pStyle w:val="Prrafodelista"/>
        <w:spacing w:before="240" w:after="240" w:line="360" w:lineRule="auto"/>
        <w:ind w:left="0" w:right="616"/>
        <w:jc w:val="both"/>
        <w:rPr>
          <w:rFonts w:ascii="Palatino Linotype" w:hAnsi="Palatino Linotype"/>
          <w:color w:val="000000"/>
          <w:szCs w:val="14"/>
        </w:rPr>
      </w:pPr>
    </w:p>
    <w:p w14:paraId="7E2D5C0F" w14:textId="2717B1A9" w:rsidR="005B76C1" w:rsidRPr="00BE448F" w:rsidRDefault="005E570D" w:rsidP="00CB7B22">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BE448F">
        <w:rPr>
          <w:rFonts w:ascii="Palatino Linotype" w:eastAsia="Calibri" w:hAnsi="Palatino Linotype" w:cs="Times New Roman"/>
        </w:rPr>
        <w:t xml:space="preserve">En </w:t>
      </w:r>
      <w:r w:rsidR="00A34D33" w:rsidRPr="00BE448F">
        <w:rPr>
          <w:rFonts w:ascii="Palatino Linotype" w:eastAsia="Calibri" w:hAnsi="Palatino Linotype" w:cs="Times New Roman"/>
          <w:lang w:val="es-ES"/>
        </w:rPr>
        <w:t xml:space="preserve">fecha </w:t>
      </w:r>
      <w:r w:rsidR="00F14835" w:rsidRPr="00BE448F">
        <w:rPr>
          <w:rFonts w:ascii="Palatino Linotype" w:eastAsia="Calibri" w:hAnsi="Palatino Linotype" w:cs="Times New Roman"/>
          <w:lang w:val="es-ES"/>
        </w:rPr>
        <w:t>veinticuatro</w:t>
      </w:r>
      <w:r w:rsidR="00F243B4" w:rsidRPr="00BE448F">
        <w:rPr>
          <w:rFonts w:ascii="Palatino Linotype" w:eastAsia="Calibri" w:hAnsi="Palatino Linotype" w:cs="Times New Roman"/>
          <w:lang w:val="es-ES"/>
        </w:rPr>
        <w:t xml:space="preserve"> </w:t>
      </w:r>
      <w:r w:rsidR="0083293C" w:rsidRPr="00BE448F">
        <w:rPr>
          <w:rFonts w:ascii="Palatino Linotype" w:eastAsia="Calibri" w:hAnsi="Palatino Linotype" w:cs="Times New Roman"/>
          <w:lang w:val="es-ES"/>
        </w:rPr>
        <w:t>(</w:t>
      </w:r>
      <w:r w:rsidR="00F14835" w:rsidRPr="00BE448F">
        <w:rPr>
          <w:rFonts w:ascii="Palatino Linotype" w:eastAsia="Calibri" w:hAnsi="Palatino Linotype" w:cs="Times New Roman"/>
          <w:lang w:val="es-ES"/>
        </w:rPr>
        <w:t>24</w:t>
      </w:r>
      <w:r w:rsidR="0083293C" w:rsidRPr="00BE448F">
        <w:rPr>
          <w:rFonts w:ascii="Palatino Linotype" w:eastAsia="Calibri" w:hAnsi="Palatino Linotype" w:cs="Times New Roman"/>
          <w:lang w:val="es-ES"/>
        </w:rPr>
        <w:t xml:space="preserve">) </w:t>
      </w:r>
      <w:r w:rsidR="00B2191E" w:rsidRPr="00BE448F">
        <w:rPr>
          <w:rFonts w:ascii="Palatino Linotype" w:eastAsia="Calibri" w:hAnsi="Palatino Linotype" w:cs="Times New Roman"/>
          <w:lang w:val="es-ES"/>
        </w:rPr>
        <w:t>de</w:t>
      </w:r>
      <w:r w:rsidR="00F14835" w:rsidRPr="00BE448F">
        <w:rPr>
          <w:rFonts w:ascii="Palatino Linotype" w:eastAsia="Calibri" w:hAnsi="Palatino Linotype" w:cs="Times New Roman"/>
          <w:lang w:val="es-ES"/>
        </w:rPr>
        <w:t xml:space="preserve"> agosto</w:t>
      </w:r>
      <w:r w:rsidR="0083293C" w:rsidRPr="00BE448F">
        <w:rPr>
          <w:rFonts w:ascii="Palatino Linotype" w:eastAsia="Calibri" w:hAnsi="Palatino Linotype" w:cs="Times New Roman"/>
          <w:lang w:val="es-ES"/>
        </w:rPr>
        <w:t xml:space="preserve"> </w:t>
      </w:r>
      <w:r w:rsidR="006975AE" w:rsidRPr="00BE448F">
        <w:rPr>
          <w:rFonts w:ascii="Palatino Linotype" w:eastAsia="Calibri" w:hAnsi="Palatino Linotype" w:cs="Times New Roman"/>
          <w:lang w:val="es-ES"/>
        </w:rPr>
        <w:t>de dos mil</w:t>
      </w:r>
      <w:r w:rsidR="00F14835" w:rsidRPr="00BE448F">
        <w:rPr>
          <w:rFonts w:ascii="Palatino Linotype" w:eastAsia="Calibri" w:hAnsi="Palatino Linotype" w:cs="Times New Roman"/>
          <w:lang w:val="es-ES"/>
        </w:rPr>
        <w:t xml:space="preserve"> veinte</w:t>
      </w:r>
      <w:r w:rsidR="00406EE3" w:rsidRPr="00BE448F">
        <w:rPr>
          <w:rFonts w:ascii="Palatino Linotype" w:eastAsia="Calibri" w:hAnsi="Palatino Linotype" w:cs="Times New Roman"/>
          <w:lang w:val="es-ES"/>
        </w:rPr>
        <w:t xml:space="preserve">, el </w:t>
      </w:r>
      <w:r w:rsidR="00406EE3" w:rsidRPr="00BE448F">
        <w:rPr>
          <w:rFonts w:ascii="Palatino Linotype" w:eastAsia="Calibri" w:hAnsi="Palatino Linotype" w:cs="Times New Roman"/>
          <w:b/>
          <w:lang w:val="es-ES"/>
        </w:rPr>
        <w:t xml:space="preserve">SUJETO OBLIGADO </w:t>
      </w:r>
      <w:r w:rsidR="00C945A0" w:rsidRPr="00BE448F">
        <w:rPr>
          <w:rFonts w:ascii="Palatino Linotype" w:eastAsia="Calibri" w:hAnsi="Palatino Linotype" w:cs="Times New Roman"/>
          <w:lang w:val="es-ES"/>
        </w:rPr>
        <w:t>dio respuesta</w:t>
      </w:r>
      <w:r w:rsidR="00347878" w:rsidRPr="00BE448F">
        <w:rPr>
          <w:rFonts w:ascii="Palatino Linotype" w:eastAsia="Calibri" w:hAnsi="Palatino Linotype" w:cs="Times New Roman"/>
          <w:lang w:val="es-ES"/>
        </w:rPr>
        <w:t xml:space="preserve"> a </w:t>
      </w:r>
      <w:r w:rsidR="00406EE3" w:rsidRPr="00BE448F">
        <w:rPr>
          <w:rFonts w:ascii="Palatino Linotype" w:eastAsia="Calibri" w:hAnsi="Palatino Linotype" w:cs="Times New Roman"/>
          <w:lang w:val="es-ES"/>
        </w:rPr>
        <w:t xml:space="preserve">la </w:t>
      </w:r>
      <w:r w:rsidR="00155E24" w:rsidRPr="00BE448F">
        <w:rPr>
          <w:rFonts w:ascii="Palatino Linotype" w:eastAsia="Calibri" w:hAnsi="Palatino Linotype" w:cs="Times New Roman"/>
          <w:lang w:val="es-ES"/>
        </w:rPr>
        <w:t>solicitud de información</w:t>
      </w:r>
      <w:r w:rsidR="00BE4F24" w:rsidRPr="00BE448F">
        <w:rPr>
          <w:rFonts w:ascii="Palatino Linotype" w:hAnsi="Palatino Linotype"/>
        </w:rPr>
        <w:t xml:space="preserve"> en los siguientes términos:</w:t>
      </w:r>
    </w:p>
    <w:p w14:paraId="4DFB1FA6" w14:textId="77777777" w:rsidR="0083293C" w:rsidRPr="00BE448F" w:rsidRDefault="0083293C" w:rsidP="00CB7B22">
      <w:pPr>
        <w:pStyle w:val="Prrafodelista"/>
        <w:tabs>
          <w:tab w:val="left" w:pos="0"/>
        </w:tabs>
        <w:spacing w:line="360" w:lineRule="auto"/>
        <w:ind w:left="0"/>
        <w:jc w:val="both"/>
        <w:rPr>
          <w:rFonts w:ascii="Palatino Linotype" w:hAnsi="Palatino Linotype"/>
          <w:color w:val="000000"/>
          <w:szCs w:val="14"/>
        </w:rPr>
      </w:pPr>
    </w:p>
    <w:p w14:paraId="2E82D707" w14:textId="16557ACC" w:rsidR="00F14835" w:rsidRPr="00BE448F" w:rsidRDefault="00F14835" w:rsidP="00CB7B22">
      <w:pPr>
        <w:pStyle w:val="Prrafodelista"/>
        <w:tabs>
          <w:tab w:val="left" w:pos="0"/>
        </w:tabs>
        <w:spacing w:line="360" w:lineRule="auto"/>
        <w:ind w:left="567" w:right="567"/>
        <w:jc w:val="right"/>
        <w:rPr>
          <w:rFonts w:ascii="Palatino Linotype" w:hAnsi="Palatino Linotype"/>
          <w:i/>
          <w:color w:val="000000"/>
          <w:sz w:val="22"/>
          <w:szCs w:val="14"/>
        </w:rPr>
      </w:pPr>
      <w:r w:rsidRPr="00BE448F">
        <w:rPr>
          <w:rFonts w:ascii="Palatino Linotype" w:hAnsi="Palatino Linotype"/>
          <w:i/>
          <w:color w:val="000000"/>
          <w:sz w:val="22"/>
          <w:szCs w:val="14"/>
        </w:rPr>
        <w:t>Tecámac, México a 24 de Agosto de 2020</w:t>
      </w:r>
    </w:p>
    <w:p w14:paraId="6C800487" w14:textId="79D0D6B2" w:rsidR="00F14835" w:rsidRPr="00BE448F" w:rsidRDefault="00F14835" w:rsidP="00CB7B22">
      <w:pPr>
        <w:pStyle w:val="Prrafodelista"/>
        <w:tabs>
          <w:tab w:val="left" w:pos="0"/>
        </w:tabs>
        <w:spacing w:line="360" w:lineRule="auto"/>
        <w:ind w:left="567" w:right="567"/>
        <w:jc w:val="right"/>
        <w:rPr>
          <w:rFonts w:ascii="Palatino Linotype" w:hAnsi="Palatino Linotype"/>
          <w:i/>
          <w:color w:val="000000"/>
          <w:sz w:val="22"/>
          <w:szCs w:val="14"/>
        </w:rPr>
      </w:pPr>
      <w:r w:rsidRPr="00BE448F">
        <w:rPr>
          <w:rFonts w:ascii="Palatino Linotype" w:hAnsi="Palatino Linotype"/>
          <w:i/>
          <w:color w:val="000000"/>
          <w:sz w:val="22"/>
          <w:szCs w:val="14"/>
        </w:rPr>
        <w:t xml:space="preserve">Nombre del solicitante: </w:t>
      </w:r>
      <w:r w:rsidR="00077ECF" w:rsidRPr="00077ECF">
        <w:rPr>
          <w:rFonts w:ascii="Palatino Linotype" w:hAnsi="Palatino Linotype"/>
          <w:i/>
          <w:color w:val="000000"/>
          <w:sz w:val="22"/>
          <w:szCs w:val="14"/>
          <w:highlight w:val="black"/>
        </w:rPr>
        <w:t>--------</w:t>
      </w:r>
      <w:r w:rsidR="00077ECF">
        <w:rPr>
          <w:rFonts w:ascii="Palatino Linotype" w:hAnsi="Palatino Linotype"/>
          <w:i/>
          <w:color w:val="000000"/>
          <w:sz w:val="22"/>
          <w:szCs w:val="14"/>
          <w:highlight w:val="black"/>
        </w:rPr>
        <w:t>----</w:t>
      </w:r>
      <w:bookmarkStart w:id="3" w:name="_GoBack"/>
      <w:bookmarkEnd w:id="3"/>
      <w:r w:rsidR="00077ECF" w:rsidRPr="00077ECF">
        <w:rPr>
          <w:rFonts w:ascii="Palatino Linotype" w:hAnsi="Palatino Linotype"/>
          <w:i/>
          <w:color w:val="000000"/>
          <w:sz w:val="22"/>
          <w:szCs w:val="14"/>
          <w:highlight w:val="black"/>
        </w:rPr>
        <w:t>-------------</w:t>
      </w:r>
    </w:p>
    <w:p w14:paraId="063A98D8" w14:textId="77777777" w:rsidR="00F14835" w:rsidRPr="00BE448F" w:rsidRDefault="00F14835" w:rsidP="00CB7B22">
      <w:pPr>
        <w:pStyle w:val="Prrafodelista"/>
        <w:tabs>
          <w:tab w:val="left" w:pos="0"/>
        </w:tabs>
        <w:spacing w:line="360" w:lineRule="auto"/>
        <w:ind w:left="567" w:right="567"/>
        <w:jc w:val="right"/>
        <w:rPr>
          <w:rFonts w:ascii="Palatino Linotype" w:hAnsi="Palatino Linotype"/>
          <w:i/>
          <w:color w:val="000000"/>
          <w:sz w:val="22"/>
          <w:szCs w:val="14"/>
        </w:rPr>
      </w:pPr>
      <w:r w:rsidRPr="00BE448F">
        <w:rPr>
          <w:rFonts w:ascii="Palatino Linotype" w:hAnsi="Palatino Linotype"/>
          <w:i/>
          <w:color w:val="000000"/>
          <w:sz w:val="22"/>
          <w:szCs w:val="14"/>
        </w:rPr>
        <w:t>Folio de la solicitud: 00257/TECAMAC/IP/2020</w:t>
      </w:r>
    </w:p>
    <w:p w14:paraId="6854B21C" w14:textId="77777777" w:rsidR="00F14835" w:rsidRPr="00BE448F" w:rsidRDefault="00F14835" w:rsidP="00CB7B22">
      <w:pPr>
        <w:pStyle w:val="Prrafodelista"/>
        <w:tabs>
          <w:tab w:val="left" w:pos="0"/>
        </w:tabs>
        <w:spacing w:line="360" w:lineRule="auto"/>
        <w:ind w:left="567" w:right="567"/>
        <w:jc w:val="right"/>
        <w:rPr>
          <w:rFonts w:ascii="Palatino Linotype" w:hAnsi="Palatino Linotype"/>
          <w:i/>
          <w:color w:val="000000"/>
          <w:sz w:val="22"/>
          <w:szCs w:val="14"/>
        </w:rPr>
      </w:pPr>
    </w:p>
    <w:p w14:paraId="11065C3B" w14:textId="77777777" w:rsidR="00F14835" w:rsidRPr="00BE448F" w:rsidRDefault="00F14835" w:rsidP="00CB7B22">
      <w:pPr>
        <w:pStyle w:val="Prrafodelista"/>
        <w:tabs>
          <w:tab w:val="left" w:pos="0"/>
        </w:tabs>
        <w:spacing w:line="360" w:lineRule="auto"/>
        <w:ind w:left="567" w:right="567"/>
        <w:jc w:val="both"/>
        <w:rPr>
          <w:rFonts w:ascii="Palatino Linotype" w:hAnsi="Palatino Linotype"/>
          <w:i/>
          <w:color w:val="000000"/>
          <w:sz w:val="22"/>
          <w:szCs w:val="14"/>
        </w:rPr>
      </w:pPr>
      <w:r w:rsidRPr="00BE448F">
        <w:rPr>
          <w:rFonts w:ascii="Palatino Linotype" w:hAnsi="Palatino Linotype"/>
          <w:i/>
          <w:color w:val="000000"/>
          <w:sz w:val="22"/>
          <w:szCs w:val="1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41B963" w14:textId="77777777" w:rsidR="00F14835" w:rsidRPr="00BE448F" w:rsidRDefault="00F14835" w:rsidP="00CB7B22">
      <w:pPr>
        <w:pStyle w:val="Prrafodelista"/>
        <w:tabs>
          <w:tab w:val="left" w:pos="0"/>
        </w:tabs>
        <w:spacing w:line="360" w:lineRule="auto"/>
        <w:ind w:left="567" w:right="567"/>
        <w:jc w:val="both"/>
        <w:rPr>
          <w:rFonts w:ascii="Palatino Linotype" w:hAnsi="Palatino Linotype"/>
          <w:i/>
          <w:color w:val="000000"/>
          <w:sz w:val="22"/>
          <w:szCs w:val="14"/>
        </w:rPr>
      </w:pPr>
    </w:p>
    <w:p w14:paraId="3C0CFB08" w14:textId="77777777" w:rsidR="00F14835" w:rsidRPr="00BE448F" w:rsidRDefault="00F14835" w:rsidP="00CB7B22">
      <w:pPr>
        <w:pStyle w:val="Prrafodelista"/>
        <w:tabs>
          <w:tab w:val="left" w:pos="0"/>
        </w:tabs>
        <w:spacing w:line="360" w:lineRule="auto"/>
        <w:ind w:left="567" w:right="567"/>
        <w:rPr>
          <w:rFonts w:ascii="Palatino Linotype" w:hAnsi="Palatino Linotype"/>
          <w:i/>
          <w:color w:val="000000"/>
          <w:sz w:val="22"/>
          <w:szCs w:val="14"/>
        </w:rPr>
      </w:pPr>
      <w:r w:rsidRPr="00BE448F">
        <w:rPr>
          <w:rFonts w:ascii="Palatino Linotype" w:hAnsi="Palatino Linotype"/>
          <w:i/>
          <w:color w:val="000000"/>
          <w:sz w:val="22"/>
          <w:szCs w:val="14"/>
        </w:rPr>
        <w:t>Se anexa Acta de Comité de Transparencia</w:t>
      </w:r>
    </w:p>
    <w:p w14:paraId="59073334" w14:textId="77777777" w:rsidR="00F14835" w:rsidRPr="00BE448F" w:rsidRDefault="00F14835" w:rsidP="00CB7B22">
      <w:pPr>
        <w:pStyle w:val="Prrafodelista"/>
        <w:tabs>
          <w:tab w:val="left" w:pos="0"/>
        </w:tabs>
        <w:spacing w:line="360" w:lineRule="auto"/>
        <w:ind w:left="567" w:right="567"/>
        <w:rPr>
          <w:rFonts w:ascii="Palatino Linotype" w:hAnsi="Palatino Linotype"/>
          <w:i/>
          <w:color w:val="000000"/>
          <w:sz w:val="22"/>
          <w:szCs w:val="14"/>
        </w:rPr>
      </w:pPr>
      <w:r w:rsidRPr="00BE448F">
        <w:rPr>
          <w:rFonts w:ascii="Palatino Linotype" w:hAnsi="Palatino Linotype"/>
          <w:i/>
          <w:color w:val="000000"/>
          <w:sz w:val="22"/>
          <w:szCs w:val="14"/>
        </w:rPr>
        <w:t>ATENTAMENTE</w:t>
      </w:r>
    </w:p>
    <w:p w14:paraId="03F6BC62" w14:textId="0E9B6F62" w:rsidR="00BE4F24" w:rsidRPr="00BE448F" w:rsidRDefault="00F14835" w:rsidP="00CB7B22">
      <w:pPr>
        <w:pStyle w:val="Prrafodelista"/>
        <w:tabs>
          <w:tab w:val="left" w:pos="0"/>
        </w:tabs>
        <w:spacing w:line="360" w:lineRule="auto"/>
        <w:ind w:left="567" w:right="567"/>
        <w:rPr>
          <w:rFonts w:ascii="Palatino Linotype" w:hAnsi="Palatino Linotype"/>
          <w:i/>
          <w:color w:val="000000"/>
          <w:sz w:val="22"/>
          <w:szCs w:val="14"/>
        </w:rPr>
      </w:pPr>
      <w:r w:rsidRPr="00BE448F">
        <w:rPr>
          <w:rFonts w:ascii="Palatino Linotype" w:hAnsi="Palatino Linotype"/>
          <w:i/>
          <w:color w:val="000000"/>
          <w:sz w:val="22"/>
          <w:szCs w:val="14"/>
        </w:rPr>
        <w:t>C. CARLOS ALONSO HERNÁNDEZ PELÁEZ</w:t>
      </w:r>
      <w:r w:rsidR="00BE4F24" w:rsidRPr="00BE448F">
        <w:rPr>
          <w:rFonts w:ascii="Palatino Linotype" w:hAnsi="Palatino Linotype"/>
          <w:i/>
          <w:color w:val="000000"/>
          <w:sz w:val="22"/>
          <w:szCs w:val="14"/>
        </w:rPr>
        <w:t>”</w:t>
      </w:r>
      <w:r w:rsidR="00BE4F24" w:rsidRPr="00BE448F">
        <w:rPr>
          <w:rFonts w:ascii="Palatino Linotype" w:hAnsi="Palatino Linotype"/>
          <w:color w:val="000000"/>
          <w:sz w:val="22"/>
          <w:szCs w:val="14"/>
        </w:rPr>
        <w:t xml:space="preserve"> (Sic).</w:t>
      </w:r>
    </w:p>
    <w:p w14:paraId="782720EE" w14:textId="77777777" w:rsidR="0084448A" w:rsidRPr="00BE448F" w:rsidRDefault="0084448A" w:rsidP="00CB7B22">
      <w:pPr>
        <w:spacing w:line="360" w:lineRule="auto"/>
        <w:ind w:right="616"/>
        <w:jc w:val="both"/>
        <w:rPr>
          <w:rFonts w:ascii="Palatino Linotype" w:hAnsi="Palatino Linotype"/>
          <w:b/>
          <w:color w:val="000000" w:themeColor="text1"/>
        </w:rPr>
      </w:pPr>
    </w:p>
    <w:p w14:paraId="675E23D3" w14:textId="34FBD8C0" w:rsidR="005351C0" w:rsidRPr="00BE448F" w:rsidRDefault="005351C0" w:rsidP="00CB7B22">
      <w:pPr>
        <w:pStyle w:val="Prrafodelista"/>
        <w:numPr>
          <w:ilvl w:val="0"/>
          <w:numId w:val="1"/>
        </w:numPr>
        <w:spacing w:before="240" w:after="240" w:line="360" w:lineRule="auto"/>
        <w:ind w:left="0" w:firstLine="0"/>
        <w:jc w:val="both"/>
        <w:rPr>
          <w:rFonts w:ascii="Palatino Linotype" w:eastAsia="Times New Roman" w:hAnsi="Palatino Linotype" w:cs="Arial"/>
        </w:rPr>
      </w:pPr>
      <w:r w:rsidRPr="00BE448F">
        <w:rPr>
          <w:rFonts w:ascii="Palatino Linotype" w:eastAsia="Times New Roman" w:hAnsi="Palatino Linotype" w:cs="Arial"/>
        </w:rPr>
        <w:lastRenderedPageBreak/>
        <w:t xml:space="preserve">Se hace constar que el </w:t>
      </w:r>
      <w:r w:rsidRPr="00BE448F">
        <w:rPr>
          <w:rFonts w:ascii="Palatino Linotype" w:eastAsia="Times New Roman" w:hAnsi="Palatino Linotype" w:cs="Arial"/>
          <w:b/>
        </w:rPr>
        <w:t>SUJETO OBLIGADO</w:t>
      </w:r>
      <w:r w:rsidRPr="00BE448F">
        <w:rPr>
          <w:rFonts w:ascii="Palatino Linotype" w:eastAsia="Times New Roman" w:hAnsi="Palatino Linotype" w:cs="Arial"/>
        </w:rPr>
        <w:t xml:space="preserve"> adjuntó a su respuesta </w:t>
      </w:r>
      <w:r w:rsidR="00F14835" w:rsidRPr="00BE448F">
        <w:rPr>
          <w:rFonts w:ascii="Palatino Linotype" w:eastAsia="Times New Roman" w:hAnsi="Palatino Linotype" w:cs="Arial"/>
        </w:rPr>
        <w:t xml:space="preserve">el </w:t>
      </w:r>
      <w:r w:rsidRPr="00BE448F">
        <w:rPr>
          <w:rFonts w:ascii="Palatino Linotype" w:eastAsia="Times New Roman" w:hAnsi="Palatino Linotype" w:cs="Arial"/>
        </w:rPr>
        <w:t>archivo</w:t>
      </w:r>
      <w:r w:rsidR="00F14835" w:rsidRPr="00BE448F">
        <w:rPr>
          <w:rFonts w:ascii="Palatino Linotype" w:eastAsia="Times New Roman" w:hAnsi="Palatino Linotype" w:cs="Arial"/>
        </w:rPr>
        <w:t xml:space="preserve"> electrónicos que se describe</w:t>
      </w:r>
      <w:r w:rsidRPr="00BE448F">
        <w:rPr>
          <w:rFonts w:ascii="Palatino Linotype" w:eastAsia="Times New Roman" w:hAnsi="Palatino Linotype" w:cs="Arial"/>
        </w:rPr>
        <w:t xml:space="preserve"> a continuación:</w:t>
      </w:r>
    </w:p>
    <w:p w14:paraId="44E2F679" w14:textId="77777777" w:rsidR="00D1161F" w:rsidRPr="00BE448F" w:rsidRDefault="00D1161F" w:rsidP="00CB7B22">
      <w:pPr>
        <w:pStyle w:val="Prrafodelista"/>
        <w:spacing w:line="360" w:lineRule="auto"/>
        <w:ind w:left="0"/>
        <w:jc w:val="both"/>
        <w:rPr>
          <w:rFonts w:ascii="Palatino Linotype" w:eastAsia="Times New Roman" w:hAnsi="Palatino Linotype" w:cs="Arial"/>
        </w:rPr>
      </w:pPr>
    </w:p>
    <w:p w14:paraId="2463992C" w14:textId="77777777" w:rsidR="00F14835" w:rsidRPr="00BE448F" w:rsidRDefault="005351C0" w:rsidP="00CB7B22">
      <w:pPr>
        <w:pStyle w:val="Prrafodelista"/>
        <w:numPr>
          <w:ilvl w:val="0"/>
          <w:numId w:val="26"/>
        </w:numPr>
        <w:tabs>
          <w:tab w:val="left" w:pos="993"/>
        </w:tabs>
        <w:spacing w:before="240" w:after="240" w:line="360" w:lineRule="auto"/>
        <w:ind w:left="567" w:right="616" w:firstLine="0"/>
        <w:jc w:val="both"/>
        <w:rPr>
          <w:rFonts w:ascii="Palatino Linotype" w:eastAsia="Times New Roman" w:hAnsi="Palatino Linotype" w:cs="Arial"/>
        </w:rPr>
      </w:pPr>
      <w:r w:rsidRPr="00BE448F">
        <w:rPr>
          <w:rFonts w:ascii="Palatino Linotype" w:eastAsia="Times New Roman" w:hAnsi="Palatino Linotype" w:cs="Arial"/>
          <w:b/>
          <w:i/>
        </w:rPr>
        <w:t>“</w:t>
      </w:r>
      <w:r w:rsidR="00F14835" w:rsidRPr="00BE448F">
        <w:rPr>
          <w:rFonts w:ascii="Palatino Linotype" w:eastAsia="Times New Roman" w:hAnsi="Palatino Linotype" w:cs="Arial"/>
          <w:b/>
        </w:rPr>
        <w:t>ACTA 257.pdf</w:t>
      </w:r>
      <w:r w:rsidRPr="00BE448F">
        <w:rPr>
          <w:rFonts w:ascii="Palatino Linotype" w:eastAsia="Times New Roman" w:hAnsi="Palatino Linotype" w:cs="Arial"/>
          <w:b/>
          <w:i/>
        </w:rPr>
        <w:t>”:</w:t>
      </w:r>
      <w:r w:rsidR="00F14835" w:rsidRPr="00BE448F">
        <w:rPr>
          <w:rFonts w:ascii="Palatino Linotype" w:eastAsia="Times New Roman" w:hAnsi="Palatino Linotype" w:cs="Arial"/>
        </w:rPr>
        <w:t xml:space="preserve"> Documento electrónico que en catorce (14) hojas contiene: </w:t>
      </w:r>
    </w:p>
    <w:p w14:paraId="0A4D3B49" w14:textId="77777777" w:rsidR="006604D3" w:rsidRPr="00BE448F" w:rsidRDefault="006604D3" w:rsidP="00CB7B22">
      <w:pPr>
        <w:pStyle w:val="Prrafodelista"/>
        <w:tabs>
          <w:tab w:val="left" w:pos="993"/>
        </w:tabs>
        <w:spacing w:before="240" w:after="240" w:line="360" w:lineRule="auto"/>
        <w:ind w:left="567" w:right="616"/>
        <w:jc w:val="both"/>
        <w:rPr>
          <w:rFonts w:ascii="Palatino Linotype" w:eastAsia="Times New Roman" w:hAnsi="Palatino Linotype" w:cs="Arial"/>
        </w:rPr>
      </w:pPr>
    </w:p>
    <w:p w14:paraId="27C4B4E9" w14:textId="1AE41B4E" w:rsidR="00D62AB1" w:rsidRPr="00BE448F" w:rsidRDefault="00F14835" w:rsidP="00CB7B22">
      <w:pPr>
        <w:pStyle w:val="Prrafodelista"/>
        <w:tabs>
          <w:tab w:val="left" w:pos="993"/>
        </w:tabs>
        <w:spacing w:before="240" w:after="240" w:line="360" w:lineRule="auto"/>
        <w:ind w:left="567" w:right="616"/>
        <w:jc w:val="both"/>
        <w:rPr>
          <w:rFonts w:ascii="Palatino Linotype" w:eastAsia="Times New Roman" w:hAnsi="Palatino Linotype" w:cs="Arial"/>
        </w:rPr>
      </w:pPr>
      <w:r w:rsidRPr="00BE448F">
        <w:rPr>
          <w:rFonts w:ascii="Palatino Linotype" w:eastAsia="Times New Roman" w:hAnsi="Palatino Linotype" w:cs="Arial"/>
          <w:b/>
          <w:i/>
        </w:rPr>
        <w:t>-</w:t>
      </w:r>
      <w:r w:rsidRPr="00BE448F">
        <w:rPr>
          <w:rFonts w:ascii="Palatino Linotype" w:eastAsia="Times New Roman" w:hAnsi="Palatino Linotype" w:cs="Arial"/>
        </w:rPr>
        <w:t>El Acta de la Décimo Segunda Sesión Extraordinaria 2020 del Comité de Transparencia del Ayuntamiento Constitucional de Tecámac 2019-2021, de fecha veinticuatro (24)</w:t>
      </w:r>
      <w:r w:rsidR="006604D3" w:rsidRPr="00BE448F">
        <w:rPr>
          <w:rFonts w:ascii="Palatino Linotype" w:eastAsia="Times New Roman" w:hAnsi="Palatino Linotype" w:cs="Arial"/>
        </w:rPr>
        <w:t xml:space="preserve"> de agosto del año 2020, suscrita por el Contralor Municipal, el Titular de Archivo Municipal, el Coordinador General de Administración y la Directora General Jurídica y Consultiva </w:t>
      </w:r>
      <w:r w:rsidRPr="00BE448F">
        <w:rPr>
          <w:rFonts w:ascii="Palatino Linotype" w:eastAsia="Times New Roman" w:hAnsi="Palatino Linotype" w:cs="Arial"/>
        </w:rPr>
        <w:t xml:space="preserve">mediante la cual se </w:t>
      </w:r>
      <w:r w:rsidR="006604D3" w:rsidRPr="00BE448F">
        <w:rPr>
          <w:rFonts w:ascii="Palatino Linotype" w:eastAsia="Times New Roman" w:hAnsi="Palatino Linotype" w:cs="Arial"/>
        </w:rPr>
        <w:t xml:space="preserve">aprueba el acuerdo </w:t>
      </w:r>
      <w:r w:rsidR="006604D3" w:rsidRPr="00BE448F">
        <w:rPr>
          <w:rFonts w:ascii="Palatino Linotype" w:eastAsia="Times New Roman" w:hAnsi="Palatino Linotype" w:cs="Arial"/>
          <w:b/>
        </w:rPr>
        <w:t xml:space="preserve">055/TECAMAC/CT/2020 </w:t>
      </w:r>
      <w:r w:rsidR="006604D3" w:rsidRPr="00BE448F">
        <w:rPr>
          <w:rFonts w:ascii="Palatino Linotype" w:eastAsia="Times New Roman" w:hAnsi="Palatino Linotype" w:cs="Arial"/>
        </w:rPr>
        <w:t>por medio del cual se clasifica como reservada la informaci</w:t>
      </w:r>
      <w:r w:rsidR="00D62AB1" w:rsidRPr="00BE448F">
        <w:rPr>
          <w:rFonts w:ascii="Palatino Linotype" w:eastAsia="Times New Roman" w:hAnsi="Palatino Linotype" w:cs="Arial"/>
        </w:rPr>
        <w:t xml:space="preserve">ón solicitada. </w:t>
      </w:r>
      <w:r w:rsidRPr="00BE448F">
        <w:rPr>
          <w:rFonts w:ascii="Palatino Linotype" w:eastAsia="Times New Roman" w:hAnsi="Palatino Linotype" w:cs="Arial"/>
        </w:rPr>
        <w:t xml:space="preserve"> </w:t>
      </w:r>
    </w:p>
    <w:p w14:paraId="68AC6B79" w14:textId="77777777" w:rsidR="00D62AB1" w:rsidRPr="00BE448F" w:rsidRDefault="00D62AB1" w:rsidP="00CB7B22">
      <w:pPr>
        <w:pStyle w:val="Prrafodelista"/>
        <w:tabs>
          <w:tab w:val="left" w:pos="993"/>
        </w:tabs>
        <w:spacing w:before="240" w:after="240" w:line="360" w:lineRule="auto"/>
        <w:ind w:left="567" w:right="616"/>
        <w:jc w:val="both"/>
        <w:rPr>
          <w:rFonts w:ascii="Palatino Linotype" w:eastAsia="Times New Roman" w:hAnsi="Palatino Linotype" w:cs="Arial"/>
        </w:rPr>
      </w:pPr>
    </w:p>
    <w:p w14:paraId="51712EB5" w14:textId="0B8C6FA7" w:rsidR="005351C0" w:rsidRPr="00BE448F" w:rsidRDefault="00D62AB1" w:rsidP="00CB7B22">
      <w:pPr>
        <w:pStyle w:val="Prrafodelista"/>
        <w:tabs>
          <w:tab w:val="left" w:pos="993"/>
        </w:tabs>
        <w:spacing w:before="240" w:after="240" w:line="360" w:lineRule="auto"/>
        <w:ind w:left="567" w:right="616"/>
        <w:jc w:val="both"/>
        <w:rPr>
          <w:rFonts w:ascii="Palatino Linotype" w:eastAsia="Times New Roman" w:hAnsi="Palatino Linotype" w:cs="Arial"/>
        </w:rPr>
      </w:pPr>
      <w:r w:rsidRPr="00BE448F">
        <w:rPr>
          <w:rFonts w:ascii="Palatino Linotype" w:eastAsia="Times New Roman" w:hAnsi="Palatino Linotype" w:cs="Arial"/>
        </w:rPr>
        <w:t>-</w:t>
      </w:r>
      <w:r w:rsidR="00F14835" w:rsidRPr="00BE448F">
        <w:rPr>
          <w:rFonts w:ascii="Palatino Linotype" w:eastAsia="Times New Roman" w:hAnsi="Palatino Linotype" w:cs="Arial"/>
        </w:rPr>
        <w:t xml:space="preserve"> </w:t>
      </w:r>
      <w:r w:rsidRPr="00BE448F">
        <w:rPr>
          <w:rFonts w:ascii="Palatino Linotype" w:eastAsia="Times New Roman" w:hAnsi="Palatino Linotype" w:cs="Arial"/>
        </w:rPr>
        <w:t xml:space="preserve">Acuerdo </w:t>
      </w:r>
      <w:r w:rsidRPr="00BE448F">
        <w:rPr>
          <w:rFonts w:ascii="Palatino Linotype" w:eastAsia="Times New Roman" w:hAnsi="Palatino Linotype" w:cs="Arial"/>
          <w:b/>
        </w:rPr>
        <w:t xml:space="preserve">0055/TECAMAC/CT/2020 </w:t>
      </w:r>
      <w:r w:rsidRPr="00BE448F">
        <w:rPr>
          <w:rFonts w:ascii="Palatino Linotype" w:eastAsia="Times New Roman" w:hAnsi="Palatino Linotype" w:cs="Arial"/>
        </w:rPr>
        <w:t>mediante el cual se expo</w:t>
      </w:r>
      <w:r w:rsidR="003F14A4" w:rsidRPr="00BE448F">
        <w:rPr>
          <w:rFonts w:ascii="Palatino Linotype" w:eastAsia="Times New Roman" w:hAnsi="Palatino Linotype" w:cs="Arial"/>
        </w:rPr>
        <w:t>nen las ra</w:t>
      </w:r>
      <w:r w:rsidRPr="00BE448F">
        <w:rPr>
          <w:rFonts w:ascii="Palatino Linotype" w:eastAsia="Times New Roman" w:hAnsi="Palatino Linotype" w:cs="Arial"/>
        </w:rPr>
        <w:t xml:space="preserve">zones de manera fundada y motivada por las cuales se considera que la información solicitada no es susceptible de entrega al ser clasificada como reservada.  </w:t>
      </w:r>
      <w:r w:rsidR="00F14835" w:rsidRPr="00BE448F">
        <w:rPr>
          <w:rFonts w:ascii="Palatino Linotype" w:eastAsia="Times New Roman" w:hAnsi="Palatino Linotype" w:cs="Arial"/>
        </w:rPr>
        <w:t xml:space="preserve"> </w:t>
      </w:r>
    </w:p>
    <w:p w14:paraId="21915360" w14:textId="77777777" w:rsidR="005351C0" w:rsidRPr="00BE448F" w:rsidRDefault="005351C0" w:rsidP="00CB7B22">
      <w:pPr>
        <w:pStyle w:val="Prrafodelista"/>
        <w:spacing w:before="240" w:after="240" w:line="360" w:lineRule="auto"/>
        <w:ind w:left="0"/>
        <w:jc w:val="both"/>
        <w:rPr>
          <w:rFonts w:ascii="Palatino Linotype" w:eastAsia="Times New Roman" w:hAnsi="Palatino Linotype" w:cs="Arial"/>
        </w:rPr>
      </w:pPr>
    </w:p>
    <w:p w14:paraId="6858767F" w14:textId="0390BF95" w:rsidR="001A35DC" w:rsidRPr="00BE448F" w:rsidRDefault="0084448A" w:rsidP="00CB7B22">
      <w:pPr>
        <w:pStyle w:val="Prrafodelista"/>
        <w:numPr>
          <w:ilvl w:val="0"/>
          <w:numId w:val="1"/>
        </w:numPr>
        <w:spacing w:before="240" w:after="240" w:line="360" w:lineRule="auto"/>
        <w:ind w:left="0" w:firstLine="0"/>
        <w:jc w:val="both"/>
        <w:rPr>
          <w:rFonts w:ascii="Palatino Linotype" w:eastAsia="Times New Roman" w:hAnsi="Palatino Linotype" w:cs="Arial"/>
        </w:rPr>
      </w:pPr>
      <w:r w:rsidRPr="00BE448F">
        <w:rPr>
          <w:rFonts w:ascii="Palatino Linotype" w:eastAsia="Times New Roman" w:hAnsi="Palatino Linotype" w:cs="Arial"/>
        </w:rPr>
        <w:t xml:space="preserve">El </w:t>
      </w:r>
      <w:r w:rsidR="00D62AB1" w:rsidRPr="00BE448F">
        <w:rPr>
          <w:rFonts w:ascii="Palatino Linotype" w:eastAsia="Times New Roman" w:hAnsi="Palatino Linotype" w:cs="Arial"/>
        </w:rPr>
        <w:t xml:space="preserve">treinta y uno </w:t>
      </w:r>
      <w:r w:rsidRPr="00BE448F">
        <w:rPr>
          <w:rFonts w:ascii="Palatino Linotype" w:eastAsia="Times New Roman" w:hAnsi="Palatino Linotype" w:cs="Arial"/>
        </w:rPr>
        <w:t>(</w:t>
      </w:r>
      <w:r w:rsidR="00D62AB1" w:rsidRPr="00BE448F">
        <w:rPr>
          <w:rFonts w:ascii="Palatino Linotype" w:eastAsia="Times New Roman" w:hAnsi="Palatino Linotype" w:cs="Arial"/>
        </w:rPr>
        <w:t>31</w:t>
      </w:r>
      <w:r w:rsidR="008C252A" w:rsidRPr="00BE448F">
        <w:rPr>
          <w:rFonts w:ascii="Palatino Linotype" w:eastAsia="Times New Roman" w:hAnsi="Palatino Linotype" w:cs="Arial"/>
        </w:rPr>
        <w:t>) de</w:t>
      </w:r>
      <w:r w:rsidR="00D62AB1" w:rsidRPr="00BE448F">
        <w:rPr>
          <w:rFonts w:ascii="Palatino Linotype" w:eastAsia="Times New Roman" w:hAnsi="Palatino Linotype" w:cs="Arial"/>
        </w:rPr>
        <w:t xml:space="preserve"> agosto </w:t>
      </w:r>
      <w:r w:rsidR="008C252A" w:rsidRPr="00BE448F">
        <w:rPr>
          <w:rFonts w:ascii="Palatino Linotype" w:eastAsia="Times New Roman" w:hAnsi="Palatino Linotype" w:cs="Arial"/>
          <w:lang w:val="es-ES"/>
        </w:rPr>
        <w:t xml:space="preserve">de dos mil </w:t>
      </w:r>
      <w:r w:rsidR="00496A90" w:rsidRPr="00BE448F">
        <w:rPr>
          <w:rFonts w:ascii="Palatino Linotype" w:eastAsia="Times New Roman" w:hAnsi="Palatino Linotype" w:cs="Arial"/>
          <w:lang w:val="es-ES"/>
        </w:rPr>
        <w:t>veinte</w:t>
      </w:r>
      <w:r w:rsidR="00D408B6" w:rsidRPr="00BE448F">
        <w:rPr>
          <w:rFonts w:ascii="Palatino Linotype" w:eastAsia="Times New Roman" w:hAnsi="Palatino Linotype" w:cs="Arial"/>
          <w:lang w:val="es-ES"/>
        </w:rPr>
        <w:t xml:space="preserve">, </w:t>
      </w:r>
      <w:r w:rsidR="00496A90" w:rsidRPr="00BE448F">
        <w:rPr>
          <w:rFonts w:ascii="Palatino Linotype" w:eastAsia="Times New Roman" w:hAnsi="Palatino Linotype" w:cs="Arial"/>
          <w:lang w:val="es-ES"/>
        </w:rPr>
        <w:t xml:space="preserve">el </w:t>
      </w:r>
      <w:r w:rsidR="00496A90" w:rsidRPr="00BE448F">
        <w:rPr>
          <w:rFonts w:ascii="Palatino Linotype" w:eastAsia="Times New Roman" w:hAnsi="Palatino Linotype" w:cs="Arial"/>
          <w:b/>
          <w:lang w:val="es-ES"/>
        </w:rPr>
        <w:t>RECURRENTE</w:t>
      </w:r>
      <w:r w:rsidR="00496A90" w:rsidRPr="00BE448F">
        <w:rPr>
          <w:rFonts w:ascii="Palatino Linotype" w:eastAsia="Times New Roman" w:hAnsi="Palatino Linotype" w:cs="Arial"/>
          <w:lang w:val="es-ES"/>
        </w:rPr>
        <w:t xml:space="preserve"> interpuso el </w:t>
      </w:r>
      <w:r w:rsidR="00C64BCF" w:rsidRPr="00BE448F">
        <w:rPr>
          <w:rFonts w:ascii="Palatino Linotype" w:eastAsia="Times New Roman" w:hAnsi="Palatino Linotype" w:cs="Arial"/>
          <w:lang w:val="es-ES"/>
        </w:rPr>
        <w:t>recurso</w:t>
      </w:r>
      <w:r w:rsidR="00496A90" w:rsidRPr="00BE448F">
        <w:rPr>
          <w:rFonts w:ascii="Palatino Linotype" w:eastAsia="Times New Roman" w:hAnsi="Palatino Linotype" w:cs="Arial"/>
          <w:lang w:val="es-ES"/>
        </w:rPr>
        <w:t xml:space="preserve"> </w:t>
      </w:r>
      <w:r w:rsidR="00C64BCF" w:rsidRPr="00BE448F">
        <w:rPr>
          <w:rFonts w:ascii="Palatino Linotype" w:eastAsia="Times New Roman" w:hAnsi="Palatino Linotype" w:cs="Arial"/>
          <w:lang w:val="es-ES"/>
        </w:rPr>
        <w:t>de revisión</w:t>
      </w:r>
      <w:r w:rsidR="003A68EE" w:rsidRPr="00BE448F">
        <w:rPr>
          <w:rFonts w:ascii="Palatino Linotype" w:eastAsia="Times New Roman" w:hAnsi="Palatino Linotype" w:cs="Arial"/>
          <w:lang w:val="es-ES"/>
        </w:rPr>
        <w:t xml:space="preserve"> </w:t>
      </w:r>
      <w:r w:rsidR="00D62AB1" w:rsidRPr="00BE448F">
        <w:rPr>
          <w:rFonts w:ascii="Palatino Linotype" w:eastAsia="Times New Roman" w:hAnsi="Palatino Linotype" w:cs="Arial"/>
          <w:b/>
          <w:lang w:val="es-ES"/>
        </w:rPr>
        <w:t>03508</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D62AB1" w:rsidRPr="00BE448F">
        <w:rPr>
          <w:rFonts w:ascii="Palatino Linotype" w:eastAsia="Times New Roman" w:hAnsi="Palatino Linotype" w:cs="Arial"/>
          <w:b/>
          <w:lang w:val="es-ES"/>
        </w:rPr>
        <w:t>/INFOEM/IP/RR/2020</w:t>
      </w:r>
      <w:r w:rsidR="008C252A" w:rsidRPr="00BE448F">
        <w:rPr>
          <w:rFonts w:ascii="Palatino Linotype" w:hAnsi="Palatino Linotype"/>
          <w:b/>
        </w:rPr>
        <w:t xml:space="preserve"> </w:t>
      </w:r>
      <w:r w:rsidR="00C90879" w:rsidRPr="00BE448F">
        <w:rPr>
          <w:rFonts w:ascii="Palatino Linotype" w:eastAsia="Times New Roman" w:hAnsi="Palatino Linotype" w:cs="Arial"/>
          <w:lang w:val="es-ES"/>
        </w:rPr>
        <w:t xml:space="preserve">en contra de </w:t>
      </w:r>
      <w:r w:rsidR="000C1C87" w:rsidRPr="00BE448F">
        <w:rPr>
          <w:rFonts w:ascii="Palatino Linotype" w:eastAsia="Times New Roman" w:hAnsi="Palatino Linotype" w:cs="Arial"/>
          <w:lang w:val="es-ES"/>
        </w:rPr>
        <w:t>la respuesta</w:t>
      </w:r>
      <w:r w:rsidR="00C90879" w:rsidRPr="00BE448F">
        <w:rPr>
          <w:rFonts w:ascii="Palatino Linotype" w:eastAsia="Times New Roman" w:hAnsi="Palatino Linotype" w:cs="Arial"/>
          <w:lang w:val="es-ES"/>
        </w:rPr>
        <w:t xml:space="preserve"> y</w:t>
      </w:r>
      <w:r w:rsidR="000C1C87" w:rsidRPr="00BE448F">
        <w:rPr>
          <w:rFonts w:ascii="Palatino Linotype" w:eastAsia="Times New Roman" w:hAnsi="Palatino Linotype" w:cs="Arial"/>
          <w:lang w:val="es-ES"/>
        </w:rPr>
        <w:t xml:space="preserve"> señalando </w:t>
      </w:r>
      <w:r w:rsidR="00D62AB1" w:rsidRPr="00BE448F">
        <w:rPr>
          <w:rFonts w:ascii="Palatino Linotype" w:eastAsia="Times New Roman" w:hAnsi="Palatino Linotype" w:cs="Arial"/>
          <w:lang w:val="es-ES"/>
        </w:rPr>
        <w:t>como</w:t>
      </w:r>
      <w:bookmarkEnd w:id="4"/>
      <w:bookmarkEnd w:id="5"/>
      <w:bookmarkEnd w:id="6"/>
      <w:bookmarkEnd w:id="7"/>
      <w:bookmarkEnd w:id="8"/>
      <w:bookmarkEnd w:id="9"/>
      <w:bookmarkEnd w:id="10"/>
      <w:bookmarkEnd w:id="11"/>
      <w:bookmarkEnd w:id="12"/>
      <w:bookmarkEnd w:id="13"/>
      <w:bookmarkEnd w:id="14"/>
      <w:bookmarkEnd w:id="15"/>
      <w:r w:rsidR="00D62AB1" w:rsidRPr="00BE448F">
        <w:rPr>
          <w:rFonts w:ascii="Palatino Linotype" w:eastAsia="Times New Roman" w:hAnsi="Palatino Linotype" w:cs="Arial"/>
          <w:lang w:val="es-ES"/>
        </w:rPr>
        <w:t>:</w:t>
      </w:r>
    </w:p>
    <w:p w14:paraId="7AEA4705" w14:textId="77777777" w:rsidR="001A35DC" w:rsidRPr="00BE448F" w:rsidRDefault="001A35DC" w:rsidP="00CB7B22">
      <w:pPr>
        <w:pStyle w:val="Prrafodelista"/>
        <w:spacing w:before="240" w:after="240" w:line="360" w:lineRule="auto"/>
        <w:ind w:left="0"/>
        <w:jc w:val="both"/>
        <w:rPr>
          <w:rFonts w:ascii="Palatino Linotype" w:eastAsia="Times New Roman" w:hAnsi="Palatino Linotype" w:cs="Arial"/>
          <w:lang w:val="es-ES"/>
        </w:rPr>
      </w:pPr>
    </w:p>
    <w:p w14:paraId="032F64F6" w14:textId="4233FE26" w:rsidR="001A35DC" w:rsidRPr="00BE448F" w:rsidRDefault="001A35DC" w:rsidP="00CB7B22">
      <w:pPr>
        <w:pStyle w:val="Prrafodelista"/>
        <w:spacing w:before="240" w:after="240" w:line="360" w:lineRule="auto"/>
        <w:ind w:left="567" w:right="567"/>
        <w:jc w:val="both"/>
        <w:rPr>
          <w:rFonts w:ascii="Palatino Linotype" w:eastAsia="Times New Roman" w:hAnsi="Palatino Linotype" w:cs="Arial"/>
          <w:lang w:val="es-ES"/>
        </w:rPr>
      </w:pPr>
      <w:r w:rsidRPr="00BE448F">
        <w:rPr>
          <w:rFonts w:ascii="Palatino Linotype" w:eastAsia="Times New Roman" w:hAnsi="Palatino Linotype" w:cs="Arial"/>
          <w:b/>
          <w:lang w:val="es-ES"/>
        </w:rPr>
        <w:lastRenderedPageBreak/>
        <w:t>Acto impugnado:</w:t>
      </w:r>
      <w:r w:rsidRPr="00BE448F">
        <w:rPr>
          <w:rFonts w:ascii="Palatino Linotype" w:eastAsia="Times New Roman" w:hAnsi="Palatino Linotype" w:cs="Arial"/>
          <w:lang w:val="es-ES"/>
        </w:rPr>
        <w:t xml:space="preserve"> </w:t>
      </w:r>
      <w:r w:rsidRPr="00BE448F">
        <w:rPr>
          <w:rFonts w:ascii="Palatino Linotype" w:eastAsia="Times New Roman" w:hAnsi="Palatino Linotype" w:cs="Arial"/>
          <w:i/>
          <w:lang w:val="es-ES"/>
        </w:rPr>
        <w:t>“</w:t>
      </w:r>
      <w:r w:rsidR="00D62AB1" w:rsidRPr="00BE448F">
        <w:rPr>
          <w:rFonts w:ascii="Palatino Linotype" w:eastAsia="Times New Roman" w:hAnsi="Palatino Linotype" w:cs="Arial"/>
          <w:i/>
          <w:lang w:val="es-ES"/>
        </w:rPr>
        <w:t>ME NIEGAN INFORMACION QUE ES DE INTERES Y DOMINIO PUBLICO, NO PUEDEN RESERVAR INFORMACIÒN DE ESTA INDOLE SOLO SI ESTAN BAJO UNA INVESTIGACION JUDICIAL, ES IMPERANTE QUE DESPEJEN ESA INFORMACIÒN, ES MI DERECHO SABER QUE ESTA PASANDO CON LOS EX SERVIDORES PUBLICOS Y LOS ACUTALES. SOLICITO A LA CONTRALORIA DEL INFOEM HAGAN REVISION DE ESTE CASO YA QUE ME NIEGAN EL SABER INFORMACION QUE ES PUBLICA.</w:t>
      </w:r>
      <w:r w:rsidRPr="00BE448F">
        <w:rPr>
          <w:rFonts w:ascii="Palatino Linotype" w:eastAsia="Times New Roman" w:hAnsi="Palatino Linotype" w:cs="Arial"/>
          <w:i/>
          <w:lang w:val="es-ES"/>
        </w:rPr>
        <w:t>”</w:t>
      </w:r>
      <w:r w:rsidRPr="00BE448F">
        <w:rPr>
          <w:rFonts w:ascii="Palatino Linotype" w:eastAsia="Times New Roman" w:hAnsi="Palatino Linotype" w:cs="Arial"/>
          <w:lang w:val="es-ES"/>
        </w:rPr>
        <w:t xml:space="preserve"> (Sic).</w:t>
      </w:r>
    </w:p>
    <w:p w14:paraId="1F526428" w14:textId="77777777" w:rsidR="001A35DC" w:rsidRPr="00BE448F" w:rsidRDefault="001A35DC" w:rsidP="00CB7B22">
      <w:pPr>
        <w:pStyle w:val="Prrafodelista"/>
        <w:spacing w:before="240" w:after="240" w:line="360" w:lineRule="auto"/>
        <w:ind w:left="567" w:right="567"/>
        <w:jc w:val="both"/>
        <w:rPr>
          <w:rFonts w:ascii="Palatino Linotype" w:eastAsia="Times New Roman" w:hAnsi="Palatino Linotype" w:cs="Arial"/>
          <w:b/>
          <w:lang w:val="es-ES"/>
        </w:rPr>
      </w:pPr>
    </w:p>
    <w:p w14:paraId="63A9ED8C" w14:textId="3191ECBA" w:rsidR="001A35DC" w:rsidRPr="00BE448F" w:rsidRDefault="001A35DC" w:rsidP="00CB7B22">
      <w:pPr>
        <w:pStyle w:val="Prrafodelista"/>
        <w:spacing w:before="240" w:after="240" w:line="360" w:lineRule="auto"/>
        <w:ind w:left="567" w:right="567"/>
        <w:jc w:val="both"/>
        <w:rPr>
          <w:rFonts w:ascii="Palatino Linotype" w:eastAsia="Times New Roman" w:hAnsi="Palatino Linotype" w:cs="Arial"/>
          <w:lang w:val="es-ES"/>
        </w:rPr>
      </w:pPr>
      <w:r w:rsidRPr="00BE448F">
        <w:rPr>
          <w:rFonts w:ascii="Palatino Linotype" w:eastAsia="Times New Roman" w:hAnsi="Palatino Linotype" w:cs="Arial"/>
          <w:b/>
          <w:lang w:val="es-ES"/>
        </w:rPr>
        <w:t xml:space="preserve">Razones o motivos de la inconformidad: </w:t>
      </w:r>
      <w:r w:rsidRPr="00BE448F">
        <w:rPr>
          <w:rFonts w:ascii="Palatino Linotype" w:eastAsia="Times New Roman" w:hAnsi="Palatino Linotype" w:cs="Arial"/>
          <w:i/>
          <w:lang w:val="es-ES"/>
        </w:rPr>
        <w:t>“</w:t>
      </w:r>
      <w:r w:rsidR="000C1C87" w:rsidRPr="00BE448F">
        <w:rPr>
          <w:rFonts w:ascii="Palatino Linotype" w:eastAsia="Times New Roman" w:hAnsi="Palatino Linotype" w:cs="Arial"/>
          <w:i/>
          <w:lang w:val="es-ES"/>
        </w:rPr>
        <w:t>El municipio me niega mi derecho de acceso a la información pública</w:t>
      </w:r>
      <w:r w:rsidRPr="00BE448F">
        <w:rPr>
          <w:rFonts w:ascii="Palatino Linotype" w:eastAsia="Times New Roman" w:hAnsi="Palatino Linotype" w:cs="Arial"/>
          <w:i/>
          <w:lang w:val="es-ES"/>
        </w:rPr>
        <w:t>”</w:t>
      </w:r>
      <w:r w:rsidRPr="00BE448F">
        <w:rPr>
          <w:rFonts w:ascii="Palatino Linotype" w:eastAsia="Times New Roman" w:hAnsi="Palatino Linotype" w:cs="Arial"/>
          <w:lang w:val="es-ES"/>
        </w:rPr>
        <w:t xml:space="preserve"> (Sic).</w:t>
      </w:r>
    </w:p>
    <w:p w14:paraId="4C40E36B" w14:textId="77777777" w:rsidR="001A35DC" w:rsidRPr="00BE448F" w:rsidRDefault="001A35DC" w:rsidP="00CB7B22">
      <w:pPr>
        <w:pStyle w:val="Prrafodelista"/>
        <w:spacing w:before="240" w:after="240" w:line="360" w:lineRule="auto"/>
        <w:ind w:left="0"/>
        <w:jc w:val="both"/>
        <w:rPr>
          <w:rFonts w:ascii="Palatino Linotype" w:eastAsia="Times New Roman" w:hAnsi="Palatino Linotype" w:cs="Arial"/>
        </w:rPr>
      </w:pPr>
    </w:p>
    <w:p w14:paraId="2D721437" w14:textId="24C6D51C" w:rsidR="00664106" w:rsidRPr="00BE448F" w:rsidRDefault="00496A90" w:rsidP="00CB7B22">
      <w:pPr>
        <w:pStyle w:val="Prrafodelista"/>
        <w:numPr>
          <w:ilvl w:val="0"/>
          <w:numId w:val="1"/>
        </w:numPr>
        <w:spacing w:before="240" w:after="240" w:line="360" w:lineRule="auto"/>
        <w:ind w:left="0" w:firstLine="0"/>
        <w:jc w:val="both"/>
        <w:rPr>
          <w:rFonts w:ascii="Palatino Linotype" w:eastAsia="Times New Roman" w:hAnsi="Palatino Linotype" w:cs="Arial"/>
        </w:rPr>
      </w:pPr>
      <w:r w:rsidRPr="00BE448F">
        <w:rPr>
          <w:rFonts w:ascii="Palatino Linotype" w:hAnsi="Palatino Linotype" w:cs="Arial"/>
          <w:bCs/>
        </w:rPr>
        <w:t xml:space="preserve">Se </w:t>
      </w:r>
      <w:r w:rsidRPr="00BE448F">
        <w:rPr>
          <w:rFonts w:ascii="Palatino Linotype" w:hAnsi="Palatino Linotype" w:cs="Arial"/>
          <w:bCs/>
          <w:lang w:val="es-ES"/>
        </w:rPr>
        <w:t xml:space="preserve">registró el recurso de revisión bajo el número de expediente </w:t>
      </w:r>
      <w:r w:rsidRPr="00BE448F">
        <w:rPr>
          <w:rFonts w:ascii="Palatino Linotype" w:hAnsi="Palatino Linotype" w:cs="Arial"/>
          <w:bCs/>
        </w:rPr>
        <w:t xml:space="preserve">al rubro indicado; asimismo, con fundamento en lo dispuesto por el </w:t>
      </w:r>
      <w:r w:rsidRPr="00BE448F">
        <w:rPr>
          <w:rFonts w:ascii="Palatino Linotype" w:hAnsi="Palatino Linotype" w:cs="Arial"/>
          <w:bCs/>
          <w:lang w:val="es-ES"/>
        </w:rPr>
        <w:t xml:space="preserve">artículo 185 fracción I de la </w:t>
      </w:r>
      <w:r w:rsidRPr="00BE448F">
        <w:rPr>
          <w:rFonts w:ascii="Palatino Linotype" w:hAnsi="Palatino Linotype" w:cs="Arial"/>
          <w:b/>
          <w:bCs/>
          <w:lang w:val="es-ES"/>
        </w:rPr>
        <w:t xml:space="preserve">Ley de Transparencia y Acceso a la Información Pública del Estado de México y Municipios </w:t>
      </w:r>
      <w:r w:rsidRPr="00BE448F">
        <w:rPr>
          <w:rFonts w:ascii="Palatino Linotype" w:hAnsi="Palatino Linotype" w:cs="Arial"/>
          <w:bCs/>
          <w:lang w:val="es-ES"/>
        </w:rPr>
        <w:t xml:space="preserve">se turnó al </w:t>
      </w:r>
      <w:r w:rsidRPr="00BE448F">
        <w:rPr>
          <w:rFonts w:ascii="Palatino Linotype" w:hAnsi="Palatino Linotype" w:cs="Arial"/>
          <w:b/>
          <w:bCs/>
          <w:lang w:val="es-ES"/>
        </w:rPr>
        <w:t xml:space="preserve">Comisionado José Guadalupe Luna Hernández, </w:t>
      </w:r>
      <w:r w:rsidRPr="00BE448F">
        <w:rPr>
          <w:rFonts w:ascii="Palatino Linotype" w:hAnsi="Palatino Linotype" w:cs="Arial"/>
          <w:bCs/>
          <w:lang w:val="es-ES"/>
        </w:rPr>
        <w:t xml:space="preserve">con el objeto de </w:t>
      </w:r>
      <w:r w:rsidRPr="00BE448F">
        <w:rPr>
          <w:rFonts w:ascii="Palatino Linotype" w:hAnsi="Palatino Linotype" w:cs="Arial"/>
          <w:bCs/>
          <w:lang w:val="es-MX"/>
        </w:rPr>
        <w:t>su análisis.</w:t>
      </w:r>
    </w:p>
    <w:p w14:paraId="0E7424BA" w14:textId="77777777" w:rsidR="00496A90" w:rsidRPr="00BE448F" w:rsidRDefault="00496A90" w:rsidP="00CB7B22">
      <w:pPr>
        <w:pStyle w:val="Prrafodelista"/>
        <w:spacing w:before="240" w:after="240" w:line="360" w:lineRule="auto"/>
        <w:ind w:left="0"/>
        <w:jc w:val="both"/>
        <w:rPr>
          <w:rFonts w:ascii="Palatino Linotype" w:eastAsia="Times New Roman" w:hAnsi="Palatino Linotype" w:cs="Arial"/>
        </w:rPr>
      </w:pPr>
    </w:p>
    <w:p w14:paraId="50FD29F7" w14:textId="3B04AE96" w:rsidR="006E7D23" w:rsidRPr="00BE448F" w:rsidRDefault="00496A90" w:rsidP="00CB7B22">
      <w:pPr>
        <w:pStyle w:val="Prrafodelista"/>
        <w:numPr>
          <w:ilvl w:val="0"/>
          <w:numId w:val="1"/>
        </w:numPr>
        <w:spacing w:before="240" w:after="240" w:line="360" w:lineRule="auto"/>
        <w:ind w:left="0" w:firstLine="0"/>
        <w:jc w:val="both"/>
        <w:rPr>
          <w:rFonts w:ascii="Palatino Linotype" w:hAnsi="Palatino Linotype"/>
          <w:i/>
          <w:sz w:val="22"/>
          <w:szCs w:val="22"/>
        </w:rPr>
      </w:pPr>
      <w:r w:rsidRPr="00BE448F">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765CBE" w:rsidRPr="00BE448F">
        <w:rPr>
          <w:rFonts w:ascii="Palatino Linotype" w:eastAsia="Calibri" w:hAnsi="Palatino Linotype" w:cs="Arial"/>
          <w:lang w:val="es-ES"/>
        </w:rPr>
        <w:t xml:space="preserve">cuatro (04) de septiembre </w:t>
      </w:r>
      <w:r w:rsidRPr="00BE448F">
        <w:rPr>
          <w:rFonts w:ascii="Palatino Linotype" w:eastAsia="Calibri" w:hAnsi="Palatino Linotype" w:cs="Arial"/>
          <w:lang w:val="es-ES"/>
        </w:rPr>
        <w:t xml:space="preserve">de dos mil veinte, puso a disposición de las partes el expediente electrónico </w:t>
      </w:r>
      <w:r w:rsidRPr="00BE448F">
        <w:rPr>
          <w:rFonts w:ascii="Palatino Linotype" w:eastAsia="Calibri" w:hAnsi="Palatino Linotype" w:cs="Arial"/>
        </w:rPr>
        <w:t xml:space="preserve">vía </w:t>
      </w:r>
      <w:r w:rsidRPr="00BE448F">
        <w:rPr>
          <w:rFonts w:ascii="Palatino Linotype" w:eastAsia="Calibri" w:hAnsi="Palatino Linotype" w:cs="Arial"/>
          <w:lang w:val="es-ES"/>
        </w:rPr>
        <w:t xml:space="preserve">Sistema de Acceso a la Información Mexiquense </w:t>
      </w:r>
      <w:r w:rsidRPr="00BE448F">
        <w:rPr>
          <w:rFonts w:ascii="Palatino Linotype" w:eastAsia="Calibri" w:hAnsi="Palatino Linotype" w:cs="Arial"/>
          <w:b/>
          <w:i/>
          <w:lang w:val="es-ES"/>
        </w:rPr>
        <w:t>SAIMEX</w:t>
      </w:r>
      <w:r w:rsidRPr="00BE448F">
        <w:rPr>
          <w:rFonts w:ascii="Palatino Linotype" w:eastAsia="Calibri" w:hAnsi="Palatino Linotype" w:cs="Arial"/>
          <w:b/>
          <w:lang w:val="es-ES"/>
        </w:rPr>
        <w:t xml:space="preserve"> </w:t>
      </w:r>
      <w:r w:rsidRPr="00BE448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w:t>
      </w:r>
      <w:r w:rsidRPr="00BE448F">
        <w:rPr>
          <w:rFonts w:ascii="Palatino Linotype" w:eastAsia="Calibri" w:hAnsi="Palatino Linotype" w:cs="Arial"/>
          <w:lang w:val="es-ES"/>
        </w:rPr>
        <w:lastRenderedPageBreak/>
        <w:t xml:space="preserve">que el </w:t>
      </w:r>
      <w:r w:rsidRPr="00BE448F">
        <w:rPr>
          <w:rFonts w:ascii="Palatino Linotype" w:eastAsia="Calibri" w:hAnsi="Palatino Linotype" w:cs="Arial"/>
          <w:b/>
          <w:lang w:val="es-ES"/>
        </w:rPr>
        <w:t>SUJETO OBLIGADO</w:t>
      </w:r>
      <w:r w:rsidRPr="00BE448F">
        <w:rPr>
          <w:rFonts w:ascii="Palatino Linotype" w:eastAsia="Calibri" w:hAnsi="Palatino Linotype" w:cs="Arial"/>
          <w:lang w:val="es-ES"/>
        </w:rPr>
        <w:t xml:space="preserve"> presentara el Informe Justificado procedente</w:t>
      </w:r>
      <w:r w:rsidR="00765CBE" w:rsidRPr="00BE448F">
        <w:rPr>
          <w:rFonts w:ascii="Palatino Linotype" w:eastAsia="Calibri" w:hAnsi="Palatino Linotype" w:cs="Arial"/>
          <w:lang w:val="es-ES"/>
        </w:rPr>
        <w:t>, situación que no concurrió por las partes</w:t>
      </w:r>
      <w:r w:rsidRPr="00BE448F">
        <w:rPr>
          <w:rFonts w:ascii="Palatino Linotype" w:eastAsia="Calibri" w:hAnsi="Palatino Linotype" w:cs="Arial"/>
          <w:lang w:val="es-ES"/>
        </w:rPr>
        <w:t>.</w:t>
      </w:r>
    </w:p>
    <w:p w14:paraId="76B1313B" w14:textId="77777777" w:rsidR="000C1C87" w:rsidRPr="00BE448F" w:rsidRDefault="000C1C87" w:rsidP="00CB7B22">
      <w:pPr>
        <w:pStyle w:val="Prrafodelista"/>
        <w:spacing w:before="240" w:after="240" w:line="360" w:lineRule="auto"/>
        <w:ind w:left="0"/>
        <w:jc w:val="both"/>
        <w:rPr>
          <w:rFonts w:ascii="Palatino Linotype" w:hAnsi="Palatino Linotype"/>
        </w:rPr>
      </w:pPr>
    </w:p>
    <w:p w14:paraId="4F5486E7" w14:textId="3A9B80F0" w:rsidR="006D2E5C" w:rsidRPr="00BE448F" w:rsidRDefault="00861622" w:rsidP="00CB7B22">
      <w:pPr>
        <w:pStyle w:val="Prrafodelista"/>
        <w:numPr>
          <w:ilvl w:val="0"/>
          <w:numId w:val="1"/>
        </w:numPr>
        <w:spacing w:before="240" w:after="240" w:line="360" w:lineRule="auto"/>
        <w:ind w:left="0" w:firstLine="0"/>
        <w:jc w:val="both"/>
      </w:pPr>
      <w:r w:rsidRPr="00BE448F">
        <w:rPr>
          <w:rFonts w:ascii="Palatino Linotype" w:hAnsi="Palatino Linotype"/>
        </w:rPr>
        <w:t xml:space="preserve">El </w:t>
      </w:r>
      <w:bookmarkStart w:id="16" w:name="_Toc461555889"/>
      <w:bookmarkStart w:id="17" w:name="_Toc466371858"/>
      <w:r w:rsidR="00765CBE" w:rsidRPr="00BE448F">
        <w:rPr>
          <w:rFonts w:ascii="Palatino Linotype" w:hAnsi="Palatino Linotype"/>
          <w:lang w:val="es-MX"/>
        </w:rPr>
        <w:t>treinta</w:t>
      </w:r>
      <w:r w:rsidR="00496A90" w:rsidRPr="00BE448F">
        <w:rPr>
          <w:rFonts w:ascii="Palatino Linotype" w:hAnsi="Palatino Linotype"/>
          <w:lang w:val="es-MX"/>
        </w:rPr>
        <w:t xml:space="preserve"> (</w:t>
      </w:r>
      <w:r w:rsidR="00765CBE" w:rsidRPr="00BE448F">
        <w:rPr>
          <w:rFonts w:ascii="Palatino Linotype" w:hAnsi="Palatino Linotype"/>
          <w:lang w:val="es-MX"/>
        </w:rPr>
        <w:t>30</w:t>
      </w:r>
      <w:r w:rsidR="00496A90" w:rsidRPr="00BE448F">
        <w:rPr>
          <w:rFonts w:ascii="Palatino Linotype" w:hAnsi="Palatino Linotype"/>
          <w:lang w:val="es-MX"/>
        </w:rPr>
        <w:t>) de</w:t>
      </w:r>
      <w:r w:rsidR="00765CBE" w:rsidRPr="00BE448F">
        <w:rPr>
          <w:rFonts w:ascii="Palatino Linotype" w:hAnsi="Palatino Linotype"/>
          <w:lang w:val="es-MX"/>
        </w:rPr>
        <w:t xml:space="preserve"> octubre </w:t>
      </w:r>
      <w:r w:rsidR="00496A90" w:rsidRPr="00BE448F">
        <w:rPr>
          <w:rFonts w:ascii="Palatino Linotype" w:hAnsi="Palatino Linotype"/>
          <w:lang w:val="es-MX"/>
        </w:rPr>
        <w:t xml:space="preserve">de dos mil veinte, </w:t>
      </w:r>
      <w:r w:rsidR="00496A90" w:rsidRPr="00BE448F">
        <w:rPr>
          <w:rFonts w:ascii="Palatino Linotype" w:hAnsi="Palatino Linotype"/>
          <w:lang w:val="es-ES"/>
        </w:rPr>
        <w:t xml:space="preserve">con fundamento en el artículo 181 tercer párrafo de la </w:t>
      </w:r>
      <w:r w:rsidR="00496A90" w:rsidRPr="00BE448F">
        <w:rPr>
          <w:rFonts w:ascii="Palatino Linotype" w:hAnsi="Palatino Linotype"/>
          <w:b/>
          <w:bCs/>
          <w:lang w:val="es-ES"/>
        </w:rPr>
        <w:t>Ley de Transparencia y Acceso a la Información Pública del Estado de México y Municipios,</w:t>
      </w:r>
      <w:r w:rsidR="00496A90" w:rsidRPr="00BE448F">
        <w:rPr>
          <w:rFonts w:ascii="Palatino Linotype" w:hAnsi="Palatino Linotype"/>
          <w:bCs/>
          <w:lang w:val="es-ES"/>
        </w:rPr>
        <w:t xml:space="preserve"> </w:t>
      </w:r>
      <w:r w:rsidR="00496A90" w:rsidRPr="00BE448F">
        <w:rPr>
          <w:rFonts w:ascii="Palatino Linotype" w:hAnsi="Palatino Linotype"/>
          <w:lang w:val="es-ES"/>
        </w:rPr>
        <w:t>se notificó que el plazo de treinta (30) días para resolver el recurso de revisión, sería ampliado por un periodo de quince (15) días hábiles adicionales</w:t>
      </w:r>
      <w:r w:rsidR="00496A90" w:rsidRPr="00BE448F">
        <w:rPr>
          <w:rFonts w:ascii="Palatino Linotype" w:hAnsi="Palatino Linotype"/>
        </w:rPr>
        <w:t>; y, en misma fecha, el Comisionado Ponente decretó el cierre del periodo de instrucción, por lo que ordenó turnar el expediente para su resolución</w:t>
      </w:r>
      <w:r w:rsidR="00765CBE" w:rsidRPr="00BE448F">
        <w:rPr>
          <w:rFonts w:ascii="Palatino Linotype" w:hAnsi="Palatino Linotype"/>
        </w:rPr>
        <w:t>, misma que ahora se pronuncia.</w:t>
      </w:r>
    </w:p>
    <w:p w14:paraId="02B6D55A" w14:textId="77777777" w:rsidR="006E7D23" w:rsidRPr="00BE448F" w:rsidRDefault="006E7D23" w:rsidP="00CB7B22">
      <w:pPr>
        <w:pStyle w:val="Prrafodelista"/>
        <w:spacing w:before="240" w:after="240" w:line="360" w:lineRule="auto"/>
        <w:ind w:left="0"/>
        <w:jc w:val="both"/>
      </w:pPr>
    </w:p>
    <w:p w14:paraId="1388D096" w14:textId="0594B23E" w:rsidR="006E7D23" w:rsidRPr="00BE448F" w:rsidRDefault="007C0013" w:rsidP="00B12F29">
      <w:pPr>
        <w:pStyle w:val="Ttulo1"/>
        <w:spacing w:line="360" w:lineRule="auto"/>
        <w:jc w:val="center"/>
        <w:rPr>
          <w:b/>
        </w:rPr>
      </w:pPr>
      <w:bookmarkStart w:id="18" w:name="_Toc54877499"/>
      <w:r w:rsidRPr="00BE448F">
        <w:rPr>
          <w:b/>
        </w:rPr>
        <w:t>CONSIDERANDO</w:t>
      </w:r>
      <w:bookmarkEnd w:id="16"/>
      <w:bookmarkEnd w:id="17"/>
      <w:bookmarkEnd w:id="18"/>
    </w:p>
    <w:p w14:paraId="629A5BE2" w14:textId="771EE22C" w:rsidR="007C0013" w:rsidRPr="00BE448F" w:rsidRDefault="007C0013" w:rsidP="00CB7B22">
      <w:pPr>
        <w:pStyle w:val="Ttulo2"/>
        <w:spacing w:line="360" w:lineRule="auto"/>
        <w:rPr>
          <w:rFonts w:ascii="Palatino Linotype" w:hAnsi="Palatino Linotype"/>
          <w:b/>
          <w:color w:val="auto"/>
          <w:sz w:val="24"/>
        </w:rPr>
      </w:pPr>
      <w:bookmarkStart w:id="19" w:name="_Toc461555890"/>
      <w:bookmarkStart w:id="20" w:name="_Toc466371859"/>
      <w:bookmarkStart w:id="21" w:name="_Toc54877500"/>
      <w:r w:rsidRPr="00BE448F">
        <w:rPr>
          <w:rFonts w:ascii="Palatino Linotype" w:hAnsi="Palatino Linotype"/>
          <w:b/>
          <w:color w:val="auto"/>
          <w:sz w:val="24"/>
        </w:rPr>
        <w:t>PRIMERO. De la competencia</w:t>
      </w:r>
      <w:bookmarkEnd w:id="19"/>
      <w:bookmarkEnd w:id="20"/>
      <w:bookmarkEnd w:id="21"/>
    </w:p>
    <w:p w14:paraId="7796F3C8" w14:textId="77777777" w:rsidR="006D0DAE" w:rsidRPr="00BE448F" w:rsidRDefault="006D0DAE" w:rsidP="00CB7B22">
      <w:pPr>
        <w:spacing w:line="360" w:lineRule="auto"/>
        <w:rPr>
          <w:rFonts w:ascii="Palatino Linotype" w:hAnsi="Palatino Linotype"/>
          <w:lang w:val="es-MX" w:eastAsia="en-US"/>
        </w:rPr>
      </w:pPr>
    </w:p>
    <w:p w14:paraId="0BF52B18" w14:textId="1CB28478" w:rsidR="005A228F" w:rsidRPr="00BE448F" w:rsidRDefault="00A45546" w:rsidP="00CB7B22">
      <w:pPr>
        <w:pStyle w:val="Prrafodelista"/>
        <w:numPr>
          <w:ilvl w:val="0"/>
          <w:numId w:val="1"/>
        </w:numPr>
        <w:spacing w:line="360" w:lineRule="auto"/>
        <w:ind w:left="0" w:firstLine="0"/>
        <w:jc w:val="both"/>
        <w:rPr>
          <w:rFonts w:ascii="Palatino Linotype" w:eastAsia="Calibri" w:hAnsi="Palatino Linotype" w:cs="Times New Roman"/>
          <w:b/>
          <w:lang w:val="es-ES"/>
        </w:rPr>
      </w:pPr>
      <w:r w:rsidRPr="00BE448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E448F">
        <w:rPr>
          <w:rFonts w:ascii="Palatino Linotype" w:eastAsia="Calibri" w:hAnsi="Palatino Linotype" w:cs="Times New Roman"/>
          <w:b/>
          <w:lang w:val="es-ES"/>
        </w:rPr>
        <w:t>Constitución Política de los Estados Unidos Mexicanos</w:t>
      </w:r>
      <w:r w:rsidRPr="00BE448F">
        <w:rPr>
          <w:rFonts w:ascii="Palatino Linotype" w:eastAsia="Calibri" w:hAnsi="Palatino Linotype" w:cs="Times New Roman"/>
          <w:lang w:val="es-ES"/>
        </w:rPr>
        <w:t xml:space="preserve">; 5, párrafos vigésimo, vigésimo primero y vigésimo segundo fracciones IV y V de la </w:t>
      </w:r>
      <w:r w:rsidRPr="00BE448F">
        <w:rPr>
          <w:rFonts w:ascii="Palatino Linotype" w:eastAsia="Calibri" w:hAnsi="Palatino Linotype" w:cs="Times New Roman"/>
          <w:b/>
          <w:lang w:val="es-ES"/>
        </w:rPr>
        <w:t>Constitución Política del Estado Libre y Soberano de México</w:t>
      </w:r>
      <w:r w:rsidRPr="00BE448F">
        <w:rPr>
          <w:rFonts w:ascii="Palatino Linotype" w:eastAsia="Calibri" w:hAnsi="Palatino Linotype" w:cs="Times New Roman"/>
          <w:lang w:val="es-ES"/>
        </w:rPr>
        <w:t xml:space="preserve">; artículos 1, 2 fracción II, 13, 29, 36 fracciones I y II, 176, 178, 179, 181 párrafo tercero y 185 </w:t>
      </w:r>
      <w:r w:rsidRPr="00BE448F">
        <w:rPr>
          <w:rFonts w:ascii="Palatino Linotype" w:eastAsia="Calibri" w:hAnsi="Palatino Linotype" w:cs="Arial"/>
          <w:lang w:val="es-ES"/>
        </w:rPr>
        <w:t xml:space="preserve">de la </w:t>
      </w:r>
      <w:r w:rsidRPr="00BE448F">
        <w:rPr>
          <w:rFonts w:ascii="Palatino Linotype" w:eastAsia="Calibri" w:hAnsi="Palatino Linotype" w:cs="Arial"/>
          <w:b/>
          <w:lang w:val="es-ES"/>
        </w:rPr>
        <w:t>Ley de Transparencia y Acceso a la Información Pública del Estado de México y Municipios</w:t>
      </w:r>
      <w:r w:rsidR="00DA73EE" w:rsidRPr="00BE448F">
        <w:rPr>
          <w:rFonts w:ascii="Palatino Linotype" w:eastAsia="Calibri" w:hAnsi="Palatino Linotype" w:cs="Arial"/>
          <w:lang w:val="es-ES"/>
        </w:rPr>
        <w:t>;</w:t>
      </w:r>
      <w:r w:rsidRPr="00BE448F">
        <w:rPr>
          <w:rFonts w:ascii="Palatino Linotype" w:eastAsia="Calibri" w:hAnsi="Palatino Linotype" w:cs="Arial"/>
          <w:lang w:val="es-ES"/>
        </w:rPr>
        <w:t xml:space="preserve"> y 10, 7, 9 fracciones I y XXIV, y 11 del </w:t>
      </w:r>
      <w:r w:rsidRPr="00BE448F">
        <w:rPr>
          <w:rFonts w:ascii="Palatino Linotype" w:eastAsia="Calibri" w:hAnsi="Palatino Linotype" w:cs="Arial"/>
          <w:b/>
          <w:lang w:val="es-ES"/>
        </w:rPr>
        <w:t xml:space="preserve">Reglamento Interior del Instituto </w:t>
      </w:r>
      <w:r w:rsidRPr="00BE448F">
        <w:rPr>
          <w:rFonts w:ascii="Palatino Linotype" w:eastAsia="Calibri" w:hAnsi="Palatino Linotype" w:cs="Arial"/>
          <w:b/>
          <w:lang w:val="es-ES"/>
        </w:rPr>
        <w:lastRenderedPageBreak/>
        <w:t>de Transparencia, Acceso a la Información Pública y Protección de Datos Personales del Estado de México y Municipios.</w:t>
      </w:r>
    </w:p>
    <w:p w14:paraId="273FE6A9" w14:textId="77777777" w:rsidR="004F1527" w:rsidRPr="00BE448F" w:rsidRDefault="004F1527" w:rsidP="00CB7B22">
      <w:pPr>
        <w:spacing w:line="360" w:lineRule="auto"/>
        <w:jc w:val="both"/>
        <w:rPr>
          <w:rFonts w:ascii="Palatino Linotype" w:eastAsia="Calibri" w:hAnsi="Palatino Linotype" w:cs="Times New Roman"/>
          <w:b/>
          <w:lang w:val="es-ES"/>
        </w:rPr>
      </w:pPr>
    </w:p>
    <w:p w14:paraId="1EEDC16F" w14:textId="47C5AD43" w:rsidR="006D0DAE" w:rsidRPr="00BE448F" w:rsidRDefault="007C0013" w:rsidP="00B12F29">
      <w:pPr>
        <w:pStyle w:val="Ttulo2"/>
        <w:spacing w:line="360" w:lineRule="auto"/>
        <w:rPr>
          <w:rFonts w:ascii="Palatino Linotype" w:hAnsi="Palatino Linotype"/>
          <w:b/>
          <w:color w:val="auto"/>
          <w:sz w:val="24"/>
        </w:rPr>
      </w:pPr>
      <w:bookmarkStart w:id="22" w:name="_Toc461555891"/>
      <w:bookmarkStart w:id="23" w:name="_Toc466371860"/>
      <w:bookmarkStart w:id="24" w:name="_Toc54877501"/>
      <w:r w:rsidRPr="00BE448F">
        <w:rPr>
          <w:rFonts w:ascii="Palatino Linotype" w:hAnsi="Palatino Linotype"/>
          <w:b/>
          <w:color w:val="auto"/>
          <w:sz w:val="24"/>
        </w:rPr>
        <w:t>SEGUNDO. De la oportunidad y proced</w:t>
      </w:r>
      <w:r w:rsidR="00F35C44" w:rsidRPr="00BE448F">
        <w:rPr>
          <w:rFonts w:ascii="Palatino Linotype" w:hAnsi="Palatino Linotype"/>
          <w:b/>
          <w:color w:val="auto"/>
          <w:sz w:val="24"/>
        </w:rPr>
        <w:t>encia</w:t>
      </w:r>
      <w:r w:rsidRPr="00BE448F">
        <w:rPr>
          <w:rFonts w:ascii="Palatino Linotype" w:hAnsi="Palatino Linotype"/>
          <w:b/>
          <w:color w:val="auto"/>
          <w:sz w:val="24"/>
        </w:rPr>
        <w:t>.</w:t>
      </w:r>
      <w:bookmarkEnd w:id="22"/>
      <w:bookmarkEnd w:id="23"/>
      <w:bookmarkEnd w:id="24"/>
    </w:p>
    <w:p w14:paraId="56655770" w14:textId="2EB60D96" w:rsidR="00355626" w:rsidRPr="00BE448F" w:rsidRDefault="00496A90" w:rsidP="00CB7B22">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E448F">
        <w:rPr>
          <w:rFonts w:ascii="Palatino Linotype" w:eastAsia="Calibri" w:hAnsi="Palatino Linotype" w:cs="Arial"/>
          <w:lang w:val="es-MX"/>
        </w:rPr>
        <w:t>El</w:t>
      </w:r>
      <w:r w:rsidR="0006548A" w:rsidRPr="00BE448F">
        <w:rPr>
          <w:rFonts w:ascii="Palatino Linotype" w:eastAsia="Calibri" w:hAnsi="Palatino Linotype" w:cs="Arial"/>
        </w:rPr>
        <w:t xml:space="preserve"> medio de impugnación fue presentado a través del </w:t>
      </w:r>
      <w:r w:rsidR="0006548A" w:rsidRPr="00BE448F">
        <w:rPr>
          <w:rFonts w:ascii="Palatino Linotype" w:eastAsia="Calibri" w:hAnsi="Palatino Linotype" w:cs="Arial"/>
          <w:b/>
        </w:rPr>
        <w:t>SAIMEX,</w:t>
      </w:r>
      <w:r w:rsidR="0006548A" w:rsidRPr="00BE448F">
        <w:rPr>
          <w:rFonts w:ascii="Palatino Linotype" w:eastAsia="Calibri" w:hAnsi="Palatino Linotype" w:cs="Arial"/>
        </w:rPr>
        <w:t xml:space="preserve"> en el formato previamente aprobado para tal efecto y dentro del plazo legal de quince</w:t>
      </w:r>
      <w:r w:rsidR="00BB17E0" w:rsidRPr="00BE448F">
        <w:rPr>
          <w:rFonts w:ascii="Palatino Linotype" w:eastAsia="Calibri" w:hAnsi="Palatino Linotype" w:cs="Arial"/>
        </w:rPr>
        <w:t xml:space="preserve"> días hábiles otorgados; para </w:t>
      </w:r>
      <w:r w:rsidRPr="00BE448F">
        <w:rPr>
          <w:rFonts w:ascii="Palatino Linotype" w:eastAsia="Calibri" w:hAnsi="Palatino Linotype" w:cs="Arial"/>
        </w:rPr>
        <w:t>el</w:t>
      </w:r>
      <w:r w:rsidR="0006548A" w:rsidRPr="00BE448F">
        <w:rPr>
          <w:rFonts w:ascii="Palatino Linotype" w:eastAsia="Calibri" w:hAnsi="Palatino Linotype" w:cs="Arial"/>
        </w:rPr>
        <w:t xml:space="preserve"> caso en particular es de señalar que el </w:t>
      </w:r>
      <w:r w:rsidR="0006548A" w:rsidRPr="00BE448F">
        <w:rPr>
          <w:rFonts w:ascii="Palatino Linotype" w:eastAsia="Calibri" w:hAnsi="Palatino Linotype" w:cs="Arial"/>
          <w:b/>
        </w:rPr>
        <w:t>SUJETO OBLIGADO</w:t>
      </w:r>
      <w:r w:rsidR="0006548A" w:rsidRPr="00BE448F">
        <w:rPr>
          <w:rFonts w:ascii="Palatino Linotype" w:eastAsia="Calibri" w:hAnsi="Palatino Linotype" w:cs="Arial"/>
        </w:rPr>
        <w:t xml:space="preserve"> emitió respuesta a la solicitud de infor</w:t>
      </w:r>
      <w:r w:rsidR="00BB17E0" w:rsidRPr="00BE448F">
        <w:rPr>
          <w:rFonts w:ascii="Palatino Linotype" w:eastAsia="Calibri" w:hAnsi="Palatino Linotype" w:cs="Arial"/>
        </w:rPr>
        <w:t>ma</w:t>
      </w:r>
      <w:r w:rsidR="00020F71" w:rsidRPr="00BE448F">
        <w:rPr>
          <w:rFonts w:ascii="Palatino Linotype" w:eastAsia="Calibri" w:hAnsi="Palatino Linotype" w:cs="Arial"/>
        </w:rPr>
        <w:t>ción el veinticuatro</w:t>
      </w:r>
      <w:r w:rsidR="003A68EE" w:rsidRPr="00BE448F">
        <w:rPr>
          <w:rFonts w:ascii="Palatino Linotype" w:eastAsia="Calibri" w:hAnsi="Palatino Linotype" w:cs="Arial"/>
        </w:rPr>
        <w:t xml:space="preserve"> (</w:t>
      </w:r>
      <w:r w:rsidR="00020F71" w:rsidRPr="00BE448F">
        <w:rPr>
          <w:rFonts w:ascii="Palatino Linotype" w:eastAsia="Calibri" w:hAnsi="Palatino Linotype" w:cs="Arial"/>
        </w:rPr>
        <w:t>24</w:t>
      </w:r>
      <w:r w:rsidR="006F04C4" w:rsidRPr="00BE448F">
        <w:rPr>
          <w:rFonts w:ascii="Palatino Linotype" w:eastAsia="Calibri" w:hAnsi="Palatino Linotype" w:cs="Arial"/>
        </w:rPr>
        <w:t>)</w:t>
      </w:r>
      <w:r w:rsidR="003A68EE" w:rsidRPr="00BE448F">
        <w:rPr>
          <w:rFonts w:ascii="Palatino Linotype" w:eastAsia="Calibri" w:hAnsi="Palatino Linotype" w:cs="Arial"/>
        </w:rPr>
        <w:t xml:space="preserve"> de</w:t>
      </w:r>
      <w:r w:rsidR="00020F71" w:rsidRPr="00BE448F">
        <w:rPr>
          <w:rFonts w:ascii="Palatino Linotype" w:eastAsia="Calibri" w:hAnsi="Palatino Linotype" w:cs="Arial"/>
        </w:rPr>
        <w:t xml:space="preserve"> agosto</w:t>
      </w:r>
      <w:r w:rsidR="003A68EE" w:rsidRPr="00BE448F">
        <w:rPr>
          <w:rFonts w:ascii="Palatino Linotype" w:eastAsia="Calibri" w:hAnsi="Palatino Linotype" w:cs="Arial"/>
        </w:rPr>
        <w:t xml:space="preserve"> </w:t>
      </w:r>
      <w:r w:rsidR="00020F71" w:rsidRPr="00BE448F">
        <w:rPr>
          <w:rFonts w:ascii="Palatino Linotype" w:eastAsia="Calibri" w:hAnsi="Palatino Linotype" w:cs="Arial"/>
        </w:rPr>
        <w:t>del dos mil veinte</w:t>
      </w:r>
      <w:r w:rsidR="00623028" w:rsidRPr="00BE448F">
        <w:rPr>
          <w:rFonts w:ascii="Palatino Linotype" w:eastAsia="Calibri" w:hAnsi="Palatino Linotype" w:cs="Arial"/>
        </w:rPr>
        <w:t>,</w:t>
      </w:r>
      <w:r w:rsidR="0006548A" w:rsidRPr="00BE448F">
        <w:rPr>
          <w:rFonts w:ascii="Palatino Linotype" w:eastAsia="Calibri" w:hAnsi="Palatino Linotype" w:cs="Arial"/>
        </w:rPr>
        <w:t xml:space="preserve"> </w:t>
      </w:r>
      <w:r w:rsidR="0006548A" w:rsidRPr="00BE448F">
        <w:rPr>
          <w:rFonts w:ascii="Palatino Linotype" w:hAnsi="Palatino Linotype" w:cs="Arial"/>
        </w:rPr>
        <w:t xml:space="preserve">de tal forma que </w:t>
      </w:r>
      <w:r w:rsidRPr="00BE448F">
        <w:rPr>
          <w:rFonts w:ascii="Palatino Linotype" w:hAnsi="Palatino Linotype" w:cs="Arial"/>
        </w:rPr>
        <w:t>el</w:t>
      </w:r>
      <w:r w:rsidR="0006548A" w:rsidRPr="00BE448F">
        <w:rPr>
          <w:rFonts w:ascii="Palatino Linotype" w:hAnsi="Palatino Linotype" w:cs="Arial"/>
        </w:rPr>
        <w:t xml:space="preserve"> plazo para interponer </w:t>
      </w:r>
      <w:r w:rsidRPr="00BE448F">
        <w:rPr>
          <w:rFonts w:ascii="Palatino Linotype" w:hAnsi="Palatino Linotype" w:cs="Arial"/>
        </w:rPr>
        <w:t>el</w:t>
      </w:r>
      <w:r w:rsidR="0006548A" w:rsidRPr="00BE448F">
        <w:rPr>
          <w:rFonts w:ascii="Palatino Linotype" w:hAnsi="Palatino Linotype" w:cs="Arial"/>
        </w:rPr>
        <w:t xml:space="preserve"> recur</w:t>
      </w:r>
      <w:r w:rsidR="00BB17E0" w:rsidRPr="00BE448F">
        <w:rPr>
          <w:rFonts w:ascii="Palatino Linotype" w:hAnsi="Palatino Linotype" w:cs="Arial"/>
        </w:rPr>
        <w:t xml:space="preserve">so </w:t>
      </w:r>
      <w:r w:rsidRPr="00BE448F">
        <w:rPr>
          <w:rFonts w:ascii="Palatino Linotype" w:hAnsi="Palatino Linotype" w:cs="Arial"/>
        </w:rPr>
        <w:t>transcurrió</w:t>
      </w:r>
      <w:r w:rsidR="00623028" w:rsidRPr="00BE448F">
        <w:rPr>
          <w:rFonts w:ascii="Palatino Linotype" w:hAnsi="Palatino Linotype" w:cs="Arial"/>
        </w:rPr>
        <w:t xml:space="preserve"> del </w:t>
      </w:r>
      <w:r w:rsidR="00020F71" w:rsidRPr="00BE448F">
        <w:rPr>
          <w:rFonts w:ascii="Palatino Linotype" w:hAnsi="Palatino Linotype" w:cs="Arial"/>
        </w:rPr>
        <w:t xml:space="preserve">veinticinco </w:t>
      </w:r>
      <w:r w:rsidR="003A68EE" w:rsidRPr="00BE448F">
        <w:rPr>
          <w:rFonts w:ascii="Palatino Linotype" w:hAnsi="Palatino Linotype" w:cs="Arial"/>
        </w:rPr>
        <w:t>(</w:t>
      </w:r>
      <w:r w:rsidR="00020F71" w:rsidRPr="00BE448F">
        <w:rPr>
          <w:rFonts w:ascii="Palatino Linotype" w:hAnsi="Palatino Linotype" w:cs="Arial"/>
        </w:rPr>
        <w:t>25</w:t>
      </w:r>
      <w:r w:rsidR="006F04C4" w:rsidRPr="00BE448F">
        <w:rPr>
          <w:rFonts w:ascii="Palatino Linotype" w:hAnsi="Palatino Linotype" w:cs="Arial"/>
        </w:rPr>
        <w:t>)</w:t>
      </w:r>
      <w:r w:rsidRPr="00BE448F">
        <w:rPr>
          <w:rFonts w:ascii="Palatino Linotype" w:hAnsi="Palatino Linotype" w:cs="Arial"/>
        </w:rPr>
        <w:t xml:space="preserve"> de</w:t>
      </w:r>
      <w:r w:rsidR="00020F71" w:rsidRPr="00BE448F">
        <w:rPr>
          <w:rFonts w:ascii="Palatino Linotype" w:hAnsi="Palatino Linotype" w:cs="Arial"/>
        </w:rPr>
        <w:t xml:space="preserve"> agosto </w:t>
      </w:r>
      <w:r w:rsidR="00623028" w:rsidRPr="00BE448F">
        <w:rPr>
          <w:rFonts w:ascii="Palatino Linotype" w:hAnsi="Palatino Linotype" w:cs="Arial"/>
        </w:rPr>
        <w:t>al</w:t>
      </w:r>
      <w:r w:rsidR="00355626" w:rsidRPr="00BE448F">
        <w:rPr>
          <w:rFonts w:ascii="Palatino Linotype" w:hAnsi="Palatino Linotype" w:cs="Arial"/>
        </w:rPr>
        <w:t xml:space="preserve"> </w:t>
      </w:r>
      <w:r w:rsidR="00020F71" w:rsidRPr="00BE448F">
        <w:rPr>
          <w:rFonts w:ascii="Palatino Linotype" w:hAnsi="Palatino Linotype" w:cs="Arial"/>
        </w:rPr>
        <w:t>catorce</w:t>
      </w:r>
      <w:r w:rsidR="00355626" w:rsidRPr="00BE448F">
        <w:rPr>
          <w:rFonts w:ascii="Palatino Linotype" w:hAnsi="Palatino Linotype" w:cs="Arial"/>
        </w:rPr>
        <w:t xml:space="preserve"> (</w:t>
      </w:r>
      <w:r w:rsidR="00020F71" w:rsidRPr="00BE448F">
        <w:rPr>
          <w:rFonts w:ascii="Palatino Linotype" w:hAnsi="Palatino Linotype" w:cs="Arial"/>
        </w:rPr>
        <w:t>14</w:t>
      </w:r>
      <w:r w:rsidR="006F04C4" w:rsidRPr="00BE448F">
        <w:rPr>
          <w:rFonts w:ascii="Palatino Linotype" w:hAnsi="Palatino Linotype" w:cs="Arial"/>
        </w:rPr>
        <w:t xml:space="preserve">) </w:t>
      </w:r>
      <w:r w:rsidR="00355626" w:rsidRPr="00BE448F">
        <w:rPr>
          <w:rFonts w:ascii="Palatino Linotype" w:hAnsi="Palatino Linotype" w:cs="Arial"/>
        </w:rPr>
        <w:t>de</w:t>
      </w:r>
      <w:r w:rsidR="00020F71" w:rsidRPr="00BE448F">
        <w:rPr>
          <w:rFonts w:ascii="Palatino Linotype" w:hAnsi="Palatino Linotype" w:cs="Arial"/>
        </w:rPr>
        <w:t xml:space="preserve"> septiembre </w:t>
      </w:r>
      <w:r w:rsidR="00355626" w:rsidRPr="00BE448F">
        <w:rPr>
          <w:rFonts w:ascii="Palatino Linotype" w:hAnsi="Palatino Linotype" w:cs="Arial"/>
        </w:rPr>
        <w:t>de dos mil</w:t>
      </w:r>
      <w:r w:rsidR="00E50956" w:rsidRPr="00BE448F">
        <w:rPr>
          <w:rFonts w:ascii="Palatino Linotype" w:hAnsi="Palatino Linotype" w:cs="Arial"/>
        </w:rPr>
        <w:t xml:space="preserve"> </w:t>
      </w:r>
      <w:r w:rsidR="000A2D7C" w:rsidRPr="00BE448F">
        <w:rPr>
          <w:rFonts w:ascii="Palatino Linotype" w:hAnsi="Palatino Linotype" w:cs="Arial"/>
        </w:rPr>
        <w:t>veinte</w:t>
      </w:r>
      <w:r w:rsidR="0006548A" w:rsidRPr="00BE448F">
        <w:rPr>
          <w:rFonts w:ascii="Palatino Linotype" w:hAnsi="Palatino Linotype" w:cs="Arial"/>
        </w:rPr>
        <w:t>. En consecuencia,</w:t>
      </w:r>
      <w:r w:rsidR="005B083B" w:rsidRPr="00BE448F">
        <w:rPr>
          <w:rFonts w:ascii="Palatino Linotype" w:hAnsi="Palatino Linotype" w:cs="Arial"/>
        </w:rPr>
        <w:t xml:space="preserve"> si</w:t>
      </w:r>
      <w:r w:rsidR="006F04C4" w:rsidRPr="00BE448F">
        <w:rPr>
          <w:rFonts w:ascii="Palatino Linotype" w:hAnsi="Palatino Linotype" w:cs="Arial"/>
        </w:rPr>
        <w:t xml:space="preserve"> el</w:t>
      </w:r>
      <w:r w:rsidR="0006548A" w:rsidRPr="00BE448F">
        <w:rPr>
          <w:rFonts w:ascii="Palatino Linotype" w:hAnsi="Palatino Linotype" w:cs="Arial"/>
        </w:rPr>
        <w:t xml:space="preserve"> hoy </w:t>
      </w:r>
      <w:r w:rsidR="0006548A" w:rsidRPr="00BE448F">
        <w:rPr>
          <w:rFonts w:ascii="Palatino Linotype" w:hAnsi="Palatino Linotype" w:cs="Arial"/>
          <w:b/>
        </w:rPr>
        <w:t>RECURRENTE</w:t>
      </w:r>
      <w:r w:rsidR="0006548A" w:rsidRPr="00BE448F">
        <w:rPr>
          <w:rFonts w:ascii="Palatino Linotype" w:hAnsi="Palatino Linotype" w:cs="Arial"/>
        </w:rPr>
        <w:t xml:space="preserve"> </w:t>
      </w:r>
      <w:r w:rsidR="00BB17E0" w:rsidRPr="00BE448F">
        <w:rPr>
          <w:rFonts w:ascii="Palatino Linotype" w:hAnsi="Palatino Linotype" w:cs="Arial"/>
        </w:rPr>
        <w:t>presentó su inconf</w:t>
      </w:r>
      <w:r w:rsidR="00623028" w:rsidRPr="00BE448F">
        <w:rPr>
          <w:rFonts w:ascii="Palatino Linotype" w:hAnsi="Palatino Linotype" w:cs="Arial"/>
        </w:rPr>
        <w:t xml:space="preserve">ormidad </w:t>
      </w:r>
      <w:r w:rsidR="00020F71" w:rsidRPr="00BE448F">
        <w:rPr>
          <w:rFonts w:ascii="Palatino Linotype" w:hAnsi="Palatino Linotype" w:cs="Arial"/>
        </w:rPr>
        <w:t>el día veintinueve</w:t>
      </w:r>
      <w:r w:rsidR="00355626" w:rsidRPr="00BE448F">
        <w:rPr>
          <w:rFonts w:ascii="Palatino Linotype" w:hAnsi="Palatino Linotype" w:cs="Arial"/>
        </w:rPr>
        <w:t xml:space="preserve"> (</w:t>
      </w:r>
      <w:r w:rsidR="00020F71" w:rsidRPr="00BE448F">
        <w:rPr>
          <w:rFonts w:ascii="Palatino Linotype" w:hAnsi="Palatino Linotype" w:cs="Arial"/>
        </w:rPr>
        <w:t>29</w:t>
      </w:r>
      <w:r w:rsidR="006F04C4" w:rsidRPr="00BE448F">
        <w:rPr>
          <w:rFonts w:ascii="Palatino Linotype" w:hAnsi="Palatino Linotype" w:cs="Arial"/>
        </w:rPr>
        <w:t>) de</w:t>
      </w:r>
      <w:r w:rsidR="00020F71" w:rsidRPr="00BE448F">
        <w:rPr>
          <w:rFonts w:ascii="Palatino Linotype" w:hAnsi="Palatino Linotype" w:cs="Arial"/>
        </w:rPr>
        <w:t xml:space="preserve"> agosto </w:t>
      </w:r>
      <w:r w:rsidR="0006548A" w:rsidRPr="00BE448F">
        <w:rPr>
          <w:rFonts w:ascii="Palatino Linotype" w:hAnsi="Palatino Linotype" w:cs="Arial"/>
        </w:rPr>
        <w:t>de</w:t>
      </w:r>
      <w:r w:rsidR="006F04C4" w:rsidRPr="00BE448F">
        <w:rPr>
          <w:rFonts w:ascii="Palatino Linotype" w:hAnsi="Palatino Linotype" w:cs="Arial"/>
        </w:rPr>
        <w:t xml:space="preserve"> dos mil </w:t>
      </w:r>
      <w:r w:rsidR="000A2D7C" w:rsidRPr="00BE448F">
        <w:rPr>
          <w:rFonts w:ascii="Palatino Linotype" w:hAnsi="Palatino Linotype" w:cs="Arial"/>
        </w:rPr>
        <w:t>veinte</w:t>
      </w:r>
      <w:r w:rsidR="005B083B" w:rsidRPr="00BE448F">
        <w:rPr>
          <w:rFonts w:ascii="Palatino Linotype" w:hAnsi="Palatino Linotype" w:cs="Arial"/>
        </w:rPr>
        <w:t>,</w:t>
      </w:r>
      <w:r w:rsidR="000A2D7C" w:rsidRPr="00BE448F">
        <w:rPr>
          <w:rFonts w:ascii="Palatino Linotype" w:hAnsi="Palatino Linotype" w:cs="Arial"/>
        </w:rPr>
        <w:t xml:space="preserve"> </w:t>
      </w:r>
      <w:r w:rsidR="000A2D7C" w:rsidRPr="00BE448F">
        <w:rPr>
          <w:rFonts w:ascii="Palatino Linotype" w:hAnsi="Palatino Linotype" w:cs="Arial"/>
          <w:lang w:val="es-MX"/>
        </w:rPr>
        <w:t>éste se encuentran dentro de los márgenes temporales previstos en el artículo 178 de la Ley de Transparencia y Acceso a la Información Pública del Estado de México y Municipios</w:t>
      </w:r>
      <w:r w:rsidR="000A2D7C" w:rsidRPr="00BE448F">
        <w:rPr>
          <w:rFonts w:ascii="Palatino Linotype" w:hAnsi="Palatino Linotype" w:cs="Arial"/>
          <w:b/>
          <w:lang w:val="es-MX"/>
        </w:rPr>
        <w:t xml:space="preserve"> </w:t>
      </w:r>
      <w:r w:rsidR="000A2D7C" w:rsidRPr="00BE448F">
        <w:rPr>
          <w:rFonts w:ascii="Palatino Linotype" w:hAnsi="Palatino Linotype" w:cs="Arial"/>
          <w:lang w:val="es-MX"/>
        </w:rPr>
        <w:t>vigente.</w:t>
      </w:r>
    </w:p>
    <w:p w14:paraId="6899DE74" w14:textId="77777777" w:rsidR="00186ABE" w:rsidRPr="00BE448F" w:rsidRDefault="00186ABE" w:rsidP="00CB7B22">
      <w:pPr>
        <w:pStyle w:val="Prrafodelista"/>
        <w:spacing w:line="360" w:lineRule="auto"/>
        <w:ind w:left="0" w:right="49"/>
        <w:jc w:val="both"/>
        <w:rPr>
          <w:rFonts w:ascii="Palatino Linotype" w:eastAsia="Calibri" w:hAnsi="Palatino Linotype" w:cs="Arial"/>
        </w:rPr>
      </w:pPr>
    </w:p>
    <w:p w14:paraId="3A832155" w14:textId="7D9B478A" w:rsidR="00355626" w:rsidRPr="00BE448F" w:rsidRDefault="000A2D7C" w:rsidP="00CB7B22">
      <w:pPr>
        <w:pStyle w:val="Prrafodelista"/>
        <w:numPr>
          <w:ilvl w:val="0"/>
          <w:numId w:val="1"/>
        </w:numPr>
        <w:spacing w:line="360" w:lineRule="auto"/>
        <w:ind w:left="0" w:right="49" w:firstLine="0"/>
        <w:jc w:val="both"/>
        <w:rPr>
          <w:rFonts w:ascii="Palatino Linotype" w:eastAsia="Calibri" w:hAnsi="Palatino Linotype" w:cs="Arial"/>
        </w:rPr>
      </w:pPr>
      <w:r w:rsidRPr="00BE448F">
        <w:rPr>
          <w:rFonts w:ascii="Palatino Linotype" w:eastAsia="Calibri" w:hAnsi="Palatino Linotype" w:cs="Arial"/>
        </w:rPr>
        <w:t>Bajo las anteriores consideraciones</w:t>
      </w:r>
      <w:r w:rsidR="00355626" w:rsidRPr="00BE448F">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5E1410" w14:textId="1AAB24C4" w:rsidR="008E07AD" w:rsidRPr="00BE448F" w:rsidRDefault="008E07AD" w:rsidP="00CB7B22">
      <w:pPr>
        <w:tabs>
          <w:tab w:val="left" w:pos="1755"/>
        </w:tabs>
        <w:spacing w:line="360" w:lineRule="auto"/>
      </w:pPr>
    </w:p>
    <w:p w14:paraId="29D7F7F6" w14:textId="775D939F" w:rsidR="00225758" w:rsidRPr="00BE448F" w:rsidRDefault="0044176A" w:rsidP="00CB7B22">
      <w:pPr>
        <w:pStyle w:val="Ttulo1"/>
        <w:spacing w:line="360" w:lineRule="auto"/>
        <w:rPr>
          <w:b/>
          <w:i/>
          <w:color w:val="000000" w:themeColor="text1"/>
          <w:szCs w:val="24"/>
        </w:rPr>
      </w:pPr>
      <w:bookmarkStart w:id="25" w:name="_Toc503862490"/>
      <w:bookmarkStart w:id="26" w:name="_Toc509403241"/>
      <w:bookmarkStart w:id="27" w:name="_Toc54877502"/>
      <w:r w:rsidRPr="00BE448F">
        <w:rPr>
          <w:b/>
          <w:color w:val="000000" w:themeColor="text1"/>
          <w:szCs w:val="24"/>
        </w:rPr>
        <w:lastRenderedPageBreak/>
        <w:t>TERCERO</w:t>
      </w:r>
      <w:r w:rsidR="006A4F64" w:rsidRPr="00BE448F">
        <w:rPr>
          <w:b/>
          <w:color w:val="000000" w:themeColor="text1"/>
          <w:szCs w:val="24"/>
        </w:rPr>
        <w:t xml:space="preserve">. </w:t>
      </w:r>
      <w:bookmarkEnd w:id="25"/>
      <w:bookmarkEnd w:id="26"/>
      <w:r w:rsidR="00327323" w:rsidRPr="00BE448F">
        <w:rPr>
          <w:b/>
          <w:color w:val="000000" w:themeColor="text1"/>
          <w:szCs w:val="24"/>
        </w:rPr>
        <w:t xml:space="preserve">Del planteamiento de la </w:t>
      </w:r>
      <w:r w:rsidR="00327323" w:rsidRPr="00BE448F">
        <w:rPr>
          <w:b/>
          <w:i/>
          <w:color w:val="000000" w:themeColor="text1"/>
          <w:szCs w:val="24"/>
        </w:rPr>
        <w:t>Litis.</w:t>
      </w:r>
      <w:bookmarkEnd w:id="27"/>
    </w:p>
    <w:p w14:paraId="53AC4E61" w14:textId="6B0EDA06" w:rsidR="00020F71" w:rsidRPr="00BE448F" w:rsidRDefault="00020F71" w:rsidP="00CB7B22">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BE448F">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BE448F">
        <w:rPr>
          <w:rFonts w:ascii="Palatino Linotype" w:eastAsia="Calibri" w:hAnsi="Palatino Linotype" w:cs="Arial"/>
          <w:b/>
          <w:lang w:val="es-ES"/>
        </w:rPr>
        <w:t>Ley de Transparencia y Acceso a la Información Pública del Estado de México y Municipios</w:t>
      </w:r>
      <w:r w:rsidRPr="00BE448F">
        <w:rPr>
          <w:rFonts w:ascii="Palatino Linotype" w:eastAsia="Times New Roman" w:hAnsi="Palatino Linotype" w:cs="Arial"/>
        </w:rPr>
        <w:t xml:space="preserve"> y determinar la confirmación; revocación o modificación; </w:t>
      </w:r>
      <w:proofErr w:type="spellStart"/>
      <w:r w:rsidRPr="00BE448F">
        <w:rPr>
          <w:rFonts w:ascii="Palatino Linotype" w:eastAsia="Times New Roman" w:hAnsi="Palatino Linotype" w:cs="Arial"/>
        </w:rPr>
        <w:t>desechamiento</w:t>
      </w:r>
      <w:proofErr w:type="spellEnd"/>
      <w:r w:rsidRPr="00BE448F">
        <w:rPr>
          <w:rFonts w:ascii="Palatino Linotype" w:eastAsia="Times New Roman" w:hAnsi="Palatino Linotype" w:cs="Arial"/>
        </w:rPr>
        <w:t xml:space="preserve"> o sobreseimiento; y en su </w:t>
      </w:r>
      <w:r w:rsidRPr="00BE448F">
        <w:rPr>
          <w:rFonts w:ascii="Palatino Linotype" w:eastAsia="Times New Roman" w:hAnsi="Palatino Linotype" w:cs="Arial"/>
          <w:b/>
          <w:u w:val="single"/>
        </w:rPr>
        <w:t>caso ordenar la entrega de la información,</w:t>
      </w:r>
      <w:r w:rsidRPr="00BE448F">
        <w:rPr>
          <w:rFonts w:ascii="Palatino Linotype" w:eastAsia="Times New Roman" w:hAnsi="Palatino Linotype" w:cs="Arial"/>
        </w:rPr>
        <w:t xml:space="preserve"> respecto a las respuestas o falta de ellas de los Sujetos Obligados. </w:t>
      </w:r>
    </w:p>
    <w:p w14:paraId="1447D494" w14:textId="77777777" w:rsidR="00020F71" w:rsidRPr="00BE448F" w:rsidRDefault="00020F71" w:rsidP="00CB7B22">
      <w:pPr>
        <w:spacing w:before="240" w:after="240" w:line="360" w:lineRule="auto"/>
        <w:contextualSpacing/>
        <w:jc w:val="both"/>
        <w:rPr>
          <w:rFonts w:ascii="Palatino Linotype" w:eastAsia="Times New Roman" w:hAnsi="Palatino Linotype" w:cs="Times New Roman"/>
          <w:i/>
        </w:rPr>
      </w:pPr>
    </w:p>
    <w:p w14:paraId="22B2F67A" w14:textId="027912A3" w:rsidR="00020F71" w:rsidRPr="00BE448F" w:rsidRDefault="00020F71" w:rsidP="00CB7B22">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BE448F">
        <w:rPr>
          <w:rFonts w:ascii="Palatino Linotype" w:eastAsia="Times New Roman" w:hAnsi="Palatino Linotype" w:cs="Arial"/>
        </w:rPr>
        <w:t>De las constancias en el expediente al rubro indicado, se desprende que</w:t>
      </w:r>
      <w:r w:rsidRPr="00BE448F">
        <w:rPr>
          <w:rFonts w:ascii="Palatino Linotype" w:eastAsia="Times New Roman" w:hAnsi="Palatino Linotype" w:cs="Times New Roman"/>
        </w:rPr>
        <w:t xml:space="preserve"> el particular solic</w:t>
      </w:r>
      <w:r w:rsidR="00580CFD" w:rsidRPr="00BE448F">
        <w:rPr>
          <w:rFonts w:ascii="Palatino Linotype" w:eastAsia="Times New Roman" w:hAnsi="Palatino Linotype" w:cs="Times New Roman"/>
        </w:rPr>
        <w:t>itó información  de “</w:t>
      </w:r>
      <w:r w:rsidR="00580CFD" w:rsidRPr="00BE448F">
        <w:rPr>
          <w:rFonts w:ascii="Palatino Linotype" w:eastAsia="Times New Roman" w:hAnsi="Palatino Linotype" w:cs="Times New Roman"/>
          <w:i/>
        </w:rPr>
        <w:t>todos los servidores públicos que hayan sido, apercibidos, amonestados, sancionados, multados e inhabilitados de sus funciones por la contraloría…”</w:t>
      </w:r>
      <w:r w:rsidRPr="00BE448F">
        <w:rPr>
          <w:rFonts w:ascii="Palatino Linotype" w:eastAsia="Times New Roman" w:hAnsi="Palatino Linotype" w:cs="Times New Roman"/>
        </w:rPr>
        <w:t xml:space="preserve">,  requerimiento al que se respondió </w:t>
      </w:r>
      <w:r w:rsidR="00580CFD" w:rsidRPr="00BE448F">
        <w:rPr>
          <w:rFonts w:ascii="Palatino Linotype" w:eastAsia="Times New Roman" w:hAnsi="Palatino Linotype" w:cs="Times New Roman"/>
        </w:rPr>
        <w:t xml:space="preserve">mediante el </w:t>
      </w:r>
      <w:r w:rsidR="00580CFD" w:rsidRPr="00BE448F">
        <w:rPr>
          <w:rFonts w:ascii="Palatino Linotype" w:eastAsia="Times New Roman" w:hAnsi="Palatino Linotype" w:cs="Arial"/>
        </w:rPr>
        <w:t xml:space="preserve">Acta de la Décimo Segunda Sesión Extraordinaria 2020 del Comité de Transparencia del Ayuntamiento Constitucional de Tecámac mediante la cual se aprueba el acuerdo </w:t>
      </w:r>
      <w:r w:rsidR="00580CFD" w:rsidRPr="00BE448F">
        <w:rPr>
          <w:rFonts w:ascii="Palatino Linotype" w:eastAsia="Times New Roman" w:hAnsi="Palatino Linotype" w:cs="Arial"/>
          <w:b/>
        </w:rPr>
        <w:t xml:space="preserve">055/TECAMAC/CT/2020 </w:t>
      </w:r>
      <w:r w:rsidR="00580CFD" w:rsidRPr="00BE448F">
        <w:rPr>
          <w:rFonts w:ascii="Palatino Linotype" w:eastAsia="Times New Roman" w:hAnsi="Palatino Linotype" w:cs="Arial"/>
        </w:rPr>
        <w:t>por medio del cual se clasifica como reservada la información solicitada</w:t>
      </w:r>
      <w:r w:rsidRPr="00BE448F">
        <w:rPr>
          <w:rFonts w:ascii="Palatino Linotype" w:eastAsia="Times New Roman" w:hAnsi="Palatino Linotype" w:cs="Times New Roman"/>
        </w:rPr>
        <w:t>, por lo que el particular se inconforma e interpone el presente recurso de revisión, argumentado como razones o motivos de inconfor</w:t>
      </w:r>
      <w:r w:rsidR="00580CFD" w:rsidRPr="00BE448F">
        <w:rPr>
          <w:rFonts w:ascii="Palatino Linotype" w:eastAsia="Times New Roman" w:hAnsi="Palatino Linotype" w:cs="Times New Roman"/>
        </w:rPr>
        <w:t xml:space="preserve">midad que la clasificación de la información se encuentra sujeta a un régimen limitado de restricciones.   </w:t>
      </w:r>
    </w:p>
    <w:p w14:paraId="46A66F73" w14:textId="77777777" w:rsidR="00020F71" w:rsidRPr="00BE448F" w:rsidRDefault="00020F71" w:rsidP="00CB7B22">
      <w:pPr>
        <w:spacing w:line="360" w:lineRule="auto"/>
        <w:ind w:left="720"/>
        <w:contextualSpacing/>
        <w:rPr>
          <w:rFonts w:ascii="Palatino Linotype" w:eastAsia="Times New Roman" w:hAnsi="Palatino Linotype" w:cs="Times New Roman"/>
          <w:i/>
        </w:rPr>
      </w:pPr>
    </w:p>
    <w:p w14:paraId="7A0E7367" w14:textId="47EC6583" w:rsidR="00020F71" w:rsidRPr="00BE448F" w:rsidRDefault="00020F71" w:rsidP="00CB7B22">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Arial"/>
        </w:rPr>
      </w:pPr>
      <w:bookmarkStart w:id="28" w:name="_Hlk45015053"/>
      <w:r w:rsidRPr="00BE448F">
        <w:rPr>
          <w:rFonts w:ascii="Palatino Linotype" w:eastAsia="MS Mincho" w:hAnsi="Palatino Linotype" w:cs="Times New Roman"/>
        </w:rPr>
        <w:t xml:space="preserve">En ese sentido, el agravio del recurrente apunta a que la respuesta proporcionada por el </w:t>
      </w:r>
      <w:r w:rsidRPr="00BE448F">
        <w:rPr>
          <w:rFonts w:ascii="Palatino Linotype" w:eastAsia="MS Mincho" w:hAnsi="Palatino Linotype" w:cs="Times New Roman"/>
          <w:b/>
          <w:bCs/>
        </w:rPr>
        <w:t xml:space="preserve">SUJETO OBLIGADO </w:t>
      </w:r>
      <w:r w:rsidRPr="00BE448F">
        <w:rPr>
          <w:rFonts w:ascii="Palatino Linotype" w:eastAsia="MS Mincho" w:hAnsi="Palatino Linotype" w:cs="Times New Roman"/>
        </w:rPr>
        <w:t xml:space="preserve">no garantizo el principio contenido en el artículo 11 de la Ley de Transparencia y Acceso a la Información Pública del </w:t>
      </w:r>
      <w:r w:rsidRPr="00BE448F">
        <w:rPr>
          <w:rFonts w:ascii="Palatino Linotype" w:eastAsia="MS Mincho" w:hAnsi="Palatino Linotype" w:cs="Times New Roman"/>
        </w:rPr>
        <w:lastRenderedPageBreak/>
        <w:t>Estado de México y Municipios, el cual señala que en la generación, publicación y entrega de información se deberá garantizar</w:t>
      </w:r>
      <w:r w:rsidR="00580CFD" w:rsidRPr="00BE448F">
        <w:rPr>
          <w:rFonts w:ascii="Palatino Linotype" w:eastAsia="MS Mincho" w:hAnsi="Palatino Linotype" w:cs="Times New Roman"/>
        </w:rPr>
        <w:t xml:space="preserve"> que</w:t>
      </w:r>
      <w:r w:rsidRPr="00BE448F">
        <w:rPr>
          <w:rFonts w:ascii="Palatino Linotype" w:eastAsia="MS Mincho" w:hAnsi="Palatino Linotype" w:cs="Times New Roman"/>
        </w:rPr>
        <w:t xml:space="preserve"> </w:t>
      </w:r>
      <w:bookmarkEnd w:id="28"/>
      <w:r w:rsidR="00580CFD" w:rsidRPr="00BE448F">
        <w:rPr>
          <w:rFonts w:ascii="Palatino Linotype" w:eastAsia="MS Mincho" w:hAnsi="Palatino Linotype" w:cs="Times New Roman"/>
        </w:rPr>
        <w:t xml:space="preserve">sea </w:t>
      </w:r>
      <w:r w:rsidR="00580CFD" w:rsidRPr="00BE448F">
        <w:rPr>
          <w:rFonts w:ascii="Palatino Linotype" w:hAnsi="Palatino Linotype" w:cs="Arial"/>
        </w:rPr>
        <w:t xml:space="preserve">sujeta a un claro régimen de excepciones que deberá estar definido. </w:t>
      </w:r>
    </w:p>
    <w:p w14:paraId="176E3473" w14:textId="77777777" w:rsidR="00020F71" w:rsidRPr="00BE448F" w:rsidRDefault="00020F71" w:rsidP="00CB7B22">
      <w:pPr>
        <w:shd w:val="clear" w:color="auto" w:fill="FFFFFF"/>
        <w:spacing w:before="240" w:after="240" w:line="360" w:lineRule="auto"/>
        <w:ind w:right="49"/>
        <w:contextualSpacing/>
        <w:jc w:val="both"/>
        <w:rPr>
          <w:rFonts w:ascii="Palatino Linotype" w:eastAsia="MS Mincho" w:hAnsi="Palatino Linotype" w:cs="Times New Roman"/>
        </w:rPr>
      </w:pPr>
    </w:p>
    <w:p w14:paraId="11927A81" w14:textId="28772AEB" w:rsidR="001E2D60" w:rsidRPr="00BE448F" w:rsidRDefault="00020F71" w:rsidP="00CB7B22">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BE448F">
        <w:rPr>
          <w:rFonts w:ascii="Palatino Linotype" w:eastAsia="MS Mincho" w:hAnsi="Palatino Linotype" w:cs="Times New Roman"/>
        </w:rPr>
        <w:t xml:space="preserve">Por lo que de este modo, el presente recurso de revisión se circunscribe a determinar si el </w:t>
      </w:r>
      <w:r w:rsidRPr="00BE448F">
        <w:rPr>
          <w:rFonts w:ascii="Palatino Linotype" w:eastAsia="MS Mincho" w:hAnsi="Palatino Linotype" w:cs="Times New Roman"/>
          <w:b/>
        </w:rPr>
        <w:t xml:space="preserve">SUJETO OBLIGADO al requerir el cobro por la certificación de la información </w:t>
      </w:r>
      <w:r w:rsidRPr="00BE448F">
        <w:rPr>
          <w:rFonts w:ascii="Palatino Linotype" w:eastAsia="MS Mincho" w:hAnsi="Palatino Linotype" w:cs="Times New Roman"/>
          <w:bCs/>
        </w:rPr>
        <w:t xml:space="preserve">vulnera el derecho de acceso a la información accionado por el particular actualizando </w:t>
      </w:r>
      <w:r w:rsidRPr="00BE448F">
        <w:rPr>
          <w:rFonts w:ascii="Palatino Linotype" w:eastAsia="MS Mincho" w:hAnsi="Palatino Linotype" w:cs="Times New Roman"/>
        </w:rPr>
        <w:t xml:space="preserve">las causales de procedencia previstas en el artículo 179 </w:t>
      </w:r>
      <w:r w:rsidR="0072029C" w:rsidRPr="00BE448F">
        <w:rPr>
          <w:rFonts w:ascii="Palatino Linotype" w:eastAsia="MS Mincho" w:hAnsi="Palatino Linotype" w:cs="Times New Roman"/>
        </w:rPr>
        <w:t>fracciones I y II</w:t>
      </w:r>
      <w:r w:rsidRPr="00BE448F">
        <w:rPr>
          <w:rFonts w:ascii="Palatino Linotype" w:eastAsia="MS Mincho" w:hAnsi="Palatino Linotype" w:cs="Times New Roman"/>
        </w:rPr>
        <w:t xml:space="preserve"> de la Ley de Transparencia y Acceso a la Información del Estado de México y Municipios. </w:t>
      </w:r>
    </w:p>
    <w:p w14:paraId="6AC1F936" w14:textId="1C42BFD2" w:rsidR="00E50D7C" w:rsidRPr="00BE448F" w:rsidRDefault="0044176A" w:rsidP="00B12F29">
      <w:pPr>
        <w:pStyle w:val="Ttulo1"/>
        <w:spacing w:line="360" w:lineRule="auto"/>
        <w:rPr>
          <w:b/>
          <w:szCs w:val="24"/>
        </w:rPr>
      </w:pPr>
      <w:bookmarkStart w:id="29" w:name="_Toc467081898"/>
      <w:bookmarkStart w:id="30" w:name="_Toc54877503"/>
      <w:bookmarkStart w:id="31" w:name="_Toc454968928"/>
      <w:bookmarkStart w:id="32" w:name="_Toc455743517"/>
      <w:bookmarkStart w:id="33" w:name="_Toc458016386"/>
      <w:bookmarkStart w:id="34" w:name="_Toc461555893"/>
      <w:r w:rsidRPr="00BE448F">
        <w:rPr>
          <w:b/>
          <w:szCs w:val="24"/>
        </w:rPr>
        <w:t>CUARTO</w:t>
      </w:r>
      <w:r w:rsidR="00007E8A" w:rsidRPr="00BE448F">
        <w:rPr>
          <w:b/>
          <w:szCs w:val="24"/>
        </w:rPr>
        <w:t>.</w:t>
      </w:r>
      <w:r w:rsidR="00007E8A" w:rsidRPr="00BE448F">
        <w:rPr>
          <w:szCs w:val="24"/>
        </w:rPr>
        <w:t xml:space="preserve"> </w:t>
      </w:r>
      <w:bookmarkEnd w:id="29"/>
      <w:r w:rsidR="002B6755" w:rsidRPr="00BE448F">
        <w:rPr>
          <w:b/>
          <w:szCs w:val="24"/>
        </w:rPr>
        <w:t>Del estudio y resolución del asunto.</w:t>
      </w:r>
      <w:bookmarkEnd w:id="30"/>
    </w:p>
    <w:p w14:paraId="5C989D0D" w14:textId="3F618BF3" w:rsidR="00E50D7C" w:rsidRPr="00BE448F" w:rsidRDefault="00E50D7C" w:rsidP="00B12F29">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35" w:name="_Toc5711921"/>
      <w:bookmarkStart w:id="36" w:name="_Toc9512465"/>
      <w:bookmarkStart w:id="37" w:name="_Toc54877504"/>
      <w:r w:rsidRPr="00BE448F">
        <w:rPr>
          <w:rFonts w:ascii="Palatino Linotype" w:eastAsiaTheme="majorEastAsia" w:hAnsi="Palatino Linotype" w:cstheme="majorBidi"/>
          <w:b/>
          <w:color w:val="000000" w:themeColor="text1"/>
          <w:lang w:val="es-MX" w:eastAsia="en-US"/>
        </w:rPr>
        <w:t xml:space="preserve">I. Del deber de las autoridades de promover, respetar, proteger, y garantizar </w:t>
      </w:r>
      <w:r w:rsidR="00A97703" w:rsidRPr="00BE448F">
        <w:rPr>
          <w:rFonts w:ascii="Palatino Linotype" w:eastAsiaTheme="majorEastAsia" w:hAnsi="Palatino Linotype" w:cstheme="majorBidi"/>
          <w:b/>
          <w:color w:val="000000" w:themeColor="text1"/>
          <w:lang w:val="es-MX" w:eastAsia="en-US"/>
        </w:rPr>
        <w:t>los derechos humanos</w:t>
      </w:r>
      <w:r w:rsidRPr="00BE448F">
        <w:rPr>
          <w:rFonts w:ascii="Palatino Linotype" w:eastAsiaTheme="majorEastAsia" w:hAnsi="Palatino Linotype" w:cstheme="majorBidi"/>
          <w:b/>
          <w:color w:val="000000" w:themeColor="text1"/>
          <w:lang w:val="es-MX" w:eastAsia="en-US"/>
        </w:rPr>
        <w:t>.</w:t>
      </w:r>
      <w:bookmarkEnd w:id="35"/>
      <w:bookmarkEnd w:id="36"/>
      <w:bookmarkEnd w:id="37"/>
      <w:r w:rsidRPr="00BE448F">
        <w:rPr>
          <w:rFonts w:ascii="Palatino Linotype" w:eastAsiaTheme="majorEastAsia" w:hAnsi="Palatino Linotype" w:cstheme="majorBidi"/>
          <w:b/>
          <w:color w:val="000000" w:themeColor="text1"/>
          <w:lang w:val="es-MX" w:eastAsia="en-US"/>
        </w:rPr>
        <w:t xml:space="preserve"> </w:t>
      </w:r>
    </w:p>
    <w:p w14:paraId="28D69553" w14:textId="6F12CD79" w:rsidR="00E50D7C" w:rsidRPr="00BE448F" w:rsidRDefault="00E50D7C" w:rsidP="00B12F29">
      <w:pPr>
        <w:pStyle w:val="Prrafodelista"/>
        <w:numPr>
          <w:ilvl w:val="0"/>
          <w:numId w:val="1"/>
        </w:numPr>
        <w:spacing w:before="240" w:after="240" w:line="360" w:lineRule="auto"/>
        <w:ind w:left="0" w:firstLine="0"/>
        <w:jc w:val="both"/>
        <w:rPr>
          <w:rFonts w:ascii="Palatino Linotype" w:hAnsi="Palatino Linotype" w:cs="Arial"/>
          <w:lang w:val="es-MX"/>
        </w:rPr>
      </w:pPr>
      <w:r w:rsidRPr="00BE448F">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E448F">
        <w:rPr>
          <w:rFonts w:ascii="Palatino Linotype" w:hAnsi="Palatino Linotype" w:cs="Arial"/>
          <w:b/>
          <w:lang w:val="es-MX"/>
        </w:rPr>
        <w:t>SUJETO OBLIGADO</w:t>
      </w:r>
      <w:r w:rsidRPr="00BE448F">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E448F">
        <w:rPr>
          <w:rFonts w:ascii="Palatino Linotype" w:hAnsi="Palatino Linotype" w:cs="Arial"/>
          <w:b/>
          <w:lang w:val="es-MX"/>
        </w:rPr>
        <w:t xml:space="preserve">Constitución Política de los </w:t>
      </w:r>
      <w:r w:rsidRPr="00BE448F">
        <w:rPr>
          <w:rFonts w:ascii="Palatino Linotype" w:hAnsi="Palatino Linotype" w:cs="Arial"/>
          <w:b/>
          <w:lang w:val="es-MX"/>
        </w:rPr>
        <w:lastRenderedPageBreak/>
        <w:t xml:space="preserve">Estados Unidos Mexicanos </w:t>
      </w:r>
      <w:r w:rsidRPr="00BE448F">
        <w:rPr>
          <w:rFonts w:ascii="Palatino Linotype" w:hAnsi="Palatino Linotype" w:cs="Arial"/>
          <w:lang w:val="es-MX"/>
        </w:rPr>
        <w:t xml:space="preserve">al señalar la obligación de “promover, respetar, proteger y garantizar los derechos humanos”, entre los cuales se encuentra dicho derecho. </w:t>
      </w:r>
    </w:p>
    <w:p w14:paraId="271EFB34" w14:textId="77777777" w:rsidR="003F14A4" w:rsidRPr="00BE448F" w:rsidRDefault="00E50D7C" w:rsidP="00CB7B22">
      <w:pPr>
        <w:numPr>
          <w:ilvl w:val="0"/>
          <w:numId w:val="1"/>
        </w:numPr>
        <w:spacing w:before="240" w:after="240" w:line="360" w:lineRule="auto"/>
        <w:ind w:left="0" w:firstLine="0"/>
        <w:contextualSpacing/>
        <w:jc w:val="both"/>
        <w:rPr>
          <w:rFonts w:ascii="Palatino Linotype" w:hAnsi="Palatino Linotype" w:cs="Arial"/>
          <w:lang w:val="es-MX"/>
        </w:rPr>
      </w:pPr>
      <w:r w:rsidRPr="00BE448F">
        <w:rPr>
          <w:rFonts w:ascii="Palatino Linotype" w:hAnsi="Palatino Linotype" w:cs="Arial"/>
          <w:lang w:val="es-MX"/>
        </w:rPr>
        <w:t xml:space="preserve">Ahora bien, el Derecho de Acceso a la Información Pública se define como: </w:t>
      </w:r>
      <w:r w:rsidR="006B1535" w:rsidRPr="00BE448F">
        <w:rPr>
          <w:rFonts w:ascii="Palatino Linotype" w:hAnsi="Palatino Linotype" w:cs="Arial"/>
          <w:i/>
          <w:lang w:val="es-MX"/>
        </w:rPr>
        <w:t>La igualdad de oportunidades para recibir, buscar e impartir información</w:t>
      </w:r>
      <w:r w:rsidR="006B1535" w:rsidRPr="00BE448F">
        <w:rPr>
          <w:rFonts w:ascii="Palatino Linotype" w:hAnsi="Palatino Linotype" w:cs="Arial"/>
          <w:i/>
          <w:vertAlign w:val="superscript"/>
          <w:lang w:val="es-MX"/>
        </w:rPr>
        <w:footnoteReference w:id="1"/>
      </w:r>
      <w:r w:rsidR="006B1535" w:rsidRPr="00BE448F">
        <w:rPr>
          <w:rFonts w:ascii="Palatino Linotype" w:hAnsi="Palatino Linotype" w:cs="Arial"/>
          <w:i/>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6B1535" w:rsidRPr="00BE448F">
        <w:rPr>
          <w:rFonts w:ascii="Palatino Linotype" w:hAnsi="Palatino Linotype" w:cs="Arial"/>
          <w:i/>
          <w:vertAlign w:val="superscript"/>
          <w:lang w:val="es-MX"/>
        </w:rPr>
        <w:footnoteReference w:id="2"/>
      </w:r>
      <w:r w:rsidR="006B1535" w:rsidRPr="00BE448F">
        <w:rPr>
          <w:rFonts w:ascii="Palatino Linotype" w:hAnsi="Palatino Linotype" w:cs="Arial"/>
          <w:lang w:val="es-MX"/>
        </w:rPr>
        <w:t>que se constituye como una herramienta fundamental para ejercer</w:t>
      </w:r>
      <w:r w:rsidR="006B1535" w:rsidRPr="00BE448F">
        <w:rPr>
          <w:rFonts w:ascii="Palatino Linotype" w:hAnsi="Palatino Linotype" w:cs="Arial"/>
          <w:i/>
          <w:lang w:val="es-MX"/>
        </w:rPr>
        <w:t xml:space="preserve"> el control democrático de las gestiones estatales, de forma tal que puedan cuestionar, indagar y considerar si se está dando un adecuado cumplimiento a las funciones públicas,</w:t>
      </w:r>
      <w:r w:rsidR="006B1535" w:rsidRPr="00BE448F">
        <w:rPr>
          <w:rFonts w:ascii="Palatino Linotype" w:hAnsi="Palatino Linotype" w:cs="Arial"/>
          <w:i/>
          <w:vertAlign w:val="superscript"/>
          <w:lang w:val="es-MX"/>
        </w:rPr>
        <w:footnoteReference w:id="3"/>
      </w:r>
      <w:r w:rsidR="006B1535" w:rsidRPr="00BE448F">
        <w:rPr>
          <w:rFonts w:ascii="Palatino Linotype" w:hAnsi="Palatino Linotype" w:cs="Arial"/>
          <w:lang w:val="es-MX"/>
        </w:rPr>
        <w:t>fomentando</w:t>
      </w:r>
      <w:r w:rsidR="006B1535" w:rsidRPr="00BE448F">
        <w:rPr>
          <w:rFonts w:ascii="Palatino Linotype" w:hAnsi="Palatino Linotype" w:cs="Arial"/>
          <w:i/>
          <w:lang w:val="es-MX"/>
        </w:rPr>
        <w:t xml:space="preserve"> la transparencia de las actividades estatales y </w:t>
      </w:r>
      <w:r w:rsidR="006B1535" w:rsidRPr="00BE448F">
        <w:rPr>
          <w:rFonts w:ascii="Palatino Linotype" w:hAnsi="Palatino Linotype" w:cs="Arial"/>
          <w:lang w:val="es-MX"/>
        </w:rPr>
        <w:t>promoviendo</w:t>
      </w:r>
      <w:r w:rsidR="006B1535" w:rsidRPr="00BE448F">
        <w:rPr>
          <w:rFonts w:ascii="Palatino Linotype" w:hAnsi="Palatino Linotype" w:cs="Arial"/>
          <w:i/>
          <w:lang w:val="es-MX"/>
        </w:rPr>
        <w:t xml:space="preserve"> la responsabilidad de los funcionarios sobre su gestión pública,</w:t>
      </w:r>
      <w:r w:rsidR="006B1535" w:rsidRPr="00BE448F">
        <w:rPr>
          <w:rFonts w:ascii="Palatino Linotype" w:hAnsi="Palatino Linotype" w:cs="Arial"/>
          <w:i/>
          <w:vertAlign w:val="superscript"/>
          <w:lang w:val="es-MX"/>
        </w:rPr>
        <w:footnoteReference w:id="4"/>
      </w:r>
      <w:r w:rsidR="006B1535" w:rsidRPr="00BE448F">
        <w:rPr>
          <w:rFonts w:ascii="Palatino Linotype" w:hAnsi="Palatino Linotype" w:cs="Arial"/>
          <w:lang w:val="es-MX"/>
        </w:rPr>
        <w:t>que permite</w:t>
      </w:r>
      <w:r w:rsidR="006B1535" w:rsidRPr="00BE448F">
        <w:rPr>
          <w:rFonts w:ascii="Palatino Linotype" w:hAnsi="Palatino Linotype" w:cs="Arial"/>
          <w:i/>
          <w:lang w:val="es-MX"/>
        </w:rPr>
        <w:t xml:space="preserve"> saber qué están haciendo los gobiernos por sus pueblos, sin lo cual la verdad languidecería y la participación en el gobierno permanecería fragmentada.</w:t>
      </w:r>
    </w:p>
    <w:p w14:paraId="5DB97D92" w14:textId="77777777" w:rsidR="003F14A4" w:rsidRPr="00BE448F" w:rsidRDefault="003F14A4" w:rsidP="00CB7B22">
      <w:pPr>
        <w:spacing w:line="360" w:lineRule="auto"/>
        <w:rPr>
          <w:rFonts w:ascii="Palatino Linotype" w:eastAsia="Calibri" w:hAnsi="Palatino Linotype" w:cs="Arial"/>
          <w:bCs/>
          <w:color w:val="000000"/>
          <w:lang w:val="es-MX" w:eastAsia="en-US"/>
        </w:rPr>
      </w:pPr>
    </w:p>
    <w:p w14:paraId="208E90F1" w14:textId="6A97D454" w:rsidR="003F14A4" w:rsidRPr="00BE448F" w:rsidRDefault="003F14A4" w:rsidP="00CB7B22">
      <w:pPr>
        <w:numPr>
          <w:ilvl w:val="0"/>
          <w:numId w:val="1"/>
        </w:numPr>
        <w:spacing w:before="240" w:after="240" w:line="360" w:lineRule="auto"/>
        <w:ind w:left="0" w:firstLine="0"/>
        <w:contextualSpacing/>
        <w:jc w:val="both"/>
        <w:rPr>
          <w:rFonts w:ascii="Palatino Linotype" w:hAnsi="Palatino Linotype" w:cs="Arial"/>
          <w:lang w:val="es-MX"/>
        </w:rPr>
      </w:pPr>
      <w:r w:rsidRPr="00BE448F">
        <w:rPr>
          <w:rFonts w:ascii="Palatino Linotype" w:eastAsia="Calibri" w:hAnsi="Palatino Linotype" w:cs="Arial"/>
          <w:bCs/>
          <w:color w:val="000000"/>
          <w:lang w:val="es-MX" w:eastAsia="en-US"/>
        </w:rPr>
        <w:t>En efecto, el derecho fundamental de acceso a la información pública se desarrolla en varias vertientes:</w:t>
      </w:r>
    </w:p>
    <w:p w14:paraId="185B43B9" w14:textId="77777777" w:rsidR="003F14A4" w:rsidRPr="00BE448F" w:rsidRDefault="003F14A4" w:rsidP="00CB7B22">
      <w:pPr>
        <w:spacing w:before="240" w:after="240" w:line="360" w:lineRule="auto"/>
        <w:ind w:left="851"/>
        <w:contextualSpacing/>
        <w:jc w:val="both"/>
        <w:rPr>
          <w:rFonts w:ascii="Palatino Linotype" w:eastAsia="Calibri" w:hAnsi="Palatino Linotype" w:cs="Arial"/>
          <w:lang w:val="es-MX" w:eastAsia="en-US"/>
        </w:rPr>
      </w:pPr>
    </w:p>
    <w:p w14:paraId="0041BF57" w14:textId="77777777" w:rsidR="003F14A4" w:rsidRPr="00BE448F" w:rsidRDefault="003F14A4" w:rsidP="00CB7B22">
      <w:pPr>
        <w:numPr>
          <w:ilvl w:val="0"/>
          <w:numId w:val="28"/>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BE448F">
        <w:rPr>
          <w:rFonts w:ascii="Palatino Linotype" w:eastAsia="Calibri" w:hAnsi="Palatino Linotype" w:cs="Arial"/>
          <w:bCs/>
          <w:color w:val="000000"/>
          <w:sz w:val="22"/>
          <w:lang w:val="es-MX" w:eastAsia="en-US"/>
        </w:rPr>
        <w:t>Impone al Estado la obligación de protegerlo. Esto es, es suficiente con que una persona realice una solicitud de información para que la autoridad la atienda y entregue lo solicitado, salvo excepciones limitadas.</w:t>
      </w:r>
    </w:p>
    <w:p w14:paraId="755629BE" w14:textId="77777777" w:rsidR="003F14A4" w:rsidRPr="00BE448F" w:rsidRDefault="003F14A4" w:rsidP="00CB7B22">
      <w:pPr>
        <w:numPr>
          <w:ilvl w:val="0"/>
          <w:numId w:val="28"/>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BE448F">
        <w:rPr>
          <w:rFonts w:ascii="Palatino Linotype" w:eastAsia="Calibri" w:hAnsi="Palatino Linotype" w:cs="Arial"/>
          <w:bCs/>
          <w:color w:val="000000"/>
          <w:sz w:val="22"/>
          <w:lang w:val="es-MX" w:eastAsia="en-US"/>
        </w:rPr>
        <w:lastRenderedPageBreak/>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058C66A0" w14:textId="77777777" w:rsidR="003F14A4" w:rsidRPr="00BE448F" w:rsidRDefault="003F14A4" w:rsidP="00CB7B22">
      <w:pPr>
        <w:numPr>
          <w:ilvl w:val="0"/>
          <w:numId w:val="28"/>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BE448F">
        <w:rPr>
          <w:rFonts w:ascii="Palatino Linotype" w:eastAsia="Calibri" w:hAnsi="Palatino Linotype" w:cs="Arial"/>
          <w:bCs/>
          <w:color w:val="000000"/>
          <w:sz w:val="22"/>
          <w:lang w:val="es-MX" w:eastAsia="en-US"/>
        </w:rPr>
        <w:t>Otorga a todos los documentos en posesión de las autoridades la calidad de públicos y únicamente pueden ser reservados temporalmente por razones de interés público y en los términos expresamente señalados en la ley.</w:t>
      </w:r>
    </w:p>
    <w:p w14:paraId="7649A8B7" w14:textId="77777777" w:rsidR="003F14A4" w:rsidRPr="00BE448F" w:rsidRDefault="003F14A4" w:rsidP="00CB7B22">
      <w:pPr>
        <w:numPr>
          <w:ilvl w:val="0"/>
          <w:numId w:val="28"/>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BE448F">
        <w:rPr>
          <w:rFonts w:ascii="Palatino Linotype" w:eastAsia="Calibri" w:hAnsi="Palatino Linotype" w:cs="Arial"/>
          <w:bCs/>
          <w:color w:val="000000"/>
          <w:sz w:val="22"/>
          <w:lang w:val="es-MX" w:eastAsia="en-US"/>
        </w:rPr>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02DA7536" w14:textId="77777777" w:rsidR="003F14A4" w:rsidRPr="00BE448F" w:rsidRDefault="003F14A4" w:rsidP="00CB7B22">
      <w:pPr>
        <w:numPr>
          <w:ilvl w:val="0"/>
          <w:numId w:val="28"/>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BE448F">
        <w:rPr>
          <w:rFonts w:ascii="Palatino Linotype" w:eastAsia="Calibri" w:hAnsi="Palatino Linotype" w:cs="Arial"/>
          <w:bCs/>
          <w:color w:val="000000"/>
          <w:sz w:val="22"/>
          <w:lang w:val="es-MX" w:eastAsia="en-US"/>
        </w:rPr>
        <w:t>Impone al Legislativo la obligación de crear una ley que establezca los procedimientos para su protección, respeto y difusión.</w:t>
      </w:r>
    </w:p>
    <w:p w14:paraId="59030241" w14:textId="5586EE50" w:rsidR="003F14A4" w:rsidRPr="00BE448F" w:rsidRDefault="003F14A4" w:rsidP="00B12F29">
      <w:pPr>
        <w:numPr>
          <w:ilvl w:val="0"/>
          <w:numId w:val="28"/>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BE448F">
        <w:rPr>
          <w:rFonts w:ascii="Palatino Linotype" w:eastAsia="Calibri" w:hAnsi="Palatino Linotype" w:cs="Arial"/>
          <w:bCs/>
          <w:color w:val="000000"/>
          <w:sz w:val="22"/>
          <w:lang w:val="es-MX" w:eastAsia="en-US"/>
        </w:rPr>
        <w:t>Impone el</w:t>
      </w:r>
      <w:r w:rsidRPr="00BE448F">
        <w:rPr>
          <w:rFonts w:ascii="Palatino Linotype" w:eastAsia="Calibri" w:hAnsi="Palatino Linotype" w:cs="Times New Roman"/>
          <w:bCs/>
          <w:color w:val="000000"/>
          <w:sz w:val="22"/>
          <w:lang w:val="es-MX" w:eastAsia="en-US"/>
        </w:rPr>
        <w:t xml:space="preserve"> </w:t>
      </w:r>
      <w:hyperlink r:id="rId9" w:tooltip="Derechos civiles y políticos" w:history="1">
        <w:r w:rsidRPr="00BE448F">
          <w:rPr>
            <w:rFonts w:ascii="Palatino Linotype" w:eastAsia="Calibri" w:hAnsi="Palatino Linotype" w:cs="Times New Roman"/>
            <w:bCs/>
            <w:color w:val="000000"/>
            <w:sz w:val="22"/>
            <w:lang w:val="es-MX" w:eastAsia="en-US"/>
          </w:rPr>
          <w:t>derecho</w:t>
        </w:r>
      </w:hyperlink>
      <w:r w:rsidRPr="00BE448F">
        <w:rPr>
          <w:rFonts w:ascii="Palatino Linotype" w:eastAsia="Calibri" w:hAnsi="Palatino Linotype" w:cs="Times New Roman"/>
          <w:bCs/>
          <w:color w:val="000000"/>
          <w:sz w:val="22"/>
          <w:lang w:val="es-MX" w:eastAsia="en-US"/>
        </w:rPr>
        <w:t xml:space="preserve"> </w:t>
      </w:r>
      <w:r w:rsidRPr="00BE448F">
        <w:rPr>
          <w:rFonts w:ascii="Palatino Linotype" w:eastAsia="Calibri" w:hAnsi="Palatino Linotype" w:cs="Arial"/>
          <w:bCs/>
          <w:color w:val="000000"/>
          <w:sz w:val="22"/>
          <w:lang w:val="es-MX" w:eastAsia="en-US"/>
        </w:rPr>
        <w:t xml:space="preserve">de una persona de buscar, </w:t>
      </w:r>
      <w:r w:rsidRPr="00BE448F">
        <w:rPr>
          <w:rFonts w:ascii="Palatino Linotype" w:eastAsia="Calibri" w:hAnsi="Palatino Linotype" w:cs="Arial"/>
          <w:b/>
          <w:bCs/>
          <w:color w:val="000000"/>
          <w:sz w:val="22"/>
          <w:u w:val="single"/>
          <w:lang w:val="es-MX" w:eastAsia="en-US"/>
        </w:rPr>
        <w:t xml:space="preserve">recibir </w:t>
      </w:r>
      <w:r w:rsidRPr="00BE448F">
        <w:rPr>
          <w:rFonts w:ascii="Palatino Linotype" w:eastAsia="Calibri" w:hAnsi="Palatino Linotype" w:cs="Arial"/>
          <w:bCs/>
          <w:color w:val="000000"/>
          <w:sz w:val="22"/>
          <w:lang w:val="es-MX" w:eastAsia="en-US"/>
        </w:rPr>
        <w:t>y difundir información en poder del gobierno u administraciones públicas.</w:t>
      </w:r>
    </w:p>
    <w:p w14:paraId="7FF13C7F" w14:textId="4EEC2B45" w:rsidR="003F14A4" w:rsidRPr="00BE448F" w:rsidRDefault="003F14A4" w:rsidP="00CB7B22">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BE448F">
        <w:rPr>
          <w:rFonts w:ascii="Palatino Linotype" w:eastAsia="Calibri" w:hAnsi="Palatino Linotype" w:cs="Arial"/>
          <w:lang w:val="es-MX" w:eastAsia="en-US"/>
        </w:rPr>
        <w:t xml:space="preserve">Por tanto, para que tanto este </w:t>
      </w:r>
      <w:r w:rsidRPr="00BE448F">
        <w:rPr>
          <w:rFonts w:ascii="Palatino Linotype" w:eastAsia="Calibri" w:hAnsi="Palatino Linotype" w:cs="Arial"/>
          <w:b/>
          <w:lang w:val="es-MX" w:eastAsia="en-US"/>
        </w:rPr>
        <w:t xml:space="preserve">Órgano Garante </w:t>
      </w:r>
      <w:r w:rsidRPr="00BE448F">
        <w:rPr>
          <w:rFonts w:ascii="Palatino Linotype" w:eastAsia="Calibri" w:hAnsi="Palatino Linotype" w:cs="Arial"/>
          <w:lang w:val="es-MX" w:eastAsia="en-US"/>
        </w:rPr>
        <w:t xml:space="preserve">como los </w:t>
      </w:r>
      <w:r w:rsidRPr="00BE448F">
        <w:rPr>
          <w:rFonts w:ascii="Palatino Linotype" w:eastAsia="Calibri" w:hAnsi="Palatino Linotype" w:cs="Arial"/>
          <w:b/>
          <w:lang w:val="es-MX" w:eastAsia="en-US"/>
        </w:rPr>
        <w:t>Sujetos Obligados</w:t>
      </w:r>
      <w:r w:rsidRPr="00BE448F">
        <w:rPr>
          <w:rFonts w:ascii="Palatino Linotype" w:eastAsia="Calibri" w:hAnsi="Palatino Linotype" w:cs="Arial"/>
          <w:lang w:val="es-MX" w:eastAsia="en-US"/>
        </w:rPr>
        <w:t xml:space="preserve"> hagan efectivo el derecho de las personas de </w:t>
      </w:r>
      <w:r w:rsidRPr="00BE448F">
        <w:rPr>
          <w:rFonts w:ascii="Palatino Linotype" w:eastAsia="Calibri" w:hAnsi="Palatino Linotype" w:cs="Arial"/>
          <w:b/>
          <w:lang w:val="es-MX" w:eastAsia="en-US"/>
        </w:rPr>
        <w:t>buscar, recibir y difundir información pública</w:t>
      </w:r>
      <w:r w:rsidRPr="00BE448F">
        <w:rPr>
          <w:rFonts w:ascii="Palatino Linotype" w:eastAsia="Calibri" w:hAnsi="Palatino Linotype" w:cs="Arial"/>
          <w:lang w:val="es-MX" w:eastAsia="en-US"/>
        </w:rPr>
        <w:t>, información que generen, administren o posean, deben poner a disposición de los particulares los documentos en los que conste el ejercicio de sus atribuciones legales o que por cualquier circunstancia obre en sus archivos.</w:t>
      </w:r>
    </w:p>
    <w:p w14:paraId="59E425E4" w14:textId="77777777" w:rsidR="003F14A4" w:rsidRPr="00BE448F" w:rsidRDefault="003F14A4" w:rsidP="00CB7B22">
      <w:pPr>
        <w:spacing w:before="240" w:after="240" w:line="360" w:lineRule="auto"/>
        <w:ind w:left="927"/>
        <w:contextualSpacing/>
        <w:jc w:val="both"/>
        <w:rPr>
          <w:rFonts w:ascii="Palatino Linotype" w:hAnsi="Palatino Linotype" w:cs="Arial"/>
          <w:lang w:val="es-MX"/>
        </w:rPr>
      </w:pPr>
    </w:p>
    <w:p w14:paraId="798FA6F4" w14:textId="77777777" w:rsidR="00E50D7C" w:rsidRPr="00BE448F" w:rsidRDefault="00E50D7C" w:rsidP="00CB7B22">
      <w:pPr>
        <w:numPr>
          <w:ilvl w:val="0"/>
          <w:numId w:val="1"/>
        </w:numPr>
        <w:spacing w:before="240" w:after="240" w:line="360" w:lineRule="auto"/>
        <w:ind w:left="0" w:firstLine="0"/>
        <w:contextualSpacing/>
        <w:jc w:val="both"/>
        <w:rPr>
          <w:rFonts w:ascii="Palatino Linotype" w:hAnsi="Palatino Linotype" w:cs="Arial"/>
          <w:lang w:val="es-MX"/>
        </w:rPr>
      </w:pPr>
      <w:r w:rsidRPr="00BE448F">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704C765" w14:textId="77777777" w:rsidR="00E50D7C" w:rsidRPr="00BE448F" w:rsidRDefault="00E50D7C" w:rsidP="00CB7B22">
      <w:pPr>
        <w:spacing w:before="240" w:after="240" w:line="360" w:lineRule="auto"/>
        <w:contextualSpacing/>
        <w:jc w:val="both"/>
        <w:rPr>
          <w:rFonts w:ascii="Palatino Linotype" w:hAnsi="Palatino Linotype" w:cs="Arial"/>
          <w:lang w:val="es-MX"/>
        </w:rPr>
      </w:pPr>
    </w:p>
    <w:p w14:paraId="2D621EC5" w14:textId="16C55FA6" w:rsidR="00E50D7C" w:rsidRPr="00BE448F" w:rsidRDefault="00E50D7C" w:rsidP="00CB7B22">
      <w:pPr>
        <w:numPr>
          <w:ilvl w:val="0"/>
          <w:numId w:val="1"/>
        </w:numPr>
        <w:spacing w:before="240" w:after="240" w:line="360" w:lineRule="auto"/>
        <w:ind w:left="0" w:firstLine="0"/>
        <w:contextualSpacing/>
        <w:jc w:val="both"/>
        <w:rPr>
          <w:rFonts w:ascii="Palatino Linotype" w:hAnsi="Palatino Linotype" w:cs="Arial"/>
          <w:lang w:val="es-MX"/>
        </w:rPr>
      </w:pPr>
      <w:r w:rsidRPr="00BE448F">
        <w:rPr>
          <w:rFonts w:ascii="Palatino Linotype" w:hAnsi="Palatino Linotype" w:cs="Arial"/>
          <w:lang w:val="es-MX"/>
        </w:rPr>
        <w:t>En el caso concreto que nos ocupa anali</w:t>
      </w:r>
      <w:r w:rsidR="00F37283" w:rsidRPr="00BE448F">
        <w:rPr>
          <w:rFonts w:ascii="Palatino Linotype" w:hAnsi="Palatino Linotype" w:cs="Arial"/>
          <w:lang w:val="es-MX"/>
        </w:rPr>
        <w:t>zar, el particular requirió</w:t>
      </w:r>
      <w:r w:rsidR="0072029C" w:rsidRPr="00BE448F">
        <w:rPr>
          <w:rFonts w:ascii="Palatino Linotype" w:hAnsi="Palatino Linotype" w:cs="Arial"/>
          <w:lang w:val="es-MX"/>
        </w:rPr>
        <w:t xml:space="preserve"> acceso a la información de </w:t>
      </w:r>
      <w:r w:rsidR="0072029C" w:rsidRPr="00BE448F">
        <w:rPr>
          <w:rFonts w:ascii="Verdana" w:hAnsi="Verdana"/>
          <w:color w:val="000000"/>
          <w:sz w:val="14"/>
          <w:szCs w:val="14"/>
        </w:rPr>
        <w:t> </w:t>
      </w:r>
      <w:r w:rsidR="0072029C" w:rsidRPr="00BE448F">
        <w:rPr>
          <w:rFonts w:ascii="Palatino Linotype" w:hAnsi="Palatino Linotype"/>
          <w:color w:val="000000"/>
        </w:rPr>
        <w:t>todos los servidores públicos que hayan sido, apercibidos, amonestados, sancionados, multados e inhabilitados de sus funciones por la contraloría</w:t>
      </w:r>
      <w:r w:rsidR="00F37283" w:rsidRPr="00BE448F">
        <w:rPr>
          <w:rFonts w:ascii="Palatino Linotype" w:hAnsi="Palatino Linotype" w:cs="Arial"/>
          <w:lang w:val="es-MX"/>
        </w:rPr>
        <w:t>, siendo importante señalar que</w:t>
      </w:r>
      <w:r w:rsidRPr="00BE448F">
        <w:rPr>
          <w:rFonts w:ascii="Palatino Linotype" w:hAnsi="Palatino Linotype" w:cs="Arial"/>
          <w:lang w:val="es-MX"/>
        </w:rPr>
        <w:t xml:space="preserve"> el </w:t>
      </w:r>
      <w:r w:rsidRPr="00BE448F">
        <w:rPr>
          <w:rFonts w:ascii="Palatino Linotype" w:hAnsi="Palatino Linotype" w:cs="Arial"/>
          <w:b/>
          <w:lang w:val="es-MX"/>
        </w:rPr>
        <w:t>SUJETO OBLIGADO</w:t>
      </w:r>
      <w:r w:rsidR="00B07CD9" w:rsidRPr="00BE448F">
        <w:rPr>
          <w:rFonts w:ascii="Palatino Linotype" w:hAnsi="Palatino Linotype" w:cs="Arial"/>
          <w:lang w:val="es-MX"/>
        </w:rPr>
        <w:t xml:space="preserve"> </w:t>
      </w:r>
      <w:r w:rsidR="00F37283" w:rsidRPr="00BE448F">
        <w:rPr>
          <w:rFonts w:ascii="Palatino Linotype" w:hAnsi="Palatino Linotype" w:cs="Arial"/>
          <w:lang w:val="es-MX"/>
        </w:rPr>
        <w:t>no respondió satisfactoriamente</w:t>
      </w:r>
      <w:r w:rsidRPr="00BE448F">
        <w:rPr>
          <w:rFonts w:ascii="Palatino Linotype" w:hAnsi="Palatino Linotype" w:cs="Arial"/>
          <w:lang w:val="es-MX"/>
        </w:rPr>
        <w:t xml:space="preserve"> a la solicitud present</w:t>
      </w:r>
      <w:r w:rsidR="00B07CD9" w:rsidRPr="00BE448F">
        <w:rPr>
          <w:rFonts w:ascii="Palatino Linotype" w:hAnsi="Palatino Linotype" w:cs="Arial"/>
          <w:lang w:val="es-MX"/>
        </w:rPr>
        <w:t xml:space="preserve">ada, pues no realizó </w:t>
      </w:r>
      <w:r w:rsidR="00F37283" w:rsidRPr="00BE448F">
        <w:rPr>
          <w:rFonts w:ascii="Palatino Linotype" w:hAnsi="Palatino Linotype" w:cs="Arial"/>
          <w:lang w:val="es-MX"/>
        </w:rPr>
        <w:t xml:space="preserve">la </w:t>
      </w:r>
      <w:r w:rsidR="00B07CD9" w:rsidRPr="00BE448F">
        <w:rPr>
          <w:rFonts w:ascii="Palatino Linotype" w:hAnsi="Palatino Linotype" w:cs="Arial"/>
          <w:lang w:val="es-MX"/>
        </w:rPr>
        <w:t>entrega oportuna de</w:t>
      </w:r>
      <w:r w:rsidR="003D734F" w:rsidRPr="00BE448F">
        <w:rPr>
          <w:rFonts w:ascii="Palatino Linotype" w:hAnsi="Palatino Linotype" w:cs="Arial"/>
          <w:lang w:val="es-MX"/>
        </w:rPr>
        <w:t xml:space="preserve"> </w:t>
      </w:r>
      <w:r w:rsidR="00E50956" w:rsidRPr="00BE448F">
        <w:rPr>
          <w:rFonts w:ascii="Palatino Linotype" w:hAnsi="Palatino Linotype" w:cs="Arial"/>
          <w:lang w:val="es-MX"/>
        </w:rPr>
        <w:t>l</w:t>
      </w:r>
      <w:r w:rsidR="0072029C" w:rsidRPr="00BE448F">
        <w:rPr>
          <w:rFonts w:ascii="Palatino Linotype" w:hAnsi="Palatino Linotype" w:cs="Arial"/>
          <w:lang w:val="es-MX"/>
        </w:rPr>
        <w:t xml:space="preserve">a información al clasificar  totalmente  la información solicitada </w:t>
      </w:r>
      <w:r w:rsidRPr="00BE448F">
        <w:rPr>
          <w:rFonts w:ascii="Palatino Linotype" w:hAnsi="Palatino Linotype" w:cs="Arial"/>
          <w:lang w:val="es-MX"/>
        </w:rPr>
        <w:t>lo que constituye una afectación al derecho humano de acceso a la información pública</w:t>
      </w:r>
      <w:r w:rsidR="0058068E" w:rsidRPr="00BE448F">
        <w:rPr>
          <w:rFonts w:ascii="Palatino Linotype" w:hAnsi="Palatino Linotype" w:cs="Arial"/>
          <w:lang w:val="es-MX"/>
        </w:rPr>
        <w:t>.</w:t>
      </w:r>
    </w:p>
    <w:p w14:paraId="0DEA12CA" w14:textId="77777777" w:rsidR="0058068E" w:rsidRPr="00BE448F" w:rsidRDefault="0058068E" w:rsidP="00CB7B22">
      <w:pPr>
        <w:spacing w:before="240" w:after="240" w:line="360" w:lineRule="auto"/>
        <w:contextualSpacing/>
        <w:jc w:val="both"/>
        <w:rPr>
          <w:rFonts w:ascii="Palatino Linotype" w:hAnsi="Palatino Linotype" w:cs="Arial"/>
          <w:lang w:val="es-MX"/>
        </w:rPr>
      </w:pPr>
    </w:p>
    <w:p w14:paraId="6B3AC497" w14:textId="2B0F8150" w:rsidR="0058068E" w:rsidRPr="00BE448F" w:rsidRDefault="0058068E" w:rsidP="00CB7B22">
      <w:pPr>
        <w:numPr>
          <w:ilvl w:val="0"/>
          <w:numId w:val="1"/>
        </w:numPr>
        <w:spacing w:before="240" w:after="240" w:line="360" w:lineRule="auto"/>
        <w:ind w:left="0" w:firstLine="0"/>
        <w:contextualSpacing/>
        <w:jc w:val="both"/>
        <w:rPr>
          <w:rFonts w:ascii="Palatino Linotype" w:hAnsi="Palatino Linotype"/>
          <w:bCs/>
          <w:color w:val="000000" w:themeColor="text1"/>
        </w:rPr>
      </w:pPr>
      <w:r w:rsidRPr="00BE448F">
        <w:rPr>
          <w:rFonts w:ascii="Palatino Linotype" w:hAnsi="Palatino Linotype"/>
          <w:bCs/>
          <w:color w:val="000000" w:themeColor="text1"/>
        </w:rPr>
        <w:t xml:space="preserve">El párrafo tercero del artículo 1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Por ello, el </w:t>
      </w:r>
      <w:r w:rsidRPr="00BE448F">
        <w:rPr>
          <w:rFonts w:ascii="Palatino Linotype" w:hAnsi="Palatino Linotype"/>
          <w:b/>
          <w:color w:val="000000" w:themeColor="text1"/>
        </w:rPr>
        <w:t>SUJETO OBLIGADO</w:t>
      </w:r>
      <w:r w:rsidRPr="00BE448F">
        <w:rPr>
          <w:rFonts w:ascii="Palatino Linotype" w:hAnsi="Palatino Linotype"/>
          <w:bCs/>
          <w:color w:val="000000" w:themeColor="text1"/>
        </w:rPr>
        <w:t xml:space="preserve"> debe ser muy cuidadoso al momento de atender una solicitud de información, ya que su esencia es el legítimo ejercicio de un derecho humano constitucionalmente reconocido.</w:t>
      </w:r>
    </w:p>
    <w:p w14:paraId="2843446F" w14:textId="77777777" w:rsidR="00E50D7C" w:rsidRPr="00BE448F" w:rsidRDefault="00E50D7C" w:rsidP="00CB7B22">
      <w:pPr>
        <w:spacing w:before="240" w:after="240" w:line="360" w:lineRule="auto"/>
        <w:contextualSpacing/>
        <w:jc w:val="both"/>
        <w:rPr>
          <w:rFonts w:ascii="Palatino Linotype" w:hAnsi="Palatino Linotype" w:cs="Arial"/>
          <w:lang w:val="es-MX"/>
        </w:rPr>
      </w:pPr>
    </w:p>
    <w:p w14:paraId="472F59C0" w14:textId="38ABB29F" w:rsidR="00150CFB" w:rsidRPr="00BE448F" w:rsidRDefault="00E50D7C" w:rsidP="00CB7B22">
      <w:pPr>
        <w:numPr>
          <w:ilvl w:val="0"/>
          <w:numId w:val="1"/>
        </w:numPr>
        <w:spacing w:before="240" w:after="240" w:line="360" w:lineRule="auto"/>
        <w:ind w:left="0" w:firstLine="0"/>
        <w:contextualSpacing/>
        <w:jc w:val="both"/>
        <w:rPr>
          <w:rFonts w:ascii="Palatino Linotype" w:hAnsi="Palatino Linotype"/>
          <w:b/>
          <w:color w:val="000000" w:themeColor="text1"/>
        </w:rPr>
      </w:pPr>
      <w:r w:rsidRPr="00BE448F">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BE448F">
        <w:rPr>
          <w:rFonts w:ascii="Palatino Linotype" w:hAnsi="Palatino Linotype" w:cs="Arial"/>
          <w:lang w:val="es-MX"/>
        </w:rPr>
        <w:lastRenderedPageBreak/>
        <w:t xml:space="preserve">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A04318B" w14:textId="6523B80A" w:rsidR="003F14A4" w:rsidRPr="00BE448F" w:rsidRDefault="003D734F" w:rsidP="00B12F29">
      <w:pPr>
        <w:pStyle w:val="Ttulo1"/>
        <w:spacing w:line="360" w:lineRule="auto"/>
        <w:rPr>
          <w:b/>
          <w:color w:val="365F91" w:themeColor="accent1" w:themeShade="BF"/>
          <w:szCs w:val="24"/>
        </w:rPr>
      </w:pPr>
      <w:bookmarkStart w:id="38" w:name="_Toc54877505"/>
      <w:r w:rsidRPr="00BE448F">
        <w:rPr>
          <w:b/>
        </w:rPr>
        <w:t xml:space="preserve">II. </w:t>
      </w:r>
      <w:r w:rsidR="003F14A4" w:rsidRPr="00BE448F">
        <w:rPr>
          <w:b/>
        </w:rPr>
        <w:t>De la Información Solicitada</w:t>
      </w:r>
      <w:r w:rsidR="003F14A4" w:rsidRPr="00BE448F">
        <w:rPr>
          <w:b/>
          <w:color w:val="000000" w:themeColor="text1"/>
          <w:szCs w:val="24"/>
        </w:rPr>
        <w:t>.</w:t>
      </w:r>
      <w:bookmarkEnd w:id="38"/>
      <w:r w:rsidR="003F14A4" w:rsidRPr="00BE448F">
        <w:rPr>
          <w:b/>
          <w:color w:val="000000" w:themeColor="text1"/>
          <w:szCs w:val="24"/>
        </w:rPr>
        <w:t xml:space="preserve">  </w:t>
      </w:r>
    </w:p>
    <w:p w14:paraId="0DED8E12" w14:textId="2249C0B0" w:rsidR="003F14A4" w:rsidRPr="00BE448F" w:rsidRDefault="003F14A4" w:rsidP="00CB7B22">
      <w:pPr>
        <w:pStyle w:val="Prrafodelista"/>
        <w:numPr>
          <w:ilvl w:val="0"/>
          <w:numId w:val="1"/>
        </w:numPr>
        <w:spacing w:before="240" w:after="240" w:line="360" w:lineRule="auto"/>
        <w:ind w:left="0" w:firstLine="0"/>
        <w:jc w:val="both"/>
        <w:rPr>
          <w:rFonts w:ascii="Palatino Linotype" w:hAnsi="Palatino Linotype" w:cs="Arial"/>
          <w:i/>
          <w:lang w:val="es-MX"/>
        </w:rPr>
      </w:pPr>
      <w:r w:rsidRPr="00BE448F">
        <w:rPr>
          <w:rFonts w:ascii="Palatino Linotype" w:hAnsi="Palatino Linotype" w:cs="Times New Roman"/>
          <w:lang w:eastAsia="es-ES_tradnl"/>
        </w:rPr>
        <w:t xml:space="preserve">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6D7003A8" w14:textId="77777777" w:rsidR="003F14A4" w:rsidRPr="00BE448F" w:rsidRDefault="003F14A4" w:rsidP="00CB7B22">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BE448F">
        <w:rPr>
          <w:rFonts w:ascii="Palatino Linotype" w:hAnsi="Palatino Linotype" w:cs="Arial"/>
          <w:color w:val="000000" w:themeColor="text1"/>
        </w:rPr>
        <w:t>Luego entonces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D4929EE" w14:textId="77777777" w:rsidR="003F14A4" w:rsidRPr="00BE448F" w:rsidRDefault="003F14A4" w:rsidP="00CB7B22">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2DF43C70" w14:textId="180A6246" w:rsidR="003F14A4" w:rsidRPr="00BE448F" w:rsidRDefault="003F14A4" w:rsidP="00CB7B22">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BE448F">
        <w:rPr>
          <w:rFonts w:ascii="Palatino Linotype" w:hAnsi="Palatino Linotype" w:cs="Times New Roman"/>
          <w:b/>
          <w:i/>
          <w:sz w:val="22"/>
          <w:lang w:eastAsia="es-ES_tradnl"/>
        </w:rPr>
        <w:t>Artículo 18.</w:t>
      </w:r>
      <w:r w:rsidRPr="00BE448F">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DBF598D" w14:textId="77777777" w:rsidR="003F14A4" w:rsidRPr="00BE448F" w:rsidRDefault="003F14A4" w:rsidP="00CB7B22">
      <w:pPr>
        <w:numPr>
          <w:ilvl w:val="0"/>
          <w:numId w:val="1"/>
        </w:numPr>
        <w:spacing w:before="240" w:after="240" w:line="360" w:lineRule="auto"/>
        <w:ind w:left="0" w:firstLine="0"/>
        <w:contextualSpacing/>
        <w:jc w:val="both"/>
        <w:rPr>
          <w:rFonts w:ascii="Palatino Linotype" w:eastAsia="MS Mincho" w:hAnsi="Palatino Linotype" w:cs="Arial"/>
          <w:i/>
          <w:lang w:val="es-MX"/>
        </w:rPr>
      </w:pPr>
      <w:r w:rsidRPr="00BE448F">
        <w:rPr>
          <w:rFonts w:ascii="Palatino Linotype" w:hAnsi="Palatino Linotype" w:cs="Arial"/>
        </w:rPr>
        <w:lastRenderedPageBreak/>
        <w:t xml:space="preserve">Expuesto lo anterior, </w:t>
      </w:r>
      <w:r w:rsidRPr="00BE448F">
        <w:rPr>
          <w:rFonts w:ascii="Palatino Linotype" w:eastAsia="Calibri" w:hAnsi="Palatino Linotype" w:cs="Times New Roman"/>
        </w:rPr>
        <w:t xml:space="preserve">para determinar si con la respuesta emitida el sujeto obligado atendió los requerimientos realizados por el particular </w:t>
      </w:r>
      <w:r w:rsidRPr="00BE448F">
        <w:rPr>
          <w:rFonts w:ascii="Palatino Linotype" w:eastAsia="Calibri" w:hAnsi="Palatino Linotype" w:cs="Times New Roman"/>
          <w:color w:val="000000"/>
          <w:szCs w:val="22"/>
          <w:lang w:val="es-ES" w:eastAsia="en-US"/>
        </w:rPr>
        <w:t>se considera pertinente elaborar un cuadro de análisis</w:t>
      </w:r>
      <w:r w:rsidRPr="00BE448F">
        <w:rPr>
          <w:rFonts w:ascii="Palatino Linotype" w:eastAsia="MS Mincho" w:hAnsi="Palatino Linotype" w:cs="Times New Roman"/>
          <w:color w:val="000000"/>
          <w:vertAlign w:val="superscript"/>
          <w:lang w:val="es-ES" w:eastAsia="en-US"/>
        </w:rPr>
        <w:footnoteReference w:id="5"/>
      </w:r>
      <w:r w:rsidRPr="00BE448F">
        <w:rPr>
          <w:rFonts w:ascii="Palatino Linotype" w:eastAsia="Calibri" w:hAnsi="Palatino Linotype" w:cs="Times New Roman"/>
          <w:color w:val="000000"/>
          <w:szCs w:val="22"/>
          <w:lang w:val="es-ES" w:eastAsia="en-US"/>
        </w:rPr>
        <w:t>, mismo que se inserta a continuación:</w:t>
      </w:r>
    </w:p>
    <w:p w14:paraId="00DB26EE" w14:textId="77777777" w:rsidR="003F14A4" w:rsidRPr="00BE448F" w:rsidRDefault="003F14A4" w:rsidP="00CB7B22">
      <w:pPr>
        <w:spacing w:line="360" w:lineRule="auto"/>
        <w:ind w:left="720"/>
        <w:contextualSpacing/>
        <w:rPr>
          <w:rFonts w:ascii="Palatino Linotype" w:eastAsia="MS Mincho" w:hAnsi="Palatino Linotype" w:cs="Arial"/>
          <w:i/>
          <w:lang w:val="es-MX"/>
        </w:rPr>
      </w:pPr>
    </w:p>
    <w:tbl>
      <w:tblPr>
        <w:tblStyle w:val="Tablaconcuadrcula211"/>
        <w:tblW w:w="9214" w:type="dxa"/>
        <w:tblCellMar>
          <w:left w:w="70" w:type="dxa"/>
          <w:right w:w="70" w:type="dxa"/>
        </w:tblCellMar>
        <w:tblLook w:val="0000" w:firstRow="0" w:lastRow="0" w:firstColumn="0" w:lastColumn="0" w:noHBand="0" w:noVBand="0"/>
      </w:tblPr>
      <w:tblGrid>
        <w:gridCol w:w="989"/>
        <w:gridCol w:w="3125"/>
        <w:gridCol w:w="3859"/>
        <w:gridCol w:w="1241"/>
      </w:tblGrid>
      <w:tr w:rsidR="003F14A4" w:rsidRPr="00BE448F" w14:paraId="6563EA57" w14:textId="77777777" w:rsidTr="00DF6473">
        <w:trPr>
          <w:trHeight w:val="825"/>
        </w:trPr>
        <w:tc>
          <w:tcPr>
            <w:tcW w:w="9214" w:type="dxa"/>
            <w:gridSpan w:val="4"/>
          </w:tcPr>
          <w:p w14:paraId="72712E7B" w14:textId="77777777" w:rsidR="003F14A4" w:rsidRPr="00BE448F" w:rsidRDefault="003F14A4" w:rsidP="00CB7B22">
            <w:pPr>
              <w:spacing w:line="360" w:lineRule="auto"/>
              <w:jc w:val="center"/>
              <w:rPr>
                <w:rFonts w:ascii="Palatino Linotype" w:hAnsi="Palatino Linotype" w:cs="Arial"/>
                <w:b/>
                <w:sz w:val="24"/>
                <w:szCs w:val="24"/>
              </w:rPr>
            </w:pPr>
          </w:p>
          <w:p w14:paraId="5B8A5822" w14:textId="598645D6" w:rsidR="003F14A4" w:rsidRPr="00BE448F" w:rsidRDefault="003F14A4" w:rsidP="002559AD">
            <w:pPr>
              <w:spacing w:line="360" w:lineRule="auto"/>
              <w:jc w:val="center"/>
              <w:rPr>
                <w:rFonts w:ascii="Palatino Linotype" w:hAnsi="Palatino Linotype" w:cs="Arial"/>
                <w:sz w:val="24"/>
                <w:szCs w:val="24"/>
              </w:rPr>
            </w:pPr>
            <w:r w:rsidRPr="00BE448F">
              <w:rPr>
                <w:rFonts w:ascii="Palatino Linotype" w:hAnsi="Palatino Linotype" w:cs="Arial"/>
                <w:b/>
                <w:sz w:val="24"/>
                <w:szCs w:val="24"/>
              </w:rPr>
              <w:t xml:space="preserve">Solicitud </w:t>
            </w:r>
            <w:r w:rsidR="002559AD" w:rsidRPr="00BE448F">
              <w:rPr>
                <w:rFonts w:ascii="Palatino Linotype" w:hAnsi="Palatino Linotype" w:cs="Arial"/>
                <w:b/>
                <w:bCs/>
                <w:sz w:val="24"/>
                <w:szCs w:val="24"/>
                <w:lang w:val="es-ES_tradnl"/>
              </w:rPr>
              <w:t>00257/TECAMAC/IP/2020.</w:t>
            </w:r>
          </w:p>
        </w:tc>
      </w:tr>
      <w:tr w:rsidR="003F14A4" w:rsidRPr="00BE448F" w14:paraId="688D1F4B" w14:textId="77777777" w:rsidTr="00DF6473">
        <w:tblPrEx>
          <w:tblCellMar>
            <w:left w:w="108" w:type="dxa"/>
            <w:right w:w="108" w:type="dxa"/>
          </w:tblCellMar>
          <w:tblLook w:val="04A0" w:firstRow="1" w:lastRow="0" w:firstColumn="1" w:lastColumn="0" w:noHBand="0" w:noVBand="1"/>
        </w:tblPrEx>
        <w:trPr>
          <w:trHeight w:val="582"/>
        </w:trPr>
        <w:tc>
          <w:tcPr>
            <w:tcW w:w="993" w:type="dxa"/>
            <w:shd w:val="clear" w:color="auto" w:fill="DBDBDB"/>
          </w:tcPr>
          <w:p w14:paraId="4521EB37" w14:textId="77777777" w:rsidR="003F14A4" w:rsidRPr="00BE448F" w:rsidRDefault="003F14A4" w:rsidP="00CB7B22">
            <w:pPr>
              <w:spacing w:line="360" w:lineRule="auto"/>
              <w:rPr>
                <w:rFonts w:ascii="Palatino Linotype" w:hAnsi="Palatino Linotype"/>
                <w:sz w:val="24"/>
                <w:szCs w:val="24"/>
              </w:rPr>
            </w:pPr>
          </w:p>
          <w:p w14:paraId="41496E21" w14:textId="77777777" w:rsidR="003F14A4" w:rsidRPr="00BE448F" w:rsidRDefault="003F14A4" w:rsidP="00CB7B22">
            <w:pPr>
              <w:spacing w:line="360" w:lineRule="auto"/>
              <w:jc w:val="center"/>
              <w:rPr>
                <w:rFonts w:ascii="Palatino Linotype" w:hAnsi="Palatino Linotype"/>
                <w:sz w:val="24"/>
                <w:szCs w:val="24"/>
              </w:rPr>
            </w:pPr>
            <w:r w:rsidRPr="00BE448F">
              <w:rPr>
                <w:rFonts w:ascii="Palatino Linotype" w:hAnsi="Palatino Linotype"/>
                <w:sz w:val="24"/>
                <w:szCs w:val="24"/>
              </w:rPr>
              <w:t xml:space="preserve">No. </w:t>
            </w:r>
          </w:p>
        </w:tc>
        <w:tc>
          <w:tcPr>
            <w:tcW w:w="3142" w:type="dxa"/>
            <w:shd w:val="clear" w:color="auto" w:fill="DBDBDB"/>
          </w:tcPr>
          <w:p w14:paraId="3912B6F7" w14:textId="77777777" w:rsidR="003F14A4" w:rsidRPr="00BE448F" w:rsidRDefault="003F14A4" w:rsidP="00CB7B22">
            <w:pPr>
              <w:spacing w:line="360" w:lineRule="auto"/>
              <w:jc w:val="center"/>
              <w:rPr>
                <w:rFonts w:ascii="Palatino Linotype" w:hAnsi="Palatino Linotype"/>
                <w:sz w:val="24"/>
                <w:szCs w:val="24"/>
              </w:rPr>
            </w:pPr>
          </w:p>
          <w:p w14:paraId="1E01E671" w14:textId="77777777" w:rsidR="003F14A4" w:rsidRPr="00BE448F" w:rsidRDefault="003F14A4" w:rsidP="00CB7B22">
            <w:pPr>
              <w:spacing w:line="360" w:lineRule="auto"/>
              <w:jc w:val="center"/>
              <w:rPr>
                <w:rFonts w:ascii="Palatino Linotype" w:hAnsi="Palatino Linotype"/>
                <w:sz w:val="24"/>
                <w:szCs w:val="24"/>
              </w:rPr>
            </w:pPr>
            <w:r w:rsidRPr="00BE448F">
              <w:rPr>
                <w:rFonts w:ascii="Palatino Linotype" w:hAnsi="Palatino Linotype"/>
                <w:sz w:val="24"/>
                <w:szCs w:val="24"/>
              </w:rPr>
              <w:t>Información Requerida:</w:t>
            </w:r>
          </w:p>
        </w:tc>
        <w:tc>
          <w:tcPr>
            <w:tcW w:w="3870" w:type="dxa"/>
            <w:shd w:val="clear" w:color="auto" w:fill="DBDBDB"/>
          </w:tcPr>
          <w:p w14:paraId="49F2462E" w14:textId="77777777" w:rsidR="003F14A4" w:rsidRPr="00BE448F" w:rsidRDefault="003F14A4" w:rsidP="00CB7B22">
            <w:pPr>
              <w:spacing w:line="360" w:lineRule="auto"/>
              <w:jc w:val="center"/>
              <w:rPr>
                <w:rFonts w:ascii="Palatino Linotype" w:hAnsi="Palatino Linotype"/>
                <w:sz w:val="24"/>
                <w:szCs w:val="24"/>
              </w:rPr>
            </w:pPr>
          </w:p>
          <w:p w14:paraId="6E7B3756" w14:textId="77777777" w:rsidR="003F14A4" w:rsidRPr="00BE448F" w:rsidRDefault="003F14A4" w:rsidP="00CB7B22">
            <w:pPr>
              <w:spacing w:line="360" w:lineRule="auto"/>
              <w:jc w:val="center"/>
              <w:rPr>
                <w:rFonts w:ascii="Palatino Linotype" w:hAnsi="Palatino Linotype"/>
                <w:sz w:val="24"/>
                <w:szCs w:val="24"/>
              </w:rPr>
            </w:pPr>
            <w:r w:rsidRPr="00BE448F">
              <w:rPr>
                <w:rFonts w:ascii="Palatino Linotype" w:hAnsi="Palatino Linotype"/>
                <w:sz w:val="24"/>
                <w:szCs w:val="24"/>
              </w:rPr>
              <w:t xml:space="preserve">Información entregada en respuesta: </w:t>
            </w:r>
          </w:p>
        </w:tc>
        <w:tc>
          <w:tcPr>
            <w:tcW w:w="1209" w:type="dxa"/>
            <w:shd w:val="clear" w:color="auto" w:fill="D9D9D9"/>
          </w:tcPr>
          <w:p w14:paraId="0806DC46" w14:textId="77777777" w:rsidR="003F14A4" w:rsidRPr="00BE448F" w:rsidRDefault="003F14A4" w:rsidP="00CB7B22">
            <w:pPr>
              <w:spacing w:line="360" w:lineRule="auto"/>
              <w:jc w:val="center"/>
              <w:rPr>
                <w:rFonts w:ascii="Palatino Linotype" w:hAnsi="Palatino Linotype"/>
                <w:sz w:val="24"/>
                <w:szCs w:val="24"/>
              </w:rPr>
            </w:pPr>
          </w:p>
          <w:p w14:paraId="0A3D30FD" w14:textId="77777777" w:rsidR="003F14A4" w:rsidRPr="00BE448F" w:rsidRDefault="003F14A4" w:rsidP="00CB7B22">
            <w:pPr>
              <w:spacing w:line="360" w:lineRule="auto"/>
              <w:jc w:val="center"/>
              <w:rPr>
                <w:rFonts w:ascii="Palatino Linotype" w:hAnsi="Palatino Linotype"/>
                <w:sz w:val="24"/>
                <w:szCs w:val="24"/>
              </w:rPr>
            </w:pPr>
            <w:r w:rsidRPr="00BE448F">
              <w:rPr>
                <w:rFonts w:ascii="Palatino Linotype" w:hAnsi="Palatino Linotype"/>
                <w:sz w:val="24"/>
                <w:szCs w:val="24"/>
              </w:rPr>
              <w:t xml:space="preserve">¿Satisface la solicitud? </w:t>
            </w:r>
          </w:p>
        </w:tc>
      </w:tr>
      <w:tr w:rsidR="003F14A4" w:rsidRPr="00BE448F" w14:paraId="042202ED" w14:textId="77777777" w:rsidTr="00DF6473">
        <w:tblPrEx>
          <w:tblCellMar>
            <w:left w:w="108" w:type="dxa"/>
            <w:right w:w="108" w:type="dxa"/>
          </w:tblCellMar>
          <w:tblLook w:val="04A0" w:firstRow="1" w:lastRow="0" w:firstColumn="1" w:lastColumn="0" w:noHBand="0" w:noVBand="1"/>
        </w:tblPrEx>
        <w:trPr>
          <w:trHeight w:val="2087"/>
        </w:trPr>
        <w:tc>
          <w:tcPr>
            <w:tcW w:w="993" w:type="dxa"/>
            <w:shd w:val="clear" w:color="auto" w:fill="auto"/>
          </w:tcPr>
          <w:p w14:paraId="08F661BB" w14:textId="77777777" w:rsidR="003F14A4" w:rsidRPr="00BE448F" w:rsidRDefault="003F14A4" w:rsidP="00CB7B22">
            <w:pPr>
              <w:tabs>
                <w:tab w:val="left" w:pos="1627"/>
              </w:tabs>
              <w:spacing w:line="360" w:lineRule="auto"/>
              <w:rPr>
                <w:rFonts w:ascii="Palatino Linotype" w:hAnsi="Palatino Linotype"/>
                <w:b/>
                <w:sz w:val="24"/>
                <w:szCs w:val="24"/>
              </w:rPr>
            </w:pPr>
          </w:p>
          <w:p w14:paraId="6F100278" w14:textId="77777777" w:rsidR="003F14A4" w:rsidRPr="00BE448F" w:rsidRDefault="003F14A4" w:rsidP="00CB7B22">
            <w:pPr>
              <w:tabs>
                <w:tab w:val="left" w:pos="1627"/>
              </w:tabs>
              <w:spacing w:line="360" w:lineRule="auto"/>
              <w:jc w:val="center"/>
              <w:rPr>
                <w:rFonts w:ascii="Palatino Linotype" w:hAnsi="Palatino Linotype"/>
                <w:b/>
                <w:sz w:val="24"/>
                <w:szCs w:val="24"/>
              </w:rPr>
            </w:pPr>
          </w:p>
          <w:p w14:paraId="543BB6FE" w14:textId="77777777" w:rsidR="003F14A4" w:rsidRPr="00BE448F" w:rsidRDefault="003F14A4" w:rsidP="00CB7B22">
            <w:pPr>
              <w:tabs>
                <w:tab w:val="left" w:pos="1627"/>
              </w:tabs>
              <w:spacing w:line="360" w:lineRule="auto"/>
              <w:jc w:val="center"/>
              <w:rPr>
                <w:rFonts w:ascii="Palatino Linotype" w:hAnsi="Palatino Linotype"/>
                <w:b/>
                <w:sz w:val="24"/>
                <w:szCs w:val="24"/>
              </w:rPr>
            </w:pPr>
            <w:r w:rsidRPr="00BE448F">
              <w:rPr>
                <w:rFonts w:ascii="Palatino Linotype" w:hAnsi="Palatino Linotype"/>
                <w:b/>
                <w:sz w:val="24"/>
                <w:szCs w:val="24"/>
              </w:rPr>
              <w:t>1</w:t>
            </w:r>
          </w:p>
        </w:tc>
        <w:tc>
          <w:tcPr>
            <w:tcW w:w="3142" w:type="dxa"/>
            <w:shd w:val="clear" w:color="auto" w:fill="auto"/>
          </w:tcPr>
          <w:p w14:paraId="11E822CA" w14:textId="77777777" w:rsidR="003F14A4" w:rsidRPr="00BE448F" w:rsidRDefault="003F14A4" w:rsidP="00CB7B22">
            <w:pPr>
              <w:spacing w:line="360" w:lineRule="auto"/>
              <w:contextualSpacing/>
              <w:jc w:val="both"/>
              <w:rPr>
                <w:rFonts w:ascii="Palatino Linotype" w:hAnsi="Palatino Linotype"/>
                <w:color w:val="000000"/>
                <w:sz w:val="24"/>
                <w:szCs w:val="24"/>
              </w:rPr>
            </w:pPr>
          </w:p>
          <w:p w14:paraId="118B642C" w14:textId="41F86BBF" w:rsidR="003F14A4" w:rsidRPr="00BE448F" w:rsidRDefault="003F14A4" w:rsidP="00CB7B22">
            <w:pPr>
              <w:spacing w:line="360" w:lineRule="auto"/>
              <w:contextualSpacing/>
              <w:jc w:val="both"/>
              <w:rPr>
                <w:rFonts w:ascii="Palatino Linotype" w:hAnsi="Palatino Linotype"/>
                <w:color w:val="000000"/>
                <w:sz w:val="24"/>
                <w:szCs w:val="24"/>
                <w:lang w:val="es-ES"/>
              </w:rPr>
            </w:pPr>
            <w:r w:rsidRPr="00BE448F">
              <w:rPr>
                <w:rFonts w:ascii="Palatino Linotype" w:hAnsi="Palatino Linotype"/>
                <w:i/>
                <w:color w:val="000000"/>
                <w:sz w:val="24"/>
                <w:szCs w:val="24"/>
              </w:rPr>
              <w:t>“</w:t>
            </w:r>
            <w:r w:rsidRPr="00BE448F">
              <w:rPr>
                <w:rFonts w:ascii="Palatino Linotype" w:hAnsi="Palatino Linotype"/>
                <w:i/>
                <w:color w:val="000000"/>
                <w:sz w:val="24"/>
                <w:szCs w:val="24"/>
                <w:lang w:val="es-ES_tradnl"/>
              </w:rPr>
              <w:t xml:space="preserve">información de todos los servidores públicos que hayan sido, apercibidos, amonestados, sancionados, multados e inhabilitados de sus funciones por la contraloría General municipal, del Estado o Federal y por la </w:t>
            </w:r>
            <w:proofErr w:type="spellStart"/>
            <w:r w:rsidRPr="00BE448F">
              <w:rPr>
                <w:rFonts w:ascii="Palatino Linotype" w:hAnsi="Palatino Linotype"/>
                <w:i/>
                <w:color w:val="000000"/>
                <w:sz w:val="24"/>
                <w:szCs w:val="24"/>
                <w:lang w:val="es-ES_tradnl"/>
              </w:rPr>
              <w:t>contraloria</w:t>
            </w:r>
            <w:proofErr w:type="spellEnd"/>
            <w:r w:rsidRPr="00BE448F">
              <w:rPr>
                <w:rFonts w:ascii="Palatino Linotype" w:hAnsi="Palatino Linotype"/>
                <w:i/>
                <w:color w:val="000000"/>
                <w:sz w:val="24"/>
                <w:szCs w:val="24"/>
                <w:lang w:val="es-ES_tradnl"/>
              </w:rPr>
              <w:t xml:space="preserve"> del INFOEM, tanto servidores </w:t>
            </w:r>
            <w:r w:rsidRPr="00BE448F">
              <w:rPr>
                <w:rFonts w:ascii="Palatino Linotype" w:hAnsi="Palatino Linotype"/>
                <w:i/>
                <w:color w:val="000000"/>
                <w:sz w:val="24"/>
                <w:szCs w:val="24"/>
                <w:lang w:val="es-ES_tradnl"/>
              </w:rPr>
              <w:lastRenderedPageBreak/>
              <w:t xml:space="preserve">públicos de la administración 2016-2018 y los de la administración 2019-2021. En esta información debe de especificar del actual y ex Servidor público, Nombre, cargo que realizaba cuando se suscitó la falta, </w:t>
            </w:r>
            <w:proofErr w:type="spellStart"/>
            <w:r w:rsidRPr="00BE448F">
              <w:rPr>
                <w:rFonts w:ascii="Palatino Linotype" w:hAnsi="Palatino Linotype"/>
                <w:i/>
                <w:color w:val="000000"/>
                <w:sz w:val="24"/>
                <w:szCs w:val="24"/>
                <w:lang w:val="es-ES_tradnl"/>
              </w:rPr>
              <w:t>cual</w:t>
            </w:r>
            <w:proofErr w:type="spellEnd"/>
            <w:r w:rsidRPr="00BE448F">
              <w:rPr>
                <w:rFonts w:ascii="Palatino Linotype" w:hAnsi="Palatino Linotype"/>
                <w:i/>
                <w:color w:val="000000"/>
                <w:sz w:val="24"/>
                <w:szCs w:val="24"/>
                <w:lang w:val="es-ES_tradnl"/>
              </w:rPr>
              <w:t xml:space="preserve"> fue su falta y omisión por la que fue procesado, el monto de la multa (si es el caso), y resolución de la contraloría para ejecutarla. </w:t>
            </w:r>
            <w:proofErr w:type="gramStart"/>
            <w:r w:rsidRPr="00BE448F">
              <w:rPr>
                <w:rFonts w:ascii="Palatino Linotype" w:hAnsi="Palatino Linotype"/>
                <w:i/>
                <w:color w:val="000000"/>
                <w:sz w:val="24"/>
                <w:szCs w:val="24"/>
                <w:lang w:val="es-ES_tradnl"/>
              </w:rPr>
              <w:t>ya</w:t>
            </w:r>
            <w:proofErr w:type="gramEnd"/>
            <w:r w:rsidRPr="00BE448F">
              <w:rPr>
                <w:rFonts w:ascii="Palatino Linotype" w:hAnsi="Palatino Linotype"/>
                <w:i/>
                <w:color w:val="000000"/>
                <w:sz w:val="24"/>
                <w:szCs w:val="24"/>
                <w:lang w:val="es-ES_tradnl"/>
              </w:rPr>
              <w:t xml:space="preserve"> que el contralor municipal </w:t>
            </w:r>
            <w:proofErr w:type="spellStart"/>
            <w:r w:rsidRPr="00BE448F">
              <w:rPr>
                <w:rFonts w:ascii="Palatino Linotype" w:hAnsi="Palatino Linotype"/>
                <w:i/>
                <w:color w:val="000000"/>
                <w:sz w:val="24"/>
                <w:szCs w:val="24"/>
                <w:lang w:val="es-ES_tradnl"/>
              </w:rPr>
              <w:t>tambien</w:t>
            </w:r>
            <w:proofErr w:type="spellEnd"/>
            <w:r w:rsidRPr="00BE448F">
              <w:rPr>
                <w:rFonts w:ascii="Palatino Linotype" w:hAnsi="Palatino Linotype"/>
                <w:i/>
                <w:color w:val="000000"/>
                <w:sz w:val="24"/>
                <w:szCs w:val="24"/>
                <w:lang w:val="es-ES_tradnl"/>
              </w:rPr>
              <w:t xml:space="preserve"> es el contralor de ODAPAS solicito </w:t>
            </w:r>
            <w:proofErr w:type="spellStart"/>
            <w:r w:rsidRPr="00BE448F">
              <w:rPr>
                <w:rFonts w:ascii="Palatino Linotype" w:hAnsi="Palatino Linotype"/>
                <w:i/>
                <w:color w:val="000000"/>
                <w:sz w:val="24"/>
                <w:szCs w:val="24"/>
                <w:lang w:val="es-ES_tradnl"/>
              </w:rPr>
              <w:t>tambien</w:t>
            </w:r>
            <w:proofErr w:type="spellEnd"/>
            <w:r w:rsidRPr="00BE448F">
              <w:rPr>
                <w:rFonts w:ascii="Palatino Linotype" w:hAnsi="Palatino Linotype"/>
                <w:i/>
                <w:color w:val="000000"/>
                <w:sz w:val="24"/>
                <w:szCs w:val="24"/>
                <w:lang w:val="es-ES_tradnl"/>
              </w:rPr>
              <w:t xml:space="preserve"> la relación con las mismas </w:t>
            </w:r>
            <w:proofErr w:type="spellStart"/>
            <w:r w:rsidRPr="00BE448F">
              <w:rPr>
                <w:rFonts w:ascii="Palatino Linotype" w:hAnsi="Palatino Linotype"/>
                <w:i/>
                <w:color w:val="000000"/>
                <w:sz w:val="24"/>
                <w:szCs w:val="24"/>
                <w:lang w:val="es-ES_tradnl"/>
              </w:rPr>
              <w:t>caracteristicas</w:t>
            </w:r>
            <w:proofErr w:type="spellEnd"/>
            <w:r w:rsidRPr="00BE448F">
              <w:rPr>
                <w:rFonts w:ascii="Palatino Linotype" w:hAnsi="Palatino Linotype"/>
                <w:i/>
                <w:color w:val="000000"/>
                <w:sz w:val="24"/>
                <w:szCs w:val="24"/>
                <w:lang w:val="es-ES_tradnl"/>
              </w:rPr>
              <w:t xml:space="preserve"> pero de servidores y ex servidores públicos de ODAPAS.</w:t>
            </w:r>
            <w:r w:rsidRPr="00BE448F">
              <w:rPr>
                <w:rFonts w:ascii="Palatino Linotype" w:hAnsi="Palatino Linotype"/>
                <w:i/>
                <w:color w:val="000000"/>
                <w:sz w:val="24"/>
                <w:szCs w:val="24"/>
              </w:rPr>
              <w:t>”</w:t>
            </w:r>
            <w:r w:rsidRPr="00BE448F">
              <w:rPr>
                <w:rFonts w:ascii="Palatino Linotype" w:hAnsi="Palatino Linotype"/>
                <w:i/>
                <w:color w:val="000000"/>
                <w:sz w:val="24"/>
                <w:szCs w:val="24"/>
                <w:lang w:val="es-ES"/>
              </w:rPr>
              <w:t xml:space="preserve"> </w:t>
            </w:r>
            <w:r w:rsidRPr="00BE448F">
              <w:rPr>
                <w:rFonts w:ascii="Palatino Linotype" w:hAnsi="Palatino Linotype"/>
                <w:color w:val="000000"/>
                <w:sz w:val="24"/>
                <w:szCs w:val="24"/>
                <w:lang w:val="es-ES"/>
              </w:rPr>
              <w:t>(Sic)</w:t>
            </w:r>
          </w:p>
          <w:p w14:paraId="2B8E95B9" w14:textId="77777777" w:rsidR="003F14A4" w:rsidRPr="00BE448F" w:rsidRDefault="003F14A4" w:rsidP="00CB7B22">
            <w:pPr>
              <w:spacing w:line="360" w:lineRule="auto"/>
              <w:contextualSpacing/>
              <w:jc w:val="both"/>
              <w:rPr>
                <w:rFonts w:ascii="Palatino Linotype" w:hAnsi="Palatino Linotype"/>
                <w:color w:val="000000"/>
                <w:sz w:val="24"/>
                <w:szCs w:val="24"/>
                <w:lang w:val="es-ES"/>
              </w:rPr>
            </w:pPr>
          </w:p>
        </w:tc>
        <w:tc>
          <w:tcPr>
            <w:tcW w:w="3870" w:type="dxa"/>
            <w:shd w:val="clear" w:color="auto" w:fill="auto"/>
          </w:tcPr>
          <w:p w14:paraId="7ECBA958" w14:textId="77777777" w:rsidR="003F14A4" w:rsidRPr="00BE448F" w:rsidRDefault="003F14A4" w:rsidP="00CB7B22">
            <w:pPr>
              <w:numPr>
                <w:ilvl w:val="0"/>
                <w:numId w:val="26"/>
              </w:numPr>
              <w:spacing w:line="360" w:lineRule="auto"/>
              <w:ind w:left="0" w:firstLine="0"/>
              <w:jc w:val="both"/>
              <w:rPr>
                <w:rFonts w:ascii="Palatino Linotype" w:hAnsi="Palatino Linotype"/>
                <w:i/>
                <w:sz w:val="24"/>
                <w:szCs w:val="24"/>
                <w:lang w:val="es-ES_tradnl"/>
              </w:rPr>
            </w:pPr>
            <w:r w:rsidRPr="00BE448F">
              <w:rPr>
                <w:rFonts w:ascii="Palatino Linotype" w:hAnsi="Palatino Linotype"/>
                <w:b/>
                <w:i/>
                <w:sz w:val="24"/>
                <w:szCs w:val="24"/>
                <w:lang w:val="es-ES_tradnl"/>
              </w:rPr>
              <w:lastRenderedPageBreak/>
              <w:t>“ACTA 257.pdf”:</w:t>
            </w:r>
            <w:r w:rsidRPr="00BE448F">
              <w:rPr>
                <w:rFonts w:ascii="Palatino Linotype" w:hAnsi="Palatino Linotype"/>
                <w:i/>
                <w:sz w:val="24"/>
                <w:szCs w:val="24"/>
                <w:lang w:val="es-ES_tradnl"/>
              </w:rPr>
              <w:t xml:space="preserve"> Documento electrónico que en catorce (14) hojas contiene: </w:t>
            </w:r>
          </w:p>
          <w:p w14:paraId="662CA3DB" w14:textId="77777777" w:rsidR="003F14A4" w:rsidRPr="00BE448F" w:rsidRDefault="003F14A4" w:rsidP="00CB7B22">
            <w:pPr>
              <w:spacing w:line="360" w:lineRule="auto"/>
              <w:jc w:val="both"/>
              <w:rPr>
                <w:rFonts w:ascii="Palatino Linotype" w:hAnsi="Palatino Linotype"/>
                <w:i/>
                <w:sz w:val="24"/>
                <w:szCs w:val="24"/>
                <w:lang w:val="es-ES_tradnl"/>
              </w:rPr>
            </w:pPr>
          </w:p>
          <w:p w14:paraId="5996F162" w14:textId="77777777" w:rsidR="003F14A4" w:rsidRPr="00BE448F" w:rsidRDefault="003F14A4" w:rsidP="00CB7B22">
            <w:pPr>
              <w:spacing w:line="360" w:lineRule="auto"/>
              <w:jc w:val="both"/>
              <w:rPr>
                <w:rFonts w:ascii="Palatino Linotype" w:hAnsi="Palatino Linotype"/>
                <w:i/>
                <w:sz w:val="24"/>
                <w:szCs w:val="24"/>
                <w:lang w:val="es-ES_tradnl"/>
              </w:rPr>
            </w:pPr>
            <w:r w:rsidRPr="00BE448F">
              <w:rPr>
                <w:rFonts w:ascii="Palatino Linotype" w:hAnsi="Palatino Linotype"/>
                <w:b/>
                <w:i/>
                <w:sz w:val="24"/>
                <w:szCs w:val="24"/>
                <w:lang w:val="es-ES_tradnl"/>
              </w:rPr>
              <w:t>-</w:t>
            </w:r>
            <w:r w:rsidRPr="00BE448F">
              <w:rPr>
                <w:rFonts w:ascii="Palatino Linotype" w:hAnsi="Palatino Linotype"/>
                <w:i/>
                <w:sz w:val="24"/>
                <w:szCs w:val="24"/>
                <w:lang w:val="es-ES_tradnl"/>
              </w:rPr>
              <w:t xml:space="preserve">El Acta de la Décimo Segunda Sesión Extraordinaria 2020 del Comité de Transparencia del Ayuntamiento Constitucional de Tecámac 2019-2021, de fecha veinticuatro (24) de agosto del año 2020, suscrita por el Contralor Municipal, el Titular de </w:t>
            </w:r>
            <w:r w:rsidRPr="00BE448F">
              <w:rPr>
                <w:rFonts w:ascii="Palatino Linotype" w:hAnsi="Palatino Linotype"/>
                <w:i/>
                <w:sz w:val="24"/>
                <w:szCs w:val="24"/>
                <w:lang w:val="es-ES_tradnl"/>
              </w:rPr>
              <w:lastRenderedPageBreak/>
              <w:t xml:space="preserve">Archivo Municipal, el Coordinador General de Administración y la Directora General Jurídica y Consultiva mediante la cual se aprueba el acuerdo </w:t>
            </w:r>
            <w:r w:rsidRPr="00BE448F">
              <w:rPr>
                <w:rFonts w:ascii="Palatino Linotype" w:hAnsi="Palatino Linotype"/>
                <w:b/>
                <w:i/>
                <w:sz w:val="24"/>
                <w:szCs w:val="24"/>
                <w:lang w:val="es-ES_tradnl"/>
              </w:rPr>
              <w:t xml:space="preserve">055/TECAMAC/CT/2020 </w:t>
            </w:r>
            <w:r w:rsidRPr="00BE448F">
              <w:rPr>
                <w:rFonts w:ascii="Palatino Linotype" w:hAnsi="Palatino Linotype"/>
                <w:i/>
                <w:sz w:val="24"/>
                <w:szCs w:val="24"/>
                <w:lang w:val="es-ES_tradnl"/>
              </w:rPr>
              <w:t xml:space="preserve">por medio del cual se clasifica como reservada la información solicitada.  </w:t>
            </w:r>
          </w:p>
          <w:p w14:paraId="0EB71ADD" w14:textId="77777777" w:rsidR="00D62AB1" w:rsidRPr="00BE448F" w:rsidRDefault="00D62AB1" w:rsidP="00CB7B22">
            <w:pPr>
              <w:spacing w:line="360" w:lineRule="auto"/>
              <w:jc w:val="both"/>
              <w:rPr>
                <w:rFonts w:ascii="Palatino Linotype" w:hAnsi="Palatino Linotype"/>
                <w:i/>
                <w:sz w:val="24"/>
                <w:szCs w:val="24"/>
                <w:lang w:val="es-ES_tradnl"/>
              </w:rPr>
            </w:pPr>
          </w:p>
          <w:p w14:paraId="218E5718" w14:textId="67069644" w:rsidR="005351C0" w:rsidRPr="00BE448F" w:rsidRDefault="003F14A4" w:rsidP="00CB7B22">
            <w:pPr>
              <w:spacing w:line="360" w:lineRule="auto"/>
              <w:jc w:val="both"/>
              <w:rPr>
                <w:rFonts w:ascii="Palatino Linotype" w:hAnsi="Palatino Linotype"/>
                <w:i/>
                <w:sz w:val="24"/>
                <w:szCs w:val="24"/>
                <w:lang w:val="es-ES_tradnl"/>
              </w:rPr>
            </w:pPr>
            <w:r w:rsidRPr="00BE448F">
              <w:rPr>
                <w:rFonts w:ascii="Palatino Linotype" w:hAnsi="Palatino Linotype"/>
                <w:i/>
                <w:sz w:val="24"/>
                <w:szCs w:val="24"/>
                <w:lang w:val="es-ES_tradnl"/>
              </w:rPr>
              <w:t>-</w:t>
            </w:r>
            <w:r w:rsidR="00F14835" w:rsidRPr="00BE448F">
              <w:rPr>
                <w:rFonts w:ascii="Palatino Linotype" w:hAnsi="Palatino Linotype"/>
                <w:i/>
                <w:sz w:val="24"/>
                <w:szCs w:val="24"/>
                <w:lang w:val="es-ES_tradnl"/>
              </w:rPr>
              <w:t xml:space="preserve"> </w:t>
            </w:r>
            <w:r w:rsidRPr="00BE448F">
              <w:rPr>
                <w:rFonts w:ascii="Palatino Linotype" w:hAnsi="Palatino Linotype"/>
                <w:i/>
                <w:sz w:val="24"/>
                <w:szCs w:val="24"/>
                <w:lang w:val="es-ES_tradnl"/>
              </w:rPr>
              <w:t xml:space="preserve">Acuerdo </w:t>
            </w:r>
            <w:r w:rsidRPr="00BE448F">
              <w:rPr>
                <w:rFonts w:ascii="Palatino Linotype" w:hAnsi="Palatino Linotype"/>
                <w:b/>
                <w:i/>
                <w:sz w:val="24"/>
                <w:szCs w:val="24"/>
                <w:lang w:val="es-ES_tradnl"/>
              </w:rPr>
              <w:t xml:space="preserve">0055/TECAMAC/CT/2020 </w:t>
            </w:r>
            <w:r w:rsidRPr="00BE448F">
              <w:rPr>
                <w:rFonts w:ascii="Palatino Linotype" w:hAnsi="Palatino Linotype"/>
                <w:i/>
                <w:sz w:val="24"/>
                <w:szCs w:val="24"/>
                <w:lang w:val="es-ES_tradnl"/>
              </w:rPr>
              <w:t xml:space="preserve">mediante el cual se exponen las razones de manera fundada y motivada por las cuales se considera que la información solicitada no es susceptible de entrega al ser clasificada como reservada.  </w:t>
            </w:r>
            <w:r w:rsidR="00F14835" w:rsidRPr="00BE448F">
              <w:rPr>
                <w:rFonts w:ascii="Palatino Linotype" w:hAnsi="Palatino Linotype"/>
                <w:i/>
                <w:sz w:val="24"/>
                <w:szCs w:val="24"/>
                <w:lang w:val="es-ES_tradnl"/>
              </w:rPr>
              <w:t xml:space="preserve"> </w:t>
            </w:r>
          </w:p>
          <w:p w14:paraId="1BD218BD" w14:textId="0E5E7529" w:rsidR="003F14A4" w:rsidRPr="00BE448F" w:rsidRDefault="003F14A4" w:rsidP="00CB7B22">
            <w:pPr>
              <w:spacing w:line="360" w:lineRule="auto"/>
              <w:jc w:val="both"/>
              <w:rPr>
                <w:rFonts w:ascii="Palatino Linotype" w:hAnsi="Palatino Linotype"/>
                <w:sz w:val="24"/>
                <w:szCs w:val="24"/>
                <w:lang w:val="es-ES"/>
              </w:rPr>
            </w:pPr>
          </w:p>
        </w:tc>
        <w:tc>
          <w:tcPr>
            <w:tcW w:w="1209" w:type="dxa"/>
          </w:tcPr>
          <w:p w14:paraId="660BCE8B" w14:textId="77777777" w:rsidR="003F14A4" w:rsidRPr="00BE448F" w:rsidRDefault="003F14A4" w:rsidP="00CB7B22">
            <w:pPr>
              <w:spacing w:line="360" w:lineRule="auto"/>
              <w:rPr>
                <w:rFonts w:ascii="Palatino Linotype" w:hAnsi="Palatino Linotype"/>
                <w:sz w:val="24"/>
                <w:szCs w:val="24"/>
              </w:rPr>
            </w:pPr>
          </w:p>
          <w:p w14:paraId="6DFF9A10" w14:textId="77777777" w:rsidR="003F14A4" w:rsidRPr="00BE448F" w:rsidRDefault="003F14A4" w:rsidP="00CB7B22">
            <w:pPr>
              <w:spacing w:line="360" w:lineRule="auto"/>
              <w:rPr>
                <w:rFonts w:ascii="Palatino Linotype" w:hAnsi="Palatino Linotype"/>
                <w:sz w:val="24"/>
                <w:szCs w:val="24"/>
              </w:rPr>
            </w:pPr>
          </w:p>
          <w:p w14:paraId="01C6436A" w14:textId="77777777" w:rsidR="003F14A4" w:rsidRPr="00BE448F" w:rsidRDefault="003F14A4" w:rsidP="00CB7B22">
            <w:pPr>
              <w:tabs>
                <w:tab w:val="left" w:pos="930"/>
                <w:tab w:val="center" w:pos="1026"/>
              </w:tabs>
              <w:spacing w:line="360" w:lineRule="auto"/>
              <w:jc w:val="center"/>
              <w:rPr>
                <w:rFonts w:ascii="Palatino Linotype" w:hAnsi="Palatino Linotype"/>
                <w:sz w:val="24"/>
                <w:szCs w:val="24"/>
              </w:rPr>
            </w:pPr>
          </w:p>
          <w:p w14:paraId="2E14E6B1" w14:textId="77777777" w:rsidR="003F14A4" w:rsidRPr="00BE448F" w:rsidRDefault="003F14A4" w:rsidP="00CB7B22">
            <w:pPr>
              <w:tabs>
                <w:tab w:val="left" w:pos="930"/>
                <w:tab w:val="center" w:pos="1026"/>
              </w:tabs>
              <w:spacing w:line="360" w:lineRule="auto"/>
              <w:jc w:val="center"/>
              <w:rPr>
                <w:rFonts w:ascii="Palatino Linotype" w:hAnsi="Palatino Linotype"/>
                <w:sz w:val="24"/>
                <w:szCs w:val="24"/>
              </w:rPr>
            </w:pPr>
          </w:p>
          <w:p w14:paraId="49A9CBBE"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11FA1550"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42105702"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07E6C35E"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3AE1A63F"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7DB38218"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6A92D04C"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1D4DDDEF" w14:textId="77777777" w:rsidR="00DF6473" w:rsidRPr="00BE448F" w:rsidRDefault="00DF6473" w:rsidP="00CB7B22">
            <w:pPr>
              <w:tabs>
                <w:tab w:val="left" w:pos="930"/>
                <w:tab w:val="center" w:pos="1026"/>
              </w:tabs>
              <w:spacing w:line="360" w:lineRule="auto"/>
              <w:jc w:val="center"/>
              <w:rPr>
                <w:rFonts w:ascii="Palatino Linotype" w:hAnsi="Palatino Linotype"/>
                <w:sz w:val="24"/>
                <w:szCs w:val="24"/>
              </w:rPr>
            </w:pPr>
          </w:p>
          <w:p w14:paraId="72E2DC15" w14:textId="77777777" w:rsidR="003F14A4" w:rsidRPr="00BE448F" w:rsidRDefault="003F14A4" w:rsidP="00CB7B22">
            <w:pPr>
              <w:tabs>
                <w:tab w:val="left" w:pos="930"/>
                <w:tab w:val="center" w:pos="1026"/>
              </w:tabs>
              <w:spacing w:line="360" w:lineRule="auto"/>
              <w:jc w:val="center"/>
              <w:rPr>
                <w:rFonts w:ascii="Palatino Linotype" w:hAnsi="Palatino Linotype"/>
                <w:sz w:val="24"/>
                <w:szCs w:val="24"/>
              </w:rPr>
            </w:pPr>
            <w:r w:rsidRPr="00BE448F">
              <w:rPr>
                <w:rFonts w:ascii="Palatino Linotype" w:hAnsi="Palatino Linotype"/>
                <w:sz w:val="24"/>
                <w:szCs w:val="24"/>
              </w:rPr>
              <w:t>NO</w:t>
            </w:r>
          </w:p>
        </w:tc>
      </w:tr>
    </w:tbl>
    <w:p w14:paraId="27D6E3CA" w14:textId="77777777" w:rsidR="003F14A4" w:rsidRPr="00BE448F" w:rsidRDefault="003F14A4" w:rsidP="00CB7B22">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634D215A" w14:textId="7AF04E20" w:rsidR="003D734F" w:rsidRPr="00BE448F" w:rsidRDefault="003F14A4" w:rsidP="00CB7B22">
      <w:pPr>
        <w:widowControl w:val="0"/>
        <w:numPr>
          <w:ilvl w:val="0"/>
          <w:numId w:val="1"/>
        </w:numPr>
        <w:autoSpaceDE w:val="0"/>
        <w:autoSpaceDN w:val="0"/>
        <w:adjustRightInd w:val="0"/>
        <w:spacing w:before="240" w:after="240" w:line="360" w:lineRule="auto"/>
        <w:ind w:left="0" w:firstLine="0"/>
        <w:contextualSpacing/>
        <w:jc w:val="both"/>
        <w:rPr>
          <w:rFonts w:ascii="Palatino Linotype" w:hAnsi="Palatino Linotype"/>
          <w:color w:val="000000" w:themeColor="text1"/>
        </w:rPr>
      </w:pPr>
      <w:r w:rsidRPr="00BE448F">
        <w:rPr>
          <w:rFonts w:ascii="Palatino Linotype" w:eastAsia="Times New Roman" w:hAnsi="Palatino Linotype" w:cs="Arial"/>
          <w:color w:val="000000"/>
        </w:rPr>
        <w:t>Puntualizado lo anterior es necesario señalar que las razones o motivos de inconformidad aducidas por el particular devienen</w:t>
      </w:r>
      <w:r w:rsidR="00DF6473" w:rsidRPr="00BE448F">
        <w:rPr>
          <w:rFonts w:ascii="Palatino Linotype" w:eastAsia="Times New Roman" w:hAnsi="Palatino Linotype" w:cs="Arial"/>
          <w:color w:val="000000"/>
        </w:rPr>
        <w:t xml:space="preserve"> parcialmente </w:t>
      </w:r>
      <w:r w:rsidRPr="00BE448F">
        <w:rPr>
          <w:rFonts w:ascii="Palatino Linotype" w:eastAsia="Times New Roman" w:hAnsi="Palatino Linotype" w:cs="Arial"/>
          <w:color w:val="000000"/>
        </w:rPr>
        <w:t xml:space="preserve">fundadas </w:t>
      </w:r>
      <w:r w:rsidR="00DF6473" w:rsidRPr="00BE448F">
        <w:rPr>
          <w:rFonts w:ascii="Palatino Linotype" w:eastAsia="Times New Roman" w:hAnsi="Palatino Linotype" w:cs="Arial"/>
          <w:color w:val="000000"/>
        </w:rPr>
        <w:t xml:space="preserve">toda vez </w:t>
      </w:r>
      <w:r w:rsidR="00DF6473" w:rsidRPr="00BE448F">
        <w:rPr>
          <w:rFonts w:ascii="Palatino Linotype" w:eastAsia="Times New Roman" w:hAnsi="Palatino Linotype" w:cs="Arial"/>
          <w:color w:val="000000"/>
        </w:rPr>
        <w:lastRenderedPageBreak/>
        <w:t>según se advierte no es posible entregar la información solicitada con el grado de desagregación requerido</w:t>
      </w:r>
      <w:r w:rsidRPr="00BE448F">
        <w:rPr>
          <w:rFonts w:ascii="Palatino Linotype" w:eastAsia="Times New Roman" w:hAnsi="Palatino Linotype" w:cs="Arial"/>
          <w:color w:val="000000"/>
        </w:rPr>
        <w:t>,</w:t>
      </w:r>
      <w:r w:rsidR="00DF6473" w:rsidRPr="00BE448F">
        <w:rPr>
          <w:rFonts w:ascii="Palatino Linotype" w:eastAsia="Times New Roman" w:hAnsi="Palatino Linotype" w:cs="Arial"/>
          <w:color w:val="000000"/>
        </w:rPr>
        <w:t xml:space="preserve"> de conformidad con lo que se expone a continuación.</w:t>
      </w:r>
    </w:p>
    <w:p w14:paraId="1FB49424" w14:textId="77777777" w:rsidR="004F1527" w:rsidRPr="00BE448F" w:rsidRDefault="004F1527" w:rsidP="00CB7B22">
      <w:pPr>
        <w:widowControl w:val="0"/>
        <w:autoSpaceDE w:val="0"/>
        <w:autoSpaceDN w:val="0"/>
        <w:adjustRightInd w:val="0"/>
        <w:spacing w:before="240" w:after="240" w:line="360" w:lineRule="auto"/>
        <w:contextualSpacing/>
        <w:jc w:val="both"/>
        <w:rPr>
          <w:rFonts w:ascii="Palatino Linotype" w:hAnsi="Palatino Linotype"/>
          <w:color w:val="000000" w:themeColor="text1"/>
        </w:rPr>
      </w:pPr>
    </w:p>
    <w:p w14:paraId="02242428" w14:textId="5E363BAC" w:rsidR="003D734F" w:rsidRPr="00BE448F" w:rsidRDefault="004F1527" w:rsidP="00CB7B22">
      <w:pPr>
        <w:numPr>
          <w:ilvl w:val="0"/>
          <w:numId w:val="1"/>
        </w:numPr>
        <w:spacing w:before="240" w:after="240" w:line="360" w:lineRule="auto"/>
        <w:ind w:left="0" w:firstLine="0"/>
        <w:contextualSpacing/>
        <w:jc w:val="both"/>
        <w:rPr>
          <w:rFonts w:ascii="Palatino Linotype" w:hAnsi="Palatino Linotype"/>
          <w:b/>
          <w:color w:val="000000" w:themeColor="text1"/>
        </w:rPr>
      </w:pPr>
      <w:r w:rsidRPr="00BE448F">
        <w:rPr>
          <w:rFonts w:ascii="Palatino Linotype" w:hAnsi="Palatino Linotype" w:cs="Arial"/>
          <w:lang w:val="es-MX"/>
        </w:rPr>
        <w:t>Así las cosas</w:t>
      </w:r>
      <w:r w:rsidR="00DF6473" w:rsidRPr="00BE448F">
        <w:rPr>
          <w:rFonts w:ascii="Palatino Linotype" w:hAnsi="Palatino Linotype" w:cs="Arial"/>
          <w:lang w:val="es-MX"/>
        </w:rPr>
        <w:t>, p</w:t>
      </w:r>
      <w:r w:rsidR="003D734F" w:rsidRPr="00BE448F">
        <w:rPr>
          <w:rFonts w:ascii="Palatino Linotype" w:hAnsi="Palatino Linotype" w:cs="Arial"/>
          <w:lang w:val="es-MX"/>
        </w:rPr>
        <w:t xml:space="preserve">ara </w:t>
      </w:r>
      <w:r w:rsidR="003D734F" w:rsidRPr="00BE448F">
        <w:rPr>
          <w:rFonts w:ascii="Palatino Linotype" w:hAnsi="Palatino Linotype" w:cs="Arial"/>
        </w:rPr>
        <w:t xml:space="preserve">entender los alcances de la información pública se considera importante citar el criterio </w:t>
      </w:r>
      <w:r w:rsidR="003D734F" w:rsidRPr="00BE448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3D734F" w:rsidRPr="00BE448F">
        <w:rPr>
          <w:rFonts w:ascii="Palatino Linotype" w:hAnsi="Palatino Linotype" w:cs="Arial"/>
        </w:rPr>
        <w:t>cuyo rubro y texto dispone:</w:t>
      </w:r>
    </w:p>
    <w:p w14:paraId="13919354" w14:textId="77777777" w:rsidR="003D734F" w:rsidRPr="00BE448F" w:rsidRDefault="003D734F" w:rsidP="00CB7B22">
      <w:pPr>
        <w:spacing w:before="240" w:after="240" w:line="360" w:lineRule="auto"/>
        <w:contextualSpacing/>
        <w:jc w:val="both"/>
        <w:rPr>
          <w:rFonts w:ascii="Palatino Linotype" w:hAnsi="Palatino Linotype"/>
          <w:b/>
          <w:color w:val="000000" w:themeColor="text1"/>
        </w:rPr>
      </w:pPr>
    </w:p>
    <w:p w14:paraId="590BFEFC" w14:textId="77777777" w:rsidR="003D734F" w:rsidRPr="00BE448F" w:rsidRDefault="003D734F" w:rsidP="00CB7B22">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BE448F">
        <w:rPr>
          <w:rFonts w:ascii="Palatino Linotype" w:hAnsi="Palatino Linotype" w:cs="Arial"/>
          <w:b/>
          <w:i/>
          <w:sz w:val="22"/>
          <w:szCs w:val="22"/>
          <w:lang w:val="es-MX" w:eastAsia="es-MX"/>
        </w:rPr>
        <w:t>“CRITERIO 0002-11</w:t>
      </w:r>
    </w:p>
    <w:p w14:paraId="3C41FFEF" w14:textId="77777777" w:rsidR="003D734F" w:rsidRPr="00BE448F" w:rsidRDefault="003D734F" w:rsidP="00CB7B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E448F">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BE448F">
        <w:rPr>
          <w:rFonts w:ascii="Palatino Linotype" w:hAnsi="Palatino Linotype" w:cs="Arial"/>
          <w:b/>
          <w:bCs/>
          <w:i/>
          <w:sz w:val="22"/>
          <w:szCs w:val="22"/>
          <w:lang w:val="es-MX" w:eastAsia="es-MX"/>
        </w:rPr>
        <w:t xml:space="preserve">V, XV, Y XVI, </w:t>
      </w:r>
      <w:r w:rsidRPr="00BE448F">
        <w:rPr>
          <w:rFonts w:ascii="Palatino Linotype" w:hAnsi="Palatino Linotype" w:cs="Arial"/>
          <w:b/>
          <w:i/>
          <w:sz w:val="22"/>
          <w:szCs w:val="22"/>
          <w:lang w:val="es-MX" w:eastAsia="es-MX"/>
        </w:rPr>
        <w:t>3, 4,11 Y 41.</w:t>
      </w:r>
      <w:r w:rsidRPr="00BE448F">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044D5D" w14:textId="77777777" w:rsidR="003D734F" w:rsidRPr="00BE448F" w:rsidRDefault="003D734F" w:rsidP="00CB7B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E448F">
        <w:rPr>
          <w:rFonts w:ascii="Palatino Linotype" w:hAnsi="Palatino Linotype" w:cs="Arial"/>
          <w:i/>
          <w:sz w:val="22"/>
          <w:szCs w:val="22"/>
          <w:lang w:val="es-MX" w:eastAsia="es-MX"/>
        </w:rPr>
        <w:t>En consecuencia el acceso a la información se refiere a que se cumplan cualquiera de los siguientes tres supuestos:</w:t>
      </w:r>
    </w:p>
    <w:p w14:paraId="7F18C4F2" w14:textId="77777777" w:rsidR="003D734F" w:rsidRPr="00BE448F" w:rsidRDefault="003D734F" w:rsidP="00CB7B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E448F">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744861C9" w14:textId="77777777" w:rsidR="003D734F" w:rsidRPr="00BE448F" w:rsidRDefault="003D734F" w:rsidP="00CB7B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BE448F">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17DC4F30" w14:textId="77777777" w:rsidR="003D734F" w:rsidRPr="00BE448F" w:rsidRDefault="003D734F" w:rsidP="00CB7B22">
      <w:pPr>
        <w:spacing w:line="360" w:lineRule="auto"/>
        <w:ind w:left="567" w:right="567"/>
        <w:jc w:val="both"/>
        <w:rPr>
          <w:rFonts w:ascii="Palatino Linotype" w:hAnsi="Palatino Linotype" w:cs="Arial"/>
          <w:i/>
          <w:color w:val="000000" w:themeColor="text1"/>
          <w:sz w:val="22"/>
          <w:szCs w:val="22"/>
        </w:rPr>
      </w:pPr>
      <w:r w:rsidRPr="00BE448F">
        <w:rPr>
          <w:rFonts w:ascii="Palatino Linotype" w:hAnsi="Palatino Linotype" w:cs="Arial"/>
          <w:i/>
          <w:sz w:val="22"/>
          <w:szCs w:val="22"/>
          <w:lang w:val="es-MX" w:eastAsia="es-MX"/>
        </w:rPr>
        <w:lastRenderedPageBreak/>
        <w:t>Que se trate de información registrada en cualquier soporte documental, que en ejercicio de las atribuciones conferidas, se encuentre en posesión de los Sujetos Obligados.”</w:t>
      </w:r>
    </w:p>
    <w:p w14:paraId="50A7050F" w14:textId="77777777" w:rsidR="003D734F" w:rsidRPr="00BE448F" w:rsidRDefault="003D734F" w:rsidP="00CB7B22">
      <w:pPr>
        <w:spacing w:before="240" w:after="240" w:line="360" w:lineRule="auto"/>
        <w:contextualSpacing/>
        <w:jc w:val="both"/>
        <w:rPr>
          <w:rFonts w:ascii="Palatino Linotype" w:hAnsi="Palatino Linotype"/>
          <w:b/>
          <w:color w:val="000000" w:themeColor="text1"/>
        </w:rPr>
      </w:pPr>
    </w:p>
    <w:p w14:paraId="6C1401A2" w14:textId="578A9FD4" w:rsidR="003D734F" w:rsidRPr="00BE448F" w:rsidRDefault="003D734F" w:rsidP="00CB7B22">
      <w:pPr>
        <w:numPr>
          <w:ilvl w:val="0"/>
          <w:numId w:val="1"/>
        </w:numPr>
        <w:spacing w:before="240" w:after="240" w:line="360" w:lineRule="auto"/>
        <w:ind w:left="0" w:firstLine="0"/>
        <w:contextualSpacing/>
        <w:jc w:val="both"/>
        <w:rPr>
          <w:rFonts w:ascii="Palatino Linotype" w:hAnsi="Palatino Linotype"/>
          <w:b/>
          <w:color w:val="000000" w:themeColor="text1"/>
        </w:rPr>
      </w:pPr>
      <w:r w:rsidRPr="00BE448F">
        <w:rPr>
          <w:rFonts w:ascii="Palatino Linotype" w:hAnsi="Palatino Linotype" w:cs="Arial"/>
          <w:lang w:val="es-MX"/>
        </w:rPr>
        <w:t xml:space="preserve">Es </w:t>
      </w:r>
      <w:r w:rsidRPr="00BE448F">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E448F">
        <w:rPr>
          <w:rStyle w:val="Refdenotaalpie"/>
          <w:rFonts w:ascii="Palatino Linotype" w:hAnsi="Palatino Linotype"/>
          <w:lang w:val="es-ES"/>
        </w:rPr>
        <w:footnoteReference w:id="6"/>
      </w:r>
      <w:r w:rsidRPr="00BE448F">
        <w:rPr>
          <w:rFonts w:ascii="Palatino Linotype" w:hAnsi="Palatino Linotype"/>
          <w:lang w:val="es-ES"/>
        </w:rPr>
        <w:t xml:space="preserve"> y máxima publicidad</w:t>
      </w:r>
      <w:r w:rsidR="003C20EF" w:rsidRPr="00BE448F">
        <w:rPr>
          <w:rFonts w:ascii="Palatino Linotype" w:hAnsi="Palatino Linotype"/>
          <w:lang w:val="es-ES"/>
        </w:rPr>
        <w:t>;</w:t>
      </w:r>
      <w:r w:rsidRPr="00BE448F">
        <w:rPr>
          <w:rFonts w:ascii="Palatino Linotype" w:hAnsi="Palatino Linotype"/>
          <w:lang w:val="es-ES"/>
        </w:rPr>
        <w:t xml:space="preserve">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DAB7591" w14:textId="77777777" w:rsidR="003D734F" w:rsidRPr="00BE448F" w:rsidRDefault="003D734F" w:rsidP="00CB7B22">
      <w:pPr>
        <w:spacing w:before="240" w:after="240" w:line="360" w:lineRule="auto"/>
        <w:contextualSpacing/>
        <w:jc w:val="both"/>
        <w:rPr>
          <w:rFonts w:ascii="Palatino Linotype" w:hAnsi="Palatino Linotype"/>
          <w:b/>
          <w:color w:val="000000" w:themeColor="text1"/>
        </w:rPr>
      </w:pPr>
    </w:p>
    <w:p w14:paraId="39A55AA6" w14:textId="591C2DBB" w:rsidR="003D734F" w:rsidRPr="00BE448F" w:rsidRDefault="003D734F" w:rsidP="00CB7B22">
      <w:pPr>
        <w:numPr>
          <w:ilvl w:val="0"/>
          <w:numId w:val="1"/>
        </w:numPr>
        <w:spacing w:before="240" w:after="240" w:line="360" w:lineRule="auto"/>
        <w:ind w:left="0" w:firstLine="0"/>
        <w:contextualSpacing/>
        <w:jc w:val="both"/>
        <w:rPr>
          <w:rFonts w:ascii="Palatino Linotype" w:hAnsi="Palatino Linotype"/>
          <w:b/>
          <w:color w:val="000000" w:themeColor="text1"/>
        </w:rPr>
      </w:pPr>
      <w:r w:rsidRPr="00BE448F">
        <w:rPr>
          <w:rFonts w:ascii="Palatino Linotype" w:hAnsi="Palatino Linotype" w:cs="Arial"/>
          <w:lang w:val="es-MX"/>
        </w:rPr>
        <w:t xml:space="preserve">Robustece </w:t>
      </w:r>
      <w:r w:rsidRPr="00BE448F">
        <w:rPr>
          <w:rFonts w:ascii="Palatino Linotype" w:hAnsi="Palatino Linotype"/>
          <w:lang w:val="es-ES"/>
        </w:rPr>
        <w:t>lo anterior la Tesis aislada identificada con la clave I.4º.A.40 A</w:t>
      </w:r>
      <w:r w:rsidR="00D1161F" w:rsidRPr="00BE448F">
        <w:rPr>
          <w:rFonts w:ascii="Palatino Linotype" w:hAnsi="Palatino Linotype"/>
          <w:lang w:val="es-ES"/>
        </w:rPr>
        <w:t>,</w:t>
      </w:r>
      <w:r w:rsidRPr="00BE448F">
        <w:rPr>
          <w:rFonts w:ascii="Palatino Linotype" w:hAnsi="Palatino Linotype"/>
          <w:lang w:val="es-ES"/>
        </w:rPr>
        <w:t xml:space="preserve"> del Cuarto Tribunal colegiado en Materia Administrativa del Primer Circuito, publicada en el Seminario Judicial de la Federación y su Gaceta en el libro XVIII, Marzo 2013, Página 1899.</w:t>
      </w:r>
    </w:p>
    <w:p w14:paraId="12ED9445" w14:textId="77777777" w:rsidR="003D734F" w:rsidRPr="00BE448F" w:rsidRDefault="003D734F" w:rsidP="00CB7B22">
      <w:pPr>
        <w:pStyle w:val="Prrafodelista"/>
        <w:tabs>
          <w:tab w:val="left" w:pos="851"/>
        </w:tabs>
        <w:spacing w:line="360" w:lineRule="auto"/>
        <w:ind w:left="567" w:right="567"/>
        <w:jc w:val="both"/>
        <w:rPr>
          <w:rFonts w:ascii="Palatino Linotype" w:hAnsi="Palatino Linotype"/>
          <w:i/>
          <w:sz w:val="22"/>
        </w:rPr>
      </w:pPr>
      <w:r w:rsidRPr="00BE448F">
        <w:rPr>
          <w:rFonts w:ascii="Palatino Linotype" w:hAnsi="Palatino Linotype"/>
          <w:b/>
          <w:i/>
          <w:sz w:val="22"/>
        </w:rPr>
        <w:t>ACCESO A LA INFORMACIÓN. IMPLICACIÓN DEL PRINCIPIO DE MÁXIMA PUBLICIDAD EN EL DERECHO FUNDAMENTAL RELATIVO.</w:t>
      </w:r>
      <w:r w:rsidRPr="00BE448F">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BE448F">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8C9C3C9" w14:textId="77777777" w:rsidR="003D734F" w:rsidRPr="00BE448F" w:rsidRDefault="003D734F" w:rsidP="00CB7B22">
      <w:pPr>
        <w:spacing w:before="240" w:after="240" w:line="360" w:lineRule="auto"/>
        <w:contextualSpacing/>
        <w:jc w:val="both"/>
        <w:rPr>
          <w:rFonts w:ascii="Palatino Linotype" w:hAnsi="Palatino Linotype"/>
          <w:b/>
          <w:color w:val="000000" w:themeColor="text1"/>
        </w:rPr>
      </w:pPr>
    </w:p>
    <w:p w14:paraId="6F92E783" w14:textId="73D0D4AD" w:rsidR="007D5832" w:rsidRPr="00BE448F" w:rsidRDefault="003C20EF" w:rsidP="00CB7B22">
      <w:pPr>
        <w:numPr>
          <w:ilvl w:val="0"/>
          <w:numId w:val="1"/>
        </w:numPr>
        <w:spacing w:before="240" w:after="240" w:line="360" w:lineRule="auto"/>
        <w:ind w:left="0" w:firstLine="0"/>
        <w:contextualSpacing/>
        <w:jc w:val="both"/>
        <w:rPr>
          <w:rFonts w:ascii="Palatino Linotype" w:hAnsi="Palatino Linotype"/>
          <w:b/>
          <w:color w:val="000000" w:themeColor="text1"/>
        </w:rPr>
      </w:pPr>
      <w:r w:rsidRPr="00BE448F">
        <w:rPr>
          <w:rFonts w:ascii="Palatino Linotype" w:hAnsi="Palatino Linotype" w:cs="Arial"/>
          <w:lang w:val="es-MX"/>
        </w:rPr>
        <w:t xml:space="preserve">Por otro lado, </w:t>
      </w:r>
      <w:r w:rsidR="00B30891" w:rsidRPr="00BE448F">
        <w:rPr>
          <w:rFonts w:ascii="Palatino Linotype" w:hAnsi="Palatino Linotype" w:cs="Arial"/>
          <w:lang w:val="es-MX"/>
        </w:rPr>
        <w:t xml:space="preserve">también debe reconocerse que el derecho de acceso a la información tiene un régimen de restricciones. La Relatoría de la Libertad de Expresión de la Corte Interamericana de Derechos Humanos, señala que </w:t>
      </w:r>
      <w:r w:rsidR="00942DD0" w:rsidRPr="00BE448F">
        <w:rPr>
          <w:rFonts w:ascii="Palatino Linotype" w:hAnsi="Palatino Linotype" w:cs="Arial"/>
          <w:lang w:val="es-MX"/>
        </w:rPr>
        <w:t>e</w:t>
      </w:r>
      <w:r w:rsidR="00B30891" w:rsidRPr="00BE448F">
        <w:rPr>
          <w:rFonts w:ascii="Palatino Linotype" w:hAnsi="Palatino Linotype" w:cs="Arial"/>
        </w:rPr>
        <w:t xml:space="preserve">l principio de máxima divulgación ordena diseñar un régimen jurídico en el cual la transparencia y el derecho de acceso a la información sean la regla general sometida a estrictas y limitadas excepciones. De este principio se derivan las siguientes </w:t>
      </w:r>
      <w:r w:rsidR="00B30891" w:rsidRPr="00BE448F">
        <w:rPr>
          <w:rFonts w:ascii="Palatino Linotype" w:hAnsi="Palatino Linotype" w:cs="Arial"/>
        </w:rPr>
        <w:lastRenderedPageBreak/>
        <w:t>consecuencias: (1) el derecho de acceso a la información debe estar sometido a un régimen limitado de excepciones, el cual debe ser interpretado de manera restrictiva, de forma tal que se favorezca el derecho de acceso a la información; (2) toda decisión negativa debe ser motivada y, en este sentido, corresponde al Estado la carga de probar que la información solicitada no puede ser revelada; y (3) ante una duda o un vacío legal, debe primar el derecho de acceso a la información.</w:t>
      </w:r>
      <w:r w:rsidR="00942DD0" w:rsidRPr="00BE448F">
        <w:rPr>
          <w:rStyle w:val="Refdenotaalpie"/>
          <w:rFonts w:ascii="Palatino Linotype" w:hAnsi="Palatino Linotype" w:cs="Arial"/>
        </w:rPr>
        <w:footnoteReference w:id="7"/>
      </w:r>
    </w:p>
    <w:p w14:paraId="1C4AC1E6" w14:textId="77777777" w:rsidR="00862E71" w:rsidRPr="00BE448F" w:rsidRDefault="00862E71" w:rsidP="00862E71">
      <w:pPr>
        <w:spacing w:before="240" w:after="240" w:line="360" w:lineRule="auto"/>
        <w:contextualSpacing/>
        <w:jc w:val="both"/>
        <w:rPr>
          <w:rFonts w:ascii="Palatino Linotype" w:hAnsi="Palatino Linotype"/>
          <w:b/>
          <w:color w:val="000000" w:themeColor="text1"/>
        </w:rPr>
      </w:pPr>
    </w:p>
    <w:p w14:paraId="43B66CB2" w14:textId="3B0FB872" w:rsidR="008A5237" w:rsidRPr="00BE448F" w:rsidRDefault="008A5237" w:rsidP="00B12F29">
      <w:pPr>
        <w:pStyle w:val="Ttulo1"/>
        <w:spacing w:line="360" w:lineRule="auto"/>
        <w:rPr>
          <w:b/>
        </w:rPr>
      </w:pPr>
      <w:bookmarkStart w:id="39" w:name="_Toc54877506"/>
      <w:r w:rsidRPr="00BE448F">
        <w:rPr>
          <w:b/>
        </w:rPr>
        <w:t>III. De la Suplencia Queja de la Información Solicitada.</w:t>
      </w:r>
      <w:bookmarkEnd w:id="39"/>
    </w:p>
    <w:p w14:paraId="1CB664EE" w14:textId="77777777" w:rsidR="00862E71" w:rsidRPr="00BE448F" w:rsidRDefault="00862E71" w:rsidP="00862E71">
      <w:pPr>
        <w:rPr>
          <w:lang w:val="es-MX" w:eastAsia="en-US"/>
        </w:rPr>
      </w:pPr>
    </w:p>
    <w:p w14:paraId="0C473BBC" w14:textId="17AF21C0" w:rsidR="008A5237" w:rsidRPr="00BE448F" w:rsidRDefault="008A5237" w:rsidP="00CB7B22">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BE448F">
        <w:rPr>
          <w:rFonts w:ascii="Palatino Linotype" w:eastAsia="Times New Roman" w:hAnsi="Palatino Linotype" w:cs="Arial"/>
        </w:rPr>
        <w:t xml:space="preserve">Expuesto lo anterior y para llevar a buen término la presente resolución, es necesario preciar que este Instituto de Transparencia como Órgano Garante se rige bajo los principios de eficacia, objetividad y profesionalismo de conformidad con el artículo 19 de la Ley de Transparencia y Acceso a la Información Pública del Estado de México y Municipios, como a continuación se observa: </w:t>
      </w:r>
    </w:p>
    <w:p w14:paraId="0F6B26A6" w14:textId="77777777" w:rsidR="00862E71" w:rsidRPr="00BE448F" w:rsidRDefault="00862E71" w:rsidP="00862E71">
      <w:pPr>
        <w:pStyle w:val="Prrafodelista"/>
        <w:spacing w:before="240" w:after="240" w:line="360" w:lineRule="auto"/>
        <w:ind w:left="0"/>
        <w:jc w:val="both"/>
        <w:rPr>
          <w:rFonts w:ascii="Palatino Linotype" w:hAnsi="Palatino Linotype"/>
          <w:b/>
          <w:color w:val="000000" w:themeColor="text1"/>
        </w:rPr>
      </w:pPr>
    </w:p>
    <w:p w14:paraId="56BE8205" w14:textId="46A5DEA9" w:rsidR="00962E3F" w:rsidRPr="00BE448F" w:rsidRDefault="00962E3F" w:rsidP="00CB7B22">
      <w:pPr>
        <w:spacing w:before="240" w:after="240" w:line="360" w:lineRule="auto"/>
        <w:ind w:left="567" w:right="616"/>
        <w:jc w:val="both"/>
        <w:rPr>
          <w:rFonts w:ascii="Palatino Linotype" w:hAnsi="Palatino Linotype"/>
          <w:i/>
          <w:color w:val="000000" w:themeColor="text1"/>
        </w:rPr>
      </w:pPr>
      <w:r w:rsidRPr="00BE448F">
        <w:rPr>
          <w:rFonts w:ascii="Palatino Linotype" w:hAnsi="Palatino Linotype"/>
          <w:i/>
          <w:color w:val="000000" w:themeColor="text1"/>
        </w:rPr>
        <w:t>“</w:t>
      </w:r>
      <w:r w:rsidR="008A5237" w:rsidRPr="00BE448F">
        <w:rPr>
          <w:rFonts w:ascii="Palatino Linotype" w:hAnsi="Palatino Linotype"/>
          <w:b/>
          <w:i/>
          <w:color w:val="000000" w:themeColor="text1"/>
        </w:rPr>
        <w:t>Artículo 9.</w:t>
      </w:r>
      <w:r w:rsidR="008A5237" w:rsidRPr="00BE448F">
        <w:rPr>
          <w:rFonts w:ascii="Palatino Linotype" w:hAnsi="Palatino Linotype"/>
          <w:i/>
          <w:color w:val="000000" w:themeColor="text1"/>
        </w:rPr>
        <w:t xml:space="preserve"> El Instituto deberá regir su funcionamiento de acuerdo a los siguientes principios: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33AE01F4" w14:textId="77777777" w:rsidR="00962E3F" w:rsidRPr="00BE448F" w:rsidRDefault="008A5237" w:rsidP="00CB7B22">
      <w:pPr>
        <w:spacing w:before="240" w:after="240" w:line="360" w:lineRule="auto"/>
        <w:ind w:left="567" w:right="616"/>
        <w:jc w:val="both"/>
        <w:rPr>
          <w:rFonts w:ascii="Palatino Linotype" w:hAnsi="Palatino Linotype"/>
          <w:b/>
          <w:i/>
          <w:color w:val="000000" w:themeColor="text1"/>
        </w:rPr>
      </w:pPr>
      <w:r w:rsidRPr="00BE448F">
        <w:rPr>
          <w:rFonts w:ascii="Palatino Linotype" w:hAnsi="Palatino Linotype"/>
          <w:b/>
          <w:i/>
          <w:color w:val="000000" w:themeColor="text1"/>
        </w:rPr>
        <w:lastRenderedPageBreak/>
        <w:t xml:space="preserve">II. Eficacia: Obligación del Instituto para tutelar, de manera efectiva, el derecho de acceso a la información; </w:t>
      </w:r>
    </w:p>
    <w:p w14:paraId="1A6FB3C4" w14:textId="77777777" w:rsidR="00962E3F" w:rsidRPr="00BE448F" w:rsidRDefault="008A5237" w:rsidP="00CB7B22">
      <w:pPr>
        <w:spacing w:before="240" w:after="240" w:line="360" w:lineRule="auto"/>
        <w:ind w:left="567" w:right="616"/>
        <w:jc w:val="both"/>
        <w:rPr>
          <w:rFonts w:ascii="Palatino Linotype" w:hAnsi="Palatino Linotype"/>
          <w:i/>
          <w:color w:val="000000" w:themeColor="text1"/>
        </w:rPr>
      </w:pPr>
      <w:r w:rsidRPr="00BE448F">
        <w:rPr>
          <w:rFonts w:ascii="Palatino Linotype" w:hAnsi="Palatino Linotype"/>
          <w:i/>
          <w:color w:val="000000" w:themeColor="text1"/>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7DCADBD2" w14:textId="77777777" w:rsidR="00962E3F" w:rsidRPr="00BE448F" w:rsidRDefault="008A5237" w:rsidP="00CB7B22">
      <w:pPr>
        <w:spacing w:before="240" w:after="240" w:line="360" w:lineRule="auto"/>
        <w:ind w:left="567" w:right="616"/>
        <w:jc w:val="both"/>
        <w:rPr>
          <w:rFonts w:ascii="Palatino Linotype" w:hAnsi="Palatino Linotype"/>
          <w:i/>
          <w:color w:val="000000" w:themeColor="text1"/>
        </w:rPr>
      </w:pPr>
      <w:r w:rsidRPr="00BE448F">
        <w:rPr>
          <w:rFonts w:ascii="Palatino Linotype" w:hAnsi="Palatino Linotype"/>
          <w:i/>
          <w:color w:val="000000" w:themeColor="text1"/>
        </w:rPr>
        <w:t xml:space="preserve"> IV. Imparcialidad: Cualidad que debe tener el Instituto respecto de sus actuaciones de ser ajenos o extraños a los intereses de las partes en controversia y resolver sin favorecer indebidamente a ninguna de ellas; </w:t>
      </w:r>
    </w:p>
    <w:p w14:paraId="7EBEF91A" w14:textId="77777777" w:rsidR="00962E3F" w:rsidRPr="00BE448F" w:rsidRDefault="008A5237" w:rsidP="00CB7B22">
      <w:pPr>
        <w:spacing w:before="240" w:after="240" w:line="360" w:lineRule="auto"/>
        <w:ind w:left="567" w:right="616"/>
        <w:jc w:val="both"/>
        <w:rPr>
          <w:rFonts w:ascii="Palatino Linotype" w:hAnsi="Palatino Linotype"/>
          <w:i/>
          <w:color w:val="000000" w:themeColor="text1"/>
        </w:rPr>
      </w:pPr>
      <w:r w:rsidRPr="00BE448F">
        <w:rPr>
          <w:rFonts w:ascii="Palatino Linotype" w:hAnsi="Palatino Linotype"/>
          <w:i/>
          <w:color w:val="000000" w:themeColor="text1"/>
        </w:rPr>
        <w:t xml:space="preserve">V. Independencia: Cualidad que debe tener el Instituto para actuar sin supeditarse a interés, autoridad o persona alguna; </w:t>
      </w:r>
    </w:p>
    <w:p w14:paraId="3D326B6D" w14:textId="77777777" w:rsidR="00962E3F" w:rsidRPr="00BE448F" w:rsidRDefault="008A5237" w:rsidP="00CB7B22">
      <w:pPr>
        <w:spacing w:before="240" w:after="240" w:line="360" w:lineRule="auto"/>
        <w:ind w:left="567" w:right="616"/>
        <w:jc w:val="both"/>
        <w:rPr>
          <w:rFonts w:ascii="Palatino Linotype" w:hAnsi="Palatino Linotype"/>
          <w:i/>
          <w:color w:val="000000" w:themeColor="text1"/>
        </w:rPr>
      </w:pPr>
      <w:r w:rsidRPr="00BE448F">
        <w:rPr>
          <w:rFonts w:ascii="Palatino Linotype" w:hAnsi="Palatino Linotype"/>
          <w:i/>
          <w:color w:val="000000" w:themeColor="text1"/>
        </w:rPr>
        <w:t>VI. Legalidad: Obligación del Instituto de ajustar su actuación, que funde y motive sus resoluciones y actos en las normas aplicables;</w:t>
      </w:r>
    </w:p>
    <w:p w14:paraId="63553B39" w14:textId="77777777" w:rsidR="00962E3F" w:rsidRPr="00BE448F" w:rsidRDefault="008A5237" w:rsidP="00CB7B22">
      <w:pPr>
        <w:spacing w:before="240" w:after="240" w:line="360" w:lineRule="auto"/>
        <w:ind w:left="567" w:right="616"/>
        <w:jc w:val="both"/>
        <w:rPr>
          <w:rFonts w:ascii="Palatino Linotype" w:hAnsi="Palatino Linotype"/>
          <w:i/>
          <w:color w:val="000000" w:themeColor="text1"/>
        </w:rPr>
      </w:pPr>
      <w:r w:rsidRPr="00BE448F">
        <w:rPr>
          <w:rFonts w:ascii="Palatino Linotype" w:hAnsi="Palatino Linotype"/>
          <w:i/>
          <w:color w:val="000000" w:themeColor="text1"/>
        </w:rPr>
        <w:t xml:space="preserve"> VII. Máxima Publicidad: Toda la información en posesión de los sujetos obligados será pública, completa, oportuna y accesible, sujeta a un claro régimen de excepciones que deberán estar definidas y ser además legítimas y estrictamente necesarias en una sociedad democrática; </w:t>
      </w:r>
    </w:p>
    <w:p w14:paraId="0E4AB2C2" w14:textId="77777777" w:rsidR="00962E3F" w:rsidRPr="00BE448F" w:rsidRDefault="008A5237" w:rsidP="00CB7B22">
      <w:pPr>
        <w:spacing w:before="240" w:after="240" w:line="360" w:lineRule="auto"/>
        <w:ind w:left="567" w:right="616"/>
        <w:jc w:val="both"/>
        <w:rPr>
          <w:rFonts w:ascii="Palatino Linotype" w:hAnsi="Palatino Linotype"/>
          <w:b/>
          <w:i/>
          <w:color w:val="000000" w:themeColor="text1"/>
        </w:rPr>
      </w:pPr>
      <w:r w:rsidRPr="00BE448F">
        <w:rPr>
          <w:rFonts w:ascii="Palatino Linotype" w:hAnsi="Palatino Linotype"/>
          <w:b/>
          <w:i/>
          <w:color w:val="000000" w:themeColor="text1"/>
        </w:rPr>
        <w:t xml:space="preserve">VIII. Objetividad: Obligación del Instituto de ajustar su actuación a los presupuestos de ley que deben ser aplicados al analizar el caso en concreto y resolver todos los hechos, prescindiendo de las consideraciones y criterios personales; </w:t>
      </w:r>
    </w:p>
    <w:p w14:paraId="5AA59E8D" w14:textId="77777777" w:rsidR="00962E3F" w:rsidRPr="00BE448F" w:rsidRDefault="008A5237" w:rsidP="00CB7B22">
      <w:pPr>
        <w:spacing w:before="240" w:after="240" w:line="360" w:lineRule="auto"/>
        <w:ind w:left="567" w:right="616"/>
        <w:jc w:val="both"/>
        <w:rPr>
          <w:rFonts w:ascii="Palatino Linotype" w:hAnsi="Palatino Linotype"/>
          <w:b/>
          <w:i/>
          <w:color w:val="000000" w:themeColor="text1"/>
        </w:rPr>
      </w:pPr>
      <w:r w:rsidRPr="00BE448F">
        <w:rPr>
          <w:rFonts w:ascii="Palatino Linotype" w:hAnsi="Palatino Linotype"/>
          <w:b/>
          <w:i/>
          <w:color w:val="000000" w:themeColor="text1"/>
        </w:rPr>
        <w:lastRenderedPageBreak/>
        <w:t xml:space="preserve">IX. Profesionalismo: Los servidores públicos que laboren en el Instituto deberán sujetar su actuación a conocimientos técnicos, teóricos y metodológicos que garanticen un desempeño eficiente y eficaz en el ejercicio de la función pública que tienen encomendada; </w:t>
      </w:r>
    </w:p>
    <w:p w14:paraId="34AE9133" w14:textId="5F9A5385" w:rsidR="008A5237" w:rsidRPr="00BE448F" w:rsidRDefault="008A5237" w:rsidP="00CB7B22">
      <w:pPr>
        <w:spacing w:before="240" w:after="240" w:line="360" w:lineRule="auto"/>
        <w:ind w:left="567" w:right="616"/>
        <w:jc w:val="both"/>
        <w:rPr>
          <w:rFonts w:ascii="Palatino Linotype" w:hAnsi="Palatino Linotype"/>
          <w:i/>
          <w:color w:val="000000" w:themeColor="text1"/>
        </w:rPr>
      </w:pPr>
      <w:proofErr w:type="gramStart"/>
      <w:r w:rsidRPr="00BE448F">
        <w:rPr>
          <w:rFonts w:ascii="Palatino Linotype" w:hAnsi="Palatino Linotype"/>
          <w:i/>
          <w:color w:val="000000" w:themeColor="text1"/>
        </w:rPr>
        <w:t>y</w:t>
      </w:r>
      <w:proofErr w:type="gramEnd"/>
      <w:r w:rsidRPr="00BE448F">
        <w:rPr>
          <w:rFonts w:ascii="Palatino Linotype" w:hAnsi="Palatino Linotype"/>
          <w:i/>
          <w:color w:val="000000" w:themeColor="text1"/>
        </w:rPr>
        <w:t xml:space="preserve"> X. Transparencia: Obligación del Instituto de dar publicidad a las deliberaciones y actos relacionados con sus atribuciones así como dar acceso a la información que generen.</w:t>
      </w:r>
      <w:r w:rsidR="00962E3F" w:rsidRPr="00BE448F">
        <w:rPr>
          <w:rFonts w:ascii="Palatino Linotype" w:hAnsi="Palatino Linotype"/>
          <w:i/>
          <w:color w:val="000000" w:themeColor="text1"/>
        </w:rPr>
        <w:t>”</w:t>
      </w:r>
    </w:p>
    <w:p w14:paraId="3B627F6D" w14:textId="77777777" w:rsidR="008A5237" w:rsidRPr="00BE448F" w:rsidRDefault="008A5237" w:rsidP="00CB7B22">
      <w:pPr>
        <w:pStyle w:val="Prrafodelista"/>
        <w:spacing w:before="240" w:after="240" w:line="360" w:lineRule="auto"/>
        <w:ind w:left="0"/>
        <w:jc w:val="both"/>
        <w:rPr>
          <w:rFonts w:ascii="Palatino Linotype" w:hAnsi="Palatino Linotype"/>
          <w:b/>
          <w:color w:val="000000" w:themeColor="text1"/>
        </w:rPr>
      </w:pPr>
    </w:p>
    <w:p w14:paraId="6BC866F3" w14:textId="23B39E8F" w:rsidR="008A5237" w:rsidRPr="00BE448F" w:rsidRDefault="008A5237" w:rsidP="00CB7B22">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BE448F">
        <w:rPr>
          <w:rFonts w:ascii="Palatino Linotype" w:eastAsia="Times New Roman" w:hAnsi="Palatino Linotype" w:cs="Arial"/>
        </w:rPr>
        <w:t xml:space="preserve">    </w:t>
      </w:r>
      <w:r w:rsidR="00962E3F" w:rsidRPr="00BE448F">
        <w:rPr>
          <w:rFonts w:ascii="Palatino Linotype" w:eastAsia="Times New Roman" w:hAnsi="Palatino Linotype" w:cs="Arial"/>
        </w:rPr>
        <w:t>Así, por cuanto hace a la solicitud de información</w:t>
      </w:r>
      <w:r w:rsidR="00962E3F" w:rsidRPr="00BE448F">
        <w:rPr>
          <w:rFonts w:ascii="Palatino Linotype" w:eastAsia="Times New Roman" w:hAnsi="Palatino Linotype" w:cs="Times New Roman"/>
          <w:i/>
          <w:color w:val="000000"/>
          <w:lang w:val="es-ES"/>
        </w:rPr>
        <w:t xml:space="preserve">, </w:t>
      </w:r>
      <w:r w:rsidRPr="00BE448F">
        <w:rPr>
          <w:rFonts w:ascii="Palatino Linotype" w:eastAsia="Calibri" w:hAnsi="Palatino Linotype" w:cs="Arial"/>
          <w:bCs/>
          <w:color w:val="000000"/>
        </w:rPr>
        <w:t>se observa que</w:t>
      </w:r>
      <w:r w:rsidR="00962E3F" w:rsidRPr="00BE448F">
        <w:rPr>
          <w:rFonts w:ascii="Palatino Linotype" w:eastAsia="Calibri" w:hAnsi="Palatino Linotype" w:cs="Arial"/>
          <w:bCs/>
          <w:color w:val="000000"/>
        </w:rPr>
        <w:t xml:space="preserve"> se requiere acceso a</w:t>
      </w:r>
      <w:r w:rsidR="007D5832" w:rsidRPr="00BE448F">
        <w:rPr>
          <w:rFonts w:ascii="Palatino Linotype" w:eastAsia="Calibri" w:hAnsi="Palatino Linotype" w:cs="Arial"/>
          <w:bCs/>
          <w:color w:val="000000"/>
        </w:rPr>
        <w:t xml:space="preserve"> la</w:t>
      </w:r>
      <w:r w:rsidR="00962E3F" w:rsidRPr="00BE448F">
        <w:rPr>
          <w:rFonts w:ascii="Palatino Linotype" w:eastAsia="Calibri" w:hAnsi="Palatino Linotype" w:cs="Arial"/>
          <w:bCs/>
          <w:color w:val="000000"/>
        </w:rPr>
        <w:t xml:space="preserve"> “</w:t>
      </w:r>
      <w:r w:rsidR="007D5832" w:rsidRPr="00BE448F">
        <w:rPr>
          <w:rFonts w:ascii="Palatino Linotype" w:hAnsi="Palatino Linotype"/>
          <w:i/>
          <w:color w:val="000000" w:themeColor="text1"/>
        </w:rPr>
        <w:t>…</w:t>
      </w:r>
      <w:r w:rsidR="00962E3F" w:rsidRPr="00BE448F">
        <w:rPr>
          <w:rFonts w:ascii="Palatino Linotype" w:hAnsi="Palatino Linotype"/>
          <w:i/>
          <w:color w:val="000000" w:themeColor="text1"/>
        </w:rPr>
        <w:t xml:space="preserve">información de todos los servidores públicos que hayan sido, apercibidos, amonestados, sancionados, multados e inhabilitados de sus funciones por la contraloría General municipal, del Estado o Federal y por la </w:t>
      </w:r>
      <w:proofErr w:type="spellStart"/>
      <w:r w:rsidR="00962E3F" w:rsidRPr="00BE448F">
        <w:rPr>
          <w:rFonts w:ascii="Palatino Linotype" w:hAnsi="Palatino Linotype"/>
          <w:i/>
          <w:color w:val="000000" w:themeColor="text1"/>
        </w:rPr>
        <w:t>contraloria</w:t>
      </w:r>
      <w:proofErr w:type="spellEnd"/>
      <w:r w:rsidR="00962E3F" w:rsidRPr="00BE448F">
        <w:rPr>
          <w:rFonts w:ascii="Palatino Linotype" w:hAnsi="Palatino Linotype"/>
          <w:i/>
          <w:color w:val="000000" w:themeColor="text1"/>
        </w:rPr>
        <w:t xml:space="preserve"> del INFOEM, tanto servidores públicos de la administración 2016-2018 y los de la administración 2019-2021. En esta información debe de especificar del actual y ex Servidor público, Nombre, cargo que realizaba cuando se suscitó la falta, </w:t>
      </w:r>
      <w:proofErr w:type="spellStart"/>
      <w:r w:rsidR="00962E3F" w:rsidRPr="00BE448F">
        <w:rPr>
          <w:rFonts w:ascii="Palatino Linotype" w:hAnsi="Palatino Linotype"/>
          <w:i/>
          <w:color w:val="000000" w:themeColor="text1"/>
        </w:rPr>
        <w:t>cual</w:t>
      </w:r>
      <w:proofErr w:type="spellEnd"/>
      <w:r w:rsidR="00962E3F" w:rsidRPr="00BE448F">
        <w:rPr>
          <w:rFonts w:ascii="Palatino Linotype" w:hAnsi="Palatino Linotype"/>
          <w:i/>
          <w:color w:val="000000" w:themeColor="text1"/>
        </w:rPr>
        <w:t xml:space="preserve"> fue su falta y omisión por la que fue procesado, el monto de la multa (si es el caso), y resolución de la contraloría para ejecutarla. ya que el contralor municipal </w:t>
      </w:r>
      <w:proofErr w:type="spellStart"/>
      <w:r w:rsidR="00962E3F" w:rsidRPr="00BE448F">
        <w:rPr>
          <w:rFonts w:ascii="Palatino Linotype" w:hAnsi="Palatino Linotype"/>
          <w:i/>
          <w:color w:val="000000" w:themeColor="text1"/>
        </w:rPr>
        <w:t>tambien</w:t>
      </w:r>
      <w:proofErr w:type="spellEnd"/>
      <w:r w:rsidR="00962E3F" w:rsidRPr="00BE448F">
        <w:rPr>
          <w:rFonts w:ascii="Palatino Linotype" w:hAnsi="Palatino Linotype"/>
          <w:i/>
          <w:color w:val="000000" w:themeColor="text1"/>
        </w:rPr>
        <w:t xml:space="preserve"> es el contralor de ODAPAS solicito </w:t>
      </w:r>
      <w:proofErr w:type="spellStart"/>
      <w:r w:rsidR="00962E3F" w:rsidRPr="00BE448F">
        <w:rPr>
          <w:rFonts w:ascii="Palatino Linotype" w:hAnsi="Palatino Linotype"/>
          <w:i/>
          <w:color w:val="000000" w:themeColor="text1"/>
        </w:rPr>
        <w:t>tambien</w:t>
      </w:r>
      <w:proofErr w:type="spellEnd"/>
      <w:r w:rsidR="00962E3F" w:rsidRPr="00BE448F">
        <w:rPr>
          <w:rFonts w:ascii="Palatino Linotype" w:hAnsi="Palatino Linotype"/>
          <w:i/>
          <w:color w:val="000000" w:themeColor="text1"/>
        </w:rPr>
        <w:t xml:space="preserve"> la relación con las mismas </w:t>
      </w:r>
      <w:proofErr w:type="spellStart"/>
      <w:r w:rsidR="00962E3F" w:rsidRPr="00BE448F">
        <w:rPr>
          <w:rFonts w:ascii="Palatino Linotype" w:hAnsi="Palatino Linotype"/>
          <w:i/>
          <w:color w:val="000000" w:themeColor="text1"/>
        </w:rPr>
        <w:t>caracteristicas</w:t>
      </w:r>
      <w:proofErr w:type="spellEnd"/>
      <w:r w:rsidR="00962E3F" w:rsidRPr="00BE448F">
        <w:rPr>
          <w:rFonts w:ascii="Palatino Linotype" w:hAnsi="Palatino Linotype"/>
          <w:i/>
          <w:color w:val="000000" w:themeColor="text1"/>
        </w:rPr>
        <w:t xml:space="preserve"> pero de servidores y ex servidores públicos de ODAPAS.”</w:t>
      </w:r>
      <w:r w:rsidRPr="00BE448F">
        <w:rPr>
          <w:rFonts w:ascii="Palatino Linotype" w:eastAsia="Calibri" w:hAnsi="Palatino Linotype" w:cs="Arial"/>
          <w:bCs/>
          <w:color w:val="000000"/>
        </w:rPr>
        <w:t xml:space="preserve"> la solicitud de informac</w:t>
      </w:r>
      <w:r w:rsidR="00962E3F" w:rsidRPr="00BE448F">
        <w:rPr>
          <w:rFonts w:ascii="Palatino Linotype" w:eastAsia="Calibri" w:hAnsi="Palatino Linotype" w:cs="Arial"/>
          <w:bCs/>
          <w:color w:val="000000"/>
        </w:rPr>
        <w:t>ión es  imprecisa por referir el tipo de faltas administrativas a las que se requiere acceso así como referir inexactamente que este instituto tiene la facultad de tramitar procedimientos de responsabilidad administrativa</w:t>
      </w:r>
      <w:r w:rsidRPr="00BE448F">
        <w:rPr>
          <w:rFonts w:ascii="Palatino Linotype" w:eastAsia="Calibri" w:hAnsi="Palatino Linotype" w:cs="Arial"/>
          <w:bCs/>
          <w:color w:val="000000"/>
        </w:rPr>
        <w:t xml:space="preserve">, así es necesario precisar que </w:t>
      </w:r>
      <w:r w:rsidRPr="00BE448F">
        <w:rPr>
          <w:rFonts w:ascii="Palatino Linotype" w:eastAsia="MS Mincho" w:hAnsi="Palatino Linotype" w:cs="Times New Roman"/>
        </w:rPr>
        <w:t xml:space="preserve">el particular al no ser experto en la materia, eventualmente pudiera no indicar correctamente la información que desea obtener, y siendo que </w:t>
      </w:r>
      <w:r w:rsidRPr="00BE448F">
        <w:rPr>
          <w:rFonts w:ascii="Palatino Linotype" w:eastAsia="MS Mincho" w:hAnsi="Palatino Linotype" w:cs="Times New Roman"/>
        </w:rPr>
        <w:lastRenderedPageBreak/>
        <w:t>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02226EE5" w14:textId="77777777" w:rsidR="008A5237" w:rsidRPr="00BE448F" w:rsidRDefault="008A5237" w:rsidP="00B12F29">
      <w:pPr>
        <w:tabs>
          <w:tab w:val="left" w:pos="5430"/>
        </w:tabs>
        <w:spacing w:before="240" w:after="240" w:line="360" w:lineRule="auto"/>
        <w:ind w:left="567" w:right="616"/>
        <w:contextualSpacing/>
        <w:jc w:val="both"/>
        <w:rPr>
          <w:rFonts w:ascii="Palatino Linotype" w:eastAsia="MS Mincho" w:hAnsi="Palatino Linotype" w:cs="Times New Roman"/>
        </w:rPr>
      </w:pPr>
      <w:r w:rsidRPr="00BE448F">
        <w:rPr>
          <w:rFonts w:ascii="Palatino Linotype" w:eastAsia="MS Mincho" w:hAnsi="Palatino Linotype" w:cs="Times New Roman"/>
        </w:rPr>
        <w:tab/>
      </w:r>
    </w:p>
    <w:p w14:paraId="7E04E8FB" w14:textId="77777777" w:rsidR="008A5237" w:rsidRPr="00BE448F" w:rsidRDefault="008A5237" w:rsidP="00B12F29">
      <w:pPr>
        <w:autoSpaceDE w:val="0"/>
        <w:autoSpaceDN w:val="0"/>
        <w:adjustRightInd w:val="0"/>
        <w:spacing w:after="160" w:line="360" w:lineRule="auto"/>
        <w:ind w:left="567" w:right="616"/>
        <w:jc w:val="both"/>
        <w:rPr>
          <w:rFonts w:ascii="Palatino Linotype" w:eastAsia="MS Mincho" w:hAnsi="Palatino Linotype" w:cs="Bookman Old Style"/>
          <w:i/>
          <w:sz w:val="22"/>
          <w:szCs w:val="22"/>
          <w:lang w:val="es-ES" w:eastAsia="en-US"/>
        </w:rPr>
      </w:pPr>
      <w:r w:rsidRPr="00BE448F">
        <w:rPr>
          <w:rFonts w:ascii="Palatino Linotype" w:eastAsia="MS Mincho" w:hAnsi="Palatino Linotype" w:cs="Bookman Old Style,Bold"/>
          <w:b/>
          <w:bCs/>
          <w:i/>
          <w:sz w:val="22"/>
          <w:szCs w:val="22"/>
          <w:lang w:val="es-ES" w:eastAsia="en-US"/>
        </w:rPr>
        <w:t xml:space="preserve">“Artículo 13. </w:t>
      </w:r>
      <w:r w:rsidRPr="00BE448F">
        <w:rPr>
          <w:rFonts w:ascii="Palatino Linotype" w:eastAsia="MS Mincho" w:hAnsi="Palatino Linotype" w:cs="Bookman Old Style"/>
          <w:i/>
          <w:sz w:val="22"/>
          <w:szCs w:val="22"/>
          <w:lang w:val="es-ES" w:eastAsia="en-US"/>
        </w:rPr>
        <w:t xml:space="preserve">El Instituto, en el ámbito de sus atribuciones, deberá </w:t>
      </w:r>
      <w:r w:rsidRPr="00BE448F">
        <w:rPr>
          <w:rFonts w:ascii="Palatino Linotype" w:eastAsia="MS Mincho" w:hAnsi="Palatino Linotype" w:cs="Bookman Old Style"/>
          <w:b/>
          <w:i/>
          <w:sz w:val="22"/>
          <w:szCs w:val="22"/>
          <w:lang w:val="es-ES" w:eastAsia="en-US"/>
        </w:rPr>
        <w:t xml:space="preserve">suplir cualquier deficiencia </w:t>
      </w:r>
      <w:r w:rsidRPr="00BE448F">
        <w:rPr>
          <w:rFonts w:ascii="Palatino Linotype" w:eastAsia="MS Mincho" w:hAnsi="Palatino Linotype" w:cs="Bookman Old Style"/>
          <w:i/>
          <w:sz w:val="22"/>
          <w:szCs w:val="22"/>
          <w:lang w:val="es-ES" w:eastAsia="en-US"/>
        </w:rPr>
        <w:t>para garantizar el ejercicio del derecho de acceso a la información.”</w:t>
      </w:r>
    </w:p>
    <w:p w14:paraId="1D6AE252" w14:textId="77777777" w:rsidR="008A5237" w:rsidRPr="00BE448F" w:rsidRDefault="008A5237" w:rsidP="00B12F29">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BE448F">
        <w:rPr>
          <w:rFonts w:ascii="Palatino Linotype" w:eastAsia="MS Mincho" w:hAnsi="Palatino Linotype" w:cs="Times New Roman"/>
          <w:i/>
          <w:color w:val="000000"/>
          <w:sz w:val="22"/>
          <w:szCs w:val="22"/>
          <w:lang w:val="es-MX" w:eastAsia="en-US"/>
        </w:rPr>
        <w:t>“</w:t>
      </w:r>
      <w:r w:rsidRPr="00BE448F">
        <w:rPr>
          <w:rFonts w:ascii="Palatino Linotype" w:eastAsia="MS Mincho" w:hAnsi="Palatino Linotype" w:cs="Times New Roman"/>
          <w:b/>
          <w:i/>
          <w:color w:val="000000"/>
          <w:sz w:val="22"/>
          <w:szCs w:val="22"/>
          <w:lang w:val="es-MX" w:eastAsia="en-US"/>
        </w:rPr>
        <w:t>Artículo 181</w:t>
      </w:r>
    </w:p>
    <w:p w14:paraId="28791505" w14:textId="77777777" w:rsidR="008A5237" w:rsidRPr="00BE448F" w:rsidRDefault="008A5237" w:rsidP="00B12F29">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BE448F">
        <w:rPr>
          <w:rFonts w:ascii="Palatino Linotype" w:eastAsia="MS Mincho" w:hAnsi="Palatino Linotype" w:cs="Times New Roman"/>
          <w:i/>
          <w:color w:val="000000"/>
          <w:sz w:val="22"/>
          <w:szCs w:val="22"/>
          <w:lang w:val="es-MX" w:eastAsia="en-US"/>
        </w:rPr>
        <w:t>…</w:t>
      </w:r>
    </w:p>
    <w:p w14:paraId="48282141" w14:textId="77777777" w:rsidR="008A5237" w:rsidRPr="00BE448F" w:rsidRDefault="008A5237" w:rsidP="00B12F29">
      <w:pPr>
        <w:autoSpaceDE w:val="0"/>
        <w:autoSpaceDN w:val="0"/>
        <w:adjustRightInd w:val="0"/>
        <w:spacing w:after="160" w:line="360" w:lineRule="auto"/>
        <w:ind w:left="567" w:right="616"/>
        <w:jc w:val="both"/>
        <w:rPr>
          <w:rFonts w:ascii="Palatino Linotype" w:eastAsia="MS Mincho" w:hAnsi="Palatino Linotype" w:cs="Bookman Old Style"/>
          <w:i/>
          <w:sz w:val="22"/>
          <w:szCs w:val="22"/>
          <w:lang w:val="es-ES" w:eastAsia="en-US"/>
        </w:rPr>
      </w:pPr>
      <w:r w:rsidRPr="00BE448F">
        <w:rPr>
          <w:rFonts w:ascii="Palatino Linotype" w:eastAsia="MS Mincho" w:hAnsi="Palatino Linotype" w:cs="Bookman Old Style"/>
          <w:i/>
          <w:sz w:val="22"/>
          <w:szCs w:val="22"/>
          <w:lang w:val="es-ES" w:eastAsia="en-US"/>
        </w:rPr>
        <w:t xml:space="preserve">Durante el procedimiento deberá aplicarse la </w:t>
      </w:r>
      <w:r w:rsidRPr="00BE448F">
        <w:rPr>
          <w:rFonts w:ascii="Palatino Linotype" w:eastAsia="MS Mincho" w:hAnsi="Palatino Linotype" w:cs="Bookman Old Style"/>
          <w:b/>
          <w:i/>
          <w:sz w:val="22"/>
          <w:szCs w:val="22"/>
          <w:lang w:val="es-ES" w:eastAsia="en-US"/>
        </w:rPr>
        <w:t>suplencia de la queja a favor del recurrente</w:t>
      </w:r>
      <w:r w:rsidRPr="00BE448F">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46909C8B" w14:textId="77777777" w:rsidR="008A5237" w:rsidRPr="00BE448F" w:rsidRDefault="008A5237" w:rsidP="00CB7B22">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BE448F">
        <w:rPr>
          <w:rFonts w:ascii="Palatino Linotype" w:eastAsia="MS Mincho" w:hAnsi="Palatino Linotype" w:cs="Times New Roman"/>
          <w:i/>
          <w:color w:val="000000"/>
          <w:sz w:val="22"/>
          <w:szCs w:val="22"/>
          <w:lang w:val="es-MX" w:eastAsia="en-US"/>
        </w:rPr>
        <w:t>…</w:t>
      </w:r>
    </w:p>
    <w:p w14:paraId="34D269D9" w14:textId="68000D91" w:rsidR="008A5237" w:rsidRPr="00BE448F" w:rsidRDefault="008A5237" w:rsidP="00CB7B22">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BE448F">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BE448F">
        <w:rPr>
          <w:rFonts w:ascii="Palatino Linotype" w:eastAsia="MS Mincho" w:hAnsi="Palatino Linotype" w:cs="Times New Roman"/>
        </w:rPr>
        <w:t>refutantes</w:t>
      </w:r>
      <w:proofErr w:type="spellEnd"/>
      <w:r w:rsidRPr="00BE448F">
        <w:rPr>
          <w:rFonts w:ascii="Palatino Linotype" w:eastAsia="MS Mincho" w:hAnsi="Palatino Linotype" w:cs="Times New Roman"/>
        </w:rPr>
        <w:t xml:space="preserve"> que cubran los elementos mínimos requeridos de la </w:t>
      </w:r>
      <w:r w:rsidRPr="00BE448F">
        <w:rPr>
          <w:rFonts w:ascii="Palatino Linotype" w:eastAsia="MS Mincho" w:hAnsi="Palatino Linotype" w:cs="Times New Roman"/>
          <w:i/>
        </w:rPr>
        <w:t xml:space="preserve">causa </w:t>
      </w:r>
      <w:proofErr w:type="spellStart"/>
      <w:r w:rsidRPr="00BE448F">
        <w:rPr>
          <w:rFonts w:ascii="Palatino Linotype" w:eastAsia="MS Mincho" w:hAnsi="Palatino Linotype" w:cs="Times New Roman"/>
          <w:i/>
        </w:rPr>
        <w:t>petendi</w:t>
      </w:r>
      <w:proofErr w:type="spellEnd"/>
      <w:r w:rsidRPr="00BE448F">
        <w:rPr>
          <w:rFonts w:ascii="Palatino Linotype" w:eastAsia="MS Mincho" w:hAnsi="Palatino Linotype" w:cs="Times New Roman"/>
          <w:i/>
        </w:rPr>
        <w:t>, (</w:t>
      </w:r>
      <w:r w:rsidRPr="00BE448F">
        <w:rPr>
          <w:rFonts w:ascii="Palatino Linotype" w:eastAsia="MS Mincho" w:hAnsi="Palatino Linotype" w:cs="Times New Roman"/>
        </w:rPr>
        <w:t>causa de pedir</w:t>
      </w:r>
      <w:r w:rsidRPr="00BE448F">
        <w:rPr>
          <w:rFonts w:ascii="Palatino Linotype" w:eastAsia="MS Mincho" w:hAnsi="Palatino Linotype" w:cs="Times New Roman"/>
          <w:i/>
        </w:rPr>
        <w:t xml:space="preserve">) </w:t>
      </w:r>
      <w:r w:rsidRPr="00BE448F">
        <w:rPr>
          <w:rFonts w:ascii="Palatino Linotype" w:eastAsia="MS Mincho" w:hAnsi="Palatino Linotype" w:cs="Times New Roman"/>
        </w:rPr>
        <w:t xml:space="preserve">aunado a que existe jurisprudencia </w:t>
      </w:r>
      <w:r w:rsidRPr="00BE448F">
        <w:rPr>
          <w:rFonts w:ascii="Palatino Linotype" w:eastAsia="MS Mincho" w:hAnsi="Palatino Linotype" w:cs="Times New Roman"/>
        </w:rPr>
        <w:lastRenderedPageBreak/>
        <w:t>que no obliga a los particulares a cubrir tales parámetros en las materias que admitan la suplencia de la queja deficiente</w:t>
      </w:r>
      <w:r w:rsidRPr="00BE448F">
        <w:rPr>
          <w:rFonts w:ascii="Cambria" w:hAnsi="Cambria"/>
          <w:vertAlign w:val="superscript"/>
        </w:rPr>
        <w:footnoteReference w:id="8"/>
      </w:r>
      <w:r w:rsidRPr="00BE448F">
        <w:rPr>
          <w:rFonts w:ascii="Palatino Linotype" w:eastAsia="MS Mincho" w:hAnsi="Palatino Linotype" w:cs="Times New Roman"/>
        </w:rPr>
        <w:t xml:space="preserve">. </w:t>
      </w:r>
    </w:p>
    <w:p w14:paraId="07336C26" w14:textId="77777777" w:rsidR="008A5237" w:rsidRPr="00BE448F" w:rsidRDefault="008A5237" w:rsidP="00CB7B22">
      <w:pPr>
        <w:spacing w:before="240" w:after="240" w:line="360" w:lineRule="auto"/>
        <w:ind w:right="49"/>
        <w:contextualSpacing/>
        <w:jc w:val="both"/>
        <w:rPr>
          <w:rFonts w:ascii="Palatino Linotype" w:eastAsia="MS Mincho" w:hAnsi="Palatino Linotype" w:cs="Times New Roman"/>
        </w:rPr>
      </w:pPr>
    </w:p>
    <w:p w14:paraId="5AC897C3" w14:textId="70ABFA5A" w:rsidR="008A5237" w:rsidRPr="00BE448F" w:rsidRDefault="008A5237" w:rsidP="00CB7B22">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BE448F">
        <w:rPr>
          <w:rFonts w:ascii="Palatino Linotype" w:eastAsia="Times New Roman" w:hAnsi="Palatino Linotype" w:cs="Arial"/>
          <w:color w:val="000000"/>
          <w:lang w:val="es-MX" w:eastAsia="en-US"/>
        </w:rPr>
        <w:t xml:space="preserve">Por lo que  retomando lo solicitado por el particular en cuanto se aprecia que requiere información sobre </w:t>
      </w:r>
      <w:r w:rsidRPr="00BE448F">
        <w:rPr>
          <w:rFonts w:ascii="Palatino Linotype" w:eastAsia="Times New Roman" w:hAnsi="Palatino Linotype" w:cs="Arial"/>
          <w:bCs/>
          <w:i/>
          <w:color w:val="000000"/>
          <w:lang w:val="es-MX" w:eastAsia="en-US"/>
        </w:rPr>
        <w:t>“</w:t>
      </w:r>
      <w:r w:rsidR="00B12F29" w:rsidRPr="00BE448F">
        <w:rPr>
          <w:rFonts w:ascii="Palatino Linotype" w:eastAsia="Times New Roman" w:hAnsi="Palatino Linotype" w:cs="Arial"/>
          <w:bCs/>
          <w:i/>
          <w:color w:val="000000"/>
          <w:lang w:eastAsia="en-US"/>
        </w:rPr>
        <w:t xml:space="preserve">… </w:t>
      </w:r>
      <w:r w:rsidR="00962E3F" w:rsidRPr="00BE448F">
        <w:rPr>
          <w:rFonts w:ascii="Palatino Linotype" w:eastAsia="Times New Roman" w:hAnsi="Palatino Linotype" w:cs="Arial"/>
          <w:bCs/>
          <w:i/>
          <w:color w:val="000000"/>
          <w:lang w:eastAsia="en-US"/>
        </w:rPr>
        <w:t xml:space="preserve">todos los servidores públicos que hayan sido, apercibidos, amonestados, sancionados, multados e inhabilitados de sus funciones por la contraloría General municipal, del Estado o Federal y por la </w:t>
      </w:r>
      <w:proofErr w:type="spellStart"/>
      <w:r w:rsidR="00962E3F" w:rsidRPr="00BE448F">
        <w:rPr>
          <w:rFonts w:ascii="Palatino Linotype" w:eastAsia="Times New Roman" w:hAnsi="Palatino Linotype" w:cs="Arial"/>
          <w:bCs/>
          <w:i/>
          <w:color w:val="000000"/>
          <w:lang w:eastAsia="en-US"/>
        </w:rPr>
        <w:t>contraloria</w:t>
      </w:r>
      <w:proofErr w:type="spellEnd"/>
      <w:r w:rsidR="00962E3F" w:rsidRPr="00BE448F">
        <w:rPr>
          <w:rFonts w:ascii="Palatino Linotype" w:eastAsia="Times New Roman" w:hAnsi="Palatino Linotype" w:cs="Arial"/>
          <w:bCs/>
          <w:i/>
          <w:color w:val="000000"/>
          <w:lang w:eastAsia="en-US"/>
        </w:rPr>
        <w:t xml:space="preserve"> del INFOEM, tanto servidores públicos de la administración 2016-2018 y los de la administración 2019-2021.</w:t>
      </w:r>
      <w:r w:rsidRPr="00BE448F">
        <w:rPr>
          <w:rFonts w:ascii="Palatino Linotype" w:eastAsia="Times New Roman" w:hAnsi="Palatino Linotype" w:cs="Arial"/>
          <w:bCs/>
          <w:i/>
          <w:color w:val="000000"/>
          <w:lang w:val="es-ES" w:eastAsia="en-US"/>
        </w:rPr>
        <w:t xml:space="preserve">” </w:t>
      </w:r>
      <w:r w:rsidRPr="00BE448F">
        <w:rPr>
          <w:rFonts w:ascii="Palatino Linotype" w:eastAsia="Times New Roman" w:hAnsi="Palatino Linotype" w:cs="Arial"/>
          <w:bCs/>
          <w:i/>
          <w:color w:val="000000"/>
          <w:lang w:val="es-MX" w:eastAsia="en-US"/>
        </w:rPr>
        <w:t xml:space="preserve"> </w:t>
      </w:r>
      <w:r w:rsidRPr="00BE448F">
        <w:rPr>
          <w:rFonts w:ascii="Palatino Linotype" w:eastAsia="Times New Roman" w:hAnsi="Palatino Linotype" w:cs="Arial"/>
          <w:color w:val="000000"/>
          <w:lang w:val="es-MX" w:eastAsia="en-US"/>
        </w:rPr>
        <w:t xml:space="preserve">se advierte que </w:t>
      </w:r>
      <w:r w:rsidR="00962E3F" w:rsidRPr="00BE448F">
        <w:rPr>
          <w:rFonts w:ascii="Palatino Linotype" w:eastAsia="Times New Roman" w:hAnsi="Palatino Linotype" w:cs="Arial"/>
          <w:color w:val="000000"/>
          <w:lang w:val="es-MX" w:eastAsia="en-US"/>
        </w:rPr>
        <w:t>no se refiere con precisión a que faltas administrativas se requiere acceso</w:t>
      </w:r>
      <w:r w:rsidRPr="00BE448F">
        <w:rPr>
          <w:rFonts w:ascii="Palatino Linotype" w:eastAsia="Times New Roman" w:hAnsi="Palatino Linotype" w:cs="Arial"/>
          <w:color w:val="000000"/>
          <w:lang w:val="es-MX" w:eastAsia="en-US"/>
        </w:rPr>
        <w:t xml:space="preserve">.  </w:t>
      </w:r>
    </w:p>
    <w:p w14:paraId="5C730940" w14:textId="77777777" w:rsidR="008A5237" w:rsidRPr="00BE448F" w:rsidRDefault="008A5237" w:rsidP="00CB7B22">
      <w:pPr>
        <w:spacing w:before="240" w:after="240" w:line="360" w:lineRule="auto"/>
        <w:ind w:left="426" w:right="49"/>
        <w:contextualSpacing/>
        <w:jc w:val="both"/>
        <w:rPr>
          <w:rFonts w:ascii="Palatino Linotype" w:eastAsia="MS Mincho" w:hAnsi="Palatino Linotype" w:cs="Times New Roman"/>
        </w:rPr>
      </w:pPr>
    </w:p>
    <w:p w14:paraId="38D88EF3" w14:textId="313AAA3A" w:rsidR="007D5832" w:rsidRPr="00BE448F" w:rsidRDefault="008A5237" w:rsidP="00CB7B22">
      <w:pPr>
        <w:numPr>
          <w:ilvl w:val="0"/>
          <w:numId w:val="1"/>
        </w:numPr>
        <w:spacing w:before="240" w:after="240" w:line="360" w:lineRule="auto"/>
        <w:ind w:left="0" w:right="49" w:firstLine="0"/>
        <w:contextualSpacing/>
        <w:jc w:val="both"/>
        <w:rPr>
          <w:rFonts w:ascii="Palatino Linotype" w:eastAsia="MS Mincho" w:hAnsi="Palatino Linotype" w:cs="Times New Roman"/>
          <w:color w:val="000000"/>
        </w:rPr>
      </w:pPr>
      <w:r w:rsidRPr="00BE448F">
        <w:rPr>
          <w:rFonts w:ascii="Palatino Linotype" w:eastAsia="MS Mincho" w:hAnsi="Palatino Linotype" w:cs="Times New Roman"/>
        </w:rPr>
        <w:t xml:space="preserve">En ese orden de ideas, de una interpretación sistemática de la solicitud realizada, se puede establecer que el recurrente solicita información relativa a </w:t>
      </w:r>
      <w:r w:rsidRPr="00BE448F">
        <w:rPr>
          <w:rFonts w:ascii="Palatino Linotype" w:eastAsia="MS Mincho" w:hAnsi="Palatino Linotype" w:cs="Times New Roman"/>
          <w:i/>
          <w:color w:val="000000"/>
          <w:lang w:val="es-MX"/>
        </w:rPr>
        <w:t>“</w:t>
      </w:r>
      <w:r w:rsidR="00962E3F" w:rsidRPr="00BE448F">
        <w:rPr>
          <w:rFonts w:ascii="Palatino Linotype" w:eastAsia="MS Mincho" w:hAnsi="Palatino Linotype" w:cs="Times New Roman"/>
          <w:i/>
          <w:color w:val="000000"/>
          <w:lang w:val="es-MX"/>
        </w:rPr>
        <w:t>las faltas administrativas graves y no graves de los</w:t>
      </w:r>
      <w:r w:rsidR="00962E3F" w:rsidRPr="00BE448F">
        <w:rPr>
          <w:rFonts w:ascii="Palatino Linotype" w:hAnsi="Palatino Linotype"/>
          <w:i/>
          <w:color w:val="000000" w:themeColor="text1"/>
        </w:rPr>
        <w:t xml:space="preserve"> servidores públicos de la administración </w:t>
      </w:r>
      <w:r w:rsidR="007D5832" w:rsidRPr="00BE448F">
        <w:rPr>
          <w:rFonts w:ascii="Palatino Linotype" w:hAnsi="Palatino Linotype"/>
          <w:i/>
          <w:color w:val="000000" w:themeColor="text1"/>
        </w:rPr>
        <w:t xml:space="preserve">municipal </w:t>
      </w:r>
      <w:r w:rsidR="00962E3F" w:rsidRPr="00BE448F">
        <w:rPr>
          <w:rFonts w:ascii="Palatino Linotype" w:hAnsi="Palatino Linotype"/>
          <w:i/>
          <w:color w:val="000000" w:themeColor="text1"/>
        </w:rPr>
        <w:t xml:space="preserve">2016-2018 </w:t>
      </w:r>
      <w:r w:rsidR="007D5832" w:rsidRPr="00BE448F">
        <w:rPr>
          <w:rFonts w:ascii="Palatino Linotype" w:hAnsi="Palatino Linotype"/>
          <w:i/>
          <w:color w:val="000000" w:themeColor="text1"/>
        </w:rPr>
        <w:t>y 2019-2021</w:t>
      </w:r>
      <w:r w:rsidR="007D5832" w:rsidRPr="00BE448F">
        <w:rPr>
          <w:rFonts w:ascii="Palatino Linotype" w:eastAsia="MS Mincho" w:hAnsi="Palatino Linotype" w:cs="Times New Roman"/>
          <w:color w:val="000000"/>
        </w:rPr>
        <w:t>”</w:t>
      </w:r>
    </w:p>
    <w:p w14:paraId="70E25A62" w14:textId="77777777" w:rsidR="007D5832" w:rsidRPr="00BE448F" w:rsidRDefault="007D5832" w:rsidP="00B12F29">
      <w:pPr>
        <w:spacing w:line="360" w:lineRule="auto"/>
        <w:rPr>
          <w:rFonts w:ascii="Palatino Linotype" w:eastAsia="MS Mincho" w:hAnsi="Palatino Linotype" w:cs="Times New Roman"/>
          <w:color w:val="000000"/>
        </w:rPr>
      </w:pPr>
    </w:p>
    <w:p w14:paraId="40FC5519" w14:textId="12935870" w:rsidR="007D5832" w:rsidRPr="00BE448F" w:rsidRDefault="007D5832" w:rsidP="00CB7B22">
      <w:pPr>
        <w:numPr>
          <w:ilvl w:val="0"/>
          <w:numId w:val="1"/>
        </w:numPr>
        <w:spacing w:before="240" w:after="240" w:line="360" w:lineRule="auto"/>
        <w:ind w:left="0" w:right="49" w:firstLine="0"/>
        <w:contextualSpacing/>
        <w:jc w:val="both"/>
        <w:rPr>
          <w:rFonts w:ascii="Palatino Linotype" w:eastAsia="MS Mincho" w:hAnsi="Palatino Linotype" w:cs="Times New Roman"/>
          <w:color w:val="000000"/>
        </w:rPr>
      </w:pPr>
      <w:r w:rsidRPr="00BE448F">
        <w:rPr>
          <w:rFonts w:ascii="Palatino Linotype" w:eastAsia="MS Mincho" w:hAnsi="Palatino Linotype" w:cs="Times New Roman"/>
          <w:color w:val="000000"/>
        </w:rPr>
        <w:t>Ahora bien por cuanto hace al requerimiento consistente en  “</w:t>
      </w:r>
      <w:r w:rsidRPr="00BE448F">
        <w:rPr>
          <w:rFonts w:ascii="Palatino Linotype" w:hAnsi="Palatino Linotype"/>
          <w:i/>
          <w:color w:val="000000" w:themeColor="text1"/>
        </w:rPr>
        <w:t xml:space="preserve">En esta información debe de especificar del actual y ex Servidor público, Nombre, cargo que realizaba cuando se suscitó la falta, </w:t>
      </w:r>
      <w:proofErr w:type="spellStart"/>
      <w:r w:rsidRPr="00BE448F">
        <w:rPr>
          <w:rFonts w:ascii="Palatino Linotype" w:hAnsi="Palatino Linotype"/>
          <w:i/>
          <w:color w:val="000000" w:themeColor="text1"/>
        </w:rPr>
        <w:t>cual</w:t>
      </w:r>
      <w:proofErr w:type="spellEnd"/>
      <w:r w:rsidRPr="00BE448F">
        <w:rPr>
          <w:rFonts w:ascii="Palatino Linotype" w:hAnsi="Palatino Linotype"/>
          <w:i/>
          <w:color w:val="000000" w:themeColor="text1"/>
        </w:rPr>
        <w:t xml:space="preserve"> fue su falta y omisión por la que fue procesado, el monto de la multa (si es el caso), y resolución de la contraloría para ejecutarla.”, </w:t>
      </w:r>
      <w:r w:rsidRPr="00BE448F">
        <w:rPr>
          <w:rFonts w:ascii="Palatino Linotype" w:hAnsi="Palatino Linotype"/>
          <w:color w:val="000000" w:themeColor="text1"/>
        </w:rPr>
        <w:t xml:space="preserve">es necesario precisar que los entes públicos </w:t>
      </w:r>
      <w:r w:rsidR="00EB6CE7" w:rsidRPr="00BE448F">
        <w:rPr>
          <w:rFonts w:ascii="Palatino Linotype" w:hAnsi="Palatino Linotype"/>
          <w:color w:val="000000" w:themeColor="text1"/>
        </w:rPr>
        <w:t xml:space="preserve">solo están obligados a proporcionar </w:t>
      </w:r>
      <w:r w:rsidRPr="00BE448F">
        <w:rPr>
          <w:rFonts w:ascii="Palatino Linotype" w:hAnsi="Palatino Linotype"/>
          <w:color w:val="000000" w:themeColor="text1"/>
        </w:rPr>
        <w:t xml:space="preserve">la información en el </w:t>
      </w:r>
      <w:r w:rsidRPr="00BE448F">
        <w:rPr>
          <w:rFonts w:ascii="Palatino Linotype" w:hAnsi="Palatino Linotype"/>
          <w:color w:val="000000" w:themeColor="text1"/>
        </w:rPr>
        <w:lastRenderedPageBreak/>
        <w:t>estado en que se encuentre</w:t>
      </w:r>
      <w:r w:rsidR="00EB6CE7" w:rsidRPr="00BE448F">
        <w:rPr>
          <w:rFonts w:ascii="Palatino Linotype" w:hAnsi="Palatino Linotype"/>
          <w:color w:val="000000" w:themeColor="text1"/>
        </w:rPr>
        <w:t>,</w:t>
      </w:r>
      <w:r w:rsidRPr="00BE448F">
        <w:rPr>
          <w:rFonts w:ascii="Palatino Linotype" w:hAnsi="Palatino Linotype"/>
          <w:color w:val="000000" w:themeColor="text1"/>
        </w:rPr>
        <w:t xml:space="preserve"> sin al efecto procesar la misma o presentarla con forme a los intereses del solicitante  por lo que dicho requerimiento resulta improcedente como a continuación se advierte: </w:t>
      </w:r>
    </w:p>
    <w:p w14:paraId="22B863A2" w14:textId="77777777" w:rsidR="007D5832" w:rsidRPr="00BE448F" w:rsidRDefault="007D5832" w:rsidP="00B12F29">
      <w:pPr>
        <w:spacing w:line="360" w:lineRule="auto"/>
        <w:rPr>
          <w:rFonts w:ascii="Palatino Linotype" w:hAnsi="Palatino Linotype"/>
          <w:color w:val="000000" w:themeColor="text1"/>
        </w:rPr>
      </w:pPr>
    </w:p>
    <w:p w14:paraId="166566AC" w14:textId="0AA44A9B" w:rsidR="007D5832" w:rsidRPr="00BE448F" w:rsidRDefault="007D5832" w:rsidP="00CB7B22">
      <w:pPr>
        <w:spacing w:before="240" w:after="240" w:line="360" w:lineRule="auto"/>
        <w:ind w:left="567" w:right="616"/>
        <w:contextualSpacing/>
        <w:jc w:val="both"/>
        <w:rPr>
          <w:rFonts w:ascii="Palatino Linotype" w:hAnsi="Palatino Linotype"/>
          <w:i/>
          <w:color w:val="000000" w:themeColor="text1"/>
        </w:rPr>
      </w:pPr>
      <w:r w:rsidRPr="00BE448F">
        <w:rPr>
          <w:rFonts w:ascii="Palatino Linotype" w:hAnsi="Palatino Linotype"/>
          <w:i/>
          <w:color w:val="000000" w:themeColor="text1"/>
        </w:rPr>
        <w:t xml:space="preserve">  “</w:t>
      </w:r>
      <w:r w:rsidRPr="00BE448F">
        <w:rPr>
          <w:rFonts w:ascii="Palatino Linotype" w:hAnsi="Palatino Linotype"/>
          <w:b/>
          <w:i/>
          <w:color w:val="000000" w:themeColor="text1"/>
        </w:rPr>
        <w:t>Artículo 12.</w:t>
      </w:r>
      <w:r w:rsidRPr="00BE448F">
        <w:rPr>
          <w:rFonts w:ascii="Palatino Linotype" w:hAnsi="Palatino Linotype"/>
          <w:i/>
          <w:color w:val="000000" w:themeColor="text1"/>
        </w:rPr>
        <w:t xml:space="preserve"> Quienes generen, recopilen, administren, manejen, procesen, archiven o conserven información pública serán responsables de la misma en los términos de las disposiciones jurídicas aplicables.</w:t>
      </w:r>
    </w:p>
    <w:p w14:paraId="3D68335F" w14:textId="77777777" w:rsidR="007D5832" w:rsidRPr="00BE448F" w:rsidRDefault="007D5832" w:rsidP="00CB7B22">
      <w:pPr>
        <w:spacing w:before="240" w:after="240" w:line="360" w:lineRule="auto"/>
        <w:ind w:left="567" w:right="616"/>
        <w:contextualSpacing/>
        <w:jc w:val="both"/>
        <w:rPr>
          <w:rFonts w:ascii="Palatino Linotype" w:hAnsi="Palatino Linotype"/>
          <w:b/>
          <w:i/>
          <w:color w:val="000000" w:themeColor="text1"/>
        </w:rPr>
      </w:pPr>
    </w:p>
    <w:p w14:paraId="32A14BB6" w14:textId="7B12B99F" w:rsidR="007D5832" w:rsidRPr="00BE448F" w:rsidRDefault="007D5832" w:rsidP="00CB7B22">
      <w:pPr>
        <w:spacing w:before="240" w:after="240" w:line="360" w:lineRule="auto"/>
        <w:ind w:left="567" w:right="616"/>
        <w:contextualSpacing/>
        <w:jc w:val="both"/>
        <w:rPr>
          <w:rFonts w:ascii="Palatino Linotype" w:hAnsi="Palatino Linotype"/>
          <w:b/>
          <w:i/>
          <w:color w:val="000000" w:themeColor="text1"/>
        </w:rPr>
      </w:pPr>
      <w:r w:rsidRPr="00BE448F">
        <w:rPr>
          <w:rFonts w:ascii="Palatino Linotype" w:hAnsi="Palatino Linotype"/>
          <w:b/>
          <w:i/>
          <w:color w:val="000000" w:themeColor="text1"/>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58741C" w14:textId="77777777" w:rsidR="00862E71" w:rsidRPr="00BE448F" w:rsidRDefault="00862E71" w:rsidP="00CB7B22">
      <w:pPr>
        <w:spacing w:before="240" w:after="240" w:line="360" w:lineRule="auto"/>
        <w:ind w:left="567" w:right="616"/>
        <w:contextualSpacing/>
        <w:jc w:val="both"/>
        <w:rPr>
          <w:rFonts w:ascii="Palatino Linotype" w:hAnsi="Palatino Linotype"/>
          <w:color w:val="000000" w:themeColor="text1"/>
        </w:rPr>
      </w:pPr>
    </w:p>
    <w:p w14:paraId="45CEA6B3" w14:textId="6A67ECFA" w:rsidR="00EB6CE7" w:rsidRPr="00BE448F" w:rsidRDefault="00EB6CE7" w:rsidP="00B12F29">
      <w:pPr>
        <w:pStyle w:val="Prrafodelista"/>
        <w:numPr>
          <w:ilvl w:val="0"/>
          <w:numId w:val="1"/>
        </w:numPr>
        <w:spacing w:before="240" w:after="240" w:line="360" w:lineRule="auto"/>
        <w:ind w:left="0" w:right="49" w:firstLine="0"/>
        <w:jc w:val="both"/>
        <w:rPr>
          <w:rFonts w:ascii="Palatino Linotype" w:eastAsia="MS Mincho" w:hAnsi="Palatino Linotype" w:cs="Times New Roman"/>
          <w:bCs/>
          <w:color w:val="000000"/>
        </w:rPr>
      </w:pPr>
      <w:r w:rsidRPr="00BE448F">
        <w:rPr>
          <w:rFonts w:ascii="Palatino Linotype" w:eastAsia="MS Mincho" w:hAnsi="Palatino Linotype" w:cs="Times New Roman"/>
          <w:color w:val="000000"/>
          <w:lang w:val="es-ES"/>
        </w:rPr>
        <w:t xml:space="preserve">Tiene sustento lo anterior en </w:t>
      </w:r>
      <w:r w:rsidRPr="00BE448F">
        <w:rPr>
          <w:rFonts w:ascii="Palatino Linotype" w:eastAsia="MS Mincho" w:hAnsi="Palatino Linotype" w:cs="Times New Roman"/>
          <w:color w:val="000000"/>
        </w:rPr>
        <w:t xml:space="preserve">el Criterio 09-10, emitido por el Pleno del entonces </w:t>
      </w:r>
      <w:r w:rsidRPr="00BE448F">
        <w:rPr>
          <w:rFonts w:ascii="Palatino Linotype" w:eastAsia="MS Mincho" w:hAnsi="Palatino Linotype" w:cs="Times New Roman"/>
          <w:bCs/>
          <w:color w:val="000000"/>
        </w:rPr>
        <w:t xml:space="preserve">Instituto Federal de Acceso a la Información y Protección de Datos, </w:t>
      </w:r>
      <w:r w:rsidRPr="00BE448F">
        <w:rPr>
          <w:rFonts w:ascii="Palatino Linotype" w:eastAsia="MS Mincho" w:hAnsi="Palatino Linotype" w:cs="Times New Roman"/>
          <w:color w:val="000000"/>
        </w:rPr>
        <w:t>ahora Instituto Nacional de Transparencia, Acceso a la Información y Protección de Datos Personales,</w:t>
      </w:r>
      <w:r w:rsidRPr="00BE448F">
        <w:rPr>
          <w:rFonts w:ascii="Palatino Linotype" w:eastAsia="MS Mincho" w:hAnsi="Palatino Linotype" w:cs="Times New Roman"/>
          <w:bCs/>
          <w:color w:val="000000"/>
        </w:rPr>
        <w:t xml:space="preserve"> que dice: </w:t>
      </w:r>
    </w:p>
    <w:p w14:paraId="2D7BDFD1" w14:textId="77777777" w:rsidR="00862E71" w:rsidRPr="00BE448F" w:rsidRDefault="00862E71" w:rsidP="00862E71">
      <w:pPr>
        <w:pStyle w:val="Prrafodelista"/>
        <w:spacing w:before="240" w:after="240" w:line="360" w:lineRule="auto"/>
        <w:ind w:left="0" w:right="49"/>
        <w:jc w:val="both"/>
        <w:rPr>
          <w:rFonts w:ascii="Palatino Linotype" w:eastAsia="MS Mincho" w:hAnsi="Palatino Linotype" w:cs="Times New Roman"/>
          <w:bCs/>
          <w:color w:val="000000"/>
        </w:rPr>
      </w:pPr>
    </w:p>
    <w:p w14:paraId="16E2E8FA" w14:textId="77777777" w:rsidR="00EB6CE7" w:rsidRPr="00BE448F" w:rsidRDefault="00EB6CE7" w:rsidP="00CB7B22">
      <w:pPr>
        <w:spacing w:before="240" w:after="240" w:line="360" w:lineRule="auto"/>
        <w:ind w:left="567" w:right="616"/>
        <w:contextualSpacing/>
        <w:jc w:val="both"/>
        <w:rPr>
          <w:rFonts w:ascii="Palatino Linotype" w:eastAsia="MS Mincho" w:hAnsi="Palatino Linotype" w:cs="Times New Roman"/>
          <w:i/>
          <w:color w:val="000000"/>
        </w:rPr>
      </w:pPr>
      <w:r w:rsidRPr="00BE448F">
        <w:rPr>
          <w:rFonts w:ascii="Palatino Linotype" w:eastAsia="MS Mincho" w:hAnsi="Palatino Linotype" w:cs="Times New Roman"/>
          <w:b/>
          <w:i/>
          <w:color w:val="000000"/>
        </w:rPr>
        <w:t xml:space="preserve">Las dependencias y entidades no están obligadas a generar documentos ad hoc para responder una solicitud de acceso a la información. Tomando en consideración lo establecido por el artículo 42 de la Ley </w:t>
      </w:r>
      <w:r w:rsidRPr="00BE448F">
        <w:rPr>
          <w:rFonts w:ascii="Palatino Linotype" w:eastAsia="MS Mincho" w:hAnsi="Palatino Linotype" w:cs="Times New Roman"/>
          <w:b/>
          <w:i/>
          <w:color w:val="000000"/>
        </w:rPr>
        <w:lastRenderedPageBreak/>
        <w:t xml:space="preserve">Federal de Transparencia y Acceso a la Información Pública Gubernamental, que establece que las dependencias y entidades sólo estarán obligadas a entregar documentos que se encuentren en sus archivos, </w:t>
      </w:r>
      <w:r w:rsidRPr="00BE448F">
        <w:rPr>
          <w:rFonts w:ascii="Palatino Linotype" w:eastAsia="MS Mincho" w:hAnsi="Palatino Linotype" w:cs="Times New Roman"/>
          <w:i/>
          <w:color w:val="000000"/>
        </w:rPr>
        <w:t>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04CE148" w14:textId="3586B78B" w:rsidR="00DF6473" w:rsidRPr="00BE448F" w:rsidRDefault="008A5237" w:rsidP="00CB7B22">
      <w:pPr>
        <w:pStyle w:val="Prrafodelista"/>
        <w:widowControl w:val="0"/>
        <w:autoSpaceDE w:val="0"/>
        <w:autoSpaceDN w:val="0"/>
        <w:adjustRightInd w:val="0"/>
        <w:spacing w:before="360" w:after="240" w:line="360" w:lineRule="auto"/>
        <w:ind w:left="0"/>
        <w:jc w:val="both"/>
        <w:outlineLvl w:val="2"/>
        <w:rPr>
          <w:rFonts w:ascii="Palatino Linotype" w:hAnsi="Palatino Linotype" w:cs="Arial"/>
          <w:b/>
        </w:rPr>
      </w:pPr>
      <w:bookmarkStart w:id="40" w:name="_Toc54877507"/>
      <w:r w:rsidRPr="00BE448F">
        <w:rPr>
          <w:rFonts w:ascii="Palatino Linotype" w:hAnsi="Palatino Linotype" w:cs="Arial"/>
          <w:b/>
        </w:rPr>
        <w:t>IV</w:t>
      </w:r>
      <w:r w:rsidR="00DF6473" w:rsidRPr="00BE448F">
        <w:rPr>
          <w:rFonts w:ascii="Palatino Linotype" w:hAnsi="Palatino Linotype" w:cs="Arial"/>
          <w:b/>
        </w:rPr>
        <w:t>. De la Clasificación de la Información.</w:t>
      </w:r>
      <w:bookmarkEnd w:id="40"/>
    </w:p>
    <w:p w14:paraId="05990E80" w14:textId="77777777" w:rsidR="00DF6473" w:rsidRPr="00BE448F" w:rsidRDefault="00DF6473" w:rsidP="00CB7B22">
      <w:pPr>
        <w:pStyle w:val="Prrafodelista"/>
        <w:widowControl w:val="0"/>
        <w:autoSpaceDE w:val="0"/>
        <w:autoSpaceDN w:val="0"/>
        <w:adjustRightInd w:val="0"/>
        <w:spacing w:before="360" w:after="240" w:line="360" w:lineRule="auto"/>
        <w:ind w:left="0"/>
        <w:jc w:val="both"/>
        <w:outlineLvl w:val="2"/>
        <w:rPr>
          <w:rFonts w:ascii="Palatino Linotype" w:hAnsi="Palatino Linotype" w:cs="Arial"/>
          <w:b/>
        </w:rPr>
      </w:pPr>
    </w:p>
    <w:p w14:paraId="0F0EB83E" w14:textId="6FD0ADE2" w:rsidR="00C03B1D" w:rsidRPr="00BE448F" w:rsidRDefault="00EB6CE7" w:rsidP="00CB7B22">
      <w:pPr>
        <w:pStyle w:val="Prrafodelista"/>
        <w:numPr>
          <w:ilvl w:val="0"/>
          <w:numId w:val="1"/>
        </w:numPr>
        <w:spacing w:before="240" w:after="360" w:line="360" w:lineRule="auto"/>
        <w:ind w:left="0" w:firstLine="0"/>
        <w:jc w:val="both"/>
        <w:rPr>
          <w:rFonts w:ascii="Palatino Linotype" w:hAnsi="Palatino Linotype" w:cs="Arial"/>
          <w:lang w:eastAsia="es-MX"/>
        </w:rPr>
      </w:pPr>
      <w:r w:rsidRPr="00BE448F">
        <w:rPr>
          <w:rFonts w:ascii="Palatino Linotype" w:eastAsiaTheme="minorHAnsi" w:hAnsi="Palatino Linotype" w:cs="Arial"/>
          <w:lang w:val="es-MX" w:eastAsia="en-US"/>
        </w:rPr>
        <w:t>Expuesto lo anterior</w:t>
      </w:r>
      <w:r w:rsidR="00DF6473" w:rsidRPr="00BE448F">
        <w:rPr>
          <w:rFonts w:ascii="Palatino Linotype" w:eastAsiaTheme="minorHAnsi" w:hAnsi="Palatino Linotype" w:cs="Arial"/>
          <w:lang w:val="es-MX" w:eastAsia="en-US"/>
        </w:rPr>
        <w:t xml:space="preserve">, derivado del Planteamiento de la Litis, se procede analizar el contenido íntegro de las actuaciones que obran en el expediente electrónico, y así determinar si la clasificación de la información, manifestada por el </w:t>
      </w:r>
      <w:r w:rsidR="00DF6473" w:rsidRPr="00BE448F">
        <w:rPr>
          <w:rFonts w:ascii="Palatino Linotype" w:eastAsiaTheme="minorHAnsi" w:hAnsi="Palatino Linotype" w:cs="Arial"/>
          <w:b/>
          <w:bCs/>
          <w:lang w:val="es-MX" w:eastAsia="en-US"/>
        </w:rPr>
        <w:t>SUJETO OBLIGADO</w:t>
      </w:r>
      <w:r w:rsidR="00DF6473" w:rsidRPr="00BE448F">
        <w:rPr>
          <w:rFonts w:ascii="Palatino Linotype" w:eastAsiaTheme="minorHAnsi" w:hAnsi="Palatino Linotype" w:cs="Arial"/>
          <w:lang w:val="es-MX" w:eastAsia="en-US"/>
        </w:rPr>
        <w:t>, fue ajustada a derecho. Por lo que</w:t>
      </w:r>
      <w:r w:rsidR="00DF6473" w:rsidRPr="00BE448F">
        <w:rPr>
          <w:rFonts w:ascii="Palatino Linotype" w:eastAsia="Calibri" w:hAnsi="Palatino Linotype" w:cs="Arial"/>
        </w:rPr>
        <w:t xml:space="preserve">, como fuera señalado en párrafos previos, mediante el </w:t>
      </w:r>
      <w:r w:rsidR="00AB6933" w:rsidRPr="00BE448F">
        <w:rPr>
          <w:rFonts w:ascii="Palatino Linotype" w:eastAsia="Calibri" w:hAnsi="Palatino Linotype" w:cs="Arial"/>
        </w:rPr>
        <w:t xml:space="preserve">acuerdo </w:t>
      </w:r>
      <w:r w:rsidR="00AB6933" w:rsidRPr="00BE448F">
        <w:rPr>
          <w:rFonts w:ascii="Palatino Linotype" w:eastAsia="Calibri" w:hAnsi="Palatino Linotype"/>
          <w:b/>
          <w:i/>
          <w:lang w:eastAsia="en-US"/>
        </w:rPr>
        <w:t>0055/TECA</w:t>
      </w:r>
      <w:r w:rsidR="00AB6933" w:rsidRPr="00BE448F">
        <w:rPr>
          <w:rFonts w:ascii="Palatino Linotype" w:eastAsia="Calibri" w:hAnsi="Palatino Linotype"/>
          <w:b/>
          <w:lang w:eastAsia="en-US"/>
        </w:rPr>
        <w:t xml:space="preserve">MAC/CT/2020 </w:t>
      </w:r>
      <w:r w:rsidR="00AB6933" w:rsidRPr="00BE448F">
        <w:rPr>
          <w:rFonts w:ascii="Palatino Linotype" w:eastAsia="Calibri" w:hAnsi="Palatino Linotype"/>
          <w:lang w:eastAsia="en-US"/>
        </w:rPr>
        <w:t>de fecha veinticuatro (24) de agosto del año 2020</w:t>
      </w:r>
      <w:r w:rsidR="00DF6473" w:rsidRPr="00BE448F">
        <w:rPr>
          <w:rFonts w:ascii="Palatino Linotype" w:eastAsia="Calibri" w:hAnsi="Palatino Linotype" w:cs="Arial"/>
        </w:rPr>
        <w:t>, el</w:t>
      </w:r>
      <w:r w:rsidR="00AB6933" w:rsidRPr="00BE448F">
        <w:rPr>
          <w:rFonts w:ascii="Palatino Linotype" w:eastAsia="Calibri" w:hAnsi="Palatino Linotype" w:cs="Arial"/>
        </w:rPr>
        <w:t xml:space="preserve"> </w:t>
      </w:r>
      <w:r w:rsidR="00AB6933" w:rsidRPr="00BE448F">
        <w:rPr>
          <w:rFonts w:ascii="Palatino Linotype" w:eastAsia="Calibri" w:hAnsi="Palatino Linotype" w:cs="Arial"/>
          <w:b/>
        </w:rPr>
        <w:t xml:space="preserve">SUJETO OBLIGADO </w:t>
      </w:r>
      <w:r w:rsidR="00AB6933" w:rsidRPr="00BE448F">
        <w:rPr>
          <w:rFonts w:ascii="Palatino Linotype" w:eastAsia="Calibri" w:hAnsi="Palatino Linotype" w:cs="Arial"/>
        </w:rPr>
        <w:t>a través</w:t>
      </w:r>
      <w:r w:rsidR="004F1527" w:rsidRPr="00BE448F">
        <w:rPr>
          <w:rFonts w:ascii="Palatino Linotype" w:eastAsia="Calibri" w:hAnsi="Palatino Linotype" w:cs="Arial"/>
        </w:rPr>
        <w:t xml:space="preserve"> de su </w:t>
      </w:r>
      <w:r w:rsidR="00AB6933" w:rsidRPr="00BE448F">
        <w:rPr>
          <w:rFonts w:ascii="Palatino Linotype" w:eastAsia="Calibri" w:hAnsi="Palatino Linotype" w:cs="Arial"/>
        </w:rPr>
        <w:t xml:space="preserve">Comité de Transparencia  </w:t>
      </w:r>
      <w:r w:rsidR="00DF6473" w:rsidRPr="00BE448F">
        <w:rPr>
          <w:rFonts w:ascii="Palatino Linotype" w:eastAsia="Calibri" w:hAnsi="Palatino Linotype" w:cs="Arial"/>
          <w:bCs/>
        </w:rPr>
        <w:t>restringió el acceso a la información solicitada</w:t>
      </w:r>
      <w:r w:rsidR="00C03B1D" w:rsidRPr="00BE448F">
        <w:rPr>
          <w:rFonts w:ascii="Palatino Linotype" w:eastAsia="Calibri" w:hAnsi="Palatino Linotype" w:cs="Arial"/>
          <w:bCs/>
        </w:rPr>
        <w:t xml:space="preserve"> al considerar que la información es reservada</w:t>
      </w:r>
      <w:r w:rsidR="00DF6473" w:rsidRPr="00BE448F">
        <w:rPr>
          <w:rFonts w:ascii="Palatino Linotype" w:eastAsia="Calibri" w:hAnsi="Palatino Linotype" w:cs="Arial"/>
          <w:bCs/>
        </w:rPr>
        <w:t xml:space="preserve"> bajo </w:t>
      </w:r>
      <w:r w:rsidR="00AB6933" w:rsidRPr="00BE448F">
        <w:rPr>
          <w:rFonts w:ascii="Palatino Linotype" w:eastAsia="Calibri" w:hAnsi="Palatino Linotype" w:cs="Arial"/>
          <w:bCs/>
        </w:rPr>
        <w:t xml:space="preserve">los siguientes argumentos: </w:t>
      </w:r>
    </w:p>
    <w:p w14:paraId="42BEE163" w14:textId="3A3FB5FC" w:rsidR="00C03B1D" w:rsidRPr="00BE448F" w:rsidRDefault="00C03B1D" w:rsidP="00CB7B22">
      <w:pPr>
        <w:pStyle w:val="Prrafodelista"/>
        <w:spacing w:before="240" w:after="360" w:line="360" w:lineRule="auto"/>
        <w:ind w:left="0"/>
        <w:jc w:val="center"/>
        <w:rPr>
          <w:rFonts w:ascii="Palatino Linotype" w:hAnsi="Palatino Linotype" w:cs="Arial"/>
          <w:lang w:eastAsia="es-MX"/>
        </w:rPr>
      </w:pPr>
      <w:r w:rsidRPr="00BE448F">
        <w:rPr>
          <w:noProof/>
          <w:lang w:val="es-MX" w:eastAsia="es-MX"/>
        </w:rPr>
        <w:lastRenderedPageBreak/>
        <w:drawing>
          <wp:inline distT="0" distB="0" distL="0" distR="0" wp14:anchorId="393552D9" wp14:editId="2CAEFEBE">
            <wp:extent cx="5680562" cy="73239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03" t="23928" r="34514" b="3904"/>
                    <a:stretch/>
                  </pic:blipFill>
                  <pic:spPr bwMode="auto">
                    <a:xfrm>
                      <a:off x="0" y="0"/>
                      <a:ext cx="5706704" cy="7357697"/>
                    </a:xfrm>
                    <a:prstGeom prst="rect">
                      <a:avLst/>
                    </a:prstGeom>
                    <a:ln>
                      <a:noFill/>
                    </a:ln>
                    <a:extLst>
                      <a:ext uri="{53640926-AAD7-44D8-BBD7-CCE9431645EC}">
                        <a14:shadowObscured xmlns:a14="http://schemas.microsoft.com/office/drawing/2010/main"/>
                      </a:ext>
                    </a:extLst>
                  </pic:spPr>
                </pic:pic>
              </a:graphicData>
            </a:graphic>
          </wp:inline>
        </w:drawing>
      </w:r>
    </w:p>
    <w:p w14:paraId="41DACB11" w14:textId="77777777" w:rsidR="00C03B1D" w:rsidRPr="00BE448F" w:rsidRDefault="00C03B1D" w:rsidP="00CB7B22">
      <w:pPr>
        <w:pStyle w:val="Prrafodelista"/>
        <w:spacing w:before="240" w:after="360" w:line="360" w:lineRule="auto"/>
        <w:ind w:left="0"/>
        <w:jc w:val="both"/>
        <w:rPr>
          <w:rFonts w:ascii="Palatino Linotype" w:hAnsi="Palatino Linotype" w:cs="Arial"/>
          <w:lang w:eastAsia="es-MX"/>
        </w:rPr>
      </w:pPr>
    </w:p>
    <w:p w14:paraId="1E8048CF" w14:textId="415D5005" w:rsidR="00C03B1D" w:rsidRPr="00BE448F" w:rsidRDefault="00C03B1D" w:rsidP="00CB7B22">
      <w:pPr>
        <w:pStyle w:val="Prrafodelista"/>
        <w:spacing w:before="240" w:after="360" w:line="360" w:lineRule="auto"/>
        <w:ind w:left="0"/>
        <w:jc w:val="center"/>
        <w:rPr>
          <w:rFonts w:ascii="Palatino Linotype" w:hAnsi="Palatino Linotype" w:cs="Arial"/>
          <w:lang w:eastAsia="es-MX"/>
        </w:rPr>
      </w:pPr>
      <w:r w:rsidRPr="00BE448F">
        <w:rPr>
          <w:noProof/>
          <w:lang w:val="es-MX" w:eastAsia="es-MX"/>
        </w:rPr>
        <w:drawing>
          <wp:inline distT="0" distB="0" distL="0" distR="0" wp14:anchorId="33D3A277" wp14:editId="483DCE3A">
            <wp:extent cx="5460023" cy="7089877"/>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53" t="18662" r="34354" b="8633"/>
                    <a:stretch/>
                  </pic:blipFill>
                  <pic:spPr bwMode="auto">
                    <a:xfrm>
                      <a:off x="0" y="0"/>
                      <a:ext cx="5467834" cy="7100020"/>
                    </a:xfrm>
                    <a:prstGeom prst="rect">
                      <a:avLst/>
                    </a:prstGeom>
                    <a:ln>
                      <a:noFill/>
                    </a:ln>
                    <a:extLst>
                      <a:ext uri="{53640926-AAD7-44D8-BBD7-CCE9431645EC}">
                        <a14:shadowObscured xmlns:a14="http://schemas.microsoft.com/office/drawing/2010/main"/>
                      </a:ext>
                    </a:extLst>
                  </pic:spPr>
                </pic:pic>
              </a:graphicData>
            </a:graphic>
          </wp:inline>
        </w:drawing>
      </w:r>
    </w:p>
    <w:p w14:paraId="1ABE4E85" w14:textId="77777777" w:rsidR="00C03B1D" w:rsidRPr="00BE448F" w:rsidRDefault="00C03B1D" w:rsidP="00CB7B22">
      <w:pPr>
        <w:pStyle w:val="Prrafodelista"/>
        <w:spacing w:before="240" w:after="360" w:line="360" w:lineRule="auto"/>
        <w:ind w:left="0"/>
        <w:jc w:val="both"/>
        <w:rPr>
          <w:rFonts w:ascii="Palatino Linotype" w:hAnsi="Palatino Linotype" w:cs="Arial"/>
          <w:lang w:eastAsia="es-MX"/>
        </w:rPr>
      </w:pPr>
    </w:p>
    <w:p w14:paraId="26FF3E12" w14:textId="51C0B9B1" w:rsidR="00C03B1D" w:rsidRPr="00BE448F" w:rsidRDefault="00C03B1D" w:rsidP="00CB7B22">
      <w:pPr>
        <w:pStyle w:val="Prrafodelista"/>
        <w:spacing w:before="240" w:after="360" w:line="360" w:lineRule="auto"/>
        <w:ind w:left="0"/>
        <w:jc w:val="center"/>
        <w:rPr>
          <w:rFonts w:ascii="Palatino Linotype" w:hAnsi="Palatino Linotype" w:cs="Arial"/>
          <w:lang w:eastAsia="es-MX"/>
        </w:rPr>
      </w:pPr>
      <w:r w:rsidRPr="00BE448F">
        <w:rPr>
          <w:noProof/>
          <w:lang w:val="es-MX" w:eastAsia="es-MX"/>
        </w:rPr>
        <w:drawing>
          <wp:inline distT="0" distB="0" distL="0" distR="0" wp14:anchorId="69A0A7DF" wp14:editId="27CBA6F6">
            <wp:extent cx="5337945" cy="33586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40" t="21215" r="34826" b="43732"/>
                    <a:stretch/>
                  </pic:blipFill>
                  <pic:spPr bwMode="auto">
                    <a:xfrm>
                      <a:off x="0" y="0"/>
                      <a:ext cx="5354657" cy="3369176"/>
                    </a:xfrm>
                    <a:prstGeom prst="rect">
                      <a:avLst/>
                    </a:prstGeom>
                    <a:ln>
                      <a:noFill/>
                    </a:ln>
                    <a:extLst>
                      <a:ext uri="{53640926-AAD7-44D8-BBD7-CCE9431645EC}">
                        <a14:shadowObscured xmlns:a14="http://schemas.microsoft.com/office/drawing/2010/main"/>
                      </a:ext>
                    </a:extLst>
                  </pic:spPr>
                </pic:pic>
              </a:graphicData>
            </a:graphic>
          </wp:inline>
        </w:drawing>
      </w:r>
    </w:p>
    <w:p w14:paraId="465D6CF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929AB5B" w14:textId="64026575"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De lo anterior se desprende que el </w:t>
      </w:r>
      <w:r w:rsidRPr="00BE448F">
        <w:rPr>
          <w:rFonts w:ascii="Palatino Linotype" w:eastAsia="Calibri" w:hAnsi="Palatino Linotype" w:cs="Arial"/>
          <w:b/>
          <w:bCs/>
        </w:rPr>
        <w:t>SUJETO OBLIGADO</w:t>
      </w:r>
      <w:r w:rsidRPr="00BE448F">
        <w:rPr>
          <w:rFonts w:ascii="Palatino Linotype" w:eastAsia="Calibri" w:hAnsi="Palatino Linotype" w:cs="Arial"/>
        </w:rPr>
        <w:t xml:space="preserve"> defendió su negativa de entregar la información solicitada</w:t>
      </w:r>
      <w:r w:rsidR="00516E0B" w:rsidRPr="00BE448F">
        <w:rPr>
          <w:rFonts w:ascii="Palatino Linotype" w:eastAsia="Calibri" w:hAnsi="Palatino Linotype" w:cs="Arial"/>
        </w:rPr>
        <w:t xml:space="preserve"> medularmente</w:t>
      </w:r>
      <w:r w:rsidRPr="00BE448F">
        <w:rPr>
          <w:rFonts w:ascii="Palatino Linotype" w:eastAsia="Calibri" w:hAnsi="Palatino Linotype" w:cs="Arial"/>
        </w:rPr>
        <w:t xml:space="preserve"> con base en lo dispuesto por el artículo 140, </w:t>
      </w:r>
      <w:r w:rsidR="00C03B1D" w:rsidRPr="00BE448F">
        <w:rPr>
          <w:rFonts w:ascii="Palatino Linotype" w:eastAsia="Calibri" w:hAnsi="Palatino Linotype" w:cs="Arial"/>
        </w:rPr>
        <w:t>fracciones</w:t>
      </w:r>
      <w:r w:rsidRPr="00BE448F">
        <w:rPr>
          <w:rFonts w:ascii="Palatino Linotype" w:eastAsia="Calibri" w:hAnsi="Palatino Linotype" w:cs="Arial"/>
        </w:rPr>
        <w:t xml:space="preserve"> </w:t>
      </w:r>
      <w:r w:rsidR="00516E0B" w:rsidRPr="00BE448F">
        <w:rPr>
          <w:rFonts w:ascii="Palatino Linotype" w:eastAsia="Calibri" w:hAnsi="Palatino Linotype" w:cs="Arial"/>
        </w:rPr>
        <w:t>IV y VI</w:t>
      </w:r>
      <w:r w:rsidRPr="00BE448F">
        <w:rPr>
          <w:rFonts w:ascii="Palatino Linotype" w:eastAsia="Calibri" w:hAnsi="Palatino Linotype" w:cs="Arial"/>
        </w:rPr>
        <w:t xml:space="preserve">, de la Ley de Transparencia y Acceso a la Información Pública del Estado de México y Municipios, </w:t>
      </w:r>
      <w:r w:rsidRPr="00BE448F">
        <w:rPr>
          <w:rFonts w:ascii="Palatino Linotype" w:hAnsi="Palatino Linotype" w:cs="Arial"/>
        </w:rPr>
        <w:t>Municipios, cuyo contenido se vierte a continuación:</w:t>
      </w:r>
    </w:p>
    <w:p w14:paraId="1E9F65F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416F557"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center"/>
        <w:rPr>
          <w:rFonts w:ascii="Palatino Linotype" w:hAnsi="Palatino Linotype"/>
          <w:b/>
          <w:i/>
          <w:sz w:val="22"/>
        </w:rPr>
      </w:pPr>
      <w:r w:rsidRPr="00BE448F">
        <w:rPr>
          <w:rFonts w:ascii="Palatino Linotype" w:hAnsi="Palatino Linotype"/>
          <w:b/>
          <w:i/>
          <w:sz w:val="22"/>
        </w:rPr>
        <w:t>LEY DE TRANSPARENCIA Y ACCESO A LA INFORMACIÓN PÚBLICA DEL ESTADO DE MÉXICO Y MUNICIPIOS</w:t>
      </w:r>
    </w:p>
    <w:p w14:paraId="5FCEF12E"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t>“</w:t>
      </w:r>
      <w:r w:rsidRPr="00BE448F">
        <w:rPr>
          <w:rFonts w:ascii="Palatino Linotype" w:hAnsi="Palatino Linotype"/>
          <w:b/>
          <w:i/>
          <w:sz w:val="22"/>
        </w:rPr>
        <w:t>Artículo 140.</w:t>
      </w:r>
      <w:r w:rsidRPr="00BE448F">
        <w:rPr>
          <w:rFonts w:ascii="Palatino Linotype" w:hAnsi="Palatino Linotype"/>
          <w:i/>
          <w:sz w:val="22"/>
        </w:rPr>
        <w:t xml:space="preserve"> </w:t>
      </w:r>
      <w:r w:rsidRPr="00BE448F">
        <w:rPr>
          <w:rFonts w:ascii="Palatino Linotype" w:hAnsi="Palatino Linotype"/>
          <w:b/>
          <w:i/>
          <w:sz w:val="22"/>
        </w:rPr>
        <w:t>El acceso a la información pública será restringido</w:t>
      </w:r>
      <w:r w:rsidRPr="00BE448F">
        <w:rPr>
          <w:rFonts w:ascii="Palatino Linotype" w:hAnsi="Palatino Linotype"/>
          <w:i/>
          <w:sz w:val="22"/>
        </w:rPr>
        <w:t xml:space="preserve"> excepcionalmente, </w:t>
      </w:r>
      <w:r w:rsidRPr="00BE448F">
        <w:rPr>
          <w:rFonts w:ascii="Palatino Linotype" w:hAnsi="Palatino Linotype"/>
          <w:b/>
          <w:i/>
          <w:sz w:val="22"/>
        </w:rPr>
        <w:t>cuando</w:t>
      </w:r>
      <w:r w:rsidRPr="00BE448F">
        <w:rPr>
          <w:rFonts w:ascii="Palatino Linotype" w:hAnsi="Palatino Linotype"/>
          <w:i/>
          <w:sz w:val="22"/>
        </w:rPr>
        <w:t xml:space="preserve"> por razones de interés público, </w:t>
      </w:r>
      <w:r w:rsidRPr="00BE448F">
        <w:rPr>
          <w:rFonts w:ascii="Palatino Linotype" w:hAnsi="Palatino Linotype"/>
          <w:b/>
          <w:i/>
          <w:sz w:val="22"/>
        </w:rPr>
        <w:t xml:space="preserve">ésta sea </w:t>
      </w:r>
      <w:r w:rsidRPr="00BE448F">
        <w:rPr>
          <w:rFonts w:ascii="Palatino Linotype" w:hAnsi="Palatino Linotype"/>
          <w:b/>
          <w:i/>
          <w:sz w:val="22"/>
          <w:u w:val="single"/>
        </w:rPr>
        <w:t>clasificada como reservada</w:t>
      </w:r>
      <w:r w:rsidRPr="00BE448F">
        <w:rPr>
          <w:rFonts w:ascii="Palatino Linotype" w:hAnsi="Palatino Linotype"/>
          <w:b/>
          <w:i/>
          <w:sz w:val="22"/>
        </w:rPr>
        <w:t>, conforme a los criterios siguientes</w:t>
      </w:r>
      <w:r w:rsidRPr="00BE448F">
        <w:rPr>
          <w:rFonts w:ascii="Palatino Linotype" w:hAnsi="Palatino Linotype"/>
          <w:i/>
          <w:sz w:val="22"/>
        </w:rPr>
        <w:t>:</w:t>
      </w:r>
    </w:p>
    <w:p w14:paraId="5CAAE9D5" w14:textId="77777777" w:rsidR="00516E0B" w:rsidRPr="00BE448F" w:rsidRDefault="00516E0B"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p>
    <w:p w14:paraId="11431680" w14:textId="1FD22A3B" w:rsidR="00516E0B" w:rsidRPr="00BE448F" w:rsidRDefault="00516E0B"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lastRenderedPageBreak/>
        <w:t>(…)</w:t>
      </w:r>
    </w:p>
    <w:p w14:paraId="1F6CD19B" w14:textId="77777777" w:rsidR="00516E0B" w:rsidRPr="00BE448F" w:rsidRDefault="00516E0B"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p>
    <w:p w14:paraId="2CB1ECB2" w14:textId="34F988D0" w:rsidR="00516E0B" w:rsidRPr="00BE448F" w:rsidRDefault="00516E0B"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rPr>
      </w:pPr>
      <w:r w:rsidRPr="00BE448F">
        <w:rPr>
          <w:rFonts w:ascii="Palatino Linotype" w:hAnsi="Palatino Linotype"/>
          <w:i/>
        </w:rPr>
        <w:t>V. Ponga en riesgo la vida, la seguridad o la salud de una persona física;</w:t>
      </w:r>
    </w:p>
    <w:p w14:paraId="40D223C8" w14:textId="77777777" w:rsidR="00516E0B" w:rsidRPr="00BE448F" w:rsidRDefault="00516E0B"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p>
    <w:p w14:paraId="2107651A"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t>(…)</w:t>
      </w:r>
    </w:p>
    <w:p w14:paraId="33BE65CC"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b/>
          <w:i/>
          <w:sz w:val="22"/>
        </w:rPr>
        <w:t>VI. Pueda causar daño u obstruya la prevención o persecución de los delitos, altere el proceso de investigación de las carpetas de investigación, afecte o vulnere la conducción o los derechos del debido proceso en los procedimientos judiciales o administrativos</w:t>
      </w:r>
      <w:r w:rsidRPr="00BE448F">
        <w:rPr>
          <w:rFonts w:ascii="Palatino Linotype" w:hAnsi="Palatino Linotype"/>
          <w:i/>
          <w:sz w:val="22"/>
        </w:rPr>
        <w:t>,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A54044C"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t>(…)”</w:t>
      </w:r>
    </w:p>
    <w:p w14:paraId="35204EA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375ADC4" w14:textId="5D3527C1" w:rsidR="00DF6473" w:rsidRPr="00BE448F" w:rsidRDefault="00516E0B"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De la lectura al dispositivo normativo arriba transcrito</w:t>
      </w:r>
      <w:r w:rsidR="00DF6473" w:rsidRPr="00BE448F">
        <w:rPr>
          <w:rFonts w:ascii="Palatino Linotype" w:eastAsia="Calibri" w:hAnsi="Palatino Linotype" w:cs="Arial"/>
        </w:rPr>
        <w:t xml:space="preserve">, se desprende que el </w:t>
      </w:r>
      <w:r w:rsidR="00DF6473" w:rsidRPr="00BE448F">
        <w:rPr>
          <w:rFonts w:ascii="Palatino Linotype" w:eastAsia="Calibri" w:hAnsi="Palatino Linotype" w:cs="Arial"/>
          <w:b/>
          <w:bCs/>
        </w:rPr>
        <w:t>SUJETO OBLIGADO</w:t>
      </w:r>
      <w:r w:rsidR="00DF6473" w:rsidRPr="00BE448F">
        <w:rPr>
          <w:rFonts w:ascii="Palatino Linotype" w:eastAsia="Calibri" w:hAnsi="Palatino Linotype" w:cs="Arial"/>
        </w:rPr>
        <w:t xml:space="preserve"> determinó que</w:t>
      </w:r>
      <w:r w:rsidRPr="00BE448F">
        <w:rPr>
          <w:rFonts w:ascii="Palatino Linotype" w:eastAsia="Calibri" w:hAnsi="Palatino Linotype" w:cs="Arial"/>
        </w:rPr>
        <w:t xml:space="preserve"> la información sobre las faltas administrativas graves y no graves se relacionaba</w:t>
      </w:r>
      <w:r w:rsidR="00DF6473" w:rsidRPr="00BE448F">
        <w:rPr>
          <w:rFonts w:ascii="Palatino Linotype" w:eastAsia="Calibri" w:hAnsi="Palatino Linotype" w:cs="Arial"/>
        </w:rPr>
        <w:t xml:space="preserve"> con los supuestos de re</w:t>
      </w:r>
      <w:r w:rsidRPr="00BE448F">
        <w:rPr>
          <w:rFonts w:ascii="Palatino Linotype" w:eastAsia="Calibri" w:hAnsi="Palatino Linotype" w:cs="Arial"/>
        </w:rPr>
        <w:t xml:space="preserve">serva contenidos en las fracciones V y </w:t>
      </w:r>
      <w:r w:rsidR="00DF6473" w:rsidRPr="00BE448F">
        <w:rPr>
          <w:rFonts w:ascii="Palatino Linotype" w:eastAsia="Calibri" w:hAnsi="Palatino Linotype" w:cs="Arial"/>
        </w:rPr>
        <w:t>VI, del artículo 140 de la Ley de la materia</w:t>
      </w:r>
      <w:r w:rsidRPr="00BE448F">
        <w:rPr>
          <w:rFonts w:ascii="Palatino Linotype" w:eastAsia="Calibri" w:hAnsi="Palatino Linotype" w:cs="Arial"/>
        </w:rPr>
        <w:t xml:space="preserve"> las</w:t>
      </w:r>
      <w:r w:rsidR="00DF6473" w:rsidRPr="00BE448F">
        <w:rPr>
          <w:rFonts w:ascii="Palatino Linotype" w:eastAsia="Calibri" w:hAnsi="Palatino Linotype" w:cs="Arial"/>
        </w:rPr>
        <w:t xml:space="preserve"> cuales, refieren que la información deberá clasificarse como reservada </w:t>
      </w:r>
      <w:r w:rsidRPr="00BE448F">
        <w:rPr>
          <w:rFonts w:ascii="Palatino Linotype" w:hAnsi="Palatino Linotype" w:cs="Arial"/>
        </w:rPr>
        <w:t>cuando su publicación ponga en riesgo la vida, la seguridad o la salud de una persona o pueda</w:t>
      </w:r>
      <w:r w:rsidR="00DF6473" w:rsidRPr="00BE448F">
        <w:rPr>
          <w:rFonts w:ascii="Palatino Linotype" w:hAnsi="Palatino Linotype" w:cs="Arial"/>
        </w:rPr>
        <w:t xml:space="preserve"> entorpecer u obstruir la prevención y persecución de los delitos, alterar el proceso de investigación o el </w:t>
      </w:r>
      <w:proofErr w:type="spellStart"/>
      <w:r w:rsidR="00DF6473" w:rsidRPr="00BE448F">
        <w:rPr>
          <w:rFonts w:ascii="Palatino Linotype" w:hAnsi="Palatino Linotype" w:cs="Arial"/>
        </w:rPr>
        <w:t>fincamiento</w:t>
      </w:r>
      <w:proofErr w:type="spellEnd"/>
      <w:r w:rsidR="00DF6473" w:rsidRPr="00BE448F">
        <w:rPr>
          <w:rFonts w:ascii="Palatino Linotype" w:hAnsi="Palatino Linotype" w:cs="Arial"/>
        </w:rPr>
        <w:t xml:space="preserve"> de responsabilidades administrativas a los servidores públicos hasta en tanto no se haya dictado la resolución correspondiente.</w:t>
      </w:r>
    </w:p>
    <w:p w14:paraId="4497F6EB"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BF67C02" w14:textId="1A2E446A" w:rsidR="00F17608"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BE448F">
        <w:rPr>
          <w:rFonts w:ascii="Palatino Linotype" w:eastAsia="Calibri" w:hAnsi="Palatino Linotype" w:cs="Arial"/>
        </w:rPr>
        <w:lastRenderedPageBreak/>
        <w:t>Sin embargo, es impe</w:t>
      </w:r>
      <w:r w:rsidR="00F17608" w:rsidRPr="00BE448F">
        <w:rPr>
          <w:rFonts w:ascii="Palatino Linotype" w:eastAsia="Calibri" w:hAnsi="Palatino Linotype" w:cs="Arial"/>
        </w:rPr>
        <w:t xml:space="preserve">rativo mencionar que si bien la </w:t>
      </w:r>
      <w:r w:rsidR="00CB7B22" w:rsidRPr="00BE448F">
        <w:rPr>
          <w:rFonts w:ascii="Palatino Linotype" w:eastAsia="Calibri" w:hAnsi="Palatino Linotype" w:cs="Arial"/>
        </w:rPr>
        <w:t>pretensión</w:t>
      </w:r>
      <w:r w:rsidR="00F17608" w:rsidRPr="00BE448F">
        <w:rPr>
          <w:rFonts w:ascii="Palatino Linotype" w:eastAsia="Calibri" w:hAnsi="Palatino Linotype" w:cs="Arial"/>
        </w:rPr>
        <w:t xml:space="preserve"> del </w:t>
      </w:r>
      <w:r w:rsidRPr="00BE448F">
        <w:rPr>
          <w:rFonts w:ascii="Palatino Linotype" w:eastAsia="Calibri" w:hAnsi="Palatino Linotype" w:cs="Arial"/>
          <w:b/>
          <w:bCs/>
        </w:rPr>
        <w:t>SUJETO OBLIGADO</w:t>
      </w:r>
      <w:r w:rsidR="00F17608" w:rsidRPr="00BE448F">
        <w:rPr>
          <w:rFonts w:ascii="Palatino Linotype" w:eastAsia="Calibri" w:hAnsi="Palatino Linotype" w:cs="Arial"/>
          <w:b/>
          <w:bCs/>
        </w:rPr>
        <w:t xml:space="preserve"> es</w:t>
      </w:r>
      <w:r w:rsidRPr="00BE448F">
        <w:rPr>
          <w:rFonts w:ascii="Palatino Linotype" w:eastAsia="Calibri" w:hAnsi="Palatino Linotype" w:cs="Arial"/>
        </w:rPr>
        <w:t xml:space="preserve"> clasificar la información en </w:t>
      </w:r>
      <w:r w:rsidR="00516E0B" w:rsidRPr="00BE448F">
        <w:rPr>
          <w:rFonts w:ascii="Palatino Linotype" w:eastAsia="Calibri" w:hAnsi="Palatino Linotype" w:cs="Arial"/>
        </w:rPr>
        <w:t xml:space="preserve">términos de </w:t>
      </w:r>
      <w:r w:rsidRPr="00BE448F">
        <w:rPr>
          <w:rFonts w:ascii="Palatino Linotype" w:eastAsia="Calibri" w:hAnsi="Palatino Linotype" w:cs="Arial"/>
        </w:rPr>
        <w:t xml:space="preserve">los dispositivos legales señalados en el párrafo anterior, </w:t>
      </w:r>
      <w:r w:rsidR="00F17608" w:rsidRPr="00BE448F">
        <w:rPr>
          <w:rFonts w:ascii="Palatino Linotype" w:eastAsia="Calibri" w:hAnsi="Palatino Linotype" w:cs="Arial"/>
        </w:rPr>
        <w:t xml:space="preserve">dicha aseveración no es suficiente para restringir el derecho accionado por el particular,  así es preciso referir en primer lugar que </w:t>
      </w:r>
      <w:r w:rsidR="00F17608" w:rsidRPr="00BE448F">
        <w:rPr>
          <w:rFonts w:ascii="Palatino Linotype" w:hAnsi="Palatino Linotype"/>
          <w:color w:val="000000" w:themeColor="text1"/>
        </w:rPr>
        <w:t>al respecto, la Ley de Responsabilidades Administrativas del Estado de México y Municipios establece y diferencia, en sus artículos 50, 51 y 52, las faltas administrativas no graves y graves, respectivamente, en que pueden incurrir los servidores públicos, a saber:</w:t>
      </w:r>
    </w:p>
    <w:p w14:paraId="7A00217B"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721153D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w:t>
      </w:r>
      <w:r w:rsidRPr="00BE448F">
        <w:rPr>
          <w:rFonts w:ascii="Palatino Linotype" w:hAnsi="Palatino Linotype"/>
          <w:b/>
          <w:i/>
          <w:sz w:val="22"/>
        </w:rPr>
        <w:t>Artículo 50</w:t>
      </w:r>
      <w:r w:rsidRPr="00BE448F">
        <w:rPr>
          <w:rFonts w:ascii="Palatino Linotype" w:hAnsi="Palatino Linotype"/>
          <w:bCs/>
          <w:i/>
          <w:sz w:val="22"/>
        </w:rPr>
        <w:t xml:space="preserve">. Incurre en falta administrativa no grave, el servidor público que con sus actos u omisiones, incumpla o transgreda las obligaciones siguientes: </w:t>
      </w:r>
    </w:p>
    <w:p w14:paraId="1DC9FECD"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I.</w:t>
      </w:r>
      <w:r w:rsidRPr="00BE448F">
        <w:rPr>
          <w:rFonts w:ascii="Palatino Linotype" w:hAnsi="Palatino Linotype"/>
          <w:bCs/>
          <w:i/>
          <w:sz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6940D204"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II.</w:t>
      </w:r>
      <w:r w:rsidRPr="00BE448F">
        <w:rPr>
          <w:rFonts w:ascii="Palatino Linotype" w:hAnsi="Palatino Linotype"/>
          <w:bCs/>
          <w:i/>
          <w:sz w:val="22"/>
        </w:rPr>
        <w:t xml:space="preserve"> Denunciar los actos u omisiones que en ejercicio de sus funciones llegare a advertir, que puedan constituir faltas administrativas en términos del artículo 95 de la presente Ley. </w:t>
      </w:r>
    </w:p>
    <w:p w14:paraId="76C5D198"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III.</w:t>
      </w:r>
      <w:r w:rsidRPr="00BE448F">
        <w:rPr>
          <w:rFonts w:ascii="Palatino Linotype" w:hAnsi="Palatino Linotype"/>
          <w:bCs/>
          <w:i/>
          <w:sz w:val="22"/>
        </w:rPr>
        <w:t xml:space="preserve"> Atender las instrucciones de sus superiores, siempre que éstas sean acordes con las disposiciones relacionadas con el servicio público. </w:t>
      </w:r>
    </w:p>
    <w:p w14:paraId="1E06B4D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En caso de recibir instrucción o encomienda contraria a dichas disposiciones, deberá denunciar esta circunstancia en términos del artículo 95 de la presente Ley.</w:t>
      </w:r>
    </w:p>
    <w:p w14:paraId="0255A436"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IV.</w:t>
      </w:r>
      <w:r w:rsidRPr="00BE448F">
        <w:rPr>
          <w:rFonts w:ascii="Palatino Linotype" w:hAnsi="Palatino Linotype"/>
          <w:bCs/>
          <w:i/>
          <w:sz w:val="22"/>
        </w:rPr>
        <w:t xml:space="preserve"> Presentar en tiempo y forma la declaración de situación patrimonial y la de intereses que, en su caso, considere se actualice, en los términos establecidos por esta Ley. </w:t>
      </w:r>
    </w:p>
    <w:p w14:paraId="2A894CE3"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lastRenderedPageBreak/>
        <w:t>V.</w:t>
      </w:r>
      <w:r w:rsidRPr="00BE448F">
        <w:rPr>
          <w:rFonts w:ascii="Palatino Linotype" w:hAnsi="Palatino Linotype"/>
          <w:bCs/>
          <w:i/>
          <w:sz w:val="22"/>
        </w:rPr>
        <w:t xml:space="preserve"> Rendir cuentas sobre el ejercicio de las funciones, en términos de las normas aplicables. </w:t>
      </w:r>
    </w:p>
    <w:p w14:paraId="70576CD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VI.</w:t>
      </w:r>
      <w:r w:rsidRPr="00BE448F">
        <w:rPr>
          <w:rFonts w:ascii="Palatino Linotype" w:hAnsi="Palatino Linotype"/>
          <w:bCs/>
          <w:i/>
          <w:sz w:val="22"/>
        </w:rPr>
        <w:t xml:space="preserve"> Colaborar en los procedimientos judiciales y administrativos en los que sea parte. </w:t>
      </w:r>
    </w:p>
    <w:p w14:paraId="64F6824A"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VII.</w:t>
      </w:r>
      <w:r w:rsidRPr="00BE448F">
        <w:rPr>
          <w:rFonts w:ascii="Palatino Linotype" w:hAnsi="Palatino Linotype"/>
          <w:bCs/>
          <w:i/>
          <w:sz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5FF12E2B"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428506EE"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0467B41A"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VIII.</w:t>
      </w:r>
      <w:r w:rsidRPr="00BE448F">
        <w:rPr>
          <w:rFonts w:ascii="Palatino Linotype" w:hAnsi="Palatino Linotype"/>
          <w:bCs/>
          <w:i/>
          <w:sz w:val="22"/>
        </w:rPr>
        <w:t xml:space="preserve"> Actuar y ejecutar legalmente con la máxima diligencia, los planes, programas, presupuestos y demás normas a fin de alcanzar las metas </w:t>
      </w:r>
      <w:r w:rsidRPr="00BE448F">
        <w:rPr>
          <w:rFonts w:ascii="Palatino Linotype" w:hAnsi="Palatino Linotype"/>
          <w:bCs/>
          <w:i/>
          <w:sz w:val="22"/>
        </w:rPr>
        <w:lastRenderedPageBreak/>
        <w:t xml:space="preserve">institucionales según sus responsabilidades, conforme a una cultura de servicio orientada al logro de resultados. </w:t>
      </w:r>
    </w:p>
    <w:p w14:paraId="1975028B"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IX.</w:t>
      </w:r>
      <w:r w:rsidRPr="00BE448F">
        <w:rPr>
          <w:rFonts w:ascii="Palatino Linotype" w:hAnsi="Palatino Linotype"/>
          <w:bCs/>
          <w:i/>
          <w:sz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38EF51B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w:t>
      </w:r>
      <w:r w:rsidRPr="00BE448F">
        <w:rPr>
          <w:rFonts w:ascii="Palatino Linotype" w:hAnsi="Palatino Linotype"/>
          <w:bCs/>
          <w:i/>
          <w:sz w:val="22"/>
        </w:rPr>
        <w:t xml:space="preserve"> Observar buena conducta en su empleo, cargo o comisión tratando con respeto, diligencia, imparcialidad y rectitud a las personas y servidores públicos con los que tenga relación con motivo de éste. </w:t>
      </w:r>
    </w:p>
    <w:p w14:paraId="501E63F8"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XI.</w:t>
      </w:r>
      <w:r w:rsidRPr="00BE448F">
        <w:rPr>
          <w:rFonts w:ascii="Palatino Linotype" w:hAnsi="Palatino Linotype"/>
          <w:bCs/>
          <w:i/>
          <w:sz w:val="22"/>
        </w:rPr>
        <w:t xml:space="preserve"> Observar un trato respetuoso con sus subalternos. </w:t>
      </w:r>
    </w:p>
    <w:p w14:paraId="38EE0B6B"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XII.</w:t>
      </w:r>
      <w:r w:rsidRPr="00BE448F">
        <w:rPr>
          <w:rFonts w:ascii="Palatino Linotype" w:hAnsi="Palatino Linotype"/>
          <w:bCs/>
          <w:i/>
          <w:sz w:val="22"/>
        </w:rPr>
        <w:t xml:space="preserve"> Supervisar que los servidores públicos sujetos a su dirección, cumplan con las disposiciones de esta Ley. </w:t>
      </w:r>
    </w:p>
    <w:p w14:paraId="1F38D80C"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XIII.</w:t>
      </w:r>
      <w:r w:rsidRPr="00BE448F">
        <w:rPr>
          <w:rFonts w:ascii="Palatino Linotype" w:hAnsi="Palatino Linotype"/>
          <w:bCs/>
          <w:i/>
          <w:sz w:val="22"/>
        </w:rPr>
        <w:t xml:space="preserve"> Cumplir con la entrega de índole administrativo del despacho y de toda aquella documentación inherente a su cargo, en los términos que establezcan las disposiciones legales o administrativas que al efecto se señalen. </w:t>
      </w:r>
    </w:p>
    <w:p w14:paraId="62C50578"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XIV.</w:t>
      </w:r>
      <w:r w:rsidRPr="00BE448F">
        <w:rPr>
          <w:rFonts w:ascii="Palatino Linotype" w:hAnsi="Palatino Linotype"/>
          <w:bCs/>
          <w:i/>
          <w:sz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3B6FC6E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XV.</w:t>
      </w:r>
      <w:r w:rsidRPr="00BE448F">
        <w:rPr>
          <w:rFonts w:ascii="Palatino Linotype" w:hAnsi="Palatino Linotype"/>
          <w:bCs/>
          <w:i/>
          <w:sz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4A2D69F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XVI.</w:t>
      </w:r>
      <w:r w:rsidRPr="00BE448F">
        <w:rPr>
          <w:rFonts w:ascii="Palatino Linotype" w:hAnsi="Palatino Linotype"/>
          <w:bCs/>
          <w:i/>
          <w:sz w:val="22"/>
        </w:rPr>
        <w:t xml:space="preserve"> Cumplir con las disposiciones en materia de Gobierno Digital que impongan la Ley de la materia, su reglamento y demás disposiciones aplicables. </w:t>
      </w:r>
    </w:p>
    <w:p w14:paraId="4B4847A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XVII.</w:t>
      </w:r>
      <w:r w:rsidRPr="00BE448F">
        <w:rPr>
          <w:rFonts w:ascii="Palatino Linotype" w:hAnsi="Palatino Linotype"/>
          <w:bCs/>
          <w:i/>
          <w:sz w:val="22"/>
        </w:rPr>
        <w:t xml:space="preserve"> Utilizar las medidas de seguridad informática y protección de datos e información personal recomendada por las instancias competentes. </w:t>
      </w:r>
    </w:p>
    <w:p w14:paraId="2EF2DB9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lastRenderedPageBreak/>
        <w:t>XVIII.</w:t>
      </w:r>
      <w:r w:rsidRPr="00BE448F">
        <w:rPr>
          <w:rFonts w:ascii="Palatino Linotype" w:hAnsi="Palatino Linotype"/>
          <w:bCs/>
          <w:i/>
          <w:sz w:val="22"/>
        </w:rPr>
        <w:t xml:space="preserve"> Cumplir oportunamente con los laudos que dicte el Tribunal Estatal de Conciliación y Arbitraje o cualquier de las Salas Auxiliares del mismo, así como pagar el monto de las indemnizaciones y demás prestaciones a que tenga derecho el servidor público, y </w:t>
      </w:r>
    </w:p>
    <w:p w14:paraId="35DE1F18"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XIX.</w:t>
      </w:r>
      <w:r w:rsidRPr="00BE448F">
        <w:rPr>
          <w:rFonts w:ascii="Palatino Linotype" w:hAnsi="Palatino Linotype"/>
          <w:bCs/>
          <w:i/>
          <w:sz w:val="22"/>
        </w:rPr>
        <w:t xml:space="preserve"> Las demás que le impongan las leyes, reglamentos o disposiciones administrativas aplicables. </w:t>
      </w:r>
    </w:p>
    <w:p w14:paraId="255BB842"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p>
    <w:p w14:paraId="4AB87BF7"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
          <w:i/>
          <w:sz w:val="22"/>
        </w:rPr>
        <w:t>Artículo 51.</w:t>
      </w:r>
      <w:r w:rsidRPr="00BE448F">
        <w:rPr>
          <w:rFonts w:ascii="Palatino Linotype" w:hAnsi="Palatino Linotype"/>
          <w:bCs/>
          <w:i/>
          <w:sz w:val="22"/>
        </w:rPr>
        <w:t xml:space="preserve">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22789138"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w:t>
      </w:r>
      <w:proofErr w:type="spellStart"/>
      <w:r w:rsidRPr="00BE448F">
        <w:rPr>
          <w:rFonts w:ascii="Palatino Linotype" w:hAnsi="Palatino Linotype"/>
          <w:bCs/>
          <w:i/>
          <w:sz w:val="22"/>
        </w:rPr>
        <w:t>resolutora</w:t>
      </w:r>
      <w:proofErr w:type="spellEnd"/>
      <w:r w:rsidRPr="00BE448F">
        <w:rPr>
          <w:rFonts w:ascii="Palatino Linotype" w:hAnsi="Palatino Linotype"/>
          <w:bCs/>
          <w:i/>
          <w:sz w:val="22"/>
        </w:rPr>
        <w:t xml:space="preserve">. </w:t>
      </w:r>
    </w:p>
    <w:p w14:paraId="0667C6B2"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563E5ABA"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Cs/>
          <w:i/>
          <w:sz w:val="22"/>
        </w:rPr>
      </w:pPr>
      <w:r w:rsidRPr="00BE448F">
        <w:rPr>
          <w:rFonts w:ascii="Palatino Linotype" w:hAnsi="Palatino Linotype"/>
          <w:bCs/>
          <w:i/>
          <w:sz w:val="22"/>
        </w:rPr>
        <w:t xml:space="preserve">La autoridad </w:t>
      </w:r>
      <w:proofErr w:type="spellStart"/>
      <w:r w:rsidRPr="00BE448F">
        <w:rPr>
          <w:rFonts w:ascii="Palatino Linotype" w:hAnsi="Palatino Linotype"/>
          <w:bCs/>
          <w:i/>
          <w:sz w:val="22"/>
        </w:rPr>
        <w:t>resolutora</w:t>
      </w:r>
      <w:proofErr w:type="spellEnd"/>
      <w:r w:rsidRPr="00BE448F">
        <w:rPr>
          <w:rFonts w:ascii="Palatino Linotype" w:hAnsi="Palatino Linotype"/>
          <w:bCs/>
          <w:i/>
          <w:sz w:val="22"/>
        </w:rPr>
        <w:t xml:space="preserve">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312B7706"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b/>
          <w:i/>
          <w:sz w:val="22"/>
        </w:rPr>
      </w:pPr>
    </w:p>
    <w:p w14:paraId="6B81F8C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lastRenderedPageBreak/>
        <w:t>Artículo 52.</w:t>
      </w:r>
      <w:r w:rsidRPr="00BE448F">
        <w:rPr>
          <w:rFonts w:ascii="Palatino Linotype" w:hAnsi="Palatino Linotype"/>
          <w:i/>
          <w:sz w:val="22"/>
        </w:rPr>
        <w:t xml:space="preserve"> Para efectos de la presente Ley, se consideran faltas administrativas graves de los servidores públicos, mediante cualquier acto u omisión, las siguientes: </w:t>
      </w:r>
    </w:p>
    <w:p w14:paraId="7431845D"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w:t>
      </w:r>
      <w:r w:rsidRPr="00BE448F">
        <w:rPr>
          <w:rFonts w:ascii="Palatino Linotype" w:hAnsi="Palatino Linotype"/>
          <w:i/>
          <w:sz w:val="22"/>
        </w:rPr>
        <w:t xml:space="preserve"> El cohecho. </w:t>
      </w:r>
    </w:p>
    <w:p w14:paraId="2AAFEC1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II.</w:t>
      </w:r>
      <w:r w:rsidRPr="00BE448F">
        <w:rPr>
          <w:rFonts w:ascii="Palatino Linotype" w:hAnsi="Palatino Linotype"/>
          <w:i/>
          <w:sz w:val="22"/>
        </w:rPr>
        <w:t xml:space="preserve"> El peculado. </w:t>
      </w:r>
    </w:p>
    <w:p w14:paraId="3A00A4B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III.</w:t>
      </w:r>
      <w:r w:rsidRPr="00BE448F">
        <w:rPr>
          <w:rFonts w:ascii="Palatino Linotype" w:hAnsi="Palatino Linotype"/>
          <w:i/>
          <w:sz w:val="22"/>
        </w:rPr>
        <w:t xml:space="preserve"> El desvío de recursos públicos. </w:t>
      </w:r>
    </w:p>
    <w:p w14:paraId="45BAE39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IV.</w:t>
      </w:r>
      <w:r w:rsidRPr="00BE448F">
        <w:rPr>
          <w:rFonts w:ascii="Palatino Linotype" w:hAnsi="Palatino Linotype"/>
          <w:i/>
          <w:sz w:val="22"/>
        </w:rPr>
        <w:t xml:space="preserve"> La utilización indebida de información. </w:t>
      </w:r>
    </w:p>
    <w:p w14:paraId="2DB9975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w:t>
      </w:r>
      <w:r w:rsidRPr="00BE448F">
        <w:rPr>
          <w:rFonts w:ascii="Palatino Linotype" w:hAnsi="Palatino Linotype"/>
          <w:i/>
          <w:sz w:val="22"/>
        </w:rPr>
        <w:t xml:space="preserve"> El abuso de funciones. </w:t>
      </w:r>
    </w:p>
    <w:p w14:paraId="43EF674E"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VI.</w:t>
      </w:r>
      <w:r w:rsidRPr="00BE448F">
        <w:rPr>
          <w:rFonts w:ascii="Palatino Linotype" w:hAnsi="Palatino Linotype"/>
          <w:i/>
          <w:sz w:val="22"/>
        </w:rPr>
        <w:t xml:space="preserve"> Cometer o tolerar conductas de hostigamiento y acoso sexual. </w:t>
      </w:r>
    </w:p>
    <w:p w14:paraId="525AE37E"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VII.</w:t>
      </w:r>
      <w:r w:rsidRPr="00BE448F">
        <w:rPr>
          <w:rFonts w:ascii="Palatino Linotype" w:hAnsi="Palatino Linotype"/>
          <w:i/>
          <w:sz w:val="22"/>
        </w:rPr>
        <w:t xml:space="preserve"> El actuar bajo conflicto de interés. </w:t>
      </w:r>
    </w:p>
    <w:p w14:paraId="03D62F8B"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VIII.</w:t>
      </w:r>
      <w:r w:rsidRPr="00BE448F">
        <w:rPr>
          <w:rFonts w:ascii="Palatino Linotype" w:hAnsi="Palatino Linotype"/>
          <w:i/>
          <w:sz w:val="22"/>
        </w:rPr>
        <w:t xml:space="preserve"> La contratación indebida. </w:t>
      </w:r>
    </w:p>
    <w:p w14:paraId="4AEAA802"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IX.</w:t>
      </w:r>
      <w:r w:rsidRPr="00BE448F">
        <w:rPr>
          <w:rFonts w:ascii="Palatino Linotype" w:hAnsi="Palatino Linotype"/>
          <w:i/>
          <w:sz w:val="22"/>
        </w:rPr>
        <w:t xml:space="preserve"> El enriquecimiento oculto u ocultamiento de conflicto de interés. </w:t>
      </w:r>
    </w:p>
    <w:p w14:paraId="273C3DA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X.</w:t>
      </w:r>
      <w:r w:rsidRPr="00BE448F">
        <w:rPr>
          <w:rFonts w:ascii="Palatino Linotype" w:hAnsi="Palatino Linotype"/>
          <w:i/>
          <w:sz w:val="22"/>
        </w:rPr>
        <w:t xml:space="preserve"> El tráfico de influencias. </w:t>
      </w:r>
    </w:p>
    <w:p w14:paraId="4D15085A"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XI.</w:t>
      </w:r>
      <w:r w:rsidRPr="00BE448F">
        <w:rPr>
          <w:rFonts w:ascii="Palatino Linotype" w:hAnsi="Palatino Linotype"/>
          <w:i/>
          <w:sz w:val="22"/>
        </w:rPr>
        <w:t xml:space="preserve"> El encubrimiento. </w:t>
      </w:r>
    </w:p>
    <w:p w14:paraId="3AEE4DB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XII.</w:t>
      </w:r>
      <w:r w:rsidRPr="00BE448F">
        <w:rPr>
          <w:rFonts w:ascii="Palatino Linotype" w:hAnsi="Palatino Linotype"/>
          <w:i/>
          <w:sz w:val="22"/>
        </w:rPr>
        <w:t xml:space="preserve"> El desacato. </w:t>
      </w:r>
    </w:p>
    <w:p w14:paraId="63296530"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eastAsia="Calibri" w:hAnsi="Palatino Linotype" w:cs="Arial"/>
          <w:i/>
          <w:sz w:val="22"/>
        </w:rPr>
      </w:pPr>
      <w:r w:rsidRPr="00BE448F">
        <w:rPr>
          <w:rFonts w:ascii="Palatino Linotype" w:hAnsi="Palatino Linotype"/>
          <w:b/>
          <w:i/>
          <w:sz w:val="22"/>
        </w:rPr>
        <w:t>XIII.</w:t>
      </w:r>
      <w:r w:rsidRPr="00BE448F">
        <w:rPr>
          <w:rFonts w:ascii="Palatino Linotype" w:hAnsi="Palatino Linotype"/>
          <w:i/>
          <w:sz w:val="22"/>
        </w:rPr>
        <w:t xml:space="preserve"> La obstrucción de la Justicia.</w:t>
      </w:r>
    </w:p>
    <w:p w14:paraId="461BC33F"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321E1570"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Dentro de la etapa de investigación, las autoridades investigadoras deberán observar los principios de legalidad, imparcialidad, objetividad, congruencia, verdad material y respeto a los derechos humanos. Serán responsables de realizar con oportunidad, exhaustividad y eficiencia la investigación, la integralidad de los datos y documentos, así como el resguardo del expediente en su conjunto</w:t>
      </w:r>
      <w:r w:rsidRPr="00BE448F">
        <w:rPr>
          <w:rStyle w:val="Refdenotaalpie"/>
          <w:rFonts w:ascii="Palatino Linotype" w:eastAsia="Calibri" w:hAnsi="Palatino Linotype" w:cs="Arial"/>
        </w:rPr>
        <w:footnoteReference w:id="9"/>
      </w:r>
      <w:r w:rsidRPr="00BE448F">
        <w:rPr>
          <w:rFonts w:ascii="Palatino Linotype" w:eastAsia="Calibri" w:hAnsi="Palatino Linotype" w:cs="Arial"/>
        </w:rPr>
        <w:t xml:space="preserve">.  En concordancia con lo anterior, llevarán de oficio las auditorías o investigaciones debidamente fundadas y motivadas respecto de las conductas de los servidores </w:t>
      </w:r>
      <w:r w:rsidRPr="00BE448F">
        <w:rPr>
          <w:rFonts w:ascii="Palatino Linotype" w:eastAsia="Calibri" w:hAnsi="Palatino Linotype" w:cs="Arial"/>
        </w:rPr>
        <w:lastRenderedPageBreak/>
        <w:t>públicos y particulares que puedan constituir responsabilidades administrativas en el ámbito de su competencia</w:t>
      </w:r>
      <w:r w:rsidRPr="00BE448F">
        <w:rPr>
          <w:rStyle w:val="Refdenotaalpie"/>
          <w:rFonts w:ascii="Palatino Linotype" w:eastAsia="Calibri" w:hAnsi="Palatino Linotype" w:cs="Arial"/>
        </w:rPr>
        <w:footnoteReference w:id="10"/>
      </w:r>
      <w:r w:rsidRPr="00BE448F">
        <w:rPr>
          <w:rFonts w:ascii="Palatino Linotype" w:eastAsia="Calibri" w:hAnsi="Palatino Linotype" w:cs="Arial"/>
        </w:rPr>
        <w:t>. Para ello, tendrán acceso a toda la información necesaria para el esclarecimiento de los hechos, incluyendo aquélla que las disposiciones legales en la materia consideren con carácter de reservada o confidencial, siempre que esté relacionada con la comisión de infracciones a que se refiere la Ley de Responsabilidades Administrativas del Estado de México y Municipios, con la obligación de mantener la misma reserva o secrecía, conforme a lo que determinen las leyes; inclusive, podrán ordenar la práctica de visitas de verificación.</w:t>
      </w:r>
      <w:r w:rsidRPr="00BE448F">
        <w:rPr>
          <w:rStyle w:val="Refdenotaalpie"/>
          <w:rFonts w:ascii="Palatino Linotype" w:eastAsia="Calibri" w:hAnsi="Palatino Linotype" w:cs="Arial"/>
        </w:rPr>
        <w:footnoteReference w:id="11"/>
      </w:r>
      <w:r w:rsidRPr="00BE448F">
        <w:rPr>
          <w:rFonts w:ascii="Palatino Linotype" w:eastAsia="Calibri" w:hAnsi="Palatino Linotype" w:cs="Arial"/>
        </w:rPr>
        <w:t xml:space="preserve"> La autoridad investigadora podrá hacer uso de las siguientes medidas para hacer cumplir sus determinaciones</w:t>
      </w:r>
      <w:r w:rsidRPr="00BE448F">
        <w:rPr>
          <w:rStyle w:val="Refdenotaalpie"/>
          <w:rFonts w:ascii="Palatino Linotype" w:eastAsia="Calibri" w:hAnsi="Palatino Linotype" w:cs="Arial"/>
        </w:rPr>
        <w:footnoteReference w:id="12"/>
      </w:r>
      <w:r w:rsidRPr="00BE448F">
        <w:rPr>
          <w:rFonts w:ascii="Palatino Linotype" w:eastAsia="Calibri" w:hAnsi="Palatino Linotype" w:cs="Arial"/>
        </w:rPr>
        <w:t>:</w:t>
      </w:r>
    </w:p>
    <w:p w14:paraId="44126B46"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47294374" w14:textId="77777777" w:rsidR="00F17608" w:rsidRPr="00BE448F" w:rsidRDefault="00F17608"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t xml:space="preserve">Multa hasta por la cantidad equivalente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 </w:t>
      </w:r>
    </w:p>
    <w:p w14:paraId="150D83D9" w14:textId="77777777" w:rsidR="00F17608" w:rsidRPr="00BE448F" w:rsidRDefault="00F17608"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t xml:space="preserve">Solicitar el auxilio de la fuerza pública de cualquier orden de gobierno estatal o municipal, los que deberán de atender de inmediato el requerimiento de la autoridad, o </w:t>
      </w:r>
    </w:p>
    <w:p w14:paraId="4287D2FB" w14:textId="77777777" w:rsidR="00F17608" w:rsidRPr="00BE448F" w:rsidRDefault="00F17608"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t>Arresto hasta por treinta y seis horas.</w:t>
      </w:r>
    </w:p>
    <w:p w14:paraId="6FB5B508"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28EEE98C"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Una vez concluidas las diligencias de investigación, las autoridades investigadoras procederán al análisis de los hechos, así como de la información recabada, a efecto de determinar la existencia o inexistencia de actos u omisiones que la Ley señale como falta administrativa</w:t>
      </w:r>
      <w:r w:rsidRPr="00BE448F">
        <w:rPr>
          <w:rStyle w:val="Refdenotaalpie"/>
          <w:rFonts w:ascii="Palatino Linotype" w:eastAsia="Calibri" w:hAnsi="Palatino Linotype" w:cs="Arial"/>
        </w:rPr>
        <w:footnoteReference w:id="13"/>
      </w:r>
      <w:r w:rsidRPr="00BE448F">
        <w:rPr>
          <w:rFonts w:ascii="Palatino Linotype" w:eastAsia="Calibri" w:hAnsi="Palatino Linotype" w:cs="Arial"/>
        </w:rPr>
        <w:t>. De no encontrarse elementos suficientes para demostrar la existencia de la infracción y acreditar la presunta responsabilidad del infractor, se emitirá un acuerdo de conclusión y archivo del expediente debidamente fundado y motivado, ello sin perjuicio de poder reabrir la investigación en el supuesto de presentarse nuevos indicios o pruebas y no hubiere prescrito la facultad para sancionar</w:t>
      </w:r>
      <w:r w:rsidRPr="00BE448F">
        <w:rPr>
          <w:rStyle w:val="Refdenotaalpie"/>
          <w:rFonts w:ascii="Palatino Linotype" w:eastAsia="Calibri" w:hAnsi="Palatino Linotype" w:cs="Arial"/>
        </w:rPr>
        <w:footnoteReference w:id="14"/>
      </w:r>
      <w:r w:rsidRPr="00BE448F">
        <w:rPr>
          <w:rFonts w:ascii="Palatino Linotype" w:eastAsia="Calibri" w:hAnsi="Palatino Linotype" w:cs="Arial"/>
        </w:rPr>
        <w:t>.</w:t>
      </w:r>
    </w:p>
    <w:p w14:paraId="70825A3A"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53CC5004"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Por otro lado, si como resultado de la investigación y el análisis de los hechos y la información recabada, las autoridades investigadoras determinen calificar la conducta como una falta grave o no grave, ésta se incluirá en un documento denominado Informe de Presunta Responsabilidad Administrativa, que se presentará ante la autoridad sustanciadora a efecto de iniciar el procedimiento de responsabilidad administrativa correspondiente</w:t>
      </w:r>
      <w:r w:rsidRPr="00BE448F">
        <w:rPr>
          <w:rStyle w:val="Refdenotaalpie"/>
          <w:rFonts w:ascii="Palatino Linotype" w:eastAsia="Calibri" w:hAnsi="Palatino Linotype" w:cs="Arial"/>
        </w:rPr>
        <w:footnoteReference w:id="15"/>
      </w:r>
      <w:r w:rsidRPr="00BE448F">
        <w:rPr>
          <w:rFonts w:ascii="Palatino Linotype" w:eastAsia="Calibri" w:hAnsi="Palatino Linotype" w:cs="Arial"/>
        </w:rPr>
        <w:t xml:space="preserve">. </w:t>
      </w:r>
    </w:p>
    <w:p w14:paraId="6026877D"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41289EAD"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El procedimiento de responsabilidad administrativa dará inicio cuando las autoridades substanciadoras, en el ámbito de su competencia, admitan el informe de presunta responsabilidad administrativa</w:t>
      </w:r>
      <w:r w:rsidRPr="00BE448F">
        <w:rPr>
          <w:rStyle w:val="Refdenotaalpie"/>
          <w:rFonts w:ascii="Palatino Linotype" w:eastAsia="Calibri" w:hAnsi="Palatino Linotype" w:cs="Arial"/>
        </w:rPr>
        <w:footnoteReference w:id="16"/>
      </w:r>
      <w:r w:rsidRPr="00BE448F">
        <w:rPr>
          <w:rFonts w:ascii="Palatino Linotype" w:eastAsia="Calibri" w:hAnsi="Palatino Linotype" w:cs="Arial"/>
        </w:rPr>
        <w:t xml:space="preserve">; el cual, implica que la autoridad investigadora concluyó la existencia de elementos de prueba consolidados y suficientes para determinar la existencia de una conducta orientada en contra del </w:t>
      </w:r>
      <w:r w:rsidRPr="00BE448F">
        <w:rPr>
          <w:rFonts w:ascii="Palatino Linotype" w:eastAsia="Calibri" w:hAnsi="Palatino Linotype" w:cs="Arial"/>
        </w:rPr>
        <w:lastRenderedPageBreak/>
        <w:t>buen gobierno, misma que ha sido calificada como grave o no grave de acuerdo con los elementos y naturaleza de la conducta. Se insiste, la autoridad a quien se encomiende la substanciación y, en su caso, la resolución del procedimiento de responsabilidad administrativa deberá ser distinto de aquél o aquellos encargados de la investigación. Para tal efecto, el órgano interno de control contará con la estructura orgánica necesaria para realizar las funciones correspondientes a las autoridades investigadoras y substanciadoras y garantizará la independencia entre ambas en el ejercicio de sus funciones</w:t>
      </w:r>
      <w:r w:rsidRPr="00BE448F">
        <w:rPr>
          <w:rStyle w:val="Refdenotaalpie"/>
          <w:rFonts w:ascii="Palatino Linotype" w:eastAsia="Calibri" w:hAnsi="Palatino Linotype" w:cs="Arial"/>
        </w:rPr>
        <w:footnoteReference w:id="17"/>
      </w:r>
      <w:r w:rsidRPr="00BE448F">
        <w:rPr>
          <w:rFonts w:ascii="Palatino Linotype" w:eastAsia="Calibri" w:hAnsi="Palatino Linotype" w:cs="Arial"/>
        </w:rPr>
        <w:t>.</w:t>
      </w:r>
    </w:p>
    <w:p w14:paraId="4E5C2BA3"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4102EF6C"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Ahora bien, por cuanto hace al procedimiento administrativo relacionado con las faltas administrativas no graves, el artículo 194 de la Ley de Responsabilidades Administrativas del Estado de México y Municipios expone que se desarrollará de la siguiente manera:</w:t>
      </w:r>
    </w:p>
    <w:p w14:paraId="28A7C898"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47C73833"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w:t>
      </w:r>
      <w:r w:rsidRPr="00BE448F">
        <w:rPr>
          <w:rFonts w:ascii="Palatino Linotype" w:hAnsi="Palatino Linotype"/>
          <w:i/>
          <w:sz w:val="22"/>
        </w:rPr>
        <w:t xml:space="preserve">. La autoridad investigadora deberá presentar ante la autoridad substanciadora el informe de presunta responsabilidad administrativa, la cual, dentro de los tres días hábiles siguientes, se pronunciará sobre su admisión, pudiendo prevenir a la autoridad investigadora para que subsane las omisiones que advierta, o que aclare los hechos narrados en dicho informe. </w:t>
      </w:r>
    </w:p>
    <w:p w14:paraId="40C3D338"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II.</w:t>
      </w:r>
      <w:r w:rsidRPr="00BE448F">
        <w:rPr>
          <w:rFonts w:ascii="Palatino Linotype" w:hAnsi="Palatino Linotype"/>
          <w:i/>
          <w:sz w:val="22"/>
        </w:rPr>
        <w:t xml:space="preserve"> En el caso de que la autoridad substanciadora admita el Informe de Presunta Responsabilidad Administrativa, ordenará el emplazamiento del presunto responsable, debiendo citarlo para que comparezca personalmente a la celebración de la audiencia inicial, señalando con precisión el día, lugar y hora en que tendrá verificativo, así como la autoridad ante la que deberá comparecer. </w:t>
      </w:r>
    </w:p>
    <w:p w14:paraId="338AEB4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lastRenderedPageBreak/>
        <w:t>Del mismo modo, le hará saber el derecho que tiene de no declarar en contra de sí mismo, ni a declararse culpable, de defenderse personalmente o ser asistido por un defensor perito en la materia y de no contar con uno, le será designado un defensor de oficio.</w:t>
      </w:r>
    </w:p>
    <w:p w14:paraId="736FE345"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III.</w:t>
      </w:r>
      <w:r w:rsidRPr="00BE448F">
        <w:rPr>
          <w:rFonts w:ascii="Palatino Linotype" w:hAnsi="Palatino Linotype"/>
          <w:i/>
          <w:sz w:val="22"/>
        </w:rPr>
        <w:t xml:space="preserve"> Entre la fecha del emplazamiento y la del desahogo de la audiencia inicial, deberá mediar un plazo no menor de diez ni mayor de quince días hábiles. </w:t>
      </w:r>
    </w:p>
    <w:p w14:paraId="266EB2EC"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 xml:space="preserve">El diferimiento de la audiencia sólo podrá otorgarse por causas de caso fortuito o de fuerza mayor debidamente justificadas o en aquellos casos en que se señale. </w:t>
      </w:r>
    </w:p>
    <w:p w14:paraId="7FD2CE17"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IV.</w:t>
      </w:r>
      <w:r w:rsidRPr="00BE448F">
        <w:rPr>
          <w:rFonts w:ascii="Palatino Linotype" w:hAnsi="Palatino Linotype"/>
          <w:i/>
          <w:sz w:val="22"/>
        </w:rPr>
        <w:t xml:space="preserve"> Previo a la celebración de la audiencia inicial, la autoridad substanciadora deberá citar a las demás partes que deban concurrir al procedimiento, cuando menos con setenta y dos horas de anticipación. </w:t>
      </w:r>
    </w:p>
    <w:p w14:paraId="553937B3"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w:t>
      </w:r>
      <w:r w:rsidRPr="00BE448F">
        <w:rPr>
          <w:rFonts w:ascii="Palatino Linotype" w:hAnsi="Palatino Linotype"/>
          <w:i/>
          <w:sz w:val="22"/>
        </w:rPr>
        <w:t xml:space="preserve"> El día y hora señalado para la audiencia inicial el presunto responsable rendirá su declaración por escrito o verbalmente y deberá ofrecer las pruebas que considere pertinentes. </w:t>
      </w:r>
    </w:p>
    <w:p w14:paraId="0F1AA4D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En caso de tratarse de pruebas documentales, deberá exhibir todas las que tenga en su poder, o las que no estándolo, conste que las solicitó a través del acuse de recibo correspondiente debidamente sellado por la autoridad competente.</w:t>
      </w:r>
    </w:p>
    <w:p w14:paraId="0C33C67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 xml:space="preserve">Tratándose de documentos que obren en poder de terceros y que no pudo conseguirlos por obrar en archivos privados, deberá señalar el archivo donde se encuentren o la persona que los tenga a su cuidado para que, en su caso, le sean requeridos en los términos previstos en la presente Ley. </w:t>
      </w:r>
    </w:p>
    <w:p w14:paraId="3952B48D"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VI.</w:t>
      </w:r>
      <w:r w:rsidRPr="00BE448F">
        <w:rPr>
          <w:rFonts w:ascii="Palatino Linotype" w:hAnsi="Palatino Linotype"/>
          <w:i/>
          <w:sz w:val="22"/>
        </w:rPr>
        <w:t xml:space="preserve"> Los terceros llamados al procedimiento de responsabilidad administrativa, a más tardar durante la audiencia inicial, podrán manifestar por escrito o verbalmente lo que a su derecho convenga y ofrecer las pruebas que estimen conducentes, debiendo exhibir las documentales que obren en su poder, o las que no estándolo, conste que las solicitaron por el acuse de recibo correspondiente.</w:t>
      </w:r>
    </w:p>
    <w:p w14:paraId="34E56AD4"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lastRenderedPageBreak/>
        <w:t xml:space="preserve">Tratándose de documentos que obren en poder de terceros y que no pudieron conseguirlos por obrar en archivos privados, deberán señalar el archivo donde se encuentren o la persona que los tenga a su cuidado para que, en su caso, le sean requeridos. </w:t>
      </w:r>
    </w:p>
    <w:p w14:paraId="6040062E"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VII.</w:t>
      </w:r>
      <w:r w:rsidRPr="00BE448F">
        <w:rPr>
          <w:rFonts w:ascii="Palatino Linotype" w:hAnsi="Palatino Linotype"/>
          <w:i/>
          <w:sz w:val="22"/>
        </w:rPr>
        <w:t xml:space="preserve"> Una vez que las partes hayan manifestado durante la audiencia inicial lo que a su derecho convenga y ofrecido sus respectivas pruebas, la autoridad substanciadora declarará cerrada dicha audiencia inicial, posteriormente las partes no podrán ofrecer más pruebas, salvo las que sean supervenientes. </w:t>
      </w:r>
    </w:p>
    <w:p w14:paraId="1339F146"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VIII.</w:t>
      </w:r>
      <w:r w:rsidRPr="00BE448F">
        <w:rPr>
          <w:rFonts w:ascii="Palatino Linotype" w:hAnsi="Palatino Linotype"/>
          <w:i/>
          <w:sz w:val="22"/>
        </w:rPr>
        <w:t xml:space="preserve"> Dentro de los quince días hábiles siguientes al cierre de la audiencia inicial, la autoridad substanciadora deberá emitir el acuerdo de admisión de pruebas que corresponda, donde deberá ordenar las diligencias necesarias para su preparación y desahogo. </w:t>
      </w:r>
    </w:p>
    <w:p w14:paraId="30E9C6C0"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IX.</w:t>
      </w:r>
      <w:r w:rsidRPr="00BE448F">
        <w:rPr>
          <w:rFonts w:ascii="Palatino Linotype" w:hAnsi="Palatino Linotype"/>
          <w:i/>
          <w:sz w:val="22"/>
        </w:rPr>
        <w:t xml:space="preserve"> 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 </w:t>
      </w:r>
    </w:p>
    <w:p w14:paraId="137A6FB2"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X</w:t>
      </w:r>
      <w:r w:rsidRPr="00BE448F">
        <w:rPr>
          <w:rFonts w:ascii="Palatino Linotype" w:hAnsi="Palatino Linotype"/>
          <w:i/>
          <w:sz w:val="22"/>
        </w:rPr>
        <w:t xml:space="preserve">. Una vez trascurrido el periodo de alegatos, la autoridad </w:t>
      </w:r>
      <w:proofErr w:type="spellStart"/>
      <w:r w:rsidRPr="00BE448F">
        <w:rPr>
          <w:rFonts w:ascii="Palatino Linotype" w:hAnsi="Palatino Linotype"/>
          <w:i/>
          <w:sz w:val="22"/>
        </w:rPr>
        <w:t>resolutora</w:t>
      </w:r>
      <w:proofErr w:type="spellEnd"/>
      <w:r w:rsidRPr="00BE448F">
        <w:rPr>
          <w:rFonts w:ascii="Palatino Linotype" w:hAnsi="Palatino Linotype"/>
          <w:i/>
          <w:sz w:val="22"/>
        </w:rPr>
        <w:t xml:space="preserve">, de oficio, declarará cerrada la instrucción y citará a las partes para oír la resolución que corresponda, la cual deberá dictarse en un plazo no mayor a treinta días hábiles, el cual podrá ampliarse por una sola vez por un término igual cuando la complejidad del asunto así lo requiera, debiendo fundar y motivar las causas para ello. </w:t>
      </w:r>
    </w:p>
    <w:p w14:paraId="5B1BBF2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eastAsia="Calibri" w:hAnsi="Palatino Linotype" w:cs="Arial"/>
          <w:i/>
          <w:sz w:val="22"/>
        </w:rPr>
      </w:pPr>
      <w:r w:rsidRPr="00BE448F">
        <w:rPr>
          <w:rFonts w:ascii="Palatino Linotype" w:hAnsi="Palatino Linotype"/>
          <w:b/>
          <w:i/>
          <w:sz w:val="22"/>
        </w:rPr>
        <w:t>XI.</w:t>
      </w:r>
      <w:r w:rsidRPr="00BE448F">
        <w:rPr>
          <w:rFonts w:ascii="Palatino Linotype" w:hAnsi="Palatino Linotype"/>
          <w:i/>
          <w:sz w:val="22"/>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5280290F"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19B3F6A6"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Para el caso de las faltas administrativas graves o faltas de particulares, el procedimiento de responsabilidad administrativa se llevará ante el Tribunal de Justicia Administrativa del Estado de México y Municipios; y, de acuerdo con el numeral 195 de la Ley de Responsabilidades Administrativas del Estado de México y Municipios, el proceso se llevará a cabo de la siguiente forma:</w:t>
      </w:r>
    </w:p>
    <w:p w14:paraId="2809FBBF"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220BA621"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 xml:space="preserve">“Las autoridades substanciadoras deberán observar lo dispuesto en las fracciones I a la VII del artículo anterior, posteriormente procederán en los siguientes términos: </w:t>
      </w:r>
    </w:p>
    <w:p w14:paraId="33F10E5D"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w:t>
      </w:r>
      <w:r w:rsidRPr="00BE448F">
        <w:rPr>
          <w:rFonts w:ascii="Palatino Linotype" w:hAnsi="Palatino Linotype"/>
          <w:i/>
          <w:sz w:val="22"/>
        </w:rPr>
        <w:t xml:space="preserve"> Dentro de los tres días hábiles siguientes de haber concluido la audiencia inicial, la autoridad substanciadora deberá, bajo su responsabilidad, enviar al Tribunal, los autos originales del expediente, así como notificar a las partes la fecha de su envío, indicando el domicilio del Tribunal encargado de la resolución del asunto.</w:t>
      </w:r>
    </w:p>
    <w:p w14:paraId="41C0DF79"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II.</w:t>
      </w:r>
      <w:r w:rsidRPr="00BE448F">
        <w:rPr>
          <w:rFonts w:ascii="Palatino Linotype" w:hAnsi="Palatino Linotype"/>
          <w:i/>
          <w:sz w:val="22"/>
        </w:rPr>
        <w:t xml:space="preserve"> Cuando el Tribunal reciba el expediente, bajo su más estricta responsabilidad, deberá verificar que la falta descrita en el informe de presunta responsabilidad administrativa sea de las consideradas como graves. </w:t>
      </w:r>
    </w:p>
    <w:p w14:paraId="1F4A0F0F"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 xml:space="preserve">En caso de no serlo, fundando y motivando debidamente su resolución, enviará el expediente respectivo a la autoridad substanciadora que corresponda para que continúe el 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w:t>
      </w:r>
    </w:p>
    <w:p w14:paraId="77306DB7"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lastRenderedPageBreak/>
        <w:t xml:space="preserve">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 </w:t>
      </w:r>
    </w:p>
    <w:p w14:paraId="17EDF953"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 xml:space="preserve">Una vez que el Tribunal haya determinado su competencia y en su caso, se haya solventado la reclasificación, deberá notificar personalmente a las partes sobre la recepción del expediente. </w:t>
      </w:r>
    </w:p>
    <w:p w14:paraId="1F8291BD"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 xml:space="preserve">Cuando conste en autos que las partes han sido debidamente notificadas, dictará dentro de los quince días hábiles siguientes el acuerdo de admisión de pruebas que corresponda, donde deberá ordenar las diligencias necesarias para su preparación y desahogo. </w:t>
      </w:r>
    </w:p>
    <w:p w14:paraId="6F1DB60E"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III.</w:t>
      </w:r>
      <w:r w:rsidRPr="00BE448F">
        <w:rPr>
          <w:rFonts w:ascii="Palatino Linotype" w:hAnsi="Palatino Linotype"/>
          <w:i/>
          <w:sz w:val="22"/>
        </w:rPr>
        <w:t xml:space="preserve"> Concluido el desahogo de las pruebas ofrecidas por las partes y si no existieran diligencias pendientes para mejor proveer o más pruebas que desahogar, el Tribunal declarará abierto el periodo de alegatos por un término de cinco días hábiles comunes para las partes. </w:t>
      </w:r>
    </w:p>
    <w:p w14:paraId="61DE3257"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IV.</w:t>
      </w:r>
      <w:r w:rsidRPr="00BE448F">
        <w:rPr>
          <w:rFonts w:ascii="Palatino Linotype" w:hAnsi="Palatino Linotype"/>
          <w:i/>
          <w:sz w:val="22"/>
        </w:rPr>
        <w:t xml:space="preserve"> Una vez trascurrido el periodo de alegatos, el Tribunal, de oficio, declarará cerrada la instrucción y citará a las partes para oír la resolución que corresponda, la cual deberá dictarse en un plazo no mayor a treinta días hábiles, el cual podrá ampliarse por un término igual, cuando la complejidad del asunto así lo requiera debiendo fundar y motivar las causas para ello. </w:t>
      </w:r>
    </w:p>
    <w:p w14:paraId="243E2C2B" w14:textId="77777777" w:rsidR="00F17608" w:rsidRPr="00BE448F" w:rsidRDefault="00F17608"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b/>
          <w:i/>
          <w:sz w:val="22"/>
        </w:rPr>
        <w:t>V.</w:t>
      </w:r>
      <w:r w:rsidRPr="00BE448F">
        <w:rPr>
          <w:rFonts w:ascii="Palatino Linotype" w:hAnsi="Palatino Linotype"/>
          <w:i/>
          <w:sz w:val="22"/>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00312B11"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794DDC8D" w14:textId="77777777" w:rsidR="00F17608" w:rsidRPr="00BE448F" w:rsidRDefault="00F17608"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De lo anterior expuesto podemos concluir que, por cuanto hace a los expedientes generados por responsabilidades administrativas no graves, la actuación de la Contraloría Municipal trasciende hasta la resolución del conflicto. Mientras que, en las responsabilidades administrativas graves, una vez desahogada la audiencia inicial, deberá remitir el expediente al Juzgador Administrativo Estatal, quien será el encargado de emitir la resolución.</w:t>
      </w:r>
    </w:p>
    <w:p w14:paraId="3B1301F7" w14:textId="77777777" w:rsidR="00F17608" w:rsidRPr="00BE448F" w:rsidRDefault="00F17608" w:rsidP="00CB7B22">
      <w:pPr>
        <w:pStyle w:val="Prrafodelista"/>
        <w:spacing w:before="100" w:beforeAutospacing="1" w:after="100" w:afterAutospacing="1" w:line="360" w:lineRule="auto"/>
        <w:ind w:left="0"/>
        <w:jc w:val="both"/>
        <w:rPr>
          <w:rFonts w:ascii="Palatino Linotype" w:eastAsia="Calibri" w:hAnsi="Palatino Linotype" w:cs="Arial"/>
        </w:rPr>
      </w:pPr>
    </w:p>
    <w:p w14:paraId="4D347114" w14:textId="2D8829D2" w:rsidR="00DF6473" w:rsidRPr="00BE448F" w:rsidRDefault="00F17608" w:rsidP="00CB7B22">
      <w:pPr>
        <w:spacing w:before="100" w:beforeAutospacing="1" w:after="100" w:afterAutospacing="1" w:line="360" w:lineRule="auto"/>
        <w:jc w:val="both"/>
        <w:rPr>
          <w:rFonts w:ascii="Palatino Linotype" w:hAnsi="Palatino Linotype" w:cs="Arial"/>
        </w:rPr>
      </w:pPr>
      <w:r w:rsidRPr="00BE448F">
        <w:rPr>
          <w:rFonts w:ascii="Palatino Linotype" w:eastAsia="Calibri" w:hAnsi="Palatino Linotype" w:cs="Arial"/>
        </w:rPr>
        <w:t>Asimismo, luego de haber analizado la línea procesal que presupone un procedimiento por responsabilidades administrativas, podemos apreciar la complejidad de su propia naturaleza, ello en el tenor de que no todos los expedientes existen, necesariamente, bajo las mismas circunstancias procesales y gravosas. Ello es así, ya que, por una lado, la calificación de la conducta que realice la autoridad investigadora será determinada como una falta administrativa grave o no grave; y, por otro lado, los expedientes podrán encontrarse en las siguientes condiciones: a) en etapa de investigación; b) que estuvieron en etapa de investigación y se concluyera que no hay razones o motivos suficientes para iniciar un procedimiento de responsabilidades administrativas; y, c) que ya superaron la etapa de notificación, por lo que se ha generado el respectivo Informe de Presunta Responsabilidad Administrativa y, se ha emplazado formalmente al presunto responsable dentro de un procedimiento de responsabilidades administrativas.</w:t>
      </w:r>
    </w:p>
    <w:p w14:paraId="6FE2FBE8" w14:textId="3A7B7E0A" w:rsidR="00DF6473" w:rsidRPr="00BE448F" w:rsidRDefault="00CA01E2"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r</w:t>
      </w:r>
      <w:r w:rsidR="00DF6473" w:rsidRPr="00BE448F">
        <w:rPr>
          <w:rFonts w:ascii="Palatino Linotype" w:eastAsia="Calibri" w:hAnsi="Palatino Linotype" w:cs="Arial"/>
        </w:rPr>
        <w:t xml:space="preserve">ecordemos que el </w:t>
      </w:r>
      <w:r w:rsidR="00DF6473" w:rsidRPr="00BE448F">
        <w:rPr>
          <w:rFonts w:ascii="Palatino Linotype" w:eastAsia="Calibri" w:hAnsi="Palatino Linotype" w:cs="Arial"/>
          <w:b/>
        </w:rPr>
        <w:t>SUJETO OBLIGADO</w:t>
      </w:r>
      <w:r w:rsidR="00DF6473" w:rsidRPr="00BE448F">
        <w:rPr>
          <w:rFonts w:ascii="Palatino Linotype" w:eastAsia="Calibri" w:hAnsi="Palatino Linotype" w:cs="Arial"/>
        </w:rPr>
        <w:t xml:space="preserve">, en su respuesta, entregó al </w:t>
      </w:r>
      <w:r w:rsidR="00DF6473" w:rsidRPr="00BE448F">
        <w:rPr>
          <w:rFonts w:ascii="Palatino Linotype" w:eastAsia="Calibri" w:hAnsi="Palatino Linotype" w:cs="Arial"/>
          <w:b/>
        </w:rPr>
        <w:t>RECURRENTE</w:t>
      </w:r>
      <w:r w:rsidRPr="00BE448F">
        <w:rPr>
          <w:rFonts w:ascii="Palatino Linotype" w:eastAsia="Calibri" w:hAnsi="Palatino Linotype" w:cs="Arial"/>
        </w:rPr>
        <w:t xml:space="preserve"> un Acta del Comité mediante la cual se clasifica la información solicitada como   reservada por lo que dicha </w:t>
      </w:r>
      <w:r w:rsidR="00DF6473" w:rsidRPr="00BE448F">
        <w:rPr>
          <w:rFonts w:ascii="Palatino Linotype" w:eastAsia="Calibri" w:hAnsi="Palatino Linotype" w:cs="Arial"/>
        </w:rPr>
        <w:t xml:space="preserve">respuesta deberá analizarse con </w:t>
      </w:r>
      <w:r w:rsidR="00DF6473" w:rsidRPr="00BE448F">
        <w:rPr>
          <w:rFonts w:ascii="Palatino Linotype" w:eastAsia="Calibri" w:hAnsi="Palatino Linotype" w:cs="Arial"/>
        </w:rPr>
        <w:lastRenderedPageBreak/>
        <w:t>cuidado, ya que como se ha demostrado, existen dos grupos distintos de responsabilidades administrativas -las graves y las no graves-; mismos que pueden dividirse en tres sub grupos más: a) que se encuentren en etapa de investigación; b) que estuvieron en etapa de investigación y se concluyera que no hay razones o motivos suficientes para iniciar un procedimiento de responsabilidades administrativas; y, c) que ya superaron la etapa de notificación, por lo que se ha generado el respectivo Informe de Presunta Responsabilidad Administrativa y, se ha emplazado formalmente al presunto responsable dentro de un procedimiento de responsabilidades administrativas.</w:t>
      </w:r>
    </w:p>
    <w:p w14:paraId="71E6E5D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420C8555"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Bajo la óptica anterior, debemos traer a estudio lo dispuesto por el artículo 53 de la Ley del Sistema Anticorrupción del Estado de México y Municipios, cuyo contenido dispone lo siguiente:</w:t>
      </w:r>
    </w:p>
    <w:p w14:paraId="7563DD1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32521E2" w14:textId="77777777" w:rsidR="00DF6473" w:rsidRPr="00BE448F" w:rsidRDefault="00DF6473" w:rsidP="00CB7B22">
      <w:pPr>
        <w:pStyle w:val="Prrafodelista"/>
        <w:spacing w:before="100" w:beforeAutospacing="1" w:after="100" w:afterAutospacing="1" w:line="360" w:lineRule="auto"/>
        <w:ind w:left="851" w:right="851"/>
        <w:jc w:val="both"/>
        <w:rPr>
          <w:rFonts w:ascii="Palatino Linotype" w:hAnsi="Palatino Linotype"/>
          <w:i/>
          <w:sz w:val="22"/>
        </w:rPr>
      </w:pPr>
      <w:r w:rsidRPr="00BE448F">
        <w:rPr>
          <w:rFonts w:ascii="Palatino Linotype" w:hAnsi="Palatino Linotype"/>
          <w:i/>
          <w:sz w:val="22"/>
        </w:rPr>
        <w:t>“</w:t>
      </w:r>
      <w:r w:rsidRPr="00BE448F">
        <w:rPr>
          <w:rFonts w:ascii="Palatino Linotype" w:hAnsi="Palatino Linotype"/>
          <w:b/>
          <w:i/>
          <w:sz w:val="22"/>
        </w:rPr>
        <w:t>Artículo 53.</w:t>
      </w:r>
      <w:r w:rsidRPr="00BE448F">
        <w:rPr>
          <w:rFonts w:ascii="Palatino Linotype" w:hAnsi="Palatino Linotype"/>
          <w:i/>
          <w:sz w:val="22"/>
        </w:rPr>
        <w:t xml:space="preserve"> </w:t>
      </w:r>
      <w:r w:rsidRPr="00BE448F">
        <w:rPr>
          <w:rFonts w:ascii="Palatino Linotype" w:hAnsi="Palatino Linotype"/>
          <w:b/>
          <w:i/>
          <w:sz w:val="22"/>
        </w:rPr>
        <w:t>Las sanciones impuestas por faltas administrativas graves serán del conocimiento público cuando éstas contengan impedimentos o inhabilitaciones para ser contratados como servidores públicos o como prestadores de servicios o contratistas del sector público</w:t>
      </w:r>
      <w:r w:rsidRPr="00BE448F">
        <w:rPr>
          <w:rFonts w:ascii="Palatino Linotype" w:hAnsi="Palatino Linotype"/>
          <w:i/>
          <w:sz w:val="22"/>
        </w:rPr>
        <w:t xml:space="preserve">, en términos de la Ley de Responsabilidades Administrativas del Estado de México y Municipios. </w:t>
      </w:r>
    </w:p>
    <w:p w14:paraId="129197DF" w14:textId="77777777" w:rsidR="00DF6473" w:rsidRPr="00BE448F" w:rsidRDefault="00DF6473" w:rsidP="00CB7B22">
      <w:pPr>
        <w:pStyle w:val="Prrafodelista"/>
        <w:spacing w:before="100" w:beforeAutospacing="1" w:after="100" w:afterAutospacing="1" w:line="360" w:lineRule="auto"/>
        <w:ind w:left="851" w:right="851"/>
        <w:jc w:val="both"/>
        <w:rPr>
          <w:rFonts w:ascii="Palatino Linotype" w:hAnsi="Palatino Linotype"/>
          <w:sz w:val="22"/>
        </w:rPr>
      </w:pPr>
      <w:r w:rsidRPr="00BE448F">
        <w:rPr>
          <w:rFonts w:ascii="Palatino Linotype" w:hAnsi="Palatino Linotype"/>
          <w:i/>
          <w:sz w:val="22"/>
        </w:rPr>
        <w:br/>
      </w:r>
      <w:r w:rsidRPr="00BE448F">
        <w:rPr>
          <w:rFonts w:ascii="Palatino Linotype" w:hAnsi="Palatino Linotype"/>
          <w:b/>
          <w:i/>
          <w:sz w:val="22"/>
        </w:rPr>
        <w:t>Los registros de las sanciones relativas a responsabilidades administrativas no graves</w:t>
      </w:r>
      <w:r w:rsidRPr="00BE448F">
        <w:rPr>
          <w:rFonts w:ascii="Palatino Linotype" w:hAnsi="Palatino Linotype"/>
          <w:i/>
          <w:sz w:val="22"/>
        </w:rPr>
        <w:t xml:space="preserve">, quedarán registradas para efectos de eventual reincidencia, pero </w:t>
      </w:r>
      <w:r w:rsidRPr="00BE448F">
        <w:rPr>
          <w:rFonts w:ascii="Palatino Linotype" w:hAnsi="Palatino Linotype"/>
          <w:b/>
          <w:i/>
          <w:sz w:val="22"/>
        </w:rPr>
        <w:t>no serán públicas</w:t>
      </w:r>
      <w:r w:rsidRPr="00BE448F">
        <w:rPr>
          <w:rFonts w:ascii="Palatino Linotype" w:hAnsi="Palatino Linotype"/>
          <w:i/>
          <w:sz w:val="22"/>
        </w:rPr>
        <w:t>.”</w:t>
      </w:r>
    </w:p>
    <w:p w14:paraId="767C0566" w14:textId="77777777" w:rsidR="00DF6473" w:rsidRPr="00BE448F" w:rsidRDefault="00DF6473" w:rsidP="00CB7B22">
      <w:pPr>
        <w:pStyle w:val="Prrafodelista"/>
        <w:spacing w:before="100" w:beforeAutospacing="1" w:after="100" w:afterAutospacing="1" w:line="360" w:lineRule="auto"/>
        <w:ind w:left="851" w:right="851"/>
        <w:jc w:val="both"/>
        <w:rPr>
          <w:rFonts w:ascii="Palatino Linotype" w:eastAsia="Calibri" w:hAnsi="Palatino Linotype" w:cs="Arial"/>
          <w:sz w:val="22"/>
        </w:rPr>
      </w:pPr>
      <w:r w:rsidRPr="00BE448F">
        <w:rPr>
          <w:rFonts w:ascii="Palatino Linotype" w:hAnsi="Palatino Linotype"/>
          <w:sz w:val="22"/>
        </w:rPr>
        <w:t>(Énfasis añadido)</w:t>
      </w:r>
    </w:p>
    <w:p w14:paraId="0EE80D86"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75B7DB5"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De conformidad con el artículo anterior, se aprecia que el Legislador determinó un tratamiento distinto a las resoluciones derivadas de procedimientos de responsabilidades administrativas por cuanto hace a su publicidad, mismas que serán confidenciales las relacionadas a las responsabilidades administrativas no graves, mientras que las sanciones derivadas de faltas administrativas graves serán públicas cuando éstas contengan impedimentos o inhabilitaciones.</w:t>
      </w:r>
    </w:p>
    <w:p w14:paraId="0BF2732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41F980D" w14:textId="7952382E"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En consecuencia, el </w:t>
      </w:r>
      <w:r w:rsidRPr="00BE448F">
        <w:rPr>
          <w:rFonts w:ascii="Palatino Linotype" w:eastAsia="Calibri" w:hAnsi="Palatino Linotype" w:cs="Arial"/>
          <w:b/>
        </w:rPr>
        <w:t>SUJETO OBLIGADO</w:t>
      </w:r>
      <w:r w:rsidRPr="00BE448F">
        <w:rPr>
          <w:rFonts w:ascii="Palatino Linotype" w:eastAsia="Calibri" w:hAnsi="Palatino Linotype" w:cs="Arial"/>
        </w:rPr>
        <w:t xml:space="preserve"> no puede generalizar su respuesta al señalar que se encuentra impedido para entregar la información al estar relacionada con el artículo 140, fracción </w:t>
      </w:r>
      <w:r w:rsidR="00CA01E2" w:rsidRPr="00BE448F">
        <w:rPr>
          <w:rFonts w:ascii="Palatino Linotype" w:eastAsia="Calibri" w:hAnsi="Palatino Linotype" w:cs="Arial"/>
        </w:rPr>
        <w:t xml:space="preserve"> IV y </w:t>
      </w:r>
      <w:r w:rsidRPr="00BE448F">
        <w:rPr>
          <w:rFonts w:ascii="Palatino Linotype" w:eastAsia="Calibri" w:hAnsi="Palatino Linotype" w:cs="Arial"/>
        </w:rPr>
        <w:t>VI, de la Ley de Transparencia y Acceso a la Información Pública del Estado de Méx</w:t>
      </w:r>
      <w:r w:rsidR="00CA01E2" w:rsidRPr="00BE448F">
        <w:rPr>
          <w:rFonts w:ascii="Palatino Linotype" w:eastAsia="Calibri" w:hAnsi="Palatino Linotype" w:cs="Arial"/>
        </w:rPr>
        <w:t>ico y Municipios, por lo que dicha clasificación se estima improcedente, al no analizarse de manera correcta mediante la prueba de daño entregada la normatividad aplicable al caso</w:t>
      </w:r>
      <w:r w:rsidR="00CB7B22" w:rsidRPr="00BE448F">
        <w:rPr>
          <w:rFonts w:ascii="Palatino Linotype" w:eastAsia="Calibri" w:hAnsi="Palatino Linotype" w:cs="Arial"/>
        </w:rPr>
        <w:t>, por lo que es procedente el análisis de la clasificación de la información</w:t>
      </w:r>
      <w:r w:rsidR="00CA01E2" w:rsidRPr="00BE448F">
        <w:rPr>
          <w:rFonts w:ascii="Palatino Linotype" w:eastAsia="Calibri" w:hAnsi="Palatino Linotype" w:cs="Arial"/>
        </w:rPr>
        <w:t>.</w:t>
      </w:r>
    </w:p>
    <w:p w14:paraId="0EF3C410" w14:textId="77777777" w:rsidR="00CA01E2" w:rsidRPr="00BE448F" w:rsidRDefault="00CA01E2" w:rsidP="00CB7B22">
      <w:pPr>
        <w:pStyle w:val="Prrafodelista"/>
        <w:spacing w:before="100" w:beforeAutospacing="1" w:after="100" w:afterAutospacing="1" w:line="360" w:lineRule="auto"/>
        <w:ind w:left="0"/>
        <w:jc w:val="both"/>
        <w:rPr>
          <w:rFonts w:ascii="Palatino Linotype" w:eastAsia="Calibri" w:hAnsi="Palatino Linotype" w:cs="Arial"/>
        </w:rPr>
      </w:pPr>
    </w:p>
    <w:p w14:paraId="2B192588"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bCs/>
        </w:rPr>
      </w:pPr>
      <w:bookmarkStart w:id="41" w:name="_Toc54877508"/>
      <w:r w:rsidRPr="00BE448F">
        <w:rPr>
          <w:rFonts w:ascii="Palatino Linotype" w:eastAsia="Calibri" w:hAnsi="Palatino Linotype" w:cs="Arial"/>
          <w:b/>
          <w:bCs/>
        </w:rPr>
        <w:t>IV.I Condiciones especiales de la clasificación de la información como confidencial.</w:t>
      </w:r>
      <w:bookmarkEnd w:id="41"/>
    </w:p>
    <w:p w14:paraId="7EC1A11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54D71D3" w14:textId="329503DA" w:rsidR="00DF6473" w:rsidRPr="00BE448F" w:rsidRDefault="00CA01E2"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Señalado lo anterior, el análisis de la clasificación propuesta se desarrolla en el plano de la información confidencial  ya que e</w:t>
      </w:r>
      <w:r w:rsidR="00DF6473" w:rsidRPr="00BE448F">
        <w:rPr>
          <w:rFonts w:ascii="Palatino Linotype" w:eastAsia="Calibri" w:hAnsi="Palatino Linotype" w:cs="Arial"/>
        </w:rPr>
        <w:t>l artículo 143 de la Ley de Transparencia y Acceso a la Información Pública del Estado de México y Municipios, establece que se considerará información confidencial, la clasificada como tal, de manera permanente, por su naturaleza, cuando:</w:t>
      </w:r>
    </w:p>
    <w:p w14:paraId="403C9849" w14:textId="77777777" w:rsidR="00CA01E2" w:rsidRPr="00BE448F" w:rsidRDefault="00CA01E2" w:rsidP="00CB7B22">
      <w:pPr>
        <w:pStyle w:val="Prrafodelista"/>
        <w:spacing w:before="100" w:beforeAutospacing="1" w:after="100" w:afterAutospacing="1" w:line="360" w:lineRule="auto"/>
        <w:ind w:left="0"/>
        <w:jc w:val="both"/>
        <w:rPr>
          <w:rFonts w:ascii="Palatino Linotype" w:eastAsia="Calibri" w:hAnsi="Palatino Linotype" w:cs="Arial"/>
        </w:rPr>
      </w:pPr>
    </w:p>
    <w:p w14:paraId="6714ABB4" w14:textId="77777777" w:rsidR="00DF6473" w:rsidRPr="00BE448F" w:rsidRDefault="00DF6473"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lastRenderedPageBreak/>
        <w:t xml:space="preserve">Se refiera a la información privada y los datos personales concernientes a una persona física o jurídico colectiva identificada o identificable; </w:t>
      </w:r>
    </w:p>
    <w:p w14:paraId="1F0C027E" w14:textId="77777777" w:rsidR="00DF6473" w:rsidRPr="00BE448F" w:rsidRDefault="00DF6473"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t>Los secretos bancario, fiduciario, industrial, comercial, fiscal, bursátil y postal, cuya titularidad corresponda a particulares, sujetos de derecho internacional o a sujetos obligados cuando no involucren el ejercicio de recursos públicos; y</w:t>
      </w:r>
    </w:p>
    <w:p w14:paraId="2AC8570B" w14:textId="77777777" w:rsidR="00DF6473" w:rsidRPr="00BE448F" w:rsidRDefault="00DF6473"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t>La que presenten los particulares a los sujetos obligados, de conformidad con lo dispuesto por las leyes o los tratados internacionales.</w:t>
      </w:r>
    </w:p>
    <w:p w14:paraId="62C00E7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CF80AC0"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Por su parte, los artículos 148 de la Ley de Transparencia y Acceso a la Información Pública del Estado de México y Municipios, y 120 de la Ley General de Transparencia y Acceso a la Información Pública, establecen que, </w:t>
      </w:r>
      <w:proofErr w:type="spellStart"/>
      <w:r w:rsidRPr="00BE448F">
        <w:rPr>
          <w:rFonts w:ascii="Palatino Linotype" w:eastAsia="Calibri" w:hAnsi="Palatino Linotype" w:cs="Arial"/>
        </w:rPr>
        <w:t>aún</w:t>
      </w:r>
      <w:proofErr w:type="spellEnd"/>
      <w:r w:rsidRPr="00BE448F">
        <w:rPr>
          <w:rFonts w:ascii="Palatino Linotype" w:eastAsia="Calibri" w:hAnsi="Palatino Linotype" w:cs="Arial"/>
        </w:rPr>
        <w:t xml:space="preserve"> tratándose de datos personales, se podrán proporcionar, incluso sin solicitar el consentimiento de su titular, cuando dichos datos correspondan a los siguientes supuestos:</w:t>
      </w:r>
    </w:p>
    <w:p w14:paraId="52C15CF0"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F174052" w14:textId="77777777" w:rsidR="00DF6473" w:rsidRPr="00BE448F" w:rsidRDefault="00DF6473" w:rsidP="00CB7B22">
      <w:pPr>
        <w:pStyle w:val="Prrafodelista"/>
        <w:spacing w:before="100" w:beforeAutospacing="1" w:after="100" w:afterAutospacing="1" w:line="360" w:lineRule="auto"/>
        <w:ind w:left="567" w:right="567"/>
        <w:jc w:val="both"/>
        <w:rPr>
          <w:rFonts w:ascii="Palatino Linotype" w:hAnsi="Palatino Linotype"/>
          <w:i/>
          <w:iCs/>
          <w:sz w:val="22"/>
          <w:szCs w:val="22"/>
        </w:rPr>
      </w:pPr>
      <w:r w:rsidRPr="00BE448F">
        <w:rPr>
          <w:rFonts w:ascii="Palatino Linotype" w:hAnsi="Palatino Linotype"/>
          <w:i/>
          <w:iCs/>
          <w:sz w:val="22"/>
          <w:szCs w:val="22"/>
        </w:rPr>
        <w:t>“</w:t>
      </w:r>
      <w:r w:rsidRPr="00BE448F">
        <w:rPr>
          <w:rFonts w:ascii="Palatino Linotype" w:hAnsi="Palatino Linotype"/>
          <w:b/>
          <w:bCs/>
          <w:i/>
          <w:iCs/>
          <w:sz w:val="22"/>
          <w:szCs w:val="22"/>
        </w:rPr>
        <w:t>Artículo 148.</w:t>
      </w:r>
      <w:r w:rsidRPr="00BE448F">
        <w:rPr>
          <w:rFonts w:ascii="Palatino Linotype" w:hAnsi="Palatino Linotype"/>
          <w:i/>
          <w:iCs/>
          <w:sz w:val="22"/>
          <w:szCs w:val="22"/>
        </w:rPr>
        <w:t xml:space="preserve"> No se requerirá el consentimiento del titular de la información confidencial cuando</w:t>
      </w:r>
    </w:p>
    <w:p w14:paraId="1A0B8187" w14:textId="77777777" w:rsidR="00DF6473" w:rsidRPr="00BE448F" w:rsidRDefault="00DF6473" w:rsidP="00CB7B22">
      <w:pPr>
        <w:pStyle w:val="Prrafodelista"/>
        <w:spacing w:before="100" w:beforeAutospacing="1" w:after="100" w:afterAutospacing="1" w:line="360" w:lineRule="auto"/>
        <w:ind w:left="567" w:right="567"/>
        <w:jc w:val="both"/>
        <w:rPr>
          <w:rFonts w:ascii="Palatino Linotype" w:hAnsi="Palatino Linotype"/>
          <w:i/>
          <w:iCs/>
          <w:sz w:val="22"/>
          <w:szCs w:val="22"/>
        </w:rPr>
      </w:pPr>
      <w:r w:rsidRPr="00BE448F">
        <w:rPr>
          <w:rFonts w:ascii="Palatino Linotype" w:hAnsi="Palatino Linotype"/>
          <w:i/>
          <w:iCs/>
          <w:sz w:val="22"/>
          <w:szCs w:val="22"/>
        </w:rPr>
        <w:t>(…)</w:t>
      </w:r>
    </w:p>
    <w:p w14:paraId="4674D58F" w14:textId="77777777" w:rsidR="00DF6473" w:rsidRPr="00BE448F" w:rsidRDefault="00DF6473" w:rsidP="00CB7B22">
      <w:pPr>
        <w:pStyle w:val="Prrafodelista"/>
        <w:spacing w:before="100" w:beforeAutospacing="1" w:after="100" w:afterAutospacing="1" w:line="360" w:lineRule="auto"/>
        <w:ind w:left="567" w:right="567"/>
        <w:jc w:val="both"/>
        <w:rPr>
          <w:rFonts w:ascii="Palatino Linotype" w:hAnsi="Palatino Linotype"/>
          <w:i/>
          <w:iCs/>
          <w:sz w:val="22"/>
          <w:szCs w:val="22"/>
        </w:rPr>
      </w:pPr>
      <w:r w:rsidRPr="00BE448F">
        <w:rPr>
          <w:rFonts w:ascii="Palatino Linotype" w:hAnsi="Palatino Linotype"/>
          <w:b/>
          <w:bCs/>
          <w:i/>
          <w:iCs/>
          <w:sz w:val="22"/>
          <w:szCs w:val="22"/>
        </w:rPr>
        <w:t>II.</w:t>
      </w:r>
      <w:r w:rsidRPr="00BE448F">
        <w:rPr>
          <w:rFonts w:ascii="Palatino Linotype" w:hAnsi="Palatino Linotype"/>
          <w:i/>
          <w:iCs/>
          <w:sz w:val="22"/>
          <w:szCs w:val="22"/>
        </w:rPr>
        <w:t xml:space="preserve"> Por Ley tenga el carácter de pública;</w:t>
      </w:r>
    </w:p>
    <w:p w14:paraId="0B31ADAA" w14:textId="77777777" w:rsidR="00DF6473" w:rsidRPr="00BE448F" w:rsidRDefault="00DF6473" w:rsidP="00CB7B22">
      <w:pPr>
        <w:pStyle w:val="Prrafodelista"/>
        <w:spacing w:before="100" w:beforeAutospacing="1" w:after="100" w:afterAutospacing="1" w:line="360" w:lineRule="auto"/>
        <w:ind w:left="567" w:right="567"/>
        <w:jc w:val="both"/>
        <w:rPr>
          <w:rFonts w:ascii="Palatino Linotype" w:eastAsia="Calibri" w:hAnsi="Palatino Linotype" w:cs="Arial"/>
          <w:i/>
          <w:iCs/>
          <w:sz w:val="22"/>
          <w:szCs w:val="22"/>
        </w:rPr>
      </w:pPr>
      <w:r w:rsidRPr="00BE448F">
        <w:rPr>
          <w:rFonts w:ascii="Palatino Linotype" w:hAnsi="Palatino Linotype"/>
          <w:i/>
          <w:iCs/>
          <w:sz w:val="22"/>
          <w:szCs w:val="22"/>
        </w:rPr>
        <w:t>(…)”</w:t>
      </w:r>
    </w:p>
    <w:p w14:paraId="0BDFF6A7"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A06185F"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Dicho lo anterior, podemos retomar lo dispuesto por el artículo 53 de la Ley del Sistema Anticorrupción del Estado de México y Municipios, el cual separa las sanciones administrativas en dos grupos:</w:t>
      </w:r>
    </w:p>
    <w:p w14:paraId="19C1A075" w14:textId="77777777" w:rsidR="00CA01E2" w:rsidRPr="00BE448F" w:rsidRDefault="00CA01E2" w:rsidP="00CB7B22">
      <w:pPr>
        <w:pStyle w:val="Prrafodelista"/>
        <w:spacing w:before="100" w:beforeAutospacing="1" w:after="100" w:afterAutospacing="1" w:line="360" w:lineRule="auto"/>
        <w:ind w:left="0"/>
        <w:jc w:val="both"/>
        <w:rPr>
          <w:rFonts w:ascii="Palatino Linotype" w:eastAsia="Calibri" w:hAnsi="Palatino Linotype" w:cs="Arial"/>
        </w:rPr>
      </w:pPr>
    </w:p>
    <w:p w14:paraId="46E1B4BA" w14:textId="77777777" w:rsidR="00DF6473" w:rsidRPr="00BE448F" w:rsidRDefault="00DF6473"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lastRenderedPageBreak/>
        <w:t>Las impuestas por faltas administrativas graves; y</w:t>
      </w:r>
    </w:p>
    <w:p w14:paraId="5BDF1098" w14:textId="77777777" w:rsidR="00DF6473" w:rsidRPr="00BE448F" w:rsidRDefault="00DF6473" w:rsidP="00CB7B22">
      <w:pPr>
        <w:pStyle w:val="Prrafodelista"/>
        <w:numPr>
          <w:ilvl w:val="1"/>
          <w:numId w:val="1"/>
        </w:numPr>
        <w:spacing w:before="100" w:beforeAutospacing="1" w:after="100" w:afterAutospacing="1" w:line="360" w:lineRule="auto"/>
        <w:jc w:val="both"/>
        <w:rPr>
          <w:rFonts w:ascii="Palatino Linotype" w:eastAsia="Calibri" w:hAnsi="Palatino Linotype" w:cs="Arial"/>
        </w:rPr>
      </w:pPr>
      <w:r w:rsidRPr="00BE448F">
        <w:rPr>
          <w:rFonts w:ascii="Palatino Linotype" w:eastAsia="Calibri" w:hAnsi="Palatino Linotype" w:cs="Arial"/>
        </w:rPr>
        <w:t>Las impuestas por faltas administrativas no graves.</w:t>
      </w:r>
    </w:p>
    <w:p w14:paraId="178C8CEF"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6076E04"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Siendo de especial interés en el presente punto las relacionadas con faltas administrativas no graves, las cuales, el mismo artículo 53 determina que los registros de este tipo de sanciones quedarán registrados para efectos de eventual reincidencia, </w:t>
      </w:r>
      <w:r w:rsidRPr="00BE448F">
        <w:rPr>
          <w:rFonts w:ascii="Palatino Linotype" w:eastAsia="Calibri" w:hAnsi="Palatino Linotype" w:cs="Arial"/>
          <w:b/>
          <w:bCs/>
        </w:rPr>
        <w:t>pero no serán públicas</w:t>
      </w:r>
      <w:r w:rsidRPr="00BE448F">
        <w:rPr>
          <w:rFonts w:ascii="Palatino Linotype" w:eastAsia="Calibri" w:hAnsi="Palatino Linotype" w:cs="Arial"/>
        </w:rPr>
        <w:t>.</w:t>
      </w:r>
    </w:p>
    <w:p w14:paraId="661443FA"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280B453" w14:textId="452B16D5"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las cosas, si el artículo 148, fracción II</w:t>
      </w:r>
      <w:r w:rsidR="00CA01E2" w:rsidRPr="00BE448F">
        <w:rPr>
          <w:rFonts w:ascii="Palatino Linotype" w:eastAsia="Calibri" w:hAnsi="Palatino Linotype" w:cs="Arial"/>
        </w:rPr>
        <w:t xml:space="preserve"> de la Ley de la materia</w:t>
      </w:r>
      <w:r w:rsidRPr="00BE448F">
        <w:rPr>
          <w:rFonts w:ascii="Palatino Linotype" w:eastAsia="Calibri" w:hAnsi="Palatino Linotype" w:cs="Arial"/>
        </w:rPr>
        <w:t xml:space="preserve">, determina que podrán proporcionar datos personales cuando la Ley así lo disponga, </w:t>
      </w:r>
      <w:r w:rsidRPr="00BE448F">
        <w:rPr>
          <w:rFonts w:ascii="Palatino Linotype" w:eastAsia="Calibri" w:hAnsi="Palatino Linotype" w:cs="Arial"/>
          <w:i/>
          <w:iCs/>
        </w:rPr>
        <w:t>a contrario sensu</w:t>
      </w:r>
      <w:r w:rsidRPr="00BE448F">
        <w:rPr>
          <w:rFonts w:ascii="Palatino Linotype" w:eastAsia="Calibri" w:hAnsi="Palatino Linotype" w:cs="Arial"/>
        </w:rPr>
        <w:t>, cuando la Ley señale que un dato no es público, no se podrá proporcionar el mismo, ergo, deberá ser protegido.</w:t>
      </w:r>
    </w:p>
    <w:p w14:paraId="0E929A37"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932DD17"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De los dispositivos legales previamente referidos podemos concluir que la Ley determina que no se podrán dar a conocer las sanciones no graves, es decir, no es posible dar a conocer el nombre del servidor público sancionado ni el registro de incidencias de este; sin embargo, ello no incluye el expediente formado con motivo del procedimiento de responsabilidades administrativas no graves sustanciado por la Contraloría Municipal, en cuyo caso, podrá ser entregado al </w:t>
      </w:r>
      <w:r w:rsidRPr="00BE448F">
        <w:rPr>
          <w:rFonts w:ascii="Palatino Linotype" w:eastAsia="Calibri" w:hAnsi="Palatino Linotype" w:cs="Arial"/>
          <w:b/>
          <w:bCs/>
        </w:rPr>
        <w:t>RECURRENTE</w:t>
      </w:r>
      <w:r w:rsidRPr="00BE448F">
        <w:rPr>
          <w:rFonts w:ascii="Palatino Linotype" w:eastAsia="Calibri" w:hAnsi="Palatino Linotype" w:cs="Arial"/>
        </w:rPr>
        <w:t>, en versión pública, protegiendo el nombre del servidor público presunto responsable de la falta administrativa no grave.</w:t>
      </w:r>
    </w:p>
    <w:p w14:paraId="1F587C2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0A05C08"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Lo anterior es así, ya que el entregar un expediente relacionado con la comisión de faltas administrativas no graves, testando el nombre del presunto </w:t>
      </w:r>
      <w:r w:rsidRPr="00BE448F">
        <w:rPr>
          <w:rFonts w:ascii="Palatino Linotype" w:eastAsia="Calibri" w:hAnsi="Palatino Linotype" w:cs="Arial"/>
        </w:rPr>
        <w:lastRenderedPageBreak/>
        <w:t>responsable de la falta, impide individualizar al servidor público que se encuentra afrontando un procedimiento de responsabilidades administrativas por faltas no graves; asimismo, se advierte que la publicidad del expediente en versión pública no lesiona el proceso de investigación, puesto que, al encontrarse ya en la etapa de sustanciación, la autoridad investigadora terminó de recabar, analizar y asegurar las pruebas necesarias para calificar la conducta como una probable responsabilidad administrativa. Por el contrario, el difundir este tipo de expedientes anonimizando a los servidores públicos presuntamente responsables abona a la rendición de cuentas, ya que permite a la ciudadanía conocer la forma en que la Contraloría Municipal investiga y sustancia este tipo de conductas, así como la frecuencia en que ciertas faltas son cometidas, lo que otorga a los particulares un instrumento de presión social para que se incentiven herramientas o cursos en favor del desarrollo del personal del ayuntamiento, cuyo objetivo sea prevenir que nuevas faltas administrativas no graves sean cometidas.</w:t>
      </w:r>
    </w:p>
    <w:p w14:paraId="42F773A6"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A1C91DB"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No es ocioso recordar que el artículo 104 de la Ley de Responsabilidades Administrativas del Estado de México y Municipios señala que, dentro de la etapa de investigación para fincar responsabilidades administrativas, la autoridad investigadora analizará los hechos y la información recabada, para así calificar la conducta como grave o no grave, lo cual será asentado en el Informe de Presunta Responsabilidad Administrativa.</w:t>
      </w:r>
    </w:p>
    <w:p w14:paraId="25143D47"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47F818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De tal suerte que el </w:t>
      </w:r>
      <w:r w:rsidRPr="00BE448F">
        <w:rPr>
          <w:rFonts w:ascii="Palatino Linotype" w:eastAsia="Calibri" w:hAnsi="Palatino Linotype" w:cs="Arial"/>
          <w:b/>
          <w:bCs/>
        </w:rPr>
        <w:t>SUJETO OBLIGADO</w:t>
      </w:r>
      <w:r w:rsidRPr="00BE448F">
        <w:rPr>
          <w:rFonts w:ascii="Palatino Linotype" w:eastAsia="Calibri" w:hAnsi="Palatino Linotype" w:cs="Arial"/>
        </w:rPr>
        <w:t xml:space="preserve"> puede diferenciar, mediante los Informes de Presunta Responsabilidad Administrativa de los expedientes </w:t>
      </w:r>
      <w:r w:rsidRPr="00BE448F">
        <w:rPr>
          <w:rFonts w:ascii="Palatino Linotype" w:eastAsia="Calibri" w:hAnsi="Palatino Linotype" w:cs="Arial"/>
        </w:rPr>
        <w:lastRenderedPageBreak/>
        <w:t>pendientes de resolver en el órgano interno de control, cuáles se derivan por faltas administrativas graves y cuáles por no graves.</w:t>
      </w:r>
    </w:p>
    <w:p w14:paraId="7A998689"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ECB3C30" w14:textId="3C86CC7A"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Por lo tanto, el </w:t>
      </w:r>
      <w:r w:rsidRPr="00BE448F">
        <w:rPr>
          <w:rFonts w:ascii="Palatino Linotype" w:eastAsia="Calibri" w:hAnsi="Palatino Linotype" w:cs="Arial"/>
          <w:b/>
          <w:bCs/>
        </w:rPr>
        <w:t>SUJETO OBLIGADO</w:t>
      </w:r>
      <w:r w:rsidRPr="00BE448F">
        <w:rPr>
          <w:rFonts w:ascii="Palatino Linotype" w:eastAsia="Calibri" w:hAnsi="Palatino Linotype" w:cs="Arial"/>
        </w:rPr>
        <w:t xml:space="preserve"> deberá entregar los expedientes </w:t>
      </w:r>
      <w:r w:rsidR="004B72F8" w:rsidRPr="00BE448F">
        <w:rPr>
          <w:rFonts w:ascii="Palatino Linotype" w:eastAsia="Calibri" w:hAnsi="Palatino Linotype" w:cs="Arial"/>
        </w:rPr>
        <w:t xml:space="preserve">radicados </w:t>
      </w:r>
      <w:r w:rsidRPr="00BE448F">
        <w:rPr>
          <w:rFonts w:ascii="Palatino Linotype" w:eastAsia="Calibri" w:hAnsi="Palatino Linotype" w:cs="Arial"/>
        </w:rPr>
        <w:t xml:space="preserve">en la Contraloría Municipal que ya hayan superado la etapa de investigación, habiendo emplazado formalmente al presunto responsable dentro de un procedimiento de responsabilidades administrativas </w:t>
      </w:r>
      <w:r w:rsidRPr="00BE448F">
        <w:rPr>
          <w:rFonts w:ascii="Palatino Linotype" w:eastAsia="Calibri" w:hAnsi="Palatino Linotype" w:cs="Arial"/>
          <w:b/>
          <w:bCs/>
        </w:rPr>
        <w:t>por faltas no graves</w:t>
      </w:r>
      <w:r w:rsidRPr="00BE448F">
        <w:rPr>
          <w:rFonts w:ascii="Palatino Linotype" w:eastAsia="Calibri" w:hAnsi="Palatino Linotype" w:cs="Arial"/>
        </w:rPr>
        <w:t xml:space="preserve">, en versión pública, clasificando los nombres de los servidores públicos presuntos responsables como </w:t>
      </w:r>
      <w:r w:rsidRPr="00BE448F">
        <w:rPr>
          <w:rFonts w:ascii="Palatino Linotype" w:eastAsia="Calibri" w:hAnsi="Palatino Linotype" w:cs="Arial"/>
          <w:b/>
          <w:bCs/>
        </w:rPr>
        <w:t>información confidencial</w:t>
      </w:r>
      <w:r w:rsidRPr="00BE448F">
        <w:rPr>
          <w:rFonts w:ascii="Palatino Linotype" w:eastAsia="Calibri" w:hAnsi="Palatino Linotype" w:cs="Arial"/>
        </w:rPr>
        <w:t>.</w:t>
      </w:r>
    </w:p>
    <w:p w14:paraId="05D0F88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CDBD71F"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bCs/>
        </w:rPr>
      </w:pPr>
      <w:bookmarkStart w:id="42" w:name="_Toc54877509"/>
      <w:r w:rsidRPr="00BE448F">
        <w:rPr>
          <w:rFonts w:ascii="Palatino Linotype" w:eastAsia="Calibri" w:hAnsi="Palatino Linotype" w:cs="Arial"/>
          <w:b/>
          <w:bCs/>
        </w:rPr>
        <w:t>IV.II Condiciones especiales de la clasificación de la información como reservada.</w:t>
      </w:r>
      <w:bookmarkEnd w:id="42"/>
    </w:p>
    <w:p w14:paraId="58D885F2"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5976BE9"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Hasta este punto de la resolución hemos logrado determinar el tratamiento de clasificación que recibirán los expedientes formados por responsabilidades administrativas no graves; ahora pues, toca el turno de analizar y determinar el tratamiento de los expedientes que: a) se encuentren en etapa de investigación; y b) que ya superaron la etapa de notificación, por lo que se ha generado el respectivo Informe de Presunta Responsabilidad Administrativa y, se ha emplazado formalmente al presunto responsable dentro de un procedimiento de responsabilidades administrativas por faltas graves.</w:t>
      </w:r>
    </w:p>
    <w:p w14:paraId="1D1378B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F0A4791"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Los artículos 128, segundo párrafo, de la Ley de Transparencia y Acceso a la Información Pública del Estado de México y Municipios y 103, segundo párrafo, de la Ley General de Transparencia y Acceso a la Información Pública, respectivamente, </w:t>
      </w:r>
      <w:r w:rsidRPr="00BE448F">
        <w:rPr>
          <w:rFonts w:ascii="Palatino Linotype" w:eastAsia="Calibri" w:hAnsi="Palatino Linotype" w:cs="Arial"/>
        </w:rPr>
        <w:lastRenderedPageBreak/>
        <w:t xml:space="preserve">señalan que, en el caso de la información reservada, se deben de señalar las razones, motivos o circunstancias especiales que llevan al </w:t>
      </w:r>
      <w:r w:rsidRPr="00BE448F">
        <w:rPr>
          <w:rFonts w:ascii="Palatino Linotype" w:eastAsia="Calibri" w:hAnsi="Palatino Linotype" w:cs="Arial"/>
          <w:b/>
        </w:rPr>
        <w:t>SUJETO OBLIGADO</w:t>
      </w:r>
      <w:r w:rsidRPr="00BE448F">
        <w:rPr>
          <w:rFonts w:ascii="Palatino Linotype" w:eastAsia="Calibri" w:hAnsi="Palatino Linotype" w:cs="Aria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186845AB"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345693D"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rPr>
      </w:pPr>
      <w:bookmarkStart w:id="43" w:name="_Toc54877510"/>
      <w:r w:rsidRPr="00BE448F">
        <w:rPr>
          <w:rFonts w:ascii="Palatino Linotype" w:eastAsia="Calibri" w:hAnsi="Palatino Linotype" w:cs="Arial"/>
          <w:b/>
        </w:rPr>
        <w:t>IV.II.I De la prueba de daño.</w:t>
      </w:r>
      <w:bookmarkEnd w:id="43"/>
    </w:p>
    <w:p w14:paraId="48E34B3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2CA2339"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FB62729"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A09277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Para aplicar la prueba de daño, se deberán de precisar las razones objetivas por las que la apertura genera una afectación, acreditando que:</w:t>
      </w:r>
    </w:p>
    <w:p w14:paraId="4C3CA6D9"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4DD9B4C3" w14:textId="77777777" w:rsidR="00DF6473" w:rsidRPr="00BE448F" w:rsidRDefault="00DF6473" w:rsidP="00CB7B22">
      <w:pPr>
        <w:pStyle w:val="Prrafodelista"/>
        <w:spacing w:before="100" w:beforeAutospacing="1" w:after="100" w:afterAutospacing="1" w:line="360" w:lineRule="auto"/>
        <w:ind w:left="851" w:right="851"/>
        <w:rPr>
          <w:rFonts w:ascii="Palatino Linotype" w:eastAsia="Calibri" w:hAnsi="Palatino Linotype" w:cs="Arial"/>
          <w:i/>
          <w:sz w:val="22"/>
          <w:lang w:val="es-MX"/>
        </w:rPr>
      </w:pPr>
      <w:r w:rsidRPr="00BE448F">
        <w:rPr>
          <w:rFonts w:ascii="Palatino Linotype" w:eastAsia="Calibri" w:hAnsi="Palatino Linotype" w:cs="Arial"/>
          <w:b/>
          <w:bCs/>
          <w:i/>
          <w:sz w:val="22"/>
          <w:lang w:val="es-MX"/>
        </w:rPr>
        <w:t>I.</w:t>
      </w:r>
      <w:r w:rsidRPr="00BE448F">
        <w:rPr>
          <w:rFonts w:ascii="Palatino Linotype" w:eastAsia="Calibri" w:hAnsi="Palatino Linotype" w:cs="Arial"/>
          <w:bCs/>
          <w:i/>
          <w:sz w:val="22"/>
          <w:lang w:val="es-MX"/>
        </w:rPr>
        <w:t xml:space="preserve"> </w:t>
      </w:r>
      <w:r w:rsidRPr="00BE448F">
        <w:rPr>
          <w:rFonts w:ascii="Palatino Linotype" w:eastAsia="Calibri" w:hAnsi="Palatino Linotype" w:cs="Arial"/>
          <w:i/>
          <w:sz w:val="22"/>
          <w:lang w:val="es-MX"/>
        </w:rPr>
        <w:t xml:space="preserve">La divulgación de la información representa un riesgo real, demostrable e identificable del perjuicio significativo al interés público o a la seguridad pública; </w:t>
      </w:r>
    </w:p>
    <w:p w14:paraId="33F88631" w14:textId="77777777" w:rsidR="00DF6473" w:rsidRPr="00BE448F" w:rsidRDefault="00DF6473" w:rsidP="00CB7B22">
      <w:pPr>
        <w:pStyle w:val="Prrafodelista"/>
        <w:spacing w:before="100" w:beforeAutospacing="1" w:after="100" w:afterAutospacing="1" w:line="360" w:lineRule="auto"/>
        <w:ind w:left="851" w:right="851"/>
        <w:rPr>
          <w:rFonts w:ascii="Palatino Linotype" w:eastAsia="Calibri" w:hAnsi="Palatino Linotype" w:cs="Arial"/>
          <w:i/>
          <w:sz w:val="22"/>
          <w:lang w:val="es-MX"/>
        </w:rPr>
      </w:pPr>
      <w:r w:rsidRPr="00BE448F">
        <w:rPr>
          <w:rFonts w:ascii="Palatino Linotype" w:eastAsia="Calibri" w:hAnsi="Palatino Linotype" w:cs="Arial"/>
          <w:b/>
          <w:bCs/>
          <w:i/>
          <w:sz w:val="22"/>
          <w:lang w:val="es-MX"/>
        </w:rPr>
        <w:t>II.</w:t>
      </w:r>
      <w:r w:rsidRPr="00BE448F">
        <w:rPr>
          <w:rFonts w:ascii="Palatino Linotype" w:eastAsia="Calibri" w:hAnsi="Palatino Linotype" w:cs="Arial"/>
          <w:bCs/>
          <w:i/>
          <w:sz w:val="22"/>
          <w:lang w:val="es-MX"/>
        </w:rPr>
        <w:t xml:space="preserve"> </w:t>
      </w:r>
      <w:r w:rsidRPr="00BE448F">
        <w:rPr>
          <w:rFonts w:ascii="Palatino Linotype" w:eastAsia="Calibri" w:hAnsi="Palatino Linotype" w:cs="Arial"/>
          <w:i/>
          <w:sz w:val="22"/>
          <w:lang w:val="es-MX"/>
        </w:rPr>
        <w:t xml:space="preserve">El riesgo de perjuicio que supondría la divulgación supera el interés público general de que se difunda; y </w:t>
      </w:r>
    </w:p>
    <w:p w14:paraId="6040C81C" w14:textId="77777777" w:rsidR="00DF6473" w:rsidRPr="00BE448F" w:rsidRDefault="00DF6473" w:rsidP="00CB7B22">
      <w:pPr>
        <w:pStyle w:val="Prrafodelista"/>
        <w:spacing w:before="100" w:beforeAutospacing="1" w:after="100" w:afterAutospacing="1" w:line="360" w:lineRule="auto"/>
        <w:ind w:left="851" w:right="851"/>
        <w:jc w:val="both"/>
        <w:rPr>
          <w:rFonts w:ascii="Palatino Linotype" w:eastAsia="Calibri" w:hAnsi="Palatino Linotype" w:cs="Arial"/>
          <w:sz w:val="22"/>
        </w:rPr>
      </w:pPr>
      <w:r w:rsidRPr="00BE448F">
        <w:rPr>
          <w:rFonts w:ascii="Palatino Linotype" w:eastAsia="Calibri" w:hAnsi="Palatino Linotype" w:cs="Arial"/>
          <w:b/>
          <w:bCs/>
          <w:i/>
          <w:sz w:val="22"/>
          <w:lang w:val="es-MX"/>
        </w:rPr>
        <w:t>III.</w:t>
      </w:r>
      <w:r w:rsidRPr="00BE448F">
        <w:rPr>
          <w:rFonts w:ascii="Palatino Linotype" w:eastAsia="Calibri" w:hAnsi="Palatino Linotype" w:cs="Arial"/>
          <w:bCs/>
          <w:i/>
          <w:sz w:val="22"/>
          <w:lang w:val="es-MX"/>
        </w:rPr>
        <w:t xml:space="preserve"> </w:t>
      </w:r>
      <w:r w:rsidRPr="00BE448F">
        <w:rPr>
          <w:rFonts w:ascii="Palatino Linotype" w:eastAsia="Calibri" w:hAnsi="Palatino Linotype" w:cs="Arial"/>
          <w:i/>
          <w:sz w:val="22"/>
          <w:lang w:val="es-MX"/>
        </w:rPr>
        <w:t>La limitación se adecua al principio de proporcionalidad y representa el medio menos restrictivo disponible para evitar el perjuicio.</w:t>
      </w:r>
    </w:p>
    <w:p w14:paraId="3049D0D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ADE56F9"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Sobre el primer supuesto consideremos que, según el diccionario del español jurídico, por riesgo podemos entender “la contingencia o proximidad de un daño”,</w:t>
      </w:r>
      <w:r w:rsidRPr="00BE448F">
        <w:rPr>
          <w:rFonts w:ascii="Palatino Linotype" w:eastAsia="Calibri" w:hAnsi="Palatino Linotype" w:cs="Arial"/>
          <w:vertAlign w:val="superscript"/>
        </w:rPr>
        <w:footnoteReference w:id="18"/>
      </w:r>
      <w:r w:rsidRPr="00BE448F">
        <w:rPr>
          <w:rFonts w:ascii="Palatino Linotype" w:eastAsia="Calibri" w:hAnsi="Palatino Linotype" w:cs="Arial"/>
        </w:rPr>
        <w:t xml:space="preserve"> mientras que el daño es considerado como un “perjuicio o lesión”</w:t>
      </w:r>
      <w:r w:rsidRPr="00BE448F">
        <w:rPr>
          <w:rFonts w:ascii="Palatino Linotype" w:eastAsia="Calibri" w:hAnsi="Palatino Linotype" w:cs="Arial"/>
          <w:vertAlign w:val="superscript"/>
        </w:rPr>
        <w:footnoteReference w:id="19"/>
      </w:r>
      <w:r w:rsidRPr="00BE448F">
        <w:rPr>
          <w:rFonts w:ascii="Palatino Linotype" w:eastAsia="Calibri" w:hAnsi="Palatino Linotype" w:cs="Arial"/>
        </w:rPr>
        <w:t>, mientras que según el Diccionario de la Lengua Española, lo real es lo “(que tiene existencia objetiva”,</w:t>
      </w:r>
      <w:r w:rsidRPr="00BE448F">
        <w:rPr>
          <w:rFonts w:ascii="Palatino Linotype" w:eastAsia="Calibri" w:hAnsi="Palatino Linotype" w:cs="Arial"/>
          <w:vertAlign w:val="superscript"/>
        </w:rPr>
        <w:footnoteReference w:id="20"/>
      </w:r>
      <w:r w:rsidRPr="00BE448F">
        <w:rPr>
          <w:rFonts w:ascii="Palatino Linotype" w:eastAsia="Calibri" w:hAnsi="Palatino Linotype" w:cs="Arial"/>
        </w:rPr>
        <w:t xml:space="preserve"> mientras que lo demostrables es, según la misma fuente, aquello que se puede demostrar,</w:t>
      </w:r>
      <w:r w:rsidRPr="00BE448F">
        <w:rPr>
          <w:rFonts w:ascii="Palatino Linotype" w:eastAsia="Calibri" w:hAnsi="Palatino Linotype" w:cs="Arial"/>
          <w:vertAlign w:val="superscript"/>
        </w:rPr>
        <w:footnoteReference w:id="21"/>
      </w:r>
      <w:r w:rsidRPr="00BE448F">
        <w:rPr>
          <w:rFonts w:ascii="Palatino Linotype" w:eastAsia="Calibri" w:hAnsi="Palatino Linotype" w:cs="Arial"/>
        </w:rPr>
        <w:t xml:space="preserve"> es decir, “(manifestar, declarar. Probar, sirviéndose de cualquier género de demostración, </w:t>
      </w:r>
      <w:hyperlink r:id="rId13" w:anchor="6nAyKjE" w:history="1">
        <w:r w:rsidRPr="00BE448F">
          <w:rPr>
            <w:rStyle w:val="Hipervnculo"/>
            <w:rFonts w:ascii="Palatino Linotype" w:eastAsia="Calibri" w:hAnsi="Palatino Linotype" w:cs="Arial"/>
          </w:rPr>
          <w:t>enseñar</w:t>
        </w:r>
      </w:hyperlink>
      <w:r w:rsidRPr="00BE448F">
        <w:rPr>
          <w:rFonts w:ascii="Palatino Linotype" w:eastAsia="Calibri" w:hAnsi="Palatino Linotype" w:cs="Arial"/>
        </w:rPr>
        <w:t xml:space="preserve"> mostrar o exponer algo)”.</w:t>
      </w:r>
      <w:r w:rsidRPr="00BE448F">
        <w:rPr>
          <w:rFonts w:ascii="Palatino Linotype" w:eastAsia="Calibri" w:hAnsi="Palatino Linotype" w:cs="Arial"/>
          <w:vertAlign w:val="superscript"/>
        </w:rPr>
        <w:footnoteReference w:id="22"/>
      </w:r>
      <w:r w:rsidRPr="00BE448F">
        <w:rPr>
          <w:rFonts w:ascii="Palatino Linotype" w:eastAsia="Calibri" w:hAnsi="Palatino Linotype" w:cs="Arial"/>
        </w:rPr>
        <w:t xml:space="preserve"> Mientras que lo identificable es lo que puede ser identificado,</w:t>
      </w:r>
      <w:r w:rsidRPr="00BE448F">
        <w:rPr>
          <w:rFonts w:ascii="Palatino Linotype" w:eastAsia="Calibri" w:hAnsi="Palatino Linotype" w:cs="Arial"/>
          <w:vertAlign w:val="superscript"/>
        </w:rPr>
        <w:footnoteReference w:id="23"/>
      </w:r>
      <w:r w:rsidRPr="00BE448F">
        <w:rPr>
          <w:rFonts w:ascii="Palatino Linotype" w:eastAsia="Calibri" w:hAnsi="Palatino Linotype" w:cs="Arial"/>
        </w:rPr>
        <w:t xml:space="preserve"> esto es, “(dar los datos necesarios para ser reconocido”.</w:t>
      </w:r>
      <w:r w:rsidRPr="00BE448F">
        <w:rPr>
          <w:rFonts w:ascii="Palatino Linotype" w:eastAsia="Calibri" w:hAnsi="Palatino Linotype" w:cs="Arial"/>
          <w:vertAlign w:val="superscript"/>
        </w:rPr>
        <w:footnoteReference w:id="24"/>
      </w:r>
    </w:p>
    <w:p w14:paraId="5EBB5A22"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47DB5B9"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Por lo que entonces, el primer supuesto de la prueba de daño consiste en acreditar que la entrega de la información provoca tres aspectos concurrentes: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Identificando ese riesgo, se debe demostrar que el mismo supera el interés público general porque se difunda dicha información.</w:t>
      </w:r>
    </w:p>
    <w:p w14:paraId="75B15F35"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09E6EC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Y, por último,  que la limitación es acorde con el principio de proporcionalidad, para ello, se sugiere emplear los tres juicios propuestos por la Corte Constitucional Colombiana</w:t>
      </w:r>
      <w:r w:rsidRPr="00BE448F">
        <w:rPr>
          <w:rFonts w:ascii="Palatino Linotype" w:eastAsia="Calibri" w:hAnsi="Palatino Linotype" w:cs="Arial"/>
          <w:vertAlign w:val="superscript"/>
        </w:rPr>
        <w:footnoteReference w:id="25"/>
      </w:r>
      <w:r w:rsidRPr="00BE448F">
        <w:rPr>
          <w:rFonts w:ascii="Palatino Linotype" w:eastAsia="Calibri" w:hAnsi="Palatino Linotype" w:cs="Arial"/>
        </w:rPr>
        <w:t xml:space="preserve">, siguiendo el principio de ponderación </w:t>
      </w:r>
      <w:r w:rsidRPr="00BE448F">
        <w:rPr>
          <w:rFonts w:ascii="Palatino Linotype" w:eastAsia="Calibri" w:hAnsi="Palatino Linotype" w:cs="Arial"/>
        </w:rPr>
        <w:lastRenderedPageBreak/>
        <w:t>propuesto por el Tribunal Constitucional Alemán,</w:t>
      </w:r>
      <w:r w:rsidRPr="00BE448F">
        <w:rPr>
          <w:rFonts w:ascii="Palatino Linotype" w:eastAsia="Calibri" w:hAnsi="Palatino Linotype" w:cs="Arial"/>
          <w:vertAlign w:val="superscript"/>
        </w:rPr>
        <w:footnoteReference w:id="26"/>
      </w:r>
      <w:r w:rsidRPr="00BE448F">
        <w:rPr>
          <w:rFonts w:ascii="Palatino Linotype" w:eastAsia="Calibri" w:hAnsi="Palatino Linotype" w:cs="Aria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90C081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D9ECDEA"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De tal manera que </w:t>
      </w:r>
      <w:r w:rsidRPr="00BE448F">
        <w:rPr>
          <w:rFonts w:ascii="Palatino Linotype" w:hAnsi="Palatino Linotype" w:cs="Arial"/>
          <w:color w:val="000000" w:themeColor="text1"/>
        </w:rPr>
        <w:t xml:space="preserve">es insuficiente invocar el artículo 140 de la Ley de Transparencia y Acceso a la Información Pública del Estado de México y Municipios, pues para que dicha clasificación resulte procedente no basta con que el supuesto jurídico se encuentre previsto en la normatividad, ni que por el simple hecho de considerarse información relacionada con procedimientos administrativos tenga por esa sola característica la categoría de reservada, </w:t>
      </w:r>
      <w:r w:rsidRPr="00BE448F">
        <w:rPr>
          <w:rFonts w:ascii="Palatino Linotype" w:hAnsi="Palatino Linotype" w:cs="Arial"/>
          <w:b/>
          <w:color w:val="000000" w:themeColor="text1"/>
        </w:rPr>
        <w:t>ya que para ello deberá analizarse el caso concreto que se presente, mediante la aplicación de la prueba de daño</w:t>
      </w:r>
      <w:r w:rsidRPr="00BE448F">
        <w:rPr>
          <w:rFonts w:ascii="Palatino Linotype" w:hAnsi="Palatino Linotype" w:cs="Arial"/>
          <w:color w:val="000000" w:themeColor="text1"/>
        </w:rPr>
        <w:t xml:space="preserve"> para determinar si la difusión puede generar un daño a los intereses protegidos en el artículo 140 de la Ley de la materia.</w:t>
      </w:r>
    </w:p>
    <w:p w14:paraId="004E845F"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F38D573"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rPr>
      </w:pPr>
      <w:bookmarkStart w:id="44" w:name="_Toc54877511"/>
      <w:r w:rsidRPr="00BE448F">
        <w:rPr>
          <w:rFonts w:ascii="Palatino Linotype" w:eastAsia="Calibri" w:hAnsi="Palatino Linotype" w:cs="Arial"/>
          <w:b/>
        </w:rPr>
        <w:t>IV.II.I.I Desarrollo de la prueba de daño.</w:t>
      </w:r>
      <w:bookmarkEnd w:id="44"/>
    </w:p>
    <w:p w14:paraId="22618BAD"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338271E"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Como se ha expuesto en líneas anteriores, los expedientes pendientes de resolver en la Contraloría Municipal que no se relacionen con procedimientos administrativos por faltas no graves pueden encontrarse dentro de dos supuestos: </w:t>
      </w:r>
      <w:r w:rsidRPr="00BE448F">
        <w:rPr>
          <w:rFonts w:ascii="Palatino Linotype" w:eastAsia="Calibri" w:hAnsi="Palatino Linotype" w:cs="Arial"/>
        </w:rPr>
        <w:lastRenderedPageBreak/>
        <w:t xml:space="preserve">que se encuentren aún dentro de la etapa de investigación; o, que se encuentren en la etapa de sustanciación dentro de un procedimiento de responsabilidades administrativas </w:t>
      </w:r>
      <w:r w:rsidRPr="00BE448F">
        <w:rPr>
          <w:rFonts w:ascii="Palatino Linotype" w:eastAsia="Calibri" w:hAnsi="Palatino Linotype" w:cs="Arial"/>
          <w:b/>
          <w:bCs/>
        </w:rPr>
        <w:t>por faltas graves</w:t>
      </w:r>
      <w:r w:rsidRPr="00BE448F">
        <w:rPr>
          <w:rFonts w:ascii="Palatino Linotype" w:eastAsia="Calibri" w:hAnsi="Palatino Linotype" w:cs="Arial"/>
        </w:rPr>
        <w:t xml:space="preserve">. Por ello, se aprecia que el </w:t>
      </w:r>
      <w:r w:rsidRPr="00BE448F">
        <w:rPr>
          <w:rFonts w:ascii="Palatino Linotype" w:eastAsia="Calibri" w:hAnsi="Palatino Linotype" w:cs="Arial"/>
          <w:b/>
        </w:rPr>
        <w:t>SUJETO OBLIGADO</w:t>
      </w:r>
      <w:r w:rsidRPr="00BE448F">
        <w:rPr>
          <w:rFonts w:ascii="Palatino Linotype" w:eastAsia="Calibri" w:hAnsi="Palatino Linotype" w:cs="Arial"/>
        </w:rPr>
        <w:t xml:space="preserve"> deberá analizar cuidadosamente la naturaleza de cada uno de los procesos que estén siendo sustanciados por su órgano de control, a efecto de diferenciar los que por su naturaleza deban reservarse en concordancia con la fracción VI del artículo 140 de la Ley de Transparencia y Acceso a la Información Pública del Estado de México y Municipios; o, por el contrario, deban entregarse por relacionarse con las fracciones I y IV del numeral 142 de la misma norma.</w:t>
      </w:r>
    </w:p>
    <w:p w14:paraId="6C41775F"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68D70A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La clasificación total o parcial de la información requerida, mediante solicitud de acceso a la información pública, constituye una restricción al derecho humano de acceso a la información. Por ello, el </w:t>
      </w:r>
      <w:r w:rsidRPr="00BE448F">
        <w:rPr>
          <w:rFonts w:ascii="Palatino Linotype" w:eastAsia="Calibri" w:hAnsi="Palatino Linotype" w:cs="Arial"/>
          <w:b/>
        </w:rPr>
        <w:t>SUJETO OBLIGADO</w:t>
      </w:r>
      <w:r w:rsidRPr="00BE448F">
        <w:rPr>
          <w:rFonts w:ascii="Palatino Linotype" w:eastAsia="Calibri" w:hAnsi="Palatino Linotype" w:cs="Arial"/>
        </w:rPr>
        <w:t xml:space="preserve"> debe ser muy cuidadoso en su ejercicio de clasificación, la cual deberá ser debidamente fundada y motivada de conformidad con lo dispuesto por el Título Sexto de la Ley de Transparencia y Acceso a la Información Pública del Estado de México y Municipios; misma que, a su vez, deberá contener una prueba de daño aplicada a lo dispuesto por las causales de reserva contenidas en las fracciones VI y VIII del artículo 140 de la Ley de Transparencia y Acceso a la Información Pública del Estado de México y Municipios; y, con el Lineamiento Vigésimo Octavo de los Lineamientos Generales en Materia de Clasificación, Desclasificación de la Información, así como para la Elaboración de Versiones Públicas, cuyo contenido es el siguiente:</w:t>
      </w:r>
    </w:p>
    <w:p w14:paraId="1B28456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2FAA4B4"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center"/>
        <w:rPr>
          <w:rFonts w:ascii="Palatino Linotype" w:hAnsi="Palatino Linotype"/>
          <w:b/>
          <w:i/>
          <w:sz w:val="22"/>
        </w:rPr>
      </w:pPr>
      <w:r w:rsidRPr="00BE448F">
        <w:rPr>
          <w:rFonts w:ascii="Palatino Linotype" w:hAnsi="Palatino Linotype"/>
          <w:b/>
          <w:i/>
          <w:sz w:val="22"/>
        </w:rPr>
        <w:t>LEY DE TRANSPARENCIA Y ACCESO A LA INFORMACIÓN PÚBLICA DEL ESTADO DE MÉXICO Y MUNICIPIOS</w:t>
      </w:r>
    </w:p>
    <w:p w14:paraId="148D8102"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lastRenderedPageBreak/>
        <w:t>“</w:t>
      </w:r>
      <w:r w:rsidRPr="00BE448F">
        <w:rPr>
          <w:rFonts w:ascii="Palatino Linotype" w:hAnsi="Palatino Linotype"/>
          <w:b/>
          <w:i/>
          <w:sz w:val="22"/>
        </w:rPr>
        <w:t>Artículo 140.</w:t>
      </w:r>
      <w:r w:rsidRPr="00BE448F">
        <w:rPr>
          <w:rFonts w:ascii="Palatino Linotype" w:hAnsi="Palatino Linotype"/>
          <w:i/>
          <w:sz w:val="22"/>
        </w:rPr>
        <w:t xml:space="preserve"> </w:t>
      </w:r>
      <w:r w:rsidRPr="00BE448F">
        <w:rPr>
          <w:rFonts w:ascii="Palatino Linotype" w:hAnsi="Palatino Linotype"/>
          <w:b/>
          <w:i/>
          <w:sz w:val="22"/>
        </w:rPr>
        <w:t>El acceso a la información pública será restringido</w:t>
      </w:r>
      <w:r w:rsidRPr="00BE448F">
        <w:rPr>
          <w:rFonts w:ascii="Palatino Linotype" w:hAnsi="Palatino Linotype"/>
          <w:i/>
          <w:sz w:val="22"/>
        </w:rPr>
        <w:t xml:space="preserve"> excepcionalmente, </w:t>
      </w:r>
      <w:r w:rsidRPr="00BE448F">
        <w:rPr>
          <w:rFonts w:ascii="Palatino Linotype" w:hAnsi="Palatino Linotype"/>
          <w:b/>
          <w:i/>
          <w:sz w:val="22"/>
        </w:rPr>
        <w:t>cuando</w:t>
      </w:r>
      <w:r w:rsidRPr="00BE448F">
        <w:rPr>
          <w:rFonts w:ascii="Palatino Linotype" w:hAnsi="Palatino Linotype"/>
          <w:i/>
          <w:sz w:val="22"/>
        </w:rPr>
        <w:t xml:space="preserve"> por razones de interés público, </w:t>
      </w:r>
      <w:r w:rsidRPr="00BE448F">
        <w:rPr>
          <w:rFonts w:ascii="Palatino Linotype" w:hAnsi="Palatino Linotype"/>
          <w:b/>
          <w:i/>
          <w:sz w:val="22"/>
        </w:rPr>
        <w:t xml:space="preserve">ésta sea </w:t>
      </w:r>
      <w:r w:rsidRPr="00BE448F">
        <w:rPr>
          <w:rFonts w:ascii="Palatino Linotype" w:hAnsi="Palatino Linotype"/>
          <w:b/>
          <w:i/>
          <w:sz w:val="22"/>
          <w:u w:val="single"/>
        </w:rPr>
        <w:t>clasificada como reservada</w:t>
      </w:r>
      <w:r w:rsidRPr="00BE448F">
        <w:rPr>
          <w:rFonts w:ascii="Palatino Linotype" w:hAnsi="Palatino Linotype"/>
          <w:b/>
          <w:i/>
          <w:sz w:val="22"/>
        </w:rPr>
        <w:t>, conforme a los criterios siguientes</w:t>
      </w:r>
      <w:r w:rsidRPr="00BE448F">
        <w:rPr>
          <w:rFonts w:ascii="Palatino Linotype" w:hAnsi="Palatino Linotype"/>
          <w:i/>
          <w:sz w:val="22"/>
        </w:rPr>
        <w:t>:</w:t>
      </w:r>
    </w:p>
    <w:p w14:paraId="139AE7B2"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t>(…)</w:t>
      </w:r>
    </w:p>
    <w:p w14:paraId="38B75375"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b/>
          <w:i/>
          <w:sz w:val="22"/>
        </w:rPr>
        <w:t>VI. Pueda causar daño u obstruya la prevención o persecución de los delitos, altere el proceso de investigación de las carpetas de investigación, afecte o vulnere la conducción o los derechos del debido proceso en los procedimientos judiciales o administrativos</w:t>
      </w:r>
      <w:r w:rsidRPr="00BE448F">
        <w:rPr>
          <w:rFonts w:ascii="Palatino Linotype" w:hAnsi="Palatino Linotype"/>
          <w:i/>
          <w:sz w:val="22"/>
        </w:rPr>
        <w:t>,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C098764"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t>(…)</w:t>
      </w:r>
    </w:p>
    <w:p w14:paraId="449C0A01"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b/>
          <w:i/>
          <w:sz w:val="22"/>
        </w:rPr>
        <w:t>VIII. Vulnere la conducción de los</w:t>
      </w:r>
      <w:r w:rsidRPr="00BE448F">
        <w:rPr>
          <w:rFonts w:ascii="Palatino Linotype" w:hAnsi="Palatino Linotype"/>
          <w:i/>
          <w:sz w:val="22"/>
        </w:rPr>
        <w:t xml:space="preserve"> expedientes judiciales o de los </w:t>
      </w:r>
      <w:r w:rsidRPr="00BE448F">
        <w:rPr>
          <w:rFonts w:ascii="Palatino Linotype" w:hAnsi="Palatino Linotype"/>
          <w:b/>
          <w:i/>
          <w:sz w:val="22"/>
        </w:rPr>
        <w:t>procedimientos administrativos</w:t>
      </w:r>
      <w:r w:rsidRPr="00BE448F">
        <w:rPr>
          <w:rFonts w:ascii="Palatino Linotype" w:hAnsi="Palatino Linotype"/>
          <w:i/>
          <w:sz w:val="22"/>
        </w:rPr>
        <w:t xml:space="preserve"> seguidos en forma de juicio, </w:t>
      </w:r>
      <w:r w:rsidRPr="00BE448F">
        <w:rPr>
          <w:rFonts w:ascii="Palatino Linotype" w:hAnsi="Palatino Linotype"/>
          <w:b/>
          <w:i/>
          <w:sz w:val="22"/>
        </w:rPr>
        <w:t>en tanto no hayan quedado firmes</w:t>
      </w:r>
      <w:r w:rsidRPr="00BE448F">
        <w:rPr>
          <w:rFonts w:ascii="Palatino Linotype" w:hAnsi="Palatino Linotype"/>
          <w:i/>
          <w:sz w:val="22"/>
        </w:rPr>
        <w:t>;</w:t>
      </w:r>
    </w:p>
    <w:p w14:paraId="313899D0"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r w:rsidRPr="00BE448F">
        <w:rPr>
          <w:rFonts w:ascii="Palatino Linotype" w:hAnsi="Palatino Linotype"/>
          <w:i/>
          <w:sz w:val="22"/>
        </w:rPr>
        <w:t>(…)”</w:t>
      </w:r>
    </w:p>
    <w:p w14:paraId="6371850C"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p>
    <w:p w14:paraId="1509F7F3"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i/>
          <w:sz w:val="22"/>
        </w:rPr>
      </w:pPr>
    </w:p>
    <w:p w14:paraId="3A79EFE8"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center"/>
        <w:rPr>
          <w:rFonts w:ascii="Palatino Linotype" w:hAnsi="Palatino Linotype" w:cs="Arial"/>
          <w:b/>
          <w:i/>
          <w:sz w:val="22"/>
        </w:rPr>
      </w:pPr>
      <w:r w:rsidRPr="00BE448F">
        <w:rPr>
          <w:rFonts w:ascii="Palatino Linotype" w:hAnsi="Palatino Linotype" w:cs="Arial"/>
          <w:b/>
          <w:i/>
          <w:sz w:val="22"/>
        </w:rPr>
        <w:t>LINEAMIENTOS GENERALES EN MATERIA DE CLASIFICACIÓN, DESCLASIFICACIÓN DE LA INFORMACIÓN, ASÍ COMO PARA LA ELABORACIÓN DE VERSIONES PÚBLICAS</w:t>
      </w:r>
    </w:p>
    <w:p w14:paraId="72F56DD2"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cs="Arial"/>
          <w:i/>
          <w:sz w:val="22"/>
          <w:lang w:val="es-MX"/>
        </w:rPr>
      </w:pPr>
      <w:r w:rsidRPr="00BE448F">
        <w:rPr>
          <w:rFonts w:ascii="Palatino Linotype" w:hAnsi="Palatino Linotype" w:cs="Arial"/>
          <w:i/>
          <w:sz w:val="22"/>
          <w:lang w:val="es-MX"/>
        </w:rPr>
        <w:t>“</w:t>
      </w:r>
      <w:r w:rsidRPr="00BE448F">
        <w:rPr>
          <w:rFonts w:ascii="Palatino Linotype" w:hAnsi="Palatino Linotype" w:cs="Arial"/>
          <w:b/>
          <w:i/>
          <w:sz w:val="22"/>
          <w:lang w:val="es-MX"/>
        </w:rPr>
        <w:t>Vigésimo octavo.</w:t>
      </w:r>
      <w:r w:rsidRPr="00BE448F">
        <w:rPr>
          <w:rFonts w:ascii="Palatino Linotype" w:hAnsi="Palatino Linotype" w:cs="Arial"/>
          <w:i/>
          <w:sz w:val="22"/>
          <w:lang w:val="es-MX"/>
        </w:rPr>
        <w:t xml:space="preserve"> De conformidad con el artículo 113, fracción IX de la Ley General, </w:t>
      </w:r>
      <w:r w:rsidRPr="00BE448F">
        <w:rPr>
          <w:rFonts w:ascii="Palatino Linotype" w:hAnsi="Palatino Linotype" w:cs="Arial"/>
          <w:b/>
          <w:i/>
          <w:sz w:val="22"/>
          <w:lang w:val="es-MX"/>
        </w:rPr>
        <w:t>podrá considerarse como información reservada, aquella que obstruya los procedimientos para fincar responsabilidad a los servidores públicos, en tanto no se haya dictado la resolución administrativa correspondiente</w:t>
      </w:r>
      <w:r w:rsidRPr="00BE448F">
        <w:rPr>
          <w:rFonts w:ascii="Palatino Linotype" w:hAnsi="Palatino Linotype" w:cs="Arial"/>
          <w:i/>
          <w:sz w:val="22"/>
          <w:lang w:val="es-MX"/>
        </w:rPr>
        <w:t>; para lo cual, se deberán acreditar los siguientes supuestos:</w:t>
      </w:r>
    </w:p>
    <w:p w14:paraId="4C8309A0"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cs="Arial"/>
          <w:i/>
          <w:sz w:val="22"/>
          <w:lang w:val="es-MX"/>
        </w:rPr>
      </w:pPr>
      <w:r w:rsidRPr="00BE448F">
        <w:rPr>
          <w:rFonts w:ascii="Palatino Linotype" w:hAnsi="Palatino Linotype" w:cs="Arial"/>
          <w:b/>
          <w:i/>
          <w:sz w:val="22"/>
          <w:lang w:val="es-MX"/>
        </w:rPr>
        <w:t>I.</w:t>
      </w:r>
      <w:r w:rsidRPr="00BE448F">
        <w:rPr>
          <w:rFonts w:ascii="Palatino Linotype" w:hAnsi="Palatino Linotype" w:cs="Arial"/>
          <w:i/>
          <w:sz w:val="22"/>
          <w:lang w:val="es-MX"/>
        </w:rPr>
        <w:t xml:space="preserve"> La existencia de un procedimiento de responsabilidad administrativa en trámite, y</w:t>
      </w:r>
    </w:p>
    <w:p w14:paraId="5A150E2C"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cs="Arial"/>
          <w:i/>
          <w:sz w:val="22"/>
          <w:lang w:val="es-MX"/>
        </w:rPr>
      </w:pPr>
      <w:r w:rsidRPr="00BE448F">
        <w:rPr>
          <w:rFonts w:ascii="Palatino Linotype" w:hAnsi="Palatino Linotype" w:cs="Arial"/>
          <w:b/>
          <w:i/>
          <w:sz w:val="22"/>
          <w:lang w:val="es-MX"/>
        </w:rPr>
        <w:t>II.</w:t>
      </w:r>
      <w:r w:rsidRPr="00BE448F">
        <w:rPr>
          <w:rFonts w:ascii="Palatino Linotype" w:hAnsi="Palatino Linotype" w:cs="Arial"/>
          <w:i/>
          <w:sz w:val="22"/>
          <w:lang w:val="es-MX"/>
        </w:rPr>
        <w:t xml:space="preserve"> Que la información se refiera a actuaciones, diligencias y constancias propias del </w:t>
      </w:r>
      <w:r w:rsidRPr="00BE448F">
        <w:rPr>
          <w:rFonts w:ascii="Palatino Linotype" w:hAnsi="Palatino Linotype" w:cs="Arial"/>
          <w:i/>
          <w:sz w:val="22"/>
          <w:lang w:val="es-MX"/>
        </w:rPr>
        <w:lastRenderedPageBreak/>
        <w:t>procedimiento de responsabilidad.”</w:t>
      </w:r>
    </w:p>
    <w:p w14:paraId="74CDA006" w14:textId="77777777" w:rsidR="00DF6473" w:rsidRPr="00BE448F" w:rsidRDefault="00DF6473" w:rsidP="00CB7B22">
      <w:pPr>
        <w:pStyle w:val="Prrafodelista"/>
        <w:widowControl w:val="0"/>
        <w:autoSpaceDE w:val="0"/>
        <w:autoSpaceDN w:val="0"/>
        <w:adjustRightInd w:val="0"/>
        <w:spacing w:before="360" w:after="240" w:line="360" w:lineRule="auto"/>
        <w:ind w:left="567" w:right="567"/>
        <w:jc w:val="both"/>
        <w:rPr>
          <w:rFonts w:ascii="Palatino Linotype" w:hAnsi="Palatino Linotype" w:cs="Arial"/>
          <w:sz w:val="22"/>
          <w:lang w:val="es-MX"/>
        </w:rPr>
      </w:pPr>
      <w:r w:rsidRPr="00BE448F">
        <w:rPr>
          <w:rFonts w:ascii="Palatino Linotype" w:hAnsi="Palatino Linotype" w:cs="Arial"/>
          <w:sz w:val="22"/>
          <w:lang w:val="es-MX"/>
        </w:rPr>
        <w:t>(Énfasis añadido)</w:t>
      </w:r>
    </w:p>
    <w:p w14:paraId="0F80F18E"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0BF934D"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las cosas, como fuera referido en líneas anteriores, para aplicar la prueba de daño, se deberán de precisar las razones objetivas por las que la apertura de la información genera una afectación, acreditando que:</w:t>
      </w:r>
    </w:p>
    <w:p w14:paraId="3082CC16" w14:textId="77777777" w:rsidR="00DF6473" w:rsidRPr="00BE448F" w:rsidRDefault="00DF6473" w:rsidP="00CB7B22">
      <w:pPr>
        <w:pStyle w:val="Prrafodelista"/>
        <w:widowControl w:val="0"/>
        <w:numPr>
          <w:ilvl w:val="1"/>
          <w:numId w:val="1"/>
        </w:numPr>
        <w:autoSpaceDE w:val="0"/>
        <w:autoSpaceDN w:val="0"/>
        <w:adjustRightInd w:val="0"/>
        <w:spacing w:before="100" w:beforeAutospacing="1" w:after="240" w:afterAutospacing="1" w:line="360" w:lineRule="auto"/>
        <w:ind w:left="1134" w:right="333"/>
        <w:jc w:val="both"/>
        <w:rPr>
          <w:rFonts w:ascii="Palatino Linotype" w:hAnsi="Palatino Linotype" w:cs="Times"/>
          <w:color w:val="000000" w:themeColor="text1"/>
        </w:rPr>
      </w:pPr>
      <w:r w:rsidRPr="00BE448F">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14:paraId="24DC3D0A" w14:textId="77777777" w:rsidR="00DF6473" w:rsidRPr="00BE448F" w:rsidRDefault="00DF6473" w:rsidP="00CB7B22">
      <w:pPr>
        <w:pStyle w:val="Prrafodelista"/>
        <w:widowControl w:val="0"/>
        <w:numPr>
          <w:ilvl w:val="1"/>
          <w:numId w:val="1"/>
        </w:numPr>
        <w:autoSpaceDE w:val="0"/>
        <w:autoSpaceDN w:val="0"/>
        <w:adjustRightInd w:val="0"/>
        <w:spacing w:before="100" w:beforeAutospacing="1" w:after="240" w:afterAutospacing="1" w:line="360" w:lineRule="auto"/>
        <w:ind w:left="1134" w:right="333"/>
        <w:jc w:val="both"/>
        <w:rPr>
          <w:rFonts w:ascii="Palatino Linotype" w:hAnsi="Palatino Linotype" w:cs="Times"/>
          <w:color w:val="000000" w:themeColor="text1"/>
        </w:rPr>
      </w:pPr>
      <w:r w:rsidRPr="00BE448F">
        <w:rPr>
          <w:rFonts w:ascii="Palatino Linotype" w:hAnsi="Palatino Linotype" w:cs="Bookman Old Style"/>
          <w:color w:val="000000" w:themeColor="text1"/>
        </w:rPr>
        <w:t xml:space="preserve">El riesgo de perjuicio que supondría la divulgación supera el interés público general de que se difunda; y </w:t>
      </w:r>
    </w:p>
    <w:p w14:paraId="301E6254" w14:textId="77777777" w:rsidR="00DF6473" w:rsidRPr="00BE448F" w:rsidRDefault="00DF6473" w:rsidP="00CB7B22">
      <w:pPr>
        <w:pStyle w:val="Prrafodelista"/>
        <w:widowControl w:val="0"/>
        <w:numPr>
          <w:ilvl w:val="1"/>
          <w:numId w:val="1"/>
        </w:numPr>
        <w:autoSpaceDE w:val="0"/>
        <w:autoSpaceDN w:val="0"/>
        <w:adjustRightInd w:val="0"/>
        <w:spacing w:before="100" w:beforeAutospacing="1" w:after="240" w:afterAutospacing="1" w:line="360" w:lineRule="auto"/>
        <w:ind w:left="1134" w:right="333"/>
        <w:jc w:val="both"/>
        <w:rPr>
          <w:rFonts w:ascii="Palatino Linotype" w:hAnsi="Palatino Linotype" w:cs="Times"/>
          <w:color w:val="000000" w:themeColor="text1"/>
        </w:rPr>
      </w:pPr>
      <w:r w:rsidRPr="00BE448F">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18AF051D"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D63DFC9" w14:textId="77777777" w:rsidR="00DF6473" w:rsidRPr="00BE448F" w:rsidRDefault="00DF6473" w:rsidP="00CB7B22">
      <w:pPr>
        <w:pStyle w:val="Prrafodelista"/>
        <w:spacing w:before="100" w:beforeAutospacing="1" w:after="100" w:afterAutospacing="1" w:line="360" w:lineRule="auto"/>
        <w:ind w:left="0"/>
        <w:jc w:val="both"/>
        <w:outlineLvl w:val="3"/>
        <w:rPr>
          <w:rFonts w:ascii="Palatino Linotype" w:eastAsia="Calibri" w:hAnsi="Palatino Linotype" w:cs="Arial"/>
          <w:b/>
        </w:rPr>
      </w:pPr>
      <w:bookmarkStart w:id="45" w:name="_Toc54877512"/>
      <w:r w:rsidRPr="00BE448F">
        <w:rPr>
          <w:rFonts w:ascii="Palatino Linotype" w:eastAsia="Calibri" w:hAnsi="Palatino Linotype" w:cs="Arial"/>
          <w:b/>
        </w:rPr>
        <w:t>IV.II.I.I.I La divulgación de la información representa un riesgo real, demostrable e identificable del perjuicio significativo al interés público o a la seguridad pública.</w:t>
      </w:r>
      <w:bookmarkEnd w:id="45"/>
    </w:p>
    <w:p w14:paraId="4B8CE8FA"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7D2992E"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A efecto de identificar el </w:t>
      </w:r>
      <w:r w:rsidRPr="00BE448F">
        <w:rPr>
          <w:rFonts w:ascii="Palatino Linotype" w:eastAsia="Calibri" w:hAnsi="Palatino Linotype" w:cs="Arial"/>
          <w:bCs/>
        </w:rPr>
        <w:t>riesgo real</w:t>
      </w:r>
      <w:r w:rsidRPr="00BE448F">
        <w:rPr>
          <w:rFonts w:ascii="Palatino Linotype" w:eastAsia="Calibri" w:hAnsi="Palatino Linotype" w:cs="Arial"/>
        </w:rPr>
        <w:t xml:space="preserve"> en la publicidad de expedientes pendientes de ser resueltos por la Contraloría Municipal debemos recapitular la línea procesal: en primer lugar, los que se encuentran en etapa de investigación, de tal modo que la autoridad investigadora aún se encuentra integrando el expediente mediante los documentos de prueba necesarios que le permitan calificar si una conducta determinada se configura como una falta administrativa.</w:t>
      </w:r>
    </w:p>
    <w:p w14:paraId="654B7C29"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BE713E1"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En segundo lugar, se encuentran los expedientes que ya han superado la etapa de investigación, toda vez que la autoridad investigadora terminó de reunir y analizar las pruebas y hechos relacionados con la conducta, realizó un ejercicio de calificación de ésta y concluyó que se incurría en una falta administrativa grave. Todo este análisis es depositado en el Informe de Presunta Responsabilidad Administrativa, el cual es turnado a la autoridad sustanciadora quien, al momento inmediato de admitir el informe, debió emplazar al presunto responsable dentro de un procedimiento de responsabilidades administrativas por faltas graves. De tal manera que las pruebas relacionadas con la conducta relacionada con una falta administrativa grave, ya han sido recabadas y aseguradas, e inclusive dadas a conocer al servidor público quien presuntamente cometió la falta mediante el emplazamiento.</w:t>
      </w:r>
    </w:p>
    <w:p w14:paraId="0AF25032"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CFB3D26"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El Lineamiento Vigésimo octavo de los Lineamientos Generales en Materia de Clasificación, Desclasificación de la Información, así como para la Elaboración de Versiones Públicas, especifica que podrá ser considerada como información reservada aquélla que obstruya los procedimientos para fincar responsabilidad a los servidores públicos, en tanto no se haya dictado una resolución administrativa correspondiente, se deberá acreditar: a) la existencia de un procedimiento en trámite; y, b) que la información se refiera a actuaciones, diligencias y constancias propias del procedimiento de responsabilidad. En ese sentido, se encontrarán en trámite todos los procesos de responsabilidad administrativa hasta en tanto la autoridad sustanciadora no emita una resolución en la que finque la responsabilidad e imponga una sanción. </w:t>
      </w:r>
    </w:p>
    <w:p w14:paraId="1D658A0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B6C593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Por otro lado, un expediente administrativo se forma justamente por actuaciones, que en el presente asunto pueden ser quejas, sugerencias, denuncias o auditorías que activaron a la autoridad investigadora para iniciar su investigación; diligencias, como son las auditorías o investigaciones respecto de las conductas que puedan constituir responsabilidades administrativas; y, constancias, como cualquier documento que se emita relacionado con la investigación y el proceso de responsabilidad administrativa. Por ende, de acreditarse la clasificación de los expedientes, todo su contenido debería ser reservado.</w:t>
      </w:r>
    </w:p>
    <w:p w14:paraId="66A6D7A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9AB677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Bajo esas consideraciones, se identifica un </w:t>
      </w:r>
      <w:r w:rsidRPr="00BE448F">
        <w:rPr>
          <w:rFonts w:ascii="Palatino Linotype" w:eastAsia="Calibri" w:hAnsi="Palatino Linotype" w:cs="Arial"/>
          <w:b/>
        </w:rPr>
        <w:t>riesgo real</w:t>
      </w:r>
      <w:r w:rsidRPr="00BE448F">
        <w:rPr>
          <w:rFonts w:ascii="Palatino Linotype" w:eastAsia="Calibri" w:hAnsi="Palatino Linotype" w:cs="Arial"/>
        </w:rPr>
        <w:t xml:space="preserve"> en la publicación de expedientes sustanciados por la Contraloría Municipal, cuya vida procesal se encuentre aún en la etapa de investigación, porque se pueden robar, alterar, modificar o extinguir pruebas elementales que permitan determinar la gravedad de una conducta, así como identificar al servidor público quien la cometió, mismo que, a su vez, es </w:t>
      </w:r>
      <w:r w:rsidRPr="00BE448F">
        <w:rPr>
          <w:rFonts w:ascii="Palatino Linotype" w:eastAsia="Calibri" w:hAnsi="Palatino Linotype" w:cs="Arial"/>
          <w:b/>
        </w:rPr>
        <w:t xml:space="preserve">demostrable </w:t>
      </w:r>
      <w:r w:rsidRPr="00BE448F">
        <w:rPr>
          <w:rFonts w:ascii="Palatino Linotype" w:eastAsia="Calibri" w:hAnsi="Palatino Linotype" w:cs="Arial"/>
        </w:rPr>
        <w:t xml:space="preserve">ya que esta etapa procesal se centra en la investigación que realiza la autoridad investigadora, mientras que el servidor público que tiene el carácter de presunto responsable aún no tiene conocimiento formal de la investigación. Evidentemente, si el acceso a la información trajera como consecuencia que el presunto responsable conozca sobre la sustanciación de la responsabilidad administrativa, la investigación preventiva podría verse afectada por intentos encaminados a desvirtuar el hecho. </w:t>
      </w:r>
    </w:p>
    <w:p w14:paraId="2FAC7B7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708A7FF"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Sin embargo, en los casos en que ya se haya emplazado al presunto responsable, el riesgo real, señalado en el párrafo anterior, deja de existir, porque ya está enterado de las circunstancias del hecho que se le imputa y, la autoridad investigadora ya ha formulado de manera formal la acusación ante la autoridad sustanciadora mediante el Informe de Presunta Responsabilidad Administrativa y, calificado la conducta como grave.</w:t>
      </w:r>
    </w:p>
    <w:p w14:paraId="7221A47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FAF90B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De tal forma que el </w:t>
      </w:r>
      <w:r w:rsidRPr="00BE448F">
        <w:rPr>
          <w:rFonts w:ascii="Palatino Linotype" w:eastAsia="Calibri" w:hAnsi="Palatino Linotype" w:cs="Arial"/>
          <w:b/>
        </w:rPr>
        <w:t>riesgo identificable</w:t>
      </w:r>
      <w:r w:rsidRPr="00BE448F">
        <w:rPr>
          <w:rFonts w:ascii="Palatino Linotype" w:eastAsia="Calibri" w:hAnsi="Palatino Linotype" w:cs="Arial"/>
        </w:rPr>
        <w:t xml:space="preserve"> se halla específicamente en los expedientes relativos a responsabilidades administrativas que se encuentren en la etapa de investigación, toda vez que, como se ha dicho, su publicidad podría causar un daño u obstruir el proceso deliberativo de la autoridad sustanciadora. No así en los expedientes formados por conductas graves que ya hayan superado la etapa de investigación, donde la autoridad investigadora ya emitió un Informe de Presunta Responsabilidad Administrativa y se emplazó formalmente al presunto responsable, puesto que la información determinante para fincar una probable falta ya fue asentada en el propio informe y el servidor público que presuntamente cometió el acto ya ha sido notificado al respecto.</w:t>
      </w:r>
    </w:p>
    <w:p w14:paraId="5D4ED54E"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459E69B" w14:textId="77777777" w:rsidR="00DF6473" w:rsidRPr="00BE448F" w:rsidRDefault="00DF6473" w:rsidP="00CB7B22">
      <w:pPr>
        <w:pStyle w:val="Prrafodelista"/>
        <w:spacing w:before="100" w:beforeAutospacing="1" w:after="100" w:afterAutospacing="1" w:line="360" w:lineRule="auto"/>
        <w:ind w:left="0"/>
        <w:jc w:val="both"/>
        <w:outlineLvl w:val="3"/>
        <w:rPr>
          <w:rFonts w:ascii="Palatino Linotype" w:eastAsia="Calibri" w:hAnsi="Palatino Linotype" w:cs="Arial"/>
          <w:b/>
        </w:rPr>
      </w:pPr>
      <w:bookmarkStart w:id="46" w:name="_Toc54877513"/>
      <w:r w:rsidRPr="00BE448F">
        <w:rPr>
          <w:rFonts w:ascii="Palatino Linotype" w:eastAsia="Calibri" w:hAnsi="Palatino Linotype" w:cs="Arial"/>
          <w:b/>
        </w:rPr>
        <w:t>IV.II.I.I.II El riesgo de perjuicio que supondría la divulgación supera el interés público general de que se difunda.</w:t>
      </w:r>
      <w:bookmarkEnd w:id="46"/>
    </w:p>
    <w:p w14:paraId="77F096E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3DA30E0"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Habiendo identificado el riesgo, debemos comprobar que el mismo supera el interés público general porque se difunda dicha información; o si, por el contrario, el interés público supera el riesgo de su difusión.</w:t>
      </w:r>
    </w:p>
    <w:p w14:paraId="4491DF1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B2917EE"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Como se ha expuesto a lo largo del presente estudio, el derecho de acceso a la información encuentra su excepción en la clasificación de la información, cuando se actualice una hipótesis jurídica ya sea por confidencialidad o reserva. Los Recurrentes ejercen su derecho de acceder a la información en posesión de los Sujetos Obligados para promover la transparencia y rendición de cuentas; no obstante, en cada caso es necesario verificar si la información puede ser proporcionada.</w:t>
      </w:r>
    </w:p>
    <w:p w14:paraId="6287C85F"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E1EC639"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Recapitulando el punto anterior, el entregar al particular un expediente cuya vida procesal se encuentre dentro de la etapa de investigación puede vulnerar la información que forma parte de la averiguación realizada por la autoridad investigadora, toda vez que el presunto responsable puede ser alertado de las diligencias llevadas a cabo por la autoridad investigadora y, en agravio de las diligencias de investigación, puede entorpecer, esconder o destruir las pruebas que permitan sustanciar la o las faltas.</w:t>
      </w:r>
    </w:p>
    <w:p w14:paraId="4DA726CA"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087E20F"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No obstante, se insiste, una vez que la autoridad investigadora ha analizado los hechos y medios de prueba relativos a la conducta, ésta asentará sus determinaciones en el Informe de Presunta Responsabilidad Administrativa, el cual será remitido a la autoridad sustanciadora que, de encontrarlo fundado y motivado, lo admitirá y, acto seguido, emplazará formalmente al presunto responsable en un procedimiento de responsabilidades administrativas. </w:t>
      </w:r>
    </w:p>
    <w:p w14:paraId="17F828A7"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63C41E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 xml:space="preserve">Bajo esas consideraciones, por cuanto hace a los expedientes pendientes de resolver en la Contraloría Municipal que se encuentren en la etapa de investigación, el riesgo de perjuicio que generaría su divulgación y, que afectaría al resultado de la investigación, supera en gran medida al interés público de que sean difundidos, toda vez que a nada práctico conduciría su difusión si se entorpece o limita la conclusión de un procedimiento sancionatorio disciplinario. Pesa más que la Contraloría Municipal pueda hacerse de todos los elementos necesarios para calificar adecuadamente una falta administrativa, y que al darse a conocer un expediente en etapa de investigación, puedan vulnerarse o destruirse hechos o medios de prueba que impidan determinar la comisión de una conducta que signifique una falta administrativa. </w:t>
      </w:r>
    </w:p>
    <w:p w14:paraId="70B9B780"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FC18F41"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En cambio, en el caso de que el servidor público presuntamente responsable de la falta ya conozca la información puesto que ya ha sido emplazado dentro de un procedimiento por responsabilidades administrativas graves, su publicación no genera una lesión al proceso toda vez que los hechos y medios de prueba relacionados con la conducta ya han sido recabados y asentados dentro del Informe de Presunta Responsabilidad Administrativa; y, más aún, el dar a conocer a la ciudadanía el proceso de investigación que se llevó a cabo para fincar un procedimiento de responsabilidades administrativas graves beneficia la rendición de cuentas y transparenta las acciones del </w:t>
      </w:r>
      <w:r w:rsidRPr="00BE448F">
        <w:rPr>
          <w:rFonts w:ascii="Palatino Linotype" w:eastAsia="Calibri" w:hAnsi="Palatino Linotype" w:cs="Arial"/>
          <w:b/>
        </w:rPr>
        <w:t>SUJETO OBLIGADO</w:t>
      </w:r>
      <w:r w:rsidRPr="00BE448F">
        <w:rPr>
          <w:rFonts w:ascii="Palatino Linotype" w:eastAsia="Calibri" w:hAnsi="Palatino Linotype" w:cs="Arial"/>
        </w:rPr>
        <w:t xml:space="preserve"> para atender conflictos de este calibre.</w:t>
      </w:r>
    </w:p>
    <w:p w14:paraId="5FA17DDD"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1666B8A" w14:textId="77777777" w:rsidR="00DF6473" w:rsidRPr="00BE448F" w:rsidRDefault="00DF6473" w:rsidP="00CB7B22">
      <w:pPr>
        <w:pStyle w:val="Prrafodelista"/>
        <w:spacing w:before="100" w:beforeAutospacing="1" w:after="100" w:afterAutospacing="1" w:line="360" w:lineRule="auto"/>
        <w:ind w:left="0"/>
        <w:jc w:val="both"/>
        <w:outlineLvl w:val="3"/>
        <w:rPr>
          <w:rFonts w:ascii="Palatino Linotype" w:eastAsia="Calibri" w:hAnsi="Palatino Linotype" w:cs="Arial"/>
          <w:b/>
        </w:rPr>
      </w:pPr>
      <w:bookmarkStart w:id="47" w:name="_Toc54877514"/>
      <w:r w:rsidRPr="00BE448F">
        <w:rPr>
          <w:rFonts w:ascii="Palatino Linotype" w:eastAsia="Calibri" w:hAnsi="Palatino Linotype" w:cs="Arial"/>
          <w:b/>
        </w:rPr>
        <w:lastRenderedPageBreak/>
        <w:t>IV.II.I.I.III. La protección se adecua al principio de proporcionalidad y representa el medio menos restrictivo disponible para evitar el perjuicio.</w:t>
      </w:r>
      <w:bookmarkEnd w:id="47"/>
    </w:p>
    <w:p w14:paraId="61386852"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4C06EDCD"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Finalmente, debemos determinar la ponderación de la invasión que ocasionará la divulgación de los expedientes que se encuentran pendientes de resolverse en la Contraloría Municipal, y el interés público que presupone esta información.</w:t>
      </w:r>
    </w:p>
    <w:p w14:paraId="40DDAD69"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3526A1E"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Para establecer el juicio de ponderación, la doctrina y los intérpretes jurisdiccionales, recomiendan verificar el cumplimiento de tres juicios: el de necesidad, el de idoneidad y el de estricta proporcionalidad, para ello se sugiere </w:t>
      </w:r>
      <w:r w:rsidRPr="00BE448F">
        <w:rPr>
          <w:rFonts w:ascii="Palatino Linotype" w:eastAsia="Calibri" w:hAnsi="Palatino Linotype" w:cs="Arial"/>
          <w:b/>
          <w:u w:val="single"/>
        </w:rPr>
        <w:t>emplear los tres juicios</w:t>
      </w:r>
      <w:r w:rsidRPr="00BE448F">
        <w:rPr>
          <w:rFonts w:ascii="Palatino Linotype" w:eastAsia="Calibri" w:hAnsi="Palatino Linotype" w:cs="Arial"/>
        </w:rPr>
        <w:t xml:space="preserve"> propuestos por la Corte Constitucional Colombiana, siguiendo el principio de ponderación propuesto por el Tribunal Constitucional Alemán que señala el juicio de idoneidad deberá explicar que la medida permite obtener </w:t>
      </w:r>
      <w:r w:rsidRPr="00BE448F">
        <w:rPr>
          <w:rFonts w:ascii="Palatino Linotype" w:eastAsia="Calibri" w:hAnsi="Palatino Linotype" w:cs="Arial"/>
          <w:i/>
        </w:rPr>
        <w:t>el fin (constitucionalmente legítimo de acuerdo con el principio de razón suficiente);</w:t>
      </w:r>
      <w:r w:rsidRPr="00BE448F">
        <w:rPr>
          <w:rFonts w:ascii="Palatino Linotype" w:eastAsia="Calibri" w:hAnsi="Palatino Linotype" w:cs="Arial"/>
        </w:rPr>
        <w:t xml:space="preserve"> el de necesidad, a través del cual se debe acreditar que </w:t>
      </w:r>
      <w:r w:rsidRPr="00BE448F">
        <w:rPr>
          <w:rFonts w:ascii="Palatino Linotype" w:eastAsia="Calibri" w:hAnsi="Palatino Linotype" w:cs="Arial"/>
          <w:i/>
        </w:rPr>
        <w:t>no existan medios alternativos igualmente adecuados o idóneos para la obtención del fin, pero menos restrictivos de los principios afectados;</w:t>
      </w:r>
      <w:r w:rsidRPr="00BE448F">
        <w:rPr>
          <w:rFonts w:ascii="Palatino Linotype" w:eastAsia="Calibri" w:hAnsi="Palatino Linotype" w:cs="Arial"/>
        </w:rPr>
        <w:t xml:space="preserve"> y, por último, el de </w:t>
      </w:r>
      <w:r w:rsidRPr="00BE448F">
        <w:rPr>
          <w:rFonts w:ascii="Palatino Linotype" w:eastAsia="Calibri" w:hAnsi="Palatino Linotype" w:cs="Arial"/>
          <w:i/>
        </w:rPr>
        <w:t>proporcionalidad en sentido estricto, esto es, que el fin que la efectividad del fin que se persigue se alcance en una medida mayor a la afectación de los principios que sufren restricción, y particularmente, del principio de igualdad.</w:t>
      </w:r>
    </w:p>
    <w:p w14:paraId="5BBDB3A0"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7A0D9D8"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La Primera Sala de la Suprema Corte de Justicia de la Nación ha establecido criterios orientadores sobre el procedimiento para desahogar lo que denomina como </w:t>
      </w:r>
      <w:r w:rsidRPr="00BE448F">
        <w:rPr>
          <w:rFonts w:ascii="Palatino Linotype" w:eastAsia="Calibri" w:hAnsi="Palatino Linotype" w:cs="Arial"/>
        </w:rPr>
        <w:lastRenderedPageBreak/>
        <w:t>el test de proporcionalidad, a partir de cuatro etapas:</w:t>
      </w:r>
      <w:r w:rsidRPr="00BE448F">
        <w:rPr>
          <w:rFonts w:ascii="Palatino Linotype" w:eastAsia="Calibri" w:hAnsi="Palatino Linotype" w:cs="Arial"/>
          <w:lang w:val="es-ES"/>
        </w:rPr>
        <w:t xml:space="preserve"> </w:t>
      </w:r>
      <w:r w:rsidRPr="00BE448F">
        <w:rPr>
          <w:rFonts w:ascii="Palatino Linotype" w:eastAsia="Calibri" w:hAnsi="Palatino Linotype" w:cs="Arial"/>
          <w:i/>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BE448F">
        <w:rPr>
          <w:rFonts w:ascii="Palatino Linotype" w:eastAsia="Calibri" w:hAnsi="Palatino Linotype" w:cs="Arial"/>
          <w:i/>
          <w:vertAlign w:val="superscript"/>
        </w:rPr>
        <w:footnoteReference w:id="27"/>
      </w:r>
    </w:p>
    <w:p w14:paraId="10D1E95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FF19F72"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Estos mismos juicios son los que señala el artículo 89 de la Ley de la materia que lo explica de la siguiente manera:</w:t>
      </w:r>
    </w:p>
    <w:p w14:paraId="537EC762"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41B3D4D1" w14:textId="77777777" w:rsidR="00DF6473" w:rsidRPr="00BE448F" w:rsidRDefault="00DF6473" w:rsidP="00CB7B22">
      <w:pPr>
        <w:pStyle w:val="Prrafodelista"/>
        <w:spacing w:before="100" w:beforeAutospacing="1" w:after="100" w:afterAutospacing="1" w:line="360" w:lineRule="auto"/>
        <w:ind w:left="851" w:right="851"/>
        <w:rPr>
          <w:rFonts w:ascii="Palatino Linotype" w:eastAsia="Calibri" w:hAnsi="Palatino Linotype" w:cs="Arial"/>
          <w:i/>
          <w:sz w:val="22"/>
          <w:szCs w:val="22"/>
          <w:lang w:val="es-MX"/>
        </w:rPr>
      </w:pPr>
      <w:r w:rsidRPr="00BE448F">
        <w:rPr>
          <w:rFonts w:ascii="Palatino Linotype" w:eastAsia="Calibri" w:hAnsi="Palatino Linotype" w:cs="Arial"/>
          <w:b/>
          <w:bCs/>
          <w:i/>
          <w:sz w:val="22"/>
          <w:szCs w:val="22"/>
          <w:lang w:val="es-MX"/>
        </w:rPr>
        <w:t xml:space="preserve">Artículo 184. </w:t>
      </w:r>
      <w:r w:rsidRPr="00BE448F">
        <w:rPr>
          <w:rFonts w:ascii="Palatino Linotype" w:eastAsia="Calibri" w:hAnsi="Palatino Linotype" w:cs="Arial"/>
          <w:i/>
          <w:sz w:val="22"/>
          <w:szCs w:val="22"/>
          <w:lang w:val="es-MX"/>
        </w:rPr>
        <w:t xml:space="preserve">El Instituto, al resolver el recurso de revisión y tratándose de información clasificada como confidencial, deberá aplicar una prueba de interés público con base en elementos de idoneidad, necesidad y proporcionalidad, cuando exista una colisión de derechos. </w:t>
      </w:r>
    </w:p>
    <w:p w14:paraId="2AF82414" w14:textId="77777777" w:rsidR="00DF6473" w:rsidRPr="00BE448F" w:rsidRDefault="00DF6473" w:rsidP="00CB7B22">
      <w:pPr>
        <w:pStyle w:val="Prrafodelista"/>
        <w:spacing w:before="100" w:beforeAutospacing="1" w:after="100" w:afterAutospacing="1" w:line="360" w:lineRule="auto"/>
        <w:ind w:left="851" w:right="851"/>
        <w:rPr>
          <w:rFonts w:ascii="Palatino Linotype" w:eastAsia="Calibri" w:hAnsi="Palatino Linotype" w:cs="Arial"/>
          <w:i/>
          <w:sz w:val="22"/>
          <w:szCs w:val="22"/>
          <w:lang w:val="es-MX"/>
        </w:rPr>
      </w:pPr>
      <w:r w:rsidRPr="00BE448F">
        <w:rPr>
          <w:rFonts w:ascii="Palatino Linotype" w:eastAsia="Calibri" w:hAnsi="Palatino Linotype" w:cs="Arial"/>
          <w:i/>
          <w:sz w:val="22"/>
          <w:szCs w:val="22"/>
          <w:lang w:val="es-MX"/>
        </w:rPr>
        <w:t>Para estos efectos, se entenderá por:</w:t>
      </w:r>
    </w:p>
    <w:p w14:paraId="0C8CD80E" w14:textId="77777777" w:rsidR="00DF6473" w:rsidRPr="00BE448F" w:rsidRDefault="00DF6473" w:rsidP="00CB7B22">
      <w:pPr>
        <w:pStyle w:val="Prrafodelista"/>
        <w:spacing w:before="100" w:beforeAutospacing="1" w:after="100" w:afterAutospacing="1" w:line="360" w:lineRule="auto"/>
        <w:ind w:left="851" w:right="851"/>
        <w:rPr>
          <w:rFonts w:ascii="Palatino Linotype" w:eastAsia="Calibri" w:hAnsi="Palatino Linotype" w:cs="Arial"/>
          <w:i/>
          <w:sz w:val="22"/>
          <w:szCs w:val="22"/>
          <w:lang w:val="es-MX"/>
        </w:rPr>
      </w:pPr>
      <w:r w:rsidRPr="00BE448F">
        <w:rPr>
          <w:rFonts w:ascii="Palatino Linotype" w:eastAsia="Calibri" w:hAnsi="Palatino Linotype" w:cs="Arial"/>
          <w:b/>
          <w:bCs/>
          <w:i/>
          <w:sz w:val="22"/>
          <w:szCs w:val="22"/>
          <w:lang w:val="es-MX"/>
        </w:rPr>
        <w:t xml:space="preserve">I. Idoneidad: </w:t>
      </w:r>
      <w:r w:rsidRPr="00BE448F">
        <w:rPr>
          <w:rFonts w:ascii="Palatino Linotype" w:eastAsia="Calibri" w:hAnsi="Palatino Linotype" w:cs="Arial"/>
          <w:i/>
          <w:sz w:val="22"/>
          <w:szCs w:val="22"/>
          <w:lang w:val="es-MX"/>
        </w:rPr>
        <w:t>La legitimidad del derecho adoptado como preferente, que sea el adecuado para el logro de un fin constitucionalmente válido o apto para conseguir el fin pretendido;</w:t>
      </w:r>
    </w:p>
    <w:p w14:paraId="12493AD3" w14:textId="77777777" w:rsidR="00DF6473" w:rsidRPr="00BE448F" w:rsidRDefault="00DF6473" w:rsidP="00CB7B22">
      <w:pPr>
        <w:pStyle w:val="Prrafodelista"/>
        <w:spacing w:before="100" w:beforeAutospacing="1" w:after="100" w:afterAutospacing="1" w:line="360" w:lineRule="auto"/>
        <w:ind w:left="851" w:right="851"/>
        <w:rPr>
          <w:rFonts w:ascii="Palatino Linotype" w:eastAsia="Calibri" w:hAnsi="Palatino Linotype" w:cs="Arial"/>
          <w:i/>
          <w:sz w:val="22"/>
          <w:szCs w:val="22"/>
          <w:lang w:val="es-MX"/>
        </w:rPr>
      </w:pPr>
      <w:r w:rsidRPr="00BE448F">
        <w:rPr>
          <w:rFonts w:ascii="Palatino Linotype" w:eastAsia="Calibri" w:hAnsi="Palatino Linotype" w:cs="Arial"/>
          <w:b/>
          <w:bCs/>
          <w:i/>
          <w:sz w:val="22"/>
          <w:szCs w:val="22"/>
          <w:lang w:val="es-MX"/>
        </w:rPr>
        <w:t xml:space="preserve">II. Necesidad: </w:t>
      </w:r>
      <w:r w:rsidRPr="00BE448F">
        <w:rPr>
          <w:rFonts w:ascii="Palatino Linotype" w:eastAsia="Calibri" w:hAnsi="Palatino Linotype" w:cs="Arial"/>
          <w:i/>
          <w:sz w:val="22"/>
          <w:szCs w:val="22"/>
          <w:lang w:val="es-MX"/>
        </w:rPr>
        <w:t>La falta de un medio alternativo menos lesivo a la apertura de la información para satisfacer el interés público; y</w:t>
      </w:r>
    </w:p>
    <w:p w14:paraId="1E626ACD" w14:textId="77777777" w:rsidR="00DF6473" w:rsidRPr="00BE448F" w:rsidRDefault="00DF6473" w:rsidP="00CB7B22">
      <w:pPr>
        <w:pStyle w:val="Prrafodelista"/>
        <w:spacing w:before="100" w:beforeAutospacing="1" w:after="100" w:afterAutospacing="1" w:line="360" w:lineRule="auto"/>
        <w:ind w:left="851" w:right="851"/>
        <w:jc w:val="both"/>
        <w:rPr>
          <w:rFonts w:ascii="Palatino Linotype" w:eastAsia="Calibri" w:hAnsi="Palatino Linotype" w:cs="Arial"/>
          <w:sz w:val="22"/>
          <w:szCs w:val="22"/>
        </w:rPr>
      </w:pPr>
      <w:r w:rsidRPr="00BE448F">
        <w:rPr>
          <w:rFonts w:ascii="Palatino Linotype" w:eastAsia="Calibri" w:hAnsi="Palatino Linotype" w:cs="Arial"/>
          <w:b/>
          <w:bCs/>
          <w:i/>
          <w:sz w:val="22"/>
          <w:szCs w:val="22"/>
          <w:lang w:val="es-MX"/>
        </w:rPr>
        <w:t xml:space="preserve">Proporcionalidad: </w:t>
      </w:r>
      <w:r w:rsidRPr="00BE448F">
        <w:rPr>
          <w:rFonts w:ascii="Palatino Linotype" w:eastAsia="Calibri" w:hAnsi="Palatino Linotype" w:cs="Arial"/>
          <w:i/>
          <w:sz w:val="22"/>
          <w:szCs w:val="22"/>
          <w:lang w:val="es-MX"/>
        </w:rPr>
        <w:t>El equilibrio entre el perjuicio y beneficio a favor del interés público, a fin de que la decisión tomada represente un beneficio mayor al perjuicio que podría causar a la población.</w:t>
      </w:r>
    </w:p>
    <w:p w14:paraId="40A7EC27"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51B580F"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bCs/>
        </w:rPr>
      </w:pPr>
      <w:bookmarkStart w:id="48" w:name="_Toc54877515"/>
      <w:r w:rsidRPr="00BE448F">
        <w:rPr>
          <w:rFonts w:ascii="Palatino Linotype" w:eastAsia="Calibri" w:hAnsi="Palatino Linotype" w:cs="Arial"/>
          <w:b/>
          <w:bCs/>
        </w:rPr>
        <w:t>a) Primer juicio: el de idoneidad.</w:t>
      </w:r>
      <w:bookmarkEnd w:id="48"/>
    </w:p>
    <w:p w14:paraId="050DDA4B"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b/>
          <w:bCs/>
        </w:rPr>
      </w:pPr>
    </w:p>
    <w:p w14:paraId="7F7C347A"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El principio de idoneidad consiste en que la restricción propuesta sea la idónea para obtener un fin, constitucionalmente legítimo de acuerdo con el principio de razón suficiente.</w:t>
      </w:r>
    </w:p>
    <w:p w14:paraId="5AF6263A"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0256D4B"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Según la Primera Sala de la SCJN, esta primera fase del test consiste en identificar si la medida restrictiva persigue </w:t>
      </w:r>
      <w:r w:rsidRPr="00BE448F">
        <w:rPr>
          <w:rFonts w:ascii="Palatino Linotype" w:eastAsia="Calibri" w:hAnsi="Palatino Linotype" w:cs="Arial"/>
          <w:i/>
        </w:rPr>
        <w:t xml:space="preserve">una finalidad constitucionalmente válida, además de que debe lograr en algún grado la consecución de su fin, y no debe limitar de </w:t>
      </w:r>
      <w:r w:rsidRPr="00BE448F">
        <w:rPr>
          <w:rFonts w:ascii="Palatino Linotype" w:eastAsia="Calibri" w:hAnsi="Palatino Linotype" w:cs="Arial"/>
          <w:i/>
        </w:rPr>
        <w:lastRenderedPageBreak/>
        <w:t>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p>
    <w:p w14:paraId="26DE912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4372E31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También debemos de considerar que la misma Sala requiere que </w:t>
      </w:r>
      <w:r w:rsidRPr="00BE448F">
        <w:rPr>
          <w:rFonts w:ascii="Palatino Linotype" w:eastAsia="Calibri" w:hAnsi="Palatino Linotype" w:cs="Arial"/>
          <w:i/>
        </w:rPr>
        <w:t>el examen de idoneidad presupone la existencia de una relación entre la intervención al derecho el fin que persigue dicha afectación, siendo suficiente que la medida contribuya en algún modo y en algún grado a lograr el propósito que busca el legislador.</w:t>
      </w:r>
    </w:p>
    <w:p w14:paraId="297E374E"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A1C7849"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Lo que nos conduce, en este caso, a analizar si la obtención de los expedientes pendientes de resolver en la Contraloría Municipal, que se encuentren en etapa de investigación y, los relacionados con responsabilidades administrativas graves, permite obtener una finalidad constitucionalmente válida.</w:t>
      </w:r>
    </w:p>
    <w:p w14:paraId="613F774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ACF310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En este caso, la finalidad constitucionalmente válida que se persigue, no es otra sino que permitirle al </w:t>
      </w:r>
      <w:r w:rsidRPr="00BE448F">
        <w:rPr>
          <w:rFonts w:ascii="Palatino Linotype" w:eastAsia="Calibri" w:hAnsi="Palatino Linotype" w:cs="Arial"/>
          <w:b/>
          <w:bCs/>
        </w:rPr>
        <w:t>SOLICITANTE</w:t>
      </w:r>
      <w:r w:rsidRPr="00BE448F">
        <w:rPr>
          <w:rFonts w:ascii="Palatino Linotype" w:eastAsia="Calibri" w:hAnsi="Palatino Linotype" w:cs="Arial"/>
        </w:rPr>
        <w:t xml:space="preserve"> en el caso concreto y, a través de él, a la sociedad, indagar: a) si actualmente la Contraloría Municipal se encuentra investigando conductas relacionadas con faltas administrativas; b) si actualmente se están sustanciando procedimientos por responsabilidades administrativas graves; y c) las características de las faltas administrativas graves cometidas en contra del erario público. Lo cual es indispensable para corroborar que el Municipio de Villa Victoria esté dando un adecuado cumplimiento a las funciones de investigación y </w:t>
      </w:r>
      <w:r w:rsidRPr="00BE448F">
        <w:rPr>
          <w:rFonts w:ascii="Palatino Linotype" w:eastAsia="Calibri" w:hAnsi="Palatino Linotype" w:cs="Arial"/>
        </w:rPr>
        <w:lastRenderedPageBreak/>
        <w:t>establecimiento de sanciones a los servidores públicos que incurran en faltas administrativas graves.</w:t>
      </w:r>
    </w:p>
    <w:p w14:paraId="59981A9A"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B416FF8"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Como hemos señalado, el órgano interno de control del </w:t>
      </w:r>
      <w:r w:rsidRPr="00BE448F">
        <w:rPr>
          <w:rFonts w:ascii="Palatino Linotype" w:eastAsia="Calibri" w:hAnsi="Palatino Linotype" w:cs="Arial"/>
          <w:b/>
          <w:bCs/>
        </w:rPr>
        <w:t>SUJETO OBLIGADO</w:t>
      </w:r>
      <w:r w:rsidRPr="00BE448F">
        <w:rPr>
          <w:rFonts w:ascii="Palatino Linotype" w:eastAsia="Calibri" w:hAnsi="Palatino Linotype" w:cs="Arial"/>
        </w:rPr>
        <w:t xml:space="preserve"> crea expedientes para investigar conductas que presumiblemente puedan determinarse como faltas administrativas, con lo que garantizaría la integridad de los funcionarios, así como el buen desempeño de las funciones públicas; de tal forma que, lo que busca el particular con el acceso a estos expedientes es conocer si en la actual administración hay algún tipo de procedimiento motivado por la omisión de los servidores públicos a sus deberes en el correcto desempeño de la función pública.</w:t>
      </w:r>
    </w:p>
    <w:p w14:paraId="587157C1"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F407F14"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Razón de lo anterior, el entregar los expedientes responderá a: a) saber si han ocurrido conductas que deban investigarse para determinar si éstas se configuran como faltas administrativas; b) conocer si han ocurrido conductas determinadas como faltas administrativas graves, y c) si han existido esas conductas, conocer el procedimiento de investigación y sustanciación que el </w:t>
      </w:r>
      <w:r w:rsidRPr="00BE448F">
        <w:rPr>
          <w:rFonts w:ascii="Palatino Linotype" w:eastAsia="Calibri" w:hAnsi="Palatino Linotype" w:cs="Arial"/>
          <w:b/>
          <w:bCs/>
        </w:rPr>
        <w:t>SUJETO OBLIGADO</w:t>
      </w:r>
      <w:r w:rsidRPr="00BE448F">
        <w:rPr>
          <w:rFonts w:ascii="Palatino Linotype" w:eastAsia="Calibri" w:hAnsi="Palatino Linotype" w:cs="Arial"/>
        </w:rPr>
        <w:t xml:space="preserve"> se encuentra llevando a cabo para sancionar la conducta.</w:t>
      </w:r>
    </w:p>
    <w:p w14:paraId="3857CE5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B931880"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En ese sentido, la medida idónea para satisfacer el derecho de acceso a la información del particular sería el entregar los expedientes que se encuentran en etapa de investigación, así como los relacionados con responsabilidades administrativas graves. Ya que, con su entrega, el </w:t>
      </w:r>
      <w:r w:rsidRPr="00BE448F">
        <w:rPr>
          <w:rFonts w:ascii="Palatino Linotype" w:eastAsia="Calibri" w:hAnsi="Palatino Linotype" w:cs="Arial"/>
          <w:b/>
          <w:bCs/>
        </w:rPr>
        <w:t>RECURRENTE</w:t>
      </w:r>
      <w:r w:rsidRPr="00BE448F">
        <w:rPr>
          <w:rFonts w:ascii="Palatino Linotype" w:eastAsia="Calibri" w:hAnsi="Palatino Linotype" w:cs="Arial"/>
        </w:rPr>
        <w:t xml:space="preserve"> podría conocer a </w:t>
      </w:r>
      <w:r w:rsidRPr="00BE448F">
        <w:rPr>
          <w:rFonts w:ascii="Palatino Linotype" w:eastAsia="Calibri" w:hAnsi="Palatino Linotype" w:cs="Arial"/>
        </w:rPr>
        <w:lastRenderedPageBreak/>
        <w:t>ciencia cierta todos y cada uno de los procedimientos que se encuentren en etapa de investigación, así como los relacionados con faltas administrativas graves.</w:t>
      </w:r>
    </w:p>
    <w:p w14:paraId="751FB1E0"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BF7D43C"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bCs/>
        </w:rPr>
      </w:pPr>
      <w:bookmarkStart w:id="49" w:name="_Toc54877516"/>
      <w:r w:rsidRPr="00BE448F">
        <w:rPr>
          <w:rFonts w:ascii="Palatino Linotype" w:eastAsia="Calibri" w:hAnsi="Palatino Linotype" w:cs="Arial"/>
          <w:b/>
          <w:bCs/>
        </w:rPr>
        <w:t>b) Segundo juicio: el de necesidad.</w:t>
      </w:r>
      <w:bookmarkEnd w:id="49"/>
    </w:p>
    <w:p w14:paraId="4D95F75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D3F5E0A"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El juicio o principio de necesidad, tienen como finalidad acreditar que </w:t>
      </w:r>
      <w:r w:rsidRPr="00BE448F">
        <w:rPr>
          <w:rFonts w:ascii="Palatino Linotype" w:eastAsia="Calibri" w:hAnsi="Palatino Linotype" w:cs="Arial"/>
          <w:i/>
        </w:rPr>
        <w:t xml:space="preserve">no existan medios alternativos igualmente adecuados o idóneos para la obtención del fin, pero menos restrictivos de los principios afectados, </w:t>
      </w:r>
      <w:r w:rsidRPr="00BE448F">
        <w:rPr>
          <w:rFonts w:ascii="Palatino Linotype" w:eastAsia="Calibri" w:hAnsi="Palatino Linotype" w:cs="Arial"/>
        </w:rPr>
        <w:t xml:space="preserve">según el Tribunal Constitucional de Colombia, o bien, </w:t>
      </w:r>
      <w:r w:rsidRPr="00BE448F">
        <w:rPr>
          <w:rFonts w:ascii="Palatino Linotype" w:eastAsia="Calibri" w:hAnsi="Palatino Linotype" w:cs="Arial"/>
          <w:i/>
        </w:rPr>
        <w:t>corresponde analizar si la misma es necesaria o si, por el contrario, existen medidas alternativas que también sean idóneas pero que afecten</w:t>
      </w:r>
      <w:r w:rsidRPr="00BE448F">
        <w:rPr>
          <w:rFonts w:ascii="Palatino Linotype" w:eastAsia="Calibri" w:hAnsi="Palatino Linotype" w:cs="Arial"/>
        </w:rPr>
        <w:t xml:space="preserve"> </w:t>
      </w:r>
      <w:r w:rsidRPr="00BE448F">
        <w:rPr>
          <w:rFonts w:ascii="Palatino Linotype" w:eastAsia="Calibri" w:hAnsi="Palatino Linotype" w:cs="Arial"/>
          <w:i/>
        </w:rPr>
        <w:t>en menor grado el derecho fundamental</w:t>
      </w:r>
      <w:r w:rsidRPr="00BE448F">
        <w:rPr>
          <w:rFonts w:ascii="Palatino Linotype" w:eastAsia="Calibri" w:hAnsi="Palatino Linotype" w:cs="Arial"/>
        </w:rPr>
        <w:t>,</w:t>
      </w:r>
      <w:r w:rsidRPr="00BE448F">
        <w:rPr>
          <w:rFonts w:ascii="Palatino Linotype" w:eastAsia="Calibri" w:hAnsi="Palatino Linotype" w:cs="Arial"/>
          <w:vertAlign w:val="superscript"/>
        </w:rPr>
        <w:footnoteReference w:id="28"/>
      </w:r>
      <w:r w:rsidRPr="00BE448F">
        <w:rPr>
          <w:rFonts w:ascii="Palatino Linotype" w:eastAsia="Calibri" w:hAnsi="Palatino Linotype" w:cs="Arial"/>
        </w:rPr>
        <w:t xml:space="preserve"> según la Primera Sala de la SCJN.</w:t>
      </w:r>
    </w:p>
    <w:p w14:paraId="53076266"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D56C8CE"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Dicho lo anterior, por cuanto hace a los expedientes pendientes de resolver en la Contraloría Municipal que se encuentren a) en etapa de investigación o, b) relacionados con faltas administrativas graves, no pueden sustituirse por otros, en principio de cuentas, porque en éstos se encuentran las actuaciones y pruebas que llevan a la autoridad investigadora a emitir un Informe de Presunta Responsabilidad Administrativa, considerando la falta cometida, su gravedad y el comportamiento del presunto responsable.</w:t>
      </w:r>
    </w:p>
    <w:p w14:paraId="65627A4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DFAB24B"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Esto es, no existen documentales que puedan sustituir a aquéllas, dada la naturaleza de las mismas. En consecuencia, el acceder a los expedientes sería la medida necesaria para que las personas verifiquen, cuestionen e indaguen, cuántos procedimientos aún se encuentran en etapa de investigación y, en cuántos se han iniciado procedimientos de responsabilidades administrativas, así como el contenido y desarrollo procesal que cada conflicto lleva.</w:t>
      </w:r>
    </w:p>
    <w:p w14:paraId="6596A450"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F2A6C53" w14:textId="77777777" w:rsidR="00DF6473" w:rsidRPr="00BE448F" w:rsidRDefault="00DF6473" w:rsidP="00CB7B22">
      <w:pPr>
        <w:pStyle w:val="Prrafodelista"/>
        <w:spacing w:before="100" w:beforeAutospacing="1" w:after="100" w:afterAutospacing="1" w:line="360" w:lineRule="auto"/>
        <w:ind w:left="0"/>
        <w:jc w:val="both"/>
        <w:outlineLvl w:val="2"/>
        <w:rPr>
          <w:rFonts w:ascii="Palatino Linotype" w:eastAsia="Calibri" w:hAnsi="Palatino Linotype" w:cs="Arial"/>
          <w:b/>
          <w:bCs/>
        </w:rPr>
      </w:pPr>
      <w:bookmarkStart w:id="50" w:name="_Toc54877517"/>
      <w:r w:rsidRPr="00BE448F">
        <w:rPr>
          <w:rFonts w:ascii="Palatino Linotype" w:eastAsia="Calibri" w:hAnsi="Palatino Linotype" w:cs="Arial"/>
          <w:b/>
          <w:bCs/>
        </w:rPr>
        <w:t>c) Tercer juicio: Estricta proporcionalidad.</w:t>
      </w:r>
      <w:bookmarkEnd w:id="50"/>
    </w:p>
    <w:p w14:paraId="798A8F21"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3A1E32B"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En términos de la Primera Sala de la SCJN, </w:t>
      </w:r>
      <w:r w:rsidRPr="00BE448F">
        <w:rPr>
          <w:rFonts w:ascii="Palatino Linotype" w:eastAsia="Calibri" w:hAnsi="Palatino Linotype" w:cs="Arial"/>
          <w:i/>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0494BDF8"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948824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A lo largo del presente estudio se ha demostrado que los expedientes pendientes de resolver por la Contraloría Municipal que se encuentran en etapa de investigación, si son divulgados, se podrían entorpecer las actividades de investigación necesarias para determinar que una conducta actualice una falta administrativa. Sin embargo, en los expedientes relacionados con faltas administrativas graves en los que ya se superó la etapa de investigación y la autoridad sustanciadora ha emplazado al presunto responsable de la conducta, los hechos y pruebas relacionadas con el proceso ya han sido aseguradas, recabadas y asentadas por la autoridad investigadora en el Informe de Presunta Responsabilidad Administrativa, por lo que su publicidad no lesiona un proceso de investigación, ni vulnera la conducción del proceso.</w:t>
      </w:r>
    </w:p>
    <w:p w14:paraId="4DBB8815"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E606BBE"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Por ello, se propone clasificar como información reservada todos los expedientes pendientes de resolver en la Contraloría Municipal que se encuentren en la etapa de investigación, hasta en tanto no se haya emitido el Informe de Presunta Responsabilidad Administrativa y emplazado formalmente al presunto responsable en un procedimiento de responsabilidades administrativas. Empero, en un ejercicio de máxima publicidad, se deberá entregar el número de expedientes que se clasifiquen, a fin de no limitar del todo el derecho de acceso a la información del </w:t>
      </w:r>
      <w:r w:rsidRPr="00BE448F">
        <w:rPr>
          <w:rFonts w:ascii="Palatino Linotype" w:eastAsia="Calibri" w:hAnsi="Palatino Linotype" w:cs="Arial"/>
          <w:b/>
          <w:bCs/>
        </w:rPr>
        <w:t>RECURRENTE</w:t>
      </w:r>
      <w:r w:rsidRPr="00BE448F">
        <w:rPr>
          <w:rFonts w:ascii="Palatino Linotype" w:eastAsia="Calibri" w:hAnsi="Palatino Linotype" w:cs="Arial"/>
        </w:rPr>
        <w:t xml:space="preserve"> y se le entreguen datos estadísticos que le permitan conocer cuántos expedientes se encuentran dentro de esta etapa.</w:t>
      </w:r>
    </w:p>
    <w:p w14:paraId="441210E5"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041EF5DD"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La medida que se propone es estrictamente proporcional en razón de lo siguiente: ¿Estos expedientes son los únicos que pide el particular? Sí. ¿Se pueden </w:t>
      </w:r>
      <w:r w:rsidRPr="00BE448F">
        <w:rPr>
          <w:rFonts w:ascii="Palatino Linotype" w:eastAsia="Calibri" w:hAnsi="Palatino Linotype" w:cs="Arial"/>
        </w:rPr>
        <w:lastRenderedPageBreak/>
        <w:t xml:space="preserve">reponer? No. ¿La medida adoptada es la idónea para que el </w:t>
      </w:r>
      <w:r w:rsidRPr="00BE448F">
        <w:rPr>
          <w:rFonts w:ascii="Palatino Linotype" w:eastAsia="Calibri" w:hAnsi="Palatino Linotype" w:cs="Arial"/>
          <w:b/>
          <w:bCs/>
        </w:rPr>
        <w:t>RECURRENTE</w:t>
      </w:r>
      <w:r w:rsidRPr="00BE448F">
        <w:rPr>
          <w:rFonts w:ascii="Palatino Linotype" w:eastAsia="Calibri" w:hAnsi="Palatino Linotype" w:cs="Arial"/>
        </w:rPr>
        <w:t xml:space="preserve"> ejerza su derecho de acceso a la información? Sí, porque los expedientes en etapa de investigación mantendrán la clasificación como información reservada hasta en tanto la autoridad investigadora no termine de recabar, asegurar y analizar los hechos y pruebas que le permitan determinar si las conductas se relacionan con faltas administrativas graves o no graves. De esta manera, se propiciará que la autoridad investigadora reúna los elementos necesarios para calificar una conducta como una falta administrativa y, </w:t>
      </w:r>
      <w:proofErr w:type="spellStart"/>
      <w:r w:rsidRPr="00BE448F">
        <w:rPr>
          <w:rFonts w:ascii="Palatino Linotype" w:eastAsia="Calibri" w:hAnsi="Palatino Linotype" w:cs="Arial"/>
        </w:rPr>
        <w:t>mas</w:t>
      </w:r>
      <w:proofErr w:type="spellEnd"/>
      <w:r w:rsidRPr="00BE448F">
        <w:rPr>
          <w:rFonts w:ascii="Palatino Linotype" w:eastAsia="Calibri" w:hAnsi="Palatino Linotype" w:cs="Arial"/>
        </w:rPr>
        <w:t xml:space="preserve"> importante aún, asegure los elementos de prueba necesarios que permitan a la autoridad sustanciadora, en la siguiente etapa procesal, analizar la conducta, sus particularidades y resolver fincar o no una sanción administrativa disciplinaria.</w:t>
      </w:r>
    </w:p>
    <w:p w14:paraId="32CADC81"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2B7A03B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Así las cosas, por cuanto hace a los expedientes pendientes de resolver en la Contraloría Municipal que se encuentren en etapa de investigación, se deberán clasificar como reservados, pero por un período específico, esto es, hasta en tanto no se formule el Informe de Presunta Responsabilidad Administrativa que califique como grave la conducta, y que, a su vez, se haya emplazado al presunto responsable, perfeccionando la </w:t>
      </w:r>
      <w:r w:rsidRPr="00BE448F">
        <w:rPr>
          <w:rFonts w:ascii="Palatino Linotype" w:eastAsia="Calibri" w:hAnsi="Palatino Linotype" w:cs="Arial"/>
          <w:i/>
          <w:iCs/>
        </w:rPr>
        <w:t>Litis</w:t>
      </w:r>
      <w:r w:rsidRPr="00BE448F">
        <w:rPr>
          <w:rFonts w:ascii="Palatino Linotype" w:eastAsia="Calibri" w:hAnsi="Palatino Linotype" w:cs="Arial"/>
        </w:rPr>
        <w:t xml:space="preserve"> del procedimiento por faltas administrativas graves.</w:t>
      </w:r>
    </w:p>
    <w:p w14:paraId="02ECC4C5"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0456BC5"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Por otro lado, se deberán entregar los expedientes formados por responsabilidades administrativas graves, que ya hayan emplazado formalmente al presunto responsable dentro de un procedimiento de responsabilidades administrativas graves, ya que, como se ha demostrado a lo largo de la prueba de daño, su difusión se realiza en estricto apego al artículo 53 de la Ley del Sistema </w:t>
      </w:r>
      <w:r w:rsidRPr="00BE448F">
        <w:rPr>
          <w:rFonts w:ascii="Palatino Linotype" w:eastAsia="Calibri" w:hAnsi="Palatino Linotype" w:cs="Arial"/>
        </w:rPr>
        <w:lastRenderedPageBreak/>
        <w:t>Anticorrupción del Estado de México y Municipios, en concordancia con el artículo 142, fracciones I y IV, de la Ley de Transparencia y Acceso a la Información Pública del Estado de México y Municipios; empero, se deberán proteger los nombres y cargos de los servidores públicos presuntos responsables en aras de proteger el principio de presunción de inocencia, ello como consecuencia de que, si bien los presuntos responsables en encuentran enfrentando un procedimiento de responsabilidades administrativas por faltas graves, la autoridad sustanciadora aún no ha determinado su culpabilidad puesto que no se ha emitido una resolución que determine una sanción o, por el contrario, determine la inocencia del presunto responsable.</w:t>
      </w:r>
    </w:p>
    <w:p w14:paraId="124432DF"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5D60585F"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La medida que se propone es estrictamente proporcional en razón de lo siguiente: ¿Estos expedientes son los únicos que pide el particular? Sí. ¿Se pueden reponer? No. ¿La medida adoptada es la idónea para que el </w:t>
      </w:r>
      <w:r w:rsidRPr="00BE448F">
        <w:rPr>
          <w:rFonts w:ascii="Palatino Linotype" w:eastAsia="Calibri" w:hAnsi="Palatino Linotype" w:cs="Arial"/>
          <w:b/>
          <w:bCs/>
        </w:rPr>
        <w:t>RECURRENTE</w:t>
      </w:r>
      <w:r w:rsidRPr="00BE448F">
        <w:rPr>
          <w:rFonts w:ascii="Palatino Linotype" w:eastAsia="Calibri" w:hAnsi="Palatino Linotype" w:cs="Arial"/>
        </w:rPr>
        <w:t xml:space="preserve"> ejerza su derecho de acceso a la información? Sí, porque se está entregando el expediente completo de conformidad con las fracciones I y IV del numeral 142 de la Ley de Transparencia y Acceso a la Información Pública del Estado de México y Municipios, protegiendo el nombre y cargo de los presuntos responsables en aras de proteger el principio de presunción de inocencia, datos que serán difundidos una vez que la autoridad sustanciadora resuelva el procedimiento de responsabilidades administrativas por faltas graves.</w:t>
      </w:r>
    </w:p>
    <w:p w14:paraId="542B19AA"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148470D8" w14:textId="77777777" w:rsidR="00DF6473" w:rsidRPr="00BE448F" w:rsidRDefault="00DF6473" w:rsidP="00CB7B22">
      <w:pPr>
        <w:pStyle w:val="Prrafodelista"/>
        <w:tabs>
          <w:tab w:val="left" w:pos="567"/>
        </w:tabs>
        <w:spacing w:before="100" w:beforeAutospacing="1" w:after="100" w:afterAutospacing="1" w:line="360" w:lineRule="auto"/>
        <w:ind w:left="0"/>
        <w:jc w:val="both"/>
        <w:outlineLvl w:val="3"/>
        <w:rPr>
          <w:rFonts w:ascii="Palatino Linotype" w:eastAsia="Calibri" w:hAnsi="Palatino Linotype" w:cs="Arial"/>
          <w:b/>
        </w:rPr>
      </w:pPr>
      <w:bookmarkStart w:id="51" w:name="_Toc54877518"/>
      <w:r w:rsidRPr="00BE448F">
        <w:rPr>
          <w:rFonts w:ascii="Palatino Linotype" w:eastAsia="Calibri" w:hAnsi="Palatino Linotype" w:cs="Arial"/>
          <w:b/>
        </w:rPr>
        <w:t>IV.II.II Excepciones.</w:t>
      </w:r>
      <w:bookmarkEnd w:id="51"/>
    </w:p>
    <w:p w14:paraId="37E9B907"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1C6C21FA"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El numeral 53 de la Ley del Sistema Anticorrupción del Estado de México y Municipios dispone que las sanciones por faltas administrativas graves serán públicas cuando de éstas devengan impedimentos o inhabilitaciones para continuar ejerciendo el servicio público.</w:t>
      </w:r>
    </w:p>
    <w:p w14:paraId="7B6044E4"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373FCD33"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Al respecto, la Ley de Responsabilidades Administrativas del Estado de México y Municipios, define de forma clara y concreta cada uno de los actos considerados como faltas administrativas graves de los servidores públicos en sus artículos 53, 54, 55, 56, 57, 58, 59, 60, 61, 62, 63, 64, 65, 66 y 67; y, cuya ejecución se relacionan, en su mayoría, con el abuso del poder público encomendado en un empleo, cargo o comisión, buscando la obtención de un beneficio meramente personal en agravio del Estado, los ciudadanos u otros servidores públicos. </w:t>
      </w:r>
    </w:p>
    <w:p w14:paraId="25AFE66F"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828000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Lo anterior separa, en consecuencia, a los actos contenidos en el artículo 52 de la Ley de Responsabilidades Administrativas Estatal de todos los demás que pudieran ser investigados y sustanciados por la Contraloría Municipal, ya que éstos se pueden determinar </w:t>
      </w:r>
      <w:proofErr w:type="spellStart"/>
      <w:r w:rsidRPr="00BE448F">
        <w:rPr>
          <w:rFonts w:ascii="Palatino Linotype" w:eastAsia="Calibri" w:hAnsi="Palatino Linotype" w:cs="Arial"/>
        </w:rPr>
        <w:t>como</w:t>
      </w:r>
      <w:proofErr w:type="spellEnd"/>
      <w:r w:rsidRPr="00BE448F">
        <w:rPr>
          <w:rFonts w:ascii="Palatino Linotype" w:eastAsia="Calibri" w:hAnsi="Palatino Linotype" w:cs="Arial"/>
        </w:rPr>
        <w:t xml:space="preserve"> actos de corrupción. </w:t>
      </w:r>
    </w:p>
    <w:p w14:paraId="6196B06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6CF9B29C"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En ese sentido, debemos traer a estudio lo dispuesto por las fracciones I y IV del numeral 142 de la Ley de Transparencia y Acceso a la Información Pública del Estado de México y Municipios, mismo que se inserta a continuación:</w:t>
      </w:r>
    </w:p>
    <w:p w14:paraId="4245F30C"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089EE40" w14:textId="77777777" w:rsidR="00DF6473" w:rsidRPr="00BE448F" w:rsidRDefault="00DF6473" w:rsidP="00CB7B22">
      <w:pPr>
        <w:pStyle w:val="Prrafodelista"/>
        <w:spacing w:line="360" w:lineRule="auto"/>
        <w:ind w:left="851" w:right="851"/>
        <w:jc w:val="both"/>
        <w:rPr>
          <w:rFonts w:ascii="Palatino Linotype" w:hAnsi="Palatino Linotype"/>
          <w:i/>
          <w:sz w:val="22"/>
        </w:rPr>
      </w:pPr>
      <w:r w:rsidRPr="00BE448F">
        <w:rPr>
          <w:rFonts w:ascii="Palatino Linotype" w:hAnsi="Palatino Linotype"/>
          <w:i/>
          <w:sz w:val="22"/>
        </w:rPr>
        <w:t>“</w:t>
      </w:r>
      <w:r w:rsidRPr="00BE448F">
        <w:rPr>
          <w:rFonts w:ascii="Palatino Linotype" w:hAnsi="Palatino Linotype"/>
          <w:b/>
          <w:i/>
          <w:sz w:val="22"/>
        </w:rPr>
        <w:t>Artículo 142.</w:t>
      </w:r>
      <w:r w:rsidRPr="00BE448F">
        <w:rPr>
          <w:rFonts w:ascii="Palatino Linotype" w:hAnsi="Palatino Linotype"/>
          <w:i/>
          <w:sz w:val="22"/>
        </w:rPr>
        <w:t xml:space="preserve"> </w:t>
      </w:r>
      <w:r w:rsidRPr="00BE448F">
        <w:rPr>
          <w:rFonts w:ascii="Palatino Linotype" w:hAnsi="Palatino Linotype"/>
          <w:b/>
          <w:i/>
          <w:sz w:val="22"/>
        </w:rPr>
        <w:t>Bajo ninguna circunstancia podrá invocarse el carácter de reservado cuando:</w:t>
      </w:r>
    </w:p>
    <w:p w14:paraId="1685CD64" w14:textId="77777777" w:rsidR="00DF6473" w:rsidRPr="00BE448F" w:rsidRDefault="00DF6473" w:rsidP="00CB7B22">
      <w:pPr>
        <w:pStyle w:val="Prrafodelista"/>
        <w:spacing w:line="360" w:lineRule="auto"/>
        <w:ind w:left="851" w:right="851"/>
        <w:jc w:val="both"/>
        <w:rPr>
          <w:rFonts w:ascii="Palatino Linotype" w:hAnsi="Palatino Linotype"/>
          <w:i/>
          <w:sz w:val="22"/>
        </w:rPr>
      </w:pPr>
      <w:r w:rsidRPr="00BE448F">
        <w:rPr>
          <w:rFonts w:ascii="Palatino Linotype" w:hAnsi="Palatino Linotype"/>
          <w:b/>
          <w:bCs/>
          <w:i/>
          <w:sz w:val="22"/>
        </w:rPr>
        <w:lastRenderedPageBreak/>
        <w:t>I. Se trate de violaciones graves de derechos humanos</w:t>
      </w:r>
      <w:r w:rsidRPr="00BE448F">
        <w:rPr>
          <w:rFonts w:ascii="Palatino Linotype" w:hAnsi="Palatino Linotype"/>
          <w:i/>
          <w:sz w:val="22"/>
        </w:rPr>
        <w:t>, calificada así por autoridad competente;</w:t>
      </w:r>
    </w:p>
    <w:p w14:paraId="26253B63" w14:textId="77777777" w:rsidR="00DF6473" w:rsidRPr="00BE448F" w:rsidRDefault="00DF6473" w:rsidP="00CB7B22">
      <w:pPr>
        <w:pStyle w:val="Prrafodelista"/>
        <w:spacing w:line="360" w:lineRule="auto"/>
        <w:ind w:left="851" w:right="851"/>
        <w:jc w:val="both"/>
        <w:rPr>
          <w:rFonts w:ascii="Palatino Linotype" w:hAnsi="Palatino Linotype"/>
          <w:i/>
          <w:sz w:val="22"/>
        </w:rPr>
      </w:pPr>
      <w:r w:rsidRPr="00BE448F">
        <w:rPr>
          <w:rFonts w:ascii="Palatino Linotype" w:hAnsi="Palatino Linotype"/>
          <w:i/>
          <w:sz w:val="22"/>
        </w:rPr>
        <w:t>(…)</w:t>
      </w:r>
    </w:p>
    <w:p w14:paraId="7D64186E" w14:textId="77777777" w:rsidR="00DF6473" w:rsidRPr="00BE448F" w:rsidRDefault="00DF6473" w:rsidP="00CB7B22">
      <w:pPr>
        <w:pStyle w:val="Prrafodelista"/>
        <w:spacing w:line="360" w:lineRule="auto"/>
        <w:ind w:left="851" w:right="851"/>
        <w:jc w:val="both"/>
        <w:rPr>
          <w:rFonts w:ascii="Palatino Linotype" w:hAnsi="Palatino Linotype"/>
          <w:sz w:val="22"/>
        </w:rPr>
      </w:pPr>
      <w:r w:rsidRPr="00BE448F">
        <w:rPr>
          <w:rFonts w:ascii="Palatino Linotype" w:hAnsi="Palatino Linotype"/>
          <w:b/>
          <w:i/>
          <w:sz w:val="22"/>
        </w:rPr>
        <w:t>IV. Se trate de información relacionada con actos de corrupción</w:t>
      </w:r>
      <w:r w:rsidRPr="00BE448F">
        <w:rPr>
          <w:rFonts w:ascii="Palatino Linotype" w:hAnsi="Palatino Linotype"/>
          <w:i/>
          <w:sz w:val="22"/>
        </w:rPr>
        <w:t xml:space="preserve"> de conformidad con las disposiciones jurídicas aplicables.”</w:t>
      </w:r>
    </w:p>
    <w:p w14:paraId="040A4181" w14:textId="77777777" w:rsidR="00DF6473" w:rsidRPr="00BE448F" w:rsidRDefault="00DF6473" w:rsidP="00CB7B22">
      <w:pPr>
        <w:pStyle w:val="Prrafodelista"/>
        <w:spacing w:line="360" w:lineRule="auto"/>
        <w:ind w:left="851" w:right="851"/>
        <w:jc w:val="both"/>
        <w:rPr>
          <w:rFonts w:ascii="Palatino Linotype" w:eastAsia="Calibri" w:hAnsi="Palatino Linotype" w:cs="Arial"/>
          <w:sz w:val="22"/>
        </w:rPr>
      </w:pPr>
      <w:r w:rsidRPr="00BE448F">
        <w:rPr>
          <w:rFonts w:ascii="Palatino Linotype" w:hAnsi="Palatino Linotype"/>
          <w:sz w:val="22"/>
        </w:rPr>
        <w:t>(Énfasis añadido)</w:t>
      </w:r>
    </w:p>
    <w:p w14:paraId="187FA9FD"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74A90442"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las cosas, la Ley de la materia reconoce a toda la información relacionada con violaciones a derechos humanos y actos de corrupción como información inmune a recibir un tratamiento de clasificación como reservada, en el margen de que, justamente, el hacer del conocimiento a la ciudadanía este tipo de conductas manifestadas por servidores públicos, atiende el objetivo fundamental de la normatividad: el control ciudadano del funcionamiento del Estado y la gestión pública para el combate a la corrupción y la rendición de cuentas.</w:t>
      </w:r>
    </w:p>
    <w:p w14:paraId="13153E68"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3107DAF2"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Correlativo a lo anterior, el Código Penal Federal, tipifica de manera específica cuáles son los delitos por hechos de corrupción en su Título Décimo, varios de los cuales se relacionan con las faltas administrativas graves contenidas en el artículo 52 de la Ley de Responsabilidades Administrativas del Estado de México y Municipios.</w:t>
      </w:r>
    </w:p>
    <w:p w14:paraId="1567547A"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382088A3"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hAnsi="Palatino Linotype" w:cs="Arial"/>
        </w:rPr>
        <w:t xml:space="preserve">Dicho lo anterior, </w:t>
      </w:r>
      <w:r w:rsidRPr="00BE448F">
        <w:rPr>
          <w:rFonts w:ascii="Palatino Linotype" w:hAnsi="Palatino Linotype" w:cs="Arial"/>
          <w:b/>
          <w:bCs/>
        </w:rPr>
        <w:t xml:space="preserve">la autoridad quien, en primera instancia, clasifica la conducta sobre la cual se integra un expediente de investigación como una posible falta administrativa grave es la Contraloría Municipal, </w:t>
      </w:r>
      <w:r w:rsidRPr="00BE448F">
        <w:rPr>
          <w:rFonts w:ascii="Palatino Linotype" w:hAnsi="Palatino Linotype" w:cs="Arial"/>
        </w:rPr>
        <w:t xml:space="preserve">luego, de revisar los supuestos de las faltas administrativas graves, el mismo órgano de control determinará las faltas administrativas graves que corresponden con lo que </w:t>
      </w:r>
      <w:r w:rsidRPr="00BE448F">
        <w:rPr>
          <w:rFonts w:ascii="Palatino Linotype" w:hAnsi="Palatino Linotype" w:cs="Arial"/>
        </w:rPr>
        <w:lastRenderedPageBreak/>
        <w:t>determina la Ley de Transparencia y Acceso a la Información Pública del Estado de México y Municipios como actos de corrupción</w:t>
      </w:r>
      <w:r w:rsidRPr="00BE448F">
        <w:rPr>
          <w:rFonts w:ascii="Palatino Linotype" w:hAnsi="Palatino Linotype" w:cs="Arial"/>
          <w:b/>
          <w:bCs/>
        </w:rPr>
        <w:t>.</w:t>
      </w:r>
    </w:p>
    <w:p w14:paraId="5326B785"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0F5B4F26"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hAnsi="Palatino Linotype" w:cs="Arial"/>
        </w:rPr>
        <w:t>Se insiste, este ejercicio de identificación de faltas administrativas graves que se relacionen con actos de corrupción será determinado mediante el Informe de Presunta Responsabilidad Administrativa, pues este instrumento contiene todos los elementos necesarios para comprobar si las responsabilidades administrativas graves son, o no, actos de corrupción.</w:t>
      </w:r>
    </w:p>
    <w:p w14:paraId="3CF81283"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13EAFDCA"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hAnsi="Palatino Linotype" w:cs="Arial"/>
        </w:rPr>
        <w:t xml:space="preserve">En tales circunstancias, de identificarse expedientes que se encuentren en la etapa del procedimiento de responsabilidades administrativas por faltas graves relacionados con violaciones graves de derechos humanos o actos de corrupción, de conformidad con el artículo 142, fracciones I y IV de la Ley de Transparencia y Acceso a la Información Pública del Estado de México y Municipios, y el artículo 53 de la Ley del Sistema Anticorrupción del Estado de México y Municipios, el </w:t>
      </w:r>
      <w:r w:rsidRPr="00BE448F">
        <w:rPr>
          <w:rFonts w:ascii="Palatino Linotype" w:hAnsi="Palatino Linotype" w:cs="Arial"/>
          <w:b/>
          <w:bCs/>
        </w:rPr>
        <w:t>SUJETO OBLIGADO</w:t>
      </w:r>
      <w:r w:rsidRPr="00BE448F">
        <w:rPr>
          <w:rFonts w:ascii="Palatino Linotype" w:hAnsi="Palatino Linotype" w:cs="Arial"/>
        </w:rPr>
        <w:t xml:space="preserve"> deberá hacer entrega de estos expedientes al no ser sujetos de clasificación.</w:t>
      </w:r>
    </w:p>
    <w:p w14:paraId="3916EBD3"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3F61D565"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hAnsi="Palatino Linotype" w:cs="Arial"/>
        </w:rPr>
        <w:t>Empero, como hemos visto, aunque la publicidad de estos casos se encuentra determinada por la Ley, aún no se ha resuelto la culpabilidad de los presuntos responsables; por lo tanto, se debe hacer una ponderación entre el derecho de acceso a la información y el principio de presunción de inocencia, para así entregar los expedientes relacionados con actos de corrupción protegiendo el nombre y cargo de los servidores públicos presuntos responsables de las faltas.</w:t>
      </w:r>
    </w:p>
    <w:p w14:paraId="27445211"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030D2FDE"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las cosas, la Contraloría Municipal deberá entregar los expedientes relacionados con responsabilidades administrativas graves que ya hayan superado la etapa de investigación y, se haya emplazado formalmente al presunto responsable; empero, en consideración con el principio de estricta proporcionalidad, se deberá clasificar el nombre y cargo del servidor público presunto responsable de la falta como información confidencial.</w:t>
      </w:r>
    </w:p>
    <w:p w14:paraId="2BF21B63"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0211603D"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Sustenta lo anterior la Tesis P./J. 43/2014 (10a.) del Máximo Juzgador de la Nación, cuyo contenido es el siguiente:</w:t>
      </w:r>
    </w:p>
    <w:p w14:paraId="6FA5C246"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451AE786" w14:textId="77777777" w:rsidR="00DF6473" w:rsidRPr="00BE448F" w:rsidRDefault="00DF6473" w:rsidP="00CB7B22">
      <w:pPr>
        <w:pStyle w:val="Prrafodelista"/>
        <w:tabs>
          <w:tab w:val="left" w:pos="567"/>
        </w:tabs>
        <w:spacing w:before="100" w:beforeAutospacing="1" w:after="100" w:afterAutospacing="1" w:line="360" w:lineRule="auto"/>
        <w:ind w:left="567" w:right="567"/>
        <w:jc w:val="both"/>
        <w:rPr>
          <w:rFonts w:ascii="Palatino Linotype" w:eastAsia="Calibri" w:hAnsi="Palatino Linotype" w:cs="Arial"/>
          <w:i/>
          <w:iCs/>
          <w:sz w:val="22"/>
          <w:szCs w:val="22"/>
        </w:rPr>
      </w:pPr>
      <w:r w:rsidRPr="00BE448F">
        <w:rPr>
          <w:rFonts w:ascii="Palatino Linotype" w:eastAsia="Calibri" w:hAnsi="Palatino Linotype" w:cs="Arial"/>
          <w:b/>
          <w:bCs/>
          <w:i/>
          <w:iCs/>
          <w:sz w:val="22"/>
          <w:szCs w:val="22"/>
        </w:rPr>
        <w:t>PRESUNCIÓN DE INOCENCIA. ESTE PRINCIPIO ES APLICABLE AL PROCEDIMIENTO ADMINISTRATIVO SANCIONADOR, CON MATICES O MODULACIONES.</w:t>
      </w:r>
      <w:r w:rsidRPr="00BE448F">
        <w:rPr>
          <w:rFonts w:ascii="Palatino Linotype" w:eastAsia="Calibri" w:hAnsi="Palatino Linotype" w:cs="Arial"/>
          <w:i/>
          <w:iCs/>
          <w:sz w:val="22"/>
          <w:szCs w:val="22"/>
        </w:rPr>
        <w:t xml:space="preserve"> “El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w:t>
      </w:r>
      <w:r w:rsidRPr="00BE448F">
        <w:rPr>
          <w:rFonts w:ascii="Palatino Linotype" w:eastAsia="Calibri" w:hAnsi="Palatino Linotype" w:cs="Arial"/>
          <w:b/>
          <w:bCs/>
          <w:i/>
          <w:iCs/>
          <w:sz w:val="22"/>
          <w:szCs w:val="22"/>
        </w:rPr>
        <w:t xml:space="preserve">uno de los </w:t>
      </w:r>
      <w:r w:rsidRPr="00BE448F">
        <w:rPr>
          <w:rFonts w:ascii="Palatino Linotype" w:eastAsia="Calibri" w:hAnsi="Palatino Linotype" w:cs="Arial"/>
          <w:b/>
          <w:bCs/>
          <w:i/>
          <w:iCs/>
          <w:sz w:val="22"/>
          <w:szCs w:val="22"/>
        </w:rPr>
        <w:lastRenderedPageBreak/>
        <w:t>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w:t>
      </w:r>
      <w:r w:rsidRPr="00BE448F">
        <w:rPr>
          <w:rFonts w:ascii="Palatino Linotype" w:eastAsia="Calibri" w:hAnsi="Palatino Linotype" w:cs="Arial"/>
          <w:i/>
          <w:iCs/>
          <w:sz w:val="22"/>
          <w:szCs w:val="22"/>
        </w:rPr>
        <w:t xml:space="preserve"> y, en consecuencia, soportar el poder correctivo del Estado, a través de autoridad competente. En ese sentido, </w:t>
      </w:r>
      <w:r w:rsidRPr="00BE448F">
        <w:rPr>
          <w:rFonts w:ascii="Palatino Linotype" w:eastAsia="Calibri" w:hAnsi="Palatino Linotype" w:cs="Arial"/>
          <w:b/>
          <w:bCs/>
          <w:i/>
          <w:iCs/>
          <w:sz w:val="22"/>
          <w:szCs w:val="22"/>
        </w:rPr>
        <w:t>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r w:rsidRPr="00BE448F">
        <w:rPr>
          <w:rFonts w:ascii="Palatino Linotype" w:eastAsia="Calibri" w:hAnsi="Palatino Linotype" w:cs="Arial"/>
          <w:i/>
          <w:iCs/>
          <w:sz w:val="22"/>
          <w:szCs w:val="22"/>
        </w:rPr>
        <w:t>.</w:t>
      </w:r>
    </w:p>
    <w:p w14:paraId="3430E668" w14:textId="77777777" w:rsidR="00DF6473" w:rsidRPr="00BE448F" w:rsidRDefault="00DF6473" w:rsidP="00CB7B22">
      <w:pPr>
        <w:pStyle w:val="Prrafodelista"/>
        <w:tabs>
          <w:tab w:val="left" w:pos="567"/>
        </w:tabs>
        <w:spacing w:before="100" w:beforeAutospacing="1" w:after="100" w:afterAutospacing="1" w:line="360" w:lineRule="auto"/>
        <w:ind w:left="567" w:right="567"/>
        <w:jc w:val="both"/>
        <w:rPr>
          <w:rFonts w:ascii="Palatino Linotype" w:eastAsia="Calibri" w:hAnsi="Palatino Linotype" w:cs="Arial"/>
          <w:sz w:val="22"/>
          <w:szCs w:val="22"/>
        </w:rPr>
      </w:pPr>
      <w:r w:rsidRPr="00BE448F">
        <w:rPr>
          <w:rFonts w:ascii="Palatino Linotype" w:eastAsia="Calibri" w:hAnsi="Palatino Linotype" w:cs="Arial"/>
          <w:sz w:val="22"/>
          <w:szCs w:val="22"/>
        </w:rPr>
        <w:t>(Énfasis añadido)</w:t>
      </w:r>
    </w:p>
    <w:p w14:paraId="5303FEBE" w14:textId="77777777" w:rsidR="00DF6473" w:rsidRPr="00BE448F" w:rsidRDefault="00DF6473" w:rsidP="00CB7B22">
      <w:pPr>
        <w:pStyle w:val="Prrafodelista"/>
        <w:tabs>
          <w:tab w:val="left" w:pos="567"/>
        </w:tabs>
        <w:spacing w:before="100" w:beforeAutospacing="1" w:after="100" w:afterAutospacing="1" w:line="360" w:lineRule="auto"/>
        <w:jc w:val="both"/>
        <w:rPr>
          <w:rFonts w:ascii="Palatino Linotype" w:eastAsia="Calibri" w:hAnsi="Palatino Linotype" w:cs="Arial"/>
        </w:rPr>
      </w:pPr>
    </w:p>
    <w:p w14:paraId="5B50AC7E"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De lo anterior se coligue que el principio de presunción de inocencia deberá prevalecer dentro de los procedimientos de carácter administrativo, eso sí, con ciertos matices o modulaciones derivados de la naturaleza de la conducta. </w:t>
      </w:r>
    </w:p>
    <w:p w14:paraId="40F64613"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42EB1ABF"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Recordemos que las personas que laboran para instituciones públicas adquieren la calidad de servidores públicos, en consecuencia, el régimen de protección de sus datos personales debe ser menor, debido a la naturaleza de las funciones, atribuciones y competencias del cargo que ostentan. En ese sentido, los datos personales de los servidores públicos cuentan con una protección menor al de una persona física totalmente ajena al quehacer gubernamental, debido a que se desempeñan en una Institución Pública, reciben y ejercen recursos públicos y, además, el cargo, las funciones, atribuciones y competencias que les fueron </w:t>
      </w:r>
      <w:r w:rsidRPr="00BE448F">
        <w:rPr>
          <w:rFonts w:ascii="Palatino Linotype" w:eastAsia="Calibri" w:hAnsi="Palatino Linotype" w:cs="Arial"/>
        </w:rPr>
        <w:lastRenderedPageBreak/>
        <w:t>conferidas están sujetas al escrutinio público, así como toda la información que se derive de las mismas.</w:t>
      </w:r>
    </w:p>
    <w:p w14:paraId="506DF50A"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255E70CD"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Por otro, debemos considerar que el grado de responsabilidad que el Estado ha depositado en un servidor público de rango bajo o medio, no se acerca en absoluto a las responsabilidades que presupone el ostentar un empleo, cargo o comisión de nivel alto, toda vez que los servidores públicos con un grado jerárquico superior ostentan un poder público alto y suficiente para realizar actos de autoridad que modifiquen el erario público y la administración de las dependencias en las que se encuentren adscritos.</w:t>
      </w:r>
    </w:p>
    <w:p w14:paraId="331A3F17"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10F32E4C"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Es por lo anterior que los altos funcionarios deben realizar sus labores encomendadas bajo una mayor exposición pública por su responsabilidad, a fin de atender óptimamente la rendición de cuentas de sus cargos, y proveer a la ciudadanía la oportunidad de calificar su desempeño en los altos empleos, cargos o comisiones que realicen.</w:t>
      </w:r>
    </w:p>
    <w:p w14:paraId="5C43E463"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339D8E72"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Por lo anterior, por cuanto hace a los expedientes relacionados con procedimientos de responsabilidades administrativas graves, </w:t>
      </w:r>
      <w:r w:rsidRPr="00BE448F">
        <w:rPr>
          <w:rFonts w:ascii="Palatino Linotype" w:eastAsia="Calibri" w:hAnsi="Palatino Linotype" w:cs="Arial"/>
          <w:b/>
          <w:bCs/>
        </w:rPr>
        <w:t xml:space="preserve">el SUJETO OBLIGADO deberá clasificar el nombre y cargo de los servidores públicos presuntos responsables que ostenten un empleo, cargo o comisión de nivel bajo o medio. Sin embargo, en los expedientes relacionados con procedimientos de responsabilidades administrativas graves cuyos presuntos responsables resulten ser altos funcionarios (Titulares de áreas administrativas, Tesorero, Presidente </w:t>
      </w:r>
      <w:r w:rsidRPr="00BE448F">
        <w:rPr>
          <w:rFonts w:ascii="Palatino Linotype" w:eastAsia="Calibri" w:hAnsi="Palatino Linotype" w:cs="Arial"/>
          <w:b/>
          <w:bCs/>
        </w:rPr>
        <w:lastRenderedPageBreak/>
        <w:t>Municipal, Síndico, Regidores, etc.), se deberán entregar los expedientes íntegros sin ocultar los nombres y cargos.</w:t>
      </w:r>
    </w:p>
    <w:p w14:paraId="3E6E7525"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2E90DC17"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Bajo esa óptica, no es ocioso referir que el nombre y cargo del servidor público presunto responsable que ostente un empleo, cargo o comisión de nivel bajo o medio no debe ser visto como información susceptible de clasificarse por reserva, sino como un dato personal confidencial hasta en tanto no haya una resolución definitiva. Ya que, una vez dictada la sentencia, esos datos confidenciales ya no podrían ser protegidos por lo que determina la Ley; pero, se insiste, mientras no exista una resolución definitiva, seguirá prevaleciendo la confidencialidad por el derecho a la presunción de inocencia, a excepción de los altos funcionarios.</w:t>
      </w:r>
    </w:p>
    <w:p w14:paraId="06583B6C"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01EC4247" w14:textId="77777777" w:rsidR="00DF6473" w:rsidRPr="00BE448F" w:rsidRDefault="00DF6473" w:rsidP="00CB7B22">
      <w:pPr>
        <w:pStyle w:val="Prrafodelista"/>
        <w:tabs>
          <w:tab w:val="left" w:pos="567"/>
        </w:tabs>
        <w:spacing w:before="100" w:beforeAutospacing="1" w:after="100" w:afterAutospacing="1" w:line="360" w:lineRule="auto"/>
        <w:ind w:left="0"/>
        <w:jc w:val="both"/>
        <w:outlineLvl w:val="2"/>
        <w:rPr>
          <w:rFonts w:ascii="Palatino Linotype" w:eastAsia="Calibri" w:hAnsi="Palatino Linotype" w:cs="Arial"/>
          <w:b/>
          <w:bCs/>
        </w:rPr>
      </w:pPr>
      <w:bookmarkStart w:id="52" w:name="_Toc54877519"/>
      <w:r w:rsidRPr="00BE448F">
        <w:rPr>
          <w:rFonts w:ascii="Palatino Linotype" w:eastAsia="Calibri" w:hAnsi="Palatino Linotype" w:cs="Arial"/>
          <w:b/>
          <w:bCs/>
        </w:rPr>
        <w:t>IV.II.III. Conclusión</w:t>
      </w:r>
      <w:bookmarkEnd w:id="52"/>
    </w:p>
    <w:p w14:paraId="5FB75F6E"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18D4DD4D"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 xml:space="preserve">Si bien conocer lo expedientes de los procedimientos no concluidos en etapa de investigación podría ser la medida idónea para que el </w:t>
      </w:r>
      <w:r w:rsidRPr="00BE448F">
        <w:rPr>
          <w:rFonts w:ascii="Palatino Linotype" w:eastAsia="Calibri" w:hAnsi="Palatino Linotype" w:cs="Arial"/>
          <w:b/>
          <w:bCs/>
        </w:rPr>
        <w:t>RECURRENTE</w:t>
      </w:r>
      <w:r w:rsidRPr="00BE448F">
        <w:rPr>
          <w:rFonts w:ascii="Palatino Linotype" w:eastAsia="Calibri" w:hAnsi="Palatino Linotype" w:cs="Arial"/>
        </w:rPr>
        <w:t xml:space="preserve"> conozca si la información ha sido íntegra y podría ser la medida necesaria para que conozca la misma, ya que no hay ningún otro documento que pueda suplir la entrega de los expedientes, a pesar de que se superen estos dos juicios, no acredita el tercero, de estricta proporcionalidad, porque el interés de proteger la investigación y el proceso es mayor en esta etapa ya que la información que puede ser vulnerada por las razones expuestas en párrafos previos. Por lo tanto, sobre los expedientes en etapa de investigación, no es procedente su entrega más que información estadística.</w:t>
      </w:r>
    </w:p>
    <w:p w14:paraId="393A9163" w14:textId="77777777" w:rsidR="00DF6473" w:rsidRPr="00BE448F" w:rsidRDefault="00DF6473" w:rsidP="00CB7B22">
      <w:pPr>
        <w:pStyle w:val="Prrafodelista"/>
        <w:spacing w:before="100" w:beforeAutospacing="1" w:after="100" w:afterAutospacing="1" w:line="360" w:lineRule="auto"/>
        <w:ind w:left="0"/>
        <w:jc w:val="both"/>
        <w:rPr>
          <w:rFonts w:ascii="Palatino Linotype" w:eastAsia="Calibri" w:hAnsi="Palatino Linotype" w:cs="Arial"/>
        </w:rPr>
      </w:pPr>
    </w:p>
    <w:p w14:paraId="16E86892"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lastRenderedPageBreak/>
        <w:t xml:space="preserve">Por lo que corresponde a los expedientes cuyo proceso se encuentra en la etapa del procedimiento de responsabilidades administrativas por faltas graves el entregar los expedientes es la medida idónea y necesaria, sí, pero la estricta proporcionalidad requiere que no se entreguen los expedientes íntegros, sino que se protejan los nombres y cargos de los presuntos responsables </w:t>
      </w:r>
      <w:r w:rsidRPr="00BE448F">
        <w:rPr>
          <w:rFonts w:ascii="Palatino Linotype" w:eastAsia="Calibri" w:hAnsi="Palatino Linotype" w:cs="Arial"/>
          <w:b/>
          <w:bCs/>
        </w:rPr>
        <w:t>siempre y cuando éstos no sean mandos superiores</w:t>
      </w:r>
      <w:r w:rsidRPr="00BE448F">
        <w:rPr>
          <w:rFonts w:ascii="Palatino Linotype" w:eastAsia="Calibri" w:hAnsi="Palatino Linotype" w:cs="Arial"/>
        </w:rPr>
        <w:t xml:space="preserve"> por el principio de presunción de inocencia.</w:t>
      </w:r>
    </w:p>
    <w:p w14:paraId="6D006834"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43AA7173"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las consideraciones de hecho y de derecho vertidas a lo largo del presente estudio generan una mayor convicción para este Órgano Garante el ordenar la entrega de los expedientes relacionados con responsabilidades administrativas graves, aunque éstos no hayan concluido, siempre y cuando esté superada la etapa de investigación y testando los nombres y cargos de los servidores públicos a excepción de los altos funcionarios. Ya que, como se ha demostrado, esta medida se encuentra íntimamente relacionada con el numeral 142, fracciones I y IV, de la Ley de Transparencia y Acceso a la Información Pública del Estado de México y Municipios, en estricta relación con el artículo 99 de la Ley de Responsabilidades Administrativas del Estado de México y Municipios, el cual dispone que en las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mismos que, por la naturaleza de los actos, pueden ser considerados como actos de corrupción.</w:t>
      </w:r>
    </w:p>
    <w:p w14:paraId="7CCF2B9B"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32C8C98D" w14:textId="77777777" w:rsidR="00DF6473" w:rsidRPr="00BE448F" w:rsidRDefault="00DF6473" w:rsidP="00CB7B22">
      <w:pPr>
        <w:pStyle w:val="Prrafodelista"/>
        <w:tabs>
          <w:tab w:val="left" w:pos="567"/>
        </w:tabs>
        <w:spacing w:before="100" w:beforeAutospacing="1" w:after="100" w:afterAutospacing="1" w:line="360" w:lineRule="auto"/>
        <w:ind w:left="0"/>
        <w:jc w:val="both"/>
        <w:outlineLvl w:val="2"/>
        <w:rPr>
          <w:rFonts w:ascii="Palatino Linotype" w:eastAsia="Calibri" w:hAnsi="Palatino Linotype" w:cs="Arial"/>
          <w:b/>
        </w:rPr>
      </w:pPr>
      <w:bookmarkStart w:id="53" w:name="_Toc54877520"/>
      <w:r w:rsidRPr="00BE448F">
        <w:rPr>
          <w:rFonts w:ascii="Palatino Linotype" w:eastAsia="Calibri" w:hAnsi="Palatino Linotype" w:cs="Arial"/>
          <w:b/>
        </w:rPr>
        <w:t>V. De la adecuada clasificación.</w:t>
      </w:r>
      <w:bookmarkEnd w:id="53"/>
    </w:p>
    <w:p w14:paraId="5BE903F5"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1549B0C3"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Así las cosas, todos los expedientes relacionados con responsabilidades administrativas no graves deberán clasificarse como confidenciales de conformidad con lo dispuesto por el artículo 53 de la Ley del Sistema Anticorrupción del Estado de México y Municipios.</w:t>
      </w:r>
    </w:p>
    <w:p w14:paraId="470EEBC0"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22770675"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eastAsia="Calibri" w:hAnsi="Palatino Linotype" w:cs="Arial"/>
        </w:rPr>
        <w:t>Por cuanto hace a los expedientes que se encuentren en proceso de investigación, deberán reservarse, ya que el daño a la investigación realizada por la Contraloría sin la participación de los servidores públicos implicados en una probable falta administrativa es mayor a la necesidad de publicarlos. No obstante, la reserva de la clasificación deberá durar hasta en tanto no se dice el Informe de Presunta Responsabilidad Administrativa y se notifique formalmente al presunto responsable el emplazamiento dentro de un procedimiento de responsabilidades administrativas, en su caso, por faltas graves. Para el caso de las no graves, se clasificará por confidencialidad.</w:t>
      </w:r>
    </w:p>
    <w:p w14:paraId="4B3F8AF3"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5FC25AF3"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hAnsi="Palatino Linotype" w:cs="Arial"/>
        </w:rPr>
        <w:t xml:space="preserve">En el caso de los </w:t>
      </w:r>
      <w:r w:rsidRPr="00BE448F">
        <w:rPr>
          <w:rFonts w:ascii="Palatino Linotype" w:eastAsia="Calibri" w:hAnsi="Palatino Linotype" w:cs="Arial"/>
        </w:rPr>
        <w:t xml:space="preserve">expedientes relacionados con responsabilidades administrativas graves en los que los presuntos responsables ya hayan sido emplazados en un procedimiento de responsabilidades administrativas, deberán entregarse bajo un tratamiento distinto a los expedientes que ya hayan recibido una sentencia: a) Se deberá proteger el nombre y cargo de los servidores públicos presuntos responsables como información confidencial en pro de proteger el derecho humano de la presunción de inocencia, ya que, como el proceso no ha concluido, la autoridad sustanciadora no ha determinado una resolución, por ello, </w:t>
      </w:r>
      <w:r w:rsidRPr="00BE448F">
        <w:rPr>
          <w:rFonts w:ascii="Palatino Linotype" w:eastAsia="Calibri" w:hAnsi="Palatino Linotype" w:cs="Arial"/>
        </w:rPr>
        <w:lastRenderedPageBreak/>
        <w:t>es dable salvaguardar el nombre de los presuntos responsables, no así para el caso de que los presuntos responsables sean altos funcionarios; y, b) La clasificación de los nombres y cargos durará el tiempo que le lleve a la autoridad sustanciadora resolver el expediente.</w:t>
      </w:r>
    </w:p>
    <w:p w14:paraId="3E2811D7" w14:textId="77777777" w:rsidR="00DF6473" w:rsidRPr="00BE448F" w:rsidRDefault="00DF6473" w:rsidP="00CB7B22">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p>
    <w:p w14:paraId="22413EB9" w14:textId="77777777" w:rsidR="00DF6473" w:rsidRPr="00BE448F" w:rsidRDefault="00DF6473" w:rsidP="00CB7B22">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rPr>
      </w:pPr>
      <w:r w:rsidRPr="00BE448F">
        <w:rPr>
          <w:rFonts w:ascii="Palatino Linotype" w:hAnsi="Palatino Linotype" w:cs="Arial"/>
        </w:rPr>
        <w:t xml:space="preserve">Finalmente, no está de más referir que las consideraciones anteriores deberán asentarse dentro del Acuerdo de Clasificación debidamente fundado y motivado, por ello, el </w:t>
      </w:r>
      <w:r w:rsidRPr="00BE448F">
        <w:rPr>
          <w:rFonts w:ascii="Palatino Linotype" w:hAnsi="Palatino Linotype" w:cs="Arial"/>
          <w:b/>
        </w:rPr>
        <w:t>SUJETO OBLIGADO</w:t>
      </w:r>
      <w:r w:rsidRPr="00BE448F">
        <w:rPr>
          <w:rFonts w:ascii="Palatino Linotype" w:hAnsi="Palatino Linotype" w:cs="Arial"/>
        </w:rPr>
        <w:t xml:space="preserve"> deberá observar lo dispuesto por los Lineamientos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3C0FFBF9" w14:textId="77777777" w:rsidR="00DF6473" w:rsidRPr="00BE448F" w:rsidRDefault="00DF6473" w:rsidP="00CB7B22">
      <w:pPr>
        <w:spacing w:line="360" w:lineRule="auto"/>
        <w:ind w:left="709" w:right="709"/>
        <w:jc w:val="center"/>
        <w:rPr>
          <w:rFonts w:ascii="Palatino Linotype" w:hAnsi="Palatino Linotype" w:cs="Arial"/>
          <w:b/>
          <w:i/>
          <w:sz w:val="22"/>
          <w:szCs w:val="22"/>
        </w:rPr>
      </w:pPr>
      <w:r w:rsidRPr="00BE448F">
        <w:rPr>
          <w:rFonts w:ascii="Palatino Linotype" w:hAnsi="Palatino Linotype" w:cs="Arial"/>
          <w:b/>
          <w:i/>
          <w:sz w:val="22"/>
          <w:szCs w:val="22"/>
          <w:lang w:eastAsia="es-MX"/>
        </w:rPr>
        <w:t xml:space="preserve">LINEAMIENTOS GENERALES EN MATERIA DE CLASIFICACIÓN Y DESCLASIFICACIÓN DE LA </w:t>
      </w:r>
      <w:r w:rsidRPr="00BE448F">
        <w:rPr>
          <w:rFonts w:ascii="Palatino Linotype" w:hAnsi="Palatino Linotype" w:cs="Arial"/>
          <w:b/>
          <w:i/>
          <w:sz w:val="22"/>
          <w:szCs w:val="22"/>
        </w:rPr>
        <w:t>INFORMACIÓN, ASÍ COMO PARA LA ELABORACIÓN DE VERSIONES PÚBLICAS</w:t>
      </w:r>
    </w:p>
    <w:p w14:paraId="4C426536"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i/>
          <w:sz w:val="22"/>
          <w:szCs w:val="22"/>
          <w:lang w:eastAsia="es-MX"/>
        </w:rPr>
        <w:t>“</w:t>
      </w:r>
      <w:r w:rsidRPr="00BE448F">
        <w:rPr>
          <w:rFonts w:ascii="Palatino Linotype" w:hAnsi="Palatino Linotype" w:cs="Arial"/>
          <w:b/>
          <w:i/>
          <w:sz w:val="22"/>
          <w:szCs w:val="22"/>
          <w:lang w:eastAsia="es-MX"/>
        </w:rPr>
        <w:t>Cuarto.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Para clasificar la información como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reservada</w:t>
      </w:r>
      <w:r w:rsidRPr="00BE448F">
        <w:rPr>
          <w:rFonts w:ascii="Palatino Linotype" w:hAnsi="Palatino Linotype" w:cs="Arial"/>
          <w:i/>
          <w:sz w:val="22"/>
          <w:szCs w:val="22"/>
          <w:lang w:eastAsia="es-MX"/>
        </w:rPr>
        <w:t xml:space="preserve"> o confidencial</w:t>
      </w:r>
      <w:r w:rsidRPr="00BE448F">
        <w:rPr>
          <w:rFonts w:ascii="Palatino Linotype" w:hAnsi="Palatino Linotype" w:cs="Arial"/>
          <w:b/>
          <w:i/>
          <w:sz w:val="22"/>
          <w:szCs w:val="22"/>
          <w:lang w:eastAsia="es-MX"/>
        </w:rPr>
        <w:t>, de manera total</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o parcial</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 xml:space="preserve">el titular del </w:t>
      </w:r>
      <w:r w:rsidRPr="00BE448F">
        <w:rPr>
          <w:rFonts w:ascii="Palatino Linotype" w:hAnsi="Palatino Linotype" w:cs="Arial"/>
          <w:b/>
          <w:bCs/>
          <w:i/>
          <w:noProof/>
          <w:sz w:val="22"/>
          <w:szCs w:val="22"/>
        </w:rPr>
        <w:t>área</w:t>
      </w:r>
      <w:r w:rsidRPr="00BE448F">
        <w:rPr>
          <w:rFonts w:ascii="Palatino Linotype" w:hAnsi="Palatino Linotype" w:cs="Arial"/>
          <w:b/>
          <w:i/>
          <w:sz w:val="22"/>
          <w:szCs w:val="22"/>
          <w:lang w:eastAsia="es-MX"/>
        </w:rPr>
        <w:t xml:space="preserve"> del sujeto </w:t>
      </w:r>
      <w:r w:rsidRPr="00BE448F">
        <w:rPr>
          <w:rFonts w:ascii="Palatino Linotype" w:hAnsi="Palatino Linotype" w:cs="Arial"/>
          <w:b/>
          <w:i/>
          <w:sz w:val="22"/>
          <w:szCs w:val="22"/>
        </w:rPr>
        <w:t>obligado</w:t>
      </w:r>
      <w:r w:rsidRPr="00BE448F">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BE448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2A3195B8"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i/>
          <w:sz w:val="22"/>
          <w:szCs w:val="22"/>
          <w:lang w:eastAsia="es-MX"/>
        </w:rPr>
        <w:t xml:space="preserve">Los sujetos obligados deberán aplicar, de manera estricta, las excepciones al derecho de acceso a la </w:t>
      </w:r>
      <w:r w:rsidRPr="00BE448F">
        <w:rPr>
          <w:rFonts w:ascii="Palatino Linotype" w:hAnsi="Palatino Linotype" w:cs="Arial"/>
          <w:bCs/>
          <w:i/>
          <w:noProof/>
          <w:sz w:val="22"/>
          <w:szCs w:val="22"/>
        </w:rPr>
        <w:t>información</w:t>
      </w:r>
      <w:r w:rsidRPr="00BE448F">
        <w:rPr>
          <w:rFonts w:ascii="Palatino Linotype" w:hAnsi="Palatino Linotype" w:cs="Arial"/>
          <w:i/>
          <w:sz w:val="22"/>
          <w:szCs w:val="22"/>
          <w:lang w:eastAsia="es-MX"/>
        </w:rPr>
        <w:t xml:space="preserve"> y sólo </w:t>
      </w:r>
      <w:r w:rsidRPr="00BE448F">
        <w:rPr>
          <w:rFonts w:ascii="Palatino Linotype" w:hAnsi="Palatino Linotype" w:cs="Arial"/>
          <w:i/>
          <w:sz w:val="22"/>
          <w:szCs w:val="22"/>
        </w:rPr>
        <w:t>podrán</w:t>
      </w:r>
      <w:r w:rsidRPr="00BE448F">
        <w:rPr>
          <w:rFonts w:ascii="Palatino Linotype" w:hAnsi="Palatino Linotype" w:cs="Arial"/>
          <w:i/>
          <w:sz w:val="22"/>
          <w:szCs w:val="22"/>
          <w:lang w:eastAsia="es-MX"/>
        </w:rPr>
        <w:t xml:space="preserve"> invocarlas cuando acrediten su procedencia.</w:t>
      </w:r>
    </w:p>
    <w:p w14:paraId="4B498A29"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5F462A53"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lastRenderedPageBreak/>
        <w:t>Quinto.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w:t>
      </w:r>
      <w:r w:rsidRPr="00BE448F">
        <w:rPr>
          <w:rFonts w:ascii="Palatino Linotype" w:hAnsi="Palatino Linotype" w:cs="Arial"/>
          <w:b/>
          <w:i/>
          <w:sz w:val="22"/>
          <w:szCs w:val="22"/>
          <w:lang w:eastAsia="es-MX"/>
        </w:rPr>
        <w:t xml:space="preserve"> previstos en</w:t>
      </w:r>
      <w:r w:rsidRPr="00BE448F">
        <w:rPr>
          <w:rFonts w:ascii="Palatino Linotype" w:hAnsi="Palatino Linotype" w:cs="Arial"/>
          <w:i/>
          <w:sz w:val="22"/>
          <w:szCs w:val="22"/>
          <w:lang w:eastAsia="es-MX"/>
        </w:rPr>
        <w:t xml:space="preserve"> la Ley General, la Ley Federal y </w:t>
      </w:r>
      <w:r w:rsidRPr="00BE448F">
        <w:rPr>
          <w:rFonts w:ascii="Palatino Linotype" w:hAnsi="Palatino Linotype" w:cs="Arial"/>
          <w:b/>
          <w:i/>
          <w:sz w:val="22"/>
          <w:szCs w:val="22"/>
          <w:lang w:eastAsia="es-MX"/>
        </w:rPr>
        <w:t xml:space="preserve">leyes estatales, </w:t>
      </w:r>
      <w:r w:rsidRPr="00BE448F">
        <w:rPr>
          <w:rFonts w:ascii="Palatino Linotype" w:hAnsi="Palatino Linotype" w:cs="Arial"/>
          <w:b/>
          <w:i/>
          <w:sz w:val="22"/>
          <w:szCs w:val="22"/>
          <w:u w:val="single"/>
        </w:rPr>
        <w:t>corresponderá</w:t>
      </w:r>
      <w:r w:rsidRPr="00BE448F">
        <w:rPr>
          <w:rFonts w:ascii="Palatino Linotype" w:hAnsi="Palatino Linotype" w:cs="Arial"/>
          <w:b/>
          <w:i/>
          <w:sz w:val="22"/>
          <w:szCs w:val="22"/>
          <w:u w:val="single"/>
          <w:lang w:eastAsia="es-MX"/>
        </w:rPr>
        <w:t xml:space="preserve"> a los sujetos obligados, por lo que deberán fundar y motivar debidamente la clasificación de la información</w:t>
      </w:r>
      <w:r w:rsidRPr="00BE448F">
        <w:rPr>
          <w:rFonts w:ascii="Palatino Linotype" w:hAnsi="Palatino Linotype" w:cs="Arial"/>
          <w:b/>
          <w:i/>
          <w:sz w:val="22"/>
          <w:szCs w:val="22"/>
          <w:lang w:eastAsia="es-MX"/>
        </w:rPr>
        <w:t xml:space="preserve"> ante una solicitud de acceso</w:t>
      </w:r>
      <w:r w:rsidRPr="00BE448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1D28D6B"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2587FE7D"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Sexto.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Los sujetos obligados no podrán emitir acuerdos de carácter general</w:t>
      </w:r>
      <w:r w:rsidRPr="00BE448F">
        <w:rPr>
          <w:rFonts w:ascii="Palatino Linotype" w:hAnsi="Palatino Linotype" w:cs="Arial"/>
          <w:i/>
          <w:sz w:val="22"/>
          <w:szCs w:val="22"/>
          <w:lang w:eastAsia="es-MX"/>
        </w:rPr>
        <w:t xml:space="preserve"> ni particular que clasifiquen </w:t>
      </w:r>
      <w:r w:rsidRPr="00BE448F">
        <w:rPr>
          <w:rFonts w:ascii="Palatino Linotype" w:hAnsi="Palatino Linotype" w:cs="Arial"/>
          <w:bCs/>
          <w:i/>
          <w:noProof/>
          <w:sz w:val="22"/>
          <w:szCs w:val="22"/>
        </w:rPr>
        <w:t>documentos</w:t>
      </w:r>
      <w:r w:rsidRPr="00BE448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D3AD939" w14:textId="77777777" w:rsidR="00DF6473" w:rsidRPr="00BE448F" w:rsidRDefault="00DF6473" w:rsidP="00CB7B22">
      <w:pPr>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 xml:space="preserve">La clasificación de </w:t>
      </w:r>
      <w:r w:rsidRPr="00BE448F">
        <w:rPr>
          <w:rFonts w:ascii="Palatino Linotype" w:hAnsi="Palatino Linotype" w:cs="Arial"/>
          <w:b/>
          <w:i/>
          <w:sz w:val="22"/>
          <w:szCs w:val="22"/>
        </w:rPr>
        <w:t>información</w:t>
      </w:r>
      <w:r w:rsidRPr="00BE448F">
        <w:rPr>
          <w:rFonts w:ascii="Palatino Linotype" w:hAnsi="Palatino Linotype" w:cs="Arial"/>
          <w:b/>
          <w:i/>
          <w:sz w:val="22"/>
          <w:szCs w:val="22"/>
          <w:lang w:eastAsia="es-MX"/>
        </w:rPr>
        <w:t xml:space="preserve"> se realizará conforme a un análisis caso por caso</w:t>
      </w:r>
      <w:r w:rsidRPr="00BE448F">
        <w:rPr>
          <w:rFonts w:ascii="Palatino Linotype" w:hAnsi="Palatino Linotype" w:cs="Arial"/>
          <w:i/>
          <w:sz w:val="22"/>
          <w:szCs w:val="22"/>
          <w:lang w:eastAsia="es-MX"/>
        </w:rPr>
        <w:t xml:space="preserve">, mediante la aplicación </w:t>
      </w:r>
      <w:r w:rsidRPr="00BE448F">
        <w:rPr>
          <w:rFonts w:ascii="Palatino Linotype" w:hAnsi="Palatino Linotype" w:cs="Arial"/>
          <w:bCs/>
          <w:i/>
          <w:noProof/>
          <w:sz w:val="22"/>
          <w:szCs w:val="22"/>
        </w:rPr>
        <w:t>de</w:t>
      </w:r>
      <w:r w:rsidRPr="00BE448F">
        <w:rPr>
          <w:rFonts w:ascii="Palatino Linotype" w:hAnsi="Palatino Linotype" w:cs="Arial"/>
          <w:i/>
          <w:sz w:val="22"/>
          <w:szCs w:val="22"/>
          <w:lang w:eastAsia="es-MX"/>
        </w:rPr>
        <w:t xml:space="preserve"> la prueba de daño y de interés público.</w:t>
      </w:r>
    </w:p>
    <w:p w14:paraId="05AC5B6B"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403BC727"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Séptimo.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 xml:space="preserve">La clasificación </w:t>
      </w:r>
      <w:r w:rsidRPr="00BE448F">
        <w:rPr>
          <w:rFonts w:ascii="Palatino Linotype" w:hAnsi="Palatino Linotype" w:cs="Arial"/>
          <w:b/>
          <w:bCs/>
          <w:i/>
          <w:noProof/>
          <w:sz w:val="22"/>
          <w:szCs w:val="22"/>
        </w:rPr>
        <w:t>de</w:t>
      </w:r>
      <w:r w:rsidRPr="00BE448F">
        <w:rPr>
          <w:rFonts w:ascii="Palatino Linotype" w:hAnsi="Palatino Linotype" w:cs="Arial"/>
          <w:b/>
          <w:i/>
          <w:sz w:val="22"/>
          <w:szCs w:val="22"/>
          <w:lang w:eastAsia="es-MX"/>
        </w:rPr>
        <w:t xml:space="preserve"> la </w:t>
      </w:r>
      <w:r w:rsidRPr="00BE448F">
        <w:rPr>
          <w:rFonts w:ascii="Palatino Linotype" w:hAnsi="Palatino Linotype" w:cs="Arial"/>
          <w:b/>
          <w:i/>
          <w:sz w:val="22"/>
          <w:szCs w:val="22"/>
        </w:rPr>
        <w:t>información</w:t>
      </w:r>
      <w:r w:rsidRPr="00BE448F">
        <w:rPr>
          <w:rFonts w:ascii="Palatino Linotype" w:hAnsi="Palatino Linotype" w:cs="Arial"/>
          <w:b/>
          <w:i/>
          <w:sz w:val="22"/>
          <w:szCs w:val="22"/>
          <w:lang w:eastAsia="es-MX"/>
        </w:rPr>
        <w:t xml:space="preserve"> se llevará a cabo en el momento en que</w:t>
      </w:r>
      <w:r w:rsidRPr="00BE448F">
        <w:rPr>
          <w:rFonts w:ascii="Palatino Linotype" w:hAnsi="Palatino Linotype" w:cs="Arial"/>
          <w:i/>
          <w:sz w:val="22"/>
          <w:szCs w:val="22"/>
          <w:lang w:eastAsia="es-MX"/>
        </w:rPr>
        <w:t>:</w:t>
      </w:r>
    </w:p>
    <w:p w14:paraId="5053EE3F"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r w:rsidRPr="00BE448F">
        <w:rPr>
          <w:rFonts w:ascii="Palatino Linotype" w:hAnsi="Palatino Linotype" w:cs="Arial"/>
          <w:b/>
          <w:i/>
          <w:sz w:val="22"/>
          <w:szCs w:val="22"/>
          <w:lang w:eastAsia="es-MX"/>
        </w:rPr>
        <w:t>I. Se reciba una solicitud de acceso a la información;</w:t>
      </w:r>
    </w:p>
    <w:p w14:paraId="3EE7C0E0"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II.</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 xml:space="preserve">Se determine </w:t>
      </w:r>
      <w:r w:rsidRPr="00BE448F">
        <w:rPr>
          <w:rFonts w:ascii="Palatino Linotype" w:hAnsi="Palatino Linotype" w:cs="Arial"/>
          <w:b/>
          <w:bCs/>
          <w:i/>
          <w:noProof/>
          <w:sz w:val="22"/>
          <w:szCs w:val="22"/>
        </w:rPr>
        <w:t>mediante</w:t>
      </w:r>
      <w:r w:rsidRPr="00BE448F">
        <w:rPr>
          <w:rFonts w:ascii="Palatino Linotype" w:hAnsi="Palatino Linotype" w:cs="Arial"/>
          <w:b/>
          <w:i/>
          <w:sz w:val="22"/>
          <w:szCs w:val="22"/>
          <w:lang w:eastAsia="es-MX"/>
        </w:rPr>
        <w:t xml:space="preserve"> resolución de autoridad competente</w:t>
      </w:r>
      <w:r w:rsidRPr="00BE448F">
        <w:rPr>
          <w:rFonts w:ascii="Palatino Linotype" w:hAnsi="Palatino Linotype" w:cs="Arial"/>
          <w:i/>
          <w:sz w:val="22"/>
          <w:szCs w:val="22"/>
          <w:lang w:eastAsia="es-MX"/>
        </w:rPr>
        <w:t>, o</w:t>
      </w:r>
    </w:p>
    <w:p w14:paraId="5BDF30FB"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III.</w:t>
      </w:r>
      <w:r w:rsidRPr="00BE448F">
        <w:rPr>
          <w:rFonts w:ascii="Palatino Linotype" w:hAnsi="Palatino Linotype" w:cs="Arial"/>
          <w:i/>
          <w:sz w:val="22"/>
          <w:szCs w:val="22"/>
          <w:lang w:eastAsia="es-MX"/>
        </w:rPr>
        <w:t xml:space="preserve"> Se generen </w:t>
      </w:r>
      <w:r w:rsidRPr="00BE448F">
        <w:rPr>
          <w:rFonts w:ascii="Palatino Linotype" w:hAnsi="Palatino Linotype" w:cs="Arial"/>
          <w:bCs/>
          <w:i/>
          <w:noProof/>
          <w:sz w:val="22"/>
          <w:szCs w:val="22"/>
        </w:rPr>
        <w:t>versiones</w:t>
      </w:r>
      <w:r w:rsidRPr="00BE448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C6704B2"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 xml:space="preserve">Los titulares de las áreas deberán revisar la clasificación al momento de la recepción de una solicitud de </w:t>
      </w:r>
      <w:r w:rsidRPr="00BE448F">
        <w:rPr>
          <w:rFonts w:ascii="Palatino Linotype" w:hAnsi="Palatino Linotype" w:cs="Arial"/>
          <w:b/>
          <w:bCs/>
          <w:i/>
          <w:noProof/>
          <w:sz w:val="22"/>
          <w:szCs w:val="22"/>
        </w:rPr>
        <w:t>acceso</w:t>
      </w:r>
      <w:r w:rsidRPr="00BE448F">
        <w:rPr>
          <w:rFonts w:ascii="Palatino Linotype" w:hAnsi="Palatino Linotype" w:cs="Arial"/>
          <w:b/>
          <w:i/>
          <w:sz w:val="22"/>
          <w:szCs w:val="22"/>
          <w:lang w:eastAsia="es-MX"/>
        </w:rPr>
        <w:t xml:space="preserve"> a la información, para verificar si encuadra en una causal de reserva</w:t>
      </w:r>
      <w:r w:rsidRPr="00BE448F">
        <w:rPr>
          <w:rFonts w:ascii="Palatino Linotype" w:hAnsi="Palatino Linotype" w:cs="Arial"/>
          <w:i/>
          <w:sz w:val="22"/>
          <w:szCs w:val="22"/>
          <w:lang w:eastAsia="es-MX"/>
        </w:rPr>
        <w:t xml:space="preserve"> o de confidencialidad.</w:t>
      </w:r>
    </w:p>
    <w:p w14:paraId="372BEFA4"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2B952B4A"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lastRenderedPageBreak/>
        <w:t>Octavo.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BE448F">
        <w:rPr>
          <w:rFonts w:ascii="Palatino Linotype" w:hAnsi="Palatino Linotype" w:cs="Arial"/>
          <w:b/>
          <w:bCs/>
          <w:i/>
          <w:noProof/>
          <w:sz w:val="22"/>
          <w:szCs w:val="22"/>
        </w:rPr>
        <w:t>expresamente</w:t>
      </w:r>
      <w:r w:rsidRPr="00BE448F">
        <w:rPr>
          <w:rFonts w:ascii="Palatino Linotype" w:hAnsi="Palatino Linotype" w:cs="Arial"/>
          <w:b/>
          <w:i/>
          <w:sz w:val="22"/>
          <w:szCs w:val="22"/>
          <w:lang w:eastAsia="es-MX"/>
        </w:rPr>
        <w:t xml:space="preserve"> le otorga el carácter de</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reservada</w:t>
      </w:r>
      <w:r w:rsidRPr="00BE448F">
        <w:rPr>
          <w:rFonts w:ascii="Palatino Linotype" w:hAnsi="Palatino Linotype" w:cs="Arial"/>
          <w:i/>
          <w:sz w:val="22"/>
          <w:szCs w:val="22"/>
          <w:lang w:eastAsia="es-MX"/>
        </w:rPr>
        <w:t xml:space="preserve"> o confidencial.</w:t>
      </w:r>
    </w:p>
    <w:p w14:paraId="14AA7F04"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Cs/>
          <w:i/>
          <w:noProof/>
          <w:sz w:val="22"/>
          <w:szCs w:val="22"/>
        </w:rPr>
      </w:pPr>
      <w:r w:rsidRPr="00BE448F">
        <w:rPr>
          <w:rFonts w:ascii="Palatino Linotype" w:hAnsi="Palatino Linotype" w:cs="Arial"/>
          <w:b/>
          <w:i/>
          <w:sz w:val="22"/>
          <w:szCs w:val="22"/>
          <w:lang w:eastAsia="es-MX"/>
        </w:rPr>
        <w:t xml:space="preserve">Para </w:t>
      </w:r>
      <w:r w:rsidRPr="00BE448F">
        <w:rPr>
          <w:rFonts w:ascii="Palatino Linotype" w:hAnsi="Palatino Linotype" w:cs="Arial"/>
          <w:b/>
          <w:bCs/>
          <w:i/>
          <w:noProof/>
          <w:sz w:val="22"/>
          <w:szCs w:val="22"/>
        </w:rPr>
        <w:t xml:space="preserve">motivar la clasificación se deberán señalar las razones o circunstancias especiales que lo </w:t>
      </w:r>
      <w:r w:rsidRPr="00BE448F">
        <w:rPr>
          <w:rFonts w:ascii="Palatino Linotype" w:hAnsi="Palatino Linotype" w:cs="Arial"/>
          <w:b/>
          <w:i/>
          <w:sz w:val="22"/>
          <w:szCs w:val="22"/>
          <w:lang w:eastAsia="es-MX"/>
        </w:rPr>
        <w:t>llevaron</w:t>
      </w:r>
      <w:r w:rsidRPr="00BE448F">
        <w:rPr>
          <w:rFonts w:ascii="Palatino Linotype" w:hAnsi="Palatino Linotype" w:cs="Arial"/>
          <w:b/>
          <w:bCs/>
          <w:i/>
          <w:noProof/>
          <w:sz w:val="22"/>
          <w:szCs w:val="22"/>
        </w:rPr>
        <w:t xml:space="preserve"> a concluir que el caso particular se ajusta al supuesto previsto por la norma legal invocada </w:t>
      </w:r>
      <w:r w:rsidRPr="00BE448F">
        <w:rPr>
          <w:rFonts w:ascii="Palatino Linotype" w:hAnsi="Palatino Linotype" w:cs="Arial"/>
          <w:bCs/>
          <w:i/>
          <w:noProof/>
          <w:sz w:val="22"/>
          <w:szCs w:val="22"/>
        </w:rPr>
        <w:t>como fundamento.</w:t>
      </w:r>
    </w:p>
    <w:p w14:paraId="6BD77AB7"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Cs/>
          <w:i/>
          <w:noProof/>
          <w:sz w:val="22"/>
          <w:szCs w:val="22"/>
        </w:rPr>
      </w:pPr>
      <w:r w:rsidRPr="00BE448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E448F">
        <w:rPr>
          <w:rFonts w:ascii="Palatino Linotype" w:hAnsi="Palatino Linotype" w:cs="Arial"/>
          <w:i/>
          <w:sz w:val="22"/>
          <w:szCs w:val="22"/>
          <w:lang w:eastAsia="es-MX"/>
        </w:rPr>
        <w:t>de</w:t>
      </w:r>
      <w:r w:rsidRPr="00BE448F">
        <w:rPr>
          <w:rFonts w:ascii="Palatino Linotype" w:hAnsi="Palatino Linotype" w:cs="Arial"/>
          <w:bCs/>
          <w:i/>
          <w:noProof/>
          <w:sz w:val="22"/>
          <w:szCs w:val="22"/>
        </w:rPr>
        <w:t xml:space="preserve"> </w:t>
      </w:r>
      <w:r w:rsidRPr="00BE448F">
        <w:rPr>
          <w:rFonts w:ascii="Palatino Linotype" w:hAnsi="Palatino Linotype" w:cs="Arial"/>
          <w:i/>
          <w:sz w:val="22"/>
          <w:szCs w:val="22"/>
          <w:lang w:eastAsia="es-MX"/>
        </w:rPr>
        <w:t>reserva</w:t>
      </w:r>
      <w:r w:rsidRPr="00BE448F">
        <w:rPr>
          <w:rFonts w:ascii="Palatino Linotype" w:hAnsi="Palatino Linotype" w:cs="Arial"/>
          <w:bCs/>
          <w:i/>
          <w:noProof/>
          <w:sz w:val="22"/>
          <w:szCs w:val="22"/>
        </w:rPr>
        <w:t>.</w:t>
      </w:r>
    </w:p>
    <w:p w14:paraId="448BBC83"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Cs/>
          <w:i/>
          <w:noProof/>
          <w:sz w:val="22"/>
          <w:szCs w:val="22"/>
        </w:rPr>
      </w:pPr>
      <w:r w:rsidRPr="00BE448F">
        <w:rPr>
          <w:rFonts w:ascii="Palatino Linotype" w:hAnsi="Palatino Linotype" w:cs="Arial"/>
          <w:i/>
          <w:sz w:val="22"/>
          <w:szCs w:val="22"/>
          <w:lang w:eastAsia="es-MX"/>
        </w:rPr>
        <w:t>Tratándose</w:t>
      </w:r>
      <w:r w:rsidRPr="00BE448F">
        <w:rPr>
          <w:rFonts w:ascii="Palatino Linotype" w:hAnsi="Palatino Linotype" w:cs="Arial"/>
          <w:bCs/>
          <w:i/>
          <w:noProof/>
          <w:sz w:val="22"/>
          <w:szCs w:val="22"/>
        </w:rPr>
        <w:t xml:space="preserve"> de información clasificada como confidencial respecto de la cual se haya </w:t>
      </w:r>
      <w:r w:rsidRPr="00BE448F">
        <w:rPr>
          <w:rFonts w:ascii="Palatino Linotype" w:hAnsi="Palatino Linotype" w:cs="Arial"/>
          <w:i/>
          <w:sz w:val="22"/>
          <w:szCs w:val="22"/>
          <w:lang w:eastAsia="es-MX"/>
        </w:rPr>
        <w:t>determinado</w:t>
      </w:r>
      <w:r w:rsidRPr="00BE448F">
        <w:rPr>
          <w:rFonts w:ascii="Palatino Linotype" w:hAnsi="Palatino Linotype" w:cs="Arial"/>
          <w:bCs/>
          <w:i/>
          <w:noProof/>
          <w:sz w:val="22"/>
          <w:szCs w:val="22"/>
        </w:rPr>
        <w:t xml:space="preserve"> </w:t>
      </w:r>
      <w:r w:rsidRPr="00BE448F">
        <w:rPr>
          <w:rFonts w:ascii="Palatino Linotype" w:hAnsi="Palatino Linotype" w:cs="Arial"/>
          <w:i/>
          <w:sz w:val="22"/>
          <w:szCs w:val="22"/>
          <w:lang w:eastAsia="es-MX"/>
        </w:rPr>
        <w:t>su</w:t>
      </w:r>
      <w:r w:rsidRPr="00BE448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FCBB526"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Cs/>
          <w:i/>
          <w:noProof/>
          <w:sz w:val="22"/>
          <w:szCs w:val="22"/>
        </w:rPr>
        <w:t>Los documentos contenidos</w:t>
      </w:r>
      <w:r w:rsidRPr="00BE448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4F13831"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35056AEC"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Décimo.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 xml:space="preserve">Los titulares de las áreas, deberán tener conocimiento y llevar un registro del personal que, por la naturaleza de sus atribuciones, tenga acceso a los </w:t>
      </w:r>
      <w:r w:rsidRPr="00BE448F">
        <w:rPr>
          <w:rFonts w:ascii="Palatino Linotype" w:hAnsi="Palatino Linotype" w:cs="Arial"/>
          <w:b/>
          <w:i/>
          <w:sz w:val="22"/>
          <w:szCs w:val="22"/>
        </w:rPr>
        <w:t>documentos</w:t>
      </w:r>
      <w:r w:rsidRPr="00BE448F">
        <w:rPr>
          <w:rFonts w:ascii="Palatino Linotype" w:hAnsi="Palatino Linotype" w:cs="Arial"/>
          <w:b/>
          <w:i/>
          <w:sz w:val="22"/>
          <w:szCs w:val="22"/>
          <w:lang w:eastAsia="es-MX"/>
        </w:rPr>
        <w:t xml:space="preserve"> clasificados</w:t>
      </w:r>
      <w:r w:rsidRPr="00BE448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2BE39F46"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E448F">
        <w:rPr>
          <w:rFonts w:ascii="Palatino Linotype" w:hAnsi="Palatino Linotype" w:cs="Arial"/>
          <w:i/>
          <w:sz w:val="22"/>
          <w:szCs w:val="22"/>
        </w:rPr>
        <w:t>que</w:t>
      </w:r>
      <w:r w:rsidRPr="00BE448F">
        <w:rPr>
          <w:rFonts w:ascii="Palatino Linotype" w:hAnsi="Palatino Linotype" w:cs="Arial"/>
          <w:i/>
          <w:sz w:val="22"/>
          <w:szCs w:val="22"/>
          <w:lang w:eastAsia="es-MX"/>
        </w:rPr>
        <w:t xml:space="preserve"> rija la actuación del sujeto obligado.</w:t>
      </w:r>
    </w:p>
    <w:p w14:paraId="56621B77"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0CC498AC"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lastRenderedPageBreak/>
        <w:t>Décimo primero.</w:t>
      </w:r>
      <w:r w:rsidRPr="00BE448F">
        <w:rPr>
          <w:rFonts w:ascii="Palatino Linotype" w:hAnsi="Palatino Linotype" w:cs="Arial"/>
          <w:i/>
          <w:sz w:val="22"/>
          <w:szCs w:val="22"/>
          <w:lang w:eastAsia="es-MX"/>
        </w:rPr>
        <w:t xml:space="preserve"> </w:t>
      </w:r>
      <w:r w:rsidRPr="00BE448F">
        <w:rPr>
          <w:rFonts w:ascii="Palatino Linotype" w:hAnsi="Palatino Linotype" w:cs="Arial"/>
          <w:b/>
          <w:i/>
          <w:sz w:val="22"/>
          <w:szCs w:val="22"/>
          <w:lang w:eastAsia="es-MX"/>
        </w:rPr>
        <w:t>En el intercambio de información entre sujetos obligados para el ejercicio de sus atribuciones, los documentos que se encuentren clasificados deberán llevar la leyenda correspondiente</w:t>
      </w:r>
      <w:r w:rsidRPr="00BE448F">
        <w:rPr>
          <w:rFonts w:ascii="Palatino Linotype" w:hAnsi="Palatino Linotype" w:cs="Arial"/>
          <w:i/>
          <w:sz w:val="22"/>
          <w:szCs w:val="22"/>
          <w:lang w:eastAsia="es-MX"/>
        </w:rPr>
        <w:t xml:space="preserve"> de conformidad con lo dispuesto en el Capítulo VIII de los presentes lineamientos.</w:t>
      </w:r>
    </w:p>
    <w:p w14:paraId="6D21BC4C" w14:textId="77777777" w:rsidR="00DF6473" w:rsidRPr="00BE448F" w:rsidRDefault="00DF6473" w:rsidP="00CB7B22">
      <w:pPr>
        <w:autoSpaceDE w:val="0"/>
        <w:autoSpaceDN w:val="0"/>
        <w:adjustRightInd w:val="0"/>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i/>
          <w:sz w:val="22"/>
          <w:szCs w:val="22"/>
          <w:lang w:eastAsia="es-MX"/>
        </w:rPr>
        <w:t>(…)</w:t>
      </w:r>
    </w:p>
    <w:p w14:paraId="4241AA31" w14:textId="77777777" w:rsidR="00DF6473" w:rsidRPr="00BE448F" w:rsidRDefault="00DF6473" w:rsidP="00CB7B22">
      <w:pPr>
        <w:spacing w:line="360" w:lineRule="auto"/>
        <w:ind w:left="709" w:right="709"/>
        <w:jc w:val="center"/>
        <w:rPr>
          <w:rFonts w:ascii="Palatino Linotype" w:hAnsi="Palatino Linotype" w:cs="Arial"/>
          <w:b/>
          <w:i/>
          <w:sz w:val="22"/>
          <w:szCs w:val="22"/>
          <w:lang w:eastAsia="es-MX"/>
        </w:rPr>
      </w:pPr>
      <w:r w:rsidRPr="00BE448F">
        <w:rPr>
          <w:rFonts w:ascii="Palatino Linotype" w:hAnsi="Palatino Linotype" w:cs="Arial"/>
          <w:b/>
          <w:i/>
          <w:sz w:val="22"/>
          <w:szCs w:val="22"/>
          <w:lang w:eastAsia="es-MX"/>
        </w:rPr>
        <w:t>CAPÍTULO VIII</w:t>
      </w:r>
    </w:p>
    <w:p w14:paraId="6C2AF9EE" w14:textId="77777777" w:rsidR="00DF6473" w:rsidRPr="00BE448F" w:rsidRDefault="00DF6473" w:rsidP="00CB7B22">
      <w:pPr>
        <w:spacing w:line="360" w:lineRule="auto"/>
        <w:ind w:left="709" w:right="709"/>
        <w:jc w:val="center"/>
        <w:rPr>
          <w:rFonts w:ascii="Palatino Linotype" w:hAnsi="Palatino Linotype" w:cs="Arial"/>
          <w:b/>
          <w:i/>
          <w:sz w:val="22"/>
          <w:szCs w:val="22"/>
          <w:lang w:eastAsia="es-MX"/>
        </w:rPr>
      </w:pPr>
      <w:r w:rsidRPr="00BE448F">
        <w:rPr>
          <w:rFonts w:ascii="Palatino Linotype" w:hAnsi="Palatino Linotype" w:cs="Arial"/>
          <w:b/>
          <w:i/>
          <w:sz w:val="22"/>
          <w:szCs w:val="22"/>
          <w:lang w:eastAsia="es-MX"/>
        </w:rPr>
        <w:t>DE LA LEYENDA DE CLASIFICACIÓN</w:t>
      </w:r>
    </w:p>
    <w:p w14:paraId="47C32163" w14:textId="77777777" w:rsidR="00DF6473" w:rsidRPr="00BE448F" w:rsidRDefault="00DF6473" w:rsidP="00CB7B22">
      <w:pPr>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 xml:space="preserve">Quincuagésimo. </w:t>
      </w:r>
      <w:r w:rsidRPr="00BE448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E448F">
        <w:rPr>
          <w:rFonts w:ascii="Palatino Linotype" w:hAnsi="Palatino Linotype" w:cs="Arial"/>
          <w:i/>
          <w:sz w:val="22"/>
          <w:szCs w:val="22"/>
          <w:lang w:eastAsia="es-MX"/>
        </w:rPr>
        <w:t xml:space="preserve"> para señalar la clasificación de documentos o expedientes, sin perjuicio de que establezcan los propios.</w:t>
      </w:r>
    </w:p>
    <w:p w14:paraId="23E4AB9B" w14:textId="77777777" w:rsidR="00DF6473" w:rsidRPr="00BE448F" w:rsidRDefault="00DF6473" w:rsidP="00CB7B22">
      <w:pPr>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i/>
          <w:sz w:val="22"/>
          <w:szCs w:val="22"/>
          <w:lang w:eastAsia="es-MX"/>
        </w:rPr>
        <w:t>[…]</w:t>
      </w:r>
    </w:p>
    <w:p w14:paraId="16982E94" w14:textId="77777777" w:rsidR="00DF6473" w:rsidRPr="00BE448F" w:rsidRDefault="00DF6473" w:rsidP="00CB7B22">
      <w:pPr>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b/>
          <w:i/>
          <w:sz w:val="22"/>
          <w:szCs w:val="22"/>
          <w:lang w:eastAsia="es-MX"/>
        </w:rPr>
        <w:t xml:space="preserve">Quincuagésimo tercero. </w:t>
      </w:r>
      <w:r w:rsidRPr="00BE448F">
        <w:rPr>
          <w:rFonts w:ascii="Palatino Linotype" w:hAnsi="Palatino Linotype" w:cs="Arial"/>
          <w:b/>
          <w:i/>
          <w:sz w:val="22"/>
          <w:szCs w:val="22"/>
          <w:u w:val="single"/>
          <w:lang w:eastAsia="es-MX"/>
        </w:rPr>
        <w:t>El formato para señalar la clasificación parcial de un documento</w:t>
      </w:r>
      <w:r w:rsidRPr="00BE448F">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DF6473" w:rsidRPr="00BE448F" w14:paraId="42970936" w14:textId="77777777" w:rsidTr="00DF6473">
        <w:trPr>
          <w:jc w:val="center"/>
        </w:trPr>
        <w:tc>
          <w:tcPr>
            <w:tcW w:w="1129" w:type="dxa"/>
            <w:tcBorders>
              <w:top w:val="nil"/>
              <w:left w:val="nil"/>
              <w:bottom w:val="single" w:sz="4" w:space="0" w:color="auto"/>
              <w:right w:val="single" w:sz="4" w:space="0" w:color="auto"/>
            </w:tcBorders>
          </w:tcPr>
          <w:p w14:paraId="673FB25D"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11AA8862" w14:textId="77777777" w:rsidR="00DF6473" w:rsidRPr="00BE448F" w:rsidRDefault="00DF6473" w:rsidP="00CB7B22">
            <w:pPr>
              <w:spacing w:line="360" w:lineRule="auto"/>
              <w:jc w:val="center"/>
              <w:rPr>
                <w:rFonts w:ascii="Palatino Linotype" w:hAnsi="Palatino Linotype"/>
                <w:i/>
              </w:rPr>
            </w:pPr>
            <w:r w:rsidRPr="00BE448F">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14:paraId="563ECEF9" w14:textId="77777777" w:rsidR="00DF6473" w:rsidRPr="00BE448F" w:rsidRDefault="00DF6473" w:rsidP="00CB7B22">
            <w:pPr>
              <w:spacing w:line="360" w:lineRule="auto"/>
              <w:jc w:val="center"/>
              <w:rPr>
                <w:rFonts w:ascii="Palatino Linotype" w:hAnsi="Palatino Linotype"/>
                <w:i/>
              </w:rPr>
            </w:pPr>
            <w:r w:rsidRPr="00BE448F">
              <w:rPr>
                <w:rFonts w:ascii="Palatino Linotype" w:hAnsi="Palatino Linotype"/>
                <w:i/>
              </w:rPr>
              <w:t>Dónde:</w:t>
            </w:r>
          </w:p>
        </w:tc>
      </w:tr>
      <w:tr w:rsidR="00DF6473" w:rsidRPr="00BE448F" w14:paraId="22FE3DA8" w14:textId="77777777" w:rsidTr="00DF6473">
        <w:trPr>
          <w:jc w:val="center"/>
        </w:trPr>
        <w:tc>
          <w:tcPr>
            <w:tcW w:w="1129" w:type="dxa"/>
            <w:vMerge w:val="restart"/>
            <w:tcBorders>
              <w:top w:val="single" w:sz="4" w:space="0" w:color="auto"/>
            </w:tcBorders>
            <w:vAlign w:val="center"/>
          </w:tcPr>
          <w:p w14:paraId="374945E4"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Sello oficial o logotipo del sujeto obligado</w:t>
            </w:r>
          </w:p>
        </w:tc>
        <w:tc>
          <w:tcPr>
            <w:tcW w:w="1990" w:type="dxa"/>
            <w:tcBorders>
              <w:top w:val="single" w:sz="4" w:space="0" w:color="auto"/>
            </w:tcBorders>
          </w:tcPr>
          <w:p w14:paraId="110B1D8A"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Fecha de clasificación</w:t>
            </w:r>
          </w:p>
        </w:tc>
        <w:tc>
          <w:tcPr>
            <w:tcW w:w="4531" w:type="dxa"/>
            <w:tcBorders>
              <w:top w:val="single" w:sz="4" w:space="0" w:color="auto"/>
            </w:tcBorders>
          </w:tcPr>
          <w:p w14:paraId="7278E536"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Se anotará la fecha en la que el Comité de Transparencia confirmó la clasificación del documento, en su caso.</w:t>
            </w:r>
          </w:p>
        </w:tc>
      </w:tr>
      <w:tr w:rsidR="00DF6473" w:rsidRPr="00BE448F" w14:paraId="5F758691" w14:textId="77777777" w:rsidTr="00DF6473">
        <w:trPr>
          <w:jc w:val="center"/>
        </w:trPr>
        <w:tc>
          <w:tcPr>
            <w:tcW w:w="1129" w:type="dxa"/>
            <w:vMerge/>
          </w:tcPr>
          <w:p w14:paraId="0E902562"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4AF6E1CA"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Área</w:t>
            </w:r>
          </w:p>
        </w:tc>
        <w:tc>
          <w:tcPr>
            <w:tcW w:w="4531" w:type="dxa"/>
          </w:tcPr>
          <w:p w14:paraId="7C40DD44"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Se señalará el nombre del área del cual es titular quien clasifica.</w:t>
            </w:r>
          </w:p>
        </w:tc>
      </w:tr>
      <w:tr w:rsidR="00DF6473" w:rsidRPr="00BE448F" w14:paraId="24775A77" w14:textId="77777777" w:rsidTr="00DF6473">
        <w:trPr>
          <w:jc w:val="center"/>
        </w:trPr>
        <w:tc>
          <w:tcPr>
            <w:tcW w:w="1129" w:type="dxa"/>
            <w:vMerge/>
          </w:tcPr>
          <w:p w14:paraId="3AB85519"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4CA5738D" w14:textId="77777777" w:rsidR="00DF6473" w:rsidRPr="00BE448F" w:rsidRDefault="00DF6473" w:rsidP="00CB7B22">
            <w:pPr>
              <w:spacing w:line="360" w:lineRule="auto"/>
              <w:jc w:val="center"/>
              <w:rPr>
                <w:rFonts w:ascii="Palatino Linotype" w:hAnsi="Palatino Linotype" w:cs="Arial"/>
                <w:b/>
                <w:i/>
                <w:lang w:eastAsia="es-MX"/>
              </w:rPr>
            </w:pPr>
            <w:r w:rsidRPr="00BE448F">
              <w:rPr>
                <w:rFonts w:ascii="Palatino Linotype" w:hAnsi="Palatino Linotype" w:cs="Arial"/>
                <w:b/>
                <w:i/>
                <w:lang w:eastAsia="es-MX"/>
              </w:rPr>
              <w:t>Información reservada</w:t>
            </w:r>
          </w:p>
        </w:tc>
        <w:tc>
          <w:tcPr>
            <w:tcW w:w="4531" w:type="dxa"/>
          </w:tcPr>
          <w:p w14:paraId="024ECF67"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BE448F">
              <w:rPr>
                <w:rFonts w:ascii="Palatino Linotype" w:hAnsi="Palatino Linotype" w:cs="Arial"/>
                <w:i/>
                <w:lang w:eastAsia="es-MX"/>
              </w:rPr>
              <w:t>anotarán</w:t>
            </w:r>
            <w:proofErr w:type="gramEnd"/>
            <w:r w:rsidRPr="00BE448F">
              <w:rPr>
                <w:rFonts w:ascii="Palatino Linotype" w:hAnsi="Palatino Linotype" w:cs="Arial"/>
                <w:i/>
                <w:lang w:eastAsia="es-MX"/>
              </w:rPr>
              <w:t xml:space="preserve"> todas las páginas que lo conforman. Si el documento no </w:t>
            </w:r>
            <w:r w:rsidRPr="00BE448F">
              <w:rPr>
                <w:rFonts w:ascii="Palatino Linotype" w:hAnsi="Palatino Linotype" w:cs="Arial"/>
                <w:i/>
                <w:lang w:eastAsia="es-MX"/>
              </w:rPr>
              <w:lastRenderedPageBreak/>
              <w:t>contiene información reservada, se tachará este apartado.</w:t>
            </w:r>
          </w:p>
        </w:tc>
      </w:tr>
      <w:tr w:rsidR="00DF6473" w:rsidRPr="00BE448F" w14:paraId="6334DF98" w14:textId="77777777" w:rsidTr="00DF6473">
        <w:trPr>
          <w:jc w:val="center"/>
        </w:trPr>
        <w:tc>
          <w:tcPr>
            <w:tcW w:w="1129" w:type="dxa"/>
            <w:vMerge/>
          </w:tcPr>
          <w:p w14:paraId="11D65BFB"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67936102" w14:textId="77777777" w:rsidR="00DF6473" w:rsidRPr="00BE448F" w:rsidRDefault="00DF6473" w:rsidP="00CB7B22">
            <w:pPr>
              <w:spacing w:line="360" w:lineRule="auto"/>
              <w:jc w:val="center"/>
              <w:rPr>
                <w:rFonts w:ascii="Palatino Linotype" w:hAnsi="Palatino Linotype" w:cs="Arial"/>
                <w:b/>
                <w:i/>
                <w:lang w:eastAsia="es-MX"/>
              </w:rPr>
            </w:pPr>
            <w:r w:rsidRPr="00BE448F">
              <w:rPr>
                <w:rFonts w:ascii="Palatino Linotype" w:hAnsi="Palatino Linotype" w:cs="Arial"/>
                <w:b/>
                <w:i/>
                <w:lang w:eastAsia="es-MX"/>
              </w:rPr>
              <w:t>Periodo de reserva</w:t>
            </w:r>
          </w:p>
        </w:tc>
        <w:tc>
          <w:tcPr>
            <w:tcW w:w="4531" w:type="dxa"/>
          </w:tcPr>
          <w:p w14:paraId="1BFD65BE"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Se anotará el número de años o meses por los que se mantendrá el documento o las partes del mismo como reservado.</w:t>
            </w:r>
          </w:p>
        </w:tc>
      </w:tr>
      <w:tr w:rsidR="00DF6473" w:rsidRPr="00BE448F" w14:paraId="0D361267" w14:textId="77777777" w:rsidTr="00DF6473">
        <w:trPr>
          <w:jc w:val="center"/>
        </w:trPr>
        <w:tc>
          <w:tcPr>
            <w:tcW w:w="1129" w:type="dxa"/>
            <w:vMerge/>
          </w:tcPr>
          <w:p w14:paraId="7E72C58C"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14118B51" w14:textId="77777777" w:rsidR="00DF6473" w:rsidRPr="00BE448F" w:rsidRDefault="00DF6473" w:rsidP="00CB7B22">
            <w:pPr>
              <w:spacing w:line="360" w:lineRule="auto"/>
              <w:jc w:val="center"/>
              <w:rPr>
                <w:rFonts w:ascii="Palatino Linotype" w:hAnsi="Palatino Linotype" w:cs="Arial"/>
                <w:b/>
                <w:i/>
                <w:lang w:eastAsia="es-MX"/>
              </w:rPr>
            </w:pPr>
            <w:r w:rsidRPr="00BE448F">
              <w:rPr>
                <w:rFonts w:ascii="Palatino Linotype" w:hAnsi="Palatino Linotype" w:cs="Arial"/>
                <w:b/>
                <w:i/>
                <w:lang w:eastAsia="es-MX"/>
              </w:rPr>
              <w:t>Fundamento legal</w:t>
            </w:r>
          </w:p>
        </w:tc>
        <w:tc>
          <w:tcPr>
            <w:tcW w:w="4531" w:type="dxa"/>
          </w:tcPr>
          <w:p w14:paraId="001A54DB"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Se señalará el nombre del ordenamiento, el o los artículos, fracción(es), párrafo(s) con base en los cuales se sustente la reserva.</w:t>
            </w:r>
          </w:p>
        </w:tc>
      </w:tr>
      <w:tr w:rsidR="00DF6473" w:rsidRPr="00BE448F" w14:paraId="0848C0BC" w14:textId="77777777" w:rsidTr="00DF6473">
        <w:trPr>
          <w:jc w:val="center"/>
        </w:trPr>
        <w:tc>
          <w:tcPr>
            <w:tcW w:w="1129" w:type="dxa"/>
            <w:vMerge/>
          </w:tcPr>
          <w:p w14:paraId="6E6CBFC6"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5D060CA6"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Ampliación del periodo de reserva</w:t>
            </w:r>
          </w:p>
        </w:tc>
        <w:tc>
          <w:tcPr>
            <w:tcW w:w="4531" w:type="dxa"/>
          </w:tcPr>
          <w:p w14:paraId="4C20256E"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F6473" w:rsidRPr="00BE448F" w14:paraId="0AF6F22D" w14:textId="77777777" w:rsidTr="00DF6473">
        <w:trPr>
          <w:jc w:val="center"/>
        </w:trPr>
        <w:tc>
          <w:tcPr>
            <w:tcW w:w="1129" w:type="dxa"/>
            <w:vMerge/>
          </w:tcPr>
          <w:p w14:paraId="6A16A29E"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01697BB1" w14:textId="77777777" w:rsidR="00DF6473" w:rsidRPr="00BE448F" w:rsidRDefault="00DF6473" w:rsidP="00CB7B22">
            <w:pPr>
              <w:spacing w:line="360" w:lineRule="auto"/>
              <w:jc w:val="center"/>
              <w:rPr>
                <w:rFonts w:ascii="Palatino Linotype" w:hAnsi="Palatino Linotype" w:cs="Arial"/>
                <w:i/>
                <w:u w:val="single"/>
                <w:lang w:eastAsia="es-MX"/>
              </w:rPr>
            </w:pPr>
            <w:r w:rsidRPr="00BE448F">
              <w:rPr>
                <w:rFonts w:ascii="Palatino Linotype" w:hAnsi="Palatino Linotype" w:cs="Arial"/>
                <w:i/>
                <w:u w:val="single"/>
                <w:lang w:eastAsia="es-MX"/>
              </w:rPr>
              <w:t>Confidencial</w:t>
            </w:r>
          </w:p>
        </w:tc>
        <w:tc>
          <w:tcPr>
            <w:tcW w:w="4531" w:type="dxa"/>
          </w:tcPr>
          <w:p w14:paraId="46BAE52E"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 xml:space="preserve">Se indicarán, en su caso, las partes o páginas del documento que se clasifica como confidencial. </w:t>
            </w:r>
            <w:r w:rsidRPr="00BE448F">
              <w:rPr>
                <w:rFonts w:ascii="Palatino Linotype" w:hAnsi="Palatino Linotype" w:cs="Arial"/>
                <w:i/>
                <w:u w:val="single"/>
                <w:lang w:eastAsia="es-MX"/>
              </w:rPr>
              <w:t>Si el documento fuera confidencial en su totalidad, se anotarán todas las páginas que lo conforman</w:t>
            </w:r>
            <w:r w:rsidRPr="00BE448F">
              <w:rPr>
                <w:rFonts w:ascii="Palatino Linotype" w:hAnsi="Palatino Linotype" w:cs="Arial"/>
                <w:i/>
                <w:lang w:eastAsia="es-MX"/>
              </w:rPr>
              <w:t>. Si el documento no contiene información confidencial, se tachará este apartado.</w:t>
            </w:r>
          </w:p>
        </w:tc>
      </w:tr>
      <w:tr w:rsidR="00DF6473" w:rsidRPr="00BE448F" w14:paraId="3F08FCC0" w14:textId="77777777" w:rsidTr="00DF6473">
        <w:trPr>
          <w:jc w:val="center"/>
        </w:trPr>
        <w:tc>
          <w:tcPr>
            <w:tcW w:w="1129" w:type="dxa"/>
            <w:vMerge/>
          </w:tcPr>
          <w:p w14:paraId="3EB56CD5"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511D01F7"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Fundamento legal</w:t>
            </w:r>
          </w:p>
        </w:tc>
        <w:tc>
          <w:tcPr>
            <w:tcW w:w="4531" w:type="dxa"/>
          </w:tcPr>
          <w:p w14:paraId="60E151B8"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Se señalará el nombre del ordenamiento, el o los artículos, fracción(es), párrafo(s) con base en los cuales se sustente la confidencialidad.</w:t>
            </w:r>
          </w:p>
        </w:tc>
      </w:tr>
      <w:tr w:rsidR="00DF6473" w:rsidRPr="00BE448F" w14:paraId="398D2842" w14:textId="77777777" w:rsidTr="00DF6473">
        <w:trPr>
          <w:jc w:val="center"/>
        </w:trPr>
        <w:tc>
          <w:tcPr>
            <w:tcW w:w="1129" w:type="dxa"/>
            <w:vMerge/>
          </w:tcPr>
          <w:p w14:paraId="56D523B8"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49C83F1B"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Rúbrica del titular del área</w:t>
            </w:r>
          </w:p>
        </w:tc>
        <w:tc>
          <w:tcPr>
            <w:tcW w:w="4531" w:type="dxa"/>
          </w:tcPr>
          <w:p w14:paraId="2229D2EA"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Rúbrica autógrafa de quien clasifica.</w:t>
            </w:r>
          </w:p>
        </w:tc>
      </w:tr>
      <w:tr w:rsidR="00DF6473" w:rsidRPr="00BE448F" w14:paraId="72F54CBC" w14:textId="77777777" w:rsidTr="00DF6473">
        <w:trPr>
          <w:jc w:val="center"/>
        </w:trPr>
        <w:tc>
          <w:tcPr>
            <w:tcW w:w="1129" w:type="dxa"/>
            <w:vMerge/>
          </w:tcPr>
          <w:p w14:paraId="774E503A"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1268C2A0"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Fecha de desclasificación</w:t>
            </w:r>
          </w:p>
        </w:tc>
        <w:tc>
          <w:tcPr>
            <w:tcW w:w="4531" w:type="dxa"/>
          </w:tcPr>
          <w:p w14:paraId="57FF29D9" w14:textId="77777777" w:rsidR="00DF6473" w:rsidRPr="00BE448F" w:rsidRDefault="00DF6473" w:rsidP="00CB7B22">
            <w:pPr>
              <w:spacing w:line="360" w:lineRule="auto"/>
              <w:jc w:val="both"/>
              <w:rPr>
                <w:rFonts w:ascii="Palatino Linotype" w:hAnsi="Palatino Linotype" w:cs="Arial"/>
                <w:i/>
                <w:lang w:eastAsia="es-MX"/>
              </w:rPr>
            </w:pPr>
            <w:r w:rsidRPr="00BE448F">
              <w:rPr>
                <w:rFonts w:ascii="Palatino Linotype" w:hAnsi="Palatino Linotype" w:cs="Arial"/>
                <w:i/>
                <w:lang w:eastAsia="es-MX"/>
              </w:rPr>
              <w:t>Se anotará la fecha en que se desclasifica el documento.</w:t>
            </w:r>
          </w:p>
        </w:tc>
      </w:tr>
      <w:tr w:rsidR="00DF6473" w:rsidRPr="00BE448F" w14:paraId="2496F7A9" w14:textId="77777777" w:rsidTr="00DF6473">
        <w:trPr>
          <w:jc w:val="center"/>
        </w:trPr>
        <w:tc>
          <w:tcPr>
            <w:tcW w:w="1129" w:type="dxa"/>
            <w:vMerge/>
          </w:tcPr>
          <w:p w14:paraId="478DBF82" w14:textId="77777777" w:rsidR="00DF6473" w:rsidRPr="00BE448F" w:rsidRDefault="00DF6473" w:rsidP="00CB7B22">
            <w:pPr>
              <w:spacing w:line="360" w:lineRule="auto"/>
              <w:jc w:val="both"/>
              <w:rPr>
                <w:rFonts w:ascii="Palatino Linotype" w:hAnsi="Palatino Linotype" w:cs="Arial"/>
                <w:i/>
                <w:lang w:eastAsia="es-MX"/>
              </w:rPr>
            </w:pPr>
          </w:p>
        </w:tc>
        <w:tc>
          <w:tcPr>
            <w:tcW w:w="1990" w:type="dxa"/>
          </w:tcPr>
          <w:p w14:paraId="23F8B7C5" w14:textId="77777777" w:rsidR="00DF6473" w:rsidRPr="00BE448F" w:rsidRDefault="00DF6473" w:rsidP="00CB7B22">
            <w:pPr>
              <w:spacing w:line="360" w:lineRule="auto"/>
              <w:jc w:val="center"/>
              <w:rPr>
                <w:rFonts w:ascii="Palatino Linotype" w:hAnsi="Palatino Linotype" w:cs="Arial"/>
                <w:i/>
                <w:lang w:eastAsia="es-MX"/>
              </w:rPr>
            </w:pPr>
            <w:r w:rsidRPr="00BE448F">
              <w:rPr>
                <w:rFonts w:ascii="Palatino Linotype" w:hAnsi="Palatino Linotype" w:cs="Arial"/>
                <w:i/>
                <w:lang w:eastAsia="es-MX"/>
              </w:rPr>
              <w:t>Rúbrica y cargo del servidor público</w:t>
            </w:r>
          </w:p>
        </w:tc>
        <w:tc>
          <w:tcPr>
            <w:tcW w:w="4531" w:type="dxa"/>
            <w:vAlign w:val="center"/>
          </w:tcPr>
          <w:p w14:paraId="17AEB65E" w14:textId="77777777" w:rsidR="00DF6473" w:rsidRPr="00BE448F" w:rsidRDefault="00DF6473" w:rsidP="00CB7B22">
            <w:pPr>
              <w:spacing w:line="360" w:lineRule="auto"/>
              <w:rPr>
                <w:rFonts w:ascii="Palatino Linotype" w:hAnsi="Palatino Linotype" w:cs="Arial"/>
                <w:i/>
                <w:lang w:eastAsia="es-MX"/>
              </w:rPr>
            </w:pPr>
            <w:r w:rsidRPr="00BE448F">
              <w:rPr>
                <w:rFonts w:ascii="Palatino Linotype" w:hAnsi="Palatino Linotype" w:cs="Arial"/>
                <w:i/>
                <w:lang w:eastAsia="es-MX"/>
              </w:rPr>
              <w:t>Rúbrica autógrafa de quien desclasifica.</w:t>
            </w:r>
          </w:p>
        </w:tc>
      </w:tr>
    </w:tbl>
    <w:p w14:paraId="4EA7DB1F" w14:textId="77777777" w:rsidR="00DF6473" w:rsidRPr="00BE448F" w:rsidRDefault="00DF6473" w:rsidP="00CB7B22">
      <w:pPr>
        <w:spacing w:line="360" w:lineRule="auto"/>
        <w:ind w:left="709" w:right="709"/>
        <w:jc w:val="both"/>
        <w:rPr>
          <w:rFonts w:ascii="Palatino Linotype" w:hAnsi="Palatino Linotype" w:cs="Arial"/>
          <w:i/>
          <w:sz w:val="22"/>
          <w:szCs w:val="22"/>
          <w:lang w:eastAsia="es-MX"/>
        </w:rPr>
      </w:pPr>
      <w:r w:rsidRPr="00BE448F">
        <w:rPr>
          <w:rFonts w:ascii="Palatino Linotype" w:hAnsi="Palatino Linotype" w:cs="Arial"/>
          <w:i/>
          <w:sz w:val="22"/>
          <w:szCs w:val="22"/>
          <w:lang w:eastAsia="es-MX"/>
        </w:rPr>
        <w:t>(…)”</w:t>
      </w:r>
    </w:p>
    <w:p w14:paraId="188E0E1A" w14:textId="77777777" w:rsidR="00DF6473" w:rsidRPr="00BE448F" w:rsidRDefault="00DF6473" w:rsidP="00CB7B22">
      <w:pPr>
        <w:spacing w:line="360" w:lineRule="auto"/>
        <w:ind w:left="709" w:right="709"/>
        <w:jc w:val="both"/>
        <w:rPr>
          <w:rFonts w:ascii="Palatino Linotype" w:hAnsi="Palatino Linotype" w:cs="Arial"/>
          <w:sz w:val="22"/>
          <w:szCs w:val="22"/>
          <w:lang w:eastAsia="es-MX"/>
        </w:rPr>
      </w:pPr>
      <w:r w:rsidRPr="00BE448F">
        <w:rPr>
          <w:rFonts w:ascii="Palatino Linotype" w:hAnsi="Palatino Linotype" w:cs="Arial"/>
          <w:sz w:val="22"/>
          <w:szCs w:val="22"/>
          <w:lang w:eastAsia="es-MX"/>
        </w:rPr>
        <w:t>(Énfasis Añadido)</w:t>
      </w:r>
    </w:p>
    <w:p w14:paraId="1CBFCD1F" w14:textId="77777777" w:rsidR="00DF6473" w:rsidRPr="00BE448F" w:rsidRDefault="00DF6473" w:rsidP="00CB7B22">
      <w:pPr>
        <w:pStyle w:val="Prrafodelista"/>
        <w:numPr>
          <w:ilvl w:val="0"/>
          <w:numId w:val="1"/>
        </w:numPr>
        <w:spacing w:before="100" w:beforeAutospacing="1" w:after="100" w:afterAutospacing="1" w:line="360" w:lineRule="auto"/>
        <w:ind w:left="0" w:firstLine="0"/>
        <w:jc w:val="both"/>
        <w:rPr>
          <w:rFonts w:ascii="Palatino Linotype" w:hAnsi="Palatino Linotype" w:cs="Arial"/>
          <w:b/>
          <w:bCs/>
        </w:rPr>
      </w:pPr>
      <w:r w:rsidRPr="00BE448F">
        <w:rPr>
          <w:rFonts w:ascii="Palatino Linotype" w:hAnsi="Palatino Linotype" w:cs="Arial"/>
        </w:rPr>
        <w:t>Por lo tanto,</w:t>
      </w:r>
      <w:r w:rsidRPr="00BE448F">
        <w:rPr>
          <w:rFonts w:ascii="Palatino Linotype" w:hAnsi="Palatino Linotype"/>
        </w:rPr>
        <w:t xml:space="preserve"> es importante referir que </w:t>
      </w:r>
      <w:r w:rsidRPr="00BE448F">
        <w:rPr>
          <w:rFonts w:ascii="Palatino Linotype" w:hAnsi="Palatino Linotype"/>
          <w:b/>
        </w:rPr>
        <w:t>EL SUJETO OBLIGADO</w:t>
      </w:r>
      <w:r w:rsidRPr="00BE448F">
        <w:rPr>
          <w:rFonts w:ascii="Palatino Linotype" w:hAnsi="Palatino Linotype"/>
        </w:rPr>
        <w:t xml:space="preserve"> deberá seguir el procedimiento legal establecido para su </w:t>
      </w:r>
      <w:r w:rsidRPr="00BE448F">
        <w:rPr>
          <w:rFonts w:ascii="Palatino Linotype" w:hAnsi="Palatino Linotype"/>
          <w:lang w:eastAsia="es-MX"/>
        </w:rPr>
        <w:t>clasificación</w:t>
      </w:r>
      <w:r w:rsidRPr="00BE448F">
        <w:rPr>
          <w:rFonts w:ascii="Palatino Linotype" w:hAnsi="Palatino Linotype"/>
        </w:rPr>
        <w:t>, esto es, que su Comité de</w:t>
      </w:r>
      <w:r w:rsidRPr="00BE448F">
        <w:rPr>
          <w:rFonts w:ascii="Palatino Linotype" w:hAnsi="Palatino Linotype" w:cs="Arial"/>
        </w:rPr>
        <w:t xml:space="preserve"> Transparencia emita un Acuerdo de Clasificación que cumpla con las formalidades antes citadas</w:t>
      </w:r>
      <w:r w:rsidRPr="00BE448F">
        <w:rPr>
          <w:rFonts w:ascii="Palatino Linotype" w:hAnsi="Palatino Linotype" w:cs="Arial"/>
          <w:b/>
        </w:rPr>
        <w:t xml:space="preserve"> </w:t>
      </w:r>
      <w:r w:rsidRPr="00BE448F">
        <w:rPr>
          <w:rFonts w:ascii="Palatino Linotype" w:hAnsi="Palatino Linotype" w:cs="Arial"/>
        </w:rPr>
        <w:t xml:space="preserve">que la sustente, en el </w:t>
      </w:r>
      <w:r w:rsidRPr="00BE448F">
        <w:rPr>
          <w:rFonts w:ascii="Palatino Linotype" w:hAnsi="Palatino Linotype" w:cs="Arial"/>
          <w:lang w:eastAsia="es-MX"/>
        </w:rPr>
        <w:t>que</w:t>
      </w:r>
      <w:r w:rsidRPr="00BE448F">
        <w:rPr>
          <w:rFonts w:ascii="Palatino Linotype" w:hAnsi="Palatino Linotype" w:cs="Arial"/>
        </w:rPr>
        <w:t xml:space="preserve"> se expongan los fundamentos y razones que llevaron a la autoridad a clasificar la información, de lo contrario, implica dejar al </w:t>
      </w:r>
      <w:r w:rsidRPr="00BE448F">
        <w:rPr>
          <w:rFonts w:ascii="Palatino Linotype" w:hAnsi="Palatino Linotype" w:cs="Arial"/>
          <w:b/>
        </w:rPr>
        <w:t>RECURRENTE</w:t>
      </w:r>
      <w:r w:rsidRPr="00BE448F">
        <w:rPr>
          <w:rFonts w:ascii="Palatino Linotype" w:hAnsi="Palatino Linotype" w:cs="Arial"/>
        </w:rPr>
        <w:t xml:space="preserv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52CD14B" w14:textId="77777777" w:rsidR="00DF6473" w:rsidRPr="00BE448F" w:rsidRDefault="00DF6473" w:rsidP="00CB7B22">
      <w:pPr>
        <w:pStyle w:val="Prrafodelista"/>
        <w:spacing w:before="100" w:beforeAutospacing="1" w:after="100" w:afterAutospacing="1" w:line="360" w:lineRule="auto"/>
        <w:ind w:left="0"/>
        <w:jc w:val="both"/>
        <w:rPr>
          <w:rFonts w:ascii="Palatino Linotype" w:hAnsi="Palatino Linotype" w:cs="Arial"/>
          <w:b/>
          <w:bCs/>
        </w:rPr>
      </w:pPr>
    </w:p>
    <w:p w14:paraId="543E8BC1" w14:textId="54E84F9A" w:rsidR="005E7D26" w:rsidRPr="00BE448F" w:rsidRDefault="00DF6473" w:rsidP="005E7D2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color w:val="000000" w:themeColor="text1"/>
        </w:rPr>
      </w:pPr>
      <w:r w:rsidRPr="00BE448F">
        <w:rPr>
          <w:rFonts w:ascii="Palatino Linotype" w:hAnsi="Palatino Linotype" w:cs="Arial"/>
          <w:b/>
        </w:rPr>
        <w:t>Por otro lado</w:t>
      </w:r>
      <w:r w:rsidRPr="00BE448F">
        <w:rPr>
          <w:rFonts w:ascii="Palatino Linotype" w:eastAsia="Calibri" w:hAnsi="Palatino Linotype" w:cs="Arial"/>
        </w:rPr>
        <w:t xml:space="preserve">, </w:t>
      </w:r>
      <w:r w:rsidRPr="00BE448F">
        <w:rPr>
          <w:rFonts w:ascii="Palatino Linotype" w:hAnsi="Palatino Linotype" w:cs="Arial"/>
          <w:b/>
        </w:rPr>
        <w:t>en un total ejercicio de máxima publicidad, de conformidad con lo que señala el artículo 8</w:t>
      </w:r>
      <w:r w:rsidRPr="00BE448F">
        <w:rPr>
          <w:rStyle w:val="Refdenotaalpie"/>
          <w:rFonts w:ascii="Palatino Linotype" w:hAnsi="Palatino Linotype" w:cs="Arial"/>
          <w:b/>
        </w:rPr>
        <w:footnoteReference w:id="29"/>
      </w:r>
      <w:r w:rsidRPr="00BE448F">
        <w:rPr>
          <w:rFonts w:ascii="Palatino Linotype" w:hAnsi="Palatino Linotype" w:cs="Arial"/>
          <w:b/>
        </w:rPr>
        <w:t xml:space="preserve"> de la Ley de Transparencia Estatal, se deberá </w:t>
      </w:r>
      <w:r w:rsidRPr="00BE448F">
        <w:rPr>
          <w:rFonts w:ascii="Palatino Linotype" w:hAnsi="Palatino Linotype" w:cs="Arial"/>
          <w:b/>
        </w:rPr>
        <w:lastRenderedPageBreak/>
        <w:t xml:space="preserve">referir dentro del Acuerdo de clasificación el número de expedientes relacionados con faltas administrativas no graves </w:t>
      </w:r>
      <w:r w:rsidRPr="00BE448F">
        <w:rPr>
          <w:rFonts w:ascii="Palatino Linotype" w:hAnsi="Palatino Linotype" w:cs="Arial"/>
          <w:b/>
          <w:bCs/>
        </w:rPr>
        <w:t>de los cuales se estará clasificando la información</w:t>
      </w:r>
      <w:r w:rsidRPr="00BE448F">
        <w:rPr>
          <w:rFonts w:ascii="Palatino Linotype" w:hAnsi="Palatino Linotype" w:cs="Arial"/>
          <w:bCs/>
        </w:rPr>
        <w:t xml:space="preserve">, ello con la finalidad de otorgar al particular información estadística relativa a la naturaleza de lo solicitado y no se niegue de manera plena y rotunda el </w:t>
      </w:r>
      <w:r w:rsidRPr="00BE448F">
        <w:rPr>
          <w:rFonts w:ascii="Palatino Linotype" w:hAnsi="Palatino Linotype" w:cs="Arial"/>
          <w:bCs/>
          <w:color w:val="000000" w:themeColor="text1"/>
        </w:rPr>
        <w:t>ejercicio de su derecho a la información.</w:t>
      </w:r>
    </w:p>
    <w:p w14:paraId="0C870B20" w14:textId="7E73364D" w:rsidR="00416B04" w:rsidRPr="00BE448F" w:rsidRDefault="005E7D26" w:rsidP="00815B54">
      <w:pPr>
        <w:pStyle w:val="Ttulo1"/>
        <w:jc w:val="both"/>
        <w:rPr>
          <w:b/>
          <w:color w:val="000000" w:themeColor="text1"/>
        </w:rPr>
      </w:pPr>
      <w:bookmarkStart w:id="54" w:name="_Toc486525259"/>
      <w:bookmarkStart w:id="55" w:name="_Toc520970063"/>
      <w:bookmarkStart w:id="56" w:name="_Toc29923841"/>
      <w:bookmarkStart w:id="57" w:name="_Toc54877521"/>
      <w:r w:rsidRPr="00BE448F">
        <w:rPr>
          <w:b/>
          <w:color w:val="000000" w:themeColor="text1"/>
        </w:rPr>
        <w:t xml:space="preserve">QUINTO. </w:t>
      </w:r>
      <w:r w:rsidR="00416B04" w:rsidRPr="00BE448F">
        <w:rPr>
          <w:b/>
          <w:color w:val="000000" w:themeColor="text1"/>
        </w:rPr>
        <w:t>De los procedimientos de sanción</w:t>
      </w:r>
      <w:r w:rsidR="00815B54" w:rsidRPr="00BE448F">
        <w:rPr>
          <w:b/>
          <w:color w:val="000000" w:themeColor="text1"/>
        </w:rPr>
        <w:t xml:space="preserve"> instados </w:t>
      </w:r>
      <w:r w:rsidR="00416B04" w:rsidRPr="00BE448F">
        <w:rPr>
          <w:b/>
          <w:color w:val="000000" w:themeColor="text1"/>
        </w:rPr>
        <w:t xml:space="preserve"> por parte del Instituto de Transparencia, Acceso a la Información y Protección de Datos Personales y  la </w:t>
      </w:r>
      <w:r w:rsidRPr="00BE448F">
        <w:rPr>
          <w:b/>
          <w:color w:val="000000" w:themeColor="text1"/>
        </w:rPr>
        <w:t>Vista a los órganos de control interno</w:t>
      </w:r>
      <w:bookmarkEnd w:id="54"/>
      <w:bookmarkEnd w:id="55"/>
      <w:bookmarkEnd w:id="56"/>
      <w:r w:rsidR="00416B04" w:rsidRPr="00BE448F">
        <w:rPr>
          <w:b/>
          <w:color w:val="000000" w:themeColor="text1"/>
        </w:rPr>
        <w:t>.</w:t>
      </w:r>
      <w:bookmarkEnd w:id="57"/>
    </w:p>
    <w:p w14:paraId="4802F2CB" w14:textId="6360F6DE" w:rsidR="005E7D26" w:rsidRPr="00BE448F" w:rsidRDefault="00416B04" w:rsidP="005E7D26">
      <w:pPr>
        <w:pStyle w:val="Prrafodelista"/>
        <w:numPr>
          <w:ilvl w:val="0"/>
          <w:numId w:val="1"/>
        </w:numPr>
        <w:spacing w:before="240" w:after="240" w:line="360" w:lineRule="auto"/>
        <w:ind w:left="0" w:firstLine="0"/>
        <w:jc w:val="both"/>
        <w:rPr>
          <w:rFonts w:ascii="Palatino Linotype" w:eastAsia="Times New Roman" w:hAnsi="Palatino Linotype" w:cs="Times New Roman"/>
          <w:color w:val="000000" w:themeColor="text1"/>
        </w:rPr>
      </w:pPr>
      <w:r w:rsidRPr="00BE448F">
        <w:rPr>
          <w:rFonts w:ascii="Palatino Linotype" w:eastAsia="Times New Roman" w:hAnsi="Palatino Linotype" w:cs="Times New Roman"/>
          <w:color w:val="000000" w:themeColor="text1"/>
        </w:rPr>
        <w:t xml:space="preserve">Finalmente, no pasa desapercibido que la parte recurrente en su solicitud de </w:t>
      </w:r>
      <w:r w:rsidR="0051294D" w:rsidRPr="00BE448F">
        <w:rPr>
          <w:rFonts w:ascii="Palatino Linotype" w:eastAsia="Times New Roman" w:hAnsi="Palatino Linotype" w:cs="Times New Roman"/>
          <w:color w:val="000000" w:themeColor="text1"/>
        </w:rPr>
        <w:t>información</w:t>
      </w:r>
      <w:r w:rsidRPr="00BE448F">
        <w:rPr>
          <w:rFonts w:ascii="Palatino Linotype" w:eastAsia="Times New Roman" w:hAnsi="Palatino Linotype" w:cs="Times New Roman"/>
          <w:color w:val="000000" w:themeColor="text1"/>
        </w:rPr>
        <w:t xml:space="preserve"> requirió acceso a </w:t>
      </w:r>
      <w:r w:rsidR="0051294D" w:rsidRPr="00BE448F">
        <w:rPr>
          <w:rFonts w:ascii="Palatino Linotype" w:eastAsia="Times New Roman" w:hAnsi="Palatino Linotype" w:cs="Times New Roman"/>
          <w:color w:val="000000" w:themeColor="text1"/>
        </w:rPr>
        <w:t>“</w:t>
      </w:r>
      <w:r w:rsidRPr="00BE448F">
        <w:rPr>
          <w:rFonts w:ascii="Palatino Linotype" w:eastAsia="Times New Roman" w:hAnsi="Palatino Linotype" w:cs="Times New Roman"/>
          <w:i/>
          <w:color w:val="000000" w:themeColor="text1"/>
        </w:rPr>
        <w:t xml:space="preserve">información de todos los servidores públicos que hayan sido, apercibidos, amonestados, sancionados, multados e inhabilitados de sus funciones por la contraloría General municipal, del Estado o Federal y por la </w:t>
      </w:r>
      <w:proofErr w:type="spellStart"/>
      <w:r w:rsidRPr="00BE448F">
        <w:rPr>
          <w:rFonts w:ascii="Palatino Linotype" w:eastAsia="Times New Roman" w:hAnsi="Palatino Linotype" w:cs="Times New Roman"/>
          <w:i/>
          <w:color w:val="000000" w:themeColor="text1"/>
        </w:rPr>
        <w:t>contraloria</w:t>
      </w:r>
      <w:proofErr w:type="spellEnd"/>
      <w:r w:rsidRPr="00BE448F">
        <w:rPr>
          <w:rFonts w:ascii="Palatino Linotype" w:eastAsia="Times New Roman" w:hAnsi="Palatino Linotype" w:cs="Times New Roman"/>
          <w:i/>
          <w:color w:val="000000" w:themeColor="text1"/>
        </w:rPr>
        <w:t xml:space="preserve"> del INFOEM</w:t>
      </w:r>
      <w:r w:rsidR="0051294D" w:rsidRPr="00BE448F">
        <w:rPr>
          <w:rFonts w:ascii="Palatino Linotype" w:eastAsia="Times New Roman" w:hAnsi="Palatino Linotype" w:cs="Times New Roman"/>
          <w:color w:val="000000" w:themeColor="text1"/>
        </w:rPr>
        <w:t>”</w:t>
      </w:r>
      <w:r w:rsidRPr="00BE448F">
        <w:rPr>
          <w:rFonts w:ascii="Palatino Linotype" w:eastAsia="Times New Roman" w:hAnsi="Palatino Linotype" w:cs="Times New Roman"/>
          <w:color w:val="000000" w:themeColor="text1"/>
        </w:rPr>
        <w:t>,</w:t>
      </w:r>
      <w:r w:rsidR="0051294D" w:rsidRPr="00BE448F">
        <w:rPr>
          <w:rFonts w:ascii="Palatino Linotype" w:eastAsia="Times New Roman" w:hAnsi="Palatino Linotype" w:cs="Times New Roman"/>
          <w:color w:val="000000" w:themeColor="text1"/>
        </w:rPr>
        <w:t xml:space="preserve"> as</w:t>
      </w:r>
      <w:r w:rsidR="00815B54" w:rsidRPr="00BE448F">
        <w:rPr>
          <w:rFonts w:ascii="Palatino Linotype" w:eastAsia="Times New Roman" w:hAnsi="Palatino Linotype" w:cs="Times New Roman"/>
          <w:color w:val="000000" w:themeColor="text1"/>
        </w:rPr>
        <w:t xml:space="preserve">í, </w:t>
      </w:r>
      <w:r w:rsidR="0051294D" w:rsidRPr="00BE448F">
        <w:rPr>
          <w:rFonts w:ascii="Palatino Linotype" w:eastAsia="Times New Roman" w:hAnsi="Palatino Linotype" w:cs="Times New Roman"/>
          <w:color w:val="000000" w:themeColor="text1"/>
        </w:rPr>
        <w:t xml:space="preserve">es </w:t>
      </w:r>
      <w:r w:rsidR="005E7D26" w:rsidRPr="00BE448F">
        <w:rPr>
          <w:rFonts w:ascii="Palatino Linotype" w:eastAsia="Times New Roman" w:hAnsi="Palatino Linotype" w:cs="Times New Roman"/>
          <w:color w:val="000000" w:themeColor="text1"/>
        </w:rPr>
        <w:t xml:space="preserve">necesario resaltar que </w:t>
      </w:r>
      <w:r w:rsidR="00815B54" w:rsidRPr="00BE448F">
        <w:rPr>
          <w:rFonts w:ascii="Palatino Linotype" w:eastAsia="Times New Roman" w:hAnsi="Palatino Linotype" w:cs="Times New Roman"/>
          <w:color w:val="000000" w:themeColor="text1"/>
        </w:rPr>
        <w:t xml:space="preserve"> en efecto, de conformidad con lo que señala</w:t>
      </w:r>
      <w:r w:rsidR="0051294D" w:rsidRPr="00BE448F">
        <w:rPr>
          <w:rFonts w:ascii="Palatino Linotype" w:eastAsia="Times New Roman" w:hAnsi="Palatino Linotype" w:cs="Times New Roman"/>
          <w:color w:val="000000" w:themeColor="text1"/>
        </w:rPr>
        <w:t xml:space="preserve"> </w:t>
      </w:r>
      <w:r w:rsidR="005E7D26" w:rsidRPr="00BE448F">
        <w:rPr>
          <w:rFonts w:ascii="Palatino Linotype" w:eastAsia="Times New Roman" w:hAnsi="Palatino Linotype" w:cs="Times New Roman"/>
          <w:color w:val="000000" w:themeColor="text1"/>
        </w:rPr>
        <w:t>la fracción X, del artículo 36, de la Ley de Transparencia y Acceso a la Información Pública del Estado de México y Municipios</w:t>
      </w:r>
      <w:r w:rsidR="00815B54" w:rsidRPr="00BE448F">
        <w:rPr>
          <w:rFonts w:ascii="Palatino Linotype" w:eastAsia="Times New Roman" w:hAnsi="Palatino Linotype" w:cs="Times New Roman"/>
          <w:color w:val="000000" w:themeColor="text1"/>
        </w:rPr>
        <w:t xml:space="preserve"> es facultad de este Instituto instar la investigación de omisiones o faltas en materia de trasparencia </w:t>
      </w:r>
      <w:r w:rsidR="005E7D26" w:rsidRPr="00BE448F">
        <w:rPr>
          <w:rFonts w:ascii="Palatino Linotype" w:eastAsia="Times New Roman" w:hAnsi="Palatino Linotype" w:cs="Times New Roman"/>
          <w:color w:val="000000" w:themeColor="text1"/>
        </w:rPr>
        <w:t>,</w:t>
      </w:r>
      <w:r w:rsidR="00815B54" w:rsidRPr="00BE448F">
        <w:rPr>
          <w:rFonts w:ascii="Palatino Linotype" w:eastAsia="Times New Roman" w:hAnsi="Palatino Linotype" w:cs="Times New Roman"/>
          <w:color w:val="000000" w:themeColor="text1"/>
        </w:rPr>
        <w:t xml:space="preserve"> como a continuación se observa: </w:t>
      </w:r>
      <w:r w:rsidR="005E7D26" w:rsidRPr="00BE448F">
        <w:rPr>
          <w:rFonts w:ascii="Palatino Linotype" w:eastAsia="Times New Roman" w:hAnsi="Palatino Linotype" w:cs="Times New Roman"/>
          <w:color w:val="000000" w:themeColor="text1"/>
        </w:rPr>
        <w:t xml:space="preserve"> </w:t>
      </w:r>
    </w:p>
    <w:p w14:paraId="60CAA675"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Artículo 36. El Instituto tendrá, en el ámbito de su competencia, las siguientes atribuciones:</w:t>
      </w:r>
    </w:p>
    <w:p w14:paraId="5960CE9D"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w:t>
      </w:r>
    </w:p>
    <w:p w14:paraId="71E33D64"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 xml:space="preserve">X. Hacer del conocimiento del órgano de control interno o equivalente de cada Sujeto Obligado las infracciones a esta Ley; </w:t>
      </w:r>
    </w:p>
    <w:p w14:paraId="35B715CC"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w:t>
      </w:r>
    </w:p>
    <w:p w14:paraId="6BCBAB1A"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p>
    <w:p w14:paraId="4BCBFF50" w14:textId="255BB472" w:rsidR="005E7D26" w:rsidRPr="00BE448F" w:rsidRDefault="0051294D" w:rsidP="005E7D26">
      <w:pPr>
        <w:numPr>
          <w:ilvl w:val="0"/>
          <w:numId w:val="1"/>
        </w:numPr>
        <w:spacing w:before="240" w:after="240" w:line="360" w:lineRule="auto"/>
        <w:ind w:left="0" w:firstLine="0"/>
        <w:contextualSpacing/>
        <w:jc w:val="both"/>
        <w:rPr>
          <w:rFonts w:ascii="Palatino Linotype" w:eastAsia="MS Mincho" w:hAnsi="Palatino Linotype" w:cs="Arial"/>
          <w:color w:val="000000" w:themeColor="text1"/>
        </w:rPr>
      </w:pPr>
      <w:r w:rsidRPr="00BE448F">
        <w:rPr>
          <w:rFonts w:ascii="Palatino Linotype" w:eastAsia="Times New Roman" w:hAnsi="Palatino Linotype" w:cs="Times New Roman"/>
          <w:color w:val="000000" w:themeColor="text1"/>
        </w:rPr>
        <w:t xml:space="preserve">Asimismo, este Instituto puede hacer de conocimiento  a su órgano  </w:t>
      </w:r>
      <w:r w:rsidR="005E7D26" w:rsidRPr="00BE448F">
        <w:rPr>
          <w:rFonts w:ascii="Palatino Linotype" w:eastAsia="Times New Roman" w:hAnsi="Palatino Linotype" w:cs="Times New Roman"/>
          <w:color w:val="000000" w:themeColor="text1"/>
        </w:rPr>
        <w:t xml:space="preserve">de control </w:t>
      </w:r>
      <w:r w:rsidRPr="00BE448F">
        <w:rPr>
          <w:rFonts w:ascii="Palatino Linotype" w:eastAsia="Times New Roman" w:hAnsi="Palatino Linotype" w:cs="Times New Roman"/>
          <w:color w:val="000000" w:themeColor="text1"/>
        </w:rPr>
        <w:t>las infracciones en que los</w:t>
      </w:r>
      <w:r w:rsidR="005E7D26" w:rsidRPr="00BE448F">
        <w:rPr>
          <w:rFonts w:ascii="Palatino Linotype" w:eastAsia="Times New Roman" w:hAnsi="Palatino Linotype" w:cs="Times New Roman"/>
          <w:color w:val="000000" w:themeColor="text1"/>
        </w:rPr>
        <w:t xml:space="preserve"> </w:t>
      </w:r>
      <w:r w:rsidR="005E7D26" w:rsidRPr="00BE448F">
        <w:rPr>
          <w:rFonts w:ascii="Palatino Linotype" w:eastAsia="Times New Roman" w:hAnsi="Palatino Linotype" w:cs="Times New Roman"/>
          <w:b/>
          <w:color w:val="000000" w:themeColor="text1"/>
        </w:rPr>
        <w:t>SUJETO</w:t>
      </w:r>
      <w:r w:rsidRPr="00BE448F">
        <w:rPr>
          <w:rFonts w:ascii="Palatino Linotype" w:eastAsia="Times New Roman" w:hAnsi="Palatino Linotype" w:cs="Times New Roman"/>
          <w:b/>
          <w:color w:val="000000" w:themeColor="text1"/>
        </w:rPr>
        <w:t>S</w:t>
      </w:r>
      <w:r w:rsidR="005E7D26" w:rsidRPr="00BE448F">
        <w:rPr>
          <w:rFonts w:ascii="Palatino Linotype" w:eastAsia="Times New Roman" w:hAnsi="Palatino Linotype" w:cs="Times New Roman"/>
          <w:b/>
          <w:color w:val="000000" w:themeColor="text1"/>
        </w:rPr>
        <w:t xml:space="preserve"> OBLIGADO</w:t>
      </w:r>
      <w:r w:rsidRPr="00BE448F">
        <w:rPr>
          <w:rFonts w:ascii="Palatino Linotype" w:eastAsia="Times New Roman" w:hAnsi="Palatino Linotype" w:cs="Times New Roman"/>
          <w:b/>
          <w:color w:val="000000" w:themeColor="text1"/>
        </w:rPr>
        <w:t xml:space="preserve">S </w:t>
      </w:r>
      <w:r w:rsidRPr="00BE448F">
        <w:rPr>
          <w:rFonts w:ascii="Palatino Linotype" w:eastAsia="Times New Roman" w:hAnsi="Palatino Linotype" w:cs="Times New Roman"/>
          <w:color w:val="000000" w:themeColor="text1"/>
        </w:rPr>
        <w:t>han</w:t>
      </w:r>
      <w:r w:rsidR="005E7D26" w:rsidRPr="00BE448F">
        <w:rPr>
          <w:rFonts w:ascii="Palatino Linotype" w:eastAsia="Times New Roman" w:hAnsi="Palatino Linotype" w:cs="Times New Roman"/>
          <w:color w:val="000000" w:themeColor="text1"/>
        </w:rPr>
        <w:t xml:space="preserve"> incurrió</w:t>
      </w:r>
      <w:r w:rsidR="00E4244F" w:rsidRPr="00BE448F">
        <w:rPr>
          <w:rFonts w:ascii="Palatino Linotype" w:eastAsia="Times New Roman" w:hAnsi="Palatino Linotype" w:cs="Times New Roman"/>
          <w:color w:val="000000" w:themeColor="text1"/>
        </w:rPr>
        <w:t xml:space="preserve"> de conformidad con lo </w:t>
      </w:r>
      <w:r w:rsidR="005E7D26" w:rsidRPr="00BE448F">
        <w:rPr>
          <w:rFonts w:ascii="Palatino Linotype" w:eastAsia="Times New Roman" w:hAnsi="Palatino Linotype" w:cs="Times New Roman"/>
          <w:color w:val="000000" w:themeColor="text1"/>
        </w:rPr>
        <w:t xml:space="preserve">previsto </w:t>
      </w:r>
      <w:r w:rsidR="005E7D26" w:rsidRPr="00BE448F">
        <w:rPr>
          <w:rFonts w:ascii="Palatino Linotype" w:eastAsia="MS Mincho" w:hAnsi="Palatino Linotype" w:cs="Arial"/>
          <w:color w:val="000000" w:themeColor="text1"/>
        </w:rPr>
        <w:t>en la Ley de Transparencia Acceso a la Información Pública del Estado de México y Municipios específicamente en sus artículos 190, 222 y 223 que señalan lo siguiente:</w:t>
      </w:r>
    </w:p>
    <w:p w14:paraId="2C91ADF7" w14:textId="77777777" w:rsidR="005E7D26" w:rsidRPr="00BE448F" w:rsidRDefault="005E7D26" w:rsidP="005E7D26">
      <w:pPr>
        <w:spacing w:before="240" w:after="240" w:line="360" w:lineRule="auto"/>
        <w:contextualSpacing/>
        <w:jc w:val="both"/>
        <w:rPr>
          <w:rFonts w:ascii="Palatino Linotype" w:eastAsia="MS Mincho" w:hAnsi="Palatino Linotype" w:cs="Arial"/>
          <w:color w:val="000000" w:themeColor="text1"/>
        </w:rPr>
      </w:pPr>
    </w:p>
    <w:p w14:paraId="6C0E6F7C" w14:textId="77777777" w:rsidR="005E7D26" w:rsidRPr="00BE448F" w:rsidRDefault="005E7D26" w:rsidP="005E7D26">
      <w:pPr>
        <w:spacing w:line="360" w:lineRule="auto"/>
        <w:ind w:left="567" w:right="567"/>
        <w:jc w:val="both"/>
        <w:rPr>
          <w:rFonts w:ascii="Palatino Linotype" w:eastAsia="Times New Roman" w:hAnsi="Palatino Linotype" w:cs="Times New Roman"/>
          <w:b/>
          <w:i/>
          <w:color w:val="000000" w:themeColor="text1"/>
        </w:rPr>
      </w:pPr>
      <w:r w:rsidRPr="00BE448F">
        <w:rPr>
          <w:rFonts w:ascii="Palatino Linotype" w:eastAsia="Times New Roman" w:hAnsi="Palatino Linotype" w:cs="Times New Roman"/>
          <w:b/>
          <w:i/>
          <w:color w:val="000000" w:themeColor="text1"/>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0D7D692"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p>
    <w:p w14:paraId="734F4F84"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Artículo 222. Son causas de responsabilidad administrativa de los servidores públicos de los sujetos obligados, por incumplimiento de las obligaciones establecidas en la materia de la presente Ley, las siguientes:</w:t>
      </w:r>
    </w:p>
    <w:p w14:paraId="44AA68CD"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w:t>
      </w:r>
    </w:p>
    <w:p w14:paraId="58834A6D"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I. Cualquier acto u omisión que provoque la suspensión o deficiencia en la atención de las solicitudes de información;</w:t>
      </w:r>
    </w:p>
    <w:p w14:paraId="3FCB1C27"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II. La falta de respuesta a las solicitudes de información en los plazos señalados en la normatividad aplicable;</w:t>
      </w:r>
    </w:p>
    <w:p w14:paraId="6E03D4DD" w14:textId="77777777" w:rsidR="005E7D26" w:rsidRPr="00BE448F" w:rsidRDefault="005E7D26" w:rsidP="005E7D26">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lastRenderedPageBreak/>
        <w:t>…</w:t>
      </w:r>
    </w:p>
    <w:p w14:paraId="240A142E" w14:textId="77777777" w:rsidR="005E7D26" w:rsidRPr="00BE448F" w:rsidRDefault="005E7D26" w:rsidP="005E7D26">
      <w:pPr>
        <w:autoSpaceDE w:val="0"/>
        <w:autoSpaceDN w:val="0"/>
        <w:adjustRightInd w:val="0"/>
        <w:ind w:left="567" w:right="567"/>
        <w:jc w:val="both"/>
        <w:rPr>
          <w:rFonts w:ascii="Palatino Linotype" w:eastAsia="Times New Roman" w:hAnsi="Palatino Linotype" w:cs="Bookman Old Style"/>
          <w:i/>
          <w:color w:val="000000" w:themeColor="text1"/>
          <w:lang w:val="es-MX"/>
        </w:rPr>
      </w:pPr>
      <w:r w:rsidRPr="00BE448F">
        <w:rPr>
          <w:rFonts w:ascii="Palatino Linotype" w:eastAsia="Times New Roman" w:hAnsi="Palatino Linotype" w:cs="Bookman Old Style,Bold"/>
          <w:bCs/>
          <w:i/>
          <w:color w:val="000000" w:themeColor="text1"/>
          <w:lang w:val="es-MX"/>
        </w:rPr>
        <w:t>XI.</w:t>
      </w:r>
      <w:r w:rsidRPr="00BE448F">
        <w:rPr>
          <w:rFonts w:ascii="Palatino Linotype" w:eastAsia="Times New Roman" w:hAnsi="Palatino Linotype" w:cs="Bookman Old Style,Bold"/>
          <w:b/>
          <w:bCs/>
          <w:i/>
          <w:color w:val="000000" w:themeColor="text1"/>
          <w:lang w:val="es-MX"/>
        </w:rPr>
        <w:t xml:space="preserve"> </w:t>
      </w:r>
      <w:r w:rsidRPr="00BE448F">
        <w:rPr>
          <w:rFonts w:ascii="Palatino Linotype" w:eastAsia="Times New Roman" w:hAnsi="Palatino Linotype" w:cs="Bookman Old Style"/>
          <w:i/>
          <w:color w:val="000000" w:themeColor="text1"/>
          <w:lang w:val="es-MX"/>
        </w:rPr>
        <w:t>No actualizar la información correspondiente a las obligaciones de transparencia en los plazos previstos en la presente Ley;</w:t>
      </w:r>
    </w:p>
    <w:p w14:paraId="31B4DFC9" w14:textId="77777777" w:rsidR="005E7D26" w:rsidRPr="00BE448F" w:rsidRDefault="005E7D26" w:rsidP="005E7D26">
      <w:pPr>
        <w:autoSpaceDE w:val="0"/>
        <w:autoSpaceDN w:val="0"/>
        <w:adjustRightInd w:val="0"/>
        <w:ind w:left="567" w:right="567"/>
        <w:jc w:val="both"/>
        <w:rPr>
          <w:rFonts w:ascii="Palatino Linotype" w:eastAsia="Times New Roman" w:hAnsi="Palatino Linotype" w:cs="Bookman Old Style"/>
          <w:i/>
          <w:color w:val="000000" w:themeColor="text1"/>
          <w:lang w:val="es-MX"/>
        </w:rPr>
      </w:pPr>
      <w:r w:rsidRPr="00BE448F">
        <w:rPr>
          <w:rFonts w:ascii="Palatino Linotype" w:eastAsia="Times New Roman" w:hAnsi="Palatino Linotype" w:cs="Bookman Old Style,Bold"/>
          <w:bCs/>
          <w:i/>
          <w:color w:val="000000" w:themeColor="text1"/>
          <w:lang w:val="es-MX"/>
        </w:rPr>
        <w:t>…</w:t>
      </w:r>
    </w:p>
    <w:p w14:paraId="02F9E8E8" w14:textId="77777777" w:rsidR="005E7D26" w:rsidRPr="00BE448F" w:rsidRDefault="005E7D26" w:rsidP="005E7D26">
      <w:pPr>
        <w:autoSpaceDE w:val="0"/>
        <w:autoSpaceDN w:val="0"/>
        <w:adjustRightInd w:val="0"/>
        <w:ind w:left="567" w:right="567"/>
        <w:rPr>
          <w:rFonts w:ascii="Palatino Linotype" w:eastAsia="Times New Roman" w:hAnsi="Palatino Linotype" w:cs="Times New Roman"/>
          <w:i/>
          <w:color w:val="000000" w:themeColor="text1"/>
        </w:rPr>
      </w:pPr>
    </w:p>
    <w:p w14:paraId="2F6A88FE" w14:textId="251642D4" w:rsidR="0051294D" w:rsidRPr="00BE448F" w:rsidRDefault="005E7D26" w:rsidP="0051294D">
      <w:pPr>
        <w:spacing w:line="360" w:lineRule="auto"/>
        <w:ind w:left="567" w:right="567"/>
        <w:contextualSpacing/>
        <w:jc w:val="both"/>
        <w:rPr>
          <w:rFonts w:ascii="Palatino Linotype" w:eastAsia="Times New Roman" w:hAnsi="Palatino Linotype" w:cs="Times New Roman"/>
          <w:i/>
          <w:color w:val="000000" w:themeColor="text1"/>
        </w:rPr>
      </w:pPr>
      <w:r w:rsidRPr="00BE448F">
        <w:rPr>
          <w:rFonts w:ascii="Palatino Linotype" w:eastAsia="Times New Roman" w:hAnsi="Palatino Linotype" w:cs="Times New Roman"/>
          <w:i/>
          <w:color w:val="000000" w:themeColor="text1"/>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43A47ED" w14:textId="77777777" w:rsidR="00DF6473" w:rsidRPr="00BE448F" w:rsidRDefault="00DF6473" w:rsidP="005E7D26">
      <w:pPr>
        <w:spacing w:line="360" w:lineRule="auto"/>
        <w:rPr>
          <w:rFonts w:ascii="Palatino Linotype" w:hAnsi="Palatino Linotype" w:cs="Arial"/>
          <w:color w:val="000000" w:themeColor="text1"/>
        </w:rPr>
      </w:pPr>
    </w:p>
    <w:p w14:paraId="1ADAB051" w14:textId="0A33A277" w:rsidR="00815B54" w:rsidRPr="00BE448F" w:rsidRDefault="00DF6473" w:rsidP="00815B54">
      <w:pPr>
        <w:numPr>
          <w:ilvl w:val="0"/>
          <w:numId w:val="1"/>
        </w:numPr>
        <w:spacing w:after="120" w:line="360" w:lineRule="auto"/>
        <w:ind w:left="0" w:right="49" w:firstLine="0"/>
        <w:jc w:val="both"/>
        <w:rPr>
          <w:rFonts w:ascii="Palatino Linotype" w:hAnsi="Palatino Linotype" w:cs="Arial"/>
          <w:color w:val="000000" w:themeColor="text1"/>
        </w:rPr>
      </w:pPr>
      <w:r w:rsidRPr="00BE448F">
        <w:rPr>
          <w:rFonts w:ascii="Palatino Linotype" w:hAnsi="Palatino Linotype" w:cs="Arial"/>
          <w:color w:val="000000" w:themeColor="text1"/>
        </w:rPr>
        <w:t xml:space="preserve">En consecuencia, </w:t>
      </w:r>
      <w:r w:rsidR="0051294D" w:rsidRPr="00BE448F">
        <w:rPr>
          <w:rFonts w:ascii="Palatino Linotype" w:hAnsi="Palatino Linotype" w:cs="Arial"/>
          <w:color w:val="000000" w:themeColor="text1"/>
        </w:rPr>
        <w:t xml:space="preserve">se advierte que los procedimientos de responsabilidad administrativa iniciados con motivo de alguna inconsistencia en materia de transparencia son instados por este Instituto de </w:t>
      </w:r>
      <w:r w:rsidR="00815B54" w:rsidRPr="00BE448F">
        <w:rPr>
          <w:rFonts w:ascii="Palatino Linotype" w:hAnsi="Palatino Linotype" w:cs="Arial"/>
          <w:color w:val="000000" w:themeColor="text1"/>
        </w:rPr>
        <w:t xml:space="preserve">Transparencia a través de su Órgano de Control Interno </w:t>
      </w:r>
      <w:r w:rsidR="0051294D" w:rsidRPr="00BE448F">
        <w:rPr>
          <w:rFonts w:ascii="Palatino Linotype" w:hAnsi="Palatino Linotype" w:cs="Arial"/>
          <w:color w:val="000000" w:themeColor="text1"/>
        </w:rPr>
        <w:t xml:space="preserve"> y  </w:t>
      </w:r>
      <w:r w:rsidR="00815B54" w:rsidRPr="00BE448F">
        <w:rPr>
          <w:rFonts w:ascii="Palatino Linotype" w:hAnsi="Palatino Linotype" w:cs="Arial"/>
          <w:color w:val="000000" w:themeColor="text1"/>
        </w:rPr>
        <w:t xml:space="preserve">tramitados </w:t>
      </w:r>
      <w:r w:rsidR="0051294D" w:rsidRPr="00BE448F">
        <w:rPr>
          <w:rFonts w:ascii="Palatino Linotype" w:hAnsi="Palatino Linotype" w:cs="Arial"/>
          <w:color w:val="000000" w:themeColor="text1"/>
        </w:rPr>
        <w:t xml:space="preserve">por el Órgano </w:t>
      </w:r>
      <w:r w:rsidR="00815B54" w:rsidRPr="00BE448F">
        <w:rPr>
          <w:rFonts w:ascii="Palatino Linotype" w:hAnsi="Palatino Linotype" w:cs="Arial"/>
          <w:color w:val="000000" w:themeColor="text1"/>
        </w:rPr>
        <w:t xml:space="preserve">de Control Interno </w:t>
      </w:r>
      <w:r w:rsidR="0051294D" w:rsidRPr="00BE448F">
        <w:rPr>
          <w:rFonts w:ascii="Palatino Linotype" w:hAnsi="Palatino Linotype" w:cs="Arial"/>
          <w:color w:val="000000" w:themeColor="text1"/>
        </w:rPr>
        <w:t>del Sujeto O</w:t>
      </w:r>
      <w:r w:rsidR="00815B54" w:rsidRPr="00BE448F">
        <w:rPr>
          <w:rFonts w:ascii="Palatino Linotype" w:hAnsi="Palatino Linotype" w:cs="Arial"/>
          <w:color w:val="000000" w:themeColor="text1"/>
        </w:rPr>
        <w:t xml:space="preserve">bligado, </w:t>
      </w:r>
      <w:r w:rsidR="0051294D" w:rsidRPr="00BE448F">
        <w:rPr>
          <w:rFonts w:ascii="Palatino Linotype" w:hAnsi="Palatino Linotype" w:cs="Arial"/>
          <w:color w:val="000000" w:themeColor="text1"/>
        </w:rPr>
        <w:t xml:space="preserve">mismo que deberá </w:t>
      </w:r>
      <w:r w:rsidR="00E4244F" w:rsidRPr="00BE448F">
        <w:rPr>
          <w:rFonts w:ascii="Palatino Linotype" w:hAnsi="Palatino Linotype" w:cs="Arial"/>
          <w:color w:val="000000" w:themeColor="text1"/>
        </w:rPr>
        <w:t xml:space="preserve">informar a este </w:t>
      </w:r>
      <w:r w:rsidR="0051294D" w:rsidRPr="00BE448F">
        <w:rPr>
          <w:rFonts w:ascii="Palatino Linotype" w:hAnsi="Palatino Linotype" w:cs="Arial"/>
          <w:color w:val="000000" w:themeColor="text1"/>
        </w:rPr>
        <w:t xml:space="preserve"> Instituto de Transparencia el resultado</w:t>
      </w:r>
      <w:r w:rsidR="00815B54" w:rsidRPr="00BE448F">
        <w:rPr>
          <w:rFonts w:ascii="Palatino Linotype" w:hAnsi="Palatino Linotype" w:cs="Arial"/>
          <w:color w:val="000000" w:themeColor="text1"/>
        </w:rPr>
        <w:t xml:space="preserve"> de dicha investigación</w:t>
      </w:r>
      <w:r w:rsidR="0051294D" w:rsidRPr="00BE448F">
        <w:rPr>
          <w:rFonts w:ascii="Palatino Linotype" w:hAnsi="Palatino Linotype" w:cs="Arial"/>
          <w:color w:val="000000" w:themeColor="text1"/>
        </w:rPr>
        <w:t>, por lo que se advierte que</w:t>
      </w:r>
      <w:r w:rsidR="00E4244F" w:rsidRPr="00BE448F">
        <w:rPr>
          <w:rFonts w:ascii="Palatino Linotype" w:hAnsi="Palatino Linotype" w:cs="Arial"/>
          <w:color w:val="000000" w:themeColor="text1"/>
        </w:rPr>
        <w:t xml:space="preserve"> de haberse generado</w:t>
      </w:r>
      <w:r w:rsidR="0051294D" w:rsidRPr="00BE448F">
        <w:rPr>
          <w:rFonts w:ascii="Palatino Linotype" w:hAnsi="Palatino Linotype" w:cs="Arial"/>
          <w:color w:val="000000" w:themeColor="text1"/>
        </w:rPr>
        <w:t xml:space="preserve"> la información solicitada con motivo de las faltas administrativas detectadas derivadas de alguna inconsistencia en materia de trasparencia</w:t>
      </w:r>
      <w:r w:rsidR="00E4244F" w:rsidRPr="00BE448F">
        <w:rPr>
          <w:rFonts w:ascii="Palatino Linotype" w:hAnsi="Palatino Linotype" w:cs="Arial"/>
          <w:color w:val="000000" w:themeColor="text1"/>
        </w:rPr>
        <w:t xml:space="preserve">, invariablemente </w:t>
      </w:r>
      <w:r w:rsidR="0051294D" w:rsidRPr="00BE448F">
        <w:rPr>
          <w:rFonts w:ascii="Palatino Linotype" w:hAnsi="Palatino Linotype" w:cs="Arial"/>
          <w:color w:val="000000" w:themeColor="text1"/>
        </w:rPr>
        <w:t xml:space="preserve"> obran en los archivos del Ayuntamiento de Tecámac</w:t>
      </w:r>
      <w:r w:rsidR="00815B54" w:rsidRPr="00BE448F">
        <w:rPr>
          <w:rFonts w:ascii="Palatino Linotype" w:hAnsi="Palatino Linotype" w:cs="Arial"/>
          <w:color w:val="000000" w:themeColor="text1"/>
        </w:rPr>
        <w:t xml:space="preserve">. </w:t>
      </w:r>
    </w:p>
    <w:p w14:paraId="0205335F" w14:textId="2C92B688" w:rsidR="00815B54" w:rsidRPr="00BE448F" w:rsidRDefault="00815B54" w:rsidP="00815B54">
      <w:pPr>
        <w:numPr>
          <w:ilvl w:val="0"/>
          <w:numId w:val="1"/>
        </w:numPr>
        <w:spacing w:after="120" w:line="360" w:lineRule="auto"/>
        <w:ind w:left="0" w:right="49" w:firstLine="0"/>
        <w:jc w:val="both"/>
        <w:rPr>
          <w:rFonts w:ascii="Palatino Linotype" w:hAnsi="Palatino Linotype" w:cs="Arial"/>
          <w:color w:val="000000" w:themeColor="text1"/>
        </w:rPr>
      </w:pPr>
      <w:r w:rsidRPr="00BE448F">
        <w:rPr>
          <w:rFonts w:ascii="Palatino Linotype" w:hAnsi="Palatino Linotype"/>
          <w:color w:val="000000" w:themeColor="text1"/>
        </w:rPr>
        <w:t xml:space="preserve">Por otro lado, y al tenor de lo anterior es necesario resaltar que el recurso de revisión previsto en la Ley de la materia no es el medio para investigar y en su caso, sancionar a servidores públicos por la omisión de la entrega de información pública o en la atención a solicitudes de información; sin embargo, </w:t>
      </w:r>
      <w:r w:rsidRPr="00BE448F">
        <w:rPr>
          <w:rFonts w:ascii="Palatino Linotype" w:hAnsi="Palatino Linotype"/>
          <w:b/>
          <w:color w:val="000000" w:themeColor="text1"/>
        </w:rPr>
        <w:t>dados los planteamientos que se formularon al presentarse el recurso de revisión</w:t>
      </w:r>
      <w:r w:rsidRPr="00BE448F">
        <w:rPr>
          <w:rFonts w:ascii="Palatino Linotype" w:hAnsi="Palatino Linotype"/>
          <w:color w:val="000000" w:themeColor="text1"/>
        </w:rPr>
        <w:t xml:space="preserve">, se dará vista al área competente para que en ejercicio de sus atribuciones realice las </w:t>
      </w:r>
      <w:r w:rsidRPr="00BE448F">
        <w:rPr>
          <w:rFonts w:ascii="Palatino Linotype" w:hAnsi="Palatino Linotype"/>
          <w:color w:val="000000" w:themeColor="text1"/>
        </w:rPr>
        <w:lastRenderedPageBreak/>
        <w:t xml:space="preserve">investigaciones pertinentes por las omisiones detectadas atribuibles al </w:t>
      </w:r>
      <w:r w:rsidRPr="00BE448F">
        <w:rPr>
          <w:rFonts w:ascii="Palatino Linotype" w:hAnsi="Palatino Linotype"/>
          <w:b/>
          <w:color w:val="000000" w:themeColor="text1"/>
        </w:rPr>
        <w:t>SUJETO OBLIGADO</w:t>
      </w:r>
      <w:r w:rsidRPr="00BE448F">
        <w:rPr>
          <w:rFonts w:ascii="Palatino Linotype" w:hAnsi="Palatino Linotype"/>
          <w:color w:val="000000" w:themeColor="text1"/>
        </w:rPr>
        <w:t>.</w:t>
      </w:r>
    </w:p>
    <w:p w14:paraId="6AF15B89" w14:textId="568A4D88" w:rsidR="00DF6473" w:rsidRPr="00BE448F" w:rsidRDefault="00DF6473" w:rsidP="00CB7B22">
      <w:pPr>
        <w:numPr>
          <w:ilvl w:val="0"/>
          <w:numId w:val="1"/>
        </w:numPr>
        <w:spacing w:after="120" w:line="360" w:lineRule="auto"/>
        <w:ind w:left="0" w:right="49" w:firstLine="0"/>
        <w:jc w:val="both"/>
        <w:rPr>
          <w:rFonts w:ascii="Palatino Linotype" w:hAnsi="Palatino Linotype" w:cs="Arial"/>
        </w:rPr>
      </w:pPr>
      <w:r w:rsidRPr="00BE448F">
        <w:rPr>
          <w:rFonts w:ascii="Palatino Linotype" w:hAnsi="Palatino Linotype" w:cs="Arial"/>
        </w:rPr>
        <w:t xml:space="preserve">Por lo </w:t>
      </w:r>
      <w:r w:rsidRPr="00BE448F">
        <w:rPr>
          <w:rFonts w:ascii="Palatino Linotype" w:hAnsi="Palatino Linotype"/>
          <w:color w:val="000000" w:themeColor="text1"/>
        </w:rPr>
        <w:t xml:space="preserve">anteriormente expuesto y fundado, este </w:t>
      </w:r>
      <w:r w:rsidRPr="00BE448F">
        <w:rPr>
          <w:rFonts w:ascii="Palatino Linotype" w:hAnsi="Palatino Linotype"/>
          <w:bCs/>
          <w:color w:val="000000" w:themeColor="text1"/>
        </w:rPr>
        <w:t>Órgano Garante</w:t>
      </w:r>
      <w:r w:rsidRPr="00BE448F">
        <w:rPr>
          <w:rFonts w:ascii="Palatino Linotype" w:hAnsi="Palatino Linotype"/>
          <w:color w:val="000000" w:themeColor="text1"/>
        </w:rPr>
        <w:t xml:space="preserve"> emite los siguientes: </w:t>
      </w:r>
    </w:p>
    <w:p w14:paraId="2DF00469" w14:textId="1542C67F" w:rsidR="005C6142" w:rsidRPr="00BE448F" w:rsidRDefault="00B83E2E" w:rsidP="00CB7B22">
      <w:pPr>
        <w:pStyle w:val="Ttulo1"/>
        <w:spacing w:line="360" w:lineRule="auto"/>
        <w:jc w:val="center"/>
        <w:rPr>
          <w:b/>
          <w:color w:val="000000" w:themeColor="text1"/>
          <w:szCs w:val="24"/>
        </w:rPr>
      </w:pPr>
      <w:bookmarkStart w:id="58" w:name="_Toc466371865"/>
      <w:bookmarkStart w:id="59" w:name="_Toc466377653"/>
      <w:bookmarkStart w:id="60" w:name="_Toc490733631"/>
      <w:bookmarkStart w:id="61" w:name="_Toc495490236"/>
      <w:bookmarkStart w:id="62" w:name="_Toc54877522"/>
      <w:bookmarkStart w:id="63" w:name="_Hlk48819034"/>
      <w:bookmarkEnd w:id="31"/>
      <w:bookmarkEnd w:id="32"/>
      <w:bookmarkEnd w:id="33"/>
      <w:bookmarkEnd w:id="34"/>
      <w:r w:rsidRPr="00BE448F">
        <w:rPr>
          <w:b/>
          <w:color w:val="000000" w:themeColor="text1"/>
          <w:szCs w:val="24"/>
        </w:rPr>
        <w:t>R E S O L U T I V O S</w:t>
      </w:r>
      <w:bookmarkEnd w:id="58"/>
      <w:bookmarkEnd w:id="59"/>
      <w:bookmarkEnd w:id="60"/>
      <w:bookmarkEnd w:id="61"/>
      <w:bookmarkEnd w:id="62"/>
    </w:p>
    <w:p w14:paraId="1EC41396" w14:textId="77777777" w:rsidR="005C6142" w:rsidRPr="00BE448F" w:rsidRDefault="005C6142" w:rsidP="00CB7B22">
      <w:pPr>
        <w:spacing w:line="360" w:lineRule="auto"/>
        <w:rPr>
          <w:lang w:val="es-MX" w:eastAsia="en-US"/>
        </w:rPr>
      </w:pPr>
    </w:p>
    <w:p w14:paraId="36FCD459" w14:textId="247A50E7" w:rsidR="00D47CE7" w:rsidRPr="00BE448F" w:rsidRDefault="00B83E2E" w:rsidP="00CB7B22">
      <w:pPr>
        <w:pStyle w:val="Sinespaciado"/>
        <w:spacing w:line="360" w:lineRule="auto"/>
        <w:jc w:val="both"/>
        <w:rPr>
          <w:rFonts w:ascii="Palatino Linotype" w:hAnsi="Palatino Linotype" w:cs="Arial"/>
          <w:bCs/>
          <w:sz w:val="22"/>
          <w:szCs w:val="22"/>
          <w:lang w:eastAsia="es-MX"/>
        </w:rPr>
      </w:pPr>
      <w:bookmarkStart w:id="64" w:name="_Toc455991148"/>
      <w:bookmarkStart w:id="65" w:name="_Toc450120669"/>
      <w:bookmarkStart w:id="66" w:name="_Toc461555896"/>
      <w:bookmarkStart w:id="67" w:name="_Toc462154385"/>
      <w:bookmarkStart w:id="68" w:name="_Toc462660376"/>
      <w:bookmarkStart w:id="69" w:name="_Toc462660687"/>
      <w:bookmarkStart w:id="70" w:name="_Toc462660766"/>
      <w:bookmarkStart w:id="71" w:name="_Toc465264624"/>
      <w:bookmarkStart w:id="72" w:name="_Toc465264870"/>
      <w:bookmarkStart w:id="73" w:name="_Toc465266520"/>
      <w:bookmarkStart w:id="74" w:name="_Toc466302258"/>
      <w:bookmarkStart w:id="75" w:name="_Toc466371866"/>
      <w:bookmarkStart w:id="76" w:name="_Toc466371925"/>
      <w:bookmarkStart w:id="77" w:name="_Toc466377654"/>
      <w:bookmarkStart w:id="78" w:name="_Toc478549736"/>
      <w:bookmarkStart w:id="79" w:name="_Toc478572850"/>
      <w:bookmarkStart w:id="80" w:name="_Toc479238537"/>
      <w:r w:rsidRPr="00BE448F">
        <w:rPr>
          <w:rFonts w:ascii="Palatino Linotype" w:eastAsia="MS Mincho" w:hAnsi="Palatino Linotype" w:cs="Times New Roman"/>
          <w:b/>
          <w:color w:val="000000" w:themeColor="text1"/>
        </w:rPr>
        <w:t>PRIMERO.</w:t>
      </w:r>
      <w:r w:rsidR="007675FC" w:rsidRPr="00BE448F">
        <w:rPr>
          <w:rFonts w:ascii="Palatino Linotype" w:eastAsia="MS Mincho" w:hAnsi="Palatino Linotype" w:cs="Times New Roman"/>
          <w:b/>
          <w:color w:val="000000" w:themeColor="text1"/>
        </w:rPr>
        <w:t xml:space="preserve"> </w:t>
      </w:r>
      <w:r w:rsidR="007675FC" w:rsidRPr="00BE448F">
        <w:rPr>
          <w:rFonts w:ascii="Palatino Linotype" w:eastAsia="MS Mincho" w:hAnsi="Palatino Linotype" w:cs="Times New Roman"/>
          <w:color w:val="000000" w:themeColor="text1"/>
        </w:rPr>
        <w:t>Resultan</w:t>
      </w:r>
      <w:r w:rsidR="00616235" w:rsidRPr="00BE448F">
        <w:rPr>
          <w:rFonts w:ascii="Palatino Linotype" w:eastAsia="MS Mincho" w:hAnsi="Palatino Linotype" w:cs="Times New Roman"/>
          <w:color w:val="000000" w:themeColor="text1"/>
        </w:rPr>
        <w:t xml:space="preserve"> parcialmente</w:t>
      </w:r>
      <w:r w:rsidR="007675FC" w:rsidRPr="00BE448F">
        <w:rPr>
          <w:rFonts w:ascii="Palatino Linotype" w:eastAsia="MS Mincho" w:hAnsi="Palatino Linotype" w:cs="Times New Roman"/>
          <w:color w:val="000000" w:themeColor="text1"/>
        </w:rPr>
        <w:t xml:space="preserve"> fundadas las razones o motivos de inconformidad hechos valer en </w:t>
      </w:r>
      <w:r w:rsidR="00F94BA1" w:rsidRPr="00BE448F">
        <w:rPr>
          <w:rFonts w:ascii="Palatino Linotype" w:eastAsia="MS Mincho" w:hAnsi="Palatino Linotype" w:cs="Times New Roman"/>
          <w:color w:val="000000" w:themeColor="text1"/>
        </w:rPr>
        <w:t>el recurso</w:t>
      </w:r>
      <w:r w:rsidR="007675FC" w:rsidRPr="00BE448F">
        <w:rPr>
          <w:rFonts w:ascii="Palatino Linotype" w:eastAsia="MS Mincho" w:hAnsi="Palatino Linotype" w:cs="Times New Roman"/>
          <w:color w:val="000000" w:themeColor="text1"/>
        </w:rPr>
        <w:t xml:space="preserve"> de revisión </w:t>
      </w:r>
      <w:r w:rsidR="00616235" w:rsidRPr="00BE448F">
        <w:rPr>
          <w:rFonts w:ascii="Palatino Linotype" w:hAnsi="Palatino Linotype" w:cs="Arial"/>
          <w:b/>
          <w:bCs/>
          <w:lang w:eastAsia="es-MX"/>
        </w:rPr>
        <w:t>03508/INFOEM/IP/RR/2020</w:t>
      </w:r>
      <w:r w:rsidR="007675FC" w:rsidRPr="00BE448F">
        <w:rPr>
          <w:rFonts w:ascii="Palatino Linotype" w:hAnsi="Palatino Linotype" w:cs="Arial"/>
          <w:b/>
          <w:bCs/>
          <w:lang w:eastAsia="es-MX"/>
        </w:rPr>
        <w:t xml:space="preserve">, </w:t>
      </w:r>
      <w:r w:rsidR="007675FC" w:rsidRPr="00BE448F">
        <w:rPr>
          <w:rFonts w:ascii="Palatino Linotype" w:hAnsi="Palatino Linotype" w:cs="Arial"/>
          <w:bCs/>
          <w:lang w:eastAsia="es-MX"/>
        </w:rPr>
        <w:t>en términos de</w:t>
      </w:r>
      <w:r w:rsidR="00CA5964" w:rsidRPr="00BE448F">
        <w:rPr>
          <w:rFonts w:ascii="Palatino Linotype" w:hAnsi="Palatino Linotype" w:cs="Arial"/>
          <w:bCs/>
          <w:lang w:eastAsia="es-MX"/>
        </w:rPr>
        <w:t>l</w:t>
      </w:r>
      <w:r w:rsidR="007675FC" w:rsidRPr="00BE448F">
        <w:rPr>
          <w:rFonts w:ascii="Palatino Linotype" w:hAnsi="Palatino Linotype" w:cs="Arial"/>
          <w:bCs/>
          <w:lang w:eastAsia="es-MX"/>
        </w:rPr>
        <w:t xml:space="preserve"> </w:t>
      </w:r>
      <w:r w:rsidR="007675FC" w:rsidRPr="00BE448F">
        <w:rPr>
          <w:rFonts w:ascii="Palatino Linotype" w:hAnsi="Palatino Linotype" w:cs="Arial"/>
          <w:b/>
          <w:bCs/>
          <w:lang w:eastAsia="es-MX"/>
        </w:rPr>
        <w:t>Considerando CUARTO</w:t>
      </w:r>
      <w:r w:rsidR="00CA5964" w:rsidRPr="00BE448F">
        <w:rPr>
          <w:rFonts w:ascii="Palatino Linotype" w:hAnsi="Palatino Linotype" w:cs="Arial"/>
          <w:b/>
          <w:bCs/>
          <w:lang w:eastAsia="es-MX"/>
        </w:rPr>
        <w:t xml:space="preserve"> </w:t>
      </w:r>
      <w:r w:rsidR="007675FC" w:rsidRPr="00BE448F">
        <w:rPr>
          <w:rFonts w:ascii="Palatino Linotype" w:hAnsi="Palatino Linotype" w:cs="Arial"/>
          <w:bCs/>
          <w:lang w:eastAsia="es-MX"/>
        </w:rPr>
        <w:t>de la presente resolución.</w:t>
      </w:r>
      <w:r w:rsidR="007675FC" w:rsidRPr="00BE448F">
        <w:rPr>
          <w:rFonts w:ascii="Palatino Linotype" w:hAnsi="Palatino Linotype" w:cs="Arial"/>
          <w:bCs/>
          <w:sz w:val="22"/>
          <w:szCs w:val="22"/>
          <w:lang w:eastAsia="es-MX"/>
        </w:rPr>
        <w:t xml:space="preserve"> </w:t>
      </w:r>
    </w:p>
    <w:p w14:paraId="68457D81" w14:textId="17C6A8B4" w:rsidR="00DB4A78" w:rsidRPr="00BE448F" w:rsidRDefault="005C6142" w:rsidP="00CB7B22">
      <w:pPr>
        <w:spacing w:before="240" w:after="360" w:line="360" w:lineRule="auto"/>
        <w:jc w:val="both"/>
        <w:rPr>
          <w:rFonts w:ascii="Palatino Linotype" w:eastAsia="MS Mincho" w:hAnsi="Palatino Linotype" w:cs="Times New Roman"/>
          <w:color w:val="000000" w:themeColor="text1"/>
        </w:rPr>
      </w:pPr>
      <w:bookmarkStart w:id="81" w:name="_Hlk49331657"/>
      <w:r w:rsidRPr="00BE448F">
        <w:rPr>
          <w:rFonts w:ascii="Palatino Linotype" w:eastAsia="MS Mincho" w:hAnsi="Palatino Linotype" w:cs="Times New Roman"/>
          <w:b/>
          <w:color w:val="000000" w:themeColor="text1"/>
        </w:rPr>
        <w:t>SEGUNDO.</w:t>
      </w:r>
      <w:r w:rsidRPr="00BE448F">
        <w:rPr>
          <w:rFonts w:ascii="Palatino Linotype" w:eastAsia="MS Mincho" w:hAnsi="Palatino Linotype" w:cs="Times New Roman"/>
          <w:color w:val="000000" w:themeColor="text1"/>
        </w:rPr>
        <w:t xml:space="preserve"> </w:t>
      </w:r>
      <w:r w:rsidR="007675FC" w:rsidRPr="00BE448F">
        <w:rPr>
          <w:rFonts w:ascii="Palatino Linotype" w:eastAsia="MS Mincho" w:hAnsi="Palatino Linotype" w:cs="Times New Roman"/>
          <w:color w:val="000000" w:themeColor="text1"/>
        </w:rPr>
        <w:t xml:space="preserve">Se </w:t>
      </w:r>
      <w:r w:rsidR="00E8322B" w:rsidRPr="00BE448F">
        <w:rPr>
          <w:rFonts w:ascii="Palatino Linotype" w:eastAsia="MS Mincho" w:hAnsi="Palatino Linotype" w:cs="Times New Roman"/>
          <w:b/>
          <w:color w:val="000000" w:themeColor="text1"/>
        </w:rPr>
        <w:t>REVOCA</w:t>
      </w:r>
      <w:r w:rsidR="007675FC" w:rsidRPr="00BE448F">
        <w:rPr>
          <w:rFonts w:ascii="Palatino Linotype" w:eastAsia="MS Mincho" w:hAnsi="Palatino Linotype" w:cs="Times New Roman"/>
          <w:b/>
          <w:color w:val="000000" w:themeColor="text1"/>
        </w:rPr>
        <w:t xml:space="preserve"> </w:t>
      </w:r>
      <w:r w:rsidR="007675FC" w:rsidRPr="00BE448F">
        <w:rPr>
          <w:rFonts w:ascii="Palatino Linotype" w:eastAsia="MS Mincho" w:hAnsi="Palatino Linotype" w:cs="Times New Roman"/>
          <w:color w:val="000000" w:themeColor="text1"/>
        </w:rPr>
        <w:t xml:space="preserve">la respuesta emitida por el </w:t>
      </w:r>
      <w:r w:rsidR="005351C0" w:rsidRPr="00BE448F">
        <w:rPr>
          <w:rFonts w:ascii="Palatino Linotype" w:eastAsia="MS Mincho" w:hAnsi="Palatino Linotype" w:cs="Times New Roman"/>
          <w:b/>
          <w:color w:val="000000" w:themeColor="text1"/>
        </w:rPr>
        <w:t>Ayuntamiento de</w:t>
      </w:r>
      <w:r w:rsidR="00616235" w:rsidRPr="00BE448F">
        <w:rPr>
          <w:rFonts w:ascii="Palatino Linotype" w:eastAsia="MS Mincho" w:hAnsi="Palatino Linotype" w:cs="Times New Roman"/>
          <w:b/>
          <w:color w:val="000000" w:themeColor="text1"/>
        </w:rPr>
        <w:t xml:space="preserve"> Tecámac </w:t>
      </w:r>
      <w:r w:rsidR="004F6CC2" w:rsidRPr="00BE448F">
        <w:rPr>
          <w:rFonts w:ascii="Palatino Linotype" w:eastAsia="MS Mincho" w:hAnsi="Palatino Linotype" w:cs="Times New Roman"/>
          <w:b/>
          <w:color w:val="000000" w:themeColor="text1"/>
        </w:rPr>
        <w:t xml:space="preserve"> </w:t>
      </w:r>
      <w:r w:rsidR="007675FC" w:rsidRPr="00BE448F">
        <w:rPr>
          <w:rFonts w:ascii="Palatino Linotype" w:eastAsia="MS Mincho" w:hAnsi="Palatino Linotype" w:cs="Times New Roman"/>
          <w:color w:val="000000" w:themeColor="text1"/>
        </w:rPr>
        <w:t>y</w:t>
      </w:r>
      <w:r w:rsidR="00CA5964" w:rsidRPr="00BE448F">
        <w:rPr>
          <w:rFonts w:ascii="Palatino Linotype" w:eastAsia="MS Mincho" w:hAnsi="Palatino Linotype" w:cs="Times New Roman"/>
          <w:color w:val="000000" w:themeColor="text1"/>
        </w:rPr>
        <w:t>,</w:t>
      </w:r>
      <w:r w:rsidR="007675FC" w:rsidRPr="00BE448F">
        <w:rPr>
          <w:rFonts w:ascii="Palatino Linotype" w:eastAsia="MS Mincho" w:hAnsi="Palatino Linotype" w:cs="Times New Roman"/>
          <w:color w:val="000000" w:themeColor="text1"/>
        </w:rPr>
        <w:t xml:space="preserve"> se </w:t>
      </w:r>
      <w:r w:rsidR="007675FC" w:rsidRPr="00BE448F">
        <w:rPr>
          <w:rFonts w:ascii="Palatino Linotype" w:eastAsia="MS Mincho" w:hAnsi="Palatino Linotype" w:cs="Times New Roman"/>
          <w:b/>
          <w:color w:val="000000" w:themeColor="text1"/>
        </w:rPr>
        <w:t>ORDENA</w:t>
      </w:r>
      <w:r w:rsidR="007675FC" w:rsidRPr="00BE448F">
        <w:rPr>
          <w:rFonts w:ascii="Palatino Linotype" w:eastAsia="MS Mincho" w:hAnsi="Palatino Linotype" w:cs="Times New Roman"/>
          <w:color w:val="000000" w:themeColor="text1"/>
        </w:rPr>
        <w:t xml:space="preserve"> entregar vía Sistema de Acceso a la Información Mexiquense </w:t>
      </w:r>
      <w:r w:rsidR="00186ABE" w:rsidRPr="00BE448F">
        <w:rPr>
          <w:rFonts w:ascii="Palatino Linotype" w:eastAsia="MS Mincho" w:hAnsi="Palatino Linotype" w:cs="Times New Roman"/>
          <w:b/>
          <w:color w:val="000000" w:themeColor="text1"/>
        </w:rPr>
        <w:t>(SAIMEX)</w:t>
      </w:r>
      <w:r w:rsidR="007675FC" w:rsidRPr="00BE448F">
        <w:rPr>
          <w:rFonts w:ascii="Palatino Linotype" w:eastAsia="MS Mincho" w:hAnsi="Palatino Linotype" w:cs="Times New Roman"/>
          <w:color w:val="000000" w:themeColor="text1"/>
        </w:rPr>
        <w:t xml:space="preserve">, </w:t>
      </w:r>
      <w:r w:rsidR="00E8322B" w:rsidRPr="00BE448F">
        <w:rPr>
          <w:rFonts w:ascii="Palatino Linotype" w:eastAsia="MS Mincho" w:hAnsi="Palatino Linotype" w:cs="Times New Roman"/>
          <w:color w:val="000000" w:themeColor="text1"/>
        </w:rPr>
        <w:t>la siguiente información</w:t>
      </w:r>
      <w:r w:rsidR="00F509B9" w:rsidRPr="00BE448F">
        <w:rPr>
          <w:rFonts w:ascii="Palatino Linotype" w:eastAsia="MS Mincho" w:hAnsi="Palatino Linotype" w:cs="Times New Roman"/>
          <w:color w:val="000000" w:themeColor="text1"/>
        </w:rPr>
        <w:t xml:space="preserve">: </w:t>
      </w:r>
    </w:p>
    <w:p w14:paraId="39C1D2C4" w14:textId="1718DC34" w:rsidR="00E435B9" w:rsidRPr="00BE448F" w:rsidRDefault="00CA5964" w:rsidP="00014D86">
      <w:pPr>
        <w:pStyle w:val="Prrafodelista"/>
        <w:numPr>
          <w:ilvl w:val="0"/>
          <w:numId w:val="17"/>
        </w:numPr>
        <w:tabs>
          <w:tab w:val="left" w:pos="709"/>
        </w:tabs>
        <w:spacing w:after="240" w:line="360" w:lineRule="auto"/>
        <w:ind w:right="709"/>
        <w:jc w:val="both"/>
        <w:rPr>
          <w:rFonts w:ascii="Palatino Linotype" w:hAnsi="Palatino Linotype"/>
          <w:b/>
          <w:bCs/>
        </w:rPr>
      </w:pPr>
      <w:r w:rsidRPr="00BE448F">
        <w:rPr>
          <w:rFonts w:ascii="Palatino Linotype" w:hAnsi="Palatino Linotype"/>
          <w:b/>
          <w:bCs/>
        </w:rPr>
        <w:t>El Acuerdo del Comité de Transparencia que clasifique, c</w:t>
      </w:r>
      <w:r w:rsidR="00E435B9" w:rsidRPr="00BE448F">
        <w:rPr>
          <w:rFonts w:ascii="Palatino Linotype" w:hAnsi="Palatino Linotype"/>
          <w:b/>
          <w:bCs/>
        </w:rPr>
        <w:t xml:space="preserve">omo información reservada, los expedientes de la Contraloría Municipal que se encuentren en la etapa de investigación que determina el artículo 98 de la Ley de Responsabilidades Administrativas del Estado de México y Municipios, hasta en tanto no </w:t>
      </w:r>
      <w:r w:rsidRPr="00BE448F">
        <w:rPr>
          <w:rFonts w:ascii="Palatino Linotype" w:hAnsi="Palatino Linotype"/>
          <w:b/>
          <w:bCs/>
        </w:rPr>
        <w:t>inicie, en su caso,</w:t>
      </w:r>
      <w:r w:rsidR="00E435B9" w:rsidRPr="00BE448F">
        <w:rPr>
          <w:rFonts w:ascii="Palatino Linotype" w:hAnsi="Palatino Linotype"/>
          <w:b/>
          <w:bCs/>
        </w:rPr>
        <w:t xml:space="preserve"> el procedimiento de responsabilidades administrativas</w:t>
      </w:r>
      <w:r w:rsidR="00616235" w:rsidRPr="00BE448F">
        <w:rPr>
          <w:rFonts w:ascii="Palatino Linotype" w:hAnsi="Palatino Linotype"/>
          <w:b/>
          <w:bCs/>
        </w:rPr>
        <w:t xml:space="preserve"> del uno (01) de enero de dos mil dieciséis al once (11) de junio de dos mil veinte. </w:t>
      </w:r>
      <w:r w:rsidR="00DB523C" w:rsidRPr="00BE448F">
        <w:rPr>
          <w:rFonts w:ascii="Palatino Linotype" w:hAnsi="Palatino Linotype"/>
          <w:b/>
          <w:bCs/>
        </w:rPr>
        <w:t>El Acuerdo deberá precisar el número de expedientes que se clasifiquen.</w:t>
      </w:r>
    </w:p>
    <w:p w14:paraId="411EE9E8" w14:textId="2761AF0E" w:rsidR="00B16207" w:rsidRPr="00BE448F" w:rsidRDefault="00441309" w:rsidP="00CB7B22">
      <w:pPr>
        <w:pStyle w:val="Prrafodelista"/>
        <w:numPr>
          <w:ilvl w:val="0"/>
          <w:numId w:val="17"/>
        </w:numPr>
        <w:tabs>
          <w:tab w:val="left" w:pos="709"/>
        </w:tabs>
        <w:spacing w:after="240" w:line="360" w:lineRule="auto"/>
        <w:ind w:right="709"/>
        <w:jc w:val="both"/>
        <w:rPr>
          <w:rFonts w:ascii="Palatino Linotype" w:hAnsi="Palatino Linotype"/>
          <w:b/>
          <w:bCs/>
        </w:rPr>
      </w:pPr>
      <w:r w:rsidRPr="00BE448F">
        <w:rPr>
          <w:rFonts w:ascii="Palatino Linotype" w:hAnsi="Palatino Linotype"/>
          <w:b/>
          <w:bCs/>
        </w:rPr>
        <w:t>La versión pública de los</w:t>
      </w:r>
      <w:r w:rsidR="00B16207" w:rsidRPr="00BE448F">
        <w:rPr>
          <w:rFonts w:ascii="Palatino Linotype" w:hAnsi="Palatino Linotype"/>
          <w:b/>
          <w:bCs/>
        </w:rPr>
        <w:t xml:space="preserve"> expedientes relacionados con responsabilidades administrativas no graves, que se encuentren en </w:t>
      </w:r>
      <w:r w:rsidR="00B16207" w:rsidRPr="00BE448F">
        <w:rPr>
          <w:rFonts w:ascii="Palatino Linotype" w:hAnsi="Palatino Linotype"/>
          <w:b/>
          <w:bCs/>
        </w:rPr>
        <w:lastRenderedPageBreak/>
        <w:t>la etapa del procedimiento de responsabilidades administrativas, al haberse concluido la etapa de investigación y se haya emplazado formalmente al presunto responsable</w:t>
      </w:r>
      <w:r w:rsidRPr="00BE448F">
        <w:rPr>
          <w:rFonts w:ascii="Palatino Linotype" w:hAnsi="Palatino Linotype"/>
          <w:b/>
          <w:bCs/>
        </w:rPr>
        <w:t>, en términos de la presente resolución</w:t>
      </w:r>
      <w:r w:rsidR="00616235" w:rsidRPr="00BE448F">
        <w:rPr>
          <w:rFonts w:ascii="Palatino Linotype" w:hAnsi="Palatino Linotype"/>
          <w:b/>
          <w:bCs/>
        </w:rPr>
        <w:t xml:space="preserve"> del uno (01) de enero de dos mil dieciséis al once (11) de junio de dos mil veinte</w:t>
      </w:r>
      <w:r w:rsidR="00B16207" w:rsidRPr="00BE448F">
        <w:rPr>
          <w:rFonts w:ascii="Palatino Linotype" w:hAnsi="Palatino Linotype"/>
          <w:b/>
          <w:bCs/>
        </w:rPr>
        <w:t>.</w:t>
      </w:r>
    </w:p>
    <w:p w14:paraId="0D01FB0F" w14:textId="0D45C53C" w:rsidR="00D242F9" w:rsidRPr="00BE448F" w:rsidRDefault="00E8322B" w:rsidP="00CB7B22">
      <w:pPr>
        <w:pStyle w:val="Prrafodelista"/>
        <w:numPr>
          <w:ilvl w:val="0"/>
          <w:numId w:val="17"/>
        </w:numPr>
        <w:tabs>
          <w:tab w:val="left" w:pos="709"/>
        </w:tabs>
        <w:spacing w:after="240" w:line="360" w:lineRule="auto"/>
        <w:ind w:right="709"/>
        <w:jc w:val="both"/>
        <w:rPr>
          <w:rFonts w:ascii="Palatino Linotype" w:hAnsi="Palatino Linotype"/>
          <w:b/>
          <w:bCs/>
        </w:rPr>
      </w:pPr>
      <w:r w:rsidRPr="00BE448F">
        <w:rPr>
          <w:rFonts w:ascii="Palatino Linotype" w:hAnsi="Palatino Linotype"/>
          <w:b/>
          <w:bCs/>
        </w:rPr>
        <w:t xml:space="preserve">Los </w:t>
      </w:r>
      <w:r w:rsidR="00CA5964" w:rsidRPr="00BE448F">
        <w:rPr>
          <w:rFonts w:ascii="Palatino Linotype" w:hAnsi="Palatino Linotype"/>
          <w:b/>
          <w:bCs/>
        </w:rPr>
        <w:t>expedientes</w:t>
      </w:r>
      <w:r w:rsidR="00D242F9" w:rsidRPr="00BE448F">
        <w:rPr>
          <w:rFonts w:ascii="Palatino Linotype" w:hAnsi="Palatino Linotype"/>
          <w:b/>
          <w:bCs/>
        </w:rPr>
        <w:t xml:space="preserve"> relacionados con responsabilidades administrativas graves, </w:t>
      </w:r>
      <w:r w:rsidR="00571035" w:rsidRPr="00BE448F">
        <w:rPr>
          <w:rFonts w:ascii="Palatino Linotype" w:hAnsi="Palatino Linotype"/>
          <w:b/>
          <w:bCs/>
        </w:rPr>
        <w:t xml:space="preserve">por corresponder a actos de corrupción </w:t>
      </w:r>
      <w:r w:rsidR="00CA5964" w:rsidRPr="00BE448F">
        <w:rPr>
          <w:rFonts w:ascii="Palatino Linotype" w:hAnsi="Palatino Linotype"/>
          <w:b/>
          <w:bCs/>
        </w:rPr>
        <w:t>que se encuentren en la etapa del procedimiento de responsabilidades administrativas, al haberse concluido la etapa de investigación y se haya emplazado formalmente al presunto responsable</w:t>
      </w:r>
      <w:r w:rsidR="007D6778" w:rsidRPr="00BE448F">
        <w:rPr>
          <w:rFonts w:ascii="Palatino Linotype" w:hAnsi="Palatino Linotype"/>
          <w:b/>
          <w:bCs/>
        </w:rPr>
        <w:t xml:space="preserve"> del uno (01) de enero de dos mil dieciséis al once (11) de junio de dos mil veinte</w:t>
      </w:r>
      <w:r w:rsidR="00CA5964" w:rsidRPr="00BE448F">
        <w:rPr>
          <w:rFonts w:ascii="Palatino Linotype" w:hAnsi="Palatino Linotype"/>
          <w:b/>
          <w:bCs/>
        </w:rPr>
        <w:t>. D</w:t>
      </w:r>
      <w:r w:rsidRPr="00BE448F">
        <w:rPr>
          <w:rFonts w:ascii="Palatino Linotype" w:hAnsi="Palatino Linotype"/>
          <w:b/>
          <w:bCs/>
        </w:rPr>
        <w:t xml:space="preserve">e ser procedente </w:t>
      </w:r>
      <w:r w:rsidR="00D242F9" w:rsidRPr="00BE448F">
        <w:rPr>
          <w:rFonts w:ascii="Palatino Linotype" w:hAnsi="Palatino Linotype"/>
          <w:b/>
          <w:bCs/>
        </w:rPr>
        <w:t>en versión pública</w:t>
      </w:r>
      <w:r w:rsidR="00CA5964" w:rsidRPr="00BE448F">
        <w:rPr>
          <w:rFonts w:ascii="Palatino Linotype" w:hAnsi="Palatino Linotype"/>
          <w:b/>
          <w:bCs/>
        </w:rPr>
        <w:t xml:space="preserve"> en los términos de la presente resolución.</w:t>
      </w:r>
      <w:bookmarkEnd w:id="81"/>
    </w:p>
    <w:p w14:paraId="66BA1B56" w14:textId="627C8D22" w:rsidR="000609C5" w:rsidRPr="00BE448F" w:rsidRDefault="000609C5" w:rsidP="00CB7B22">
      <w:pPr>
        <w:spacing w:before="240" w:after="360" w:line="360" w:lineRule="auto"/>
        <w:jc w:val="both"/>
        <w:rPr>
          <w:rFonts w:ascii="Palatino Linotype" w:eastAsia="Calibri" w:hAnsi="Palatino Linotype" w:cs="Arial"/>
        </w:rPr>
      </w:pPr>
      <w:r w:rsidRPr="00BE448F">
        <w:rPr>
          <w:rFonts w:ascii="Palatino Linotype" w:eastAsia="Calibri" w:hAnsi="Palatino Linotype" w:cs="Arial"/>
        </w:rPr>
        <w:t>Por cuanto hace a la información que se ordena entregar en los inc</w:t>
      </w:r>
      <w:r w:rsidR="00416B04" w:rsidRPr="00BE448F">
        <w:rPr>
          <w:rFonts w:ascii="Palatino Linotype" w:eastAsia="Calibri" w:hAnsi="Palatino Linotype" w:cs="Arial"/>
        </w:rPr>
        <w:t xml:space="preserve">isos </w:t>
      </w:r>
      <w:r w:rsidR="00416B04" w:rsidRPr="00BE448F">
        <w:rPr>
          <w:rFonts w:ascii="Palatino Linotype" w:eastAsia="Calibri" w:hAnsi="Palatino Linotype" w:cs="Arial"/>
          <w:i/>
        </w:rPr>
        <w:t>b) y c</w:t>
      </w:r>
      <w:r w:rsidR="00416B04" w:rsidRPr="00BE448F">
        <w:rPr>
          <w:rFonts w:ascii="Palatino Linotype" w:eastAsia="Calibri" w:hAnsi="Palatino Linotype" w:cs="Arial"/>
        </w:rPr>
        <w:t>)</w:t>
      </w:r>
      <w:r w:rsidRPr="00BE448F">
        <w:rPr>
          <w:rFonts w:ascii="Palatino Linotype" w:eastAsia="Calibri" w:hAnsi="Palatino Linotype" w:cs="Arial"/>
        </w:rPr>
        <w:t>, en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453C4BCD" w14:textId="2B10D405" w:rsidR="00150CFB" w:rsidRPr="00BE448F" w:rsidRDefault="00150CFB" w:rsidP="00CB7B22">
      <w:pPr>
        <w:spacing w:before="240" w:after="360" w:line="360" w:lineRule="auto"/>
        <w:jc w:val="both"/>
        <w:rPr>
          <w:rFonts w:ascii="Palatino Linotype" w:eastAsia="MS Mincho" w:hAnsi="Palatino Linotype" w:cs="Times New Roman"/>
          <w:bCs/>
          <w:color w:val="000000" w:themeColor="text1"/>
        </w:rPr>
      </w:pPr>
      <w:r w:rsidRPr="00BE448F">
        <w:rPr>
          <w:rFonts w:ascii="Palatino Linotype" w:eastAsia="MS Mincho" w:hAnsi="Palatino Linotype" w:cs="Times New Roman"/>
          <w:bCs/>
          <w:color w:val="000000" w:themeColor="text1"/>
        </w:rPr>
        <w:t>Por otro lado, de ser</w:t>
      </w:r>
      <w:r w:rsidRPr="00BE448F">
        <w:rPr>
          <w:rFonts w:ascii="Palatino Linotype" w:eastAsia="MS Mincho" w:hAnsi="Palatino Linotype" w:cs="Times New Roman"/>
          <w:bCs/>
          <w:color w:val="000000" w:themeColor="text1"/>
          <w:lang w:val="es-MX"/>
        </w:rPr>
        <w:t xml:space="preserve"> el caso que la información señalada en los incisos </w:t>
      </w:r>
      <w:r w:rsidR="00416B04" w:rsidRPr="00BE448F">
        <w:rPr>
          <w:rFonts w:ascii="Palatino Linotype" w:eastAsia="MS Mincho" w:hAnsi="Palatino Linotype" w:cs="Times New Roman"/>
          <w:bCs/>
          <w:i/>
          <w:iCs/>
          <w:color w:val="000000" w:themeColor="text1"/>
          <w:lang w:val="es-MX"/>
        </w:rPr>
        <w:t>b) y c)</w:t>
      </w:r>
      <w:r w:rsidRPr="00BE448F">
        <w:rPr>
          <w:rFonts w:ascii="Palatino Linotype" w:eastAsia="MS Mincho" w:hAnsi="Palatino Linotype" w:cs="Times New Roman"/>
          <w:bCs/>
          <w:color w:val="000000" w:themeColor="text1"/>
          <w:lang w:val="es-MX"/>
        </w:rPr>
        <w:t xml:space="preserve">, no haya sido generada, poseída o administrada, en virtud de que los expedientes pendientes de resolver por la Contraloría Municipal se encuentren en etapa de </w:t>
      </w:r>
      <w:r w:rsidRPr="00BE448F">
        <w:rPr>
          <w:rFonts w:ascii="Palatino Linotype" w:eastAsia="MS Mincho" w:hAnsi="Palatino Linotype" w:cs="Times New Roman"/>
          <w:bCs/>
          <w:color w:val="000000" w:themeColor="text1"/>
          <w:lang w:val="es-MX"/>
        </w:rPr>
        <w:lastRenderedPageBreak/>
        <w:t xml:space="preserve">investigación, el </w:t>
      </w:r>
      <w:r w:rsidRPr="00BE448F">
        <w:rPr>
          <w:rFonts w:ascii="Palatino Linotype" w:eastAsia="MS Mincho" w:hAnsi="Palatino Linotype" w:cs="Times New Roman"/>
          <w:b/>
          <w:bCs/>
          <w:color w:val="000000" w:themeColor="text1"/>
          <w:lang w:val="es-MX"/>
        </w:rPr>
        <w:t>SUJETO OBLIGADO</w:t>
      </w:r>
      <w:r w:rsidRPr="00BE448F">
        <w:rPr>
          <w:rFonts w:ascii="Palatino Linotype" w:eastAsia="MS Mincho" w:hAnsi="Palatino Linotype" w:cs="Times New Roman"/>
          <w:bCs/>
          <w:color w:val="000000" w:themeColor="text1"/>
          <w:lang w:val="es-MX"/>
        </w:rPr>
        <w:t xml:space="preserve"> deberá explicar las causas por las que no se cuente con la información requerida.</w:t>
      </w:r>
    </w:p>
    <w:p w14:paraId="7B60E939" w14:textId="0F6BEE22" w:rsidR="00B83E2E" w:rsidRPr="00BE448F" w:rsidRDefault="00B83E2E" w:rsidP="00CB7B22">
      <w:pPr>
        <w:spacing w:before="240" w:after="360" w:line="360" w:lineRule="auto"/>
        <w:jc w:val="both"/>
        <w:rPr>
          <w:rFonts w:ascii="Palatino Linotype" w:eastAsia="MS Mincho" w:hAnsi="Palatino Linotype" w:cs="Times New Roman"/>
          <w:color w:val="000000" w:themeColor="text1"/>
        </w:rPr>
      </w:pPr>
      <w:r w:rsidRPr="00BE448F">
        <w:rPr>
          <w:rFonts w:ascii="Palatino Linotype" w:eastAsia="MS Mincho" w:hAnsi="Palatino Linotype" w:cs="Times New Roman"/>
          <w:b/>
          <w:color w:val="000000" w:themeColor="text1"/>
        </w:rPr>
        <w:t>TERCERO</w:t>
      </w:r>
      <w:r w:rsidRPr="00BE448F">
        <w:rPr>
          <w:rFonts w:ascii="Palatino Linotype" w:eastAsia="MS Mincho" w:hAnsi="Palatino Linotype" w:cs="Times New Roman"/>
          <w:color w:val="000000" w:themeColor="text1"/>
        </w:rPr>
        <w:t>. Notifíquese al Titular de la Unidad de Transparencia del</w:t>
      </w:r>
      <w:r w:rsidRPr="00BE448F">
        <w:rPr>
          <w:rFonts w:ascii="Palatino Linotype" w:eastAsia="MS Mincho" w:hAnsi="Palatino Linotype" w:cs="Times New Roman"/>
          <w:b/>
          <w:color w:val="000000" w:themeColor="text1"/>
        </w:rPr>
        <w:t xml:space="preserve"> SUJETO OBLIGADO</w:t>
      </w:r>
      <w:r w:rsidRPr="00BE448F">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1A7B0D53" w:rsidR="00B83E2E" w:rsidRPr="00BE448F" w:rsidRDefault="00B83E2E" w:rsidP="00CB7B22">
      <w:pPr>
        <w:spacing w:before="240" w:after="360" w:line="360" w:lineRule="auto"/>
        <w:jc w:val="both"/>
        <w:rPr>
          <w:rFonts w:ascii="Palatino Linotype" w:eastAsia="MS Mincho" w:hAnsi="Palatino Linotype" w:cs="Times New Roman"/>
          <w:color w:val="000000" w:themeColor="text1"/>
        </w:rPr>
      </w:pPr>
      <w:r w:rsidRPr="00BE448F">
        <w:rPr>
          <w:rFonts w:ascii="Palatino Linotype" w:eastAsia="MS Mincho" w:hAnsi="Palatino Linotype" w:cs="Times New Roman"/>
          <w:b/>
          <w:color w:val="000000" w:themeColor="text1"/>
        </w:rPr>
        <w:t xml:space="preserve">CUARTO. </w:t>
      </w:r>
      <w:r w:rsidRPr="00BE448F">
        <w:rPr>
          <w:rFonts w:ascii="Palatino Linotype" w:eastAsia="MS Mincho" w:hAnsi="Palatino Linotype" w:cs="Times New Roman"/>
          <w:color w:val="000000" w:themeColor="text1"/>
        </w:rPr>
        <w:t>Notifíquese a</w:t>
      </w:r>
      <w:r w:rsidR="00186ABE" w:rsidRPr="00BE448F">
        <w:rPr>
          <w:rFonts w:ascii="Palatino Linotype" w:eastAsia="MS Mincho" w:hAnsi="Palatino Linotype" w:cs="Times New Roman"/>
          <w:color w:val="000000" w:themeColor="text1"/>
        </w:rPr>
        <w:t>l</w:t>
      </w:r>
      <w:r w:rsidR="00186ABE" w:rsidRPr="00BE448F">
        <w:rPr>
          <w:rFonts w:ascii="Palatino Linotype" w:eastAsia="MS Mincho" w:hAnsi="Palatino Linotype" w:cs="Times New Roman"/>
          <w:b/>
          <w:color w:val="000000" w:themeColor="text1"/>
        </w:rPr>
        <w:t xml:space="preserve"> </w:t>
      </w:r>
      <w:r w:rsidR="001A35DC" w:rsidRPr="00BE448F">
        <w:rPr>
          <w:rFonts w:ascii="Palatino Linotype" w:eastAsia="MS Mincho" w:hAnsi="Palatino Linotype" w:cs="Times New Roman"/>
          <w:b/>
          <w:color w:val="000000" w:themeColor="text1"/>
        </w:rPr>
        <w:t>RECURRENTE</w:t>
      </w:r>
      <w:r w:rsidR="001A35DC" w:rsidRPr="00BE448F">
        <w:rPr>
          <w:rFonts w:ascii="Palatino Linotype" w:eastAsia="MS Mincho" w:hAnsi="Palatino Linotype" w:cs="Times New Roman"/>
          <w:color w:val="000000" w:themeColor="text1"/>
        </w:rPr>
        <w:t xml:space="preserve"> </w:t>
      </w:r>
      <w:r w:rsidRPr="00BE448F">
        <w:rPr>
          <w:rFonts w:ascii="Palatino Linotype" w:eastAsia="MS Mincho" w:hAnsi="Palatino Linotype" w:cs="Times New Roman"/>
          <w:color w:val="000000" w:themeColor="text1"/>
        </w:rPr>
        <w:t>la presente resolución</w:t>
      </w:r>
      <w:r w:rsidR="00035ACA" w:rsidRPr="00BE448F">
        <w:rPr>
          <w:rFonts w:ascii="Palatino Linotype" w:eastAsia="MS Mincho" w:hAnsi="Palatino Linotype" w:cs="Times New Roman"/>
          <w:color w:val="000000" w:themeColor="text1"/>
        </w:rPr>
        <w:t>.</w:t>
      </w:r>
      <w:r w:rsidR="00C9604F" w:rsidRPr="00BE448F">
        <w:rPr>
          <w:rFonts w:ascii="Palatino Linotype" w:eastAsia="MS Mincho" w:hAnsi="Palatino Linotype" w:cs="Times New Roman"/>
          <w:color w:val="000000" w:themeColor="text1"/>
        </w:rPr>
        <w:t xml:space="preserve"> </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5156CA0D" w14:textId="6FFA1746" w:rsidR="006D77D4" w:rsidRPr="00BE448F" w:rsidRDefault="006D77D4" w:rsidP="00CB7B22">
      <w:pPr>
        <w:spacing w:before="240" w:after="360" w:line="360" w:lineRule="auto"/>
        <w:jc w:val="both"/>
        <w:rPr>
          <w:rFonts w:ascii="Palatino Linotype" w:eastAsia="MS Mincho" w:hAnsi="Palatino Linotype" w:cs="Times New Roman"/>
          <w:color w:val="000000" w:themeColor="text1"/>
        </w:rPr>
      </w:pPr>
      <w:r w:rsidRPr="00BE448F">
        <w:rPr>
          <w:rFonts w:ascii="Palatino Linotype" w:eastAsia="MS Mincho" w:hAnsi="Palatino Linotype" w:cs="Times New Roman"/>
          <w:b/>
          <w:color w:val="000000" w:themeColor="text1"/>
        </w:rPr>
        <w:t xml:space="preserve">QUINTO. </w:t>
      </w:r>
      <w:r w:rsidRPr="00BE448F">
        <w:rPr>
          <w:rFonts w:ascii="Palatino Linotype" w:eastAsia="MS Mincho" w:hAnsi="Palatino Linotype" w:cs="Times New Roman"/>
          <w:color w:val="000000" w:themeColor="text1"/>
        </w:rPr>
        <w:t>Se hace del conocimiento del</w:t>
      </w:r>
      <w:r w:rsidRPr="00BE448F">
        <w:rPr>
          <w:rFonts w:ascii="Palatino Linotype" w:eastAsia="MS Mincho" w:hAnsi="Palatino Linotype" w:cs="Times New Roman"/>
          <w:b/>
          <w:color w:val="000000" w:themeColor="text1"/>
        </w:rPr>
        <w:t xml:space="preserve"> RECURRENTE </w:t>
      </w:r>
      <w:r w:rsidRPr="00BE448F">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85BCBF8" w14:textId="4357602D" w:rsidR="007C4BA3" w:rsidRPr="00BE448F" w:rsidRDefault="007C4BA3" w:rsidP="00CB7B22">
      <w:pPr>
        <w:spacing w:before="240" w:after="360" w:line="360" w:lineRule="auto"/>
        <w:jc w:val="both"/>
        <w:rPr>
          <w:rFonts w:ascii="Palatino Linotype" w:eastAsia="MS Mincho" w:hAnsi="Palatino Linotype" w:cs="Times New Roman"/>
          <w:bCs/>
          <w:color w:val="000000" w:themeColor="text1"/>
        </w:rPr>
      </w:pPr>
      <w:r w:rsidRPr="00BE448F">
        <w:rPr>
          <w:rFonts w:ascii="Palatino Linotype" w:eastAsia="MS Mincho" w:hAnsi="Palatino Linotype" w:cs="Times New Roman"/>
          <w:b/>
          <w:bCs/>
          <w:color w:val="000000" w:themeColor="text1"/>
        </w:rPr>
        <w:t>SEXTO.</w:t>
      </w:r>
      <w:r w:rsidRPr="00BE448F">
        <w:rPr>
          <w:rFonts w:ascii="Palatino Linotype" w:eastAsia="MS Mincho" w:hAnsi="Palatino Linotype" w:cs="Times New Roman"/>
          <w:b/>
          <w:color w:val="000000" w:themeColor="text1"/>
        </w:rPr>
        <w:t xml:space="preserve"> </w:t>
      </w:r>
      <w:r w:rsidRPr="00BE448F">
        <w:rPr>
          <w:rFonts w:ascii="Palatino Linotype" w:eastAsia="MS Mincho" w:hAnsi="Palatino Linotype" w:cs="Times New Roman"/>
          <w:bCs/>
          <w:color w:val="000000" w:themeColor="text1"/>
        </w:rPr>
        <w:t xml:space="preserve">Con fundamento en el artículo 198 de la Ley de Transparencia y Acceso a la Información Pública del Estado de México y Municipios, se apercibe al </w:t>
      </w:r>
      <w:r w:rsidRPr="00BE448F">
        <w:rPr>
          <w:rFonts w:ascii="Palatino Linotype" w:eastAsia="MS Mincho" w:hAnsi="Palatino Linotype" w:cs="Times New Roman"/>
          <w:b/>
          <w:bCs/>
          <w:color w:val="000000" w:themeColor="text1"/>
        </w:rPr>
        <w:t>SUJETO OBLIGADO</w:t>
      </w:r>
      <w:r w:rsidRPr="00BE448F">
        <w:rPr>
          <w:rFonts w:ascii="Palatino Linotype" w:eastAsia="MS Mincho" w:hAnsi="Palatino Linotype" w:cs="Times New Roman"/>
          <w:b/>
          <w:color w:val="000000" w:themeColor="text1"/>
        </w:rPr>
        <w:t xml:space="preserve"> </w:t>
      </w:r>
      <w:r w:rsidRPr="00BE448F">
        <w:rPr>
          <w:rFonts w:ascii="Palatino Linotype" w:eastAsia="MS Mincho" w:hAnsi="Palatino Linotype" w:cs="Times New Roman"/>
          <w:bCs/>
          <w:color w:val="000000" w:themeColor="text1"/>
        </w:rPr>
        <w:t xml:space="preserve">de que, en caso de incumplimiento total o parcial de la presente </w:t>
      </w:r>
      <w:r w:rsidRPr="00BE448F">
        <w:rPr>
          <w:rFonts w:ascii="Palatino Linotype" w:eastAsia="MS Mincho" w:hAnsi="Palatino Linotype" w:cs="Times New Roman"/>
          <w:bCs/>
          <w:color w:val="000000" w:themeColor="text1"/>
        </w:rPr>
        <w:lastRenderedPageBreak/>
        <w:t>resolución, se actuará de conformidad con lo dispuesto en los artículos 213, 214, 215, 216 y 217 de la Ley en cita.</w:t>
      </w:r>
    </w:p>
    <w:p w14:paraId="39ECEF72" w14:textId="3814677D" w:rsidR="005E7D26" w:rsidRPr="00BE448F" w:rsidRDefault="005E7D26" w:rsidP="005E7D26">
      <w:pPr>
        <w:shd w:val="clear" w:color="auto" w:fill="FFFFFF"/>
        <w:spacing w:line="360" w:lineRule="auto"/>
        <w:jc w:val="both"/>
        <w:rPr>
          <w:rFonts w:ascii="Palatino Linotype" w:eastAsia="Times New Roman" w:hAnsi="Palatino Linotype" w:cs="Times New Roman"/>
          <w:color w:val="222222"/>
          <w:lang w:val="es-ES" w:eastAsia="es-MX"/>
        </w:rPr>
      </w:pPr>
      <w:r w:rsidRPr="00BE448F">
        <w:rPr>
          <w:rFonts w:ascii="Palatino Linotype" w:eastAsia="MS Mincho" w:hAnsi="Palatino Linotype" w:cs="Times New Roman"/>
          <w:b/>
        </w:rPr>
        <w:t xml:space="preserve">SÉPTIMO. </w:t>
      </w:r>
      <w:r w:rsidRPr="00BE448F">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BE448F">
        <w:rPr>
          <w:rFonts w:ascii="Palatino Linotype" w:eastAsia="MS Mincho" w:hAnsi="Palatino Linotype" w:cs="Times New Roman"/>
          <w:b/>
        </w:rPr>
        <w:t xml:space="preserve"> QUINTO</w:t>
      </w:r>
      <w:r w:rsidRPr="00BE448F">
        <w:rPr>
          <w:rFonts w:ascii="Palatino Linotype" w:eastAsia="MS Mincho" w:hAnsi="Palatino Linotype" w:cs="Times New Roman"/>
        </w:rPr>
        <w:t>.</w:t>
      </w:r>
    </w:p>
    <w:p w14:paraId="47ED7E6F" w14:textId="77777777" w:rsidR="005E7D26" w:rsidRPr="00BE448F" w:rsidRDefault="005E7D26" w:rsidP="005E7D26">
      <w:pPr>
        <w:shd w:val="clear" w:color="auto" w:fill="FFFFFF"/>
        <w:spacing w:line="360" w:lineRule="auto"/>
        <w:jc w:val="both"/>
        <w:rPr>
          <w:rFonts w:ascii="Palatino Linotype" w:eastAsia="Times New Roman" w:hAnsi="Palatino Linotype" w:cs="Times New Roman"/>
          <w:color w:val="222222"/>
          <w:lang w:val="es-ES" w:eastAsia="es-MX"/>
        </w:rPr>
      </w:pPr>
    </w:p>
    <w:bookmarkEnd w:id="63"/>
    <w:p w14:paraId="6A0004E4" w14:textId="67BDB457" w:rsidR="001A35DC" w:rsidRPr="00BE448F" w:rsidRDefault="001A35DC" w:rsidP="00CB7B22">
      <w:pPr>
        <w:pStyle w:val="Prrafodelista"/>
        <w:spacing w:line="360" w:lineRule="auto"/>
        <w:ind w:left="0"/>
        <w:jc w:val="both"/>
        <w:rPr>
          <w:rFonts w:ascii="Palatino Linotype" w:hAnsi="Palatino Linotype" w:cs="Arial"/>
          <w:color w:val="000000" w:themeColor="text1"/>
        </w:rPr>
      </w:pPr>
      <w:r w:rsidRPr="00BE448F">
        <w:rPr>
          <w:rFonts w:ascii="Palatino Linotype" w:hAnsi="Palatino Linotype"/>
          <w:color w:val="000000" w:themeColor="text1"/>
        </w:rPr>
        <w:t xml:space="preserve">ASÍ LO RESUELVE, POR </w:t>
      </w:r>
      <w:r w:rsidR="007A2CDF">
        <w:rPr>
          <w:rFonts w:ascii="Palatino Linotype" w:hAnsi="Palatino Linotype"/>
          <w:color w:val="000000" w:themeColor="text1"/>
        </w:rPr>
        <w:t>MAYORÍA</w:t>
      </w:r>
      <w:r w:rsidRPr="00BE448F">
        <w:rPr>
          <w:rFonts w:ascii="Palatino Linotype" w:hAnsi="Palatino Linotype"/>
          <w:color w:val="000000" w:themeColor="text1"/>
        </w:rPr>
        <w:t xml:space="preserve"> DE VOTOS, EL PLENO DEL INSTITUTO DE TRANSPARENCIA, ACCESO A LA INFORMACIÓN PÚBLICA Y PROTECCIÓN DE DATOS PERSONALES DEL ESTADO DE MÉXICO Y MUNICIPIOS, CONFORMADO POR LOS COMISIONADOS ZULEMA MARTÍNEZ SÁNCHEZ</w:t>
      </w:r>
      <w:r w:rsidR="00B30796">
        <w:rPr>
          <w:rFonts w:ascii="Palatino Linotype" w:hAnsi="Palatino Linotype"/>
          <w:color w:val="000000" w:themeColor="text1"/>
        </w:rPr>
        <w:t xml:space="preserve"> EMITIENDO VOTO EN CONTRA CON VOTO DISIDENTE CONCURRENTE</w:t>
      </w:r>
      <w:r w:rsidRPr="00BE448F">
        <w:rPr>
          <w:rFonts w:ascii="Palatino Linotype" w:hAnsi="Palatino Linotype"/>
          <w:color w:val="000000" w:themeColor="text1"/>
        </w:rPr>
        <w:t>; EVA ABAID YAPUR</w:t>
      </w:r>
      <w:r w:rsidR="00CF0623">
        <w:rPr>
          <w:rFonts w:ascii="Palatino Linotype" w:hAnsi="Palatino Linotype"/>
          <w:color w:val="000000" w:themeColor="text1"/>
        </w:rPr>
        <w:t xml:space="preserve"> EMITIENDO VOTO EN CONTRA CON VOTO DISIDENTE</w:t>
      </w:r>
      <w:r w:rsidR="00B30796">
        <w:rPr>
          <w:rFonts w:ascii="Palatino Linotype" w:hAnsi="Palatino Linotype"/>
          <w:color w:val="000000" w:themeColor="text1"/>
        </w:rPr>
        <w:t xml:space="preserve"> CONCURRENTE</w:t>
      </w:r>
      <w:r w:rsidRPr="00BE448F">
        <w:rPr>
          <w:rFonts w:ascii="Palatino Linotype" w:hAnsi="Palatino Linotype"/>
          <w:color w:val="000000" w:themeColor="text1"/>
        </w:rPr>
        <w:t xml:space="preserve">; JOSÉ GUADALUPE LUNA HERNÁNDEZ, JAVIER MARTÍNEZ CRUZ Y LUIS GUSTAVO PARRA NORIEGA; EN LA </w:t>
      </w:r>
      <w:r w:rsidR="002559AD" w:rsidRPr="00BE448F">
        <w:rPr>
          <w:rFonts w:ascii="Palatino Linotype" w:hAnsi="Palatino Linotype"/>
          <w:color w:val="000000" w:themeColor="text1"/>
        </w:rPr>
        <w:t xml:space="preserve">VIGÉSIMO </w:t>
      </w:r>
      <w:r w:rsidR="00150CFB" w:rsidRPr="00BE448F">
        <w:rPr>
          <w:rFonts w:ascii="Palatino Linotype" w:hAnsi="Palatino Linotype"/>
          <w:color w:val="000000" w:themeColor="text1"/>
        </w:rPr>
        <w:t>QUINTA</w:t>
      </w:r>
      <w:r w:rsidR="005E7F28" w:rsidRPr="00BE448F">
        <w:rPr>
          <w:rFonts w:ascii="Palatino Linotype" w:hAnsi="Palatino Linotype"/>
          <w:color w:val="000000" w:themeColor="text1"/>
        </w:rPr>
        <w:t xml:space="preserve"> SESIÓN </w:t>
      </w:r>
      <w:r w:rsidRPr="00BE448F">
        <w:rPr>
          <w:rFonts w:ascii="Palatino Linotype" w:hAnsi="Palatino Linotype"/>
          <w:color w:val="000000" w:themeColor="text1"/>
        </w:rPr>
        <w:t xml:space="preserve">ORDINARIA CELEBRADA EL </w:t>
      </w:r>
      <w:r w:rsidR="002559AD" w:rsidRPr="00BE448F">
        <w:rPr>
          <w:rFonts w:ascii="Palatino Linotype" w:hAnsi="Palatino Linotype"/>
          <w:color w:val="000000" w:themeColor="text1"/>
        </w:rPr>
        <w:t>CINCO (05</w:t>
      </w:r>
      <w:r w:rsidRPr="00BE448F">
        <w:rPr>
          <w:rFonts w:ascii="Palatino Linotype" w:hAnsi="Palatino Linotype"/>
          <w:color w:val="000000" w:themeColor="text1"/>
        </w:rPr>
        <w:t xml:space="preserve">) DE </w:t>
      </w:r>
      <w:r w:rsidR="002559AD" w:rsidRPr="00BE448F">
        <w:rPr>
          <w:rFonts w:ascii="Palatino Linotype" w:hAnsi="Palatino Linotype"/>
          <w:color w:val="000000" w:themeColor="text1"/>
        </w:rPr>
        <w:t>NOVIEMBRE</w:t>
      </w:r>
      <w:r w:rsidRPr="00BE448F">
        <w:rPr>
          <w:rFonts w:ascii="Palatino Linotype" w:hAnsi="Palatino Linotype"/>
          <w:color w:val="000000" w:themeColor="text1"/>
        </w:rPr>
        <w:t xml:space="preserve"> DE DOS MIL VEINTE, ANTE EL SECRETARIO TÉCNICO DEL PLENO ALEXIS TAPIA RAMÍREZ.</w:t>
      </w:r>
      <w:r w:rsidRPr="00BE448F">
        <w:rPr>
          <w:rFonts w:ascii="Palatino Linotype" w:hAnsi="Palatino Linotype" w:cs="Arial"/>
          <w:color w:val="000000" w:themeColor="text1"/>
        </w:rPr>
        <w:t xml:space="preserve"> </w:t>
      </w:r>
    </w:p>
    <w:p w14:paraId="474987FD" w14:textId="77777777" w:rsidR="001A35DC" w:rsidRPr="00BE448F" w:rsidRDefault="001A35DC" w:rsidP="00CB7B22">
      <w:pPr>
        <w:spacing w:line="360" w:lineRule="auto"/>
        <w:rPr>
          <w:rFonts w:ascii="Palatino Linotype" w:hAnsi="Palatino Linotype" w:cs="Arial"/>
          <w:color w:val="000000" w:themeColor="text1"/>
        </w:rPr>
      </w:pPr>
      <w:r w:rsidRPr="00BE448F">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1A35DC" w:rsidRPr="00BE448F" w14:paraId="5F98A34F" w14:textId="77777777" w:rsidTr="000C1C87">
        <w:trPr>
          <w:trHeight w:val="1807"/>
        </w:trPr>
        <w:tc>
          <w:tcPr>
            <w:tcW w:w="9073" w:type="dxa"/>
            <w:gridSpan w:val="3"/>
            <w:vAlign w:val="center"/>
          </w:tcPr>
          <w:p w14:paraId="3761BAE4" w14:textId="77777777" w:rsidR="001A35DC" w:rsidRPr="00BE448F" w:rsidRDefault="001A35DC" w:rsidP="00CB7B22">
            <w:pPr>
              <w:pStyle w:val="Prrafodelista"/>
              <w:spacing w:line="360" w:lineRule="auto"/>
              <w:ind w:left="0"/>
              <w:jc w:val="center"/>
              <w:rPr>
                <w:rFonts w:ascii="Palatino Linotype" w:hAnsi="Palatino Linotype" w:cs="Arial"/>
                <w:color w:val="000000" w:themeColor="text1"/>
              </w:rPr>
            </w:pPr>
          </w:p>
          <w:p w14:paraId="3B4B7D0B" w14:textId="77777777" w:rsidR="001A35DC" w:rsidRPr="00BE448F" w:rsidRDefault="001A35DC" w:rsidP="00CB7B22">
            <w:pPr>
              <w:pStyle w:val="Prrafodelista"/>
              <w:spacing w:line="360" w:lineRule="auto"/>
              <w:ind w:left="0"/>
              <w:jc w:val="center"/>
              <w:rPr>
                <w:rFonts w:ascii="Palatino Linotype" w:hAnsi="Palatino Linotype" w:cs="Arial"/>
                <w:color w:val="000000" w:themeColor="text1"/>
              </w:rPr>
            </w:pPr>
          </w:p>
          <w:p w14:paraId="20EDA188" w14:textId="77777777" w:rsidR="001A35DC" w:rsidRPr="00BE448F" w:rsidRDefault="001A35DC" w:rsidP="00CB7B22">
            <w:pPr>
              <w:spacing w:line="360" w:lineRule="auto"/>
              <w:jc w:val="center"/>
              <w:rPr>
                <w:rFonts w:ascii="Palatino Linotype" w:hAnsi="Palatino Linotype" w:cs="Times New Roman"/>
                <w:b/>
                <w:color w:val="000000" w:themeColor="text1"/>
              </w:rPr>
            </w:pPr>
            <w:r w:rsidRPr="00BE448F">
              <w:rPr>
                <w:rFonts w:ascii="Palatino Linotype" w:hAnsi="Palatino Linotype" w:cs="Times New Roman"/>
                <w:b/>
                <w:color w:val="000000" w:themeColor="text1"/>
              </w:rPr>
              <w:t>Zulema Martínez Sánchez</w:t>
            </w:r>
          </w:p>
          <w:p w14:paraId="575A9F98" w14:textId="77777777" w:rsidR="001A35DC" w:rsidRPr="00BE448F" w:rsidRDefault="001A35DC" w:rsidP="00CB7B22">
            <w:pPr>
              <w:spacing w:line="360" w:lineRule="auto"/>
              <w:jc w:val="center"/>
              <w:rPr>
                <w:rFonts w:ascii="Palatino Linotype" w:hAnsi="Palatino Linotype"/>
                <w:color w:val="000000" w:themeColor="text1"/>
              </w:rPr>
            </w:pPr>
            <w:r w:rsidRPr="00BE448F">
              <w:rPr>
                <w:rFonts w:ascii="Palatino Linotype" w:hAnsi="Palatino Linotype"/>
                <w:color w:val="000000" w:themeColor="text1"/>
              </w:rPr>
              <w:t>Comisionada Presidenta</w:t>
            </w:r>
          </w:p>
          <w:p w14:paraId="4AA9651B" w14:textId="77777777" w:rsidR="001A35DC" w:rsidRPr="00BE448F" w:rsidRDefault="001A35DC" w:rsidP="00CB7B22">
            <w:pPr>
              <w:spacing w:line="360" w:lineRule="auto"/>
              <w:jc w:val="center"/>
              <w:rPr>
                <w:rFonts w:ascii="Palatino Linotype" w:hAnsi="Palatino Linotype"/>
                <w:color w:val="000000" w:themeColor="text1"/>
              </w:rPr>
            </w:pPr>
            <w:r w:rsidRPr="00BE448F">
              <w:rPr>
                <w:rFonts w:ascii="Palatino Linotype" w:hAnsi="Palatino Linotype" w:cs="Times New Roman"/>
                <w:color w:val="000000" w:themeColor="text1"/>
              </w:rPr>
              <w:t>(Rúbrica)</w:t>
            </w:r>
          </w:p>
        </w:tc>
      </w:tr>
      <w:tr w:rsidR="001A35DC" w:rsidRPr="00BE448F" w14:paraId="69F278C6" w14:textId="77777777" w:rsidTr="000C1C87">
        <w:trPr>
          <w:trHeight w:val="2156"/>
        </w:trPr>
        <w:tc>
          <w:tcPr>
            <w:tcW w:w="4253" w:type="dxa"/>
            <w:vAlign w:val="center"/>
          </w:tcPr>
          <w:p w14:paraId="7DBDFA1E" w14:textId="77777777" w:rsidR="001A35DC" w:rsidRPr="00BE448F" w:rsidRDefault="001A35DC" w:rsidP="00CB7B22">
            <w:pPr>
              <w:spacing w:line="360" w:lineRule="auto"/>
              <w:jc w:val="center"/>
              <w:rPr>
                <w:rFonts w:ascii="Palatino Linotype" w:hAnsi="Palatino Linotype" w:cs="Times New Roman"/>
                <w:b/>
                <w:color w:val="000000" w:themeColor="text1"/>
              </w:rPr>
            </w:pPr>
          </w:p>
          <w:p w14:paraId="7C314ABA" w14:textId="77777777" w:rsidR="001A35DC" w:rsidRPr="00BE448F" w:rsidRDefault="001A35DC" w:rsidP="00CB7B22">
            <w:pPr>
              <w:spacing w:line="360" w:lineRule="auto"/>
              <w:jc w:val="center"/>
              <w:rPr>
                <w:rFonts w:ascii="Palatino Linotype" w:hAnsi="Palatino Linotype" w:cs="Times New Roman"/>
                <w:b/>
                <w:color w:val="000000" w:themeColor="text1"/>
              </w:rPr>
            </w:pPr>
          </w:p>
          <w:p w14:paraId="28780366" w14:textId="77777777" w:rsidR="001A35DC" w:rsidRPr="00BE448F" w:rsidRDefault="001A35DC" w:rsidP="00CB7B22">
            <w:pPr>
              <w:spacing w:line="360" w:lineRule="auto"/>
              <w:jc w:val="center"/>
              <w:rPr>
                <w:rFonts w:ascii="Palatino Linotype" w:hAnsi="Palatino Linotype" w:cs="Times New Roman"/>
                <w:b/>
                <w:color w:val="000000" w:themeColor="text1"/>
              </w:rPr>
            </w:pPr>
            <w:r w:rsidRPr="00BE448F">
              <w:rPr>
                <w:rFonts w:ascii="Palatino Linotype" w:hAnsi="Palatino Linotype" w:cs="Times New Roman"/>
                <w:b/>
                <w:color w:val="000000" w:themeColor="text1"/>
              </w:rPr>
              <w:t xml:space="preserve">Eva </w:t>
            </w:r>
            <w:proofErr w:type="spellStart"/>
            <w:r w:rsidRPr="00BE448F">
              <w:rPr>
                <w:rFonts w:ascii="Palatino Linotype" w:hAnsi="Palatino Linotype" w:cs="Times New Roman"/>
                <w:b/>
                <w:color w:val="000000" w:themeColor="text1"/>
              </w:rPr>
              <w:t>Abaid</w:t>
            </w:r>
            <w:proofErr w:type="spellEnd"/>
            <w:r w:rsidRPr="00BE448F">
              <w:rPr>
                <w:rFonts w:ascii="Palatino Linotype" w:hAnsi="Palatino Linotype" w:cs="Times New Roman"/>
                <w:b/>
                <w:color w:val="000000" w:themeColor="text1"/>
              </w:rPr>
              <w:t xml:space="preserve"> </w:t>
            </w:r>
            <w:proofErr w:type="spellStart"/>
            <w:r w:rsidRPr="00BE448F">
              <w:rPr>
                <w:rFonts w:ascii="Palatino Linotype" w:hAnsi="Palatino Linotype" w:cs="Times New Roman"/>
                <w:b/>
                <w:color w:val="000000" w:themeColor="text1"/>
              </w:rPr>
              <w:t>Yapur</w:t>
            </w:r>
            <w:proofErr w:type="spellEnd"/>
          </w:p>
          <w:p w14:paraId="1F273387"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Comisionada</w:t>
            </w:r>
          </w:p>
          <w:p w14:paraId="3DF082DB"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(Rúbrica)</w:t>
            </w:r>
          </w:p>
        </w:tc>
        <w:tc>
          <w:tcPr>
            <w:tcW w:w="4820" w:type="dxa"/>
            <w:gridSpan w:val="2"/>
            <w:vAlign w:val="center"/>
          </w:tcPr>
          <w:p w14:paraId="4ED8E9F8" w14:textId="77777777" w:rsidR="001A35DC" w:rsidRPr="00BE448F" w:rsidRDefault="001A35DC" w:rsidP="00CB7B22">
            <w:pPr>
              <w:spacing w:line="360" w:lineRule="auto"/>
              <w:jc w:val="center"/>
              <w:rPr>
                <w:rFonts w:ascii="Palatino Linotype" w:hAnsi="Palatino Linotype" w:cs="Times New Roman"/>
                <w:b/>
                <w:color w:val="000000" w:themeColor="text1"/>
              </w:rPr>
            </w:pPr>
          </w:p>
          <w:p w14:paraId="4B5E334A" w14:textId="77777777" w:rsidR="001A35DC" w:rsidRPr="00BE448F" w:rsidRDefault="001A35DC" w:rsidP="00CB7B22">
            <w:pPr>
              <w:spacing w:line="360" w:lineRule="auto"/>
              <w:jc w:val="center"/>
              <w:rPr>
                <w:rFonts w:ascii="Palatino Linotype" w:hAnsi="Palatino Linotype" w:cs="Times New Roman"/>
                <w:b/>
                <w:color w:val="000000" w:themeColor="text1"/>
              </w:rPr>
            </w:pPr>
          </w:p>
          <w:p w14:paraId="77E2831C" w14:textId="77777777" w:rsidR="001A35DC" w:rsidRPr="00BE448F" w:rsidRDefault="001A35DC" w:rsidP="00CB7B22">
            <w:pPr>
              <w:spacing w:line="360" w:lineRule="auto"/>
              <w:jc w:val="center"/>
              <w:rPr>
                <w:rFonts w:ascii="Palatino Linotype" w:hAnsi="Palatino Linotype" w:cs="Times New Roman"/>
                <w:b/>
                <w:color w:val="000000" w:themeColor="text1"/>
              </w:rPr>
            </w:pPr>
            <w:r w:rsidRPr="00BE448F">
              <w:rPr>
                <w:rFonts w:ascii="Palatino Linotype" w:hAnsi="Palatino Linotype" w:cs="Times New Roman"/>
                <w:b/>
                <w:color w:val="000000" w:themeColor="text1"/>
              </w:rPr>
              <w:t>José Guadalupe Luna Hernández</w:t>
            </w:r>
          </w:p>
          <w:p w14:paraId="47CCB239"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Comisionado</w:t>
            </w:r>
          </w:p>
          <w:p w14:paraId="12DE01A9"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(Rúbrica)</w:t>
            </w:r>
          </w:p>
        </w:tc>
      </w:tr>
      <w:tr w:rsidR="001A35DC" w:rsidRPr="00BE448F" w14:paraId="3FE46742" w14:textId="77777777" w:rsidTr="000C1C87">
        <w:trPr>
          <w:trHeight w:val="2244"/>
        </w:trPr>
        <w:tc>
          <w:tcPr>
            <w:tcW w:w="4536" w:type="dxa"/>
            <w:gridSpan w:val="2"/>
            <w:vAlign w:val="center"/>
          </w:tcPr>
          <w:p w14:paraId="16102F9B" w14:textId="77777777" w:rsidR="001A35DC" w:rsidRPr="00BE448F" w:rsidRDefault="001A35DC" w:rsidP="00CB7B22">
            <w:pPr>
              <w:spacing w:line="360" w:lineRule="auto"/>
              <w:jc w:val="center"/>
              <w:rPr>
                <w:rFonts w:ascii="Palatino Linotype" w:hAnsi="Palatino Linotype" w:cs="Times New Roman"/>
                <w:b/>
                <w:color w:val="000000" w:themeColor="text1"/>
              </w:rPr>
            </w:pPr>
          </w:p>
          <w:p w14:paraId="22E7CF88" w14:textId="77777777" w:rsidR="001A35DC" w:rsidRPr="00BE448F" w:rsidRDefault="001A35DC" w:rsidP="00CB7B22">
            <w:pPr>
              <w:spacing w:line="360" w:lineRule="auto"/>
              <w:jc w:val="center"/>
              <w:rPr>
                <w:rFonts w:ascii="Palatino Linotype" w:hAnsi="Palatino Linotype" w:cs="Times New Roman"/>
                <w:b/>
                <w:color w:val="000000" w:themeColor="text1"/>
              </w:rPr>
            </w:pPr>
          </w:p>
          <w:p w14:paraId="321148B5"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b/>
                <w:color w:val="000000" w:themeColor="text1"/>
              </w:rPr>
              <w:t>Javier Martínez Cruz</w:t>
            </w:r>
            <w:r w:rsidRPr="00BE448F">
              <w:rPr>
                <w:rFonts w:ascii="Palatino Linotype" w:hAnsi="Palatino Linotype" w:cs="Times New Roman"/>
                <w:color w:val="000000" w:themeColor="text1"/>
              </w:rPr>
              <w:t xml:space="preserve"> </w:t>
            </w:r>
          </w:p>
          <w:p w14:paraId="5C1F1959"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Comisionado</w:t>
            </w:r>
          </w:p>
          <w:p w14:paraId="301C641E" w14:textId="77777777" w:rsidR="001A35DC" w:rsidRPr="00BE448F" w:rsidRDefault="001A35DC" w:rsidP="00CB7B22">
            <w:pPr>
              <w:spacing w:line="360" w:lineRule="auto"/>
              <w:jc w:val="center"/>
              <w:rPr>
                <w:rFonts w:ascii="Palatino Linotype" w:hAnsi="Palatino Linotype" w:cs="Times New Roman"/>
                <w:b/>
                <w:color w:val="000000" w:themeColor="text1"/>
              </w:rPr>
            </w:pPr>
            <w:r w:rsidRPr="00BE448F">
              <w:rPr>
                <w:rFonts w:ascii="Palatino Linotype" w:hAnsi="Palatino Linotype" w:cs="Times New Roman"/>
                <w:color w:val="000000" w:themeColor="text1"/>
              </w:rPr>
              <w:t>(Rúbrica)</w:t>
            </w:r>
          </w:p>
        </w:tc>
        <w:tc>
          <w:tcPr>
            <w:tcW w:w="4537" w:type="dxa"/>
            <w:vAlign w:val="center"/>
          </w:tcPr>
          <w:p w14:paraId="4C39A53F" w14:textId="77777777" w:rsidR="001A35DC" w:rsidRPr="00BE448F" w:rsidRDefault="001A35DC" w:rsidP="00CB7B22">
            <w:pPr>
              <w:spacing w:line="360" w:lineRule="auto"/>
              <w:jc w:val="center"/>
              <w:rPr>
                <w:rFonts w:ascii="Palatino Linotype" w:hAnsi="Palatino Linotype" w:cs="Times New Roman"/>
                <w:color w:val="000000" w:themeColor="text1"/>
              </w:rPr>
            </w:pPr>
          </w:p>
          <w:p w14:paraId="42265934" w14:textId="77777777" w:rsidR="001A35DC" w:rsidRPr="00BE448F" w:rsidRDefault="001A35DC" w:rsidP="00CB7B22">
            <w:pPr>
              <w:spacing w:line="360" w:lineRule="auto"/>
              <w:jc w:val="center"/>
              <w:rPr>
                <w:rFonts w:ascii="Palatino Linotype" w:hAnsi="Palatino Linotype" w:cs="Times New Roman"/>
                <w:color w:val="000000" w:themeColor="text1"/>
              </w:rPr>
            </w:pPr>
          </w:p>
          <w:p w14:paraId="5438EF04"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b/>
                <w:color w:val="000000" w:themeColor="text1"/>
              </w:rPr>
              <w:t>Luis Gustavo Parra Noriega</w:t>
            </w:r>
          </w:p>
          <w:p w14:paraId="27363F1A"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Comisionado</w:t>
            </w:r>
          </w:p>
          <w:p w14:paraId="671F8955"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(Rúbrica)</w:t>
            </w:r>
          </w:p>
        </w:tc>
      </w:tr>
      <w:tr w:rsidR="001A35DC" w:rsidRPr="00BE448F" w14:paraId="12002211" w14:textId="77777777" w:rsidTr="000C1C87">
        <w:trPr>
          <w:trHeight w:val="1953"/>
        </w:trPr>
        <w:tc>
          <w:tcPr>
            <w:tcW w:w="9073" w:type="dxa"/>
            <w:gridSpan w:val="3"/>
            <w:vAlign w:val="center"/>
          </w:tcPr>
          <w:p w14:paraId="385A1F9A" w14:textId="77777777" w:rsidR="001A35DC" w:rsidRPr="00BE448F" w:rsidRDefault="001A35DC" w:rsidP="00CB7B22">
            <w:pPr>
              <w:pStyle w:val="Prrafodelista"/>
              <w:spacing w:line="360" w:lineRule="auto"/>
              <w:ind w:left="0"/>
              <w:jc w:val="center"/>
              <w:rPr>
                <w:rFonts w:ascii="Palatino Linotype" w:hAnsi="Palatino Linotype"/>
                <w:color w:val="000000" w:themeColor="text1"/>
              </w:rPr>
            </w:pPr>
          </w:p>
          <w:p w14:paraId="31DB056C" w14:textId="77777777" w:rsidR="001A35DC" w:rsidRPr="00BE448F" w:rsidRDefault="001A35DC" w:rsidP="00CB7B22">
            <w:pPr>
              <w:pStyle w:val="Prrafodelista"/>
              <w:spacing w:line="360" w:lineRule="auto"/>
              <w:ind w:left="0"/>
              <w:jc w:val="center"/>
              <w:rPr>
                <w:rFonts w:ascii="Palatino Linotype" w:hAnsi="Palatino Linotype"/>
                <w:color w:val="000000" w:themeColor="text1"/>
              </w:rPr>
            </w:pPr>
          </w:p>
          <w:p w14:paraId="3A6BC6E4" w14:textId="77777777" w:rsidR="001A35DC" w:rsidRPr="00BE448F" w:rsidRDefault="001A35DC" w:rsidP="00CB7B22">
            <w:pPr>
              <w:spacing w:line="360" w:lineRule="auto"/>
              <w:jc w:val="center"/>
              <w:rPr>
                <w:rFonts w:ascii="Palatino Linotype" w:hAnsi="Palatino Linotype" w:cs="Times New Roman"/>
                <w:b/>
                <w:color w:val="000000" w:themeColor="text1"/>
              </w:rPr>
            </w:pPr>
            <w:r w:rsidRPr="00BE448F">
              <w:rPr>
                <w:rFonts w:ascii="Palatino Linotype" w:hAnsi="Palatino Linotype" w:cs="Times New Roman"/>
                <w:b/>
                <w:color w:val="000000" w:themeColor="text1"/>
              </w:rPr>
              <w:t>Alexis Tapia Ramírez</w:t>
            </w:r>
          </w:p>
          <w:p w14:paraId="53B9FDAE"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Secretario Técnico del Pleno</w:t>
            </w:r>
          </w:p>
          <w:p w14:paraId="2145E8C9" w14:textId="77777777" w:rsidR="001A35DC" w:rsidRPr="00BE448F" w:rsidRDefault="001A35DC" w:rsidP="00CB7B22">
            <w:pPr>
              <w:spacing w:line="360" w:lineRule="auto"/>
              <w:jc w:val="center"/>
              <w:rPr>
                <w:rFonts w:ascii="Palatino Linotype" w:hAnsi="Palatino Linotype" w:cs="Times New Roman"/>
                <w:color w:val="000000" w:themeColor="text1"/>
              </w:rPr>
            </w:pPr>
            <w:r w:rsidRPr="00BE448F">
              <w:rPr>
                <w:rFonts w:ascii="Palatino Linotype" w:hAnsi="Palatino Linotype" w:cs="Times New Roman"/>
                <w:color w:val="000000" w:themeColor="text1"/>
              </w:rPr>
              <w:t>(Rúbrica)</w:t>
            </w:r>
          </w:p>
        </w:tc>
      </w:tr>
    </w:tbl>
    <w:p w14:paraId="788D89A2" w14:textId="77777777" w:rsidR="001A35DC" w:rsidRPr="00BE448F" w:rsidRDefault="001A35DC" w:rsidP="00CB7B22">
      <w:pPr>
        <w:spacing w:before="240" w:after="240" w:line="360" w:lineRule="auto"/>
        <w:jc w:val="both"/>
        <w:rPr>
          <w:rFonts w:ascii="Palatino Linotype" w:eastAsia="Times New Roman" w:hAnsi="Palatino Linotype" w:cs="Arial"/>
        </w:rPr>
      </w:pPr>
    </w:p>
    <w:p w14:paraId="169C6198" w14:textId="7C9C7703" w:rsidR="00583732" w:rsidRPr="002559AD" w:rsidRDefault="00CE2277" w:rsidP="00CB7B22">
      <w:pPr>
        <w:spacing w:before="240" w:after="240" w:line="360" w:lineRule="auto"/>
        <w:jc w:val="both"/>
        <w:rPr>
          <w:rFonts w:ascii="Palatino Linotype" w:eastAsia="Times New Roman" w:hAnsi="Palatino Linotype" w:cs="Arial"/>
          <w:b/>
        </w:rPr>
      </w:pPr>
      <w:r w:rsidRPr="00BE448F">
        <w:rPr>
          <w:rFonts w:ascii="Palatino Linotype" w:eastAsia="Times New Roman" w:hAnsi="Palatino Linotype" w:cs="Arial"/>
        </w:rPr>
        <w:t xml:space="preserve">Esta hoja corresponde a la resolución </w:t>
      </w:r>
      <w:r w:rsidR="002559AD" w:rsidRPr="00BE448F">
        <w:rPr>
          <w:rFonts w:ascii="Palatino Linotype" w:eastAsia="Times New Roman" w:hAnsi="Palatino Linotype" w:cs="Arial"/>
        </w:rPr>
        <w:t>de cinco</w:t>
      </w:r>
      <w:r w:rsidR="00B43D19" w:rsidRPr="00BE448F">
        <w:rPr>
          <w:rFonts w:ascii="Palatino Linotype" w:eastAsia="Times New Roman" w:hAnsi="Palatino Linotype" w:cs="Arial"/>
        </w:rPr>
        <w:t xml:space="preserve"> </w:t>
      </w:r>
      <w:r w:rsidRPr="00BE448F">
        <w:rPr>
          <w:rFonts w:ascii="Palatino Linotype" w:eastAsia="Times New Roman" w:hAnsi="Palatino Linotype" w:cs="Arial"/>
        </w:rPr>
        <w:t>(</w:t>
      </w:r>
      <w:r w:rsidR="002559AD" w:rsidRPr="00BE448F">
        <w:rPr>
          <w:rFonts w:ascii="Palatino Linotype" w:eastAsia="Times New Roman" w:hAnsi="Palatino Linotype" w:cs="Arial"/>
        </w:rPr>
        <w:t>05</w:t>
      </w:r>
      <w:r w:rsidR="00255799" w:rsidRPr="00BE448F">
        <w:rPr>
          <w:rFonts w:ascii="Palatino Linotype" w:eastAsia="Times New Roman" w:hAnsi="Palatino Linotype" w:cs="Arial"/>
        </w:rPr>
        <w:t>) de</w:t>
      </w:r>
      <w:r w:rsidR="002559AD" w:rsidRPr="00BE448F">
        <w:rPr>
          <w:rFonts w:ascii="Palatino Linotype" w:eastAsia="Times New Roman" w:hAnsi="Palatino Linotype" w:cs="Arial"/>
        </w:rPr>
        <w:t xml:space="preserve"> noviembre </w:t>
      </w:r>
      <w:r w:rsidRPr="00BE448F">
        <w:rPr>
          <w:rFonts w:ascii="Palatino Linotype" w:eastAsia="Times New Roman" w:hAnsi="Palatino Linotype" w:cs="Arial"/>
        </w:rPr>
        <w:t>de dos mil</w:t>
      </w:r>
      <w:r w:rsidR="00B43D19" w:rsidRPr="00BE448F">
        <w:rPr>
          <w:rFonts w:ascii="Palatino Linotype" w:eastAsia="Times New Roman" w:hAnsi="Palatino Linotype" w:cs="Arial"/>
        </w:rPr>
        <w:t xml:space="preserve"> veinte</w:t>
      </w:r>
      <w:r w:rsidRPr="00BE448F">
        <w:rPr>
          <w:rFonts w:ascii="Palatino Linotype" w:eastAsia="Times New Roman" w:hAnsi="Palatino Linotype" w:cs="Arial"/>
        </w:rPr>
        <w:t xml:space="preserve">, emitida en el recurso de revisión </w:t>
      </w:r>
      <w:r w:rsidR="002559AD" w:rsidRPr="00BE448F">
        <w:rPr>
          <w:rFonts w:ascii="Palatino Linotype" w:eastAsia="Times New Roman" w:hAnsi="Palatino Linotype" w:cs="Arial"/>
          <w:b/>
        </w:rPr>
        <w:t>03508</w:t>
      </w:r>
      <w:r w:rsidR="005351C0" w:rsidRPr="00BE448F">
        <w:rPr>
          <w:rFonts w:ascii="Palatino Linotype" w:eastAsia="Times New Roman" w:hAnsi="Palatino Linotype" w:cs="Arial"/>
          <w:b/>
        </w:rPr>
        <w:t>/INFOEM/IP/RR</w:t>
      </w:r>
      <w:r w:rsidR="002559AD" w:rsidRPr="00BE448F">
        <w:rPr>
          <w:rFonts w:ascii="Palatino Linotype" w:eastAsia="Times New Roman" w:hAnsi="Palatino Linotype" w:cs="Arial"/>
          <w:b/>
        </w:rPr>
        <w:t>/2020</w:t>
      </w:r>
      <w:r w:rsidRPr="00BE448F">
        <w:rPr>
          <w:rFonts w:ascii="Palatino Linotype" w:eastAsia="Times New Roman" w:hAnsi="Palatino Linotype" w:cs="Arial"/>
        </w:rPr>
        <w:t>.</w:t>
      </w:r>
    </w:p>
    <w:sectPr w:rsidR="00583732" w:rsidRPr="002559AD" w:rsidSect="00472C41">
      <w:headerReference w:type="even" r:id="rId14"/>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C7C3F" w14:textId="77777777" w:rsidR="00077ECF" w:rsidRDefault="00077ECF" w:rsidP="00587366">
      <w:r>
        <w:separator/>
      </w:r>
    </w:p>
  </w:endnote>
  <w:endnote w:type="continuationSeparator" w:id="0">
    <w:p w14:paraId="371DAC12" w14:textId="77777777" w:rsidR="00077ECF" w:rsidRDefault="00077EC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077ECF" w:rsidRPr="00883450" w:rsidRDefault="00077EC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58B6">
              <w:rPr>
                <w:rFonts w:ascii="Palatino Linotype" w:hAnsi="Palatino Linotype"/>
                <w:b/>
                <w:bCs/>
                <w:noProof/>
                <w:sz w:val="22"/>
                <w:szCs w:val="20"/>
              </w:rPr>
              <w:t>96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58B6">
              <w:rPr>
                <w:rFonts w:ascii="Palatino Linotype" w:hAnsi="Palatino Linotype"/>
                <w:b/>
                <w:bCs/>
                <w:noProof/>
                <w:sz w:val="22"/>
                <w:szCs w:val="20"/>
              </w:rPr>
              <w:t>96</w:t>
            </w:r>
            <w:r w:rsidRPr="00883450">
              <w:rPr>
                <w:rFonts w:ascii="Palatino Linotype" w:hAnsi="Palatino Linotype"/>
                <w:b/>
                <w:bCs/>
                <w:sz w:val="22"/>
                <w:szCs w:val="20"/>
              </w:rPr>
              <w:fldChar w:fldCharType="end"/>
            </w:r>
          </w:p>
        </w:sdtContent>
      </w:sdt>
    </w:sdtContent>
  </w:sdt>
  <w:p w14:paraId="6243EC1B" w14:textId="77777777" w:rsidR="00077ECF" w:rsidRDefault="00077E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42F7304A" w:rsidR="00077ECF" w:rsidRPr="00883450" w:rsidRDefault="00077EC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58B6" w:rsidRPr="00C858B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58B6" w:rsidRPr="00C858B6">
      <w:rPr>
        <w:rFonts w:ascii="Palatino Linotype" w:hAnsi="Palatino Linotype"/>
        <w:noProof/>
        <w:sz w:val="22"/>
        <w:szCs w:val="22"/>
        <w:lang w:val="es-ES"/>
      </w:rPr>
      <w:t>96</w:t>
    </w:r>
    <w:r w:rsidRPr="00883450">
      <w:rPr>
        <w:rFonts w:ascii="Palatino Linotype" w:hAnsi="Palatino Linotype"/>
        <w:sz w:val="22"/>
        <w:szCs w:val="22"/>
      </w:rPr>
      <w:fldChar w:fldCharType="end"/>
    </w:r>
  </w:p>
  <w:p w14:paraId="5F5C4865" w14:textId="77777777" w:rsidR="00077ECF" w:rsidRPr="00883450" w:rsidRDefault="00077EC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31519" w14:textId="77777777" w:rsidR="00077ECF" w:rsidRDefault="00077ECF" w:rsidP="00587366">
      <w:r>
        <w:separator/>
      </w:r>
    </w:p>
  </w:footnote>
  <w:footnote w:type="continuationSeparator" w:id="0">
    <w:p w14:paraId="57EFB6A8" w14:textId="77777777" w:rsidR="00077ECF" w:rsidRDefault="00077ECF" w:rsidP="00587366">
      <w:r>
        <w:continuationSeparator/>
      </w:r>
    </w:p>
  </w:footnote>
  <w:footnote w:id="1">
    <w:p w14:paraId="6304D60B" w14:textId="77777777" w:rsidR="00077ECF" w:rsidRPr="00762DE6" w:rsidRDefault="00077ECF" w:rsidP="006B1535">
      <w:pPr>
        <w:pStyle w:val="Textonotapie"/>
        <w:rPr>
          <w:rFonts w:ascii="Palatino Linotype" w:hAnsi="Palatino Linotype"/>
          <w:sz w:val="18"/>
        </w:rPr>
      </w:pPr>
      <w:r>
        <w:rPr>
          <w:rStyle w:val="Refdenotaalpie"/>
        </w:rPr>
        <w:footnoteRef/>
      </w:r>
      <w:r>
        <w:t xml:space="preserve"> </w:t>
      </w:r>
      <w:r w:rsidRPr="00762DE6">
        <w:rPr>
          <w:rFonts w:ascii="Palatino Linotype" w:hAnsi="Palatino Linotype"/>
          <w:sz w:val="18"/>
        </w:rPr>
        <w:t>Convención Americana sobre Derechos Humanos. Artículo 13.</w:t>
      </w:r>
    </w:p>
  </w:footnote>
  <w:footnote w:id="2">
    <w:p w14:paraId="4B943F8F" w14:textId="77777777" w:rsidR="00077ECF" w:rsidRPr="00762DE6" w:rsidRDefault="00077ECF" w:rsidP="006B1535">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Constitución Política de los Estados Unidos Mexicanos. Artículo sexto, sección A, fracción I.</w:t>
      </w:r>
    </w:p>
  </w:footnote>
  <w:footnote w:id="3">
    <w:p w14:paraId="11572971" w14:textId="77777777" w:rsidR="00077ECF" w:rsidRPr="00762DE6" w:rsidRDefault="00077ECF" w:rsidP="006B1535">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57DD9B62" w14:textId="77777777" w:rsidR="00077ECF" w:rsidRDefault="00077ECF" w:rsidP="006B1535">
      <w:pPr>
        <w:pStyle w:val="Textonotapie"/>
      </w:pPr>
      <w:r w:rsidRPr="00762DE6">
        <w:rPr>
          <w:rStyle w:val="Refdenotaalpie"/>
          <w:rFonts w:ascii="Palatino Linotype" w:hAnsi="Palatino Linotype"/>
          <w:sz w:val="18"/>
        </w:rPr>
        <w:footnoteRef/>
      </w:r>
      <w:r w:rsidRPr="00762DE6">
        <w:rPr>
          <w:rFonts w:ascii="Palatino Linotype" w:hAnsi="Palatino Linotype"/>
          <w:sz w:val="18"/>
        </w:rPr>
        <w:t xml:space="preserve"> Ibídem. </w:t>
      </w:r>
      <w:proofErr w:type="spellStart"/>
      <w:r w:rsidRPr="00762DE6">
        <w:rPr>
          <w:rFonts w:ascii="Palatino Linotype" w:hAnsi="Palatino Linotype"/>
          <w:sz w:val="18"/>
        </w:rPr>
        <w:t>Parr</w:t>
      </w:r>
      <w:proofErr w:type="spellEnd"/>
      <w:r w:rsidRPr="00762DE6">
        <w:rPr>
          <w:rFonts w:ascii="Palatino Linotype" w:hAnsi="Palatino Linotype"/>
          <w:sz w:val="18"/>
        </w:rPr>
        <w:t>. 87.</w:t>
      </w:r>
    </w:p>
  </w:footnote>
  <w:footnote w:id="5">
    <w:p w14:paraId="2702A469" w14:textId="77777777" w:rsidR="00077ECF" w:rsidRDefault="00077ECF" w:rsidP="003F14A4">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6">
    <w:p w14:paraId="1299B779" w14:textId="77777777" w:rsidR="00077ECF" w:rsidRDefault="00077ECF" w:rsidP="003D734F">
      <w:pPr>
        <w:pStyle w:val="Textonotapie"/>
      </w:pPr>
      <w:r>
        <w:rPr>
          <w:rStyle w:val="Refdenotaalpie"/>
        </w:rPr>
        <w:footnoteRef/>
      </w:r>
      <w:r>
        <w:t xml:space="preserve"> Ley de Transparencia y Acceso a la Información Pública del Estado de México y Municipios. Artículo 9. …</w:t>
      </w:r>
    </w:p>
    <w:p w14:paraId="2E2065B7" w14:textId="77777777" w:rsidR="00077ECF" w:rsidRDefault="00077ECF" w:rsidP="003D734F">
      <w:pPr>
        <w:pStyle w:val="Textonotapie"/>
      </w:pPr>
      <w:r>
        <w:t>II. Eficacia: Obligación del Instituto para tutelar, de manera efectiva, el derecho de acceso a la información;</w:t>
      </w:r>
    </w:p>
    <w:p w14:paraId="2BEADF45" w14:textId="77777777" w:rsidR="00077ECF" w:rsidRDefault="00077ECF" w:rsidP="003D734F">
      <w:pPr>
        <w:pStyle w:val="Textonotapie"/>
      </w:pPr>
      <w:r>
        <w:t xml:space="preserve">… </w:t>
      </w:r>
    </w:p>
  </w:footnote>
  <w:footnote w:id="7">
    <w:p w14:paraId="48C2CCE9" w14:textId="20451996" w:rsidR="00077ECF" w:rsidRDefault="00077ECF">
      <w:pPr>
        <w:pStyle w:val="Textonotapie"/>
      </w:pPr>
      <w:r>
        <w:rPr>
          <w:rStyle w:val="Refdenotaalpie"/>
        </w:rPr>
        <w:footnoteRef/>
      </w:r>
      <w:r>
        <w:t xml:space="preserve"> Relatoría Especial para la Libertad de Expresión de la Comisión Interamericana de Derechos Humanos. El Derecho de Acceso a la Información en el Marco Jurídico Interamericano. Segunda Edición. Párrafo 10, página 4.</w:t>
      </w:r>
    </w:p>
  </w:footnote>
  <w:footnote w:id="8">
    <w:p w14:paraId="0594D842" w14:textId="77777777" w:rsidR="00077ECF" w:rsidRDefault="00077ECF" w:rsidP="008A5237">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9">
    <w:p w14:paraId="08192E5C" w14:textId="77777777" w:rsidR="00077ECF" w:rsidRDefault="00077ECF" w:rsidP="00F17608">
      <w:pPr>
        <w:pStyle w:val="Textonotapie"/>
      </w:pPr>
      <w:r>
        <w:rPr>
          <w:rStyle w:val="Refdenotaalpie"/>
        </w:rPr>
        <w:footnoteRef/>
      </w:r>
      <w:r>
        <w:t xml:space="preserve"> Artículo 94, Ley de Responsabilidades Administrativas del Estado de México y Municipios.</w:t>
      </w:r>
    </w:p>
  </w:footnote>
  <w:footnote w:id="10">
    <w:p w14:paraId="491422B6" w14:textId="77777777" w:rsidR="00077ECF" w:rsidRDefault="00077ECF" w:rsidP="00F17608">
      <w:pPr>
        <w:pStyle w:val="Textonotapie"/>
      </w:pPr>
      <w:r>
        <w:rPr>
          <w:rStyle w:val="Refdenotaalpie"/>
        </w:rPr>
        <w:footnoteRef/>
      </w:r>
      <w:r>
        <w:t xml:space="preserve"> Artículo 96, Ley de Responsabilidades Administrativas del Estado de México y Municipios.</w:t>
      </w:r>
    </w:p>
  </w:footnote>
  <w:footnote w:id="11">
    <w:p w14:paraId="24848F2A" w14:textId="77777777" w:rsidR="00077ECF" w:rsidRDefault="00077ECF" w:rsidP="00F17608">
      <w:pPr>
        <w:pStyle w:val="Textonotapie"/>
      </w:pPr>
      <w:r>
        <w:rPr>
          <w:rStyle w:val="Refdenotaalpie"/>
        </w:rPr>
        <w:footnoteRef/>
      </w:r>
      <w:r>
        <w:t xml:space="preserve"> Artículos 99, Ídem.</w:t>
      </w:r>
    </w:p>
  </w:footnote>
  <w:footnote w:id="12">
    <w:p w14:paraId="0C74F914" w14:textId="77777777" w:rsidR="00077ECF" w:rsidRDefault="00077ECF" w:rsidP="00F17608">
      <w:pPr>
        <w:pStyle w:val="Textonotapie"/>
      </w:pPr>
      <w:r>
        <w:rPr>
          <w:rStyle w:val="Refdenotaalpie"/>
        </w:rPr>
        <w:footnoteRef/>
      </w:r>
      <w:r>
        <w:t xml:space="preserve"> Artículo 101, Ídem.</w:t>
      </w:r>
    </w:p>
  </w:footnote>
  <w:footnote w:id="13">
    <w:p w14:paraId="7E843E4B" w14:textId="77777777" w:rsidR="00077ECF" w:rsidRDefault="00077ECF" w:rsidP="00F17608">
      <w:pPr>
        <w:pStyle w:val="Textonotapie"/>
      </w:pPr>
      <w:r>
        <w:rPr>
          <w:rStyle w:val="Refdenotaalpie"/>
        </w:rPr>
        <w:footnoteRef/>
      </w:r>
      <w:r>
        <w:t xml:space="preserve"> Artículo 104 de la Ley de Responsabilidades Administrativas.</w:t>
      </w:r>
    </w:p>
  </w:footnote>
  <w:footnote w:id="14">
    <w:p w14:paraId="3256AEC5" w14:textId="77777777" w:rsidR="00077ECF" w:rsidRDefault="00077ECF" w:rsidP="00F17608">
      <w:pPr>
        <w:pStyle w:val="Textonotapie"/>
      </w:pPr>
      <w:r>
        <w:rPr>
          <w:rStyle w:val="Refdenotaalpie"/>
        </w:rPr>
        <w:footnoteRef/>
      </w:r>
      <w:r>
        <w:t xml:space="preserve"> Ídem.</w:t>
      </w:r>
    </w:p>
  </w:footnote>
  <w:footnote w:id="15">
    <w:p w14:paraId="427B8838" w14:textId="77777777" w:rsidR="00077ECF" w:rsidRDefault="00077ECF" w:rsidP="00F17608">
      <w:pPr>
        <w:pStyle w:val="Textonotapie"/>
      </w:pPr>
      <w:r>
        <w:rPr>
          <w:rStyle w:val="Refdenotaalpie"/>
        </w:rPr>
        <w:footnoteRef/>
      </w:r>
      <w:r>
        <w:t xml:space="preserve"> Ídem.</w:t>
      </w:r>
    </w:p>
  </w:footnote>
  <w:footnote w:id="16">
    <w:p w14:paraId="18259F38" w14:textId="77777777" w:rsidR="00077ECF" w:rsidRDefault="00077ECF" w:rsidP="00F17608">
      <w:pPr>
        <w:pStyle w:val="Textonotapie"/>
      </w:pPr>
      <w:r>
        <w:rPr>
          <w:rStyle w:val="Refdenotaalpie"/>
        </w:rPr>
        <w:footnoteRef/>
      </w:r>
      <w:r>
        <w:t xml:space="preserve"> Artículo 116 de la Ley de Responsabilidades Administrativas.</w:t>
      </w:r>
    </w:p>
  </w:footnote>
  <w:footnote w:id="17">
    <w:p w14:paraId="7659D6C5" w14:textId="77777777" w:rsidR="00077ECF" w:rsidRDefault="00077ECF" w:rsidP="00F17608">
      <w:pPr>
        <w:pStyle w:val="Textonotapie"/>
      </w:pPr>
      <w:r>
        <w:rPr>
          <w:rStyle w:val="Refdenotaalpie"/>
        </w:rPr>
        <w:footnoteRef/>
      </w:r>
      <w:r>
        <w:t xml:space="preserve"> </w:t>
      </w:r>
      <w:proofErr w:type="spellStart"/>
      <w:r>
        <w:t>Articulo</w:t>
      </w:r>
      <w:proofErr w:type="spellEnd"/>
      <w:r>
        <w:t xml:space="preserve"> 119, Ley de Responsabilidades Administrativas del Estado de México y Municipios.</w:t>
      </w:r>
    </w:p>
  </w:footnote>
  <w:footnote w:id="18">
    <w:p w14:paraId="3BBCA15F" w14:textId="77777777" w:rsidR="00077ECF" w:rsidRPr="00ED2A04" w:rsidRDefault="00077ECF" w:rsidP="00DF6473">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9">
    <w:p w14:paraId="4E879526" w14:textId="77777777" w:rsidR="00077ECF" w:rsidRPr="00ED2A04" w:rsidRDefault="00077ECF" w:rsidP="00DF6473">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20">
    <w:p w14:paraId="4271B243" w14:textId="77777777" w:rsidR="00077ECF" w:rsidRPr="000406A4" w:rsidRDefault="00077ECF" w:rsidP="00DF6473">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21">
    <w:p w14:paraId="1ED09DEB" w14:textId="77777777" w:rsidR="00077ECF" w:rsidRPr="000406A4" w:rsidRDefault="00077ECF" w:rsidP="00DF6473">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22">
    <w:p w14:paraId="4446F139" w14:textId="77777777" w:rsidR="00077ECF" w:rsidRPr="000406A4" w:rsidRDefault="00077ECF" w:rsidP="00DF6473">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3">
    <w:p w14:paraId="70A10207" w14:textId="77777777" w:rsidR="00077ECF" w:rsidRPr="000406A4" w:rsidRDefault="00077ECF" w:rsidP="00DF6473">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4">
    <w:p w14:paraId="6BD7BD14" w14:textId="77777777" w:rsidR="00077ECF" w:rsidRPr="000406A4" w:rsidRDefault="00077ECF" w:rsidP="00DF6473">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5">
    <w:p w14:paraId="4E7D8FE4" w14:textId="77777777" w:rsidR="00077ECF" w:rsidRPr="00042E67" w:rsidRDefault="00077ECF" w:rsidP="00DF6473">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6">
    <w:p w14:paraId="4205FFC2" w14:textId="77777777" w:rsidR="00077ECF" w:rsidRPr="00A4142C" w:rsidRDefault="00077ECF" w:rsidP="00DF6473">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27">
    <w:p w14:paraId="7B319ED3" w14:textId="77777777" w:rsidR="00077ECF" w:rsidRPr="003C2A2C" w:rsidRDefault="00077ECF" w:rsidP="00DF6473">
      <w:pPr>
        <w:jc w:val="both"/>
        <w:rPr>
          <w:rFonts w:ascii="Palatino Linotype" w:eastAsia="Times New Roman" w:hAnsi="Palatino Linotype" w:cs="Times New Roman"/>
          <w:b/>
          <w:bCs/>
          <w:color w:val="000000"/>
          <w:sz w:val="20"/>
          <w:szCs w:val="20"/>
          <w:lang w:eastAsia="es-ES_tradnl"/>
        </w:rPr>
      </w:pPr>
      <w:r>
        <w:rPr>
          <w:rStyle w:val="Refdenotaalpie"/>
        </w:rPr>
        <w:footnoteRef/>
      </w:r>
      <w:r>
        <w:t xml:space="preserve"> </w:t>
      </w:r>
      <w:r w:rsidRPr="003C2A2C">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3C2A2C">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límites encierran una colisión que debe resolverse con ayuda de un método específico </w:t>
      </w:r>
      <w:r w:rsidRPr="003604AC">
        <w:rPr>
          <w:rFonts w:ascii="Palatino Linotype" w:eastAsia="Times New Roman" w:hAnsi="Palatino Linotype" w:cs="Times New Roman"/>
          <w:color w:val="000000"/>
          <w:sz w:val="20"/>
          <w:szCs w:val="20"/>
          <w:lang w:eastAsia="es-ES_tradnl"/>
        </w:rPr>
        <w:t>denominado</w:t>
      </w:r>
      <w:r>
        <w:rPr>
          <w:rFonts w:ascii="Palatino Linotype" w:eastAsia="Times New Roman" w:hAnsi="Palatino Linotype" w:cs="Times New Roman"/>
          <w:color w:val="000000"/>
          <w:sz w:val="20"/>
          <w:szCs w:val="20"/>
          <w:lang w:eastAsia="es-ES_tradnl"/>
        </w:rPr>
        <w:t xml:space="preserve"> </w:t>
      </w:r>
      <w:r>
        <w:rPr>
          <w:rFonts w:ascii="Palatino Linotype" w:eastAsia="Times New Roman" w:hAnsi="Palatino Linotype" w:cs="Times New Roman"/>
          <w:b/>
          <w:bCs/>
          <w:color w:val="000000"/>
          <w:sz w:val="20"/>
          <w:szCs w:val="20"/>
          <w:lang w:eastAsia="es-ES_tradnl"/>
        </w:rPr>
        <w:t xml:space="preserve">test de </w:t>
      </w:r>
      <w:proofErr w:type="spellStart"/>
      <w:r>
        <w:rPr>
          <w:rFonts w:ascii="Palatino Linotype" w:eastAsia="Times New Roman" w:hAnsi="Palatino Linotype" w:cs="Times New Roman"/>
          <w:b/>
          <w:bCs/>
          <w:color w:val="000000"/>
          <w:sz w:val="20"/>
          <w:szCs w:val="20"/>
          <w:lang w:eastAsia="es-ES_tradnl"/>
        </w:rPr>
        <w:t>proporcionalidad</w:t>
      </w:r>
      <w:r>
        <w:rPr>
          <w:rFonts w:ascii="Palatino Linotype" w:eastAsia="Times New Roman" w:hAnsi="Palatino Linotype" w:cs="Times New Roman"/>
          <w:color w:val="000000"/>
          <w:sz w:val="20"/>
          <w:szCs w:val="20"/>
          <w:lang w:eastAsia="es-ES_tradnl"/>
        </w:rPr>
        <w:t>.</w:t>
      </w:r>
      <w:r w:rsidRPr="003604AC">
        <w:rPr>
          <w:rFonts w:ascii="Palatino Linotype" w:eastAsia="Times New Roman" w:hAnsi="Palatino Linotype" w:cs="Times New Roman"/>
          <w:color w:val="000000"/>
          <w:sz w:val="20"/>
          <w:szCs w:val="20"/>
          <w:lang w:eastAsia="es-ES_tradnl"/>
        </w:rPr>
        <w:t>En</w:t>
      </w:r>
      <w:proofErr w:type="spellEnd"/>
      <w:r w:rsidRPr="003604AC">
        <w:rPr>
          <w:rFonts w:ascii="Palatino Linotype" w:eastAsia="Times New Roman" w:hAnsi="Palatino Linotype" w:cs="Times New Roman"/>
          <w:color w:val="000000"/>
          <w:sz w:val="20"/>
          <w:szCs w:val="20"/>
          <w:lang w:eastAsia="es-ES_tradnl"/>
        </w:rPr>
        <w:t xml:space="preserve"> este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w:t>
      </w:r>
      <w:r>
        <w:rPr>
          <w:rFonts w:ascii="Palatino Linotype" w:eastAsia="Times New Roman" w:hAnsi="Palatino Linotype" w:cs="Times New Roman"/>
          <w:color w:val="000000"/>
          <w:sz w:val="20"/>
          <w:szCs w:val="20"/>
          <w:lang w:eastAsia="es-ES_tradnl"/>
        </w:rPr>
        <w:t xml:space="preserve"> </w:t>
      </w:r>
      <w:r>
        <w:rPr>
          <w:rFonts w:ascii="Palatino Linotype" w:eastAsia="Times New Roman" w:hAnsi="Palatino Linotype" w:cs="Times New Roman"/>
          <w:b/>
          <w:bCs/>
          <w:color w:val="000000"/>
          <w:sz w:val="20"/>
          <w:szCs w:val="20"/>
          <w:lang w:eastAsia="es-ES_tradnl"/>
        </w:rPr>
        <w:t>test de proporcionalidad,</w:t>
      </w:r>
      <w:r>
        <w:rPr>
          <w:rFonts w:ascii="Palatino Linotype" w:eastAsia="Times New Roman" w:hAnsi="Palatino Linotype" w:cs="Times New Roman"/>
          <w:color w:val="000000"/>
          <w:sz w:val="20"/>
          <w:szCs w:val="20"/>
          <w:lang w:eastAsia="es-ES_tradnl"/>
        </w:rPr>
        <w:t xml:space="preserve"> </w:t>
      </w:r>
      <w:r w:rsidRPr="003604AC">
        <w:rPr>
          <w:rFonts w:ascii="Palatino Linotype" w:eastAsia="Times New Roman" w:hAnsi="Palatino Linotype" w:cs="Times New Roman"/>
          <w:color w:val="000000"/>
          <w:sz w:val="20"/>
          <w:szCs w:val="20"/>
          <w:lang w:eastAsia="es-ES_tradnl"/>
        </w:rPr>
        <w:t xml:space="preserve">el derecho fundamental preservará su contenido inicial o prima facie. En cambio, si la ley que limita al derecho se encuentra justificada a la luz </w:t>
      </w:r>
      <w:r>
        <w:rPr>
          <w:rFonts w:ascii="Palatino Linotype" w:eastAsia="Times New Roman" w:hAnsi="Palatino Linotype" w:cs="Times New Roman"/>
          <w:color w:val="000000"/>
          <w:sz w:val="20"/>
          <w:szCs w:val="20"/>
          <w:lang w:eastAsia="es-ES_tradnl"/>
        </w:rPr>
        <w:t xml:space="preserve">del </w:t>
      </w:r>
      <w:r>
        <w:rPr>
          <w:rFonts w:ascii="Palatino Linotype" w:eastAsia="Times New Roman" w:hAnsi="Palatino Linotype" w:cs="Times New Roman"/>
          <w:b/>
          <w:bCs/>
          <w:color w:val="000000"/>
          <w:sz w:val="20"/>
          <w:szCs w:val="20"/>
          <w:lang w:eastAsia="es-ES_tradnl"/>
        </w:rPr>
        <w:t>test de proporcionalidad,</w:t>
      </w:r>
      <w:r w:rsidRPr="003604AC">
        <w:rPr>
          <w:rFonts w:ascii="Palatino Linotype" w:eastAsia="Times New Roman" w:hAnsi="Palatino Linotype" w:cs="Times New Roman"/>
          <w:color w:val="000000"/>
          <w:sz w:val="20"/>
          <w:szCs w:val="20"/>
          <w:lang w:eastAsia="es-ES_tradnl"/>
        </w:rPr>
        <w:t xml:space="preserve"> contenido definitivo o resultante del derecho será más reducido que el contenido inicial del mismo.</w:t>
      </w:r>
      <w:r w:rsidRPr="003C2A2C">
        <w:rPr>
          <w:rFonts w:ascii="Palatino Linotype" w:eastAsia="Times New Roman" w:hAnsi="Palatino Linotype" w:cs="Times New Roman"/>
          <w:color w:val="000000"/>
          <w:sz w:val="20"/>
          <w:szCs w:val="20"/>
          <w:lang w:eastAsia="es-ES_tradnl"/>
        </w:rPr>
        <w:t xml:space="preserve"> (TA) Tesis: 1a. CCLXV/2016 (10a.)</w:t>
      </w:r>
      <w:r w:rsidRPr="003C2A2C">
        <w:rPr>
          <w:rFonts w:ascii="Palatino Linotype" w:hAnsi="Palatino Linotype" w:cs="Verdana"/>
          <w:color w:val="343434"/>
          <w:sz w:val="20"/>
          <w:szCs w:val="20"/>
        </w:rPr>
        <w:t xml:space="preserve"> </w:t>
      </w:r>
      <w:r w:rsidRPr="003C2A2C">
        <w:rPr>
          <w:rFonts w:ascii="Palatino Linotype" w:eastAsia="Times New Roman" w:hAnsi="Palatino Linotype" w:cs="Times New Roman"/>
          <w:color w:val="000000"/>
          <w:sz w:val="20"/>
          <w:szCs w:val="20"/>
          <w:lang w:eastAsia="es-ES_tradnl"/>
        </w:rPr>
        <w:t xml:space="preserve">Primera Sala de la SCJN. Semanario Judicial de la Federación y su Gaceta, Novena Época, </w:t>
      </w:r>
      <w:r w:rsidRPr="003C2A2C">
        <w:rPr>
          <w:rFonts w:ascii="Palatino Linotype" w:hAnsi="Palatino Linotype" w:cs="Verdana"/>
          <w:color w:val="343434"/>
          <w:sz w:val="20"/>
          <w:szCs w:val="20"/>
        </w:rPr>
        <w:t>Libro 36, Noviembre de 2016, Tomo II,</w:t>
      </w:r>
      <w:r w:rsidRPr="003C2A2C">
        <w:rPr>
          <w:rFonts w:ascii="Palatino Linotype" w:eastAsia="Times New Roman" w:hAnsi="Palatino Linotype" w:cs="Times New Roman"/>
          <w:color w:val="000000"/>
          <w:sz w:val="20"/>
          <w:szCs w:val="20"/>
          <w:lang w:eastAsia="es-ES_tradnl"/>
        </w:rPr>
        <w:t xml:space="preserve"> pág. 902.</w:t>
      </w:r>
    </w:p>
  </w:footnote>
  <w:footnote w:id="28">
    <w:p w14:paraId="39A6ED54" w14:textId="77777777" w:rsidR="00077ECF" w:rsidRPr="002C5433" w:rsidRDefault="00077ECF" w:rsidP="00DF6473">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2C5433">
        <w:rPr>
          <w:rFonts w:ascii="Palatino Linotype" w:hAnsi="Palatino Linotype" w:cs="Arial"/>
          <w:b/>
          <w:bCs/>
          <w:color w:val="000000" w:themeColor="text1"/>
          <w:sz w:val="20"/>
          <w:szCs w:val="20"/>
        </w:rPr>
        <w:t xml:space="preserve">TERCERA ETAPA DEL TEST DE PROPORCIONALIDAD. EXAMEN DE LA NECESIDAD DE LA MEDIDA LEGISLATIVA. </w:t>
      </w:r>
      <w:r w:rsidRPr="002C5433">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2C5433">
        <w:rPr>
          <w:rFonts w:ascii="Palatino Linotype" w:hAnsi="Palatino Linotype" w:cs="Arial"/>
          <w:b/>
          <w:bCs/>
          <w:color w:val="000000" w:themeColor="text1"/>
          <w:sz w:val="20"/>
          <w:szCs w:val="20"/>
        </w:rPr>
        <w:t>test de proporcionalidad</w:t>
      </w:r>
      <w:r w:rsidRPr="002C5433">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2C5433">
        <w:rPr>
          <w:rFonts w:ascii="Palatino Linotype" w:hAnsi="Palatino Linotype" w:cs="Arial"/>
          <w:b/>
          <w:bCs/>
          <w:color w:val="000000" w:themeColor="text1"/>
          <w:sz w:val="20"/>
          <w:szCs w:val="20"/>
        </w:rPr>
        <w:t>(TA)</w:t>
      </w:r>
      <w:r w:rsidRPr="002C5433">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2C5433">
        <w:rPr>
          <w:rFonts w:ascii="Palatino Linotype" w:hAnsi="Palatino Linotype" w:cs="Arial"/>
          <w:color w:val="000000" w:themeColor="text1"/>
          <w:sz w:val="20"/>
          <w:szCs w:val="20"/>
        </w:rPr>
        <w:t>Pag</w:t>
      </w:r>
      <w:proofErr w:type="spellEnd"/>
      <w:r w:rsidRPr="002C5433">
        <w:rPr>
          <w:rFonts w:ascii="Palatino Linotype" w:hAnsi="Palatino Linotype" w:cs="Arial"/>
          <w:color w:val="000000" w:themeColor="text1"/>
          <w:sz w:val="20"/>
          <w:szCs w:val="20"/>
        </w:rPr>
        <w:t>. 914.</w:t>
      </w:r>
    </w:p>
  </w:footnote>
  <w:footnote w:id="29">
    <w:p w14:paraId="53EB7FEA" w14:textId="77777777" w:rsidR="00077ECF" w:rsidRDefault="00077ECF" w:rsidP="00DF6473">
      <w:pPr>
        <w:pStyle w:val="Textonotapie"/>
        <w:jc w:val="both"/>
      </w:pPr>
      <w:r>
        <w:rPr>
          <w:rStyle w:val="Refdenotaalpie"/>
        </w:rPr>
        <w:footnoteRef/>
      </w:r>
      <w:r>
        <w:t xml:space="preserve"> 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t>pro</w:t>
      </w:r>
      <w:proofErr w:type="spellEnd"/>
      <w:r>
        <w:t xml:space="preserve"> persona. Para el caso de la interpretación se podrá tomar en cuenta los criterios, determinaciones y opiniones de los organismos nacionales e internacionales, en materia de transparencia y el derecho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4142" w14:textId="4AE09B4F" w:rsidR="00077ECF" w:rsidRDefault="00077ECF">
    <w:pPr>
      <w:pStyle w:val="Encabezado"/>
    </w:pPr>
    <w:r>
      <w:rPr>
        <w:noProof/>
        <w:lang w:val="es-MX" w:eastAsia="es-MX"/>
      </w:rPr>
      <w:pict w14:anchorId="25B30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353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F33009B" w:rsidR="00077ECF" w:rsidRDefault="00077ECF" w:rsidP="001C6012">
    <w:pPr>
      <w:pStyle w:val="Encabezado"/>
      <w:tabs>
        <w:tab w:val="clear" w:pos="4252"/>
        <w:tab w:val="clear" w:pos="8504"/>
        <w:tab w:val="left" w:pos="8460"/>
      </w:tabs>
    </w:pPr>
    <w:r>
      <w:rPr>
        <w:noProof/>
        <w:lang w:val="es-MX" w:eastAsia="es-MX"/>
      </w:rPr>
      <w:pict w14:anchorId="42AB1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35377" o:spid="_x0000_s2051" type="#_x0000_t75" style="position:absolute;margin-left:-84.65pt;margin-top:-137.6pt;width:609.4pt;height:793.75pt;z-index:-251656192;mso-position-horizontal-relative:margin;mso-position-vertical-relative:margin" o:allowincell="f">
          <v:imagedata r:id="rId1" o:title="resolución"/>
          <w10:wrap anchorx="margin" anchory="margin"/>
        </v:shape>
      </w:pict>
    </w:r>
    <w:r>
      <w:tab/>
    </w:r>
    <w:bookmarkStart w:id="82" w:name="_Hlk48819050"/>
  </w:p>
  <w:p w14:paraId="64F5F23E" w14:textId="390690E5" w:rsidR="00077ECF" w:rsidRDefault="00077ECF">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077ECF" w:rsidRPr="00674A46" w14:paraId="07F2896E" w14:textId="77777777" w:rsidTr="000C1C1E">
      <w:trPr>
        <w:trHeight w:val="138"/>
        <w:jc w:val="right"/>
      </w:trPr>
      <w:tc>
        <w:tcPr>
          <w:tcW w:w="2556" w:type="dxa"/>
          <w:vAlign w:val="center"/>
        </w:tcPr>
        <w:p w14:paraId="4A5B1974" w14:textId="267F0F42" w:rsidR="00077ECF" w:rsidRPr="00674A46" w:rsidRDefault="00077ECF"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22713AC0" w:rsidR="00077ECF" w:rsidRPr="00674A46" w:rsidRDefault="00077ECF" w:rsidP="005E3474">
          <w:pPr>
            <w:pStyle w:val="Encabezado"/>
            <w:rPr>
              <w:rFonts w:ascii="Palatino Linotype" w:hAnsi="Palatino Linotype"/>
              <w:b/>
              <w:sz w:val="22"/>
              <w:szCs w:val="22"/>
            </w:rPr>
          </w:pPr>
          <w:r>
            <w:rPr>
              <w:rFonts w:ascii="Palatino Linotype" w:hAnsi="Palatino Linotype" w:cs="Arial"/>
              <w:b/>
              <w:bCs/>
              <w:sz w:val="22"/>
              <w:szCs w:val="22"/>
              <w:lang w:eastAsia="es-MX"/>
            </w:rPr>
            <w:t>03508/INFOEM/IP/RR/2020</w:t>
          </w:r>
        </w:p>
      </w:tc>
    </w:tr>
    <w:tr w:rsidR="00077ECF" w:rsidRPr="00674A46" w14:paraId="1B5D8690" w14:textId="77777777" w:rsidTr="000C1C1E">
      <w:trPr>
        <w:trHeight w:val="233"/>
        <w:jc w:val="right"/>
      </w:trPr>
      <w:tc>
        <w:tcPr>
          <w:tcW w:w="2556" w:type="dxa"/>
          <w:vAlign w:val="center"/>
        </w:tcPr>
        <w:p w14:paraId="3903F2C6" w14:textId="0AB19AD8" w:rsidR="00077ECF" w:rsidRPr="00674A46" w:rsidRDefault="00077ECF"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6748E04B" w:rsidR="00077ECF" w:rsidRPr="00B75F20" w:rsidRDefault="00077ECF" w:rsidP="005E3474">
          <w:pPr>
            <w:pStyle w:val="Encabezado"/>
            <w:rPr>
              <w:rFonts w:ascii="Palatino Linotype" w:hAnsi="Palatino Linotype"/>
              <w:b/>
              <w:sz w:val="22"/>
              <w:szCs w:val="22"/>
            </w:rPr>
          </w:pPr>
          <w:r>
            <w:rPr>
              <w:rFonts w:ascii="Palatino Linotype" w:hAnsi="Palatino Linotype"/>
              <w:b/>
              <w:bCs/>
              <w:color w:val="000000"/>
              <w:sz w:val="22"/>
              <w:szCs w:val="22"/>
            </w:rPr>
            <w:t>Ayuntamiento de Tecámac</w:t>
          </w:r>
        </w:p>
      </w:tc>
    </w:tr>
    <w:tr w:rsidR="00077ECF" w:rsidRPr="00674A46" w14:paraId="095EB01B" w14:textId="77777777" w:rsidTr="000C1C1E">
      <w:trPr>
        <w:trHeight w:val="321"/>
        <w:jc w:val="right"/>
      </w:trPr>
      <w:tc>
        <w:tcPr>
          <w:tcW w:w="2556" w:type="dxa"/>
          <w:vAlign w:val="center"/>
        </w:tcPr>
        <w:p w14:paraId="6E000A51" w14:textId="33AFA024" w:rsidR="00077ECF" w:rsidRPr="00674A46" w:rsidRDefault="00077ECF"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077ECF" w:rsidRPr="00674A46" w:rsidRDefault="00077ECF"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bookmarkEnd w:id="82"/>
  </w:tbl>
  <w:p w14:paraId="1096C1B8" w14:textId="77777777" w:rsidR="00077ECF" w:rsidRDefault="00077ECF"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00040F8" w:rsidR="00077ECF" w:rsidRDefault="00077ECF" w:rsidP="00472C41">
    <w:pPr>
      <w:pStyle w:val="Encabezado"/>
      <w:tabs>
        <w:tab w:val="clear" w:pos="4252"/>
        <w:tab w:val="clear" w:pos="8504"/>
        <w:tab w:val="left" w:pos="3103"/>
      </w:tabs>
    </w:pPr>
    <w:r>
      <w:rPr>
        <w:noProof/>
        <w:lang w:val="es-MX" w:eastAsia="es-MX"/>
      </w:rPr>
      <w:pict w14:anchorId="54C95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35375" o:spid="_x0000_s2049" type="#_x0000_t75" style="position:absolute;margin-left:-83.9pt;margin-top:-124.45pt;width:609.4pt;height:793.75pt;z-index:-251658240;mso-position-horizontal-relative:margin;mso-position-vertical-relative:margin" o:allowincell="f">
          <v:imagedata r:id="rId1" o:title="resolución"/>
          <w10:wrap anchorx="margin" anchory="margin"/>
        </v:shape>
      </w:pict>
    </w: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077ECF" w:rsidRPr="00674A46" w14:paraId="0A3256F2" w14:textId="77777777" w:rsidTr="007B32C0">
      <w:trPr>
        <w:trHeight w:val="138"/>
      </w:trPr>
      <w:tc>
        <w:tcPr>
          <w:tcW w:w="2556" w:type="dxa"/>
          <w:vAlign w:val="center"/>
        </w:tcPr>
        <w:p w14:paraId="3D80769D" w14:textId="0843A291" w:rsidR="00077ECF" w:rsidRPr="00674A46" w:rsidRDefault="00077ECF"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11DD4AA7" w:rsidR="00077ECF" w:rsidRPr="000D1606" w:rsidRDefault="00077ECF" w:rsidP="005E347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03508/INFOEM/IP/RR/2020</w:t>
          </w:r>
        </w:p>
      </w:tc>
    </w:tr>
    <w:tr w:rsidR="00077ECF" w:rsidRPr="00B75F20" w14:paraId="128C8B3C" w14:textId="77777777" w:rsidTr="007B32C0">
      <w:trPr>
        <w:trHeight w:val="233"/>
      </w:trPr>
      <w:tc>
        <w:tcPr>
          <w:tcW w:w="2556" w:type="dxa"/>
          <w:vAlign w:val="center"/>
        </w:tcPr>
        <w:p w14:paraId="483E3371" w14:textId="3089FF84" w:rsidR="00077ECF" w:rsidRPr="00674A46" w:rsidRDefault="00077ECF"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02AEA03F" w:rsidR="00077ECF" w:rsidRPr="00B75F20" w:rsidRDefault="00077ECF" w:rsidP="00472C41">
          <w:pPr>
            <w:pStyle w:val="Encabezado"/>
            <w:rPr>
              <w:rFonts w:ascii="Palatino Linotype" w:hAnsi="Palatino Linotype"/>
              <w:b/>
              <w:sz w:val="22"/>
              <w:szCs w:val="22"/>
            </w:rPr>
          </w:pPr>
          <w:r w:rsidRPr="00077ECF">
            <w:rPr>
              <w:rFonts w:ascii="Palatino Linotype" w:hAnsi="Palatino Linotype"/>
              <w:b/>
              <w:sz w:val="22"/>
              <w:szCs w:val="22"/>
              <w:highlight w:val="black"/>
            </w:rPr>
            <w:t>----------------------------------</w:t>
          </w:r>
        </w:p>
      </w:tc>
    </w:tr>
    <w:tr w:rsidR="00077ECF" w:rsidRPr="00674A46" w14:paraId="41BE0704" w14:textId="77777777" w:rsidTr="007B32C0">
      <w:trPr>
        <w:trHeight w:val="321"/>
      </w:trPr>
      <w:tc>
        <w:tcPr>
          <w:tcW w:w="2556" w:type="dxa"/>
          <w:vAlign w:val="center"/>
        </w:tcPr>
        <w:p w14:paraId="34C64148" w14:textId="77E39B44" w:rsidR="00077ECF" w:rsidRPr="00674A46" w:rsidRDefault="00077ECF"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6CA450AC" w:rsidR="00077ECF" w:rsidRPr="00674A46" w:rsidRDefault="00077ECF" w:rsidP="005E3474">
          <w:pPr>
            <w:pStyle w:val="Encabezado"/>
            <w:rPr>
              <w:rFonts w:ascii="Palatino Linotype" w:hAnsi="Palatino Linotype"/>
              <w:b/>
              <w:sz w:val="22"/>
              <w:szCs w:val="22"/>
            </w:rPr>
          </w:pPr>
          <w:r>
            <w:rPr>
              <w:rFonts w:ascii="Palatino Linotype" w:hAnsi="Palatino Linotype"/>
              <w:b/>
              <w:bCs/>
              <w:color w:val="000000"/>
              <w:sz w:val="22"/>
              <w:szCs w:val="22"/>
            </w:rPr>
            <w:t>Ayuntamiento de Tecámac</w:t>
          </w:r>
        </w:p>
      </w:tc>
    </w:tr>
    <w:tr w:rsidR="00077ECF" w:rsidRPr="00674A46" w14:paraId="0C8B6193" w14:textId="77777777" w:rsidTr="007B32C0">
      <w:trPr>
        <w:trHeight w:val="321"/>
      </w:trPr>
      <w:tc>
        <w:tcPr>
          <w:tcW w:w="2556" w:type="dxa"/>
          <w:vAlign w:val="center"/>
        </w:tcPr>
        <w:p w14:paraId="321FFAFF" w14:textId="6C6C7227" w:rsidR="00077ECF" w:rsidRPr="00674A46" w:rsidRDefault="00077ECF"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077ECF" w:rsidRPr="00674A46" w:rsidRDefault="00077EC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77ECF" w:rsidRDefault="00077EC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7253"/>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10FBB"/>
    <w:multiLevelType w:val="hybridMultilevel"/>
    <w:tmpl w:val="EB9A114C"/>
    <w:lvl w:ilvl="0" w:tplc="8F6EEF0A">
      <w:start w:val="3"/>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C961968"/>
    <w:multiLevelType w:val="hybridMultilevel"/>
    <w:tmpl w:val="6B5896DA"/>
    <w:lvl w:ilvl="0" w:tplc="D3EE106C">
      <w:start w:val="1"/>
      <w:numFmt w:val="decimal"/>
      <w:lvlText w:val="%1."/>
      <w:lvlJc w:val="left"/>
      <w:pPr>
        <w:ind w:left="786" w:hanging="360"/>
      </w:pPr>
      <w:rPr>
        <w:rFonts w:ascii="Palatino Linotype" w:hAnsi="Palatino Linotype" w:hint="default"/>
        <w:b/>
        <w:i w:val="0"/>
        <w:color w:val="000000" w:themeColor="text1"/>
        <w:sz w:val="24"/>
      </w:rPr>
    </w:lvl>
    <w:lvl w:ilvl="1" w:tplc="080A0013">
      <w:start w:val="1"/>
      <w:numFmt w:val="upperRoman"/>
      <w:lvlText w:val="%2."/>
      <w:lvlJc w:val="right"/>
      <w:pPr>
        <w:ind w:left="786"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6" w15:restartNumberingAfterBreak="0">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 w15:restartNumberingAfterBreak="0">
    <w:nsid w:val="309A3EC1"/>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1" w15:restartNumberingAfterBreak="0">
    <w:nsid w:val="34317490"/>
    <w:multiLevelType w:val="hybridMultilevel"/>
    <w:tmpl w:val="186C5A8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E64DB9"/>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3" w15:restartNumberingAfterBreak="0">
    <w:nsid w:val="3D645C2F"/>
    <w:multiLevelType w:val="hybridMultilevel"/>
    <w:tmpl w:val="2FA09A86"/>
    <w:lvl w:ilvl="0" w:tplc="3F0E4F8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DE132C8"/>
    <w:multiLevelType w:val="hybridMultilevel"/>
    <w:tmpl w:val="5F883D42"/>
    <w:lvl w:ilvl="0" w:tplc="5DD4E37A">
      <w:start w:val="1"/>
      <w:numFmt w:val="lowerLetter"/>
      <w:lvlText w:val="%1)"/>
      <w:lvlJc w:val="right"/>
      <w:pPr>
        <w:ind w:left="720" w:hanging="360"/>
      </w:pPr>
      <w:rPr>
        <w:rFonts w:ascii="Palatino Linotype" w:eastAsiaTheme="minorEastAsia" w:hAnsi="Palatino Linotype" w:cstheme="minorBidi"/>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6E5E01"/>
    <w:multiLevelType w:val="hybridMultilevel"/>
    <w:tmpl w:val="C1264BA8"/>
    <w:lvl w:ilvl="0" w:tplc="1F382E1E">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7" w15:restartNumberingAfterBreak="0">
    <w:nsid w:val="4CF17F16"/>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8" w15:restartNumberingAfterBreak="0">
    <w:nsid w:val="4DA04290"/>
    <w:multiLevelType w:val="hybridMultilevel"/>
    <w:tmpl w:val="A4283784"/>
    <w:lvl w:ilvl="0" w:tplc="53520924">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4DE34458"/>
    <w:multiLevelType w:val="hybridMultilevel"/>
    <w:tmpl w:val="6B5896DA"/>
    <w:lvl w:ilvl="0" w:tplc="D3EE106C">
      <w:start w:val="1"/>
      <w:numFmt w:val="decimal"/>
      <w:lvlText w:val="%1."/>
      <w:lvlJc w:val="left"/>
      <w:pPr>
        <w:ind w:left="786" w:hanging="360"/>
      </w:pPr>
      <w:rPr>
        <w:rFonts w:ascii="Palatino Linotype" w:hAnsi="Palatino Linotype" w:hint="default"/>
        <w:b/>
        <w:i w:val="0"/>
        <w:color w:val="000000" w:themeColor="text1"/>
        <w:sz w:val="24"/>
      </w:rPr>
    </w:lvl>
    <w:lvl w:ilvl="1" w:tplc="080A0013">
      <w:start w:val="1"/>
      <w:numFmt w:val="upperRoman"/>
      <w:lvlText w:val="%2."/>
      <w:lvlJc w:val="right"/>
      <w:pPr>
        <w:ind w:left="786"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E32577"/>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22"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4"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3AB6AA7"/>
    <w:multiLevelType w:val="hybridMultilevel"/>
    <w:tmpl w:val="EE5E1938"/>
    <w:lvl w:ilvl="0" w:tplc="D52CBA34">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717117"/>
    <w:multiLevelType w:val="hybridMultilevel"/>
    <w:tmpl w:val="43FC9B46"/>
    <w:lvl w:ilvl="0" w:tplc="CE6CB8A6">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F875C07"/>
    <w:multiLevelType w:val="hybridMultilevel"/>
    <w:tmpl w:val="6B5896DA"/>
    <w:lvl w:ilvl="0" w:tplc="D3EE106C">
      <w:start w:val="1"/>
      <w:numFmt w:val="decimal"/>
      <w:lvlText w:val="%1."/>
      <w:lvlJc w:val="left"/>
      <w:pPr>
        <w:ind w:left="786" w:hanging="360"/>
      </w:pPr>
      <w:rPr>
        <w:rFonts w:ascii="Palatino Linotype" w:hAnsi="Palatino Linotype" w:hint="default"/>
        <w:b/>
        <w:i w:val="0"/>
        <w:color w:val="000000" w:themeColor="text1"/>
        <w:sz w:val="24"/>
      </w:rPr>
    </w:lvl>
    <w:lvl w:ilvl="1" w:tplc="080A0013">
      <w:start w:val="1"/>
      <w:numFmt w:val="upperRoman"/>
      <w:lvlText w:val="%2."/>
      <w:lvlJc w:val="right"/>
      <w:pPr>
        <w:ind w:left="786"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9300AB"/>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0136A0"/>
    <w:multiLevelType w:val="hybridMultilevel"/>
    <w:tmpl w:val="96D28D7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0B0FF0"/>
    <w:multiLevelType w:val="hybridMultilevel"/>
    <w:tmpl w:val="575E428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27"/>
  </w:num>
  <w:num w:numId="2">
    <w:abstractNumId w:val="22"/>
  </w:num>
  <w:num w:numId="3">
    <w:abstractNumId w:val="16"/>
  </w:num>
  <w:num w:numId="4">
    <w:abstractNumId w:val="5"/>
  </w:num>
  <w:num w:numId="5">
    <w:abstractNumId w:val="1"/>
  </w:num>
  <w:num w:numId="6">
    <w:abstractNumId w:val="23"/>
  </w:num>
  <w:num w:numId="7">
    <w:abstractNumId w:val="20"/>
  </w:num>
  <w:num w:numId="8">
    <w:abstractNumId w:val="6"/>
  </w:num>
  <w:num w:numId="9">
    <w:abstractNumId w:val="29"/>
  </w:num>
  <w:num w:numId="10">
    <w:abstractNumId w:val="8"/>
  </w:num>
  <w:num w:numId="11">
    <w:abstractNumId w:val="32"/>
  </w:num>
  <w:num w:numId="12">
    <w:abstractNumId w:val="9"/>
  </w:num>
  <w:num w:numId="13">
    <w:abstractNumId w:val="26"/>
  </w:num>
  <w:num w:numId="14">
    <w:abstractNumId w:val="15"/>
  </w:num>
  <w:num w:numId="15">
    <w:abstractNumId w:val="11"/>
  </w:num>
  <w:num w:numId="16">
    <w:abstractNumId w:val="21"/>
  </w:num>
  <w:num w:numId="17">
    <w:abstractNumId w:val="14"/>
  </w:num>
  <w:num w:numId="18">
    <w:abstractNumId w:val="7"/>
  </w:num>
  <w:num w:numId="19">
    <w:abstractNumId w:val="12"/>
  </w:num>
  <w:num w:numId="20">
    <w:abstractNumId w:val="28"/>
  </w:num>
  <w:num w:numId="21">
    <w:abstractNumId w:val="17"/>
  </w:num>
  <w:num w:numId="22">
    <w:abstractNumId w:val="10"/>
  </w:num>
  <w:num w:numId="23">
    <w:abstractNumId w:val="13"/>
  </w:num>
  <w:num w:numId="24">
    <w:abstractNumId w:val="0"/>
  </w:num>
  <w:num w:numId="25">
    <w:abstractNumId w:val="18"/>
  </w:num>
  <w:num w:numId="26">
    <w:abstractNumId w:val="31"/>
  </w:num>
  <w:num w:numId="27">
    <w:abstractNumId w:val="2"/>
  </w:num>
  <w:num w:numId="28">
    <w:abstractNumId w:val="3"/>
  </w:num>
  <w:num w:numId="29">
    <w:abstractNumId w:val="25"/>
  </w:num>
  <w:num w:numId="30">
    <w:abstractNumId w:val="4"/>
  </w:num>
  <w:num w:numId="31">
    <w:abstractNumId w:val="19"/>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6F9"/>
    <w:rsid w:val="00003A05"/>
    <w:rsid w:val="0000407F"/>
    <w:rsid w:val="000040C4"/>
    <w:rsid w:val="000058E3"/>
    <w:rsid w:val="000060C4"/>
    <w:rsid w:val="00006F9D"/>
    <w:rsid w:val="0000724D"/>
    <w:rsid w:val="000072D1"/>
    <w:rsid w:val="00007E8A"/>
    <w:rsid w:val="0001106B"/>
    <w:rsid w:val="00012472"/>
    <w:rsid w:val="00014D86"/>
    <w:rsid w:val="00016144"/>
    <w:rsid w:val="00017040"/>
    <w:rsid w:val="000203D3"/>
    <w:rsid w:val="00020F71"/>
    <w:rsid w:val="000211F8"/>
    <w:rsid w:val="00027EA9"/>
    <w:rsid w:val="00027EF7"/>
    <w:rsid w:val="00030360"/>
    <w:rsid w:val="0003063D"/>
    <w:rsid w:val="000313DA"/>
    <w:rsid w:val="00031C50"/>
    <w:rsid w:val="00031F10"/>
    <w:rsid w:val="000321E2"/>
    <w:rsid w:val="00032493"/>
    <w:rsid w:val="000353D8"/>
    <w:rsid w:val="00035ACA"/>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659"/>
    <w:rsid w:val="000609C5"/>
    <w:rsid w:val="00061344"/>
    <w:rsid w:val="00062379"/>
    <w:rsid w:val="000629CF"/>
    <w:rsid w:val="000631D9"/>
    <w:rsid w:val="000647ED"/>
    <w:rsid w:val="00064A37"/>
    <w:rsid w:val="00064B95"/>
    <w:rsid w:val="000652F1"/>
    <w:rsid w:val="0006548A"/>
    <w:rsid w:val="0006560A"/>
    <w:rsid w:val="0006608C"/>
    <w:rsid w:val="000663DD"/>
    <w:rsid w:val="00067F29"/>
    <w:rsid w:val="000700A4"/>
    <w:rsid w:val="00073276"/>
    <w:rsid w:val="00073500"/>
    <w:rsid w:val="000775F3"/>
    <w:rsid w:val="00077ECF"/>
    <w:rsid w:val="000800AC"/>
    <w:rsid w:val="000813F6"/>
    <w:rsid w:val="00082D11"/>
    <w:rsid w:val="0008542A"/>
    <w:rsid w:val="00085BFA"/>
    <w:rsid w:val="0008694B"/>
    <w:rsid w:val="000909F3"/>
    <w:rsid w:val="00090D6F"/>
    <w:rsid w:val="00090DBA"/>
    <w:rsid w:val="00093E1E"/>
    <w:rsid w:val="00095A3E"/>
    <w:rsid w:val="0009781D"/>
    <w:rsid w:val="000A2D7C"/>
    <w:rsid w:val="000A319B"/>
    <w:rsid w:val="000A3932"/>
    <w:rsid w:val="000A3F90"/>
    <w:rsid w:val="000A4932"/>
    <w:rsid w:val="000A4E44"/>
    <w:rsid w:val="000A5B93"/>
    <w:rsid w:val="000A72A3"/>
    <w:rsid w:val="000A77ED"/>
    <w:rsid w:val="000B0370"/>
    <w:rsid w:val="000B19FB"/>
    <w:rsid w:val="000B38FC"/>
    <w:rsid w:val="000B4CAE"/>
    <w:rsid w:val="000B5D79"/>
    <w:rsid w:val="000B75CD"/>
    <w:rsid w:val="000C0061"/>
    <w:rsid w:val="000C0663"/>
    <w:rsid w:val="000C10B9"/>
    <w:rsid w:val="000C1C1E"/>
    <w:rsid w:val="000C1C87"/>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425"/>
    <w:rsid w:val="000D79A4"/>
    <w:rsid w:val="000D7A50"/>
    <w:rsid w:val="000E07DC"/>
    <w:rsid w:val="000E1E37"/>
    <w:rsid w:val="000E2665"/>
    <w:rsid w:val="000E2B0D"/>
    <w:rsid w:val="000E3A67"/>
    <w:rsid w:val="000E46FC"/>
    <w:rsid w:val="000E58AD"/>
    <w:rsid w:val="000E771B"/>
    <w:rsid w:val="000F0705"/>
    <w:rsid w:val="000F0CD8"/>
    <w:rsid w:val="000F24EB"/>
    <w:rsid w:val="000F2D8B"/>
    <w:rsid w:val="000F2EDD"/>
    <w:rsid w:val="000F60FA"/>
    <w:rsid w:val="00100DDD"/>
    <w:rsid w:val="00102447"/>
    <w:rsid w:val="00103888"/>
    <w:rsid w:val="0010486E"/>
    <w:rsid w:val="00105979"/>
    <w:rsid w:val="00105CF9"/>
    <w:rsid w:val="00106272"/>
    <w:rsid w:val="00107499"/>
    <w:rsid w:val="00107557"/>
    <w:rsid w:val="0011039C"/>
    <w:rsid w:val="00110A8E"/>
    <w:rsid w:val="00110EFF"/>
    <w:rsid w:val="0011167C"/>
    <w:rsid w:val="001125C5"/>
    <w:rsid w:val="00112B02"/>
    <w:rsid w:val="00114A21"/>
    <w:rsid w:val="00115F0F"/>
    <w:rsid w:val="0012006D"/>
    <w:rsid w:val="001212F2"/>
    <w:rsid w:val="00121D5D"/>
    <w:rsid w:val="00121F84"/>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6AB"/>
    <w:rsid w:val="001459C8"/>
    <w:rsid w:val="00146EC3"/>
    <w:rsid w:val="00147864"/>
    <w:rsid w:val="00150CFB"/>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0C6"/>
    <w:rsid w:val="00166794"/>
    <w:rsid w:val="00166BA0"/>
    <w:rsid w:val="001734A2"/>
    <w:rsid w:val="00176CA6"/>
    <w:rsid w:val="001775DF"/>
    <w:rsid w:val="001831C5"/>
    <w:rsid w:val="00183907"/>
    <w:rsid w:val="00185071"/>
    <w:rsid w:val="00185B0D"/>
    <w:rsid w:val="001864A6"/>
    <w:rsid w:val="00186ABE"/>
    <w:rsid w:val="00186E07"/>
    <w:rsid w:val="00187763"/>
    <w:rsid w:val="00190387"/>
    <w:rsid w:val="00190A3B"/>
    <w:rsid w:val="00192E4B"/>
    <w:rsid w:val="00193AE9"/>
    <w:rsid w:val="00193C37"/>
    <w:rsid w:val="00195ADE"/>
    <w:rsid w:val="00196CF3"/>
    <w:rsid w:val="00197BA9"/>
    <w:rsid w:val="001A0571"/>
    <w:rsid w:val="001A12EE"/>
    <w:rsid w:val="001A138D"/>
    <w:rsid w:val="001A2857"/>
    <w:rsid w:val="001A2A89"/>
    <w:rsid w:val="001A35DC"/>
    <w:rsid w:val="001A44D1"/>
    <w:rsid w:val="001A5466"/>
    <w:rsid w:val="001A61E1"/>
    <w:rsid w:val="001A6A6D"/>
    <w:rsid w:val="001A6C1E"/>
    <w:rsid w:val="001B0C41"/>
    <w:rsid w:val="001B1B20"/>
    <w:rsid w:val="001B3659"/>
    <w:rsid w:val="001B37CC"/>
    <w:rsid w:val="001B380C"/>
    <w:rsid w:val="001B53A0"/>
    <w:rsid w:val="001B5F70"/>
    <w:rsid w:val="001B6386"/>
    <w:rsid w:val="001B7C0E"/>
    <w:rsid w:val="001C13B1"/>
    <w:rsid w:val="001C1C2A"/>
    <w:rsid w:val="001C1CDE"/>
    <w:rsid w:val="001C3B93"/>
    <w:rsid w:val="001C44C8"/>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CF5"/>
    <w:rsid w:val="001D7E82"/>
    <w:rsid w:val="001E0AD2"/>
    <w:rsid w:val="001E2D60"/>
    <w:rsid w:val="001E3000"/>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3BE5"/>
    <w:rsid w:val="00205FB6"/>
    <w:rsid w:val="00210FAC"/>
    <w:rsid w:val="00211229"/>
    <w:rsid w:val="00212ABC"/>
    <w:rsid w:val="00212C9C"/>
    <w:rsid w:val="00213108"/>
    <w:rsid w:val="0021453E"/>
    <w:rsid w:val="0021475E"/>
    <w:rsid w:val="00214ACD"/>
    <w:rsid w:val="002151A5"/>
    <w:rsid w:val="00216288"/>
    <w:rsid w:val="002179AC"/>
    <w:rsid w:val="00217BCD"/>
    <w:rsid w:val="00217E55"/>
    <w:rsid w:val="00220ADB"/>
    <w:rsid w:val="00220C2D"/>
    <w:rsid w:val="002217BA"/>
    <w:rsid w:val="00221EB7"/>
    <w:rsid w:val="00222C1C"/>
    <w:rsid w:val="00222E92"/>
    <w:rsid w:val="00223507"/>
    <w:rsid w:val="00225758"/>
    <w:rsid w:val="002269CC"/>
    <w:rsid w:val="0022734F"/>
    <w:rsid w:val="00230170"/>
    <w:rsid w:val="00230208"/>
    <w:rsid w:val="002305CF"/>
    <w:rsid w:val="002309A2"/>
    <w:rsid w:val="00232CC6"/>
    <w:rsid w:val="002342A9"/>
    <w:rsid w:val="002345FF"/>
    <w:rsid w:val="00235353"/>
    <w:rsid w:val="00236140"/>
    <w:rsid w:val="002363F1"/>
    <w:rsid w:val="00237611"/>
    <w:rsid w:val="00240396"/>
    <w:rsid w:val="0024139D"/>
    <w:rsid w:val="00242981"/>
    <w:rsid w:val="00244318"/>
    <w:rsid w:val="00244F8B"/>
    <w:rsid w:val="002458B8"/>
    <w:rsid w:val="002522F4"/>
    <w:rsid w:val="00252B41"/>
    <w:rsid w:val="00252B6C"/>
    <w:rsid w:val="0025514B"/>
    <w:rsid w:val="0025524F"/>
    <w:rsid w:val="00255799"/>
    <w:rsid w:val="002559AD"/>
    <w:rsid w:val="00255B21"/>
    <w:rsid w:val="002564AC"/>
    <w:rsid w:val="00260C1D"/>
    <w:rsid w:val="00261001"/>
    <w:rsid w:val="0026150E"/>
    <w:rsid w:val="00262A7D"/>
    <w:rsid w:val="00262F27"/>
    <w:rsid w:val="00264CF7"/>
    <w:rsid w:val="00264D02"/>
    <w:rsid w:val="0026500D"/>
    <w:rsid w:val="00265CD7"/>
    <w:rsid w:val="002665BD"/>
    <w:rsid w:val="00270F45"/>
    <w:rsid w:val="00271B06"/>
    <w:rsid w:val="00273013"/>
    <w:rsid w:val="002733CC"/>
    <w:rsid w:val="00273C37"/>
    <w:rsid w:val="0027430D"/>
    <w:rsid w:val="0027476B"/>
    <w:rsid w:val="002748F6"/>
    <w:rsid w:val="00275E8F"/>
    <w:rsid w:val="00277A35"/>
    <w:rsid w:val="00280994"/>
    <w:rsid w:val="00286670"/>
    <w:rsid w:val="00286AD1"/>
    <w:rsid w:val="002871EB"/>
    <w:rsid w:val="0029449D"/>
    <w:rsid w:val="002952D0"/>
    <w:rsid w:val="0029534C"/>
    <w:rsid w:val="002A35B6"/>
    <w:rsid w:val="002A3C1B"/>
    <w:rsid w:val="002A43F6"/>
    <w:rsid w:val="002A622A"/>
    <w:rsid w:val="002A66D7"/>
    <w:rsid w:val="002B0014"/>
    <w:rsid w:val="002B00CF"/>
    <w:rsid w:val="002B085C"/>
    <w:rsid w:val="002B2A2E"/>
    <w:rsid w:val="002B2B22"/>
    <w:rsid w:val="002B2F59"/>
    <w:rsid w:val="002B378D"/>
    <w:rsid w:val="002B39AD"/>
    <w:rsid w:val="002B4D21"/>
    <w:rsid w:val="002B6755"/>
    <w:rsid w:val="002B751B"/>
    <w:rsid w:val="002B7C77"/>
    <w:rsid w:val="002C0804"/>
    <w:rsid w:val="002C1100"/>
    <w:rsid w:val="002C2D44"/>
    <w:rsid w:val="002C42C0"/>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0A06"/>
    <w:rsid w:val="002E118F"/>
    <w:rsid w:val="002E146D"/>
    <w:rsid w:val="002E2080"/>
    <w:rsid w:val="002E2496"/>
    <w:rsid w:val="002E482C"/>
    <w:rsid w:val="002E6531"/>
    <w:rsid w:val="002E689B"/>
    <w:rsid w:val="002E74CE"/>
    <w:rsid w:val="002E7AD0"/>
    <w:rsid w:val="002F2642"/>
    <w:rsid w:val="002F303C"/>
    <w:rsid w:val="002F3672"/>
    <w:rsid w:val="002F3B37"/>
    <w:rsid w:val="002F43A5"/>
    <w:rsid w:val="002F4D3F"/>
    <w:rsid w:val="002F4E71"/>
    <w:rsid w:val="002F6D19"/>
    <w:rsid w:val="002F72FA"/>
    <w:rsid w:val="003007E0"/>
    <w:rsid w:val="0030150B"/>
    <w:rsid w:val="00301B41"/>
    <w:rsid w:val="00301D47"/>
    <w:rsid w:val="003030B1"/>
    <w:rsid w:val="00303717"/>
    <w:rsid w:val="00303991"/>
    <w:rsid w:val="00304013"/>
    <w:rsid w:val="00304137"/>
    <w:rsid w:val="00305120"/>
    <w:rsid w:val="00305402"/>
    <w:rsid w:val="00305F6D"/>
    <w:rsid w:val="00306D03"/>
    <w:rsid w:val="00307227"/>
    <w:rsid w:val="003105D0"/>
    <w:rsid w:val="00310678"/>
    <w:rsid w:val="00310D66"/>
    <w:rsid w:val="003116A6"/>
    <w:rsid w:val="003133A5"/>
    <w:rsid w:val="00315973"/>
    <w:rsid w:val="00315FFF"/>
    <w:rsid w:val="00316065"/>
    <w:rsid w:val="00317883"/>
    <w:rsid w:val="00317EFF"/>
    <w:rsid w:val="0032053F"/>
    <w:rsid w:val="003217E4"/>
    <w:rsid w:val="003219E3"/>
    <w:rsid w:val="00321AA3"/>
    <w:rsid w:val="0032365B"/>
    <w:rsid w:val="00323895"/>
    <w:rsid w:val="00323D03"/>
    <w:rsid w:val="003250F6"/>
    <w:rsid w:val="00327323"/>
    <w:rsid w:val="00327D79"/>
    <w:rsid w:val="003315DE"/>
    <w:rsid w:val="0033186E"/>
    <w:rsid w:val="00331992"/>
    <w:rsid w:val="00331CD7"/>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4AC"/>
    <w:rsid w:val="0036073F"/>
    <w:rsid w:val="003643B3"/>
    <w:rsid w:val="00370BB1"/>
    <w:rsid w:val="003710A0"/>
    <w:rsid w:val="003721B2"/>
    <w:rsid w:val="00372976"/>
    <w:rsid w:val="00373EC3"/>
    <w:rsid w:val="003752C5"/>
    <w:rsid w:val="00376F41"/>
    <w:rsid w:val="00383C88"/>
    <w:rsid w:val="00383E66"/>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07F"/>
    <w:rsid w:val="00396545"/>
    <w:rsid w:val="00396F71"/>
    <w:rsid w:val="003A2029"/>
    <w:rsid w:val="003A423A"/>
    <w:rsid w:val="003A4241"/>
    <w:rsid w:val="003A5466"/>
    <w:rsid w:val="003A6417"/>
    <w:rsid w:val="003A65FE"/>
    <w:rsid w:val="003A68EE"/>
    <w:rsid w:val="003A6A5A"/>
    <w:rsid w:val="003A6DF0"/>
    <w:rsid w:val="003A7221"/>
    <w:rsid w:val="003A7EAD"/>
    <w:rsid w:val="003B1B16"/>
    <w:rsid w:val="003B1DC1"/>
    <w:rsid w:val="003B286C"/>
    <w:rsid w:val="003B55AD"/>
    <w:rsid w:val="003B55D8"/>
    <w:rsid w:val="003B70DC"/>
    <w:rsid w:val="003B747A"/>
    <w:rsid w:val="003B7EC4"/>
    <w:rsid w:val="003C111B"/>
    <w:rsid w:val="003C1A6C"/>
    <w:rsid w:val="003C20EF"/>
    <w:rsid w:val="003C2344"/>
    <w:rsid w:val="003C2387"/>
    <w:rsid w:val="003C3A02"/>
    <w:rsid w:val="003C50D8"/>
    <w:rsid w:val="003C5164"/>
    <w:rsid w:val="003C5BD9"/>
    <w:rsid w:val="003C5D4F"/>
    <w:rsid w:val="003C7282"/>
    <w:rsid w:val="003D00D5"/>
    <w:rsid w:val="003D0C9A"/>
    <w:rsid w:val="003D181D"/>
    <w:rsid w:val="003D20C4"/>
    <w:rsid w:val="003D2719"/>
    <w:rsid w:val="003D27B2"/>
    <w:rsid w:val="003D46D0"/>
    <w:rsid w:val="003D48F5"/>
    <w:rsid w:val="003D4C13"/>
    <w:rsid w:val="003D5A38"/>
    <w:rsid w:val="003D734F"/>
    <w:rsid w:val="003E03D3"/>
    <w:rsid w:val="003E1898"/>
    <w:rsid w:val="003E2057"/>
    <w:rsid w:val="003E2372"/>
    <w:rsid w:val="003E5785"/>
    <w:rsid w:val="003E6679"/>
    <w:rsid w:val="003E712E"/>
    <w:rsid w:val="003E7F93"/>
    <w:rsid w:val="003F140F"/>
    <w:rsid w:val="003F14A4"/>
    <w:rsid w:val="003F15DB"/>
    <w:rsid w:val="003F1782"/>
    <w:rsid w:val="003F186F"/>
    <w:rsid w:val="003F1FD5"/>
    <w:rsid w:val="003F22F2"/>
    <w:rsid w:val="003F2702"/>
    <w:rsid w:val="003F301B"/>
    <w:rsid w:val="003F320C"/>
    <w:rsid w:val="003F36A4"/>
    <w:rsid w:val="003F70CA"/>
    <w:rsid w:val="003F7B36"/>
    <w:rsid w:val="00400F25"/>
    <w:rsid w:val="0040278D"/>
    <w:rsid w:val="004035E0"/>
    <w:rsid w:val="00405EBA"/>
    <w:rsid w:val="0040633D"/>
    <w:rsid w:val="00406EE3"/>
    <w:rsid w:val="004109A2"/>
    <w:rsid w:val="00413CC5"/>
    <w:rsid w:val="00414607"/>
    <w:rsid w:val="00415CB9"/>
    <w:rsid w:val="00416727"/>
    <w:rsid w:val="00416B04"/>
    <w:rsid w:val="00417A24"/>
    <w:rsid w:val="0042068A"/>
    <w:rsid w:val="004208F0"/>
    <w:rsid w:val="004221C4"/>
    <w:rsid w:val="00423019"/>
    <w:rsid w:val="004239BC"/>
    <w:rsid w:val="0042490C"/>
    <w:rsid w:val="00425CAD"/>
    <w:rsid w:val="00426D7C"/>
    <w:rsid w:val="00427AE1"/>
    <w:rsid w:val="004300ED"/>
    <w:rsid w:val="00431687"/>
    <w:rsid w:val="00431CC9"/>
    <w:rsid w:val="00432762"/>
    <w:rsid w:val="00432A8D"/>
    <w:rsid w:val="00432B72"/>
    <w:rsid w:val="00433016"/>
    <w:rsid w:val="004342F1"/>
    <w:rsid w:val="004349C0"/>
    <w:rsid w:val="00435EBD"/>
    <w:rsid w:val="00437702"/>
    <w:rsid w:val="004401B5"/>
    <w:rsid w:val="00441309"/>
    <w:rsid w:val="0044176A"/>
    <w:rsid w:val="00441EB5"/>
    <w:rsid w:val="00442393"/>
    <w:rsid w:val="00442734"/>
    <w:rsid w:val="004436D7"/>
    <w:rsid w:val="00443DCB"/>
    <w:rsid w:val="00443DEB"/>
    <w:rsid w:val="0044478C"/>
    <w:rsid w:val="0044535B"/>
    <w:rsid w:val="00445FDA"/>
    <w:rsid w:val="00450A5F"/>
    <w:rsid w:val="00451514"/>
    <w:rsid w:val="00451738"/>
    <w:rsid w:val="00451B47"/>
    <w:rsid w:val="00451B87"/>
    <w:rsid w:val="00453BB4"/>
    <w:rsid w:val="00456348"/>
    <w:rsid w:val="00460749"/>
    <w:rsid w:val="004613B1"/>
    <w:rsid w:val="00461529"/>
    <w:rsid w:val="004635E2"/>
    <w:rsid w:val="00464A39"/>
    <w:rsid w:val="00464CB6"/>
    <w:rsid w:val="004652FE"/>
    <w:rsid w:val="0046559B"/>
    <w:rsid w:val="0046566E"/>
    <w:rsid w:val="004672ED"/>
    <w:rsid w:val="0046744D"/>
    <w:rsid w:val="0047025A"/>
    <w:rsid w:val="00470D76"/>
    <w:rsid w:val="0047133D"/>
    <w:rsid w:val="0047252A"/>
    <w:rsid w:val="00472C41"/>
    <w:rsid w:val="00473115"/>
    <w:rsid w:val="004735C1"/>
    <w:rsid w:val="004764CB"/>
    <w:rsid w:val="00476730"/>
    <w:rsid w:val="00480821"/>
    <w:rsid w:val="00481A7B"/>
    <w:rsid w:val="00481B0D"/>
    <w:rsid w:val="0048386B"/>
    <w:rsid w:val="00483C14"/>
    <w:rsid w:val="00484D45"/>
    <w:rsid w:val="00485DB6"/>
    <w:rsid w:val="0048658E"/>
    <w:rsid w:val="004867A2"/>
    <w:rsid w:val="004904EE"/>
    <w:rsid w:val="00491C96"/>
    <w:rsid w:val="004923B6"/>
    <w:rsid w:val="00494294"/>
    <w:rsid w:val="00495611"/>
    <w:rsid w:val="00496359"/>
    <w:rsid w:val="00496A90"/>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4645"/>
    <w:rsid w:val="004B4BBB"/>
    <w:rsid w:val="004B5C6B"/>
    <w:rsid w:val="004B72F8"/>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385"/>
    <w:rsid w:val="004D68F8"/>
    <w:rsid w:val="004D6D19"/>
    <w:rsid w:val="004E11D8"/>
    <w:rsid w:val="004E258D"/>
    <w:rsid w:val="004E6421"/>
    <w:rsid w:val="004F0C96"/>
    <w:rsid w:val="004F1527"/>
    <w:rsid w:val="004F44C7"/>
    <w:rsid w:val="004F489F"/>
    <w:rsid w:val="004F48A1"/>
    <w:rsid w:val="004F4958"/>
    <w:rsid w:val="004F62C9"/>
    <w:rsid w:val="004F6CC2"/>
    <w:rsid w:val="004F7606"/>
    <w:rsid w:val="004F766F"/>
    <w:rsid w:val="004F78B7"/>
    <w:rsid w:val="004F7944"/>
    <w:rsid w:val="004F7E8C"/>
    <w:rsid w:val="00500930"/>
    <w:rsid w:val="0050309F"/>
    <w:rsid w:val="005041C2"/>
    <w:rsid w:val="005048FC"/>
    <w:rsid w:val="00505CA0"/>
    <w:rsid w:val="0050690E"/>
    <w:rsid w:val="00507C08"/>
    <w:rsid w:val="00507D18"/>
    <w:rsid w:val="0051016E"/>
    <w:rsid w:val="005111D7"/>
    <w:rsid w:val="00511BC7"/>
    <w:rsid w:val="0051294D"/>
    <w:rsid w:val="00512F22"/>
    <w:rsid w:val="005146AC"/>
    <w:rsid w:val="00515227"/>
    <w:rsid w:val="00515733"/>
    <w:rsid w:val="005167B1"/>
    <w:rsid w:val="00516E0B"/>
    <w:rsid w:val="00517D20"/>
    <w:rsid w:val="0052089E"/>
    <w:rsid w:val="005215EE"/>
    <w:rsid w:val="00521F15"/>
    <w:rsid w:val="005248B9"/>
    <w:rsid w:val="00524F8A"/>
    <w:rsid w:val="005251A9"/>
    <w:rsid w:val="00526446"/>
    <w:rsid w:val="00526A1F"/>
    <w:rsid w:val="00526BE2"/>
    <w:rsid w:val="00527495"/>
    <w:rsid w:val="00527DE7"/>
    <w:rsid w:val="00527E7A"/>
    <w:rsid w:val="005351C0"/>
    <w:rsid w:val="0053544C"/>
    <w:rsid w:val="00537E2C"/>
    <w:rsid w:val="00542797"/>
    <w:rsid w:val="00542B3A"/>
    <w:rsid w:val="00544D6E"/>
    <w:rsid w:val="00544E24"/>
    <w:rsid w:val="00544EC9"/>
    <w:rsid w:val="005454A6"/>
    <w:rsid w:val="00545A81"/>
    <w:rsid w:val="00546FBD"/>
    <w:rsid w:val="00551B13"/>
    <w:rsid w:val="0055202D"/>
    <w:rsid w:val="005520BF"/>
    <w:rsid w:val="00552421"/>
    <w:rsid w:val="0055322E"/>
    <w:rsid w:val="00553922"/>
    <w:rsid w:val="00554A5A"/>
    <w:rsid w:val="0055544F"/>
    <w:rsid w:val="00556B04"/>
    <w:rsid w:val="00561C53"/>
    <w:rsid w:val="00562B0A"/>
    <w:rsid w:val="00562CCE"/>
    <w:rsid w:val="00563846"/>
    <w:rsid w:val="0056452D"/>
    <w:rsid w:val="00565908"/>
    <w:rsid w:val="005669D6"/>
    <w:rsid w:val="00567998"/>
    <w:rsid w:val="00570E92"/>
    <w:rsid w:val="00571035"/>
    <w:rsid w:val="00571A39"/>
    <w:rsid w:val="00571E05"/>
    <w:rsid w:val="0057343F"/>
    <w:rsid w:val="00576D09"/>
    <w:rsid w:val="00576EE1"/>
    <w:rsid w:val="00577884"/>
    <w:rsid w:val="005805F5"/>
    <w:rsid w:val="0058068E"/>
    <w:rsid w:val="00580CFD"/>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0A05"/>
    <w:rsid w:val="005A1927"/>
    <w:rsid w:val="005A228F"/>
    <w:rsid w:val="005A2A65"/>
    <w:rsid w:val="005A3513"/>
    <w:rsid w:val="005A3BD7"/>
    <w:rsid w:val="005A7498"/>
    <w:rsid w:val="005A75B7"/>
    <w:rsid w:val="005A786F"/>
    <w:rsid w:val="005B083B"/>
    <w:rsid w:val="005B169C"/>
    <w:rsid w:val="005B1B6A"/>
    <w:rsid w:val="005B1FBF"/>
    <w:rsid w:val="005B2B05"/>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1229"/>
    <w:rsid w:val="005D27DD"/>
    <w:rsid w:val="005D3493"/>
    <w:rsid w:val="005D4AD7"/>
    <w:rsid w:val="005D4C08"/>
    <w:rsid w:val="005D7D84"/>
    <w:rsid w:val="005E0D15"/>
    <w:rsid w:val="005E11D5"/>
    <w:rsid w:val="005E3474"/>
    <w:rsid w:val="005E34D4"/>
    <w:rsid w:val="005E3AE2"/>
    <w:rsid w:val="005E3FDE"/>
    <w:rsid w:val="005E4393"/>
    <w:rsid w:val="005E50C3"/>
    <w:rsid w:val="005E55F2"/>
    <w:rsid w:val="005E570D"/>
    <w:rsid w:val="005E6676"/>
    <w:rsid w:val="005E68FC"/>
    <w:rsid w:val="005E7D26"/>
    <w:rsid w:val="005E7F28"/>
    <w:rsid w:val="005F0137"/>
    <w:rsid w:val="005F1A24"/>
    <w:rsid w:val="005F2E43"/>
    <w:rsid w:val="005F487C"/>
    <w:rsid w:val="005F53A4"/>
    <w:rsid w:val="005F5924"/>
    <w:rsid w:val="005F5FE1"/>
    <w:rsid w:val="005F62B2"/>
    <w:rsid w:val="005F715E"/>
    <w:rsid w:val="006010DA"/>
    <w:rsid w:val="006017AB"/>
    <w:rsid w:val="00604AC3"/>
    <w:rsid w:val="00605865"/>
    <w:rsid w:val="006058A8"/>
    <w:rsid w:val="0060623B"/>
    <w:rsid w:val="00611BA6"/>
    <w:rsid w:val="00613191"/>
    <w:rsid w:val="00616235"/>
    <w:rsid w:val="006163BE"/>
    <w:rsid w:val="00617813"/>
    <w:rsid w:val="00617CCF"/>
    <w:rsid w:val="006206CC"/>
    <w:rsid w:val="00620CFC"/>
    <w:rsid w:val="00622B06"/>
    <w:rsid w:val="00622BFD"/>
    <w:rsid w:val="00623028"/>
    <w:rsid w:val="00624649"/>
    <w:rsid w:val="006257CA"/>
    <w:rsid w:val="00627163"/>
    <w:rsid w:val="00630198"/>
    <w:rsid w:val="00631707"/>
    <w:rsid w:val="00632275"/>
    <w:rsid w:val="00634476"/>
    <w:rsid w:val="00642285"/>
    <w:rsid w:val="006431B1"/>
    <w:rsid w:val="0064393B"/>
    <w:rsid w:val="00643F50"/>
    <w:rsid w:val="006440D4"/>
    <w:rsid w:val="00644375"/>
    <w:rsid w:val="00644A5C"/>
    <w:rsid w:val="00646A08"/>
    <w:rsid w:val="006477E6"/>
    <w:rsid w:val="00650392"/>
    <w:rsid w:val="0065061D"/>
    <w:rsid w:val="006541BF"/>
    <w:rsid w:val="0065715E"/>
    <w:rsid w:val="00657670"/>
    <w:rsid w:val="00657DE0"/>
    <w:rsid w:val="00657F4D"/>
    <w:rsid w:val="006604D3"/>
    <w:rsid w:val="00660B24"/>
    <w:rsid w:val="00660DEB"/>
    <w:rsid w:val="00662C69"/>
    <w:rsid w:val="00662EA9"/>
    <w:rsid w:val="006635BA"/>
    <w:rsid w:val="00664106"/>
    <w:rsid w:val="0066458B"/>
    <w:rsid w:val="0066610C"/>
    <w:rsid w:val="00671165"/>
    <w:rsid w:val="006718FB"/>
    <w:rsid w:val="00672359"/>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16D4"/>
    <w:rsid w:val="0069218D"/>
    <w:rsid w:val="0069282B"/>
    <w:rsid w:val="00693427"/>
    <w:rsid w:val="00694E2B"/>
    <w:rsid w:val="006958A7"/>
    <w:rsid w:val="006964F5"/>
    <w:rsid w:val="00696EF8"/>
    <w:rsid w:val="006975AE"/>
    <w:rsid w:val="00697BEA"/>
    <w:rsid w:val="006A1047"/>
    <w:rsid w:val="006A26C9"/>
    <w:rsid w:val="006A2EFC"/>
    <w:rsid w:val="006A3D7A"/>
    <w:rsid w:val="006A3DFC"/>
    <w:rsid w:val="006A464E"/>
    <w:rsid w:val="006A472C"/>
    <w:rsid w:val="006A4F64"/>
    <w:rsid w:val="006A6D2E"/>
    <w:rsid w:val="006B0198"/>
    <w:rsid w:val="006B0697"/>
    <w:rsid w:val="006B12CA"/>
    <w:rsid w:val="006B12E8"/>
    <w:rsid w:val="006B1535"/>
    <w:rsid w:val="006B1C19"/>
    <w:rsid w:val="006B1E4C"/>
    <w:rsid w:val="006B5A58"/>
    <w:rsid w:val="006B69AF"/>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D77D4"/>
    <w:rsid w:val="006E013D"/>
    <w:rsid w:val="006E1056"/>
    <w:rsid w:val="006E2236"/>
    <w:rsid w:val="006E3A2A"/>
    <w:rsid w:val="006E3C4C"/>
    <w:rsid w:val="006E485C"/>
    <w:rsid w:val="006E4BD4"/>
    <w:rsid w:val="006E5950"/>
    <w:rsid w:val="006E5BBE"/>
    <w:rsid w:val="006E6105"/>
    <w:rsid w:val="006E67DF"/>
    <w:rsid w:val="006E6B65"/>
    <w:rsid w:val="006E7899"/>
    <w:rsid w:val="006E7CC5"/>
    <w:rsid w:val="006E7D23"/>
    <w:rsid w:val="006F04C4"/>
    <w:rsid w:val="006F0635"/>
    <w:rsid w:val="006F1AB0"/>
    <w:rsid w:val="006F1E31"/>
    <w:rsid w:val="006F1FFB"/>
    <w:rsid w:val="006F2C12"/>
    <w:rsid w:val="006F2F92"/>
    <w:rsid w:val="006F3EC7"/>
    <w:rsid w:val="006F44C4"/>
    <w:rsid w:val="006F672F"/>
    <w:rsid w:val="006F6A74"/>
    <w:rsid w:val="006F7910"/>
    <w:rsid w:val="00700781"/>
    <w:rsid w:val="00702482"/>
    <w:rsid w:val="007050B1"/>
    <w:rsid w:val="0070567C"/>
    <w:rsid w:val="00706C9E"/>
    <w:rsid w:val="00707096"/>
    <w:rsid w:val="00707A12"/>
    <w:rsid w:val="00707C73"/>
    <w:rsid w:val="00711F1B"/>
    <w:rsid w:val="00712443"/>
    <w:rsid w:val="007136BC"/>
    <w:rsid w:val="00714576"/>
    <w:rsid w:val="0072029C"/>
    <w:rsid w:val="00721335"/>
    <w:rsid w:val="00721924"/>
    <w:rsid w:val="00721F66"/>
    <w:rsid w:val="00721F9D"/>
    <w:rsid w:val="00722B93"/>
    <w:rsid w:val="0072785C"/>
    <w:rsid w:val="00731F1F"/>
    <w:rsid w:val="00732120"/>
    <w:rsid w:val="007335AB"/>
    <w:rsid w:val="007365AD"/>
    <w:rsid w:val="007366ED"/>
    <w:rsid w:val="007416F3"/>
    <w:rsid w:val="00742486"/>
    <w:rsid w:val="0074433B"/>
    <w:rsid w:val="00746952"/>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5CBE"/>
    <w:rsid w:val="00766DD3"/>
    <w:rsid w:val="007675FC"/>
    <w:rsid w:val="00770859"/>
    <w:rsid w:val="00772D8B"/>
    <w:rsid w:val="00774A5F"/>
    <w:rsid w:val="00774DFD"/>
    <w:rsid w:val="007753FA"/>
    <w:rsid w:val="0077544D"/>
    <w:rsid w:val="0078079A"/>
    <w:rsid w:val="007809A8"/>
    <w:rsid w:val="00781153"/>
    <w:rsid w:val="007819BE"/>
    <w:rsid w:val="00782CC2"/>
    <w:rsid w:val="007835D7"/>
    <w:rsid w:val="00783960"/>
    <w:rsid w:val="007857A6"/>
    <w:rsid w:val="0078584F"/>
    <w:rsid w:val="00786CA5"/>
    <w:rsid w:val="007875A5"/>
    <w:rsid w:val="007914E4"/>
    <w:rsid w:val="007919F9"/>
    <w:rsid w:val="00792574"/>
    <w:rsid w:val="00794AEF"/>
    <w:rsid w:val="007959D2"/>
    <w:rsid w:val="00795B01"/>
    <w:rsid w:val="007960B7"/>
    <w:rsid w:val="00797D6F"/>
    <w:rsid w:val="007A0692"/>
    <w:rsid w:val="007A082B"/>
    <w:rsid w:val="007A1303"/>
    <w:rsid w:val="007A1327"/>
    <w:rsid w:val="007A2CDF"/>
    <w:rsid w:val="007A3A2E"/>
    <w:rsid w:val="007A65E0"/>
    <w:rsid w:val="007A70B9"/>
    <w:rsid w:val="007A7602"/>
    <w:rsid w:val="007B02B9"/>
    <w:rsid w:val="007B20E0"/>
    <w:rsid w:val="007B23EC"/>
    <w:rsid w:val="007B26B2"/>
    <w:rsid w:val="007B2FA7"/>
    <w:rsid w:val="007B30F3"/>
    <w:rsid w:val="007B30F8"/>
    <w:rsid w:val="007B32C0"/>
    <w:rsid w:val="007B55E7"/>
    <w:rsid w:val="007B58D0"/>
    <w:rsid w:val="007B6725"/>
    <w:rsid w:val="007B6888"/>
    <w:rsid w:val="007B694D"/>
    <w:rsid w:val="007C0013"/>
    <w:rsid w:val="007C0565"/>
    <w:rsid w:val="007C0F66"/>
    <w:rsid w:val="007C1BCE"/>
    <w:rsid w:val="007C37D2"/>
    <w:rsid w:val="007C4BA3"/>
    <w:rsid w:val="007D0C01"/>
    <w:rsid w:val="007D0E70"/>
    <w:rsid w:val="007D28B9"/>
    <w:rsid w:val="007D2B0E"/>
    <w:rsid w:val="007D3312"/>
    <w:rsid w:val="007D3ED2"/>
    <w:rsid w:val="007D3FBD"/>
    <w:rsid w:val="007D4C2F"/>
    <w:rsid w:val="007D5832"/>
    <w:rsid w:val="007D5C95"/>
    <w:rsid w:val="007D617C"/>
    <w:rsid w:val="007D6778"/>
    <w:rsid w:val="007D74D6"/>
    <w:rsid w:val="007D7EF3"/>
    <w:rsid w:val="007E100A"/>
    <w:rsid w:val="007E2961"/>
    <w:rsid w:val="007E3EFD"/>
    <w:rsid w:val="007E43C9"/>
    <w:rsid w:val="007E506E"/>
    <w:rsid w:val="007E5125"/>
    <w:rsid w:val="007E5DB4"/>
    <w:rsid w:val="007E744C"/>
    <w:rsid w:val="007F0617"/>
    <w:rsid w:val="007F0711"/>
    <w:rsid w:val="007F2AF5"/>
    <w:rsid w:val="007F4CA2"/>
    <w:rsid w:val="007F729E"/>
    <w:rsid w:val="00800DBD"/>
    <w:rsid w:val="00800E69"/>
    <w:rsid w:val="00802374"/>
    <w:rsid w:val="0080394C"/>
    <w:rsid w:val="008039C2"/>
    <w:rsid w:val="008046E4"/>
    <w:rsid w:val="00804B9B"/>
    <w:rsid w:val="008060FC"/>
    <w:rsid w:val="00807201"/>
    <w:rsid w:val="00810F94"/>
    <w:rsid w:val="0081220D"/>
    <w:rsid w:val="00814427"/>
    <w:rsid w:val="008150A8"/>
    <w:rsid w:val="00815B54"/>
    <w:rsid w:val="008167F5"/>
    <w:rsid w:val="00816DD6"/>
    <w:rsid w:val="00817D8E"/>
    <w:rsid w:val="008200A3"/>
    <w:rsid w:val="00820BF2"/>
    <w:rsid w:val="00821217"/>
    <w:rsid w:val="008212D0"/>
    <w:rsid w:val="008225C9"/>
    <w:rsid w:val="00824C4E"/>
    <w:rsid w:val="0083097C"/>
    <w:rsid w:val="00830D0B"/>
    <w:rsid w:val="008320B5"/>
    <w:rsid w:val="0083293C"/>
    <w:rsid w:val="00832ACC"/>
    <w:rsid w:val="00833D5D"/>
    <w:rsid w:val="00833E18"/>
    <w:rsid w:val="00833E4C"/>
    <w:rsid w:val="00835DC3"/>
    <w:rsid w:val="00836224"/>
    <w:rsid w:val="00837BE4"/>
    <w:rsid w:val="00837C11"/>
    <w:rsid w:val="00840559"/>
    <w:rsid w:val="00840EED"/>
    <w:rsid w:val="00842157"/>
    <w:rsid w:val="00843153"/>
    <w:rsid w:val="00843908"/>
    <w:rsid w:val="0084448A"/>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7C6"/>
    <w:rsid w:val="0085480B"/>
    <w:rsid w:val="008560F4"/>
    <w:rsid w:val="0086035C"/>
    <w:rsid w:val="00861622"/>
    <w:rsid w:val="00862BEF"/>
    <w:rsid w:val="00862E71"/>
    <w:rsid w:val="00862FFF"/>
    <w:rsid w:val="008662C0"/>
    <w:rsid w:val="00866705"/>
    <w:rsid w:val="008702BC"/>
    <w:rsid w:val="00870ACC"/>
    <w:rsid w:val="0087153F"/>
    <w:rsid w:val="008720FE"/>
    <w:rsid w:val="00872C2F"/>
    <w:rsid w:val="00872DF8"/>
    <w:rsid w:val="008731CF"/>
    <w:rsid w:val="0087459A"/>
    <w:rsid w:val="008749F7"/>
    <w:rsid w:val="00875167"/>
    <w:rsid w:val="008752CC"/>
    <w:rsid w:val="0087731A"/>
    <w:rsid w:val="008777B6"/>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37"/>
    <w:rsid w:val="008A52F3"/>
    <w:rsid w:val="008A63DF"/>
    <w:rsid w:val="008A6BA8"/>
    <w:rsid w:val="008A7F67"/>
    <w:rsid w:val="008A7F7D"/>
    <w:rsid w:val="008B0649"/>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B3C"/>
    <w:rsid w:val="008C2EBC"/>
    <w:rsid w:val="008C3FA0"/>
    <w:rsid w:val="008C41A7"/>
    <w:rsid w:val="008C77D6"/>
    <w:rsid w:val="008D02A3"/>
    <w:rsid w:val="008D1075"/>
    <w:rsid w:val="008D2BCD"/>
    <w:rsid w:val="008D3C4A"/>
    <w:rsid w:val="008D406E"/>
    <w:rsid w:val="008D4934"/>
    <w:rsid w:val="008D4E99"/>
    <w:rsid w:val="008D4EF4"/>
    <w:rsid w:val="008D4F17"/>
    <w:rsid w:val="008D5066"/>
    <w:rsid w:val="008D565F"/>
    <w:rsid w:val="008D6697"/>
    <w:rsid w:val="008D70D8"/>
    <w:rsid w:val="008D728C"/>
    <w:rsid w:val="008E0439"/>
    <w:rsid w:val="008E0674"/>
    <w:rsid w:val="008E07AD"/>
    <w:rsid w:val="008E0AF7"/>
    <w:rsid w:val="008E11CC"/>
    <w:rsid w:val="008E31A6"/>
    <w:rsid w:val="008E3535"/>
    <w:rsid w:val="008E4B02"/>
    <w:rsid w:val="008E4FB2"/>
    <w:rsid w:val="008E5423"/>
    <w:rsid w:val="008E5EF3"/>
    <w:rsid w:val="008E6191"/>
    <w:rsid w:val="008E6BE0"/>
    <w:rsid w:val="008E7B81"/>
    <w:rsid w:val="008F0BA5"/>
    <w:rsid w:val="008F12E6"/>
    <w:rsid w:val="008F1558"/>
    <w:rsid w:val="008F3242"/>
    <w:rsid w:val="008F383A"/>
    <w:rsid w:val="008F5024"/>
    <w:rsid w:val="008F5927"/>
    <w:rsid w:val="008F5A29"/>
    <w:rsid w:val="008F7E1B"/>
    <w:rsid w:val="00901474"/>
    <w:rsid w:val="0090174A"/>
    <w:rsid w:val="00902FBD"/>
    <w:rsid w:val="009036B3"/>
    <w:rsid w:val="00904297"/>
    <w:rsid w:val="0090518C"/>
    <w:rsid w:val="00905898"/>
    <w:rsid w:val="009071FE"/>
    <w:rsid w:val="00907761"/>
    <w:rsid w:val="009105B2"/>
    <w:rsid w:val="00913AA4"/>
    <w:rsid w:val="00915778"/>
    <w:rsid w:val="009164DD"/>
    <w:rsid w:val="009168CC"/>
    <w:rsid w:val="009210C9"/>
    <w:rsid w:val="00924B24"/>
    <w:rsid w:val="00925C68"/>
    <w:rsid w:val="009278BD"/>
    <w:rsid w:val="00930B0B"/>
    <w:rsid w:val="009315B0"/>
    <w:rsid w:val="009316E9"/>
    <w:rsid w:val="00932C28"/>
    <w:rsid w:val="00934877"/>
    <w:rsid w:val="009364B4"/>
    <w:rsid w:val="009365EA"/>
    <w:rsid w:val="00940E36"/>
    <w:rsid w:val="00942DD0"/>
    <w:rsid w:val="00942E4A"/>
    <w:rsid w:val="00945A61"/>
    <w:rsid w:val="00945D65"/>
    <w:rsid w:val="00947746"/>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E3F"/>
    <w:rsid w:val="00962F40"/>
    <w:rsid w:val="00963C76"/>
    <w:rsid w:val="00964298"/>
    <w:rsid w:val="0096527F"/>
    <w:rsid w:val="00967C35"/>
    <w:rsid w:val="00967DAE"/>
    <w:rsid w:val="00967FD3"/>
    <w:rsid w:val="00970F70"/>
    <w:rsid w:val="0097252B"/>
    <w:rsid w:val="00972668"/>
    <w:rsid w:val="009727B4"/>
    <w:rsid w:val="00972C36"/>
    <w:rsid w:val="009732F9"/>
    <w:rsid w:val="00974D31"/>
    <w:rsid w:val="00982056"/>
    <w:rsid w:val="009830D3"/>
    <w:rsid w:val="00983108"/>
    <w:rsid w:val="00983B8F"/>
    <w:rsid w:val="009843F9"/>
    <w:rsid w:val="0098595E"/>
    <w:rsid w:val="00985F7C"/>
    <w:rsid w:val="00986073"/>
    <w:rsid w:val="0098611B"/>
    <w:rsid w:val="00990206"/>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534D"/>
    <w:rsid w:val="009C6786"/>
    <w:rsid w:val="009D08B2"/>
    <w:rsid w:val="009D120B"/>
    <w:rsid w:val="009D2556"/>
    <w:rsid w:val="009D3240"/>
    <w:rsid w:val="009D3A6E"/>
    <w:rsid w:val="009D5BB9"/>
    <w:rsid w:val="009D61D9"/>
    <w:rsid w:val="009E0AB4"/>
    <w:rsid w:val="009E153D"/>
    <w:rsid w:val="009E188C"/>
    <w:rsid w:val="009E25D3"/>
    <w:rsid w:val="009E3847"/>
    <w:rsid w:val="009E4942"/>
    <w:rsid w:val="009E63E3"/>
    <w:rsid w:val="009E7687"/>
    <w:rsid w:val="009F061D"/>
    <w:rsid w:val="009F0B67"/>
    <w:rsid w:val="009F307E"/>
    <w:rsid w:val="009F398E"/>
    <w:rsid w:val="009F43A8"/>
    <w:rsid w:val="009F4718"/>
    <w:rsid w:val="009F50DE"/>
    <w:rsid w:val="009F7BB0"/>
    <w:rsid w:val="00A01C26"/>
    <w:rsid w:val="00A01E3F"/>
    <w:rsid w:val="00A036C5"/>
    <w:rsid w:val="00A03AD2"/>
    <w:rsid w:val="00A06A0A"/>
    <w:rsid w:val="00A07D84"/>
    <w:rsid w:val="00A07FF9"/>
    <w:rsid w:val="00A10336"/>
    <w:rsid w:val="00A10CE2"/>
    <w:rsid w:val="00A111EA"/>
    <w:rsid w:val="00A13385"/>
    <w:rsid w:val="00A13707"/>
    <w:rsid w:val="00A13811"/>
    <w:rsid w:val="00A13F4F"/>
    <w:rsid w:val="00A15196"/>
    <w:rsid w:val="00A154CD"/>
    <w:rsid w:val="00A20B1F"/>
    <w:rsid w:val="00A23081"/>
    <w:rsid w:val="00A235D0"/>
    <w:rsid w:val="00A273E1"/>
    <w:rsid w:val="00A27A7F"/>
    <w:rsid w:val="00A31C1B"/>
    <w:rsid w:val="00A3276A"/>
    <w:rsid w:val="00A349D2"/>
    <w:rsid w:val="00A34D33"/>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47881"/>
    <w:rsid w:val="00A50B8A"/>
    <w:rsid w:val="00A514E7"/>
    <w:rsid w:val="00A51F40"/>
    <w:rsid w:val="00A550DC"/>
    <w:rsid w:val="00A55E91"/>
    <w:rsid w:val="00A56275"/>
    <w:rsid w:val="00A572BC"/>
    <w:rsid w:val="00A62530"/>
    <w:rsid w:val="00A633C3"/>
    <w:rsid w:val="00A6599C"/>
    <w:rsid w:val="00A67428"/>
    <w:rsid w:val="00A679E3"/>
    <w:rsid w:val="00A67E39"/>
    <w:rsid w:val="00A70CF3"/>
    <w:rsid w:val="00A7155E"/>
    <w:rsid w:val="00A71B8F"/>
    <w:rsid w:val="00A72243"/>
    <w:rsid w:val="00A727AD"/>
    <w:rsid w:val="00A72B2A"/>
    <w:rsid w:val="00A73B07"/>
    <w:rsid w:val="00A755EC"/>
    <w:rsid w:val="00A75A03"/>
    <w:rsid w:val="00A75C6B"/>
    <w:rsid w:val="00A76B0D"/>
    <w:rsid w:val="00A77442"/>
    <w:rsid w:val="00A80901"/>
    <w:rsid w:val="00A81901"/>
    <w:rsid w:val="00A819B7"/>
    <w:rsid w:val="00A81AB5"/>
    <w:rsid w:val="00A81EAA"/>
    <w:rsid w:val="00A82637"/>
    <w:rsid w:val="00A82724"/>
    <w:rsid w:val="00A82C5A"/>
    <w:rsid w:val="00A82DBB"/>
    <w:rsid w:val="00A8300D"/>
    <w:rsid w:val="00A8620F"/>
    <w:rsid w:val="00A86D39"/>
    <w:rsid w:val="00A8769A"/>
    <w:rsid w:val="00A90CFB"/>
    <w:rsid w:val="00A91522"/>
    <w:rsid w:val="00A92EC0"/>
    <w:rsid w:val="00A92EED"/>
    <w:rsid w:val="00A9642E"/>
    <w:rsid w:val="00A97703"/>
    <w:rsid w:val="00A9772B"/>
    <w:rsid w:val="00AA0660"/>
    <w:rsid w:val="00AA1801"/>
    <w:rsid w:val="00AA1AF1"/>
    <w:rsid w:val="00AA1FEB"/>
    <w:rsid w:val="00AA3279"/>
    <w:rsid w:val="00AA3875"/>
    <w:rsid w:val="00AA404A"/>
    <w:rsid w:val="00AA40DC"/>
    <w:rsid w:val="00AA6228"/>
    <w:rsid w:val="00AA69A4"/>
    <w:rsid w:val="00AA6D02"/>
    <w:rsid w:val="00AA6EF1"/>
    <w:rsid w:val="00AB01F3"/>
    <w:rsid w:val="00AB26E1"/>
    <w:rsid w:val="00AB274F"/>
    <w:rsid w:val="00AB2C97"/>
    <w:rsid w:val="00AB2D14"/>
    <w:rsid w:val="00AB4E49"/>
    <w:rsid w:val="00AB5260"/>
    <w:rsid w:val="00AB5F30"/>
    <w:rsid w:val="00AB6933"/>
    <w:rsid w:val="00AB6A62"/>
    <w:rsid w:val="00AB6BE3"/>
    <w:rsid w:val="00AB78A7"/>
    <w:rsid w:val="00AC0CAC"/>
    <w:rsid w:val="00AC37C3"/>
    <w:rsid w:val="00AC535B"/>
    <w:rsid w:val="00AC57E0"/>
    <w:rsid w:val="00AC5F6A"/>
    <w:rsid w:val="00AD01F5"/>
    <w:rsid w:val="00AD0B3C"/>
    <w:rsid w:val="00AD1CC0"/>
    <w:rsid w:val="00AD22B5"/>
    <w:rsid w:val="00AD4801"/>
    <w:rsid w:val="00AD6AF4"/>
    <w:rsid w:val="00AD7314"/>
    <w:rsid w:val="00AD7590"/>
    <w:rsid w:val="00AD7FC2"/>
    <w:rsid w:val="00AE0514"/>
    <w:rsid w:val="00AE0810"/>
    <w:rsid w:val="00AE0D12"/>
    <w:rsid w:val="00AE10E0"/>
    <w:rsid w:val="00AE258D"/>
    <w:rsid w:val="00AE72E8"/>
    <w:rsid w:val="00AF1F04"/>
    <w:rsid w:val="00AF3D59"/>
    <w:rsid w:val="00AF4959"/>
    <w:rsid w:val="00AF6794"/>
    <w:rsid w:val="00AF7056"/>
    <w:rsid w:val="00AF795D"/>
    <w:rsid w:val="00B016F7"/>
    <w:rsid w:val="00B04209"/>
    <w:rsid w:val="00B055B9"/>
    <w:rsid w:val="00B0568A"/>
    <w:rsid w:val="00B068E3"/>
    <w:rsid w:val="00B07CD9"/>
    <w:rsid w:val="00B12F29"/>
    <w:rsid w:val="00B13AD9"/>
    <w:rsid w:val="00B13D85"/>
    <w:rsid w:val="00B14008"/>
    <w:rsid w:val="00B16207"/>
    <w:rsid w:val="00B16296"/>
    <w:rsid w:val="00B166B9"/>
    <w:rsid w:val="00B1674D"/>
    <w:rsid w:val="00B16CCE"/>
    <w:rsid w:val="00B1786A"/>
    <w:rsid w:val="00B206D8"/>
    <w:rsid w:val="00B20FCA"/>
    <w:rsid w:val="00B2191E"/>
    <w:rsid w:val="00B23972"/>
    <w:rsid w:val="00B25BA8"/>
    <w:rsid w:val="00B278B6"/>
    <w:rsid w:val="00B30796"/>
    <w:rsid w:val="00B30891"/>
    <w:rsid w:val="00B312C7"/>
    <w:rsid w:val="00B316B9"/>
    <w:rsid w:val="00B32E58"/>
    <w:rsid w:val="00B335A2"/>
    <w:rsid w:val="00B337FF"/>
    <w:rsid w:val="00B34371"/>
    <w:rsid w:val="00B34D43"/>
    <w:rsid w:val="00B37104"/>
    <w:rsid w:val="00B37A5E"/>
    <w:rsid w:val="00B423CB"/>
    <w:rsid w:val="00B43D19"/>
    <w:rsid w:val="00B447D7"/>
    <w:rsid w:val="00B46AE9"/>
    <w:rsid w:val="00B47D0D"/>
    <w:rsid w:val="00B50707"/>
    <w:rsid w:val="00B51257"/>
    <w:rsid w:val="00B52B7D"/>
    <w:rsid w:val="00B531D2"/>
    <w:rsid w:val="00B53CCA"/>
    <w:rsid w:val="00B54441"/>
    <w:rsid w:val="00B54A5F"/>
    <w:rsid w:val="00B5559A"/>
    <w:rsid w:val="00B560C2"/>
    <w:rsid w:val="00B56409"/>
    <w:rsid w:val="00B565DB"/>
    <w:rsid w:val="00B56F9B"/>
    <w:rsid w:val="00B60641"/>
    <w:rsid w:val="00B667C6"/>
    <w:rsid w:val="00B709AD"/>
    <w:rsid w:val="00B72B45"/>
    <w:rsid w:val="00B72D4E"/>
    <w:rsid w:val="00B73838"/>
    <w:rsid w:val="00B7421A"/>
    <w:rsid w:val="00B74827"/>
    <w:rsid w:val="00B74D8D"/>
    <w:rsid w:val="00B75764"/>
    <w:rsid w:val="00B75948"/>
    <w:rsid w:val="00B75F20"/>
    <w:rsid w:val="00B7661A"/>
    <w:rsid w:val="00B76F3F"/>
    <w:rsid w:val="00B77233"/>
    <w:rsid w:val="00B81371"/>
    <w:rsid w:val="00B82C05"/>
    <w:rsid w:val="00B83E2E"/>
    <w:rsid w:val="00B85408"/>
    <w:rsid w:val="00B86635"/>
    <w:rsid w:val="00B866D9"/>
    <w:rsid w:val="00B87A31"/>
    <w:rsid w:val="00B902E7"/>
    <w:rsid w:val="00B922D9"/>
    <w:rsid w:val="00B923ED"/>
    <w:rsid w:val="00B92496"/>
    <w:rsid w:val="00B926D6"/>
    <w:rsid w:val="00B966BF"/>
    <w:rsid w:val="00B974B4"/>
    <w:rsid w:val="00BA3FA9"/>
    <w:rsid w:val="00BA4107"/>
    <w:rsid w:val="00BA4F66"/>
    <w:rsid w:val="00BA7987"/>
    <w:rsid w:val="00BA7CFA"/>
    <w:rsid w:val="00BB1309"/>
    <w:rsid w:val="00BB17E0"/>
    <w:rsid w:val="00BB2592"/>
    <w:rsid w:val="00BB3156"/>
    <w:rsid w:val="00BB462D"/>
    <w:rsid w:val="00BB5627"/>
    <w:rsid w:val="00BB59C3"/>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10D"/>
    <w:rsid w:val="00BD44E2"/>
    <w:rsid w:val="00BD4FBC"/>
    <w:rsid w:val="00BD5197"/>
    <w:rsid w:val="00BD6509"/>
    <w:rsid w:val="00BD6560"/>
    <w:rsid w:val="00BD692D"/>
    <w:rsid w:val="00BE00FA"/>
    <w:rsid w:val="00BE0C95"/>
    <w:rsid w:val="00BE1299"/>
    <w:rsid w:val="00BE2752"/>
    <w:rsid w:val="00BE448F"/>
    <w:rsid w:val="00BE4F24"/>
    <w:rsid w:val="00BE5006"/>
    <w:rsid w:val="00BE545A"/>
    <w:rsid w:val="00BE5E11"/>
    <w:rsid w:val="00BE644B"/>
    <w:rsid w:val="00BE6C95"/>
    <w:rsid w:val="00BE70CF"/>
    <w:rsid w:val="00BE74FA"/>
    <w:rsid w:val="00BF0775"/>
    <w:rsid w:val="00BF0A54"/>
    <w:rsid w:val="00BF0F1C"/>
    <w:rsid w:val="00BF116F"/>
    <w:rsid w:val="00BF1B7F"/>
    <w:rsid w:val="00BF3C7C"/>
    <w:rsid w:val="00BF4E4C"/>
    <w:rsid w:val="00BF5504"/>
    <w:rsid w:val="00BF6D83"/>
    <w:rsid w:val="00BF704D"/>
    <w:rsid w:val="00BF7824"/>
    <w:rsid w:val="00C004DD"/>
    <w:rsid w:val="00C02535"/>
    <w:rsid w:val="00C03B1D"/>
    <w:rsid w:val="00C0462C"/>
    <w:rsid w:val="00C04666"/>
    <w:rsid w:val="00C047C5"/>
    <w:rsid w:val="00C04D22"/>
    <w:rsid w:val="00C056D3"/>
    <w:rsid w:val="00C06ECA"/>
    <w:rsid w:val="00C11573"/>
    <w:rsid w:val="00C12874"/>
    <w:rsid w:val="00C14A4C"/>
    <w:rsid w:val="00C14CDF"/>
    <w:rsid w:val="00C16762"/>
    <w:rsid w:val="00C1726E"/>
    <w:rsid w:val="00C17637"/>
    <w:rsid w:val="00C176A6"/>
    <w:rsid w:val="00C179FC"/>
    <w:rsid w:val="00C207BC"/>
    <w:rsid w:val="00C20A70"/>
    <w:rsid w:val="00C2139F"/>
    <w:rsid w:val="00C21A6B"/>
    <w:rsid w:val="00C240E4"/>
    <w:rsid w:val="00C278D9"/>
    <w:rsid w:val="00C27ABF"/>
    <w:rsid w:val="00C27F66"/>
    <w:rsid w:val="00C30486"/>
    <w:rsid w:val="00C305DF"/>
    <w:rsid w:val="00C315FB"/>
    <w:rsid w:val="00C317BD"/>
    <w:rsid w:val="00C33279"/>
    <w:rsid w:val="00C33B5F"/>
    <w:rsid w:val="00C3421B"/>
    <w:rsid w:val="00C34BA8"/>
    <w:rsid w:val="00C407AB"/>
    <w:rsid w:val="00C41015"/>
    <w:rsid w:val="00C42134"/>
    <w:rsid w:val="00C43ECE"/>
    <w:rsid w:val="00C45BF0"/>
    <w:rsid w:val="00C47397"/>
    <w:rsid w:val="00C47468"/>
    <w:rsid w:val="00C5114E"/>
    <w:rsid w:val="00C51569"/>
    <w:rsid w:val="00C5235A"/>
    <w:rsid w:val="00C54D78"/>
    <w:rsid w:val="00C5573D"/>
    <w:rsid w:val="00C55AC9"/>
    <w:rsid w:val="00C61A25"/>
    <w:rsid w:val="00C6220B"/>
    <w:rsid w:val="00C6236D"/>
    <w:rsid w:val="00C63320"/>
    <w:rsid w:val="00C635F3"/>
    <w:rsid w:val="00C63C41"/>
    <w:rsid w:val="00C63CF2"/>
    <w:rsid w:val="00C63FAC"/>
    <w:rsid w:val="00C640B7"/>
    <w:rsid w:val="00C648FC"/>
    <w:rsid w:val="00C64BCF"/>
    <w:rsid w:val="00C64C81"/>
    <w:rsid w:val="00C64FE7"/>
    <w:rsid w:val="00C6514C"/>
    <w:rsid w:val="00C663BE"/>
    <w:rsid w:val="00C71858"/>
    <w:rsid w:val="00C722C5"/>
    <w:rsid w:val="00C74781"/>
    <w:rsid w:val="00C7649D"/>
    <w:rsid w:val="00C76E42"/>
    <w:rsid w:val="00C77EC9"/>
    <w:rsid w:val="00C80034"/>
    <w:rsid w:val="00C8111C"/>
    <w:rsid w:val="00C828A8"/>
    <w:rsid w:val="00C83EA7"/>
    <w:rsid w:val="00C841D7"/>
    <w:rsid w:val="00C8443A"/>
    <w:rsid w:val="00C84559"/>
    <w:rsid w:val="00C858B6"/>
    <w:rsid w:val="00C862C4"/>
    <w:rsid w:val="00C862E9"/>
    <w:rsid w:val="00C86B34"/>
    <w:rsid w:val="00C90879"/>
    <w:rsid w:val="00C915A3"/>
    <w:rsid w:val="00C915C8"/>
    <w:rsid w:val="00C9373E"/>
    <w:rsid w:val="00C945A0"/>
    <w:rsid w:val="00C95593"/>
    <w:rsid w:val="00C95BE8"/>
    <w:rsid w:val="00C9604F"/>
    <w:rsid w:val="00C9715E"/>
    <w:rsid w:val="00CA01E2"/>
    <w:rsid w:val="00CA2022"/>
    <w:rsid w:val="00CA21C9"/>
    <w:rsid w:val="00CA4541"/>
    <w:rsid w:val="00CA5675"/>
    <w:rsid w:val="00CA5964"/>
    <w:rsid w:val="00CB0EAB"/>
    <w:rsid w:val="00CB18D2"/>
    <w:rsid w:val="00CB1CF7"/>
    <w:rsid w:val="00CB2969"/>
    <w:rsid w:val="00CB3C69"/>
    <w:rsid w:val="00CB4CEC"/>
    <w:rsid w:val="00CB57BF"/>
    <w:rsid w:val="00CB6365"/>
    <w:rsid w:val="00CB7B22"/>
    <w:rsid w:val="00CB7E5C"/>
    <w:rsid w:val="00CC0B5A"/>
    <w:rsid w:val="00CC2065"/>
    <w:rsid w:val="00CC2DE4"/>
    <w:rsid w:val="00CC360E"/>
    <w:rsid w:val="00CC3CBF"/>
    <w:rsid w:val="00CC43AD"/>
    <w:rsid w:val="00CC48D6"/>
    <w:rsid w:val="00CC5DEB"/>
    <w:rsid w:val="00CC62BA"/>
    <w:rsid w:val="00CC6378"/>
    <w:rsid w:val="00CD0E30"/>
    <w:rsid w:val="00CD21E7"/>
    <w:rsid w:val="00CD369D"/>
    <w:rsid w:val="00CD6866"/>
    <w:rsid w:val="00CD76D4"/>
    <w:rsid w:val="00CD7893"/>
    <w:rsid w:val="00CE03CC"/>
    <w:rsid w:val="00CE2277"/>
    <w:rsid w:val="00CE5CEE"/>
    <w:rsid w:val="00CE603F"/>
    <w:rsid w:val="00CE7E6A"/>
    <w:rsid w:val="00CF030B"/>
    <w:rsid w:val="00CF0610"/>
    <w:rsid w:val="00CF0623"/>
    <w:rsid w:val="00CF0FBA"/>
    <w:rsid w:val="00CF1B66"/>
    <w:rsid w:val="00CF4294"/>
    <w:rsid w:val="00CF67A5"/>
    <w:rsid w:val="00CF6EB2"/>
    <w:rsid w:val="00D038BF"/>
    <w:rsid w:val="00D063BD"/>
    <w:rsid w:val="00D06B38"/>
    <w:rsid w:val="00D0750E"/>
    <w:rsid w:val="00D1033C"/>
    <w:rsid w:val="00D10354"/>
    <w:rsid w:val="00D10D23"/>
    <w:rsid w:val="00D11445"/>
    <w:rsid w:val="00D1161F"/>
    <w:rsid w:val="00D11804"/>
    <w:rsid w:val="00D12EE7"/>
    <w:rsid w:val="00D13221"/>
    <w:rsid w:val="00D1373C"/>
    <w:rsid w:val="00D13E7E"/>
    <w:rsid w:val="00D16FD4"/>
    <w:rsid w:val="00D179F3"/>
    <w:rsid w:val="00D209C2"/>
    <w:rsid w:val="00D22649"/>
    <w:rsid w:val="00D242F9"/>
    <w:rsid w:val="00D25A9F"/>
    <w:rsid w:val="00D27279"/>
    <w:rsid w:val="00D2734A"/>
    <w:rsid w:val="00D27C11"/>
    <w:rsid w:val="00D306AB"/>
    <w:rsid w:val="00D31B93"/>
    <w:rsid w:val="00D327AC"/>
    <w:rsid w:val="00D3469A"/>
    <w:rsid w:val="00D34A5C"/>
    <w:rsid w:val="00D35986"/>
    <w:rsid w:val="00D3789A"/>
    <w:rsid w:val="00D407B7"/>
    <w:rsid w:val="00D408B6"/>
    <w:rsid w:val="00D409B3"/>
    <w:rsid w:val="00D418FB"/>
    <w:rsid w:val="00D41E2D"/>
    <w:rsid w:val="00D420CF"/>
    <w:rsid w:val="00D4287D"/>
    <w:rsid w:val="00D4793C"/>
    <w:rsid w:val="00D47CE7"/>
    <w:rsid w:val="00D515DB"/>
    <w:rsid w:val="00D56D95"/>
    <w:rsid w:val="00D575DE"/>
    <w:rsid w:val="00D576BD"/>
    <w:rsid w:val="00D617B7"/>
    <w:rsid w:val="00D62AB1"/>
    <w:rsid w:val="00D65068"/>
    <w:rsid w:val="00D65243"/>
    <w:rsid w:val="00D658A1"/>
    <w:rsid w:val="00D7176B"/>
    <w:rsid w:val="00D738F0"/>
    <w:rsid w:val="00D73FDD"/>
    <w:rsid w:val="00D74E08"/>
    <w:rsid w:val="00D75C35"/>
    <w:rsid w:val="00D76313"/>
    <w:rsid w:val="00D801E8"/>
    <w:rsid w:val="00D806C0"/>
    <w:rsid w:val="00D82CB3"/>
    <w:rsid w:val="00D82FC0"/>
    <w:rsid w:val="00D830F3"/>
    <w:rsid w:val="00D8322A"/>
    <w:rsid w:val="00D83C17"/>
    <w:rsid w:val="00D84FAF"/>
    <w:rsid w:val="00D84FD2"/>
    <w:rsid w:val="00D85885"/>
    <w:rsid w:val="00D8594A"/>
    <w:rsid w:val="00D87527"/>
    <w:rsid w:val="00D87652"/>
    <w:rsid w:val="00D9221C"/>
    <w:rsid w:val="00D92D08"/>
    <w:rsid w:val="00D9372E"/>
    <w:rsid w:val="00D947F0"/>
    <w:rsid w:val="00D94EA1"/>
    <w:rsid w:val="00D963CC"/>
    <w:rsid w:val="00D96E06"/>
    <w:rsid w:val="00DA1FCD"/>
    <w:rsid w:val="00DA20E8"/>
    <w:rsid w:val="00DA2F64"/>
    <w:rsid w:val="00DA307E"/>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523C"/>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062B"/>
    <w:rsid w:val="00DF1C93"/>
    <w:rsid w:val="00DF1E5D"/>
    <w:rsid w:val="00DF26A0"/>
    <w:rsid w:val="00DF2ABA"/>
    <w:rsid w:val="00DF419C"/>
    <w:rsid w:val="00DF449A"/>
    <w:rsid w:val="00DF51C5"/>
    <w:rsid w:val="00DF5F15"/>
    <w:rsid w:val="00DF6473"/>
    <w:rsid w:val="00DF651D"/>
    <w:rsid w:val="00DF72C7"/>
    <w:rsid w:val="00DF7F9A"/>
    <w:rsid w:val="00E00C6B"/>
    <w:rsid w:val="00E031A5"/>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BE0"/>
    <w:rsid w:val="00E227C3"/>
    <w:rsid w:val="00E22843"/>
    <w:rsid w:val="00E22B15"/>
    <w:rsid w:val="00E264B4"/>
    <w:rsid w:val="00E26881"/>
    <w:rsid w:val="00E2713B"/>
    <w:rsid w:val="00E275C0"/>
    <w:rsid w:val="00E31E5E"/>
    <w:rsid w:val="00E31FD1"/>
    <w:rsid w:val="00E32DDF"/>
    <w:rsid w:val="00E33108"/>
    <w:rsid w:val="00E34501"/>
    <w:rsid w:val="00E34618"/>
    <w:rsid w:val="00E34706"/>
    <w:rsid w:val="00E34838"/>
    <w:rsid w:val="00E36F0F"/>
    <w:rsid w:val="00E410FD"/>
    <w:rsid w:val="00E4244F"/>
    <w:rsid w:val="00E435B9"/>
    <w:rsid w:val="00E43ABE"/>
    <w:rsid w:val="00E445BD"/>
    <w:rsid w:val="00E4660C"/>
    <w:rsid w:val="00E4665E"/>
    <w:rsid w:val="00E47A5F"/>
    <w:rsid w:val="00E507A5"/>
    <w:rsid w:val="00E50956"/>
    <w:rsid w:val="00E50D7C"/>
    <w:rsid w:val="00E528D2"/>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A7B"/>
    <w:rsid w:val="00E82A92"/>
    <w:rsid w:val="00E82B54"/>
    <w:rsid w:val="00E8322B"/>
    <w:rsid w:val="00E83E79"/>
    <w:rsid w:val="00E849A8"/>
    <w:rsid w:val="00E86C2A"/>
    <w:rsid w:val="00E90A76"/>
    <w:rsid w:val="00E91EBD"/>
    <w:rsid w:val="00E92290"/>
    <w:rsid w:val="00E92A90"/>
    <w:rsid w:val="00E937B5"/>
    <w:rsid w:val="00E93E96"/>
    <w:rsid w:val="00E9442F"/>
    <w:rsid w:val="00E969D2"/>
    <w:rsid w:val="00E96E28"/>
    <w:rsid w:val="00EA08EA"/>
    <w:rsid w:val="00EA0CA1"/>
    <w:rsid w:val="00EA1DE7"/>
    <w:rsid w:val="00EA206F"/>
    <w:rsid w:val="00EA25F2"/>
    <w:rsid w:val="00EA28BC"/>
    <w:rsid w:val="00EA3249"/>
    <w:rsid w:val="00EA5118"/>
    <w:rsid w:val="00EA68B6"/>
    <w:rsid w:val="00EA694D"/>
    <w:rsid w:val="00EB045F"/>
    <w:rsid w:val="00EB0DF0"/>
    <w:rsid w:val="00EB1A2C"/>
    <w:rsid w:val="00EB1DFD"/>
    <w:rsid w:val="00EB40DC"/>
    <w:rsid w:val="00EB6492"/>
    <w:rsid w:val="00EB6CE7"/>
    <w:rsid w:val="00EB743F"/>
    <w:rsid w:val="00EC064C"/>
    <w:rsid w:val="00EC0AA7"/>
    <w:rsid w:val="00EC0B78"/>
    <w:rsid w:val="00EC0BFA"/>
    <w:rsid w:val="00EC115D"/>
    <w:rsid w:val="00EC2AB5"/>
    <w:rsid w:val="00EC3328"/>
    <w:rsid w:val="00EC3934"/>
    <w:rsid w:val="00EC5748"/>
    <w:rsid w:val="00EC7352"/>
    <w:rsid w:val="00EC78F0"/>
    <w:rsid w:val="00ED1D9B"/>
    <w:rsid w:val="00ED2270"/>
    <w:rsid w:val="00ED512E"/>
    <w:rsid w:val="00EE048D"/>
    <w:rsid w:val="00EE0ACB"/>
    <w:rsid w:val="00EE107C"/>
    <w:rsid w:val="00EE1D06"/>
    <w:rsid w:val="00EE1E1E"/>
    <w:rsid w:val="00EE25F8"/>
    <w:rsid w:val="00EE280E"/>
    <w:rsid w:val="00EE32CB"/>
    <w:rsid w:val="00EE3E9C"/>
    <w:rsid w:val="00EE4C4C"/>
    <w:rsid w:val="00EE4D4C"/>
    <w:rsid w:val="00EE4FBE"/>
    <w:rsid w:val="00EF03FA"/>
    <w:rsid w:val="00EF1066"/>
    <w:rsid w:val="00EF29EE"/>
    <w:rsid w:val="00EF2E2B"/>
    <w:rsid w:val="00EF34D2"/>
    <w:rsid w:val="00EF49E4"/>
    <w:rsid w:val="00EF4C26"/>
    <w:rsid w:val="00EF4F1D"/>
    <w:rsid w:val="00EF54B3"/>
    <w:rsid w:val="00EF5693"/>
    <w:rsid w:val="00EF69EC"/>
    <w:rsid w:val="00EF758E"/>
    <w:rsid w:val="00F0032B"/>
    <w:rsid w:val="00F0274F"/>
    <w:rsid w:val="00F02AE6"/>
    <w:rsid w:val="00F02E9D"/>
    <w:rsid w:val="00F04044"/>
    <w:rsid w:val="00F046C8"/>
    <w:rsid w:val="00F047AB"/>
    <w:rsid w:val="00F0503B"/>
    <w:rsid w:val="00F05DE1"/>
    <w:rsid w:val="00F07353"/>
    <w:rsid w:val="00F12147"/>
    <w:rsid w:val="00F13E45"/>
    <w:rsid w:val="00F142E2"/>
    <w:rsid w:val="00F147C6"/>
    <w:rsid w:val="00F14835"/>
    <w:rsid w:val="00F17608"/>
    <w:rsid w:val="00F20FBA"/>
    <w:rsid w:val="00F211E9"/>
    <w:rsid w:val="00F21705"/>
    <w:rsid w:val="00F218EC"/>
    <w:rsid w:val="00F22527"/>
    <w:rsid w:val="00F227DF"/>
    <w:rsid w:val="00F243B4"/>
    <w:rsid w:val="00F25E84"/>
    <w:rsid w:val="00F2703D"/>
    <w:rsid w:val="00F2706D"/>
    <w:rsid w:val="00F27C0B"/>
    <w:rsid w:val="00F31178"/>
    <w:rsid w:val="00F3400B"/>
    <w:rsid w:val="00F35C44"/>
    <w:rsid w:val="00F360B3"/>
    <w:rsid w:val="00F370B9"/>
    <w:rsid w:val="00F37283"/>
    <w:rsid w:val="00F375DF"/>
    <w:rsid w:val="00F37E49"/>
    <w:rsid w:val="00F40C05"/>
    <w:rsid w:val="00F40E86"/>
    <w:rsid w:val="00F425B3"/>
    <w:rsid w:val="00F44C78"/>
    <w:rsid w:val="00F459E6"/>
    <w:rsid w:val="00F46002"/>
    <w:rsid w:val="00F460E9"/>
    <w:rsid w:val="00F509B9"/>
    <w:rsid w:val="00F52A34"/>
    <w:rsid w:val="00F53441"/>
    <w:rsid w:val="00F53C70"/>
    <w:rsid w:val="00F54E56"/>
    <w:rsid w:val="00F6043B"/>
    <w:rsid w:val="00F60C62"/>
    <w:rsid w:val="00F6398D"/>
    <w:rsid w:val="00F645AF"/>
    <w:rsid w:val="00F65468"/>
    <w:rsid w:val="00F65D4B"/>
    <w:rsid w:val="00F667A8"/>
    <w:rsid w:val="00F66BC9"/>
    <w:rsid w:val="00F67255"/>
    <w:rsid w:val="00F67907"/>
    <w:rsid w:val="00F67946"/>
    <w:rsid w:val="00F7108A"/>
    <w:rsid w:val="00F72A7A"/>
    <w:rsid w:val="00F72E9F"/>
    <w:rsid w:val="00F735C8"/>
    <w:rsid w:val="00F739E9"/>
    <w:rsid w:val="00F762D0"/>
    <w:rsid w:val="00F77E59"/>
    <w:rsid w:val="00F805CC"/>
    <w:rsid w:val="00F80B4C"/>
    <w:rsid w:val="00F81620"/>
    <w:rsid w:val="00F82382"/>
    <w:rsid w:val="00F837AA"/>
    <w:rsid w:val="00F84240"/>
    <w:rsid w:val="00F85237"/>
    <w:rsid w:val="00F8540F"/>
    <w:rsid w:val="00F87CD2"/>
    <w:rsid w:val="00F87DAE"/>
    <w:rsid w:val="00F9000A"/>
    <w:rsid w:val="00F9002A"/>
    <w:rsid w:val="00F900C7"/>
    <w:rsid w:val="00F9089C"/>
    <w:rsid w:val="00F90CC8"/>
    <w:rsid w:val="00F9147D"/>
    <w:rsid w:val="00F946E7"/>
    <w:rsid w:val="00F94BA1"/>
    <w:rsid w:val="00F94E43"/>
    <w:rsid w:val="00F95884"/>
    <w:rsid w:val="00F97AFE"/>
    <w:rsid w:val="00FA0128"/>
    <w:rsid w:val="00FA0CBC"/>
    <w:rsid w:val="00FA1786"/>
    <w:rsid w:val="00FA215F"/>
    <w:rsid w:val="00FA3191"/>
    <w:rsid w:val="00FA536E"/>
    <w:rsid w:val="00FA5AE3"/>
    <w:rsid w:val="00FA73DD"/>
    <w:rsid w:val="00FA7D16"/>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0238"/>
    <w:rsid w:val="00FD1DB6"/>
    <w:rsid w:val="00FD35C1"/>
    <w:rsid w:val="00FD4B65"/>
    <w:rsid w:val="00FD4CC7"/>
    <w:rsid w:val="00FD6729"/>
    <w:rsid w:val="00FD7FE3"/>
    <w:rsid w:val="00FE2025"/>
    <w:rsid w:val="00FE2D9D"/>
    <w:rsid w:val="00FE4790"/>
    <w:rsid w:val="00FE49E3"/>
    <w:rsid w:val="00FE687A"/>
    <w:rsid w:val="00FE79C6"/>
    <w:rsid w:val="00FF0ACE"/>
    <w:rsid w:val="00FF0AD1"/>
    <w:rsid w:val="00FF25E7"/>
    <w:rsid w:val="00FF2F56"/>
    <w:rsid w:val="00FF3373"/>
    <w:rsid w:val="00FF4CD3"/>
    <w:rsid w:val="00FF529A"/>
    <w:rsid w:val="00FF5405"/>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647E2485-773A-44DE-BBA4-47186FFB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237"/>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3D734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12F29"/>
    <w:pPr>
      <w:tabs>
        <w:tab w:val="right" w:leader="dot" w:pos="8828"/>
      </w:tabs>
      <w:spacing w:after="100" w:line="276" w:lineRule="auto"/>
      <w:ind w:left="426" w:hanging="42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D734F"/>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E7F28"/>
    <w:pPr>
      <w:spacing w:after="100"/>
      <w:ind w:left="480"/>
    </w:pPr>
  </w:style>
  <w:style w:type="character" w:customStyle="1" w:styleId="il">
    <w:name w:val="il"/>
    <w:basedOn w:val="Fuentedeprrafopredeter"/>
    <w:rsid w:val="006D77D4"/>
  </w:style>
  <w:style w:type="paragraph" w:styleId="TDC4">
    <w:name w:val="toc 4"/>
    <w:basedOn w:val="Normal"/>
    <w:next w:val="Normal"/>
    <w:autoRedefine/>
    <w:uiPriority w:val="39"/>
    <w:unhideWhenUsed/>
    <w:rsid w:val="002B00CF"/>
    <w:pPr>
      <w:spacing w:after="100"/>
      <w:ind w:left="720"/>
    </w:pPr>
  </w:style>
  <w:style w:type="table" w:customStyle="1" w:styleId="Tablaconcuadrcula211">
    <w:name w:val="Tabla con cuadrícula211"/>
    <w:basedOn w:val="Tablanormal"/>
    <w:next w:val="Tablaconcuadrcula"/>
    <w:uiPriority w:val="39"/>
    <w:rsid w:val="003F14A4"/>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73475895">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68367249">
      <w:bodyDiv w:val="1"/>
      <w:marLeft w:val="0"/>
      <w:marRight w:val="0"/>
      <w:marTop w:val="0"/>
      <w:marBottom w:val="0"/>
      <w:divBdr>
        <w:top w:val="none" w:sz="0" w:space="0" w:color="auto"/>
        <w:left w:val="none" w:sz="0" w:space="0" w:color="auto"/>
        <w:bottom w:val="none" w:sz="0" w:space="0" w:color="auto"/>
        <w:right w:val="none" w:sz="0" w:space="0" w:color="auto"/>
      </w:divBdr>
      <w:divsChild>
        <w:div w:id="176506949">
          <w:marLeft w:val="0"/>
          <w:marRight w:val="0"/>
          <w:marTop w:val="0"/>
          <w:marBottom w:val="101"/>
          <w:divBdr>
            <w:top w:val="none" w:sz="0" w:space="0" w:color="auto"/>
            <w:left w:val="none" w:sz="0" w:space="0" w:color="auto"/>
            <w:bottom w:val="none" w:sz="0" w:space="0" w:color="auto"/>
            <w:right w:val="none" w:sz="0" w:space="0" w:color="auto"/>
          </w:divBdr>
        </w:div>
        <w:div w:id="294145851">
          <w:marLeft w:val="864"/>
          <w:marRight w:val="0"/>
          <w:marTop w:val="0"/>
          <w:marBottom w:val="101"/>
          <w:divBdr>
            <w:top w:val="none" w:sz="0" w:space="0" w:color="auto"/>
            <w:left w:val="none" w:sz="0" w:space="0" w:color="auto"/>
            <w:bottom w:val="none" w:sz="0" w:space="0" w:color="auto"/>
            <w:right w:val="none" w:sz="0" w:space="0" w:color="auto"/>
          </w:divBdr>
        </w:div>
        <w:div w:id="886990599">
          <w:marLeft w:val="864"/>
          <w:marRight w:val="0"/>
          <w:marTop w:val="0"/>
          <w:marBottom w:val="101"/>
          <w:divBdr>
            <w:top w:val="none" w:sz="0" w:space="0" w:color="auto"/>
            <w:left w:val="none" w:sz="0" w:space="0" w:color="auto"/>
            <w:bottom w:val="none" w:sz="0" w:space="0" w:color="auto"/>
            <w:right w:val="none" w:sz="0" w:space="0" w:color="auto"/>
          </w:divBdr>
        </w:div>
      </w:divsChild>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773091514">
      <w:bodyDiv w:val="1"/>
      <w:marLeft w:val="0"/>
      <w:marRight w:val="0"/>
      <w:marTop w:val="0"/>
      <w:marBottom w:val="0"/>
      <w:divBdr>
        <w:top w:val="none" w:sz="0" w:space="0" w:color="auto"/>
        <w:left w:val="none" w:sz="0" w:space="0" w:color="auto"/>
        <w:bottom w:val="none" w:sz="0" w:space="0" w:color="auto"/>
        <w:right w:val="none" w:sz="0" w:space="0" w:color="auto"/>
      </w:divBdr>
      <w:divsChild>
        <w:div w:id="1574582861">
          <w:marLeft w:val="0"/>
          <w:marRight w:val="0"/>
          <w:marTop w:val="0"/>
          <w:marBottom w:val="0"/>
          <w:divBdr>
            <w:top w:val="none" w:sz="0" w:space="0" w:color="auto"/>
            <w:left w:val="none" w:sz="0" w:space="0" w:color="auto"/>
            <w:bottom w:val="none" w:sz="0" w:space="0" w:color="auto"/>
            <w:right w:val="none" w:sz="0" w:space="0" w:color="auto"/>
          </w:divBdr>
        </w:div>
      </w:divsChild>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1961607">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019967534">
      <w:bodyDiv w:val="1"/>
      <w:marLeft w:val="0"/>
      <w:marRight w:val="0"/>
      <w:marTop w:val="0"/>
      <w:marBottom w:val="0"/>
      <w:divBdr>
        <w:top w:val="none" w:sz="0" w:space="0" w:color="auto"/>
        <w:left w:val="none" w:sz="0" w:space="0" w:color="auto"/>
        <w:bottom w:val="none" w:sz="0" w:space="0" w:color="auto"/>
        <w:right w:val="none" w:sz="0" w:space="0" w:color="auto"/>
      </w:divBdr>
      <w:divsChild>
        <w:div w:id="537085231">
          <w:marLeft w:val="0"/>
          <w:marRight w:val="0"/>
          <w:marTop w:val="0"/>
          <w:marBottom w:val="101"/>
          <w:divBdr>
            <w:top w:val="none" w:sz="0" w:space="0" w:color="auto"/>
            <w:left w:val="none" w:sz="0" w:space="0" w:color="auto"/>
            <w:bottom w:val="none" w:sz="0" w:space="0" w:color="auto"/>
            <w:right w:val="none" w:sz="0" w:space="0" w:color="auto"/>
          </w:divBdr>
        </w:div>
        <w:div w:id="1145463923">
          <w:marLeft w:val="864"/>
          <w:marRight w:val="0"/>
          <w:marTop w:val="0"/>
          <w:marBottom w:val="101"/>
          <w:divBdr>
            <w:top w:val="none" w:sz="0" w:space="0" w:color="auto"/>
            <w:left w:val="none" w:sz="0" w:space="0" w:color="auto"/>
            <w:bottom w:val="none" w:sz="0" w:space="0" w:color="auto"/>
            <w:right w:val="none" w:sz="0" w:space="0" w:color="auto"/>
          </w:divBdr>
        </w:div>
        <w:div w:id="1174951451">
          <w:marLeft w:val="864"/>
          <w:marRight w:val="0"/>
          <w:marTop w:val="0"/>
          <w:marBottom w:val="101"/>
          <w:divBdr>
            <w:top w:val="none" w:sz="0" w:space="0" w:color="auto"/>
            <w:left w:val="none" w:sz="0" w:space="0" w:color="auto"/>
            <w:bottom w:val="none" w:sz="0" w:space="0" w:color="auto"/>
            <w:right w:val="none" w:sz="0" w:space="0" w:color="auto"/>
          </w:divBdr>
        </w:div>
        <w:div w:id="1840149376">
          <w:marLeft w:val="864"/>
          <w:marRight w:val="0"/>
          <w:marTop w:val="0"/>
          <w:marBottom w:val="101"/>
          <w:divBdr>
            <w:top w:val="none" w:sz="0" w:space="0" w:color="auto"/>
            <w:left w:val="none" w:sz="0" w:space="0" w:color="auto"/>
            <w:bottom w:val="none" w:sz="0" w:space="0" w:color="auto"/>
            <w:right w:val="none" w:sz="0" w:space="0" w:color="auto"/>
          </w:divBdr>
        </w:div>
        <w:div w:id="728191011">
          <w:marLeft w:val="864"/>
          <w:marRight w:val="0"/>
          <w:marTop w:val="0"/>
          <w:marBottom w:val="101"/>
          <w:divBdr>
            <w:top w:val="none" w:sz="0" w:space="0" w:color="auto"/>
            <w:left w:val="none" w:sz="0" w:space="0" w:color="auto"/>
            <w:bottom w:val="none" w:sz="0" w:space="0" w:color="auto"/>
            <w:right w:val="none" w:sz="0" w:space="0" w:color="auto"/>
          </w:divBdr>
        </w:div>
      </w:divsChild>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hyperlink" Target="http://dle.rae.es/?id=FdI00O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Derechos_civiles_y_pol%C3%ADticos"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3A191-273C-42E4-925E-A27BEA03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96</Pages>
  <Words>20720</Words>
  <Characters>113965</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8</cp:revision>
  <cp:lastPrinted>2020-08-26T16:22:00Z</cp:lastPrinted>
  <dcterms:created xsi:type="dcterms:W3CDTF">2020-11-05T23:26:00Z</dcterms:created>
  <dcterms:modified xsi:type="dcterms:W3CDTF">2020-12-07T02:35:00Z</dcterms:modified>
</cp:coreProperties>
</file>