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04794" w:rsidRDefault="00AF5403">
      <w:pPr>
        <w:spacing w:line="360" w:lineRule="auto"/>
        <w:jc w:val="both"/>
        <w:rPr>
          <w:rFonts w:ascii="Palatino Linotype" w:hAnsi="Palatino Linotype"/>
        </w:rPr>
      </w:pPr>
      <w:r>
        <w:rPr>
          <w:rFonts w:ascii="Palatino Linotype" w:hAnsi="Palatino Linotype"/>
        </w:rPr>
        <w:t xml:space="preserve">Resolución del Pleno del Instituto de Transparencia, Acceso a la </w:t>
      </w:r>
      <w:bookmarkStart w:id="0" w:name="_GoBack"/>
      <w:bookmarkEnd w:id="0"/>
      <w:r>
        <w:rPr>
          <w:rFonts w:ascii="Palatino Linotype" w:hAnsi="Palatino Linotype"/>
        </w:rPr>
        <w:t>Información Pública y Protección de Datos Personales del Estado de México y Municipios, con domicilio en Metepec, Estado de México, de fecha doce de agosto de dos mil veinte.</w:t>
      </w:r>
    </w:p>
    <w:p w:rsidR="00604794" w:rsidRDefault="00604794">
      <w:pPr>
        <w:spacing w:line="360" w:lineRule="auto"/>
        <w:jc w:val="both"/>
        <w:rPr>
          <w:rFonts w:ascii="Palatino Linotype" w:hAnsi="Palatino Linotype"/>
        </w:rPr>
      </w:pPr>
    </w:p>
    <w:p w:rsidR="00604794" w:rsidRDefault="00AF5403">
      <w:pPr>
        <w:spacing w:line="360" w:lineRule="auto"/>
        <w:jc w:val="both"/>
        <w:rPr>
          <w:rFonts w:ascii="Palatino Linotype" w:hAnsi="Palatino Linotype"/>
          <w:b/>
        </w:rPr>
      </w:pPr>
      <w:r>
        <w:rPr>
          <w:rFonts w:ascii="Palatino Linotype" w:hAnsi="Palatino Linotype"/>
          <w:b/>
        </w:rPr>
        <w:t>VISTO</w:t>
      </w:r>
      <w:r>
        <w:rPr>
          <w:rFonts w:ascii="Palatino Linotype" w:hAnsi="Palatino Linotype"/>
        </w:rPr>
        <w:t xml:space="preserve"> el expediente formado con motivo del recurso de revisión </w:t>
      </w:r>
      <w:r>
        <w:rPr>
          <w:rFonts w:ascii="Palatino Linotype" w:hAnsi="Palatino Linotype"/>
          <w:b/>
        </w:rPr>
        <w:t>01237/INFOEM/IP/RR/2020</w:t>
      </w:r>
      <w:r>
        <w:rPr>
          <w:rFonts w:ascii="Palatino Linotype" w:hAnsi="Palatino Linotype"/>
        </w:rPr>
        <w:t xml:space="preserve">, promovido por el C. </w:t>
      </w:r>
      <w:proofErr w:type="spellStart"/>
      <w:r w:rsidR="00504E30" w:rsidRPr="00504E30">
        <w:rPr>
          <w:rFonts w:ascii="Palatino Linotype" w:hAnsi="Palatino Linotype" w:cs="Arial"/>
          <w:b/>
        </w:rPr>
        <w:t>Xxxxxxx</w:t>
      </w:r>
      <w:proofErr w:type="spellEnd"/>
      <w:r w:rsidR="00504E30" w:rsidRPr="00504E30">
        <w:rPr>
          <w:rFonts w:ascii="Palatino Linotype" w:hAnsi="Palatino Linotype" w:cs="Arial"/>
          <w:b/>
        </w:rPr>
        <w:t xml:space="preserve"> </w:t>
      </w:r>
      <w:proofErr w:type="spellStart"/>
      <w:r w:rsidR="00504E30" w:rsidRPr="00504E30">
        <w:rPr>
          <w:rFonts w:ascii="Palatino Linotype" w:hAnsi="Palatino Linotype" w:cs="Arial"/>
          <w:b/>
        </w:rPr>
        <w:t>Xxxxxx</w:t>
      </w:r>
      <w:proofErr w:type="spellEnd"/>
      <w:r w:rsidR="00504E30" w:rsidRPr="00504E30">
        <w:rPr>
          <w:rFonts w:ascii="Palatino Linotype" w:hAnsi="Palatino Linotype" w:cs="Arial"/>
          <w:b/>
        </w:rPr>
        <w:t xml:space="preserve"> </w:t>
      </w:r>
      <w:proofErr w:type="spellStart"/>
      <w:r w:rsidR="00504E30" w:rsidRPr="00504E30">
        <w:rPr>
          <w:rFonts w:ascii="Palatino Linotype" w:hAnsi="Palatino Linotype" w:cs="Arial"/>
          <w:b/>
        </w:rPr>
        <w:t>Xxxxxxxxx</w:t>
      </w:r>
      <w:proofErr w:type="spellEnd"/>
      <w:r>
        <w:rPr>
          <w:rFonts w:ascii="Palatino Linotype" w:hAnsi="Palatino Linotype"/>
        </w:rPr>
        <w:t xml:space="preserve">, </w:t>
      </w:r>
      <w:r>
        <w:rPr>
          <w:rFonts w:ascii="Palatino Linotype" w:hAnsi="Palatino Linotype" w:cs="Arial"/>
        </w:rPr>
        <w:t>en lo sucesivo</w:t>
      </w:r>
      <w:r>
        <w:rPr>
          <w:rFonts w:ascii="Palatino Linotype" w:hAnsi="Palatino Linotype" w:cs="Arial"/>
          <w:b/>
        </w:rPr>
        <w:t xml:space="preserve"> EL RECURRENTE,</w:t>
      </w:r>
      <w:r>
        <w:rPr>
          <w:rFonts w:ascii="Palatino Linotype" w:hAnsi="Palatino Linotype"/>
        </w:rPr>
        <w:t xml:space="preserve"> en contra de la respuesta emitida por el </w:t>
      </w:r>
      <w:r>
        <w:rPr>
          <w:rFonts w:ascii="Palatino Linotype" w:hAnsi="Palatino Linotype" w:cs="Arial"/>
          <w:b/>
        </w:rPr>
        <w:t>Instituto de Salud del Estado de México,</w:t>
      </w:r>
      <w:r>
        <w:rPr>
          <w:rFonts w:ascii="Palatino Linotype" w:hAnsi="Palatino Linotype"/>
        </w:rPr>
        <w:t xml:space="preserve"> en lo sucesivo </w:t>
      </w:r>
      <w:r>
        <w:rPr>
          <w:rFonts w:ascii="Palatino Linotype" w:hAnsi="Palatino Linotype"/>
          <w:b/>
        </w:rPr>
        <w:t>EL SUJETO OBLIGADO</w:t>
      </w:r>
      <w:r>
        <w:rPr>
          <w:rFonts w:ascii="Palatino Linotype" w:hAnsi="Palatino Linotype"/>
        </w:rPr>
        <w:t xml:space="preserve">, se procede a dictar la presente resolución con base en lo siguiente: </w:t>
      </w:r>
    </w:p>
    <w:p w:rsidR="00604794" w:rsidRDefault="00604794">
      <w:pPr>
        <w:jc w:val="center"/>
        <w:rPr>
          <w:rFonts w:ascii="Palatino Linotype" w:hAnsi="Palatino Linotype"/>
        </w:rPr>
      </w:pPr>
    </w:p>
    <w:p w:rsidR="00604794" w:rsidRDefault="00AF5403">
      <w:pPr>
        <w:jc w:val="center"/>
        <w:rPr>
          <w:rFonts w:ascii="Palatino Linotype" w:hAnsi="Palatino Linotype"/>
          <w:b/>
          <w:bCs/>
          <w:spacing w:val="40"/>
          <w:sz w:val="28"/>
        </w:rPr>
      </w:pPr>
      <w:r>
        <w:rPr>
          <w:rFonts w:ascii="Palatino Linotype" w:hAnsi="Palatino Linotype"/>
          <w:b/>
          <w:bCs/>
          <w:spacing w:val="40"/>
          <w:sz w:val="28"/>
        </w:rPr>
        <w:t>RESULTANDO</w:t>
      </w:r>
    </w:p>
    <w:p w:rsidR="00604794" w:rsidRDefault="00604794">
      <w:pPr>
        <w:jc w:val="center"/>
        <w:rPr>
          <w:rFonts w:ascii="Palatino Linotype" w:hAnsi="Palatino Linotype"/>
          <w:b/>
          <w:bCs/>
          <w:spacing w:val="40"/>
        </w:rPr>
      </w:pPr>
    </w:p>
    <w:p w:rsidR="00604794" w:rsidRDefault="00AF5403">
      <w:pPr>
        <w:spacing w:line="360" w:lineRule="auto"/>
        <w:jc w:val="both"/>
        <w:rPr>
          <w:rFonts w:ascii="Palatino Linotype" w:hAnsi="Palatino Linotype" w:cs="Arial"/>
          <w:b/>
          <w:bCs/>
        </w:rPr>
      </w:pPr>
      <w:r>
        <w:rPr>
          <w:rFonts w:ascii="Palatino Linotype" w:hAnsi="Palatino Linotype"/>
          <w:b/>
          <w:sz w:val="28"/>
          <w:szCs w:val="28"/>
        </w:rPr>
        <w:t xml:space="preserve">I. </w:t>
      </w:r>
      <w:r>
        <w:rPr>
          <w:rFonts w:ascii="Palatino Linotype" w:hAnsi="Palatino Linotype"/>
        </w:rPr>
        <w:t xml:space="preserve">En </w:t>
      </w:r>
      <w:r>
        <w:rPr>
          <w:rFonts w:ascii="Palatino Linotype" w:hAnsi="Palatino Linotype" w:cs="Arial"/>
          <w:lang w:val="es-ES"/>
        </w:rPr>
        <w:t>fecha</w:t>
      </w:r>
      <w:r>
        <w:rPr>
          <w:rFonts w:ascii="Palatino Linotype" w:hAnsi="Palatino Linotype"/>
        </w:rPr>
        <w:t xml:space="preserve"> cuatro de febrero de dos mil veinte, </w:t>
      </w:r>
      <w:r>
        <w:rPr>
          <w:rFonts w:ascii="Palatino Linotype" w:hAnsi="Palatino Linotype"/>
          <w:b/>
        </w:rPr>
        <w:t>EL RECURRENTE</w:t>
      </w:r>
      <w:r>
        <w:rPr>
          <w:rFonts w:ascii="Palatino Linotype" w:hAnsi="Palatino Linotype" w:cs="Arial"/>
        </w:rPr>
        <w:t xml:space="preserve"> </w:t>
      </w:r>
      <w:r>
        <w:rPr>
          <w:rFonts w:ascii="Palatino Linotype" w:hAnsi="Palatino Linotype"/>
          <w:lang w:val="es-ES_tradnl"/>
        </w:rPr>
        <w:t xml:space="preserve">presentó a través </w:t>
      </w:r>
      <w:r>
        <w:rPr>
          <w:rFonts w:ascii="Palatino Linotype" w:hAnsi="Palatino Linotype" w:cs="Arial"/>
          <w:lang w:val="es-ES_tradnl"/>
        </w:rPr>
        <w:t>del Sistema de Acceso a la Información Mexiquense</w:t>
      </w:r>
      <w:r>
        <w:rPr>
          <w:rFonts w:ascii="Palatino Linotype" w:hAnsi="Palatino Linotype"/>
          <w:lang w:val="es-ES_tradnl"/>
        </w:rPr>
        <w:t xml:space="preserve">, en lo subsecuente </w:t>
      </w:r>
      <w:r>
        <w:rPr>
          <w:rFonts w:ascii="Palatino Linotype" w:hAnsi="Palatino Linotype" w:cs="Arial"/>
          <w:b/>
          <w:szCs w:val="20"/>
          <w:lang w:val="es-ES_tradnl"/>
        </w:rPr>
        <w:t>EL SAIMEX</w:t>
      </w:r>
      <w:r>
        <w:rPr>
          <w:rFonts w:ascii="Palatino Linotype" w:hAnsi="Palatino Linotype" w:cs="Arial"/>
        </w:rPr>
        <w:t xml:space="preserve"> ante </w:t>
      </w:r>
      <w:r>
        <w:rPr>
          <w:rFonts w:ascii="Palatino Linotype" w:hAnsi="Palatino Linotype" w:cs="Arial"/>
          <w:b/>
        </w:rPr>
        <w:t>EL SUJETO OBLIGADO</w:t>
      </w:r>
      <w:r>
        <w:rPr>
          <w:rFonts w:ascii="Palatino Linotype" w:hAnsi="Palatino Linotype" w:cs="Arial"/>
        </w:rPr>
        <w:t xml:space="preserve">, la solicitud de acceso a la información pública, a la que se le asignó el número de expediente </w:t>
      </w:r>
      <w:r>
        <w:rPr>
          <w:rFonts w:ascii="Palatino Linotype" w:hAnsi="Palatino Linotype" w:cs="Arial"/>
          <w:b/>
          <w:bCs/>
        </w:rPr>
        <w:t>00082/ISEM/IP/2020</w:t>
      </w:r>
      <w:r>
        <w:rPr>
          <w:rFonts w:ascii="Palatino Linotype" w:hAnsi="Palatino Linotype" w:cs="Arial"/>
        </w:rPr>
        <w:t>, mediante la cual requirió lo siguiente:</w:t>
      </w:r>
    </w:p>
    <w:p w:rsidR="00604794" w:rsidRDefault="00604794">
      <w:pPr>
        <w:tabs>
          <w:tab w:val="left" w:pos="851"/>
        </w:tabs>
        <w:ind w:left="851" w:right="901"/>
        <w:jc w:val="both"/>
        <w:rPr>
          <w:rFonts w:ascii="Palatino Linotype" w:hAnsi="Palatino Linotype" w:cs="Arial"/>
          <w:i/>
          <w:sz w:val="22"/>
          <w:szCs w:val="22"/>
        </w:rPr>
      </w:pPr>
    </w:p>
    <w:p w:rsidR="00604794" w:rsidRDefault="00AF5403">
      <w:pPr>
        <w:tabs>
          <w:tab w:val="left" w:pos="851"/>
        </w:tabs>
        <w:ind w:left="851" w:right="901"/>
        <w:jc w:val="both"/>
        <w:rPr>
          <w:rFonts w:ascii="Palatino Linotype" w:hAnsi="Palatino Linotype" w:cs="Arial"/>
          <w:i/>
          <w:sz w:val="22"/>
          <w:szCs w:val="22"/>
        </w:rPr>
      </w:pPr>
      <w:r>
        <w:rPr>
          <w:rFonts w:ascii="Palatino Linotype" w:hAnsi="Palatino Linotype" w:cs="Arial"/>
          <w:i/>
          <w:sz w:val="22"/>
          <w:szCs w:val="22"/>
        </w:rPr>
        <w:t xml:space="preserve">“1.- Señale que legislaciones, reglamentos, acuerdos, decretos, lineamientos son los que rigen y regulan las relaciones laborales entre los trabajadores del hospital y el Hospital General "Dr. José Ma. </w:t>
      </w:r>
      <w:proofErr w:type="spellStart"/>
      <w:r>
        <w:rPr>
          <w:rFonts w:ascii="Palatino Linotype" w:hAnsi="Palatino Linotype" w:cs="Arial"/>
          <w:i/>
          <w:sz w:val="22"/>
          <w:szCs w:val="22"/>
        </w:rPr>
        <w:t>Rodriguez</w:t>
      </w:r>
      <w:proofErr w:type="spellEnd"/>
      <w:r>
        <w:rPr>
          <w:rFonts w:ascii="Palatino Linotype" w:hAnsi="Palatino Linotype" w:cs="Arial"/>
          <w:i/>
          <w:sz w:val="22"/>
          <w:szCs w:val="22"/>
        </w:rPr>
        <w:t xml:space="preserve">" 2.- Señale el organigrama del Hospital General "Dr. José Ma. </w:t>
      </w:r>
      <w:proofErr w:type="spellStart"/>
      <w:r>
        <w:rPr>
          <w:rFonts w:ascii="Palatino Linotype" w:hAnsi="Palatino Linotype" w:cs="Arial"/>
          <w:i/>
          <w:sz w:val="22"/>
          <w:szCs w:val="22"/>
        </w:rPr>
        <w:t>Rodriguez</w:t>
      </w:r>
      <w:proofErr w:type="spellEnd"/>
      <w:r>
        <w:rPr>
          <w:rFonts w:ascii="Palatino Linotype" w:hAnsi="Palatino Linotype" w:cs="Arial"/>
          <w:i/>
          <w:sz w:val="22"/>
          <w:szCs w:val="22"/>
        </w:rPr>
        <w:t xml:space="preserve">", así como los nombres de los servidores públicos que ostentan puestos de dirección, subdirección y de jefatura de unidad o de jefatura de departamento. 3.- Señale las facultades y/o atribuciones, así como el fundamento legal y legislación en que se encuentren las mismas, respecto del personal que ostente puestos de dirección, subdirección y de jefe de unidad o jefe de departamento u homólogos, del Hospital General "Dr. José Ma. </w:t>
      </w:r>
      <w:proofErr w:type="spellStart"/>
      <w:r>
        <w:rPr>
          <w:rFonts w:ascii="Palatino Linotype" w:hAnsi="Palatino Linotype" w:cs="Arial"/>
          <w:i/>
          <w:sz w:val="22"/>
          <w:szCs w:val="22"/>
        </w:rPr>
        <w:t>Rodriguez</w:t>
      </w:r>
      <w:proofErr w:type="spellEnd"/>
      <w:r>
        <w:rPr>
          <w:rFonts w:ascii="Palatino Linotype" w:hAnsi="Palatino Linotype" w:cs="Arial"/>
          <w:i/>
          <w:sz w:val="22"/>
          <w:szCs w:val="22"/>
        </w:rPr>
        <w:t>"</w:t>
      </w:r>
      <w:proofErr w:type="gramStart"/>
      <w:r>
        <w:rPr>
          <w:rFonts w:ascii="Palatino Linotype" w:hAnsi="Palatino Linotype" w:cs="Arial"/>
          <w:i/>
          <w:sz w:val="22"/>
          <w:szCs w:val="22"/>
        </w:rPr>
        <w:t>”(</w:t>
      </w:r>
      <w:proofErr w:type="gramEnd"/>
      <w:r>
        <w:rPr>
          <w:rFonts w:ascii="Palatino Linotype" w:hAnsi="Palatino Linotype" w:cs="Arial"/>
          <w:i/>
          <w:sz w:val="22"/>
          <w:szCs w:val="22"/>
        </w:rPr>
        <w:t>Sic)</w:t>
      </w:r>
    </w:p>
    <w:p w:rsidR="00604794" w:rsidRDefault="00604794">
      <w:pPr>
        <w:tabs>
          <w:tab w:val="left" w:pos="851"/>
        </w:tabs>
        <w:ind w:left="851" w:right="901"/>
        <w:jc w:val="both"/>
        <w:rPr>
          <w:rFonts w:ascii="Palatino Linotype" w:hAnsi="Palatino Linotype" w:cs="Arial"/>
          <w:i/>
          <w:sz w:val="22"/>
          <w:szCs w:val="22"/>
        </w:rPr>
      </w:pPr>
    </w:p>
    <w:p w:rsidR="00604794" w:rsidRDefault="00604794">
      <w:pPr>
        <w:spacing w:line="360" w:lineRule="auto"/>
        <w:jc w:val="both"/>
        <w:rPr>
          <w:rFonts w:ascii="Palatino Linotype" w:hAnsi="Palatino Linotype" w:cs="Arial"/>
          <w:sz w:val="16"/>
        </w:rPr>
      </w:pPr>
    </w:p>
    <w:p w:rsidR="00604794" w:rsidRDefault="00AF5403">
      <w:pPr>
        <w:spacing w:line="360" w:lineRule="auto"/>
        <w:jc w:val="both"/>
        <w:rPr>
          <w:rFonts w:ascii="Palatino Linotype" w:hAnsi="Palatino Linotype" w:cs="Arial"/>
          <w:lang w:val="es-ES" w:eastAsia="es-MX"/>
        </w:rPr>
      </w:pPr>
      <w:r>
        <w:rPr>
          <w:rFonts w:ascii="Palatino Linotype" w:hAnsi="Palatino Linotype"/>
          <w:b/>
          <w:sz w:val="28"/>
          <w:szCs w:val="28"/>
        </w:rPr>
        <w:lastRenderedPageBreak/>
        <w:t>II.</w:t>
      </w:r>
      <w:r>
        <w:rPr>
          <w:rFonts w:ascii="Palatino Linotype" w:hAnsi="Palatino Linotype"/>
          <w:sz w:val="28"/>
          <w:szCs w:val="28"/>
        </w:rPr>
        <w:t xml:space="preserve"> </w:t>
      </w:r>
      <w:r>
        <w:rPr>
          <w:rFonts w:ascii="Palatino Linotype" w:hAnsi="Palatino Linotype" w:cs="Arial"/>
          <w:lang w:val="es-ES"/>
        </w:rPr>
        <w:t xml:space="preserve">En cumplimiento al artículo 162 de la Ley de Transparencia y Acceso a la Información Pública del Estado de México y Municipios, el siete de febrero de dos mil veinte, el Titular de la Unidad de Transparencia del </w:t>
      </w:r>
      <w:r>
        <w:rPr>
          <w:rFonts w:ascii="Palatino Linotype" w:hAnsi="Palatino Linotype" w:cs="Arial"/>
          <w:b/>
          <w:lang w:val="es-ES"/>
        </w:rPr>
        <w:t>SUJETO OBLIGADO</w:t>
      </w:r>
      <w:r>
        <w:rPr>
          <w:rFonts w:ascii="Palatino Linotype" w:hAnsi="Palatino Linotype" w:cs="Arial"/>
          <w:lang w:val="es-ES"/>
        </w:rPr>
        <w:t xml:space="preserve">, </w:t>
      </w:r>
      <w:r>
        <w:rPr>
          <w:rFonts w:ascii="Palatino Linotype" w:hAnsi="Palatino Linotype"/>
          <w:bCs/>
          <w:lang w:val="es-ES"/>
        </w:rPr>
        <w:t xml:space="preserve">turnó el requerimiento de información a los Servidores Públicos Habilitados, </w:t>
      </w:r>
      <w:r>
        <w:rPr>
          <w:rFonts w:ascii="Palatino Linotype" w:hAnsi="Palatino Linotype" w:cs="Arial"/>
          <w:lang w:val="es-ES"/>
        </w:rPr>
        <w:t>a efecto de que realizaran la búsqueda y localización de la información tal como se desprende a continuación:</w:t>
      </w:r>
      <w:r>
        <w:rPr>
          <w:rFonts w:ascii="Palatino Linotype" w:hAnsi="Palatino Linotype" w:cs="Arial"/>
          <w:lang w:val="es-ES" w:eastAsia="es-MX"/>
        </w:rPr>
        <w:t xml:space="preserve"> </w:t>
      </w:r>
    </w:p>
    <w:p w:rsidR="00604794" w:rsidRDefault="00AF5403">
      <w:pPr>
        <w:spacing w:line="360" w:lineRule="auto"/>
        <w:jc w:val="center"/>
        <w:rPr>
          <w:rFonts w:ascii="Palatino Linotype" w:hAnsi="Palatino Linotype" w:cs="Arial"/>
          <w:lang w:val="es-ES" w:eastAsia="es-MX"/>
        </w:rPr>
      </w:pPr>
      <w:r>
        <w:rPr>
          <w:noProof/>
          <w:lang w:eastAsia="es-MX"/>
        </w:rPr>
        <w:drawing>
          <wp:inline distT="0" distB="0" distL="0" distR="0">
            <wp:extent cx="5791835" cy="1676400"/>
            <wp:effectExtent l="0" t="0" r="0" b="0"/>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noChangeArrowheads="1"/>
                    </pic:cNvPicPr>
                  </pic:nvPicPr>
                  <pic:blipFill>
                    <a:blip r:embed="rId8"/>
                    <a:stretch>
                      <a:fillRect/>
                    </a:stretch>
                  </pic:blipFill>
                  <pic:spPr bwMode="auto">
                    <a:xfrm>
                      <a:off x="0" y="0"/>
                      <a:ext cx="5791835" cy="1676400"/>
                    </a:xfrm>
                    <a:prstGeom prst="rect">
                      <a:avLst/>
                    </a:prstGeom>
                  </pic:spPr>
                </pic:pic>
              </a:graphicData>
            </a:graphic>
          </wp:inline>
        </w:drawing>
      </w:r>
      <w:r>
        <w:rPr>
          <w:noProof/>
          <w:lang w:eastAsia="es-MX"/>
        </w:rPr>
        <mc:AlternateContent>
          <mc:Choice Requires="wps">
            <w:drawing>
              <wp:anchor distT="0" distB="0" distL="0" distR="0" simplePos="0" relativeHeight="88" behindDoc="0" locked="0" layoutInCell="1" allowOverlap="1" wp14:anchorId="335E1FCA">
                <wp:simplePos x="0" y="0"/>
                <wp:positionH relativeFrom="page">
                  <wp:posOffset>1009650</wp:posOffset>
                </wp:positionH>
                <wp:positionV relativeFrom="paragraph">
                  <wp:posOffset>397510</wp:posOffset>
                </wp:positionV>
                <wp:extent cx="5648960" cy="1257935"/>
                <wp:effectExtent l="76200" t="38100" r="66675" b="76200"/>
                <wp:wrapNone/>
                <wp:docPr id="1" name="Rectángulo redondeado 4"/>
                <wp:cNvGraphicFramePr/>
                <a:graphic xmlns:a="http://schemas.openxmlformats.org/drawingml/2006/main">
                  <a:graphicData uri="http://schemas.microsoft.com/office/word/2010/wordprocessingShape">
                    <wps:wsp>
                      <wps:cNvSpPr/>
                      <wps:spPr>
                        <a:xfrm>
                          <a:off x="0" y="0"/>
                          <a:ext cx="5648400" cy="1257480"/>
                        </a:xfrm>
                        <a:prstGeom prst="roundRect">
                          <a:avLst>
                            <a:gd name="adj" fmla="val 16667"/>
                          </a:avLst>
                        </a:prstGeom>
                        <a:noFill/>
                        <a:ln w="28440">
                          <a:solidFill>
                            <a:srgbClr val="FF0000"/>
                          </a:solidFill>
                          <a:round/>
                        </a:ln>
                        <a:effectLst>
                          <a:outerShdw blurRad="40000" dist="23040" dir="5400000" rotWithShape="0">
                            <a:srgbClr val="000000">
                              <a:alpha val="35000"/>
                            </a:srgbClr>
                          </a:outerShdw>
                        </a:effectLst>
                      </wps:spPr>
                      <wps:style>
                        <a:lnRef idx="0">
                          <a:scrgbClr r="0" g="0" b="0"/>
                        </a:lnRef>
                        <a:fillRef idx="0">
                          <a:scrgbClr r="0" g="0" b="0"/>
                        </a:fillRef>
                        <a:effectRef idx="0">
                          <a:scrgbClr r="0" g="0" b="0"/>
                        </a:effectRef>
                        <a:fontRef idx="minor"/>
                      </wps:style>
                      <wps:bodyPr/>
                    </wps:wsp>
                  </a:graphicData>
                </a:graphic>
              </wp:anchor>
            </w:drawing>
          </mc:Choice>
          <mc:Fallback>
            <w:pict/>
          </mc:Fallback>
        </mc:AlternateContent>
      </w:r>
    </w:p>
    <w:p w:rsidR="00604794" w:rsidRDefault="00604794">
      <w:pPr>
        <w:spacing w:line="360" w:lineRule="auto"/>
        <w:jc w:val="center"/>
        <w:rPr>
          <w:rFonts w:ascii="Palatino Linotype" w:hAnsi="Palatino Linotype" w:cs="Arial"/>
          <w:lang w:val="es-ES" w:eastAsia="es-MX"/>
        </w:rPr>
      </w:pPr>
    </w:p>
    <w:p w:rsidR="00604794" w:rsidRDefault="00AF5403">
      <w:pPr>
        <w:spacing w:line="360" w:lineRule="auto"/>
        <w:jc w:val="both"/>
        <w:rPr>
          <w:rFonts w:ascii="Palatino Linotype" w:hAnsi="Palatino Linotype" w:cs="Arial"/>
          <w:lang w:val="es-ES_tradnl"/>
        </w:rPr>
      </w:pPr>
      <w:r>
        <w:rPr>
          <w:rFonts w:ascii="Palatino Linotype" w:hAnsi="Palatino Linotype"/>
          <w:b/>
          <w:sz w:val="28"/>
          <w:szCs w:val="28"/>
        </w:rPr>
        <w:t xml:space="preserve">III. </w:t>
      </w:r>
      <w:r>
        <w:rPr>
          <w:rFonts w:ascii="Palatino Linotype" w:hAnsi="Palatino Linotype"/>
        </w:rPr>
        <w:t xml:space="preserve">De las constancias que obran en </w:t>
      </w:r>
      <w:r>
        <w:rPr>
          <w:rFonts w:ascii="Palatino Linotype" w:hAnsi="Palatino Linotype"/>
          <w:b/>
        </w:rPr>
        <w:t>EL SAIMEX,</w:t>
      </w:r>
      <w:r>
        <w:rPr>
          <w:rFonts w:ascii="Palatino Linotype" w:hAnsi="Palatino Linotype"/>
        </w:rPr>
        <w:t xml:space="preserve"> se advierte que en fecha veinticinco de febrero de dos mil veinte, </w:t>
      </w:r>
      <w:r>
        <w:rPr>
          <w:rFonts w:ascii="Palatino Linotype" w:hAnsi="Palatino Linotype" w:cs="Arial"/>
          <w:lang w:val="es-ES_tradnl"/>
        </w:rPr>
        <w:t>el Responsable de la Unidad de Transparencia del</w:t>
      </w:r>
      <w:r>
        <w:rPr>
          <w:rFonts w:ascii="Palatino Linotype" w:hAnsi="Palatino Linotype" w:cs="Arial"/>
          <w:b/>
          <w:lang w:val="es-ES_tradnl"/>
        </w:rPr>
        <w:t xml:space="preserve"> SUJETO OBLIGADO</w:t>
      </w:r>
      <w:r>
        <w:rPr>
          <w:rFonts w:ascii="Palatino Linotype" w:hAnsi="Palatino Linotype" w:cs="Arial"/>
          <w:lang w:val="es-ES_tradnl"/>
        </w:rPr>
        <w:t xml:space="preserve"> dio respuesta a la solicitud de información, en los siguientes términos:</w:t>
      </w:r>
    </w:p>
    <w:p w:rsidR="00604794" w:rsidRDefault="00604794">
      <w:pPr>
        <w:ind w:left="851" w:right="899"/>
        <w:jc w:val="both"/>
        <w:rPr>
          <w:rFonts w:ascii="Palatino Linotype" w:hAnsi="Palatino Linotype" w:cs="Arial"/>
          <w:i/>
          <w:sz w:val="22"/>
          <w:szCs w:val="22"/>
        </w:rPr>
      </w:pPr>
    </w:p>
    <w:p w:rsidR="00604794" w:rsidRDefault="00AF5403">
      <w:pPr>
        <w:ind w:left="851" w:right="899"/>
        <w:jc w:val="right"/>
        <w:rPr>
          <w:rFonts w:ascii="Palatino Linotype" w:hAnsi="Palatino Linotype" w:cs="Arial"/>
          <w:i/>
          <w:sz w:val="22"/>
          <w:szCs w:val="22"/>
        </w:rPr>
      </w:pPr>
      <w:r>
        <w:rPr>
          <w:rFonts w:ascii="Palatino Linotype" w:hAnsi="Palatino Linotype" w:cs="Arial"/>
          <w:i/>
          <w:sz w:val="22"/>
          <w:szCs w:val="22"/>
        </w:rPr>
        <w:t>“Folio de la solicitud: 00082/ISEM/IP/2020</w:t>
      </w:r>
    </w:p>
    <w:p w:rsidR="00604794" w:rsidRDefault="00AF5403">
      <w:pPr>
        <w:ind w:left="851" w:right="899"/>
        <w:jc w:val="both"/>
        <w:rPr>
          <w:rFonts w:ascii="Palatino Linotype" w:hAnsi="Palatino Linotype" w:cs="Arial"/>
          <w:i/>
          <w:sz w:val="22"/>
          <w:szCs w:val="22"/>
        </w:rPr>
      </w:pPr>
      <w:r>
        <w:rPr>
          <w:rFonts w:ascii="Palatino Linotype" w:hAnsi="Palatino Linotype" w:cs="Arial"/>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604794" w:rsidRDefault="00AF5403">
      <w:pPr>
        <w:ind w:left="851" w:right="899"/>
        <w:jc w:val="both"/>
        <w:rPr>
          <w:rFonts w:ascii="Palatino Linotype" w:hAnsi="Palatino Linotype" w:cs="Arial"/>
          <w:i/>
          <w:sz w:val="22"/>
          <w:szCs w:val="22"/>
        </w:rPr>
      </w:pPr>
      <w:r>
        <w:rPr>
          <w:rFonts w:ascii="Palatino Linotype" w:hAnsi="Palatino Linotype" w:cs="Arial"/>
          <w:i/>
          <w:sz w:val="22"/>
          <w:szCs w:val="22"/>
        </w:rPr>
        <w:t>Se envía respuesta a su solicitud.</w:t>
      </w:r>
    </w:p>
    <w:p w:rsidR="00604794" w:rsidRDefault="00AF5403">
      <w:pPr>
        <w:ind w:left="851" w:right="899"/>
        <w:jc w:val="both"/>
        <w:rPr>
          <w:rFonts w:ascii="Palatino Linotype" w:hAnsi="Palatino Linotype" w:cs="Arial"/>
          <w:i/>
          <w:sz w:val="22"/>
          <w:szCs w:val="22"/>
        </w:rPr>
      </w:pPr>
      <w:r>
        <w:rPr>
          <w:rFonts w:ascii="Palatino Linotype" w:hAnsi="Palatino Linotype" w:cs="Arial"/>
          <w:i/>
          <w:sz w:val="22"/>
          <w:szCs w:val="22"/>
        </w:rPr>
        <w:t>ATENTAMENTE</w:t>
      </w:r>
    </w:p>
    <w:p w:rsidR="00604794" w:rsidRDefault="00AF5403">
      <w:pPr>
        <w:ind w:left="851" w:right="899"/>
        <w:jc w:val="both"/>
        <w:rPr>
          <w:rFonts w:ascii="Palatino Linotype" w:hAnsi="Palatino Linotype" w:cs="Arial"/>
          <w:i/>
          <w:sz w:val="22"/>
          <w:szCs w:val="22"/>
        </w:rPr>
      </w:pPr>
      <w:r>
        <w:rPr>
          <w:rFonts w:ascii="Palatino Linotype" w:hAnsi="Palatino Linotype" w:cs="Arial"/>
          <w:i/>
          <w:sz w:val="22"/>
          <w:szCs w:val="22"/>
        </w:rPr>
        <w:t>LIC. ELOINA SILVETTE DÍAZ GUTIÉRREZ” (Sic)</w:t>
      </w:r>
    </w:p>
    <w:p w:rsidR="00604794" w:rsidRDefault="00604794">
      <w:pPr>
        <w:ind w:right="899"/>
        <w:jc w:val="both"/>
        <w:rPr>
          <w:rFonts w:ascii="Palatino Linotype" w:hAnsi="Palatino Linotype"/>
        </w:rPr>
      </w:pPr>
    </w:p>
    <w:p w:rsidR="00604794" w:rsidRDefault="00604794">
      <w:pPr>
        <w:ind w:right="899"/>
        <w:jc w:val="both"/>
        <w:rPr>
          <w:rFonts w:ascii="Palatino Linotype" w:hAnsi="Palatino Linotype"/>
        </w:rPr>
      </w:pPr>
    </w:p>
    <w:p w:rsidR="00604794" w:rsidRDefault="00AF5403">
      <w:pPr>
        <w:spacing w:line="360" w:lineRule="auto"/>
        <w:jc w:val="both"/>
        <w:rPr>
          <w:rFonts w:ascii="Palatino Linotype" w:hAnsi="Palatino Linotype"/>
        </w:rPr>
      </w:pPr>
      <w:r w:rsidRPr="00387379">
        <w:rPr>
          <w:rFonts w:ascii="Palatino Linotype" w:hAnsi="Palatino Linotype"/>
        </w:rPr>
        <w:lastRenderedPageBreak/>
        <w:t xml:space="preserve">Advirtiendo de dicha respuesta, que </w:t>
      </w:r>
      <w:r w:rsidRPr="00387379">
        <w:rPr>
          <w:rFonts w:ascii="Palatino Linotype" w:hAnsi="Palatino Linotype" w:cs="Arial"/>
          <w:b/>
        </w:rPr>
        <w:t>EL SUJETO OBLIGADO</w:t>
      </w:r>
      <w:r w:rsidRPr="00387379">
        <w:rPr>
          <w:rFonts w:ascii="Palatino Linotype" w:hAnsi="Palatino Linotype"/>
        </w:rPr>
        <w:t xml:space="preserve"> acompañó los archivos electrónicos denominados </w:t>
      </w:r>
      <w:r w:rsidRPr="00387379">
        <w:rPr>
          <w:rFonts w:ascii="Palatino Linotype" w:hAnsi="Palatino Linotype"/>
          <w:b/>
          <w:i/>
        </w:rPr>
        <w:t>0219.pdf, José Ma.Rodríguez.pdf</w:t>
      </w:r>
      <w:r w:rsidRPr="00387379">
        <w:rPr>
          <w:rFonts w:ascii="Palatino Linotype" w:hAnsi="Palatino Linotype"/>
        </w:rPr>
        <w:t xml:space="preserve"> y </w:t>
      </w:r>
      <w:r w:rsidRPr="00387379">
        <w:rPr>
          <w:rFonts w:ascii="Palatino Linotype" w:hAnsi="Palatino Linotype"/>
          <w:b/>
          <w:i/>
        </w:rPr>
        <w:t>SAIMEX 00082 IP.docx</w:t>
      </w:r>
      <w:r w:rsidRPr="00387379">
        <w:rPr>
          <w:rFonts w:ascii="Palatino Linotype" w:hAnsi="Palatino Linotype" w:cs="Arial"/>
          <w:b/>
        </w:rPr>
        <w:t xml:space="preserve">, </w:t>
      </w:r>
      <w:r w:rsidRPr="00387379">
        <w:rPr>
          <w:rFonts w:ascii="Palatino Linotype" w:hAnsi="Palatino Linotype" w:cs="Arial"/>
        </w:rPr>
        <w:t xml:space="preserve">los cuales contienen la liga electrónica que a decir del Sujeto Obligo remite a su normativa vigente aplicable, asimismo proporciono los nombres de los servidores públicos con cargo de director, subdirector y jefatura, refirió que las facultades de y/o atribuciones del directivo de dicho nosocomio se encuentran contempladas en el apartado 217B56000 del Manual General de Organización del Instituto de Salud del Estado de México, publicado en la Gaceta de Gobierno Tomo CXCVI. A: 202/3/001/02, de fecha 18 de diciembre de 2013, por último remitió el </w:t>
      </w:r>
      <w:r w:rsidRPr="00387379">
        <w:rPr>
          <w:rFonts w:ascii="Palatino Linotype" w:hAnsi="Palatino Linotype"/>
          <w:color w:val="000000"/>
          <w:lang w:val="es-ES"/>
        </w:rPr>
        <w:t>documento elaborado en el que refirió que mediante el oficio número 208C0101320000L/00219/2020, signado por la Directora de Administración y la Tarjeta Informativa emitida por la Titular de la Unidad de Modernización Administrativa, adjuntaba el Manual de Organización Tipo para Hospitales de más de 90 camas en el que se establece la estructura orgánica y objetivo, funciones por unidad, área y servicio, mismos que se omite su inserción por ser del conocimiento de las partes, máxime que serán motivo de análisis</w:t>
      </w:r>
      <w:r>
        <w:rPr>
          <w:rFonts w:ascii="Palatino Linotype" w:hAnsi="Palatino Linotype"/>
          <w:color w:val="000000"/>
          <w:lang w:val="es-ES"/>
        </w:rPr>
        <w:t xml:space="preserve"> en el desarrollo de la presente resolución.</w:t>
      </w:r>
    </w:p>
    <w:p w:rsidR="00604794" w:rsidRDefault="00604794">
      <w:pPr>
        <w:ind w:right="899"/>
        <w:jc w:val="both"/>
        <w:rPr>
          <w:rFonts w:ascii="Palatino Linotype" w:hAnsi="Palatino Linotype"/>
        </w:rPr>
      </w:pPr>
    </w:p>
    <w:p w:rsidR="00604794" w:rsidRDefault="00AF5403">
      <w:pPr>
        <w:spacing w:line="360" w:lineRule="auto"/>
        <w:jc w:val="both"/>
        <w:rPr>
          <w:rFonts w:ascii="Palatino Linotype" w:hAnsi="Palatino Linotype" w:cs="Arial"/>
        </w:rPr>
      </w:pPr>
      <w:r>
        <w:rPr>
          <w:rFonts w:ascii="Palatino Linotype" w:hAnsi="Palatino Linotype"/>
          <w:b/>
          <w:sz w:val="28"/>
          <w:szCs w:val="28"/>
        </w:rPr>
        <w:t>IV.</w:t>
      </w:r>
      <w:r>
        <w:rPr>
          <w:rFonts w:ascii="Palatino Linotype" w:hAnsi="Palatino Linotype"/>
          <w:b/>
        </w:rPr>
        <w:t xml:space="preserve"> </w:t>
      </w:r>
      <w:r>
        <w:rPr>
          <w:rFonts w:ascii="Palatino Linotype" w:hAnsi="Palatino Linotype"/>
        </w:rPr>
        <w:t xml:space="preserve">Inconforme con la </w:t>
      </w:r>
      <w:r>
        <w:rPr>
          <w:rFonts w:ascii="Palatino Linotype" w:hAnsi="Palatino Linotype" w:cs="Arial"/>
        </w:rPr>
        <w:t xml:space="preserve">respuesta, el veintiséis de febrero de dos mil veinte, </w:t>
      </w:r>
      <w:r>
        <w:rPr>
          <w:rFonts w:ascii="Palatino Linotype" w:hAnsi="Palatino Linotype"/>
          <w:b/>
        </w:rPr>
        <w:t>EL RECURRENTE</w:t>
      </w:r>
      <w:r>
        <w:rPr>
          <w:rFonts w:ascii="Palatino Linotype" w:hAnsi="Palatino Linotype"/>
        </w:rPr>
        <w:t xml:space="preserve"> interpuso el recurso de revisión objeto del presente estudio, el cual fue registrado en </w:t>
      </w:r>
      <w:r>
        <w:rPr>
          <w:rFonts w:ascii="Palatino Linotype" w:hAnsi="Palatino Linotype"/>
          <w:b/>
        </w:rPr>
        <w:t>EL SAIMEX</w:t>
      </w:r>
      <w:r>
        <w:rPr>
          <w:rFonts w:ascii="Palatino Linotype" w:hAnsi="Palatino Linotype"/>
        </w:rPr>
        <w:t xml:space="preserve"> y se le asignó el número de expediente </w:t>
      </w:r>
      <w:r>
        <w:rPr>
          <w:rFonts w:ascii="Palatino Linotype" w:hAnsi="Palatino Linotype" w:cs="Arial"/>
          <w:b/>
          <w:bCs/>
        </w:rPr>
        <w:t>01237/INFOEM/IP/RR/2020</w:t>
      </w:r>
      <w:r>
        <w:rPr>
          <w:rFonts w:ascii="Palatino Linotype" w:hAnsi="Palatino Linotype" w:cs="Arial"/>
        </w:rPr>
        <w:t>, en el que señaló como acto impugnado; así como, razones o motivos de inconformidad, lo siguiente:</w:t>
      </w:r>
    </w:p>
    <w:p w:rsidR="00604794" w:rsidRDefault="00604794">
      <w:pPr>
        <w:ind w:left="851" w:right="899"/>
        <w:jc w:val="both"/>
        <w:rPr>
          <w:rFonts w:ascii="Palatino Linotype" w:hAnsi="Palatino Linotype" w:cs="Arial"/>
          <w:i/>
          <w:sz w:val="22"/>
          <w:szCs w:val="22"/>
        </w:rPr>
      </w:pPr>
    </w:p>
    <w:p w:rsidR="00604794" w:rsidRDefault="00AF5403">
      <w:pPr>
        <w:ind w:left="851" w:right="899"/>
        <w:jc w:val="both"/>
        <w:rPr>
          <w:rFonts w:ascii="Palatino Linotype" w:hAnsi="Palatino Linotype" w:cs="Arial"/>
          <w:i/>
          <w:sz w:val="22"/>
          <w:szCs w:val="22"/>
        </w:rPr>
      </w:pPr>
      <w:r>
        <w:rPr>
          <w:rFonts w:ascii="Palatino Linotype" w:hAnsi="Palatino Linotype" w:cs="Arial"/>
          <w:i/>
          <w:sz w:val="22"/>
          <w:szCs w:val="22"/>
        </w:rPr>
        <w:t xml:space="preserve">“LO CONSTITUYE EL OFICIO 208C0101320000L/00219/2020, DE FECHA 24 DE FEBRERO DE 2020, ASÍ COMO SUS ANEXOS, POR VIRTUD DE QUE </w:t>
      </w:r>
      <w:r>
        <w:rPr>
          <w:rFonts w:ascii="Palatino Linotype" w:hAnsi="Palatino Linotype" w:cs="Arial"/>
          <w:i/>
          <w:sz w:val="22"/>
          <w:szCs w:val="22"/>
        </w:rPr>
        <w:lastRenderedPageBreak/>
        <w:t>NO ES CONGRUENTE CON LA INFORMACIÓN QUE SOLICITO, AUNADO A QUE, LOS LINKS DE LAS PÁGINAS DE INTERNET QUE SEÑALA LA AUTORIDAD EN DICHO OFICIO NO CORRESPONDEN CON LA INFORMACIÓN SOLICITADA, ADEMÁS DE QUE SE ENCUENTRA INCOMPLETA." (Sic)</w:t>
      </w:r>
    </w:p>
    <w:p w:rsidR="00604794" w:rsidRDefault="00604794">
      <w:pPr>
        <w:ind w:right="899"/>
        <w:jc w:val="both"/>
        <w:rPr>
          <w:rFonts w:ascii="Palatino Linotype" w:hAnsi="Palatino Linotype" w:cs="Arial"/>
          <w:i/>
          <w:sz w:val="22"/>
          <w:szCs w:val="22"/>
        </w:rPr>
      </w:pPr>
    </w:p>
    <w:p w:rsidR="00604794" w:rsidRDefault="00AF5403">
      <w:pPr>
        <w:spacing w:line="360" w:lineRule="auto"/>
        <w:ind w:right="49"/>
        <w:jc w:val="both"/>
        <w:rPr>
          <w:rFonts w:ascii="Palatino Linotype" w:hAnsi="Palatino Linotype" w:cs="Arial"/>
          <w:sz w:val="22"/>
          <w:szCs w:val="22"/>
        </w:rPr>
      </w:pPr>
      <w:r>
        <w:rPr>
          <w:rFonts w:ascii="Palatino Linotype" w:hAnsi="Palatino Linotype" w:cs="Arial"/>
          <w:sz w:val="22"/>
          <w:szCs w:val="22"/>
        </w:rPr>
        <w:t xml:space="preserve">Advirtiendo que </w:t>
      </w:r>
      <w:r>
        <w:rPr>
          <w:rFonts w:ascii="Palatino Linotype" w:hAnsi="Palatino Linotype" w:cs="Arial"/>
          <w:b/>
          <w:sz w:val="22"/>
          <w:szCs w:val="22"/>
        </w:rPr>
        <w:t>EL RECURRNTE</w:t>
      </w:r>
      <w:r>
        <w:rPr>
          <w:rFonts w:ascii="Palatino Linotype" w:hAnsi="Palatino Linotype" w:cs="Arial"/>
          <w:sz w:val="22"/>
          <w:szCs w:val="22"/>
        </w:rPr>
        <w:t xml:space="preserve"> acompañó su recurso de revisión con el archivo electrónico denominado “</w:t>
      </w:r>
      <w:r>
        <w:rPr>
          <w:rFonts w:ascii="Palatino Linotype" w:hAnsi="Palatino Linotype" w:cs="Arial"/>
          <w:b/>
          <w:i/>
          <w:sz w:val="22"/>
          <w:szCs w:val="22"/>
        </w:rPr>
        <w:t xml:space="preserve">SOLICITUD DE INFORMACION ISEM.pdf”, </w:t>
      </w:r>
      <w:r>
        <w:rPr>
          <w:rFonts w:ascii="Palatino Linotype" w:hAnsi="Palatino Linotype" w:cs="Arial"/>
          <w:sz w:val="22"/>
          <w:szCs w:val="22"/>
        </w:rPr>
        <w:t xml:space="preserve">el cual contiene: </w:t>
      </w:r>
    </w:p>
    <w:p w:rsidR="00604794" w:rsidRDefault="00AF5403">
      <w:pPr>
        <w:ind w:right="899"/>
        <w:jc w:val="both"/>
        <w:rPr>
          <w:rFonts w:ascii="Palatino Linotype" w:hAnsi="Palatino Linotype" w:cs="Arial"/>
          <w:i/>
          <w:sz w:val="22"/>
          <w:szCs w:val="22"/>
        </w:rPr>
      </w:pPr>
      <w:r>
        <w:rPr>
          <w:noProof/>
          <w:lang w:eastAsia="es-MX"/>
        </w:rPr>
        <w:drawing>
          <wp:inline distT="0" distB="0" distL="0" distR="0">
            <wp:extent cx="5750560" cy="568515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a:picLocks noChangeAspect="1" noChangeArrowheads="1"/>
                    </pic:cNvPicPr>
                  </pic:nvPicPr>
                  <pic:blipFill>
                    <a:blip r:embed="rId9"/>
                    <a:stretch>
                      <a:fillRect/>
                    </a:stretch>
                  </pic:blipFill>
                  <pic:spPr bwMode="auto">
                    <a:xfrm>
                      <a:off x="0" y="0"/>
                      <a:ext cx="5750560" cy="5685155"/>
                    </a:xfrm>
                    <a:prstGeom prst="rect">
                      <a:avLst/>
                    </a:prstGeom>
                  </pic:spPr>
                </pic:pic>
              </a:graphicData>
            </a:graphic>
          </wp:inline>
        </w:drawing>
      </w:r>
    </w:p>
    <w:p w:rsidR="00604794" w:rsidRDefault="00AF5403">
      <w:pPr>
        <w:pStyle w:val="Default"/>
        <w:spacing w:line="360" w:lineRule="auto"/>
        <w:ind w:right="49"/>
        <w:jc w:val="both"/>
        <w:rPr>
          <w:rFonts w:ascii="Palatino Linotype" w:hAnsi="Palatino Linotype"/>
          <w:lang w:val="es-ES_tradnl"/>
        </w:rPr>
      </w:pPr>
      <w:r>
        <w:rPr>
          <w:rFonts w:ascii="Palatino Linotype" w:hAnsi="Palatino Linotype"/>
          <w:b/>
          <w:sz w:val="28"/>
          <w:szCs w:val="28"/>
        </w:rPr>
        <w:lastRenderedPageBreak/>
        <w:t xml:space="preserve">V. </w:t>
      </w:r>
      <w:r>
        <w:rPr>
          <w:rFonts w:ascii="Palatino Linotype" w:hAnsi="Palatino Linotype"/>
        </w:rPr>
        <w:t>El</w:t>
      </w:r>
      <w:r>
        <w:rPr>
          <w:rFonts w:ascii="Palatino Linotype" w:hAnsi="Palatino Linotype"/>
          <w:b/>
          <w:sz w:val="28"/>
          <w:szCs w:val="28"/>
        </w:rPr>
        <w:t xml:space="preserve"> </w:t>
      </w:r>
      <w:r>
        <w:rPr>
          <w:rFonts w:ascii="Palatino Linotype" w:hAnsi="Palatino Linotype"/>
        </w:rPr>
        <w:t xml:space="preserve">veintiséis de febrero de dos mil veinte, el </w:t>
      </w:r>
      <w:r>
        <w:rPr>
          <w:rFonts w:ascii="Palatino Linotype" w:hAnsi="Palatino Linotype"/>
          <w:lang w:val="es-ES_tradnl"/>
        </w:rPr>
        <w:t>recurso de que</w:t>
      </w:r>
      <w:r>
        <w:rPr>
          <w:rFonts w:ascii="Palatino Linotype" w:hAnsi="Palatino Linotype"/>
        </w:rPr>
        <w:t xml:space="preserve"> se trata</w:t>
      </w:r>
      <w:r>
        <w:rPr>
          <w:rFonts w:ascii="Palatino Linotype" w:hAnsi="Palatino Linotype"/>
          <w:lang w:val="es-ES_tradnl"/>
        </w:rPr>
        <w:t xml:space="preserve"> se envió electrónicamente al Instituto de </w:t>
      </w:r>
      <w:r>
        <w:rPr>
          <w:rFonts w:ascii="Palatino Linotype" w:eastAsia="Arial Unicode MS" w:hAnsi="Palatino Linotype"/>
        </w:rPr>
        <w:t>Transparencia</w:t>
      </w:r>
      <w:r>
        <w:rPr>
          <w:rFonts w:ascii="Palatino Linotype" w:hAnsi="Palatino Linotype"/>
          <w:lang w:val="es-ES_tradnl"/>
        </w:rPr>
        <w:t xml:space="preserve">, Acceso a la Información Pública y Protección de Datos Personales del Estado de México y Municipios y con fundamento en el artículo 185, fracción I de la </w:t>
      </w:r>
      <w:r>
        <w:rPr>
          <w:rFonts w:ascii="Palatino Linotype" w:hAnsi="Palatino Linotype"/>
        </w:rPr>
        <w:t>Ley de Transparencia y Acceso a la Información Pública del Estado de México y Municipios</w:t>
      </w:r>
      <w:r>
        <w:rPr>
          <w:rFonts w:ascii="Palatino Linotype" w:hAnsi="Palatino Linotype"/>
          <w:lang w:val="es-ES_tradnl"/>
        </w:rPr>
        <w:t>, se turnó, a través del</w:t>
      </w:r>
      <w:r>
        <w:rPr>
          <w:rFonts w:ascii="Palatino Linotype" w:eastAsia="Arial Unicode MS" w:hAnsi="Palatino Linotype"/>
          <w:lang w:val="es-ES_tradnl"/>
        </w:rPr>
        <w:t xml:space="preserve"> </w:t>
      </w:r>
      <w:r>
        <w:rPr>
          <w:rFonts w:ascii="Palatino Linotype" w:eastAsia="Arial Unicode MS" w:hAnsi="Palatino Linotype"/>
          <w:b/>
          <w:lang w:val="es-ES_tradnl"/>
        </w:rPr>
        <w:t>SAIMEX</w:t>
      </w:r>
      <w:r>
        <w:rPr>
          <w:rFonts w:ascii="Palatino Linotype" w:hAnsi="Palatino Linotype"/>
        </w:rPr>
        <w:t xml:space="preserve">, a la </w:t>
      </w:r>
      <w:r>
        <w:rPr>
          <w:rFonts w:ascii="Palatino Linotype" w:hAnsi="Palatino Linotype"/>
          <w:lang w:val="es-ES_tradnl"/>
        </w:rPr>
        <w:t xml:space="preserve">Comisionada </w:t>
      </w:r>
      <w:r>
        <w:rPr>
          <w:rFonts w:ascii="Palatino Linotype" w:hAnsi="Palatino Linotype"/>
          <w:b/>
          <w:lang w:val="es-ES_tradnl"/>
        </w:rPr>
        <w:t>EVA ABAID YAPUR</w:t>
      </w:r>
      <w:r>
        <w:rPr>
          <w:rFonts w:ascii="Palatino Linotype" w:hAnsi="Palatino Linotype"/>
        </w:rPr>
        <w:t>,</w:t>
      </w:r>
      <w:r>
        <w:rPr>
          <w:rFonts w:ascii="Palatino Linotype" w:hAnsi="Palatino Linotype"/>
          <w:lang w:val="es-ES_tradnl"/>
        </w:rPr>
        <w:t xml:space="preserve"> a efecto de decretar su admisión o desechamiento.</w:t>
      </w:r>
    </w:p>
    <w:p w:rsidR="00604794" w:rsidRDefault="00604794">
      <w:pPr>
        <w:pStyle w:val="Default"/>
        <w:spacing w:line="360" w:lineRule="auto"/>
        <w:ind w:right="49"/>
        <w:jc w:val="both"/>
        <w:rPr>
          <w:rFonts w:ascii="Palatino Linotype" w:hAnsi="Palatino Linotype"/>
          <w:lang w:val="es-ES_tradnl"/>
        </w:rPr>
      </w:pPr>
    </w:p>
    <w:p w:rsidR="00604794" w:rsidRDefault="00AF5403">
      <w:pPr>
        <w:pStyle w:val="Piedepgina"/>
        <w:spacing w:line="360" w:lineRule="auto"/>
        <w:jc w:val="both"/>
        <w:rPr>
          <w:rFonts w:ascii="Palatino Linotype" w:hAnsi="Palatino Linotype" w:cs="Arial"/>
        </w:rPr>
      </w:pPr>
      <w:r>
        <w:rPr>
          <w:rFonts w:ascii="Palatino Linotype" w:hAnsi="Palatino Linotype" w:cs="Arial"/>
          <w:b/>
          <w:sz w:val="28"/>
        </w:rPr>
        <w:t xml:space="preserve">VI. </w:t>
      </w:r>
      <w:r>
        <w:rPr>
          <w:rFonts w:ascii="Palatino Linotype" w:hAnsi="Palatino Linotype" w:cs="Arial"/>
        </w:rPr>
        <w:t>De las constancias del expediente electrónico del</w:t>
      </w:r>
      <w:r>
        <w:rPr>
          <w:rFonts w:ascii="Palatino Linotype" w:hAnsi="Palatino Linotype" w:cs="Arial"/>
          <w:b/>
        </w:rPr>
        <w:t xml:space="preserve"> SAIMEX</w:t>
      </w:r>
      <w:r>
        <w:rPr>
          <w:rFonts w:ascii="Palatino Linotype" w:hAnsi="Palatino Linotype" w:cs="Arial"/>
        </w:rPr>
        <w:t xml:space="preserve">, se advierte que en fecha cuatro de marzo de dos mil veinte, se acordó la admisión a trámite del recurso de revisión que nos ocupa, así como la integración del expediente respectivo, mismo que se puso a disposición de las partes, para que en un plazo máximo de siete días hábiles conforme a lo dispuesto por el artículo 185 de la Ley de Transparencia y Acceso a la Información Pública del Estado de México y Municipios, manifestaran lo que a su derecho conviniera, a efecto de presentar pruebas y alegatos; así como para que </w:t>
      </w:r>
      <w:r>
        <w:rPr>
          <w:rFonts w:ascii="Palatino Linotype" w:hAnsi="Palatino Linotype" w:cs="Arial"/>
          <w:b/>
        </w:rPr>
        <w:t xml:space="preserve">EL SUJETO OBLIGADO </w:t>
      </w:r>
      <w:r>
        <w:rPr>
          <w:rFonts w:ascii="Palatino Linotype" w:hAnsi="Palatino Linotype" w:cs="Arial"/>
        </w:rPr>
        <w:t>rindiera su</w:t>
      </w:r>
      <w:r>
        <w:rPr>
          <w:rFonts w:ascii="Palatino Linotype" w:hAnsi="Palatino Linotype" w:cs="Arial"/>
          <w:b/>
        </w:rPr>
        <w:t xml:space="preserve"> </w:t>
      </w:r>
      <w:r>
        <w:rPr>
          <w:rFonts w:ascii="Palatino Linotype" w:hAnsi="Palatino Linotype" w:cs="Arial"/>
        </w:rPr>
        <w:t>Informe Justificado.</w:t>
      </w:r>
    </w:p>
    <w:p w:rsidR="00604794" w:rsidRDefault="00604794">
      <w:pPr>
        <w:pStyle w:val="Piedepgina"/>
        <w:spacing w:line="360" w:lineRule="auto"/>
        <w:jc w:val="both"/>
        <w:rPr>
          <w:rFonts w:ascii="Palatino Linotype" w:hAnsi="Palatino Linotype" w:cs="Arial"/>
        </w:rPr>
      </w:pPr>
    </w:p>
    <w:p w:rsidR="00604794" w:rsidRDefault="00AF5403">
      <w:pPr>
        <w:spacing w:line="360" w:lineRule="auto"/>
        <w:jc w:val="both"/>
        <w:rPr>
          <w:lang w:eastAsia="es-MX"/>
        </w:rPr>
      </w:pPr>
      <w:r>
        <w:rPr>
          <w:rFonts w:ascii="Palatino Linotype" w:eastAsia="Arial Unicode MS" w:hAnsi="Palatino Linotype" w:cs="Arial"/>
          <w:b/>
          <w:sz w:val="28"/>
          <w:szCs w:val="28"/>
        </w:rPr>
        <w:t xml:space="preserve">VII. </w:t>
      </w:r>
      <w:r>
        <w:rPr>
          <w:rFonts w:ascii="Palatino Linotype" w:hAnsi="Palatino Linotype" w:cs="Arial"/>
        </w:rPr>
        <w:t>En cumplimiento a lo anterior, de las constancias del expediente electrónico del</w:t>
      </w:r>
      <w:r>
        <w:rPr>
          <w:rFonts w:ascii="Palatino Linotype" w:hAnsi="Palatino Linotype" w:cs="Arial"/>
          <w:b/>
        </w:rPr>
        <w:t xml:space="preserve"> SAIMEX</w:t>
      </w:r>
      <w:r>
        <w:rPr>
          <w:rFonts w:ascii="Palatino Linotype" w:hAnsi="Palatino Linotype" w:cs="Arial"/>
        </w:rPr>
        <w:t xml:space="preserve">, se advierte que </w:t>
      </w:r>
      <w:r>
        <w:rPr>
          <w:rFonts w:ascii="Palatino Linotype" w:hAnsi="Palatino Linotype" w:cs="Arial"/>
          <w:b/>
        </w:rPr>
        <w:t>EL RECURRENTE</w:t>
      </w:r>
      <w:r>
        <w:rPr>
          <w:rFonts w:ascii="Palatino Linotype" w:hAnsi="Palatino Linotype" w:cs="Arial"/>
        </w:rPr>
        <w:t xml:space="preserve"> fue omiso en realizar manifestaciones, alegatos y ofrecer las pruebas que a su derecho conviniera. Por su parte, </w:t>
      </w:r>
      <w:r>
        <w:rPr>
          <w:rFonts w:ascii="Palatino Linotype" w:hAnsi="Palatino Linotype" w:cs="Arial"/>
          <w:b/>
        </w:rPr>
        <w:t>EL SUJETO OBLIGADO</w:t>
      </w:r>
      <w:r>
        <w:rPr>
          <w:rFonts w:ascii="Palatino Linotype" w:hAnsi="Palatino Linotype" w:cs="Arial"/>
        </w:rPr>
        <w:t xml:space="preserve"> de igual forma, fue omiso en presentar el Informe Justificado correspondiente, como se aprecia de la siguiente imagen: </w:t>
      </w:r>
    </w:p>
    <w:p w:rsidR="00604794" w:rsidRDefault="00AF5403">
      <w:pPr>
        <w:spacing w:line="360" w:lineRule="auto"/>
        <w:jc w:val="both"/>
        <w:rPr>
          <w:rFonts w:ascii="Palatino Linotype" w:hAnsi="Palatino Linotype" w:cs="Arial"/>
          <w:lang w:eastAsia="es-MX"/>
        </w:rPr>
      </w:pPr>
      <w:r>
        <w:rPr>
          <w:noProof/>
          <w:lang w:eastAsia="es-MX"/>
        </w:rPr>
        <w:lastRenderedPageBreak/>
        <w:drawing>
          <wp:inline distT="0" distB="0" distL="0" distR="0">
            <wp:extent cx="5791835" cy="1517650"/>
            <wp:effectExtent l="0" t="0" r="0" b="0"/>
            <wp:docPr id="4"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
                    <pic:cNvPicPr>
                      <a:picLocks noChangeAspect="1" noChangeArrowheads="1"/>
                    </pic:cNvPicPr>
                  </pic:nvPicPr>
                  <pic:blipFill>
                    <a:blip r:embed="rId10"/>
                    <a:stretch>
                      <a:fillRect/>
                    </a:stretch>
                  </pic:blipFill>
                  <pic:spPr bwMode="auto">
                    <a:xfrm>
                      <a:off x="0" y="0"/>
                      <a:ext cx="5791835" cy="1517650"/>
                    </a:xfrm>
                    <a:prstGeom prst="rect">
                      <a:avLst/>
                    </a:prstGeom>
                  </pic:spPr>
                </pic:pic>
              </a:graphicData>
            </a:graphic>
          </wp:inline>
        </w:drawing>
      </w:r>
    </w:p>
    <w:p w:rsidR="00604794" w:rsidRDefault="00AF5403">
      <w:pPr>
        <w:spacing w:line="360" w:lineRule="auto"/>
        <w:jc w:val="both"/>
        <w:rPr>
          <w:rFonts w:ascii="Palatino Linotype" w:hAnsi="Palatino Linotype"/>
        </w:rPr>
      </w:pPr>
      <w:r>
        <w:rPr>
          <w:rFonts w:ascii="Palatino Linotype" w:hAnsi="Palatino Linotype"/>
          <w:b/>
          <w:sz w:val="28"/>
          <w:szCs w:val="28"/>
        </w:rPr>
        <w:t xml:space="preserve">VIII. </w:t>
      </w:r>
      <w:r>
        <w:rPr>
          <w:rFonts w:ascii="Palatino Linotype" w:hAnsi="Palatino Linotype"/>
        </w:rPr>
        <w:t xml:space="preserve">Una vez analizado el estado </w:t>
      </w:r>
      <w:r w:rsidRPr="00387379">
        <w:rPr>
          <w:rFonts w:ascii="Palatino Linotype" w:hAnsi="Palatino Linotype"/>
        </w:rPr>
        <w:t xml:space="preserve">procesal que guarda el expediente, en fecha </w:t>
      </w:r>
      <w:r w:rsidR="00504E30">
        <w:rPr>
          <w:rFonts w:ascii="Palatino Linotype" w:hAnsi="Palatino Linotype"/>
        </w:rPr>
        <w:t xml:space="preserve">cuatro </w:t>
      </w:r>
      <w:r w:rsidRPr="00387379">
        <w:rPr>
          <w:rFonts w:ascii="Palatino Linotype" w:hAnsi="Palatino Linotype"/>
        </w:rPr>
        <w:t xml:space="preserve">de </w:t>
      </w:r>
      <w:r w:rsidR="00504E30">
        <w:rPr>
          <w:rFonts w:ascii="Palatino Linotype" w:hAnsi="Palatino Linotype"/>
        </w:rPr>
        <w:t xml:space="preserve">agosto </w:t>
      </w:r>
      <w:r w:rsidRPr="00387379">
        <w:rPr>
          <w:rFonts w:ascii="Palatino Linotype" w:hAnsi="Palatino Linotype"/>
        </w:rPr>
        <w:t>de dos mil veinte, la Comisiona</w:t>
      </w:r>
      <w:r>
        <w:rPr>
          <w:rFonts w:ascii="Palatino Linotype" w:hAnsi="Palatino Linotype"/>
        </w:rPr>
        <w:t xml:space="preserve">da Ponente acordó el cierre de instrucción; así como, la remisión del mismo a efecto de ser resuelto, de conformidad con lo establecido en el artículo 185, fracciones VI y VIII de la Ley de Transparencia y Acceso a la Información Pública del Estado de México y Municipios; y, </w:t>
      </w:r>
    </w:p>
    <w:p w:rsidR="00604794" w:rsidRDefault="00604794">
      <w:pPr>
        <w:jc w:val="center"/>
        <w:rPr>
          <w:rFonts w:ascii="Palatino Linotype" w:hAnsi="Palatino Linotype"/>
          <w:b/>
          <w:bCs/>
          <w:spacing w:val="40"/>
          <w:sz w:val="28"/>
        </w:rPr>
      </w:pPr>
    </w:p>
    <w:p w:rsidR="00604794" w:rsidRDefault="00AF5403">
      <w:pPr>
        <w:jc w:val="center"/>
        <w:rPr>
          <w:rFonts w:ascii="Palatino Linotype" w:hAnsi="Palatino Linotype"/>
          <w:b/>
          <w:bCs/>
          <w:spacing w:val="40"/>
          <w:sz w:val="28"/>
        </w:rPr>
      </w:pPr>
      <w:r>
        <w:rPr>
          <w:rFonts w:ascii="Palatino Linotype" w:hAnsi="Palatino Linotype"/>
          <w:b/>
          <w:bCs/>
          <w:spacing w:val="40"/>
          <w:sz w:val="28"/>
        </w:rPr>
        <w:t>CONSIDERANDO</w:t>
      </w:r>
    </w:p>
    <w:p w:rsidR="00604794" w:rsidRDefault="00604794">
      <w:pPr>
        <w:jc w:val="center"/>
        <w:rPr>
          <w:rFonts w:ascii="Palatino Linotype" w:hAnsi="Palatino Linotype"/>
          <w:b/>
          <w:bCs/>
          <w:spacing w:val="40"/>
          <w:sz w:val="28"/>
        </w:rPr>
      </w:pPr>
    </w:p>
    <w:p w:rsidR="00604794" w:rsidRDefault="00AF5403">
      <w:pPr>
        <w:spacing w:line="360" w:lineRule="auto"/>
        <w:ind w:right="50"/>
        <w:jc w:val="both"/>
        <w:rPr>
          <w:rFonts w:ascii="Palatino Linotype" w:hAnsi="Palatino Linotype" w:cs="Arial"/>
        </w:rPr>
      </w:pPr>
      <w:r>
        <w:rPr>
          <w:rFonts w:ascii="Palatino Linotype" w:hAnsi="Palatino Linotype"/>
          <w:b/>
          <w:sz w:val="28"/>
          <w:szCs w:val="28"/>
        </w:rPr>
        <w:t>PRIMERO</w:t>
      </w:r>
      <w:r>
        <w:rPr>
          <w:rFonts w:ascii="Palatino Linotype" w:hAnsi="Palatino Linotype"/>
          <w:b/>
        </w:rPr>
        <w:t>.</w:t>
      </w:r>
      <w:r>
        <w:rPr>
          <w:rFonts w:ascii="Palatino Linotype" w:hAnsi="Palatino Linotype"/>
        </w:rPr>
        <w:t xml:space="preserve"> </w:t>
      </w:r>
      <w:r>
        <w:rPr>
          <w:rFonts w:ascii="Palatino Linotype" w:hAnsi="Palatino Linotype"/>
          <w:b/>
        </w:rPr>
        <w:t>Competencia</w:t>
      </w:r>
      <w:r>
        <w:rPr>
          <w:rFonts w:ascii="Palatino Linotype" w:hAnsi="Palatino Linotype"/>
        </w:rPr>
        <w:t>.</w:t>
      </w:r>
      <w:r>
        <w:rPr>
          <w:rFonts w:ascii="Palatino Linotype" w:hAnsi="Palatino Linotype"/>
          <w:b/>
        </w:rPr>
        <w:t xml:space="preserve"> </w:t>
      </w:r>
      <w:r>
        <w:rPr>
          <w:rFonts w:ascii="Palatino Linotype" w:hAnsi="Palatino Linotype"/>
        </w:rPr>
        <w:t xml:space="preserve">Este Instituto de </w:t>
      </w:r>
      <w:r>
        <w:rPr>
          <w:rFonts w:ascii="Palatino Linotype" w:hAnsi="Palatino Linotype" w:cs="Arial"/>
        </w:rPr>
        <w:t>Transparencia</w:t>
      </w:r>
      <w:r>
        <w:rPr>
          <w:rFonts w:ascii="Palatino Linotype" w:hAnsi="Palatino Linotype"/>
        </w:rPr>
        <w:t xml:space="preserve">, Acceso a la Información Pública y Protección de Datos Personales del Estado de México y Municipios, es competente para conocer y resolver el presente recurso, conforme a lo dispuesto en los artículos 6, Letra A de la Constitución Política de los Estados Unidos Mexicanos; 5, </w:t>
      </w:r>
      <w:r>
        <w:rPr>
          <w:rFonts w:ascii="Palatino Linotype" w:eastAsia="Calibri" w:hAnsi="Palatino Linotype" w:cs="Arial"/>
        </w:rPr>
        <w:t xml:space="preserve">párrafos </w:t>
      </w:r>
      <w:r>
        <w:rPr>
          <w:rFonts w:ascii="Palatino Linotype" w:hAnsi="Palatino Linotype"/>
        </w:rPr>
        <w:t xml:space="preserve">vigésimo </w:t>
      </w:r>
      <w:r>
        <w:rPr>
          <w:rFonts w:ascii="Palatino Linotype" w:hAnsi="Palatino Linotype" w:cs="Arial"/>
        </w:rPr>
        <w:t>segundo,</w:t>
      </w:r>
      <w:r>
        <w:rPr>
          <w:rFonts w:ascii="Palatino Linotype" w:hAnsi="Palatino Linotype"/>
        </w:rPr>
        <w:t xml:space="preserve"> vigésimo tercero y vigésimo cuarto, fracciones IV y V de la Constitución Política del Estado Libre y Soberano de México; 1, 2, fracción II, 13, 29, 36, fracciones I y II, 176, 178, 179, 181, párrafo tercero y 185 de la Ley de Transparencia y Acceso a la Información Pública del Estado de México y Municipios</w:t>
      </w:r>
      <w:r>
        <w:rPr>
          <w:rFonts w:ascii="Palatino Linotype" w:hAnsi="Palatino Linotype" w:cs="Arial"/>
        </w:rPr>
        <w:t xml:space="preserve">; y 9, fracciones I y XXIV y 11 del Reglamento Interior del Instituto de Transparencia, Acceso a la Información Pública y Protección de Datos Personales del Estado de México y </w:t>
      </w:r>
      <w:r>
        <w:rPr>
          <w:rFonts w:ascii="Palatino Linotype" w:hAnsi="Palatino Linotype" w:cs="Arial"/>
        </w:rPr>
        <w:lastRenderedPageBreak/>
        <w:t>Municipios; toda vez que se trata de un recurso de revisión interpuesto por un Ciudadano en términos de la Ley de la materia.</w:t>
      </w:r>
    </w:p>
    <w:p w:rsidR="00604794" w:rsidRDefault="00604794">
      <w:pPr>
        <w:spacing w:line="360" w:lineRule="auto"/>
        <w:ind w:right="50"/>
        <w:jc w:val="both"/>
        <w:rPr>
          <w:rFonts w:ascii="Palatino Linotype" w:hAnsi="Palatino Linotype" w:cs="Arial"/>
          <w:b/>
        </w:rPr>
      </w:pPr>
    </w:p>
    <w:p w:rsidR="00604794" w:rsidRDefault="00AF5403">
      <w:pPr>
        <w:spacing w:line="360" w:lineRule="auto"/>
        <w:jc w:val="both"/>
        <w:rPr>
          <w:rFonts w:ascii="Palatino Linotype" w:hAnsi="Palatino Linotype" w:cs="Arial"/>
          <w:b/>
        </w:rPr>
      </w:pPr>
      <w:r>
        <w:rPr>
          <w:rFonts w:ascii="Palatino Linotype" w:hAnsi="Palatino Linotype" w:cs="Arial"/>
          <w:b/>
          <w:sz w:val="28"/>
        </w:rPr>
        <w:t>SEGUNDO</w:t>
      </w:r>
      <w:r>
        <w:rPr>
          <w:rFonts w:ascii="Palatino Linotype" w:hAnsi="Palatino Linotype" w:cs="Arial"/>
          <w:b/>
        </w:rPr>
        <w:t xml:space="preserve">. Interés. </w:t>
      </w:r>
      <w:r>
        <w:rPr>
          <w:rFonts w:ascii="Palatino Linotype" w:hAnsi="Palatino Linotype" w:cs="Arial"/>
          <w:bCs/>
        </w:rPr>
        <w:t xml:space="preserve">El recurso de revisión fue interpuesto por parte legítima, en atención a que se presentó por </w:t>
      </w:r>
      <w:r>
        <w:rPr>
          <w:rFonts w:ascii="Palatino Linotype" w:hAnsi="Palatino Linotype" w:cs="Arial"/>
          <w:b/>
          <w:bCs/>
        </w:rPr>
        <w:t>EL RECURRENTE,</w:t>
      </w:r>
      <w:r>
        <w:rPr>
          <w:rFonts w:ascii="Palatino Linotype" w:hAnsi="Palatino Linotype" w:cs="Arial"/>
          <w:bCs/>
        </w:rPr>
        <w:t xml:space="preserve"> quien es la misma persona que formuló la solicitud de acceso a la información pública al </w:t>
      </w:r>
      <w:r>
        <w:rPr>
          <w:rFonts w:ascii="Palatino Linotype" w:hAnsi="Palatino Linotype" w:cs="Arial"/>
          <w:b/>
          <w:bCs/>
        </w:rPr>
        <w:t>SUJETO OBLIGADO.</w:t>
      </w:r>
    </w:p>
    <w:p w:rsidR="00604794" w:rsidRDefault="00604794">
      <w:pPr>
        <w:spacing w:line="360" w:lineRule="auto"/>
        <w:jc w:val="both"/>
        <w:rPr>
          <w:rFonts w:ascii="Palatino Linotype" w:hAnsi="Palatino Linotype" w:cs="Arial"/>
          <w:b/>
          <w:szCs w:val="28"/>
        </w:rPr>
      </w:pPr>
    </w:p>
    <w:p w:rsidR="00604794" w:rsidRDefault="00AF5403">
      <w:pPr>
        <w:pStyle w:val="Prrafodelista"/>
        <w:spacing w:line="360" w:lineRule="auto"/>
        <w:ind w:left="0" w:right="49"/>
        <w:jc w:val="both"/>
        <w:rPr>
          <w:rFonts w:ascii="Palatino Linotype" w:hAnsi="Palatino Linotype" w:cs="Arial"/>
        </w:rPr>
      </w:pPr>
      <w:r>
        <w:rPr>
          <w:rFonts w:ascii="Palatino Linotype" w:hAnsi="Palatino Linotype" w:cs="Arial"/>
          <w:b/>
          <w:sz w:val="28"/>
          <w:szCs w:val="28"/>
        </w:rPr>
        <w:t xml:space="preserve">TERCERO. </w:t>
      </w:r>
      <w:r>
        <w:rPr>
          <w:rFonts w:ascii="Palatino Linotype" w:hAnsi="Palatino Linotype" w:cs="Arial"/>
          <w:b/>
        </w:rPr>
        <w:t xml:space="preserve">Oportunidad. </w:t>
      </w:r>
      <w:r>
        <w:rPr>
          <w:rFonts w:ascii="Palatino Linotype" w:hAnsi="Palatino Linotype" w:cs="Arial"/>
        </w:rPr>
        <w:t xml:space="preserve">El recurso de revisión fue interpuesto dentro del plazo de quince días hábiles contados a partir del día siguiente al en que </w:t>
      </w:r>
      <w:r>
        <w:rPr>
          <w:rFonts w:ascii="Palatino Linotype" w:hAnsi="Palatino Linotype" w:cs="Arial"/>
          <w:b/>
        </w:rPr>
        <w:t xml:space="preserve">EL RECURRENTE </w:t>
      </w:r>
      <w:r>
        <w:rPr>
          <w:rFonts w:ascii="Palatino Linotype" w:hAnsi="Palatino Linotype" w:cs="Arial"/>
        </w:rPr>
        <w:t xml:space="preserve">tuvo conocimiento de la respuesta impugnada, tal y como lo prevé el artículo 178 de la Ley de Transparencia y Acceso a la Información Pública del Estado de México y Municipios, que establece: </w:t>
      </w:r>
    </w:p>
    <w:p w:rsidR="00604794" w:rsidRDefault="00604794">
      <w:pPr>
        <w:ind w:left="851" w:right="902"/>
        <w:jc w:val="both"/>
        <w:rPr>
          <w:rFonts w:ascii="Palatino Linotype" w:eastAsiaTheme="minorEastAsia" w:hAnsi="Palatino Linotype" w:cs="Arial"/>
          <w:szCs w:val="20"/>
          <w:lang w:val="es-ES_tradnl"/>
        </w:rPr>
      </w:pPr>
    </w:p>
    <w:p w:rsidR="00604794" w:rsidRDefault="00AF5403">
      <w:pPr>
        <w:tabs>
          <w:tab w:val="left" w:pos="851"/>
        </w:tabs>
        <w:ind w:left="851" w:right="901"/>
        <w:jc w:val="both"/>
        <w:rPr>
          <w:rFonts w:ascii="Palatino Linotype" w:eastAsiaTheme="minorEastAsia" w:hAnsi="Palatino Linotype" w:cs="Arial"/>
          <w:i/>
          <w:sz w:val="22"/>
          <w:szCs w:val="22"/>
          <w:lang w:val="es-ES_tradnl"/>
        </w:rPr>
      </w:pPr>
      <w:r>
        <w:rPr>
          <w:rFonts w:ascii="Palatino Linotype" w:eastAsiaTheme="minorEastAsia" w:hAnsi="Palatino Linotype" w:cs="Arial"/>
          <w:b/>
          <w:i/>
          <w:sz w:val="22"/>
          <w:szCs w:val="22"/>
          <w:lang w:val="es-ES_tradnl"/>
        </w:rPr>
        <w:t>“Artículo 178.</w:t>
      </w:r>
      <w:r>
        <w:rPr>
          <w:rFonts w:ascii="Palatino Linotype" w:eastAsiaTheme="minorEastAsia" w:hAnsi="Palatino Linotype" w:cs="Arial"/>
          <w:i/>
          <w:sz w:val="22"/>
          <w:szCs w:val="22"/>
          <w:lang w:val="es-ES_tradnl"/>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604794" w:rsidRDefault="00AF5403">
      <w:pPr>
        <w:tabs>
          <w:tab w:val="left" w:pos="851"/>
        </w:tabs>
        <w:ind w:left="851" w:right="901"/>
        <w:jc w:val="both"/>
        <w:rPr>
          <w:rFonts w:ascii="Palatino Linotype" w:eastAsiaTheme="minorEastAsia" w:hAnsi="Palatino Linotype" w:cs="Arial"/>
          <w:i/>
          <w:sz w:val="22"/>
          <w:szCs w:val="22"/>
          <w:lang w:val="es-ES_tradnl"/>
        </w:rPr>
      </w:pPr>
      <w:r>
        <w:rPr>
          <w:rFonts w:ascii="Palatino Linotype" w:eastAsiaTheme="minorEastAsia" w:hAnsi="Palatino Linotype" w:cs="Arial"/>
          <w:i/>
          <w:sz w:val="22"/>
          <w:szCs w:val="22"/>
          <w:lang w:val="es-ES_tradnl"/>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604794" w:rsidRDefault="00AF5403">
      <w:pPr>
        <w:tabs>
          <w:tab w:val="left" w:pos="851"/>
        </w:tabs>
        <w:ind w:left="851" w:right="901"/>
        <w:jc w:val="both"/>
        <w:rPr>
          <w:rFonts w:ascii="Palatino Linotype" w:eastAsiaTheme="minorEastAsia" w:hAnsi="Palatino Linotype" w:cs="Arial"/>
          <w:i/>
          <w:sz w:val="22"/>
          <w:szCs w:val="22"/>
          <w:lang w:val="es-ES_tradnl"/>
        </w:rPr>
      </w:pPr>
      <w:r>
        <w:rPr>
          <w:rFonts w:ascii="Palatino Linotype" w:eastAsiaTheme="minorEastAsia" w:hAnsi="Palatino Linotype" w:cs="Arial"/>
          <w:i/>
          <w:sz w:val="22"/>
          <w:szCs w:val="22"/>
          <w:lang w:val="es-ES_tradnl"/>
        </w:rPr>
        <w:t>En el caso de que se interponga ante la Unidad de Transparencia, ésta deberá remitir el recurso de revisión al Instituto a más tardar al día siguiente de haberlo recibido.</w:t>
      </w:r>
      <w:r>
        <w:rPr>
          <w:rFonts w:ascii="Palatino Linotype" w:eastAsiaTheme="minorEastAsia" w:hAnsi="Palatino Linotype" w:cs="Arial"/>
          <w:b/>
          <w:i/>
          <w:sz w:val="22"/>
          <w:szCs w:val="22"/>
          <w:lang w:val="es-ES_tradnl"/>
        </w:rPr>
        <w:t>”</w:t>
      </w:r>
    </w:p>
    <w:p w:rsidR="00604794" w:rsidRDefault="00604794">
      <w:pPr>
        <w:ind w:left="851" w:right="902"/>
        <w:jc w:val="both"/>
        <w:rPr>
          <w:rFonts w:ascii="Palatino Linotype" w:eastAsiaTheme="minorEastAsia" w:hAnsi="Palatino Linotype" w:cs="Arial"/>
          <w:szCs w:val="20"/>
          <w:lang w:val="es-ES_tradnl"/>
        </w:rPr>
      </w:pPr>
    </w:p>
    <w:p w:rsidR="00604794" w:rsidRDefault="00AF5403">
      <w:pPr>
        <w:spacing w:line="360" w:lineRule="auto"/>
        <w:jc w:val="both"/>
        <w:rPr>
          <w:rFonts w:ascii="Palatino Linotype" w:hAnsi="Palatino Linotype"/>
        </w:rPr>
      </w:pPr>
      <w:r>
        <w:rPr>
          <w:rFonts w:ascii="Palatino Linotype" w:eastAsiaTheme="minorEastAsia" w:hAnsi="Palatino Linotype" w:cs="Arial"/>
          <w:lang w:val="es-ES_tradnl"/>
        </w:rPr>
        <w:t xml:space="preserve">En efecto, atendiendo a que </w:t>
      </w:r>
      <w:r>
        <w:rPr>
          <w:rFonts w:ascii="Palatino Linotype" w:eastAsiaTheme="minorEastAsia" w:hAnsi="Palatino Linotype" w:cs="Arial"/>
          <w:b/>
          <w:lang w:val="es-ES_tradnl"/>
        </w:rPr>
        <w:t>EL SUJETO OBLIGADO</w:t>
      </w:r>
      <w:r>
        <w:rPr>
          <w:rFonts w:ascii="Palatino Linotype" w:eastAsiaTheme="minorEastAsia" w:hAnsi="Palatino Linotype" w:cs="Arial"/>
          <w:lang w:val="es-ES_tradnl"/>
        </w:rPr>
        <w:t xml:space="preserve"> notificó la respuesta a la solicitud de información pública el </w:t>
      </w:r>
      <w:r>
        <w:rPr>
          <w:rFonts w:ascii="Palatino Linotype" w:eastAsiaTheme="minorEastAsia" w:hAnsi="Palatino Linotype" w:cs="Arial"/>
          <w:b/>
          <w:lang w:val="es-ES_tradnl"/>
        </w:rPr>
        <w:t xml:space="preserve">veinticinco de febrero de dos mil veinte; </w:t>
      </w:r>
      <w:r>
        <w:rPr>
          <w:rFonts w:ascii="Palatino Linotype" w:hAnsi="Palatino Linotype" w:cs="Arial"/>
        </w:rPr>
        <w:t>en consecuencia, el plazo de quince días hábiles que el artículo 178 de la ley de la materia otorga al</w:t>
      </w:r>
      <w:r>
        <w:rPr>
          <w:rFonts w:ascii="Palatino Linotype" w:hAnsi="Palatino Linotype" w:cs="Arial"/>
          <w:b/>
        </w:rPr>
        <w:t xml:space="preserve"> </w:t>
      </w:r>
      <w:r>
        <w:rPr>
          <w:rFonts w:ascii="Palatino Linotype" w:hAnsi="Palatino Linotype" w:cs="Arial"/>
          <w:b/>
        </w:rPr>
        <w:lastRenderedPageBreak/>
        <w:t>RECURRENTE</w:t>
      </w:r>
      <w:r>
        <w:rPr>
          <w:rFonts w:ascii="Palatino Linotype" w:hAnsi="Palatino Linotype" w:cs="Arial"/>
        </w:rPr>
        <w:t xml:space="preserve"> para presentar el recurso de revisión, transcurrió del</w:t>
      </w:r>
      <w:r>
        <w:rPr>
          <w:rFonts w:ascii="Palatino Linotype" w:hAnsi="Palatino Linotype" w:cs="Arial"/>
          <w:b/>
        </w:rPr>
        <w:t xml:space="preserve"> veintiséis de febrero al veinte de marzo de dos mil veinte</w:t>
      </w:r>
      <w:r>
        <w:rPr>
          <w:rFonts w:ascii="Palatino Linotype" w:hAnsi="Palatino Linotype" w:cs="Arial"/>
        </w:rPr>
        <w:t xml:space="preserve">, sin contemplar en el cómputo el día veintinueve de febrero de dos mil veinte; así como, el primero, siete, ocho, catorce y quince de marzo de dos mil veinte, por corresponder a sábados y domingos, considerados como días inhábiles; en términos del artículo 3, fracción X de la </w:t>
      </w:r>
      <w:r>
        <w:rPr>
          <w:rFonts w:ascii="Palatino Linotype" w:hAnsi="Palatino Linotype"/>
        </w:rPr>
        <w:t xml:space="preserve">Ley de Transparencia y Acceso a la Información Pública del Estado de México y Municipios; así como, los días dos, nueve y dieciséis de marzo de dos mil veinte, por ser considerados como días inhábiles por suspensión de labores, en términos del </w:t>
      </w:r>
      <w:r>
        <w:rPr>
          <w:rFonts w:ascii="Palatino Linotype" w:hAnsi="Palatino Linotype" w:cs="Arial"/>
        </w:rPr>
        <w:t>Calendario Oficial en Materia de Transparencia, Acceso a la Información Pública y Protección de Datos Personales del Estado de México y Municipios, para el año dos mil diecinueve y enero de dos mil veinte, publicado en el Periódico Oficial “Gaceta del Gobierno”, el diecinueve de diciembre de dos mil dieciocho.</w:t>
      </w:r>
    </w:p>
    <w:p w:rsidR="00604794" w:rsidRDefault="00604794">
      <w:pPr>
        <w:spacing w:line="360" w:lineRule="auto"/>
        <w:jc w:val="both"/>
        <w:rPr>
          <w:rFonts w:ascii="Palatino Linotype" w:eastAsiaTheme="minorEastAsia" w:hAnsi="Palatino Linotype" w:cs="Arial"/>
          <w:lang w:val="es-ES_tradnl"/>
        </w:rPr>
      </w:pPr>
    </w:p>
    <w:p w:rsidR="00604794" w:rsidRDefault="00AF5403">
      <w:pPr>
        <w:spacing w:line="360" w:lineRule="auto"/>
        <w:jc w:val="both"/>
        <w:rPr>
          <w:rFonts w:ascii="Palatino Linotype" w:eastAsiaTheme="minorEastAsia" w:hAnsi="Palatino Linotype" w:cs="Arial"/>
          <w:lang w:val="es-ES_tradnl"/>
        </w:rPr>
      </w:pPr>
      <w:r>
        <w:rPr>
          <w:rFonts w:ascii="Palatino Linotype" w:eastAsiaTheme="minorEastAsia" w:hAnsi="Palatino Linotype" w:cs="Arial"/>
          <w:lang w:val="es-ES_tradnl"/>
        </w:rPr>
        <w:t>En ese tenor, si el recurso de revisión que nos ocupa, se interpuso el</w:t>
      </w:r>
      <w:r>
        <w:rPr>
          <w:rFonts w:ascii="Palatino Linotype" w:eastAsiaTheme="minorEastAsia" w:hAnsi="Palatino Linotype" w:cs="Arial"/>
          <w:b/>
          <w:lang w:val="es-ES_tradnl"/>
        </w:rPr>
        <w:t xml:space="preserve"> veintiséis de febrero de dos mil veinte,</w:t>
      </w:r>
      <w:r>
        <w:rPr>
          <w:rFonts w:ascii="Palatino Linotype" w:eastAsiaTheme="minorEastAsia" w:hAnsi="Palatino Linotype" w:cs="Arial"/>
          <w:lang w:val="es-ES_tradnl"/>
        </w:rPr>
        <w:t xml:space="preserve"> éste se encuentra dentro de los márgenes temporales previstos en el citado precepto legal y, por tanto, se considera oportuno.</w:t>
      </w:r>
    </w:p>
    <w:p w:rsidR="00604794" w:rsidRDefault="00604794">
      <w:pPr>
        <w:pStyle w:val="Prrafodelista"/>
        <w:spacing w:line="360" w:lineRule="auto"/>
        <w:ind w:left="0" w:right="49"/>
        <w:jc w:val="both"/>
        <w:rPr>
          <w:rFonts w:ascii="Palatino Linotype" w:hAnsi="Palatino Linotype" w:cs="Arial"/>
          <w:b/>
        </w:rPr>
      </w:pPr>
    </w:p>
    <w:p w:rsidR="00604794" w:rsidRDefault="00AF5403">
      <w:pPr>
        <w:spacing w:line="360" w:lineRule="auto"/>
        <w:ind w:right="49"/>
        <w:jc w:val="both"/>
        <w:rPr>
          <w:rFonts w:ascii="Palatino Linotype" w:hAnsi="Palatino Linotype" w:cs="Arial"/>
          <w:lang w:val="es-ES"/>
        </w:rPr>
      </w:pPr>
      <w:r>
        <w:rPr>
          <w:rFonts w:ascii="Palatino Linotype" w:hAnsi="Palatino Linotype" w:cs="Arial"/>
          <w:b/>
          <w:sz w:val="28"/>
          <w:szCs w:val="28"/>
        </w:rPr>
        <w:t>CUARTO</w:t>
      </w:r>
      <w:r>
        <w:rPr>
          <w:rFonts w:ascii="Palatino Linotype" w:hAnsi="Palatino Linotype"/>
          <w:b/>
          <w:sz w:val="28"/>
          <w:szCs w:val="28"/>
        </w:rPr>
        <w:t>.</w:t>
      </w:r>
      <w:r>
        <w:rPr>
          <w:rFonts w:ascii="Palatino Linotype" w:hAnsi="Palatino Linotype"/>
          <w:b/>
        </w:rPr>
        <w:t xml:space="preserve"> Procedibilidad. </w:t>
      </w:r>
      <w:r>
        <w:rPr>
          <w:rFonts w:ascii="Palatino Linotype" w:hAnsi="Palatino Linotype" w:cs="Arial"/>
          <w:lang w:val="es-ES"/>
        </w:rPr>
        <w:t xml:space="preserve">Del análisis efectuado, se advierte la </w:t>
      </w:r>
      <w:proofErr w:type="spellStart"/>
      <w:r>
        <w:rPr>
          <w:rFonts w:ascii="Palatino Linotype" w:hAnsi="Palatino Linotype" w:cs="Arial"/>
          <w:lang w:val="es-ES"/>
        </w:rPr>
        <w:t>procedibilidad</w:t>
      </w:r>
      <w:proofErr w:type="spellEnd"/>
      <w:r>
        <w:rPr>
          <w:rFonts w:ascii="Palatino Linotype" w:hAnsi="Palatino Linotype" w:cs="Arial"/>
          <w:lang w:val="es-ES"/>
        </w:rPr>
        <w:t xml:space="preserve"> del presente recurso de revisión, en razón de acreditación plena de todos y cada uno de los elementos formales exigidos por el artículo 180 de la Ley de Transparencia y Acceso a la Información Pública del Estado de México y Municipios, en atención a que fue presentado mediante el formato visible en el </w:t>
      </w:r>
      <w:r>
        <w:rPr>
          <w:rFonts w:ascii="Palatino Linotype" w:hAnsi="Palatino Linotype" w:cs="Arial"/>
          <w:b/>
          <w:lang w:val="es-ES"/>
        </w:rPr>
        <w:t>SAIMEX</w:t>
      </w:r>
      <w:r>
        <w:rPr>
          <w:rFonts w:ascii="Palatino Linotype" w:hAnsi="Palatino Linotype" w:cs="Arial"/>
          <w:lang w:val="es-ES"/>
        </w:rPr>
        <w:t xml:space="preserve">. </w:t>
      </w:r>
    </w:p>
    <w:p w:rsidR="00604794" w:rsidRDefault="00604794">
      <w:pPr>
        <w:spacing w:line="360" w:lineRule="auto"/>
        <w:ind w:right="49"/>
        <w:jc w:val="both"/>
        <w:rPr>
          <w:rFonts w:ascii="Palatino Linotype" w:hAnsi="Palatino Linotype" w:cs="Arial"/>
          <w:lang w:val="es-ES"/>
        </w:rPr>
      </w:pPr>
    </w:p>
    <w:p w:rsidR="00604794" w:rsidRDefault="00AF5403">
      <w:pPr>
        <w:spacing w:line="360" w:lineRule="auto"/>
        <w:jc w:val="both"/>
        <w:rPr>
          <w:rFonts w:ascii="Palatino Linotype" w:hAnsi="Palatino Linotype" w:cs="Arial"/>
        </w:rPr>
      </w:pPr>
      <w:r>
        <w:rPr>
          <w:rFonts w:ascii="Palatino Linotype" w:hAnsi="Palatino Linotype" w:cs="Arial"/>
          <w:b/>
          <w:sz w:val="28"/>
          <w:szCs w:val="28"/>
          <w:lang w:val="es-ES"/>
        </w:rPr>
        <w:lastRenderedPageBreak/>
        <w:t>QUINTO</w:t>
      </w:r>
      <w:r>
        <w:rPr>
          <w:rFonts w:ascii="Palatino Linotype" w:hAnsi="Palatino Linotype" w:cs="Arial"/>
          <w:b/>
          <w:lang w:val="es-ES"/>
        </w:rPr>
        <w:t xml:space="preserve">. Estudio y resolución del asunto. </w:t>
      </w:r>
      <w:r>
        <w:rPr>
          <w:rFonts w:ascii="Palatino Linotype" w:hAnsi="Palatino Linotype" w:cs="Arial"/>
        </w:rPr>
        <w:t xml:space="preserve">Del análisis efectuado se advierte que el recurso de revisión de que se trata es procedente; toda vez, que se actualiza la hipótesis prevista en la fracción V del artículo 179 de la Ley de la materia, que a la letra indica: </w:t>
      </w:r>
    </w:p>
    <w:p w:rsidR="00604794" w:rsidRDefault="00604794">
      <w:pPr>
        <w:spacing w:line="360" w:lineRule="auto"/>
        <w:jc w:val="both"/>
        <w:rPr>
          <w:rFonts w:ascii="Palatino Linotype" w:hAnsi="Palatino Linotype" w:cs="Arial"/>
        </w:rPr>
      </w:pPr>
    </w:p>
    <w:p w:rsidR="00604794" w:rsidRDefault="00AF5403">
      <w:pPr>
        <w:pStyle w:val="Prrafodelista"/>
        <w:widowControl w:val="0"/>
        <w:tabs>
          <w:tab w:val="left" w:pos="1701"/>
          <w:tab w:val="left" w:pos="1843"/>
        </w:tabs>
        <w:ind w:left="851" w:right="902"/>
        <w:jc w:val="both"/>
        <w:rPr>
          <w:rFonts w:ascii="Palatino Linotype" w:hAnsi="Palatino Linotype" w:cs="Arial"/>
          <w:i/>
          <w:sz w:val="22"/>
        </w:rPr>
      </w:pPr>
      <w:r>
        <w:rPr>
          <w:rFonts w:ascii="Palatino Linotype" w:hAnsi="Palatino Linotype" w:cs="Arial"/>
          <w:i/>
          <w:sz w:val="22"/>
        </w:rPr>
        <w:t>“</w:t>
      </w:r>
      <w:r>
        <w:rPr>
          <w:rFonts w:ascii="Palatino Linotype" w:hAnsi="Palatino Linotype" w:cs="Arial"/>
          <w:b/>
          <w:i/>
          <w:sz w:val="22"/>
        </w:rPr>
        <w:t>Artículo 179. El recurso de revisión</w:t>
      </w:r>
      <w:r>
        <w:rPr>
          <w:rFonts w:ascii="Palatino Linotype" w:hAnsi="Palatino Linotype" w:cs="Arial"/>
          <w:i/>
          <w:sz w:val="22"/>
        </w:rPr>
        <w:t xml:space="preserve"> es un medio de protección que la Ley otorga a los particulares, para hacer valer su derecho de acceso a la información pública, y </w:t>
      </w:r>
      <w:r>
        <w:rPr>
          <w:rFonts w:ascii="Palatino Linotype" w:hAnsi="Palatino Linotype" w:cs="Arial"/>
          <w:b/>
          <w:i/>
          <w:sz w:val="22"/>
        </w:rPr>
        <w:t>procederá en contra de las siguientes causas</w:t>
      </w:r>
      <w:r>
        <w:rPr>
          <w:rFonts w:ascii="Palatino Linotype" w:hAnsi="Palatino Linotype" w:cs="Arial"/>
          <w:i/>
          <w:sz w:val="22"/>
        </w:rPr>
        <w:t>:</w:t>
      </w:r>
    </w:p>
    <w:p w:rsidR="00604794" w:rsidRDefault="00AF5403">
      <w:pPr>
        <w:pStyle w:val="Prrafodelista"/>
        <w:widowControl w:val="0"/>
        <w:tabs>
          <w:tab w:val="left" w:pos="1701"/>
          <w:tab w:val="left" w:pos="1843"/>
        </w:tabs>
        <w:ind w:left="851" w:right="902"/>
        <w:jc w:val="both"/>
        <w:rPr>
          <w:rFonts w:ascii="Palatino Linotype" w:hAnsi="Palatino Linotype" w:cs="Arial"/>
          <w:i/>
          <w:sz w:val="22"/>
        </w:rPr>
      </w:pPr>
      <w:r>
        <w:rPr>
          <w:rFonts w:ascii="Palatino Linotype" w:hAnsi="Palatino Linotype" w:cs="Arial"/>
          <w:i/>
          <w:sz w:val="22"/>
        </w:rPr>
        <w:t>. . .</w:t>
      </w:r>
    </w:p>
    <w:p w:rsidR="00604794" w:rsidRDefault="00AF5403">
      <w:pPr>
        <w:pStyle w:val="Prrafodelista"/>
        <w:widowControl w:val="0"/>
        <w:tabs>
          <w:tab w:val="left" w:pos="1701"/>
          <w:tab w:val="left" w:pos="1843"/>
        </w:tabs>
        <w:ind w:left="851" w:right="902"/>
        <w:jc w:val="both"/>
        <w:rPr>
          <w:rFonts w:ascii="Palatino Linotype" w:hAnsi="Palatino Linotype" w:cs="Arial"/>
          <w:i/>
          <w:sz w:val="22"/>
        </w:rPr>
      </w:pPr>
      <w:r>
        <w:rPr>
          <w:rFonts w:ascii="Palatino Linotype" w:hAnsi="Palatino Linotype" w:cs="Arial"/>
          <w:b/>
          <w:i/>
          <w:sz w:val="22"/>
        </w:rPr>
        <w:t>V. La entrega de información incompleta</w:t>
      </w:r>
      <w:r>
        <w:rPr>
          <w:rFonts w:ascii="Palatino Linotype" w:hAnsi="Palatino Linotype" w:cs="Arial"/>
          <w:i/>
          <w:sz w:val="22"/>
        </w:rPr>
        <w:t>;”</w:t>
      </w:r>
    </w:p>
    <w:p w:rsidR="00604794" w:rsidRDefault="00604794">
      <w:pPr>
        <w:pStyle w:val="Prrafodelista"/>
        <w:widowControl w:val="0"/>
        <w:tabs>
          <w:tab w:val="left" w:pos="1701"/>
          <w:tab w:val="left" w:pos="1843"/>
        </w:tabs>
        <w:ind w:left="851" w:right="902"/>
        <w:jc w:val="both"/>
        <w:rPr>
          <w:rFonts w:ascii="Palatino Linotype" w:hAnsi="Palatino Linotype" w:cs="Arial"/>
          <w:i/>
          <w:sz w:val="22"/>
        </w:rPr>
      </w:pPr>
    </w:p>
    <w:p w:rsidR="00604794" w:rsidRDefault="00AF5403">
      <w:pPr>
        <w:pStyle w:val="Prrafodelista"/>
        <w:widowControl w:val="0"/>
        <w:tabs>
          <w:tab w:val="left" w:pos="1701"/>
          <w:tab w:val="left" w:pos="1843"/>
        </w:tabs>
        <w:ind w:left="851" w:right="902"/>
        <w:jc w:val="both"/>
        <w:rPr>
          <w:rFonts w:ascii="Palatino Linotype" w:hAnsi="Palatino Linotype" w:cs="Arial"/>
          <w:b/>
        </w:rPr>
      </w:pPr>
      <w:r>
        <w:rPr>
          <w:rFonts w:ascii="Palatino Linotype" w:hAnsi="Palatino Linotype" w:cs="Arial"/>
          <w:i/>
          <w:sz w:val="22"/>
        </w:rPr>
        <w:t>(Énfasis añadido)</w:t>
      </w:r>
    </w:p>
    <w:p w:rsidR="00604794" w:rsidRDefault="00AF5403">
      <w:pPr>
        <w:pStyle w:val="Prrafodelista"/>
        <w:widowControl w:val="0"/>
        <w:tabs>
          <w:tab w:val="left" w:pos="1701"/>
          <w:tab w:val="left" w:pos="1843"/>
        </w:tabs>
        <w:spacing w:before="240" w:after="240" w:line="360" w:lineRule="auto"/>
        <w:ind w:left="0"/>
        <w:jc w:val="both"/>
        <w:rPr>
          <w:rFonts w:ascii="Palatino Linotype" w:hAnsi="Palatino Linotype" w:cs="Arial"/>
        </w:rPr>
      </w:pPr>
      <w:r>
        <w:rPr>
          <w:rFonts w:ascii="Palatino Linotype" w:hAnsi="Palatino Linotype" w:cs="Arial"/>
        </w:rPr>
        <w:t xml:space="preserve">El precepto legal antes citado, establece como supuesto de procedencia del recurso de revisión, la entrega de información incompleta por parte del </w:t>
      </w:r>
      <w:r>
        <w:rPr>
          <w:rFonts w:ascii="Palatino Linotype" w:hAnsi="Palatino Linotype" w:cs="Arial"/>
          <w:b/>
        </w:rPr>
        <w:t>SUJETO OBLIGADO</w:t>
      </w:r>
      <w:r>
        <w:rPr>
          <w:rFonts w:ascii="Palatino Linotype" w:hAnsi="Palatino Linotype" w:cs="Arial"/>
        </w:rPr>
        <w:t>, situación que se actualiza en el siguiente caso, en razón que mediante respuesta sólo proporcionó información parcial, tal y como se analizara más adelante.</w:t>
      </w:r>
    </w:p>
    <w:p w:rsidR="00604794" w:rsidRDefault="00AF5403">
      <w:pPr>
        <w:spacing w:line="360" w:lineRule="auto"/>
        <w:jc w:val="both"/>
        <w:rPr>
          <w:rFonts w:ascii="Palatino Linotype" w:hAnsi="Palatino Linotype" w:cs="Arial"/>
        </w:rPr>
      </w:pPr>
      <w:r>
        <w:rPr>
          <w:rFonts w:ascii="Palatino Linotype" w:hAnsi="Palatino Linotype" w:cs="Arial"/>
        </w:rPr>
        <w:t xml:space="preserve">Una vez determinada la vía, sobre la que versará el presente estudio, se puede advertir que </w:t>
      </w:r>
      <w:r>
        <w:rPr>
          <w:rFonts w:ascii="Palatino Linotype" w:hAnsi="Palatino Linotype" w:cs="Arial"/>
          <w:b/>
        </w:rPr>
        <w:t>EL RECURRENTE</w:t>
      </w:r>
      <w:r>
        <w:rPr>
          <w:rFonts w:ascii="Palatino Linotype" w:hAnsi="Palatino Linotype" w:cs="Arial"/>
        </w:rPr>
        <w:t xml:space="preserve"> solicito del </w:t>
      </w:r>
      <w:r>
        <w:rPr>
          <w:rFonts w:ascii="Palatino Linotype" w:hAnsi="Palatino Linotype" w:cs="Arial"/>
          <w:b/>
        </w:rPr>
        <w:t>SUJETO OBLIGADO</w:t>
      </w:r>
      <w:r>
        <w:rPr>
          <w:rFonts w:ascii="Palatino Linotype" w:hAnsi="Palatino Linotype" w:cs="Arial"/>
        </w:rPr>
        <w:t xml:space="preserve">, información referente al Hospital General “Dr. José Ma. Rodríguez”, misma que se desagrega a continuación: </w:t>
      </w:r>
    </w:p>
    <w:p w:rsidR="00604794" w:rsidRDefault="00604794">
      <w:pPr>
        <w:spacing w:line="360" w:lineRule="auto"/>
        <w:jc w:val="both"/>
        <w:rPr>
          <w:rFonts w:ascii="Palatino Linotype" w:hAnsi="Palatino Linotype"/>
          <w:color w:val="000000"/>
          <w:lang w:val="es-ES"/>
        </w:rPr>
      </w:pPr>
    </w:p>
    <w:p w:rsidR="00604794" w:rsidRDefault="00AF5403">
      <w:pPr>
        <w:spacing w:line="360" w:lineRule="auto"/>
        <w:jc w:val="both"/>
        <w:rPr>
          <w:rFonts w:ascii="Palatino Linotype" w:hAnsi="Palatino Linotype"/>
          <w:color w:val="000000"/>
          <w:lang w:val="es-ES"/>
        </w:rPr>
      </w:pPr>
      <w:r>
        <w:rPr>
          <w:rFonts w:ascii="Palatino Linotype" w:hAnsi="Palatino Linotype"/>
          <w:color w:val="000000"/>
          <w:lang w:val="es-ES"/>
        </w:rPr>
        <w:t xml:space="preserve">1.- Señale que legislaciones, reglamentos, acuerdos, decretos, lineamientos son los que rigen y regulan las relaciones laborales entre los trabajadores y el Hospital; </w:t>
      </w:r>
    </w:p>
    <w:p w:rsidR="00604794" w:rsidRDefault="00AF5403">
      <w:pPr>
        <w:spacing w:line="360" w:lineRule="auto"/>
        <w:jc w:val="both"/>
        <w:rPr>
          <w:rFonts w:ascii="Palatino Linotype" w:hAnsi="Palatino Linotype"/>
          <w:color w:val="000000"/>
          <w:lang w:val="es-ES"/>
        </w:rPr>
      </w:pPr>
      <w:r>
        <w:rPr>
          <w:rFonts w:ascii="Palatino Linotype" w:hAnsi="Palatino Linotype"/>
          <w:color w:val="000000"/>
          <w:lang w:val="es-ES"/>
        </w:rPr>
        <w:t xml:space="preserve">2.- Señale el organigrama del Hospital General "Dr. José Ma. Rodriguez", </w:t>
      </w:r>
    </w:p>
    <w:p w:rsidR="00604794" w:rsidRDefault="00AF5403">
      <w:pPr>
        <w:spacing w:line="360" w:lineRule="auto"/>
        <w:jc w:val="both"/>
        <w:rPr>
          <w:rFonts w:ascii="Palatino Linotype" w:hAnsi="Palatino Linotype"/>
          <w:color w:val="000000"/>
          <w:lang w:val="es-ES"/>
        </w:rPr>
      </w:pPr>
      <w:r>
        <w:rPr>
          <w:rFonts w:ascii="Palatino Linotype" w:hAnsi="Palatino Linotype"/>
          <w:color w:val="000000"/>
          <w:lang w:val="es-ES"/>
        </w:rPr>
        <w:t xml:space="preserve">3.- Los nombres de los servidores públicos que ostentan puestos de dirección, subdirección y de jefatura de unidad o de jefatura de departamento. </w:t>
      </w:r>
    </w:p>
    <w:p w:rsidR="00604794" w:rsidRDefault="00AF5403">
      <w:pPr>
        <w:spacing w:line="360" w:lineRule="auto"/>
        <w:jc w:val="both"/>
        <w:rPr>
          <w:rFonts w:ascii="Palatino Linotype" w:hAnsi="Palatino Linotype"/>
          <w:color w:val="000000"/>
          <w:lang w:val="es-ES"/>
        </w:rPr>
      </w:pPr>
      <w:r>
        <w:rPr>
          <w:rFonts w:ascii="Palatino Linotype" w:hAnsi="Palatino Linotype"/>
          <w:color w:val="000000"/>
          <w:lang w:val="es-ES"/>
        </w:rPr>
        <w:lastRenderedPageBreak/>
        <w:t>4.- Facultades y/o atribuciones, así como el fundamento legal y legislación en que se encuentren las mismas, respecto del personal que ostente puestos de dirección, subdirección y de jefe de unidad o jefe de departamento u homólogos, del Hospital General "Dr. José Ma. Rodriguez"</w:t>
      </w:r>
    </w:p>
    <w:p w:rsidR="00604794" w:rsidRDefault="00604794">
      <w:pPr>
        <w:spacing w:line="360" w:lineRule="auto"/>
        <w:jc w:val="both"/>
        <w:rPr>
          <w:rFonts w:ascii="Palatino Linotype" w:hAnsi="Palatino Linotype"/>
          <w:color w:val="000000"/>
          <w:lang w:val="es-ES"/>
        </w:rPr>
      </w:pPr>
    </w:p>
    <w:p w:rsidR="00604794" w:rsidRDefault="00AF5403">
      <w:pPr>
        <w:spacing w:line="360" w:lineRule="auto"/>
        <w:jc w:val="both"/>
        <w:rPr>
          <w:rFonts w:ascii="Palatino Linotype" w:hAnsi="Palatino Linotype"/>
          <w:color w:val="000000"/>
          <w:lang w:val="es-ES"/>
        </w:rPr>
      </w:pPr>
      <w:r>
        <w:rPr>
          <w:rFonts w:ascii="Palatino Linotype" w:hAnsi="Palatino Linotype"/>
          <w:color w:val="000000"/>
          <w:lang w:val="es-ES"/>
        </w:rPr>
        <w:t xml:space="preserve">Al respecto, </w:t>
      </w:r>
      <w:r>
        <w:rPr>
          <w:rFonts w:ascii="Palatino Linotype" w:hAnsi="Palatino Linotype"/>
          <w:b/>
          <w:color w:val="000000"/>
          <w:lang w:val="es-ES"/>
        </w:rPr>
        <w:t xml:space="preserve">EL SUJETO OBLIGADO </w:t>
      </w:r>
      <w:r>
        <w:rPr>
          <w:rFonts w:ascii="Palatino Linotype" w:hAnsi="Palatino Linotype"/>
          <w:color w:val="000000"/>
          <w:lang w:val="es-ES"/>
        </w:rPr>
        <w:t xml:space="preserve">mediante respuesta adjunto diversos archivos electrónicos, los cuales contienen lo siguiente: </w:t>
      </w:r>
    </w:p>
    <w:p w:rsidR="00604794" w:rsidRDefault="00AF5403">
      <w:pPr>
        <w:pStyle w:val="Prrafodelista"/>
        <w:numPr>
          <w:ilvl w:val="0"/>
          <w:numId w:val="2"/>
        </w:numPr>
        <w:spacing w:line="360" w:lineRule="auto"/>
        <w:jc w:val="both"/>
        <w:rPr>
          <w:rFonts w:ascii="Palatino Linotype" w:hAnsi="Palatino Linotype"/>
          <w:color w:val="000000"/>
          <w:lang w:val="es-ES"/>
        </w:rPr>
      </w:pPr>
      <w:r>
        <w:rPr>
          <w:rFonts w:ascii="Palatino Linotype" w:hAnsi="Palatino Linotype"/>
          <w:i/>
          <w:color w:val="000000"/>
          <w:lang w:val="es-ES"/>
        </w:rPr>
        <w:t>0219.pdf.-</w:t>
      </w:r>
      <w:r>
        <w:rPr>
          <w:rFonts w:ascii="Palatino Linotype" w:hAnsi="Palatino Linotype"/>
          <w:color w:val="000000"/>
          <w:lang w:val="es-ES"/>
        </w:rPr>
        <w:t xml:space="preserve"> Contiene el oficio número 208C0101320000L/00219/2020 de fecha veinticuatro de febrero de dos mil veinte, dirigido al Coordinador de Administración y Finanzas, en el que manifestó:</w:t>
      </w:r>
    </w:p>
    <w:p w:rsidR="00604794" w:rsidRDefault="00AF5403">
      <w:pPr>
        <w:spacing w:line="360" w:lineRule="auto"/>
        <w:ind w:left="360"/>
        <w:jc w:val="both"/>
        <w:rPr>
          <w:rFonts w:ascii="Palatino Linotype" w:hAnsi="Palatino Linotype"/>
          <w:color w:val="000000"/>
          <w:lang w:val="es-ES"/>
        </w:rPr>
      </w:pPr>
      <w:r>
        <w:rPr>
          <w:noProof/>
          <w:lang w:eastAsia="es-MX"/>
        </w:rPr>
        <w:drawing>
          <wp:inline distT="0" distB="0" distL="0" distR="0">
            <wp:extent cx="5581650" cy="2773680"/>
            <wp:effectExtent l="0" t="0" r="0" b="0"/>
            <wp:docPr id="9"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10"/>
                    <pic:cNvPicPr>
                      <a:picLocks noChangeAspect="1" noChangeArrowheads="1"/>
                    </pic:cNvPicPr>
                  </pic:nvPicPr>
                  <pic:blipFill>
                    <a:blip r:embed="rId11"/>
                    <a:stretch>
                      <a:fillRect/>
                    </a:stretch>
                  </pic:blipFill>
                  <pic:spPr bwMode="auto">
                    <a:xfrm>
                      <a:off x="0" y="0"/>
                      <a:ext cx="5581650" cy="2773680"/>
                    </a:xfrm>
                    <a:prstGeom prst="rect">
                      <a:avLst/>
                    </a:prstGeom>
                  </pic:spPr>
                </pic:pic>
              </a:graphicData>
            </a:graphic>
          </wp:inline>
        </w:drawing>
      </w:r>
      <w:r>
        <w:rPr>
          <w:noProof/>
          <w:lang w:eastAsia="es-MX"/>
        </w:rPr>
        <mc:AlternateContent>
          <mc:Choice Requires="wps">
            <w:drawing>
              <wp:anchor distT="0" distB="0" distL="0" distR="0" simplePos="0" relativeHeight="89" behindDoc="0" locked="0" layoutInCell="1" allowOverlap="1" wp14:anchorId="3701E6C1">
                <wp:simplePos x="0" y="0"/>
                <wp:positionH relativeFrom="margin">
                  <wp:align>right</wp:align>
                </wp:positionH>
                <wp:positionV relativeFrom="paragraph">
                  <wp:posOffset>52705</wp:posOffset>
                </wp:positionV>
                <wp:extent cx="5050155" cy="266700"/>
                <wp:effectExtent l="57150" t="19050" r="55880" b="76835"/>
                <wp:wrapNone/>
                <wp:docPr id="5" name="Rectángulo 11"/>
                <wp:cNvGraphicFramePr/>
                <a:graphic xmlns:a="http://schemas.openxmlformats.org/drawingml/2006/main">
                  <a:graphicData uri="http://schemas.microsoft.com/office/word/2010/wordprocessingShape">
                    <wps:wsp>
                      <wps:cNvSpPr/>
                      <wps:spPr>
                        <a:xfrm>
                          <a:off x="0" y="0"/>
                          <a:ext cx="5049360" cy="266040"/>
                        </a:xfrm>
                        <a:prstGeom prst="rect">
                          <a:avLst/>
                        </a:prstGeom>
                        <a:noFill/>
                        <a:ln w="19080">
                          <a:solidFill>
                            <a:srgbClr val="FF0000"/>
                          </a:solidFill>
                          <a:round/>
                        </a:ln>
                        <a:effectLst>
                          <a:outerShdw blurRad="40000" dist="23040" dir="5400000" rotWithShape="0">
                            <a:srgbClr val="000000">
                              <a:alpha val="35000"/>
                            </a:srgbClr>
                          </a:outerShdw>
                        </a:effectLst>
                      </wps:spPr>
                      <wps:style>
                        <a:lnRef idx="1">
                          <a:schemeClr val="accent1"/>
                        </a:lnRef>
                        <a:fillRef idx="3">
                          <a:schemeClr val="accent1"/>
                        </a:fillRef>
                        <a:effectRef idx="2">
                          <a:schemeClr val="accent1"/>
                        </a:effectRef>
                        <a:fontRef idx="minor"/>
                      </wps:style>
                      <wps:bodyPr/>
                    </wps:wsp>
                  </a:graphicData>
                </a:graphic>
              </wp:anchor>
            </w:drawing>
          </mc:Choice>
          <mc:Fallback>
            <w:pict>
              <v:rect id="shape_0" ID="Rectángulo 11" stroked="t" style="position:absolute;margin-left:54pt;margin-top:4.15pt;width:397.55pt;height:20.9pt;mso-position-horizontal:right;mso-position-horizontal-relative:margin" wp14:anchorId="3701E6C1">
                <w10:wrap type="none"/>
                <v:fill o:detectmouseclick="t" on="false"/>
                <v:stroke color="red" weight="19080" joinstyle="round" endcap="flat"/>
                <v:shadow on="t" obscured="f" color="black"/>
              </v:rect>
            </w:pict>
          </mc:Fallback>
        </mc:AlternateContent>
      </w:r>
      <w:r>
        <w:rPr>
          <w:noProof/>
          <w:lang w:eastAsia="es-MX"/>
        </w:rPr>
        <mc:AlternateContent>
          <mc:Choice Requires="wps">
            <w:drawing>
              <wp:anchor distT="0" distB="0" distL="0" distR="0" simplePos="0" relativeHeight="90" behindDoc="0" locked="0" layoutInCell="1" allowOverlap="1" wp14:anchorId="5EFE38AD">
                <wp:simplePos x="0" y="0"/>
                <wp:positionH relativeFrom="column">
                  <wp:posOffset>735330</wp:posOffset>
                </wp:positionH>
                <wp:positionV relativeFrom="paragraph">
                  <wp:posOffset>427990</wp:posOffset>
                </wp:positionV>
                <wp:extent cx="4305935" cy="253365"/>
                <wp:effectExtent l="57150" t="19050" r="57150" b="71120"/>
                <wp:wrapNone/>
                <wp:docPr id="6" name="Rectángulo 12"/>
                <wp:cNvGraphicFramePr/>
                <a:graphic xmlns:a="http://schemas.openxmlformats.org/drawingml/2006/main">
                  <a:graphicData uri="http://schemas.microsoft.com/office/word/2010/wordprocessingShape">
                    <wps:wsp>
                      <wps:cNvSpPr/>
                      <wps:spPr>
                        <a:xfrm>
                          <a:off x="0" y="0"/>
                          <a:ext cx="4305240" cy="252720"/>
                        </a:xfrm>
                        <a:prstGeom prst="rect">
                          <a:avLst/>
                        </a:prstGeom>
                        <a:noFill/>
                        <a:ln w="19080">
                          <a:solidFill>
                            <a:srgbClr val="FF0000"/>
                          </a:solidFill>
                          <a:round/>
                        </a:ln>
                        <a:effectLst>
                          <a:outerShdw blurRad="40000" dist="23040" dir="5400000" rotWithShape="0">
                            <a:srgbClr val="000000">
                              <a:alpha val="35000"/>
                            </a:srgbClr>
                          </a:outerShdw>
                        </a:effectLst>
                      </wps:spPr>
                      <wps:style>
                        <a:lnRef idx="1">
                          <a:schemeClr val="accent1"/>
                        </a:lnRef>
                        <a:fillRef idx="3">
                          <a:schemeClr val="accent1"/>
                        </a:fillRef>
                        <a:effectRef idx="2">
                          <a:schemeClr val="accent1"/>
                        </a:effectRef>
                        <a:fontRef idx="minor"/>
                      </wps:style>
                      <wps:bodyPr/>
                    </wps:wsp>
                  </a:graphicData>
                </a:graphic>
              </wp:anchor>
            </w:drawing>
          </mc:Choice>
          <mc:Fallback>
            <w:pict>
              <v:rect id="shape_0" ID="Rectángulo 12" stroked="t" style="position:absolute;margin-left:57.9pt;margin-top:33.7pt;width:338.95pt;height:19.85pt" wp14:anchorId="5EFE38AD">
                <w10:wrap type="none"/>
                <v:fill o:detectmouseclick="t" on="false"/>
                <v:stroke color="red" weight="19080" joinstyle="round" endcap="flat"/>
                <v:shadow on="t" obscured="f" color="black"/>
              </v:rect>
            </w:pict>
          </mc:Fallback>
        </mc:AlternateContent>
      </w:r>
      <w:r>
        <w:rPr>
          <w:noProof/>
          <w:lang w:eastAsia="es-MX"/>
        </w:rPr>
        <mc:AlternateContent>
          <mc:Choice Requires="wps">
            <w:drawing>
              <wp:anchor distT="0" distB="0" distL="0" distR="0" simplePos="0" relativeHeight="91" behindDoc="0" locked="0" layoutInCell="1" allowOverlap="1" wp14:anchorId="7E8E5FE6">
                <wp:simplePos x="0" y="0"/>
                <wp:positionH relativeFrom="column">
                  <wp:posOffset>523240</wp:posOffset>
                </wp:positionH>
                <wp:positionV relativeFrom="paragraph">
                  <wp:posOffset>1670050</wp:posOffset>
                </wp:positionV>
                <wp:extent cx="5213985" cy="403225"/>
                <wp:effectExtent l="57150" t="19050" r="63500" b="73660"/>
                <wp:wrapNone/>
                <wp:docPr id="7" name="Rectángulo 13"/>
                <wp:cNvGraphicFramePr/>
                <a:graphic xmlns:a="http://schemas.openxmlformats.org/drawingml/2006/main">
                  <a:graphicData uri="http://schemas.microsoft.com/office/word/2010/wordprocessingShape">
                    <wps:wsp>
                      <wps:cNvSpPr/>
                      <wps:spPr>
                        <a:xfrm>
                          <a:off x="0" y="0"/>
                          <a:ext cx="5213520" cy="402480"/>
                        </a:xfrm>
                        <a:prstGeom prst="rect">
                          <a:avLst/>
                        </a:prstGeom>
                        <a:noFill/>
                        <a:ln w="19080">
                          <a:solidFill>
                            <a:srgbClr val="FF0000"/>
                          </a:solidFill>
                          <a:round/>
                        </a:ln>
                        <a:effectLst>
                          <a:outerShdw blurRad="40000" dist="23040" dir="5400000" rotWithShape="0">
                            <a:srgbClr val="000000">
                              <a:alpha val="35000"/>
                            </a:srgbClr>
                          </a:outerShdw>
                        </a:effectLst>
                      </wps:spPr>
                      <wps:style>
                        <a:lnRef idx="1">
                          <a:schemeClr val="accent1"/>
                        </a:lnRef>
                        <a:fillRef idx="3">
                          <a:schemeClr val="accent1"/>
                        </a:fillRef>
                        <a:effectRef idx="2">
                          <a:schemeClr val="accent1"/>
                        </a:effectRef>
                        <a:fontRef idx="minor"/>
                      </wps:style>
                      <wps:bodyPr/>
                    </wps:wsp>
                  </a:graphicData>
                </a:graphic>
              </wp:anchor>
            </w:drawing>
          </mc:Choice>
          <mc:Fallback>
            <w:pict>
              <v:rect id="shape_0" ID="Rectángulo 13" stroked="t" style="position:absolute;margin-left:41.2pt;margin-top:131.5pt;width:410.45pt;height:31.65pt" wp14:anchorId="7E8E5FE6">
                <w10:wrap type="none"/>
                <v:fill o:detectmouseclick="t" on="false"/>
                <v:stroke color="red" weight="19080" joinstyle="round" endcap="flat"/>
                <v:shadow on="t" obscured="f" color="black"/>
              </v:rect>
            </w:pict>
          </mc:Fallback>
        </mc:AlternateContent>
      </w:r>
      <w:r>
        <w:rPr>
          <w:noProof/>
          <w:lang w:eastAsia="es-MX"/>
        </w:rPr>
        <mc:AlternateContent>
          <mc:Choice Requires="wps">
            <w:drawing>
              <wp:anchor distT="0" distB="0" distL="0" distR="0" simplePos="0" relativeHeight="92" behindDoc="0" locked="0" layoutInCell="1" allowOverlap="1" wp14:anchorId="30927B3B">
                <wp:simplePos x="0" y="0"/>
                <wp:positionH relativeFrom="column">
                  <wp:posOffset>373380</wp:posOffset>
                </wp:positionH>
                <wp:positionV relativeFrom="paragraph">
                  <wp:posOffset>2202180</wp:posOffset>
                </wp:positionV>
                <wp:extent cx="5384800" cy="245745"/>
                <wp:effectExtent l="57150" t="19050" r="64135" b="78740"/>
                <wp:wrapNone/>
                <wp:docPr id="8" name="Rectángulo 14"/>
                <wp:cNvGraphicFramePr/>
                <a:graphic xmlns:a="http://schemas.openxmlformats.org/drawingml/2006/main">
                  <a:graphicData uri="http://schemas.microsoft.com/office/word/2010/wordprocessingShape">
                    <wps:wsp>
                      <wps:cNvSpPr/>
                      <wps:spPr>
                        <a:xfrm>
                          <a:off x="0" y="0"/>
                          <a:ext cx="5384160" cy="245160"/>
                        </a:xfrm>
                        <a:prstGeom prst="rect">
                          <a:avLst/>
                        </a:prstGeom>
                        <a:noFill/>
                        <a:ln w="19080">
                          <a:solidFill>
                            <a:srgbClr val="FF0000"/>
                          </a:solidFill>
                          <a:round/>
                        </a:ln>
                        <a:effectLst>
                          <a:outerShdw blurRad="40000" dist="23040" dir="5400000" rotWithShape="0">
                            <a:srgbClr val="000000">
                              <a:alpha val="35000"/>
                            </a:srgbClr>
                          </a:outerShdw>
                        </a:effectLst>
                      </wps:spPr>
                      <wps:style>
                        <a:lnRef idx="1">
                          <a:schemeClr val="accent1"/>
                        </a:lnRef>
                        <a:fillRef idx="3">
                          <a:schemeClr val="accent1"/>
                        </a:fillRef>
                        <a:effectRef idx="2">
                          <a:schemeClr val="accent1"/>
                        </a:effectRef>
                        <a:fontRef idx="minor"/>
                      </wps:style>
                      <wps:bodyPr/>
                    </wps:wsp>
                  </a:graphicData>
                </a:graphic>
              </wp:anchor>
            </w:drawing>
          </mc:Choice>
          <mc:Fallback>
            <w:pict>
              <v:rect id="shape_0" ID="Rectángulo 14" stroked="t" style="position:absolute;margin-left:29.4pt;margin-top:173.4pt;width:423.9pt;height:19.25pt" wp14:anchorId="30927B3B">
                <w10:wrap type="none"/>
                <v:fill o:detectmouseclick="t" on="false"/>
                <v:stroke color="red" weight="19080" joinstyle="round" endcap="flat"/>
                <v:shadow on="t" obscured="f" color="black"/>
              </v:rect>
            </w:pict>
          </mc:Fallback>
        </mc:AlternateContent>
      </w:r>
    </w:p>
    <w:p w:rsidR="00604794" w:rsidRDefault="00AF5403">
      <w:pPr>
        <w:pStyle w:val="Prrafodelista"/>
        <w:numPr>
          <w:ilvl w:val="0"/>
          <w:numId w:val="2"/>
        </w:numPr>
        <w:spacing w:line="360" w:lineRule="auto"/>
        <w:ind w:left="360"/>
        <w:jc w:val="both"/>
        <w:rPr>
          <w:rFonts w:ascii="Palatino Linotype" w:hAnsi="Palatino Linotype"/>
          <w:color w:val="000000"/>
          <w:lang w:val="es-ES"/>
        </w:rPr>
      </w:pPr>
      <w:r>
        <w:rPr>
          <w:rFonts w:ascii="Palatino Linotype" w:hAnsi="Palatino Linotype"/>
          <w:i/>
          <w:color w:val="000000"/>
          <w:lang w:val="es-ES"/>
        </w:rPr>
        <w:t>José Ma.Rodríguez.pdf</w:t>
      </w:r>
      <w:r>
        <w:rPr>
          <w:rFonts w:ascii="Palatino Linotype" w:hAnsi="Palatino Linotype"/>
          <w:color w:val="000000"/>
          <w:lang w:val="es-ES"/>
        </w:rPr>
        <w:t xml:space="preserve">.- Contiene el Manual de Organización Tipo para Hospitales de 90 camas o más del ISEM que consta de 69 fojas y el cual documenta la acción organizada para dar cumplimiento a la misión de los hospitales del Instituto de Salud del Estado de México. La estructura organizativa, la división del trabajo, los mecanismos de coordinación y comunicación, las funciones y actividades </w:t>
      </w:r>
      <w:r>
        <w:rPr>
          <w:rFonts w:ascii="Palatino Linotype" w:hAnsi="Palatino Linotype"/>
          <w:color w:val="000000"/>
          <w:lang w:val="es-ES"/>
        </w:rPr>
        <w:lastRenderedPageBreak/>
        <w:t>encomendadas, el nivel de centralización o descentralización, los procesos clave de la organización y los resultados que se obtienen de las unidades hospitalarias.</w:t>
      </w:r>
    </w:p>
    <w:p w:rsidR="00604794" w:rsidRDefault="00AF5403">
      <w:pPr>
        <w:pStyle w:val="Prrafodelista"/>
        <w:numPr>
          <w:ilvl w:val="0"/>
          <w:numId w:val="2"/>
        </w:numPr>
        <w:spacing w:line="360" w:lineRule="auto"/>
        <w:ind w:left="360"/>
        <w:jc w:val="both"/>
        <w:rPr>
          <w:rFonts w:ascii="Palatino Linotype" w:hAnsi="Palatino Linotype"/>
          <w:color w:val="000000"/>
          <w:lang w:val="es-ES"/>
        </w:rPr>
      </w:pPr>
      <w:r>
        <w:rPr>
          <w:rFonts w:ascii="Palatino Linotype" w:hAnsi="Palatino Linotype"/>
          <w:i/>
          <w:color w:val="000000"/>
          <w:lang w:val="es-ES"/>
        </w:rPr>
        <w:t>SAIMEX 00082 IP.docx</w:t>
      </w:r>
      <w:r>
        <w:rPr>
          <w:rFonts w:ascii="Palatino Linotype" w:hAnsi="Palatino Linotype"/>
          <w:color w:val="000000"/>
          <w:lang w:val="es-ES"/>
        </w:rPr>
        <w:t xml:space="preserve">.- Documento elaborado en el que se da respuesta a la solicitud, refiriendo el oficio número 208C0101320000L/00219/2020, signado por la Directora de Administración; asimismo, mediante Tarjeta Informativa emitida por la Titular de la Unidad de Modernización Administrativa, señaló que </w:t>
      </w:r>
      <w:proofErr w:type="gramStart"/>
      <w:r>
        <w:rPr>
          <w:rFonts w:ascii="Palatino Linotype" w:hAnsi="Palatino Linotype"/>
          <w:color w:val="000000"/>
          <w:lang w:val="es-ES"/>
        </w:rPr>
        <w:t>adjuntaba  el</w:t>
      </w:r>
      <w:proofErr w:type="gramEnd"/>
      <w:r>
        <w:rPr>
          <w:rFonts w:ascii="Palatino Linotype" w:hAnsi="Palatino Linotype"/>
          <w:color w:val="000000"/>
          <w:lang w:val="es-ES"/>
        </w:rPr>
        <w:t xml:space="preserve">  Manual de Organización Tipo para Hospitales de más de 90 camas en el que se establece la estructura orgánica y objetivo, funciones por unidad, área y servicio.</w:t>
      </w:r>
    </w:p>
    <w:p w:rsidR="00604794" w:rsidRDefault="00AF5403">
      <w:pPr>
        <w:pStyle w:val="Prrafodelista"/>
        <w:widowControl w:val="0"/>
        <w:tabs>
          <w:tab w:val="left" w:pos="1701"/>
          <w:tab w:val="left" w:pos="1843"/>
        </w:tabs>
        <w:spacing w:beforeAutospacing="1" w:afterAutospacing="1" w:line="360" w:lineRule="auto"/>
        <w:ind w:left="0"/>
        <w:jc w:val="both"/>
        <w:rPr>
          <w:rFonts w:ascii="Palatino Linotype" w:hAnsi="Palatino Linotype" w:cs="Arial"/>
        </w:rPr>
      </w:pPr>
      <w:r>
        <w:rPr>
          <w:rFonts w:ascii="Palatino Linotype" w:hAnsi="Palatino Linotype"/>
        </w:rPr>
        <w:t>Inconforme</w:t>
      </w:r>
      <w:r>
        <w:rPr>
          <w:rFonts w:ascii="Palatino Linotype" w:hAnsi="Palatino Linotype" w:cs="Arial"/>
          <w:lang w:val="es-ES_tradnl"/>
        </w:rPr>
        <w:t xml:space="preserve"> </w:t>
      </w:r>
      <w:r>
        <w:rPr>
          <w:rFonts w:ascii="Palatino Linotype" w:hAnsi="Palatino Linotype" w:cs="Arial"/>
        </w:rPr>
        <w:t>con</w:t>
      </w:r>
      <w:r>
        <w:rPr>
          <w:rFonts w:ascii="Palatino Linotype" w:hAnsi="Palatino Linotype" w:cs="Arial"/>
          <w:lang w:val="es-ES_tradnl"/>
        </w:rPr>
        <w:t xml:space="preserve"> la respuesta otorgada por </w:t>
      </w:r>
      <w:r>
        <w:rPr>
          <w:rFonts w:ascii="Palatino Linotype" w:hAnsi="Palatino Linotype" w:cs="Arial"/>
          <w:b/>
          <w:lang w:val="es-ES_tradnl"/>
        </w:rPr>
        <w:t>EL SUJETO OBLIGADO</w:t>
      </w:r>
      <w:r>
        <w:rPr>
          <w:rFonts w:ascii="Palatino Linotype" w:hAnsi="Palatino Linotype" w:cs="Arial"/>
          <w:lang w:val="es-ES_tradnl"/>
        </w:rPr>
        <w:t xml:space="preserve">, </w:t>
      </w:r>
      <w:r>
        <w:rPr>
          <w:rFonts w:ascii="Palatino Linotype" w:hAnsi="Palatino Linotype"/>
          <w:b/>
        </w:rPr>
        <w:t>EL RECURRENTE</w:t>
      </w:r>
      <w:r>
        <w:rPr>
          <w:rFonts w:ascii="Palatino Linotype" w:hAnsi="Palatino Linotype" w:cs="Arial"/>
          <w:lang w:val="es-ES_tradnl"/>
        </w:rPr>
        <w:t xml:space="preserve"> interpuso el presente medio de impugnación; </w:t>
      </w:r>
      <w:r>
        <w:rPr>
          <w:rFonts w:ascii="Palatino Linotype" w:hAnsi="Palatino Linotype" w:cs="Arial"/>
        </w:rPr>
        <w:t xml:space="preserve">en los términos señalados en el Resultando IV de la presente resolución. </w:t>
      </w:r>
    </w:p>
    <w:p w:rsidR="00604794" w:rsidRDefault="00AF5403">
      <w:pPr>
        <w:spacing w:line="360" w:lineRule="auto"/>
        <w:ind w:right="49"/>
        <w:jc w:val="both"/>
        <w:rPr>
          <w:rFonts w:ascii="Palatino Linotype" w:hAnsi="Palatino Linotype" w:cs="Arial"/>
          <w:lang w:val="es-ES_tradnl"/>
        </w:rPr>
      </w:pPr>
      <w:r>
        <w:rPr>
          <w:rFonts w:ascii="Palatino Linotype" w:hAnsi="Palatino Linotype" w:cs="Arial"/>
        </w:rPr>
        <w:t xml:space="preserve">Por otra parte, de las constancias que obran en el </w:t>
      </w:r>
      <w:r>
        <w:rPr>
          <w:rFonts w:ascii="Palatino Linotype" w:hAnsi="Palatino Linotype" w:cs="Arial"/>
          <w:b/>
        </w:rPr>
        <w:t>SAIMEX,</w:t>
      </w:r>
      <w:r>
        <w:rPr>
          <w:rFonts w:ascii="Palatino Linotype" w:hAnsi="Palatino Linotype" w:cs="Arial"/>
        </w:rPr>
        <w:t xml:space="preserve"> se advierte que</w:t>
      </w:r>
      <w:r>
        <w:rPr>
          <w:rFonts w:ascii="Palatino Linotype" w:hAnsi="Palatino Linotype" w:cs="Arial"/>
          <w:b/>
        </w:rPr>
        <w:t xml:space="preserve"> EL SUJETO OBLIGADO</w:t>
      </w:r>
      <w:r>
        <w:rPr>
          <w:rFonts w:ascii="Palatino Linotype" w:hAnsi="Palatino Linotype" w:cs="Arial"/>
          <w:lang w:val="es-ES_tradnl"/>
        </w:rPr>
        <w:t xml:space="preserve"> fue omiso en rendir su Informe Justificado; así mismo, </w:t>
      </w:r>
      <w:r>
        <w:rPr>
          <w:rFonts w:ascii="Palatino Linotype" w:hAnsi="Palatino Linotype" w:cs="Arial"/>
          <w:b/>
          <w:lang w:val="es-ES_tradnl"/>
        </w:rPr>
        <w:t>EL</w:t>
      </w:r>
      <w:r>
        <w:rPr>
          <w:rFonts w:ascii="Palatino Linotype" w:hAnsi="Palatino Linotype" w:cs="Arial"/>
          <w:lang w:val="es-ES_tradnl"/>
        </w:rPr>
        <w:t xml:space="preserve"> </w:t>
      </w:r>
      <w:r>
        <w:rPr>
          <w:rFonts w:ascii="Palatino Linotype" w:hAnsi="Palatino Linotype" w:cs="Arial"/>
          <w:b/>
          <w:lang w:val="es-ES_tradnl"/>
        </w:rPr>
        <w:t>RECURRENTE</w:t>
      </w:r>
      <w:r>
        <w:rPr>
          <w:rFonts w:ascii="Palatino Linotype" w:hAnsi="Palatino Linotype" w:cs="Arial"/>
          <w:lang w:val="es-ES_tradnl"/>
        </w:rPr>
        <w:t xml:space="preserve"> no realizó manifestación alguna, ni presentó pruebas o alegatos que a su derecho convinieran.</w:t>
      </w:r>
    </w:p>
    <w:p w:rsidR="00604794" w:rsidRDefault="00AF5403">
      <w:pPr>
        <w:pStyle w:val="Prrafodelista"/>
        <w:widowControl w:val="0"/>
        <w:tabs>
          <w:tab w:val="left" w:pos="1701"/>
          <w:tab w:val="left" w:pos="1843"/>
        </w:tabs>
        <w:spacing w:beforeAutospacing="1" w:afterAutospacing="1" w:line="360" w:lineRule="auto"/>
        <w:ind w:left="0"/>
        <w:jc w:val="both"/>
        <w:rPr>
          <w:rFonts w:ascii="Palatino Linotype" w:hAnsi="Palatino Linotype"/>
        </w:rPr>
      </w:pPr>
      <w:r>
        <w:rPr>
          <w:rFonts w:ascii="Palatino Linotype" w:hAnsi="Palatino Linotype" w:cs="Arial"/>
        </w:rPr>
        <w:t xml:space="preserve">Hechas las precisiones anteriores, esta Ponencia Resolutora considera pertinente </w:t>
      </w:r>
      <w:r>
        <w:rPr>
          <w:rFonts w:ascii="Palatino Linotype" w:hAnsi="Palatino Linotype" w:cs="Arial"/>
          <w:lang w:eastAsia="es-MX"/>
        </w:rPr>
        <w:t xml:space="preserve">señalar que </w:t>
      </w:r>
      <w:r>
        <w:rPr>
          <w:rFonts w:ascii="Palatino Linotype" w:hAnsi="Palatino Linotype" w:cs="Arial"/>
          <w:lang w:val="es-ES_tradnl"/>
        </w:rPr>
        <w:t xml:space="preserve">se obvia la competencia del </w:t>
      </w:r>
      <w:r>
        <w:rPr>
          <w:rFonts w:ascii="Palatino Linotype" w:hAnsi="Palatino Linotype" w:cs="Arial"/>
          <w:b/>
          <w:lang w:val="es-ES_tradnl"/>
        </w:rPr>
        <w:t xml:space="preserve">SUJETO OBLIGADO </w:t>
      </w:r>
      <w:r>
        <w:rPr>
          <w:rFonts w:ascii="Palatino Linotype" w:hAnsi="Palatino Linotype"/>
        </w:rPr>
        <w:t xml:space="preserve">para generar, administrar o poseer la información solicitada, </w:t>
      </w:r>
      <w:r>
        <w:rPr>
          <w:rFonts w:ascii="Palatino Linotype" w:hAnsi="Palatino Linotype" w:cs="Arial"/>
        </w:rPr>
        <w:t xml:space="preserve">dado que éste ha </w:t>
      </w:r>
      <w:r>
        <w:rPr>
          <w:rFonts w:ascii="Palatino Linotype" w:hAnsi="Palatino Linotype" w:cs="Arial"/>
          <w:color w:val="000000"/>
        </w:rPr>
        <w:t>asumido</w:t>
      </w:r>
      <w:r>
        <w:rPr>
          <w:rFonts w:ascii="Palatino Linotype" w:hAnsi="Palatino Linotype" w:cs="Arial"/>
        </w:rPr>
        <w:t xml:space="preserve"> la misma, </w:t>
      </w:r>
      <w:r>
        <w:rPr>
          <w:rFonts w:ascii="Palatino Linotype" w:hAnsi="Palatino Linotype"/>
        </w:rPr>
        <w:t xml:space="preserve">en razón de que a través de su respuesta realizó un pronunciamiento en relación a la información solicitada con la finalidad de tener por colmado el derecho de acceso a la información del hoy </w:t>
      </w:r>
      <w:r>
        <w:rPr>
          <w:rFonts w:ascii="Palatino Linotype" w:hAnsi="Palatino Linotype"/>
          <w:b/>
        </w:rPr>
        <w:t>RECURRENTE</w:t>
      </w:r>
      <w:r>
        <w:rPr>
          <w:rFonts w:ascii="Palatino Linotype" w:hAnsi="Palatino Linotype"/>
        </w:rPr>
        <w:t xml:space="preserve">; razón por la cual, al haberse pronunciado </w:t>
      </w:r>
      <w:r>
        <w:rPr>
          <w:rFonts w:ascii="Palatino Linotype" w:hAnsi="Palatino Linotype"/>
          <w:b/>
        </w:rPr>
        <w:t>EL SUJETO OBLIGADO</w:t>
      </w:r>
      <w:r>
        <w:rPr>
          <w:rFonts w:ascii="Palatino Linotype" w:hAnsi="Palatino Linotype"/>
        </w:rPr>
        <w:t xml:space="preserve"> respecto de la información solicitada, </w:t>
      </w:r>
      <w:r>
        <w:rPr>
          <w:rFonts w:ascii="Palatino Linotype" w:hAnsi="Palatino Linotype" w:cs="Arial"/>
        </w:rPr>
        <w:t xml:space="preserve">es que </w:t>
      </w:r>
      <w:r>
        <w:rPr>
          <w:rFonts w:ascii="Palatino Linotype" w:hAnsi="Palatino Linotype"/>
        </w:rPr>
        <w:t xml:space="preserve">acepta ser </w:t>
      </w:r>
      <w:r>
        <w:rPr>
          <w:rFonts w:ascii="Palatino Linotype" w:hAnsi="Palatino Linotype"/>
        </w:rPr>
        <w:lastRenderedPageBreak/>
        <w:t>competente para generar, poseer y administrar dicha información, en ejercicio de sus funciones de derecho público, motivo por el cual se actualiza el supuesto jurídico, previsto en el artículo 12 de la Ley de Transparencia y Acceso a la Información Pública del Estado de México y Municipios.</w:t>
      </w:r>
    </w:p>
    <w:p w:rsidR="00604794" w:rsidRDefault="00AF5403">
      <w:pPr>
        <w:spacing w:beforeAutospacing="1" w:afterAutospacing="1" w:line="360" w:lineRule="auto"/>
        <w:ind w:right="49"/>
        <w:jc w:val="both"/>
        <w:rPr>
          <w:rFonts w:ascii="Palatino Linotype" w:hAnsi="Palatino Linotype"/>
        </w:rPr>
      </w:pPr>
      <w:r>
        <w:rPr>
          <w:rFonts w:ascii="Palatino Linotype" w:hAnsi="Palatino Linotype"/>
        </w:rPr>
        <w:t xml:space="preserve">Por lo que, el estudio de la naturaleza jurídica de la información pública solicitada, tiene por objeto determinar si ésta la genera, posee o administra </w:t>
      </w:r>
      <w:r>
        <w:rPr>
          <w:rFonts w:ascii="Palatino Linotype" w:hAnsi="Palatino Linotype"/>
          <w:b/>
        </w:rPr>
        <w:t>EL SUJETO OBLIGADO</w:t>
      </w:r>
      <w:r>
        <w:rPr>
          <w:rFonts w:ascii="Palatino Linotype" w:hAnsi="Palatino Linotype"/>
        </w:rPr>
        <w:t xml:space="preserve">; sin embargo, en aquellos casos en que éste la asume, implica que cuenta o pudiera contar con la misma; por consiguiente, a nada práctico nos conduciría su estudio, ya que se insiste la información pública solicitada, fue asumida por </w:t>
      </w:r>
      <w:r>
        <w:rPr>
          <w:rFonts w:ascii="Palatino Linotype" w:hAnsi="Palatino Linotype"/>
          <w:b/>
        </w:rPr>
        <w:t>EL SUJETO OBLIGADO</w:t>
      </w:r>
      <w:r>
        <w:rPr>
          <w:rFonts w:ascii="Palatino Linotype" w:hAnsi="Palatino Linotype"/>
        </w:rPr>
        <w:t>.</w:t>
      </w:r>
    </w:p>
    <w:p w:rsidR="00604794" w:rsidRDefault="00AF5403">
      <w:pPr>
        <w:spacing w:beforeAutospacing="1" w:afterAutospacing="1" w:line="360" w:lineRule="auto"/>
        <w:contextualSpacing/>
        <w:jc w:val="both"/>
        <w:rPr>
          <w:rFonts w:ascii="Palatino Linotype" w:hAnsi="Palatino Linotype"/>
          <w:color w:val="000000"/>
        </w:rPr>
      </w:pPr>
      <w:r>
        <w:rPr>
          <w:rFonts w:ascii="Palatino Linotype" w:hAnsi="Palatino Linotype"/>
          <w:color w:val="000000"/>
        </w:rPr>
        <w:t xml:space="preserve">Asimismo, no se omite comentar que, al haber existido un pronunciamiento por parte del </w:t>
      </w:r>
      <w:r>
        <w:rPr>
          <w:rFonts w:ascii="Palatino Linotype" w:hAnsi="Palatino Linotype"/>
          <w:b/>
          <w:color w:val="000000"/>
        </w:rPr>
        <w:t>SUJETO OBLIGADO</w:t>
      </w:r>
      <w:r>
        <w:rPr>
          <w:rFonts w:ascii="Palatino Linotype" w:hAnsi="Palatino Linotype"/>
          <w:color w:val="000000"/>
        </w:rPr>
        <w:t>, a fin de dar respuesta a la solicitud planteada, este Instituto no está facultado para manifestarse sobre la veracidad de la información localizada, pues este Órgano Garante, conforme al artículo 36 de la Ley de la Materia, no se encuentra facultado para pronunciarse acerca de la autenticidad de dicho pronunciamiento.</w:t>
      </w:r>
    </w:p>
    <w:p w:rsidR="00604794" w:rsidRDefault="00604794">
      <w:pPr>
        <w:spacing w:beforeAutospacing="1" w:afterAutospacing="1" w:line="360" w:lineRule="auto"/>
        <w:contextualSpacing/>
        <w:jc w:val="both"/>
        <w:rPr>
          <w:rFonts w:ascii="Palatino Linotype" w:hAnsi="Palatino Linotype"/>
          <w:color w:val="000000"/>
        </w:rPr>
      </w:pPr>
    </w:p>
    <w:p w:rsidR="00604794" w:rsidRDefault="00AF5403">
      <w:pPr>
        <w:spacing w:beforeAutospacing="1" w:afterAutospacing="1" w:line="360" w:lineRule="auto"/>
        <w:contextualSpacing/>
        <w:jc w:val="both"/>
        <w:rPr>
          <w:rFonts w:ascii="Palatino Linotype" w:hAnsi="Palatino Linotype"/>
          <w:color w:val="000000"/>
        </w:rPr>
      </w:pPr>
      <w:r>
        <w:rPr>
          <w:rFonts w:ascii="Palatino Linotype" w:hAnsi="Palatino Linotype"/>
          <w:color w:val="000000"/>
        </w:rPr>
        <w:t xml:space="preserve">Sirve de sustento a lo anterior, el criterio 31/10 emitido por el entonces Instituto Federal de Acceso a la Información y Protección de Datos, ahora Instituto Nacional de Transparencia, Acceso a la Información y Protección de Datos Personales (INAI), el cual refiere: </w:t>
      </w:r>
    </w:p>
    <w:p w:rsidR="00604794" w:rsidRDefault="00604794">
      <w:pPr>
        <w:spacing w:beforeAutospacing="1" w:afterAutospacing="1" w:line="360" w:lineRule="auto"/>
        <w:contextualSpacing/>
        <w:jc w:val="both"/>
        <w:rPr>
          <w:rFonts w:ascii="Palatino Linotype" w:hAnsi="Palatino Linotype"/>
          <w:color w:val="000000"/>
          <w:sz w:val="14"/>
          <w:szCs w:val="14"/>
        </w:rPr>
      </w:pPr>
    </w:p>
    <w:p w:rsidR="00604794" w:rsidRDefault="00AF5403">
      <w:pPr>
        <w:spacing w:beforeAutospacing="1" w:afterAutospacing="1"/>
        <w:ind w:left="851" w:right="899"/>
        <w:contextualSpacing/>
        <w:jc w:val="both"/>
        <w:rPr>
          <w:rFonts w:ascii="Palatino Linotype" w:hAnsi="Palatino Linotype"/>
          <w:i/>
          <w:color w:val="000000"/>
          <w:sz w:val="22"/>
          <w:szCs w:val="22"/>
        </w:rPr>
      </w:pPr>
      <w:r>
        <w:rPr>
          <w:rFonts w:ascii="Palatino Linotype" w:hAnsi="Palatino Linotype"/>
          <w:b/>
          <w:i/>
          <w:color w:val="000000"/>
          <w:sz w:val="22"/>
          <w:szCs w:val="22"/>
        </w:rPr>
        <w:t xml:space="preserve">“El Instituto Federal de Acceso a la Información y Protección de Datos no cuenta con facultades para pronunciarse respecto de la veracidad de los </w:t>
      </w:r>
      <w:r>
        <w:rPr>
          <w:rFonts w:ascii="Palatino Linotype" w:hAnsi="Palatino Linotype"/>
          <w:b/>
          <w:i/>
          <w:color w:val="000000"/>
          <w:sz w:val="22"/>
          <w:szCs w:val="22"/>
        </w:rPr>
        <w:lastRenderedPageBreak/>
        <w:t>documentos proporcionados por los sujetos obligados</w:t>
      </w:r>
      <w:r>
        <w:rPr>
          <w:rFonts w:ascii="Palatino Linotype" w:hAnsi="Palatino Linotype"/>
          <w:i/>
          <w:color w:val="000000"/>
          <w:sz w:val="22"/>
          <w:szCs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 Expedientes: 2440/07 Comisión Federal de Electricidad - Alonso Lujambio Irazábal 0113/09 Instituto de Seguridad y Servicios Sociales de los Trabajadores del Estado – Alonso Lujambio Irazábal 1624/09 Instituto Nacional para la Educación de los Adultos - María </w:t>
      </w:r>
      <w:proofErr w:type="spellStart"/>
      <w:r>
        <w:rPr>
          <w:rFonts w:ascii="Palatino Linotype" w:hAnsi="Palatino Linotype"/>
          <w:i/>
          <w:color w:val="000000"/>
          <w:sz w:val="22"/>
          <w:szCs w:val="22"/>
        </w:rPr>
        <w:t>Marván</w:t>
      </w:r>
      <w:proofErr w:type="spellEnd"/>
      <w:r>
        <w:rPr>
          <w:rFonts w:ascii="Palatino Linotype" w:hAnsi="Palatino Linotype"/>
          <w:i/>
          <w:color w:val="000000"/>
          <w:sz w:val="22"/>
          <w:szCs w:val="22"/>
        </w:rPr>
        <w:t xml:space="preserve"> Laborde 2395/09 Secretaría de Economía - María </w:t>
      </w:r>
      <w:proofErr w:type="spellStart"/>
      <w:r>
        <w:rPr>
          <w:rFonts w:ascii="Palatino Linotype" w:hAnsi="Palatino Linotype"/>
          <w:i/>
          <w:color w:val="000000"/>
          <w:sz w:val="22"/>
          <w:szCs w:val="22"/>
        </w:rPr>
        <w:t>Marván</w:t>
      </w:r>
      <w:proofErr w:type="spellEnd"/>
      <w:r>
        <w:rPr>
          <w:rFonts w:ascii="Palatino Linotype" w:hAnsi="Palatino Linotype"/>
          <w:i/>
          <w:color w:val="000000"/>
          <w:sz w:val="22"/>
          <w:szCs w:val="22"/>
        </w:rPr>
        <w:t xml:space="preserve"> Laborde 0837/10 Administración Portuaria Integral de Veracruz, S.A. de C.V. – María </w:t>
      </w:r>
      <w:proofErr w:type="spellStart"/>
      <w:r>
        <w:rPr>
          <w:rFonts w:ascii="Palatino Linotype" w:hAnsi="Palatino Linotype"/>
          <w:i/>
          <w:color w:val="000000"/>
          <w:sz w:val="22"/>
          <w:szCs w:val="22"/>
        </w:rPr>
        <w:t>Marván</w:t>
      </w:r>
      <w:proofErr w:type="spellEnd"/>
      <w:r>
        <w:rPr>
          <w:rFonts w:ascii="Palatino Linotype" w:hAnsi="Palatino Linotype"/>
          <w:i/>
          <w:color w:val="000000"/>
          <w:sz w:val="22"/>
          <w:szCs w:val="22"/>
        </w:rPr>
        <w:t xml:space="preserve"> Laborde </w:t>
      </w:r>
    </w:p>
    <w:p w:rsidR="00604794" w:rsidRDefault="00AF5403">
      <w:pPr>
        <w:spacing w:beforeAutospacing="1" w:afterAutospacing="1"/>
        <w:ind w:left="851" w:right="899"/>
        <w:contextualSpacing/>
        <w:jc w:val="both"/>
        <w:rPr>
          <w:rFonts w:ascii="Palatino Linotype" w:hAnsi="Palatino Linotype"/>
          <w:i/>
          <w:color w:val="000000"/>
          <w:sz w:val="22"/>
          <w:szCs w:val="22"/>
        </w:rPr>
      </w:pPr>
      <w:r>
        <w:rPr>
          <w:rFonts w:ascii="Palatino Linotype" w:hAnsi="Palatino Linotype"/>
          <w:i/>
          <w:color w:val="000000"/>
          <w:sz w:val="22"/>
          <w:szCs w:val="22"/>
        </w:rPr>
        <w:t>Criterio 31/10</w:t>
      </w:r>
      <w:r>
        <w:rPr>
          <w:rFonts w:ascii="Palatino Linotype" w:hAnsi="Palatino Linotype"/>
          <w:b/>
          <w:i/>
          <w:color w:val="000000"/>
          <w:sz w:val="22"/>
          <w:szCs w:val="22"/>
        </w:rPr>
        <w:t>”</w:t>
      </w:r>
      <w:r>
        <w:rPr>
          <w:rFonts w:ascii="Palatino Linotype" w:hAnsi="Palatino Linotype"/>
          <w:i/>
          <w:color w:val="000000"/>
          <w:sz w:val="22"/>
          <w:szCs w:val="22"/>
        </w:rPr>
        <w:t xml:space="preserve"> (sic)</w:t>
      </w:r>
    </w:p>
    <w:p w:rsidR="00604794" w:rsidRDefault="00AF5403">
      <w:pPr>
        <w:pStyle w:val="Prrafodelista"/>
        <w:widowControl w:val="0"/>
        <w:tabs>
          <w:tab w:val="left" w:pos="1701"/>
          <w:tab w:val="left" w:pos="1843"/>
        </w:tabs>
        <w:spacing w:beforeAutospacing="1" w:afterAutospacing="1" w:line="360" w:lineRule="auto"/>
        <w:ind w:left="0"/>
        <w:jc w:val="both"/>
        <w:rPr>
          <w:rFonts w:ascii="Palatino Linotype" w:hAnsi="Palatino Linotype" w:cs="Arial"/>
        </w:rPr>
      </w:pPr>
      <w:r>
        <w:rPr>
          <w:rFonts w:ascii="Palatino Linotype" w:hAnsi="Palatino Linotype" w:cs="Arial"/>
        </w:rPr>
        <w:t xml:space="preserve">Ahora bien, este Instituto analizó la totalidad de las constancias que integran el expediente electrónico del </w:t>
      </w:r>
      <w:r>
        <w:rPr>
          <w:rFonts w:ascii="Palatino Linotype" w:hAnsi="Palatino Linotype" w:cs="Arial"/>
          <w:b/>
        </w:rPr>
        <w:t>SAIMEX</w:t>
      </w:r>
      <w:r>
        <w:rPr>
          <w:rFonts w:ascii="Palatino Linotype" w:hAnsi="Palatino Linotype" w:cs="Arial"/>
        </w:rPr>
        <w:t xml:space="preserve">, y se concluye que la controversia en el presente asunto radica en que </w:t>
      </w:r>
      <w:r>
        <w:rPr>
          <w:rFonts w:ascii="Palatino Linotype" w:hAnsi="Palatino Linotype" w:cs="Arial"/>
          <w:b/>
        </w:rPr>
        <w:t>EL SUJETO OBLIGADO</w:t>
      </w:r>
      <w:r>
        <w:rPr>
          <w:rFonts w:ascii="Palatino Linotype" w:hAnsi="Palatino Linotype" w:cs="Arial"/>
        </w:rPr>
        <w:t xml:space="preserve"> no satisfizo en su totalidad el derecho de acceso a la información pública del particular, toda vez que se actualiza la causal de procedencia enunciada en la fracción V del numeral 179 de la Ley de Transparencia y Acceso a la Información Pública del Estado de México y Municipios. </w:t>
      </w:r>
    </w:p>
    <w:p w:rsidR="00604794" w:rsidRDefault="00AF5403">
      <w:pPr>
        <w:widowControl w:val="0"/>
        <w:tabs>
          <w:tab w:val="left" w:pos="1276"/>
        </w:tabs>
        <w:spacing w:before="240" w:afterAutospacing="1" w:line="360" w:lineRule="auto"/>
        <w:ind w:right="49"/>
        <w:jc w:val="both"/>
        <w:rPr>
          <w:rFonts w:ascii="Palatino Linotype" w:hAnsi="Palatino Linotype"/>
        </w:rPr>
      </w:pPr>
      <w:r>
        <w:rPr>
          <w:rFonts w:ascii="Palatino Linotype" w:hAnsi="Palatino Linotype"/>
        </w:rPr>
        <w:t xml:space="preserve">Bajo ese contexto, este Instituto advirtió que las razones o motivos de inconformidad hechos valer por </w:t>
      </w:r>
      <w:r>
        <w:rPr>
          <w:rFonts w:ascii="Palatino Linotype" w:hAnsi="Palatino Linotype"/>
          <w:b/>
        </w:rPr>
        <w:t>EL RECURRENTE</w:t>
      </w:r>
      <w:r>
        <w:rPr>
          <w:rFonts w:ascii="Palatino Linotype" w:hAnsi="Palatino Linotype"/>
        </w:rPr>
        <w:t xml:space="preserve"> devienen</w:t>
      </w:r>
      <w:r>
        <w:rPr>
          <w:rFonts w:ascii="Palatino Linotype" w:hAnsi="Palatino Linotype"/>
          <w:b/>
        </w:rPr>
        <w:t xml:space="preserve"> parcialmente fundados</w:t>
      </w:r>
      <w:r>
        <w:rPr>
          <w:rFonts w:ascii="Palatino Linotype" w:hAnsi="Palatino Linotype"/>
        </w:rPr>
        <w:t>, en razón de las siguientes consideraciones de hecho y de derecho:</w:t>
      </w:r>
    </w:p>
    <w:p w:rsidR="00604794" w:rsidRDefault="00AF5403">
      <w:pPr>
        <w:pStyle w:val="Prrafodelista"/>
        <w:widowControl w:val="0"/>
        <w:tabs>
          <w:tab w:val="left" w:pos="1701"/>
          <w:tab w:val="left" w:pos="1843"/>
        </w:tabs>
        <w:spacing w:beforeAutospacing="1" w:afterAutospacing="1" w:line="360" w:lineRule="auto"/>
        <w:ind w:left="0"/>
        <w:jc w:val="both"/>
        <w:rPr>
          <w:rFonts w:ascii="Palatino Linotype" w:hAnsi="Palatino Linotype" w:cs="Arial"/>
        </w:rPr>
      </w:pPr>
      <w:r>
        <w:rPr>
          <w:rFonts w:ascii="Palatino Linotype" w:hAnsi="Palatino Linotype" w:cs="Arial"/>
        </w:rPr>
        <w:t xml:space="preserve">Una vez apuntado lo anterior, y para un mejor estudio iremos analizando cada una de </w:t>
      </w:r>
      <w:r>
        <w:rPr>
          <w:rFonts w:ascii="Palatino Linotype" w:hAnsi="Palatino Linotype" w:cs="Arial"/>
        </w:rPr>
        <w:lastRenderedPageBreak/>
        <w:t xml:space="preserve">las peticiones realizadas por el particular, por lo que en relación al punto 1, relativa a las legislaciones, reglamentos, acuerdos, decretos y lineamientos que rigen y regulan las relaciones laborales entre los trabajadores y el Hospital, </w:t>
      </w:r>
      <w:r>
        <w:rPr>
          <w:rFonts w:ascii="Palatino Linotype" w:hAnsi="Palatino Linotype" w:cs="Arial"/>
          <w:b/>
        </w:rPr>
        <w:t>EL SUJETO OBLIGADO</w:t>
      </w:r>
      <w:r>
        <w:rPr>
          <w:rFonts w:ascii="Palatino Linotype" w:hAnsi="Palatino Linotype" w:cs="Arial"/>
        </w:rPr>
        <w:t xml:space="preserve"> a través de su respuesta refirió que la información podía ser consultada en la liga electrónica </w:t>
      </w:r>
      <w:hyperlink r:id="rId12">
        <w:r>
          <w:rPr>
            <w:rStyle w:val="Hipervnculo"/>
            <w:rFonts w:ascii="Palatino Linotype" w:hAnsi="Palatino Linotype" w:cs="Arial"/>
          </w:rPr>
          <w:t>http://ddsisem.edomex.gob.mx/bvirtual/index.php?mod=239</w:t>
        </w:r>
      </w:hyperlink>
      <w:r>
        <w:rPr>
          <w:rFonts w:ascii="Palatino Linotype" w:hAnsi="Palatino Linotype" w:cs="Arial"/>
        </w:rPr>
        <w:t xml:space="preserve">. </w:t>
      </w:r>
    </w:p>
    <w:p w:rsidR="00604794" w:rsidRDefault="00AF5403">
      <w:pPr>
        <w:spacing w:line="360" w:lineRule="auto"/>
        <w:jc w:val="both"/>
        <w:rPr>
          <w:rFonts w:ascii="Palatino Linotype" w:hAnsi="Palatino Linotype" w:cs="Arial"/>
        </w:rPr>
      </w:pPr>
      <w:r>
        <w:rPr>
          <w:rFonts w:ascii="Palatino Linotype" w:hAnsi="Palatino Linotype"/>
          <w:color w:val="222222"/>
          <w:lang w:eastAsia="es-MX"/>
        </w:rPr>
        <w:t>Derivado de la respuesta proporcionada, es conveniente referir que e</w:t>
      </w:r>
      <w:r>
        <w:rPr>
          <w:rFonts w:ascii="Palatino Linotype" w:hAnsi="Palatino Linotype"/>
          <w:lang w:val="es-ES" w:eastAsia="es-MX"/>
        </w:rPr>
        <w:t xml:space="preserve">l artículo 161 de la </w:t>
      </w:r>
      <w:r>
        <w:rPr>
          <w:rFonts w:ascii="Palatino Linotype" w:hAnsi="Palatino Linotype"/>
          <w:color w:val="222222"/>
          <w:lang w:eastAsia="es-MX"/>
        </w:rPr>
        <w:t>de Transparencia y Acceso a la Información Pública del Estado de México y Municipios</w:t>
      </w:r>
      <w:r>
        <w:rPr>
          <w:rFonts w:ascii="Palatino Linotype" w:hAnsi="Palatino Linotype"/>
          <w:lang w:val="es-ES" w:eastAsia="es-MX"/>
        </w:rPr>
        <w:t xml:space="preserve">, dispone que cuando la información pública requerida por el solicitante ya esté disponible al público en formatos electrónicos disponibles en internet se deberá hacer del conocimiento del particular por el medio requerido la fuente, el lugar y la forma en que se puede consultar la información , dentro de un plazo no mayor a cinco días, como a continuación se observa: </w:t>
      </w:r>
    </w:p>
    <w:p w:rsidR="00604794" w:rsidRDefault="00604794">
      <w:pPr>
        <w:ind w:left="720"/>
        <w:contextualSpacing/>
        <w:rPr>
          <w:rFonts w:ascii="Palatino Linotype" w:hAnsi="Palatino Linotype"/>
          <w:i/>
          <w:lang w:val="es-ES" w:eastAsia="es-MX"/>
        </w:rPr>
      </w:pPr>
    </w:p>
    <w:p w:rsidR="00604794" w:rsidRDefault="00AF5403">
      <w:pPr>
        <w:shd w:val="clear" w:color="auto" w:fill="FFFFFF"/>
        <w:ind w:left="851" w:right="902"/>
        <w:jc w:val="both"/>
        <w:rPr>
          <w:rFonts w:ascii="Palatino Linotype" w:hAnsi="Palatino Linotype" w:cs="Arial"/>
          <w:i/>
          <w:sz w:val="22"/>
          <w:lang w:val="es-ES_tradnl"/>
        </w:rPr>
      </w:pPr>
      <w:r>
        <w:rPr>
          <w:rFonts w:ascii="Palatino Linotype" w:hAnsi="Palatino Linotype" w:cs="Arial"/>
          <w:i/>
          <w:sz w:val="22"/>
        </w:rPr>
        <w:t>“</w:t>
      </w:r>
      <w:r>
        <w:rPr>
          <w:rFonts w:ascii="Palatino Linotype" w:hAnsi="Palatino Linotype" w:cs="Arial"/>
          <w:b/>
          <w:i/>
          <w:sz w:val="22"/>
        </w:rPr>
        <w:t>Artículo 161.</w:t>
      </w:r>
      <w:r>
        <w:rPr>
          <w:rFonts w:ascii="Palatino Linotype" w:hAnsi="Palatino Linotype" w:cs="Arial"/>
          <w:i/>
          <w:sz w:val="22"/>
        </w:rPr>
        <w:t xml:space="preserve"> Cuando la información requerida por el solicitante ya esté disponible al público en medios impresos, tales como libros, compendios, trípticos, registros públicos, en formatos electrónicos disponibles en Internet o en cualquier otro medio, se le hará saber por el medio requerido por el solicitante la fuente, el lugar y </w:t>
      </w:r>
      <w:r>
        <w:rPr>
          <w:rFonts w:ascii="Palatino Linotype" w:hAnsi="Palatino Linotype" w:cs="Arial"/>
          <w:b/>
          <w:i/>
          <w:sz w:val="22"/>
        </w:rPr>
        <w:t>la forma</w:t>
      </w:r>
      <w:r>
        <w:rPr>
          <w:rFonts w:ascii="Palatino Linotype" w:hAnsi="Palatino Linotype" w:cs="Arial"/>
          <w:i/>
          <w:sz w:val="22"/>
        </w:rPr>
        <w:t xml:space="preserve"> en que puede consultar, reproducir o adquirir dicha información en un plazo no mayor a cinco días hábiles.</w:t>
      </w:r>
      <w:r>
        <w:rPr>
          <w:rFonts w:ascii="Palatino Linotype" w:hAnsi="Palatino Linotype" w:cs="Arial"/>
          <w:b/>
          <w:i/>
          <w:sz w:val="22"/>
        </w:rPr>
        <w:t xml:space="preserve"> La fuente deberá ser precisa y </w:t>
      </w:r>
      <w:r>
        <w:rPr>
          <w:rFonts w:ascii="Palatino Linotype" w:hAnsi="Palatino Linotype"/>
          <w:b/>
          <w:i/>
          <w:iCs/>
          <w:color w:val="222222"/>
          <w:sz w:val="22"/>
          <w:szCs w:val="22"/>
          <w:lang w:eastAsia="es-MX"/>
        </w:rPr>
        <w:t>concreta</w:t>
      </w:r>
      <w:r>
        <w:rPr>
          <w:rFonts w:ascii="Palatino Linotype" w:hAnsi="Palatino Linotype" w:cs="Arial"/>
          <w:b/>
          <w:i/>
          <w:sz w:val="22"/>
        </w:rPr>
        <w:t xml:space="preserve"> y no debe implicar que el solicitante realice una búsqueda en toda la información que se encuentre disponible.</w:t>
      </w:r>
      <w:r>
        <w:rPr>
          <w:rFonts w:ascii="Palatino Linotype" w:hAnsi="Palatino Linotype" w:cs="Arial"/>
          <w:i/>
          <w:sz w:val="22"/>
        </w:rPr>
        <w:t>”</w:t>
      </w:r>
    </w:p>
    <w:p w:rsidR="00604794" w:rsidRDefault="00604794">
      <w:pPr>
        <w:ind w:left="720"/>
        <w:contextualSpacing/>
        <w:rPr>
          <w:rFonts w:ascii="Palatino Linotype" w:hAnsi="Palatino Linotype"/>
          <w:lang w:val="es-ES" w:eastAsia="es-MX"/>
        </w:rPr>
      </w:pPr>
    </w:p>
    <w:p w:rsidR="00604794" w:rsidRDefault="00AF5403">
      <w:pPr>
        <w:spacing w:line="360" w:lineRule="auto"/>
        <w:ind w:right="49"/>
        <w:contextualSpacing/>
        <w:jc w:val="both"/>
        <w:rPr>
          <w:rFonts w:ascii="Palatino Linotype" w:hAnsi="Palatino Linotype" w:cs="Arial"/>
        </w:rPr>
      </w:pPr>
      <w:r>
        <w:rPr>
          <w:rFonts w:ascii="Palatino Linotype" w:hAnsi="Palatino Linotype" w:cs="Arial"/>
        </w:rPr>
        <w:t xml:space="preserve">Así las cosas, este Órgano Garante advierte que la información que pretendía entregar </w:t>
      </w:r>
      <w:r>
        <w:rPr>
          <w:rFonts w:ascii="Palatino Linotype" w:hAnsi="Palatino Linotype" w:cs="Arial"/>
          <w:b/>
        </w:rPr>
        <w:t>EL</w:t>
      </w:r>
      <w:r>
        <w:rPr>
          <w:rFonts w:ascii="Palatino Linotype" w:hAnsi="Palatino Linotype" w:cs="Arial"/>
        </w:rPr>
        <w:t xml:space="preserve"> </w:t>
      </w:r>
      <w:r>
        <w:rPr>
          <w:rFonts w:ascii="Palatino Linotype" w:hAnsi="Palatino Linotype" w:cs="Arial"/>
          <w:b/>
        </w:rPr>
        <w:t xml:space="preserve">SUJETO OBLIGADO </w:t>
      </w:r>
      <w:r>
        <w:rPr>
          <w:rFonts w:ascii="Palatino Linotype" w:hAnsi="Palatino Linotype" w:cs="Arial"/>
        </w:rPr>
        <w:t xml:space="preserve">mediante respuesta, no se encuentra acorde a lo que establece la Ley de la materia, pues en primer término no se realizó dentro de los primero cinco días, además de que le implicaba realizar una búsqueda al particular </w:t>
      </w:r>
      <w:r>
        <w:rPr>
          <w:rFonts w:ascii="Palatino Linotype" w:hAnsi="Palatino Linotype" w:cs="Arial"/>
        </w:rPr>
        <w:lastRenderedPageBreak/>
        <w:t>para encontrar la información, respecto de las áreas de las que deseaba la información, para mayor referencia se insertan las siguientes imágenes:</w:t>
      </w:r>
    </w:p>
    <w:p w:rsidR="00604794" w:rsidRDefault="00AF5403">
      <w:pPr>
        <w:pStyle w:val="Prrafodelista"/>
        <w:widowControl w:val="0"/>
        <w:tabs>
          <w:tab w:val="left" w:pos="1701"/>
          <w:tab w:val="left" w:pos="1843"/>
        </w:tabs>
        <w:spacing w:beforeAutospacing="1" w:afterAutospacing="1" w:line="360" w:lineRule="auto"/>
        <w:ind w:left="0"/>
        <w:jc w:val="both"/>
        <w:rPr>
          <w:rFonts w:ascii="Palatino Linotype" w:hAnsi="Palatino Linotype" w:cs="Arial"/>
        </w:rPr>
      </w:pPr>
      <w:r>
        <w:rPr>
          <w:noProof/>
          <w:lang w:eastAsia="es-MX"/>
        </w:rPr>
        <w:drawing>
          <wp:inline distT="0" distB="0" distL="0" distR="0">
            <wp:extent cx="5737225" cy="2488565"/>
            <wp:effectExtent l="0" t="0" r="0" b="0"/>
            <wp:docPr id="10"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5"/>
                    <pic:cNvPicPr>
                      <a:picLocks noChangeAspect="1" noChangeArrowheads="1"/>
                    </pic:cNvPicPr>
                  </pic:nvPicPr>
                  <pic:blipFill>
                    <a:blip r:embed="rId13"/>
                    <a:srcRect r="915"/>
                    <a:stretch>
                      <a:fillRect/>
                    </a:stretch>
                  </pic:blipFill>
                  <pic:spPr bwMode="auto">
                    <a:xfrm>
                      <a:off x="0" y="0"/>
                      <a:ext cx="5737225" cy="2488565"/>
                    </a:xfrm>
                    <a:prstGeom prst="rect">
                      <a:avLst/>
                    </a:prstGeom>
                  </pic:spPr>
                </pic:pic>
              </a:graphicData>
            </a:graphic>
          </wp:inline>
        </w:drawing>
      </w:r>
    </w:p>
    <w:p w:rsidR="00604794" w:rsidRDefault="00AF5403">
      <w:pPr>
        <w:pStyle w:val="Prrafodelista"/>
        <w:widowControl w:val="0"/>
        <w:tabs>
          <w:tab w:val="left" w:pos="1701"/>
          <w:tab w:val="left" w:pos="1843"/>
        </w:tabs>
        <w:spacing w:beforeAutospacing="1" w:afterAutospacing="1" w:line="360" w:lineRule="auto"/>
        <w:ind w:left="0"/>
        <w:jc w:val="both"/>
        <w:rPr>
          <w:rFonts w:ascii="Palatino Linotype" w:hAnsi="Palatino Linotype" w:cs="Arial"/>
        </w:rPr>
      </w:pPr>
      <w:r>
        <w:rPr>
          <w:noProof/>
          <w:lang w:eastAsia="es-MX"/>
        </w:rPr>
        <w:drawing>
          <wp:inline distT="0" distB="0" distL="0" distR="0">
            <wp:extent cx="5791200" cy="2298065"/>
            <wp:effectExtent l="0" t="0" r="0" b="0"/>
            <wp:docPr id="11"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6"/>
                    <pic:cNvPicPr>
                      <a:picLocks noChangeAspect="1" noChangeArrowheads="1"/>
                    </pic:cNvPicPr>
                  </pic:nvPicPr>
                  <pic:blipFill>
                    <a:blip r:embed="rId14"/>
                    <a:stretch>
                      <a:fillRect/>
                    </a:stretch>
                  </pic:blipFill>
                  <pic:spPr bwMode="auto">
                    <a:xfrm>
                      <a:off x="0" y="0"/>
                      <a:ext cx="5791200" cy="2298065"/>
                    </a:xfrm>
                    <a:prstGeom prst="rect">
                      <a:avLst/>
                    </a:prstGeom>
                  </pic:spPr>
                </pic:pic>
              </a:graphicData>
            </a:graphic>
          </wp:inline>
        </w:drawing>
      </w:r>
    </w:p>
    <w:p w:rsidR="00604794" w:rsidRDefault="00AF5403">
      <w:pPr>
        <w:pStyle w:val="Prrafodelista"/>
        <w:widowControl w:val="0"/>
        <w:tabs>
          <w:tab w:val="left" w:pos="1701"/>
          <w:tab w:val="left" w:pos="1843"/>
        </w:tabs>
        <w:spacing w:beforeAutospacing="1" w:afterAutospacing="1" w:line="360" w:lineRule="auto"/>
        <w:ind w:left="0"/>
        <w:jc w:val="both"/>
        <w:rPr>
          <w:rFonts w:ascii="Palatino Linotype" w:hAnsi="Palatino Linotype" w:cs="Arial"/>
        </w:rPr>
      </w:pPr>
      <w:r>
        <w:rPr>
          <w:noProof/>
          <w:lang w:eastAsia="es-MX"/>
        </w:rPr>
        <w:lastRenderedPageBreak/>
        <w:drawing>
          <wp:inline distT="0" distB="0" distL="0" distR="0">
            <wp:extent cx="5788660" cy="2115185"/>
            <wp:effectExtent l="0" t="0" r="0" b="0"/>
            <wp:docPr id="12"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7"/>
                    <pic:cNvPicPr>
                      <a:picLocks noChangeAspect="1" noChangeArrowheads="1"/>
                    </pic:cNvPicPr>
                  </pic:nvPicPr>
                  <pic:blipFill>
                    <a:blip r:embed="rId15"/>
                    <a:stretch>
                      <a:fillRect/>
                    </a:stretch>
                  </pic:blipFill>
                  <pic:spPr bwMode="auto">
                    <a:xfrm>
                      <a:off x="0" y="0"/>
                      <a:ext cx="5788660" cy="2115185"/>
                    </a:xfrm>
                    <a:prstGeom prst="rect">
                      <a:avLst/>
                    </a:prstGeom>
                  </pic:spPr>
                </pic:pic>
              </a:graphicData>
            </a:graphic>
          </wp:inline>
        </w:drawing>
      </w:r>
    </w:p>
    <w:p w:rsidR="00604794" w:rsidRDefault="00AF5403">
      <w:pPr>
        <w:pStyle w:val="Prrafodelista"/>
        <w:widowControl w:val="0"/>
        <w:tabs>
          <w:tab w:val="left" w:pos="1701"/>
          <w:tab w:val="left" w:pos="1843"/>
        </w:tabs>
        <w:spacing w:beforeAutospacing="1" w:afterAutospacing="1" w:line="360" w:lineRule="auto"/>
        <w:ind w:left="0"/>
        <w:jc w:val="both"/>
        <w:rPr>
          <w:rFonts w:ascii="Palatino Linotype" w:hAnsi="Palatino Linotype" w:cs="Arial"/>
        </w:rPr>
      </w:pPr>
      <w:r>
        <w:rPr>
          <w:noProof/>
          <w:lang w:eastAsia="es-MX"/>
        </w:rPr>
        <w:drawing>
          <wp:inline distT="0" distB="0" distL="0" distR="0">
            <wp:extent cx="5791200" cy="2766695"/>
            <wp:effectExtent l="0" t="0" r="0" b="0"/>
            <wp:docPr id="13"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8"/>
                    <pic:cNvPicPr>
                      <a:picLocks noChangeAspect="1" noChangeArrowheads="1"/>
                    </pic:cNvPicPr>
                  </pic:nvPicPr>
                  <pic:blipFill>
                    <a:blip r:embed="rId16"/>
                    <a:stretch>
                      <a:fillRect/>
                    </a:stretch>
                  </pic:blipFill>
                  <pic:spPr bwMode="auto">
                    <a:xfrm>
                      <a:off x="0" y="0"/>
                      <a:ext cx="5791200" cy="2766695"/>
                    </a:xfrm>
                    <a:prstGeom prst="rect">
                      <a:avLst/>
                    </a:prstGeom>
                  </pic:spPr>
                </pic:pic>
              </a:graphicData>
            </a:graphic>
          </wp:inline>
        </w:drawing>
      </w:r>
    </w:p>
    <w:p w:rsidR="00604794" w:rsidRDefault="00AF5403">
      <w:pPr>
        <w:tabs>
          <w:tab w:val="left" w:pos="2066"/>
        </w:tabs>
        <w:spacing w:line="360" w:lineRule="auto"/>
        <w:jc w:val="both"/>
        <w:rPr>
          <w:rFonts w:ascii="Palatino Linotype" w:eastAsia="Calibri" w:hAnsi="Palatino Linotype" w:cs="Tahoma"/>
          <w:bCs/>
          <w:lang w:eastAsia="en-US"/>
        </w:rPr>
      </w:pPr>
      <w:r>
        <w:rPr>
          <w:rFonts w:ascii="Palatino Linotype" w:eastAsia="Calibri" w:hAnsi="Palatino Linotype" w:cs="Tahoma"/>
          <w:bCs/>
          <w:lang w:eastAsia="en-US"/>
        </w:rPr>
        <w:t xml:space="preserve">De las imágenes insertas se pueden advertir que, el enlace proporcionado muestra la Biblioteca Virtual del </w:t>
      </w:r>
      <w:r>
        <w:rPr>
          <w:rFonts w:ascii="Palatino Linotype" w:eastAsia="Calibri" w:hAnsi="Palatino Linotype" w:cs="Tahoma"/>
          <w:b/>
          <w:bCs/>
          <w:lang w:eastAsia="en-US"/>
        </w:rPr>
        <w:t xml:space="preserve">SUJETO OBLIGADO; </w:t>
      </w:r>
      <w:r>
        <w:rPr>
          <w:rFonts w:ascii="Palatino Linotype" w:eastAsia="Calibri" w:hAnsi="Palatino Linotype" w:cs="Tahoma"/>
          <w:bCs/>
          <w:lang w:eastAsia="en-US"/>
        </w:rPr>
        <w:t>sin embargo, no se le hizo del conocimiento al solicitante el número de registro en el cual puede apreciarse las legislaciones solicitadas; lo que no satisface el derecho de acceso a la información del particular.</w:t>
      </w:r>
    </w:p>
    <w:p w:rsidR="00604794" w:rsidRDefault="00604794">
      <w:pPr>
        <w:tabs>
          <w:tab w:val="left" w:pos="2066"/>
        </w:tabs>
        <w:spacing w:line="360" w:lineRule="auto"/>
        <w:jc w:val="both"/>
        <w:rPr>
          <w:rFonts w:ascii="Palatino Linotype" w:eastAsia="Calibri" w:hAnsi="Palatino Linotype" w:cs="Tahoma"/>
          <w:bCs/>
          <w:lang w:eastAsia="en-US"/>
        </w:rPr>
      </w:pPr>
    </w:p>
    <w:p w:rsidR="00604794" w:rsidRDefault="00AF5403">
      <w:pPr>
        <w:tabs>
          <w:tab w:val="left" w:pos="2066"/>
        </w:tabs>
        <w:spacing w:line="360" w:lineRule="auto"/>
        <w:jc w:val="both"/>
        <w:rPr>
          <w:rFonts w:ascii="Palatino Linotype" w:hAnsi="Palatino Linotype" w:cs="Arial"/>
          <w:lang w:val="es-ES"/>
        </w:rPr>
      </w:pPr>
      <w:r>
        <w:rPr>
          <w:rFonts w:ascii="Palatino Linotype" w:eastAsia="Calibri" w:hAnsi="Palatino Linotype" w:cs="Tahoma"/>
          <w:bCs/>
          <w:lang w:eastAsia="en-US"/>
        </w:rPr>
        <w:lastRenderedPageBreak/>
        <w:t xml:space="preserve">Por lo anterior, y derivado que es obligación de los </w:t>
      </w:r>
      <w:r>
        <w:rPr>
          <w:rFonts w:ascii="Palatino Linotype" w:hAnsi="Palatino Linotype" w:cs="Arial"/>
          <w:lang w:val="es-ES"/>
        </w:rPr>
        <w:t>Sujetos Obligados poner a disposición del público y actualizar entre otras cosas la información relativa al marco normativo aplicable, este Órgano Garante determinar ordenar el documento o documentos en donde consten las legislaciones, reglamentos, acuerdos, decretos y lineamientos vigentes que rigen y regulan las relaciones laborales entre los trabajadores y el Hospital</w:t>
      </w:r>
      <w:r>
        <w:t xml:space="preserve"> </w:t>
      </w:r>
      <w:r>
        <w:rPr>
          <w:rFonts w:ascii="Palatino Linotype" w:hAnsi="Palatino Linotype" w:cs="Arial"/>
          <w:lang w:val="es-ES"/>
        </w:rPr>
        <w:t xml:space="preserve">General “Dr. José Ma. Rodríguez”. </w:t>
      </w:r>
    </w:p>
    <w:p w:rsidR="00604794" w:rsidRDefault="00604794">
      <w:pPr>
        <w:tabs>
          <w:tab w:val="left" w:pos="2066"/>
        </w:tabs>
        <w:spacing w:line="360" w:lineRule="auto"/>
        <w:jc w:val="both"/>
        <w:rPr>
          <w:rFonts w:ascii="Palatino Linotype" w:hAnsi="Palatino Linotype" w:cs="Arial"/>
          <w:lang w:val="es-ES"/>
        </w:rPr>
      </w:pPr>
    </w:p>
    <w:p w:rsidR="00604794" w:rsidRDefault="00AF5403">
      <w:pPr>
        <w:tabs>
          <w:tab w:val="left" w:pos="2066"/>
        </w:tabs>
        <w:spacing w:line="360" w:lineRule="auto"/>
        <w:jc w:val="both"/>
        <w:rPr>
          <w:rFonts w:ascii="Palatino Linotype" w:hAnsi="Palatino Linotype"/>
          <w:color w:val="000000"/>
          <w:lang w:val="es-ES"/>
        </w:rPr>
      </w:pPr>
      <w:r>
        <w:rPr>
          <w:rFonts w:ascii="Palatino Linotype" w:hAnsi="Palatino Linotype" w:cs="Arial"/>
          <w:lang w:val="es-ES" w:eastAsia="es-MX"/>
        </w:rPr>
        <w:t>Ahora bien, por cuanto hace a la solicitud de acceso a la información, marcada con los numerales 2 y 3, relativa al organigrama del Hospital General "Dr. José Ma. Rodríguez, así como l</w:t>
      </w:r>
      <w:r>
        <w:rPr>
          <w:rFonts w:ascii="Palatino Linotype" w:hAnsi="Palatino Linotype"/>
          <w:color w:val="000000"/>
          <w:lang w:val="es-ES"/>
        </w:rPr>
        <w:t>os nombres de los servidores públicos que ostentan puestos de dirección, subdirección y de jefatura de unidad o de jefatura de departamento</w:t>
      </w:r>
      <w:r>
        <w:rPr>
          <w:rFonts w:ascii="Palatino Linotype" w:hAnsi="Palatino Linotype" w:cs="Arial"/>
          <w:lang w:val="es-ES" w:eastAsia="es-MX"/>
        </w:rPr>
        <w:t xml:space="preserve">, </w:t>
      </w:r>
      <w:r>
        <w:rPr>
          <w:rFonts w:ascii="Palatino Linotype" w:hAnsi="Palatino Linotype" w:cs="Arial"/>
          <w:b/>
          <w:lang w:val="es-ES" w:eastAsia="es-MX"/>
        </w:rPr>
        <w:t>EL</w:t>
      </w:r>
      <w:r>
        <w:rPr>
          <w:rFonts w:ascii="Palatino Linotype" w:hAnsi="Palatino Linotype" w:cs="Arial"/>
          <w:lang w:val="es-ES" w:eastAsia="es-MX"/>
        </w:rPr>
        <w:t xml:space="preserve"> </w:t>
      </w:r>
      <w:r>
        <w:rPr>
          <w:rFonts w:ascii="Palatino Linotype" w:hAnsi="Palatino Linotype" w:cs="Arial"/>
          <w:b/>
          <w:lang w:val="es-ES" w:eastAsia="es-MX"/>
        </w:rPr>
        <w:t>SUJETO OBLIGADO</w:t>
      </w:r>
      <w:r>
        <w:rPr>
          <w:rFonts w:ascii="Palatino Linotype" w:hAnsi="Palatino Linotype" w:cs="Arial"/>
          <w:lang w:val="es-ES" w:eastAsia="es-MX"/>
        </w:rPr>
        <w:t xml:space="preserve"> manifestó en respuesta que no es competencia de dicha unidad administrativa generar, recopilar, procesar, archivar o conservar la información referente al organigrama, de conformidad con lo establecido en los artículos 12, párrafo segundo y 24, párrafo tercero de la Ley de Transparencia y Acceso a la Información Pública del Estado de México y Municipios, así como el apartado 217B32000 del Manual General de Organización del Instituto de Salud del Estado de México y 36 del Reglamento Interno del Instituto; asimismo, </w:t>
      </w:r>
      <w:r>
        <w:rPr>
          <w:rFonts w:ascii="Palatino Linotype" w:hAnsi="Palatino Linotype"/>
          <w:color w:val="000000"/>
          <w:lang w:val="es-ES"/>
        </w:rPr>
        <w:t xml:space="preserve">hizo entrega del oficio en el que la Directora de Administración señaló los nombres de dichos servidores públicos, con lo cual, se tienen por satisfechos los presentes numerales, tal y como se observa de la siguiente imagen: </w:t>
      </w:r>
    </w:p>
    <w:p w:rsidR="00604794" w:rsidRDefault="00AF5403">
      <w:pPr>
        <w:pStyle w:val="Prrafodelista"/>
        <w:widowControl w:val="0"/>
        <w:tabs>
          <w:tab w:val="left" w:pos="1701"/>
          <w:tab w:val="left" w:pos="1843"/>
        </w:tabs>
        <w:spacing w:beforeAutospacing="1" w:afterAutospacing="1" w:line="360" w:lineRule="auto"/>
        <w:ind w:left="0"/>
        <w:jc w:val="both"/>
        <w:rPr>
          <w:rFonts w:ascii="Palatino Linotype" w:hAnsi="Palatino Linotype" w:cs="Arial"/>
        </w:rPr>
      </w:pPr>
      <w:r>
        <w:rPr>
          <w:noProof/>
          <w:lang w:eastAsia="es-MX"/>
        </w:rPr>
        <w:lastRenderedPageBreak/>
        <w:drawing>
          <wp:inline distT="0" distB="0" distL="0" distR="0">
            <wp:extent cx="5791835" cy="1286510"/>
            <wp:effectExtent l="0" t="0" r="0" b="0"/>
            <wp:docPr id="1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4"/>
                    <pic:cNvPicPr>
                      <a:picLocks noChangeAspect="1" noChangeArrowheads="1"/>
                    </pic:cNvPicPr>
                  </pic:nvPicPr>
                  <pic:blipFill>
                    <a:blip r:embed="rId17"/>
                    <a:stretch>
                      <a:fillRect/>
                    </a:stretch>
                  </pic:blipFill>
                  <pic:spPr bwMode="auto">
                    <a:xfrm>
                      <a:off x="0" y="0"/>
                      <a:ext cx="5791835" cy="1286510"/>
                    </a:xfrm>
                    <a:prstGeom prst="rect">
                      <a:avLst/>
                    </a:prstGeom>
                  </pic:spPr>
                </pic:pic>
              </a:graphicData>
            </a:graphic>
          </wp:inline>
        </w:drawing>
      </w:r>
      <w:r>
        <w:rPr>
          <w:noProof/>
          <w:lang w:eastAsia="es-MX"/>
        </w:rPr>
        <mc:AlternateContent>
          <mc:Choice Requires="wps">
            <w:drawing>
              <wp:anchor distT="0" distB="0" distL="0" distR="0" simplePos="0" relativeHeight="99" behindDoc="0" locked="0" layoutInCell="1" allowOverlap="1" wp14:anchorId="2EA02D4E">
                <wp:simplePos x="0" y="0"/>
                <wp:positionH relativeFrom="column">
                  <wp:posOffset>271145</wp:posOffset>
                </wp:positionH>
                <wp:positionV relativeFrom="paragraph">
                  <wp:posOffset>180340</wp:posOffset>
                </wp:positionV>
                <wp:extent cx="4756785" cy="311785"/>
                <wp:effectExtent l="57150" t="19050" r="63500" b="69850"/>
                <wp:wrapNone/>
                <wp:docPr id="14" name="Rectángulo 26"/>
                <wp:cNvGraphicFramePr/>
                <a:graphic xmlns:a="http://schemas.openxmlformats.org/drawingml/2006/main">
                  <a:graphicData uri="http://schemas.microsoft.com/office/word/2010/wordprocessingShape">
                    <wps:wsp>
                      <wps:cNvSpPr/>
                      <wps:spPr>
                        <a:xfrm>
                          <a:off x="0" y="0"/>
                          <a:ext cx="4756320" cy="311040"/>
                        </a:xfrm>
                        <a:prstGeom prst="rect">
                          <a:avLst/>
                        </a:prstGeom>
                        <a:noFill/>
                        <a:ln w="19080">
                          <a:solidFill>
                            <a:srgbClr val="FF0000"/>
                          </a:solidFill>
                          <a:round/>
                        </a:ln>
                        <a:effectLst>
                          <a:outerShdw blurRad="40000" dist="23040" dir="5400000" rotWithShape="0">
                            <a:srgbClr val="000000">
                              <a:alpha val="35000"/>
                            </a:srgbClr>
                          </a:outerShdw>
                        </a:effectLst>
                      </wps:spPr>
                      <wps:style>
                        <a:lnRef idx="1">
                          <a:schemeClr val="accent1"/>
                        </a:lnRef>
                        <a:fillRef idx="3">
                          <a:schemeClr val="accent1"/>
                        </a:fillRef>
                        <a:effectRef idx="2">
                          <a:schemeClr val="accent1"/>
                        </a:effectRef>
                        <a:fontRef idx="minor"/>
                      </wps:style>
                      <wps:bodyPr/>
                    </wps:wsp>
                  </a:graphicData>
                </a:graphic>
              </wp:anchor>
            </w:drawing>
          </mc:Choice>
          <mc:Fallback>
            <w:pict>
              <v:rect id="shape_0" ID="Rectángulo 26" stroked="t" style="position:absolute;margin-left:21.35pt;margin-top:14.2pt;width:374.45pt;height:24.45pt" wp14:anchorId="2EA02D4E">
                <w10:wrap type="none"/>
                <v:fill o:detectmouseclick="t" on="false"/>
                <v:stroke color="red" weight="19080" joinstyle="round" endcap="flat"/>
                <v:shadow on="t" obscured="f" color="black"/>
              </v:rect>
            </w:pict>
          </mc:Fallback>
        </mc:AlternateContent>
      </w:r>
    </w:p>
    <w:p w:rsidR="00604794" w:rsidRDefault="00AF5403">
      <w:pPr>
        <w:tabs>
          <w:tab w:val="left" w:pos="2066"/>
        </w:tabs>
        <w:spacing w:line="360" w:lineRule="auto"/>
        <w:jc w:val="both"/>
        <w:rPr>
          <w:rFonts w:ascii="Palatino Linotype" w:hAnsi="Palatino Linotype" w:cs="Arial"/>
          <w:lang w:val="es-ES"/>
        </w:rPr>
      </w:pPr>
      <w:r>
        <w:rPr>
          <w:rFonts w:ascii="Palatino Linotype" w:hAnsi="Palatino Linotype" w:cs="Arial"/>
          <w:lang w:val="es-ES"/>
        </w:rPr>
        <w:t xml:space="preserve">Por otra parte, esta Ponencia Resolutora advierte que el </w:t>
      </w:r>
      <w:r>
        <w:rPr>
          <w:rFonts w:ascii="Palatino Linotype" w:hAnsi="Palatino Linotype" w:cs="Arial"/>
          <w:lang w:val="es-ES" w:eastAsia="es-MX"/>
        </w:rPr>
        <w:t xml:space="preserve">Manual General de Organización del Instituto de Salud del Estado de México, establece su estructura orgánica en la fracción V y el Organigrama de Instituto en la fracción VI; tal y como se advierte a continuación: </w:t>
      </w:r>
    </w:p>
    <w:p w:rsidR="00604794" w:rsidRDefault="00AF5403">
      <w:pPr>
        <w:pStyle w:val="Prrafodelista"/>
        <w:widowControl w:val="0"/>
        <w:tabs>
          <w:tab w:val="left" w:pos="1701"/>
          <w:tab w:val="left" w:pos="1843"/>
        </w:tabs>
        <w:spacing w:beforeAutospacing="1" w:afterAutospacing="1" w:line="360" w:lineRule="auto"/>
        <w:ind w:left="0"/>
        <w:jc w:val="both"/>
        <w:rPr>
          <w:rFonts w:ascii="Palatino Linotype" w:hAnsi="Palatino Linotype" w:cs="Arial"/>
        </w:rPr>
      </w:pPr>
      <w:r>
        <w:rPr>
          <w:noProof/>
          <w:lang w:eastAsia="es-MX"/>
        </w:rPr>
        <w:drawing>
          <wp:inline distT="0" distB="0" distL="0" distR="0">
            <wp:extent cx="5788660" cy="3140710"/>
            <wp:effectExtent l="0" t="0" r="0" b="0"/>
            <wp:docPr id="16"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20"/>
                    <pic:cNvPicPr>
                      <a:picLocks noChangeAspect="1" noChangeArrowheads="1"/>
                    </pic:cNvPicPr>
                  </pic:nvPicPr>
                  <pic:blipFill>
                    <a:blip r:embed="rId18"/>
                    <a:stretch>
                      <a:fillRect/>
                    </a:stretch>
                  </pic:blipFill>
                  <pic:spPr bwMode="auto">
                    <a:xfrm>
                      <a:off x="0" y="0"/>
                      <a:ext cx="5788660" cy="3140710"/>
                    </a:xfrm>
                    <a:prstGeom prst="rect">
                      <a:avLst/>
                    </a:prstGeom>
                  </pic:spPr>
                </pic:pic>
              </a:graphicData>
            </a:graphic>
          </wp:inline>
        </w:drawing>
      </w:r>
    </w:p>
    <w:p w:rsidR="00604794" w:rsidRDefault="00387379">
      <w:pPr>
        <w:pStyle w:val="Prrafodelista"/>
        <w:widowControl w:val="0"/>
        <w:tabs>
          <w:tab w:val="left" w:pos="1701"/>
          <w:tab w:val="left" w:pos="1843"/>
        </w:tabs>
        <w:spacing w:beforeAutospacing="1" w:afterAutospacing="1" w:line="360" w:lineRule="auto"/>
        <w:ind w:left="0"/>
        <w:jc w:val="both"/>
        <w:rPr>
          <w:rFonts w:ascii="Palatino Linotype" w:hAnsi="Palatino Linotype" w:cs="Arial"/>
        </w:rPr>
      </w:pPr>
      <w:r>
        <w:rPr>
          <w:noProof/>
          <w:lang w:eastAsia="es-MX"/>
        </w:rPr>
        <w:lastRenderedPageBreak/>
        <mc:AlternateContent>
          <mc:Choice Requires="wps">
            <w:drawing>
              <wp:anchor distT="0" distB="0" distL="114300" distR="114300" simplePos="0" relativeHeight="251659264" behindDoc="0" locked="0" layoutInCell="1" allowOverlap="1">
                <wp:simplePos x="0" y="0"/>
                <wp:positionH relativeFrom="column">
                  <wp:posOffset>72390</wp:posOffset>
                </wp:positionH>
                <wp:positionV relativeFrom="paragraph">
                  <wp:posOffset>3804285</wp:posOffset>
                </wp:positionV>
                <wp:extent cx="5829300" cy="3533140"/>
                <wp:effectExtent l="38100" t="19050" r="76200" b="86360"/>
                <wp:wrapNone/>
                <wp:docPr id="41" name="Conector recto 41"/>
                <wp:cNvGraphicFramePr/>
                <a:graphic xmlns:a="http://schemas.openxmlformats.org/drawingml/2006/main">
                  <a:graphicData uri="http://schemas.microsoft.com/office/word/2010/wordprocessingShape">
                    <wps:wsp>
                      <wps:cNvCnPr/>
                      <wps:spPr>
                        <a:xfrm>
                          <a:off x="0" y="0"/>
                          <a:ext cx="5829300" cy="353314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343282F5" id="Conector recto 4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5.7pt,299.55pt" to="464.7pt,57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" strokecolor="#4f81bd [3204]" strokeweight="2pt">
                <v:shadow on="t" color="black" opacity="24903f" origin=",.5" offset="0,.55556mm"/>
              </v:line>
            </w:pict>
          </mc:Fallback>
        </mc:AlternateContent>
      </w:r>
      <w:r w:rsidR="00AF5403">
        <w:rPr>
          <w:noProof/>
          <w:lang w:eastAsia="es-MX"/>
        </w:rPr>
        <w:drawing>
          <wp:inline distT="0" distB="0" distL="0" distR="0">
            <wp:extent cx="5787390" cy="3801110"/>
            <wp:effectExtent l="0" t="0" r="0" b="0"/>
            <wp:docPr id="17"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21"/>
                    <pic:cNvPicPr>
                      <a:picLocks noChangeAspect="1" noChangeArrowheads="1"/>
                    </pic:cNvPicPr>
                  </pic:nvPicPr>
                  <pic:blipFill>
                    <a:blip r:embed="rId19"/>
                    <a:stretch>
                      <a:fillRect/>
                    </a:stretch>
                  </pic:blipFill>
                  <pic:spPr bwMode="auto">
                    <a:xfrm>
                      <a:off x="0" y="0"/>
                      <a:ext cx="5787390" cy="3801110"/>
                    </a:xfrm>
                    <a:prstGeom prst="rect">
                      <a:avLst/>
                    </a:prstGeom>
                  </pic:spPr>
                </pic:pic>
              </a:graphicData>
            </a:graphic>
          </wp:inline>
        </w:drawing>
      </w:r>
    </w:p>
    <w:p w:rsidR="00604794" w:rsidRDefault="00AF5403">
      <w:pPr>
        <w:pStyle w:val="Prrafodelista"/>
        <w:widowControl w:val="0"/>
        <w:tabs>
          <w:tab w:val="left" w:pos="1701"/>
          <w:tab w:val="left" w:pos="1843"/>
        </w:tabs>
        <w:spacing w:beforeAutospacing="1" w:afterAutospacing="1" w:line="360" w:lineRule="auto"/>
        <w:ind w:left="0"/>
        <w:jc w:val="both"/>
        <w:rPr>
          <w:rFonts w:ascii="Palatino Linotype" w:hAnsi="Palatino Linotype" w:cs="Arial"/>
        </w:rPr>
      </w:pPr>
      <w:r>
        <w:rPr>
          <w:noProof/>
          <w:lang w:eastAsia="es-MX"/>
        </w:rPr>
        <w:lastRenderedPageBreak/>
        <w:drawing>
          <wp:inline distT="0" distB="0" distL="0" distR="0">
            <wp:extent cx="5791835" cy="3336925"/>
            <wp:effectExtent l="0" t="0" r="0" b="0"/>
            <wp:docPr id="18"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22"/>
                    <pic:cNvPicPr>
                      <a:picLocks noChangeAspect="1" noChangeArrowheads="1"/>
                    </pic:cNvPicPr>
                  </pic:nvPicPr>
                  <pic:blipFill>
                    <a:blip r:embed="rId20"/>
                    <a:stretch>
                      <a:fillRect/>
                    </a:stretch>
                  </pic:blipFill>
                  <pic:spPr bwMode="auto">
                    <a:xfrm>
                      <a:off x="0" y="0"/>
                      <a:ext cx="5791835" cy="3336925"/>
                    </a:xfrm>
                    <a:prstGeom prst="rect">
                      <a:avLst/>
                    </a:prstGeom>
                  </pic:spPr>
                </pic:pic>
              </a:graphicData>
            </a:graphic>
          </wp:inline>
        </w:drawing>
      </w:r>
    </w:p>
    <w:p w:rsidR="00604794" w:rsidRDefault="00AF5403">
      <w:pPr>
        <w:pStyle w:val="Prrafodelista"/>
        <w:widowControl w:val="0"/>
        <w:tabs>
          <w:tab w:val="left" w:pos="1701"/>
          <w:tab w:val="left" w:pos="1843"/>
        </w:tabs>
        <w:spacing w:beforeAutospacing="1" w:afterAutospacing="1" w:line="360" w:lineRule="auto"/>
        <w:ind w:left="0"/>
        <w:jc w:val="both"/>
        <w:rPr>
          <w:rFonts w:ascii="Palatino Linotype" w:hAnsi="Palatino Linotype" w:cs="Arial"/>
        </w:rPr>
      </w:pPr>
      <w:r>
        <w:rPr>
          <w:noProof/>
          <w:lang w:eastAsia="es-MX"/>
        </w:rPr>
        <w:drawing>
          <wp:inline distT="0" distB="0" distL="0" distR="0">
            <wp:extent cx="5789930" cy="3493770"/>
            <wp:effectExtent l="0" t="0" r="0" b="0"/>
            <wp:docPr id="19"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23"/>
                    <pic:cNvPicPr>
                      <a:picLocks noChangeAspect="1" noChangeArrowheads="1"/>
                    </pic:cNvPicPr>
                  </pic:nvPicPr>
                  <pic:blipFill>
                    <a:blip r:embed="rId21"/>
                    <a:stretch>
                      <a:fillRect/>
                    </a:stretch>
                  </pic:blipFill>
                  <pic:spPr bwMode="auto">
                    <a:xfrm>
                      <a:off x="0" y="0"/>
                      <a:ext cx="5789930" cy="3493770"/>
                    </a:xfrm>
                    <a:prstGeom prst="rect">
                      <a:avLst/>
                    </a:prstGeom>
                  </pic:spPr>
                </pic:pic>
              </a:graphicData>
            </a:graphic>
          </wp:inline>
        </w:drawing>
      </w:r>
    </w:p>
    <w:p w:rsidR="00604794" w:rsidRDefault="00AF5403">
      <w:pPr>
        <w:shd w:val="clear" w:color="auto" w:fill="FFFFFF"/>
        <w:spacing w:before="120" w:line="360" w:lineRule="auto"/>
        <w:jc w:val="both"/>
        <w:rPr>
          <w:rFonts w:ascii="Palatino Linotype" w:hAnsi="Palatino Linotype" w:cs="Arial"/>
        </w:rPr>
      </w:pPr>
      <w:r>
        <w:rPr>
          <w:rFonts w:ascii="Palatino Linotype" w:hAnsi="Palatino Linotype" w:cs="Arial"/>
        </w:rPr>
        <w:lastRenderedPageBreak/>
        <w:t xml:space="preserve">De las imágenes insertas con anterioridad, se puede advertir que en el organigrama del desdoblamiento de áreas staff y unidades médicas contempladas en el Manual General de Organización del Instituto de Salud del Estado de México remitido en respuesta, específicamente con el desdoblamiento de las unidades médicas y vinculado a su vez con los nombres y cargos proporcionados por </w:t>
      </w:r>
      <w:r>
        <w:rPr>
          <w:rFonts w:ascii="Palatino Linotype" w:hAnsi="Palatino Linotype" w:cs="Arial"/>
          <w:b/>
        </w:rPr>
        <w:t>EL SUJETO OBLIGADO</w:t>
      </w:r>
      <w:r>
        <w:rPr>
          <w:rFonts w:ascii="Palatino Linotype" w:hAnsi="Palatino Linotype" w:cs="Arial"/>
        </w:rPr>
        <w:t xml:space="preserve"> se puede advertir la información requerida por el particular, razón por la que se tienen por satisfechos dichos numerales. </w:t>
      </w:r>
    </w:p>
    <w:p w:rsidR="00604794" w:rsidRDefault="00AF5403">
      <w:pPr>
        <w:shd w:val="clear" w:color="auto" w:fill="FFFFFF"/>
        <w:spacing w:before="120" w:line="360" w:lineRule="auto"/>
        <w:jc w:val="both"/>
        <w:rPr>
          <w:rFonts w:ascii="Palatino Linotype" w:hAnsi="Palatino Linotype" w:cs="Arial"/>
          <w:color w:val="222222"/>
        </w:rPr>
      </w:pPr>
      <w:r>
        <w:rPr>
          <w:rFonts w:ascii="Palatino Linotype" w:hAnsi="Palatino Linotype" w:cs="Arial"/>
        </w:rPr>
        <w:t>Así, y de conformidad con lo establecido en el artículo 12 de la Ley de Transparencia y Acceso a la Información Pública del Estado de México y Municipios el Sujeto Obligado sólo proporcionará la información que se les requiera y que obre en sus archivos, lo que a contrario sensu significa que no se está obligado a proporcionar lo que no obre en los mismos; destacando entonces que el Pleno de este Organismo Garante, ha sostenido que  ante la presencia de un hecho negativo, resultaría innecesaria una declaratoria de inexistencia en términos de los artículos 19, 169 y 170 de la Ley de Transparencia y Acceso a la Información Pública del Estado de México y Municipios, y ante un hecho negativo resultan aplicables la siguiente tesis</w:t>
      </w:r>
      <w:r>
        <w:rPr>
          <w:rFonts w:ascii="Palatino Linotype" w:hAnsi="Palatino Linotype" w:cs="Arial"/>
          <w:color w:val="222222"/>
        </w:rPr>
        <w:t>:</w:t>
      </w:r>
    </w:p>
    <w:p w:rsidR="00604794" w:rsidRDefault="00604794">
      <w:pPr>
        <w:shd w:val="clear" w:color="auto" w:fill="FFFFFF"/>
        <w:spacing w:before="120" w:line="360" w:lineRule="auto"/>
        <w:jc w:val="both"/>
        <w:rPr>
          <w:rFonts w:ascii="Palatino Linotype" w:hAnsi="Palatino Linotype" w:cs="Arial"/>
          <w:color w:val="222222"/>
        </w:rPr>
      </w:pPr>
    </w:p>
    <w:p w:rsidR="00604794" w:rsidRDefault="00AF5403">
      <w:pPr>
        <w:shd w:val="clear" w:color="auto" w:fill="FFFFFF"/>
        <w:spacing w:line="276" w:lineRule="auto"/>
        <w:ind w:left="851"/>
        <w:jc w:val="both"/>
        <w:rPr>
          <w:rFonts w:ascii="Arial" w:hAnsi="Arial" w:cs="Arial"/>
          <w:color w:val="222222"/>
          <w:sz w:val="19"/>
          <w:szCs w:val="19"/>
        </w:rPr>
      </w:pPr>
      <w:r>
        <w:rPr>
          <w:rFonts w:ascii="Palatino Linotype" w:hAnsi="Palatino Linotype" w:cs="Arial"/>
          <w:color w:val="222222"/>
          <w:sz w:val="19"/>
          <w:szCs w:val="19"/>
        </w:rPr>
        <w:t> </w:t>
      </w:r>
      <w:r>
        <w:rPr>
          <w:rFonts w:ascii="Palatino Linotype" w:hAnsi="Palatino Linotype" w:cs="Arial"/>
          <w:b/>
          <w:bCs/>
          <w:i/>
          <w:iCs/>
          <w:color w:val="222222"/>
        </w:rPr>
        <w:t>“HECHOS NEGATIVOS, NO SON SUSCEPTIBLES DE DEMOSTRACIÓN.</w:t>
      </w:r>
    </w:p>
    <w:p w:rsidR="00604794" w:rsidRDefault="00AF5403">
      <w:pPr>
        <w:shd w:val="clear" w:color="auto" w:fill="FFFFFF"/>
        <w:spacing w:line="276" w:lineRule="auto"/>
        <w:ind w:left="851" w:right="899"/>
        <w:jc w:val="both"/>
        <w:rPr>
          <w:rFonts w:ascii="Arial" w:hAnsi="Arial" w:cs="Arial"/>
          <w:color w:val="222222"/>
          <w:sz w:val="19"/>
          <w:szCs w:val="19"/>
        </w:rPr>
      </w:pPr>
      <w:r>
        <w:rPr>
          <w:rFonts w:ascii="Palatino Linotype" w:hAnsi="Palatino Linotype" w:cs="Arial"/>
          <w:i/>
          <w:iCs/>
          <w:color w:val="222222"/>
        </w:rPr>
        <w:t>Tratándose de un hecho negativo, el Juez no tiene por qué invocar prueba alguna de la que se desprenda, ya que es bien sabido que esta clase de hechos no son susceptibles de demostración.</w:t>
      </w:r>
    </w:p>
    <w:p w:rsidR="00604794" w:rsidRDefault="00AF5403">
      <w:pPr>
        <w:shd w:val="clear" w:color="auto" w:fill="FFFFFF"/>
        <w:spacing w:line="276" w:lineRule="auto"/>
        <w:ind w:left="851" w:right="899"/>
        <w:jc w:val="both"/>
        <w:rPr>
          <w:rFonts w:ascii="Palatino Linotype" w:hAnsi="Palatino Linotype" w:cs="Arial"/>
          <w:i/>
          <w:iCs/>
          <w:color w:val="222222"/>
        </w:rPr>
      </w:pPr>
      <w:r>
        <w:rPr>
          <w:rFonts w:ascii="Palatino Linotype" w:hAnsi="Palatino Linotype" w:cs="Arial"/>
          <w:i/>
          <w:iCs/>
          <w:color w:val="222222"/>
        </w:rPr>
        <w:t>Amparo en revisión 2022/61. José García Florín (Menor). 9 de octubre de 1961. Cinco votos. Ponente: José Rivera Pérez Campos.”</w:t>
      </w:r>
    </w:p>
    <w:p w:rsidR="00604794" w:rsidRDefault="00604794">
      <w:pPr>
        <w:shd w:val="clear" w:color="auto" w:fill="FFFFFF"/>
        <w:spacing w:line="360" w:lineRule="auto"/>
        <w:ind w:right="49"/>
        <w:jc w:val="both"/>
        <w:rPr>
          <w:rFonts w:ascii="Palatino Linotype" w:hAnsi="Palatino Linotype" w:cs="Arial"/>
          <w:iCs/>
          <w:color w:val="222222"/>
          <w:sz w:val="12"/>
        </w:rPr>
      </w:pPr>
    </w:p>
    <w:p w:rsidR="00604794" w:rsidRDefault="00AF5403">
      <w:pPr>
        <w:shd w:val="clear" w:color="auto" w:fill="FFFFFF"/>
        <w:spacing w:line="360" w:lineRule="auto"/>
        <w:ind w:right="49"/>
        <w:jc w:val="both"/>
        <w:rPr>
          <w:rFonts w:ascii="Palatino Linotype" w:hAnsi="Palatino Linotype" w:cs="Arial"/>
          <w:iCs/>
          <w:color w:val="222222"/>
        </w:rPr>
      </w:pPr>
      <w:r>
        <w:rPr>
          <w:rFonts w:ascii="Palatino Linotype" w:hAnsi="Palatino Linotype" w:cs="Arial"/>
          <w:iCs/>
          <w:color w:val="222222"/>
        </w:rPr>
        <w:lastRenderedPageBreak/>
        <w:t>De igual forma, es aplicable el criterio 7/2017, emitido en la Segunda Época por el Instituto Nacional de Transparencia, Acceso a la Información y Protección de Datos Personales, el cual señala lo siguiente:</w:t>
      </w:r>
    </w:p>
    <w:p w:rsidR="00604794" w:rsidRDefault="00AF5403">
      <w:pPr>
        <w:shd w:val="clear" w:color="auto" w:fill="FFFFFF"/>
        <w:spacing w:line="276" w:lineRule="auto"/>
        <w:ind w:left="851" w:right="902"/>
        <w:jc w:val="both"/>
        <w:rPr>
          <w:rFonts w:ascii="Palatino Linotype" w:hAnsi="Palatino Linotype" w:cs="Arial"/>
          <w:i/>
          <w:color w:val="222222"/>
        </w:rPr>
      </w:pPr>
      <w:r>
        <w:rPr>
          <w:rFonts w:ascii="Palatino Linotype" w:hAnsi="Palatino Linotype" w:cs="Arial"/>
          <w:i/>
          <w:color w:val="222222"/>
        </w:rPr>
        <w:t xml:space="preserve">“Casos en los que no es necesario que el Comité de Transparencia confirme formalmente la inexistencia de la información. La Ley General de Transparencia y Acceso a la Información Pública y la Ley Federal de Transparencia y Acceso a la Información Pública establecen el procedimiento que deben seguir los sujetos obligados cuando la información solicitada no se encuentre en sus archivos; el cual implica, entre otras cosas, que el Comité de Transparencia confirme la inexistencia manifestada por las áreas competentes que hubiesen realizado la búsqueda de la información. No obstante lo anterior, en aquellos casos en que no se advierta obligación alguna de los sujetos obligados para contar con la información, derivado del análisis a la normativa aplicable a la materia de la solicitud; y además no se tengan elementos de convicción que permitan suponer que ésta debe obrar en sus archivos, no será necesario que el Comité de Transparencia emita una resolución que confirme la inexistencia de la información. </w:t>
      </w:r>
    </w:p>
    <w:p w:rsidR="00604794" w:rsidRDefault="00AF5403">
      <w:pPr>
        <w:shd w:val="clear" w:color="auto" w:fill="FFFFFF"/>
        <w:spacing w:line="276" w:lineRule="auto"/>
        <w:ind w:left="851" w:right="902"/>
        <w:jc w:val="both"/>
        <w:rPr>
          <w:rFonts w:ascii="Palatino Linotype" w:hAnsi="Palatino Linotype" w:cs="Arial"/>
          <w:i/>
          <w:color w:val="222222"/>
        </w:rPr>
      </w:pPr>
      <w:r>
        <w:rPr>
          <w:rFonts w:ascii="Palatino Linotype" w:hAnsi="Palatino Linotype" w:cs="Arial"/>
          <w:i/>
          <w:color w:val="222222"/>
        </w:rPr>
        <w:t>Resoluciones:</w:t>
      </w:r>
    </w:p>
    <w:p w:rsidR="00604794" w:rsidRDefault="00AF5403">
      <w:pPr>
        <w:shd w:val="clear" w:color="auto" w:fill="FFFFFF"/>
        <w:spacing w:line="276" w:lineRule="auto"/>
        <w:ind w:left="851" w:right="902"/>
        <w:jc w:val="both"/>
        <w:rPr>
          <w:rFonts w:ascii="Palatino Linotype" w:hAnsi="Palatino Linotype" w:cs="Arial"/>
          <w:i/>
          <w:color w:val="222222"/>
        </w:rPr>
      </w:pPr>
      <w:r>
        <w:rPr>
          <w:rFonts w:ascii="Palatino Linotype" w:hAnsi="Palatino Linotype" w:cs="Arial"/>
          <w:i/>
          <w:color w:val="222222"/>
        </w:rPr>
        <w:t>•</w:t>
      </w:r>
      <w:r>
        <w:rPr>
          <w:rFonts w:ascii="Palatino Linotype" w:hAnsi="Palatino Linotype" w:cs="Arial"/>
          <w:i/>
          <w:color w:val="222222"/>
        </w:rPr>
        <w:tab/>
        <w:t xml:space="preserve">RRA 2959/16. Secretaría de Gobernación. 23 de noviembre de 2016. Por unanimidad. Comisionado Ponente </w:t>
      </w:r>
      <w:proofErr w:type="spellStart"/>
      <w:r>
        <w:rPr>
          <w:rFonts w:ascii="Palatino Linotype" w:hAnsi="Palatino Linotype" w:cs="Arial"/>
          <w:i/>
          <w:color w:val="222222"/>
        </w:rPr>
        <w:t>Rosendoevgueni</w:t>
      </w:r>
      <w:proofErr w:type="spellEnd"/>
      <w:r>
        <w:rPr>
          <w:rFonts w:ascii="Palatino Linotype" w:hAnsi="Palatino Linotype" w:cs="Arial"/>
          <w:i/>
          <w:color w:val="222222"/>
        </w:rPr>
        <w:t xml:space="preserve"> Monterrey </w:t>
      </w:r>
      <w:proofErr w:type="spellStart"/>
      <w:r>
        <w:rPr>
          <w:rFonts w:ascii="Palatino Linotype" w:hAnsi="Palatino Linotype" w:cs="Arial"/>
          <w:i/>
          <w:color w:val="222222"/>
        </w:rPr>
        <w:t>Chepov</w:t>
      </w:r>
      <w:proofErr w:type="spellEnd"/>
      <w:r>
        <w:rPr>
          <w:rFonts w:ascii="Palatino Linotype" w:hAnsi="Palatino Linotype" w:cs="Arial"/>
          <w:i/>
          <w:color w:val="222222"/>
        </w:rPr>
        <w:t>.</w:t>
      </w:r>
    </w:p>
    <w:p w:rsidR="00604794" w:rsidRDefault="00AF5403">
      <w:pPr>
        <w:shd w:val="clear" w:color="auto" w:fill="FFFFFF"/>
        <w:spacing w:line="276" w:lineRule="auto"/>
        <w:ind w:left="851" w:right="902"/>
        <w:jc w:val="both"/>
        <w:rPr>
          <w:rFonts w:ascii="Palatino Linotype" w:hAnsi="Palatino Linotype" w:cs="Arial"/>
          <w:i/>
          <w:color w:val="222222"/>
        </w:rPr>
      </w:pPr>
      <w:r>
        <w:rPr>
          <w:rFonts w:ascii="Palatino Linotype" w:hAnsi="Palatino Linotype" w:cs="Arial"/>
          <w:i/>
          <w:color w:val="222222"/>
        </w:rPr>
        <w:t>•</w:t>
      </w:r>
      <w:r>
        <w:rPr>
          <w:rFonts w:ascii="Palatino Linotype" w:hAnsi="Palatino Linotype" w:cs="Arial"/>
          <w:i/>
          <w:color w:val="222222"/>
        </w:rPr>
        <w:tab/>
        <w:t>RRA 3186/16. Petróleos Mexicanos. 13 de diciembre de 2016. Por unanimidad. Comisionado Ponente Francisco Javier Acuña Llamas.</w:t>
      </w:r>
    </w:p>
    <w:p w:rsidR="00604794" w:rsidRDefault="00AF5403">
      <w:pPr>
        <w:shd w:val="clear" w:color="auto" w:fill="FFFFFF"/>
        <w:spacing w:line="276" w:lineRule="auto"/>
        <w:ind w:left="851" w:right="902"/>
        <w:jc w:val="both"/>
        <w:rPr>
          <w:rFonts w:ascii="Palatino Linotype" w:hAnsi="Palatino Linotype" w:cs="Arial"/>
          <w:i/>
          <w:color w:val="222222"/>
        </w:rPr>
      </w:pPr>
      <w:r>
        <w:rPr>
          <w:rFonts w:ascii="Palatino Linotype" w:hAnsi="Palatino Linotype" w:cs="Arial"/>
          <w:i/>
          <w:color w:val="222222"/>
        </w:rPr>
        <w:t>•</w:t>
      </w:r>
      <w:r>
        <w:rPr>
          <w:rFonts w:ascii="Palatino Linotype" w:hAnsi="Palatino Linotype" w:cs="Arial"/>
          <w:i/>
          <w:color w:val="222222"/>
        </w:rPr>
        <w:tab/>
        <w:t>RRA 4216/16. Cámara de Diputados. 05 de enero de 2017. Por unanimidad. Comisionada Ponente Areli Cano Guadiana.”</w:t>
      </w:r>
    </w:p>
    <w:p w:rsidR="00604794" w:rsidRDefault="00604794">
      <w:pPr>
        <w:spacing w:line="276" w:lineRule="auto"/>
        <w:jc w:val="both"/>
        <w:rPr>
          <w:rFonts w:ascii="Palatino Linotype" w:hAnsi="Palatino Linotype" w:cs="Arial"/>
          <w:sz w:val="14"/>
        </w:rPr>
      </w:pPr>
    </w:p>
    <w:p w:rsidR="00604794" w:rsidRDefault="00AF5403">
      <w:pPr>
        <w:spacing w:line="360" w:lineRule="auto"/>
        <w:ind w:left="29"/>
        <w:jc w:val="both"/>
        <w:rPr>
          <w:rFonts w:ascii="Palatino Linotype" w:hAnsi="Palatino Linotype" w:cs="Arial"/>
          <w:bCs/>
        </w:rPr>
      </w:pPr>
      <w:r>
        <w:rPr>
          <w:rFonts w:ascii="Palatino Linotype" w:hAnsi="Palatino Linotype" w:cs="Arial"/>
          <w:bCs/>
        </w:rPr>
        <w:t>De esta forma, se privilegia el principio de simplicidad y rapidez que rigen las actuaciones de la Autoridades en materia de acceso a la información pública, consagradas en la Ley de Transparencia y Acceso a la Información Pública del Estado de México y Municipios, en sus artículos 2, 150 y 173, que señalan:</w:t>
      </w:r>
    </w:p>
    <w:p w:rsidR="00604794" w:rsidRDefault="00AF5403">
      <w:pPr>
        <w:spacing w:line="276" w:lineRule="auto"/>
        <w:ind w:left="851" w:right="902"/>
        <w:jc w:val="both"/>
        <w:rPr>
          <w:rFonts w:ascii="Palatino Linotype" w:hAnsi="Palatino Linotype" w:cs="Arial"/>
          <w:i/>
        </w:rPr>
      </w:pPr>
      <w:r>
        <w:rPr>
          <w:rFonts w:ascii="Palatino Linotype" w:hAnsi="Palatino Linotype" w:cs="Arial"/>
          <w:b/>
          <w:bCs/>
          <w:i/>
        </w:rPr>
        <w:lastRenderedPageBreak/>
        <w:t xml:space="preserve">“Artículo 2. </w:t>
      </w:r>
      <w:r>
        <w:rPr>
          <w:rFonts w:ascii="Palatino Linotype" w:hAnsi="Palatino Linotype" w:cs="Arial"/>
          <w:i/>
        </w:rPr>
        <w:t>Son objetivos de esta Ley:</w:t>
      </w:r>
    </w:p>
    <w:p w:rsidR="00604794" w:rsidRDefault="00AF5403">
      <w:pPr>
        <w:spacing w:line="276" w:lineRule="auto"/>
        <w:ind w:left="851" w:right="902"/>
        <w:jc w:val="both"/>
        <w:rPr>
          <w:rFonts w:ascii="Palatino Linotype" w:hAnsi="Palatino Linotype" w:cs="Arial"/>
          <w:i/>
        </w:rPr>
      </w:pPr>
      <w:r>
        <w:rPr>
          <w:rFonts w:ascii="Palatino Linotype" w:hAnsi="Palatino Linotype" w:cs="Arial"/>
          <w:b/>
          <w:bCs/>
          <w:i/>
        </w:rPr>
        <w:t xml:space="preserve">I. </w:t>
      </w:r>
      <w:r>
        <w:rPr>
          <w:rFonts w:ascii="Palatino Linotype" w:hAnsi="Palatino Linotype" w:cs="Arial"/>
          <w:i/>
        </w:rPr>
        <w:t>Establecer la competencia, operación y funcionamiento del Instituto, en materia de transparencia y acceso a la información;</w:t>
      </w:r>
    </w:p>
    <w:p w:rsidR="00604794" w:rsidRDefault="00AF5403">
      <w:pPr>
        <w:spacing w:line="276" w:lineRule="auto"/>
        <w:ind w:left="851" w:right="902"/>
        <w:jc w:val="both"/>
        <w:rPr>
          <w:rFonts w:ascii="Palatino Linotype" w:hAnsi="Palatino Linotype" w:cs="Arial"/>
          <w:i/>
        </w:rPr>
      </w:pPr>
      <w:r>
        <w:rPr>
          <w:rFonts w:ascii="Palatino Linotype" w:hAnsi="Palatino Linotype" w:cs="Arial"/>
          <w:b/>
          <w:bCs/>
          <w:i/>
        </w:rPr>
        <w:t xml:space="preserve">II. </w:t>
      </w:r>
      <w:r>
        <w:rPr>
          <w:rFonts w:ascii="Palatino Linotype" w:hAnsi="Palatino Linotype" w:cs="Arial"/>
          <w:i/>
        </w:rPr>
        <w:t>Proveer lo necesario para garantizar a toda persona el derecho de acceso a la información pública, a través de procedimientos sencillos, expeditos, oportunos y gratuitos, determinando las bases mínimas sobre las cuales se regirán los mismos;</w:t>
      </w:r>
    </w:p>
    <w:p w:rsidR="00604794" w:rsidRDefault="00604794">
      <w:pPr>
        <w:spacing w:line="276" w:lineRule="auto"/>
        <w:ind w:left="851" w:right="902"/>
        <w:jc w:val="both"/>
        <w:rPr>
          <w:rFonts w:ascii="Palatino Linotype" w:hAnsi="Palatino Linotype" w:cs="Arial"/>
          <w:b/>
          <w:bCs/>
          <w:i/>
        </w:rPr>
      </w:pPr>
    </w:p>
    <w:p w:rsidR="00604794" w:rsidRDefault="00AF5403">
      <w:pPr>
        <w:spacing w:line="276" w:lineRule="auto"/>
        <w:ind w:left="851" w:right="902"/>
        <w:jc w:val="both"/>
        <w:rPr>
          <w:rFonts w:ascii="Palatino Linotype" w:hAnsi="Palatino Linotype" w:cs="Arial"/>
          <w:i/>
        </w:rPr>
      </w:pPr>
      <w:r>
        <w:rPr>
          <w:rFonts w:ascii="Palatino Linotype" w:hAnsi="Palatino Linotype" w:cs="Arial"/>
          <w:b/>
          <w:bCs/>
          <w:i/>
        </w:rPr>
        <w:t xml:space="preserve">Artículo 150. </w:t>
      </w:r>
      <w:r>
        <w:rPr>
          <w:rFonts w:ascii="Palatino Linotype" w:hAnsi="Palatino Linotype" w:cs="Arial"/>
          <w:i/>
        </w:rPr>
        <w:t>El procedimiento de acceso a la información es la garantía primaria del derecho en cuestión y se rige por los principios de simplicidad, rapidez gratuidad del procedimiento, auxilio y orientación a los particulares, así como atención adecuada a las personas con discapacidad y a los hablantes de lengua indígena con el objeto de otorgar la protección más amplia del derecho de las personas.</w:t>
      </w:r>
    </w:p>
    <w:p w:rsidR="00604794" w:rsidRDefault="00604794">
      <w:pPr>
        <w:spacing w:line="276" w:lineRule="auto"/>
        <w:ind w:left="851" w:right="902"/>
        <w:jc w:val="both"/>
        <w:rPr>
          <w:rFonts w:ascii="Palatino Linotype" w:hAnsi="Palatino Linotype" w:cs="Arial"/>
          <w:i/>
        </w:rPr>
      </w:pPr>
    </w:p>
    <w:p w:rsidR="00604794" w:rsidRDefault="00AF5403">
      <w:pPr>
        <w:spacing w:line="276" w:lineRule="auto"/>
        <w:ind w:left="851" w:right="902"/>
        <w:jc w:val="both"/>
        <w:rPr>
          <w:rFonts w:ascii="Palatino Linotype" w:hAnsi="Palatino Linotype" w:cs="Arial"/>
          <w:i/>
        </w:rPr>
      </w:pPr>
      <w:r>
        <w:rPr>
          <w:rFonts w:ascii="Palatino Linotype" w:hAnsi="Palatino Linotype" w:cs="Arial"/>
          <w:b/>
          <w:bCs/>
          <w:i/>
        </w:rPr>
        <w:t xml:space="preserve">Artículo 173. </w:t>
      </w:r>
      <w:r>
        <w:rPr>
          <w:rFonts w:ascii="Palatino Linotype" w:hAnsi="Palatino Linotype" w:cs="Arial"/>
          <w:i/>
        </w:rPr>
        <w:t>Sin perjuicio de lo anteriormente establecido, el procedimiento de acceso a la información se rige por los siguientes principios:</w:t>
      </w:r>
    </w:p>
    <w:p w:rsidR="00604794" w:rsidRDefault="00AF5403">
      <w:pPr>
        <w:spacing w:line="276" w:lineRule="auto"/>
        <w:ind w:left="851" w:right="902"/>
        <w:jc w:val="both"/>
        <w:rPr>
          <w:rFonts w:ascii="Palatino Linotype" w:hAnsi="Palatino Linotype" w:cs="Arial"/>
          <w:i/>
        </w:rPr>
      </w:pPr>
      <w:r>
        <w:rPr>
          <w:rFonts w:ascii="Palatino Linotype" w:hAnsi="Palatino Linotype" w:cs="Arial"/>
          <w:b/>
          <w:bCs/>
          <w:i/>
        </w:rPr>
        <w:t xml:space="preserve">I. </w:t>
      </w:r>
      <w:r>
        <w:rPr>
          <w:rFonts w:ascii="Palatino Linotype" w:hAnsi="Palatino Linotype" w:cs="Arial"/>
          <w:i/>
        </w:rPr>
        <w:t>Simplicidad y rapidez;</w:t>
      </w:r>
    </w:p>
    <w:p w:rsidR="00604794" w:rsidRDefault="00AF5403">
      <w:pPr>
        <w:spacing w:line="276" w:lineRule="auto"/>
        <w:ind w:left="851" w:right="902"/>
        <w:jc w:val="both"/>
        <w:rPr>
          <w:rFonts w:ascii="Palatino Linotype" w:hAnsi="Palatino Linotype" w:cs="Arial"/>
          <w:i/>
        </w:rPr>
      </w:pPr>
      <w:r>
        <w:rPr>
          <w:rFonts w:ascii="Palatino Linotype" w:hAnsi="Palatino Linotype" w:cs="Arial"/>
          <w:b/>
          <w:bCs/>
          <w:i/>
        </w:rPr>
        <w:t xml:space="preserve">II. </w:t>
      </w:r>
      <w:r>
        <w:rPr>
          <w:rFonts w:ascii="Palatino Linotype" w:hAnsi="Palatino Linotype" w:cs="Arial"/>
          <w:i/>
        </w:rPr>
        <w:t>Gratuidad del procedimiento; y</w:t>
      </w:r>
    </w:p>
    <w:p w:rsidR="00604794" w:rsidRDefault="00AF5403">
      <w:pPr>
        <w:spacing w:line="276" w:lineRule="auto"/>
        <w:ind w:left="851" w:right="902"/>
        <w:jc w:val="both"/>
        <w:rPr>
          <w:rFonts w:ascii="Palatino Linotype" w:hAnsi="Palatino Linotype" w:cs="Arial"/>
          <w:i/>
        </w:rPr>
      </w:pPr>
      <w:r>
        <w:rPr>
          <w:rFonts w:ascii="Palatino Linotype" w:hAnsi="Palatino Linotype" w:cs="Arial"/>
          <w:b/>
          <w:bCs/>
          <w:i/>
        </w:rPr>
        <w:t xml:space="preserve">III. </w:t>
      </w:r>
      <w:r>
        <w:rPr>
          <w:rFonts w:ascii="Palatino Linotype" w:hAnsi="Palatino Linotype" w:cs="Arial"/>
          <w:i/>
        </w:rPr>
        <w:t>Auxilio y orientación a los particulares.”</w:t>
      </w:r>
    </w:p>
    <w:p w:rsidR="00604794" w:rsidRDefault="00AF5403">
      <w:pPr>
        <w:widowControl w:val="0"/>
        <w:tabs>
          <w:tab w:val="left" w:pos="1701"/>
          <w:tab w:val="left" w:pos="1843"/>
        </w:tabs>
        <w:spacing w:beforeAutospacing="1" w:afterAutospacing="1" w:line="360" w:lineRule="auto"/>
        <w:jc w:val="both"/>
        <w:rPr>
          <w:rFonts w:ascii="Palatino Linotype" w:hAnsi="Palatino Linotype" w:cs="Arial"/>
          <w:lang w:val="es-ES" w:eastAsia="es-MX"/>
        </w:rPr>
      </w:pPr>
      <w:r>
        <w:rPr>
          <w:rFonts w:ascii="Palatino Linotype" w:hAnsi="Palatino Linotype"/>
        </w:rPr>
        <w:t xml:space="preserve">En razón de lo anterior, y de conformidad con lo establecido en el artículo 12, párrafo segundo de la Ley de Transparencia y Acceso a la Información Pública del Estado de México y Municipios </w:t>
      </w:r>
      <w:r>
        <w:rPr>
          <w:rFonts w:ascii="Palatino Linotype" w:hAnsi="Palatino Linotype"/>
          <w:b/>
        </w:rPr>
        <w:t>EL SUJETO OBLIGADO</w:t>
      </w:r>
      <w:r>
        <w:rPr>
          <w:rFonts w:ascii="Palatino Linotype" w:hAnsi="Palatino Linotype"/>
        </w:rPr>
        <w:t xml:space="preserve"> sólo proporcionará la información que obra en sus archivos.</w:t>
      </w:r>
    </w:p>
    <w:p w:rsidR="00604794" w:rsidRDefault="00AF5403">
      <w:pPr>
        <w:pStyle w:val="Prrafodelista"/>
        <w:widowControl w:val="0"/>
        <w:tabs>
          <w:tab w:val="left" w:pos="1701"/>
          <w:tab w:val="left" w:pos="1843"/>
        </w:tabs>
        <w:spacing w:beforeAutospacing="1" w:afterAutospacing="1" w:line="360" w:lineRule="auto"/>
        <w:ind w:left="0"/>
        <w:jc w:val="both"/>
        <w:rPr>
          <w:rFonts w:ascii="Palatino Linotype" w:hAnsi="Palatino Linotype" w:cs="Arial"/>
        </w:rPr>
      </w:pPr>
      <w:r>
        <w:rPr>
          <w:rFonts w:ascii="Palatino Linotype" w:hAnsi="Palatino Linotype" w:cs="Arial"/>
        </w:rPr>
        <w:t xml:space="preserve">Finalmente, por cuanto hace a la solicitud de acceso a la información marcada con el numeral 4, referente a las facultades y/o atribuciones, así como el fundamento legal y legislación en que se encuentren las mismas, respecto del personal que ostente puestos </w:t>
      </w:r>
      <w:r>
        <w:rPr>
          <w:rFonts w:ascii="Palatino Linotype" w:hAnsi="Palatino Linotype" w:cs="Arial"/>
        </w:rPr>
        <w:lastRenderedPageBreak/>
        <w:t xml:space="preserve">de dirección, subdirección y de jefe de unidad o jefe de departamento u homólogos, del Hospital General "Dr. José Ma. Rodríguez”, </w:t>
      </w:r>
      <w:r>
        <w:rPr>
          <w:rFonts w:ascii="Palatino Linotype" w:hAnsi="Palatino Linotype" w:cs="Arial"/>
          <w:b/>
        </w:rPr>
        <w:t>EL SUJETO OBLIGADO</w:t>
      </w:r>
      <w:r>
        <w:rPr>
          <w:rFonts w:ascii="Palatino Linotype" w:hAnsi="Palatino Linotype" w:cs="Arial"/>
        </w:rPr>
        <w:t xml:space="preserve"> adjunto en respuesta el Manual de Organización Tipo para Hospitales de más de 90 camas en el que se puede apreciar la estructura orgánica y objetivo, funciones por unidad, área y servicio; mismas que a manera de ejemplo se insertan a continuación: </w:t>
      </w:r>
    </w:p>
    <w:p w:rsidR="00604794" w:rsidRDefault="00AF5403">
      <w:pPr>
        <w:pStyle w:val="Prrafodelista"/>
        <w:widowControl w:val="0"/>
        <w:tabs>
          <w:tab w:val="left" w:pos="1701"/>
          <w:tab w:val="left" w:pos="1843"/>
        </w:tabs>
        <w:spacing w:beforeAutospacing="1" w:afterAutospacing="1" w:line="360" w:lineRule="auto"/>
        <w:ind w:left="0"/>
        <w:jc w:val="both"/>
        <w:rPr>
          <w:rFonts w:ascii="Palatino Linotype" w:hAnsi="Palatino Linotype" w:cs="Arial"/>
        </w:rPr>
      </w:pPr>
      <w:r>
        <w:rPr>
          <w:noProof/>
          <w:lang w:eastAsia="es-MX"/>
        </w:rPr>
        <w:drawing>
          <wp:inline distT="0" distB="0" distL="0" distR="0">
            <wp:extent cx="5719445" cy="457200"/>
            <wp:effectExtent l="0" t="0" r="0" b="0"/>
            <wp:docPr id="2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40"/>
                    <pic:cNvPicPr>
                      <a:picLocks noChangeAspect="1" noChangeArrowheads="1"/>
                    </pic:cNvPicPr>
                  </pic:nvPicPr>
                  <pic:blipFill>
                    <a:blip r:embed="rId22"/>
                    <a:stretch>
                      <a:fillRect/>
                    </a:stretch>
                  </pic:blipFill>
                  <pic:spPr bwMode="auto">
                    <a:xfrm>
                      <a:off x="0" y="0"/>
                      <a:ext cx="5719445" cy="457200"/>
                    </a:xfrm>
                    <a:prstGeom prst="rect">
                      <a:avLst/>
                    </a:prstGeom>
                  </pic:spPr>
                </pic:pic>
              </a:graphicData>
            </a:graphic>
          </wp:inline>
        </w:drawing>
      </w:r>
    </w:p>
    <w:p w:rsidR="00604794" w:rsidRDefault="00AF5403">
      <w:pPr>
        <w:pStyle w:val="Prrafodelista"/>
        <w:widowControl w:val="0"/>
        <w:tabs>
          <w:tab w:val="left" w:pos="1701"/>
          <w:tab w:val="left" w:pos="1843"/>
        </w:tabs>
        <w:spacing w:beforeAutospacing="1" w:afterAutospacing="1" w:line="360" w:lineRule="auto"/>
        <w:ind w:left="0"/>
        <w:jc w:val="both"/>
        <w:rPr>
          <w:rFonts w:ascii="Palatino Linotype" w:hAnsi="Palatino Linotype" w:cs="Arial"/>
        </w:rPr>
      </w:pPr>
      <w:r>
        <w:rPr>
          <w:noProof/>
          <w:lang w:eastAsia="es-MX"/>
        </w:rPr>
        <w:drawing>
          <wp:inline distT="0" distB="0" distL="0" distR="0">
            <wp:extent cx="5791835" cy="989330"/>
            <wp:effectExtent l="0" t="0" r="0" b="0"/>
            <wp:docPr id="21"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39"/>
                    <pic:cNvPicPr>
                      <a:picLocks noChangeAspect="1" noChangeArrowheads="1"/>
                    </pic:cNvPicPr>
                  </pic:nvPicPr>
                  <pic:blipFill>
                    <a:blip r:embed="rId23"/>
                    <a:stretch>
                      <a:fillRect/>
                    </a:stretch>
                  </pic:blipFill>
                  <pic:spPr bwMode="auto">
                    <a:xfrm>
                      <a:off x="0" y="0"/>
                      <a:ext cx="5791835" cy="989330"/>
                    </a:xfrm>
                    <a:prstGeom prst="rect">
                      <a:avLst/>
                    </a:prstGeom>
                  </pic:spPr>
                </pic:pic>
              </a:graphicData>
            </a:graphic>
          </wp:inline>
        </w:drawing>
      </w:r>
    </w:p>
    <w:p w:rsidR="00604794" w:rsidRDefault="00AF5403">
      <w:pPr>
        <w:pStyle w:val="Prrafodelista"/>
        <w:widowControl w:val="0"/>
        <w:tabs>
          <w:tab w:val="left" w:pos="1701"/>
          <w:tab w:val="left" w:pos="1843"/>
        </w:tabs>
        <w:spacing w:beforeAutospacing="1" w:afterAutospacing="1" w:line="360" w:lineRule="auto"/>
        <w:ind w:left="0"/>
        <w:jc w:val="both"/>
        <w:rPr>
          <w:rFonts w:ascii="Palatino Linotype" w:hAnsi="Palatino Linotype" w:cs="Arial"/>
        </w:rPr>
      </w:pPr>
      <w:r>
        <w:rPr>
          <w:noProof/>
          <w:lang w:eastAsia="es-MX"/>
        </w:rPr>
        <w:drawing>
          <wp:inline distT="0" distB="0" distL="0" distR="0">
            <wp:extent cx="4624705" cy="2790825"/>
            <wp:effectExtent l="0" t="0" r="0" b="0"/>
            <wp:docPr id="22"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 28"/>
                    <pic:cNvPicPr>
                      <a:picLocks noChangeAspect="1" noChangeArrowheads="1"/>
                    </pic:cNvPicPr>
                  </pic:nvPicPr>
                  <pic:blipFill>
                    <a:blip r:embed="rId24"/>
                    <a:stretch>
                      <a:fillRect/>
                    </a:stretch>
                  </pic:blipFill>
                  <pic:spPr bwMode="auto">
                    <a:xfrm>
                      <a:off x="0" y="0"/>
                      <a:ext cx="4624705" cy="2790825"/>
                    </a:xfrm>
                    <a:prstGeom prst="rect">
                      <a:avLst/>
                    </a:prstGeom>
                  </pic:spPr>
                </pic:pic>
              </a:graphicData>
            </a:graphic>
          </wp:inline>
        </w:drawing>
      </w:r>
    </w:p>
    <w:p w:rsidR="00604794" w:rsidRDefault="00AF5403">
      <w:pPr>
        <w:pStyle w:val="Prrafodelista"/>
        <w:widowControl w:val="0"/>
        <w:tabs>
          <w:tab w:val="left" w:pos="1701"/>
          <w:tab w:val="left" w:pos="1843"/>
        </w:tabs>
        <w:spacing w:beforeAutospacing="1" w:afterAutospacing="1" w:line="360" w:lineRule="auto"/>
        <w:ind w:left="0"/>
        <w:jc w:val="both"/>
        <w:rPr>
          <w:rFonts w:ascii="Palatino Linotype" w:hAnsi="Palatino Linotype" w:cs="Arial"/>
        </w:rPr>
      </w:pPr>
      <w:r>
        <w:rPr>
          <w:noProof/>
          <w:lang w:eastAsia="es-MX"/>
        </w:rPr>
        <w:lastRenderedPageBreak/>
        <w:drawing>
          <wp:inline distT="0" distB="0" distL="0" distR="0">
            <wp:extent cx="3314700" cy="1695450"/>
            <wp:effectExtent l="0" t="0" r="0" b="0"/>
            <wp:docPr id="23"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 29"/>
                    <pic:cNvPicPr>
                      <a:picLocks noChangeAspect="1" noChangeArrowheads="1"/>
                    </pic:cNvPicPr>
                  </pic:nvPicPr>
                  <pic:blipFill>
                    <a:blip r:embed="rId25"/>
                    <a:stretch>
                      <a:fillRect/>
                    </a:stretch>
                  </pic:blipFill>
                  <pic:spPr bwMode="auto">
                    <a:xfrm>
                      <a:off x="0" y="0"/>
                      <a:ext cx="3314700" cy="1695450"/>
                    </a:xfrm>
                    <a:prstGeom prst="rect">
                      <a:avLst/>
                    </a:prstGeom>
                  </pic:spPr>
                </pic:pic>
              </a:graphicData>
            </a:graphic>
          </wp:inline>
        </w:drawing>
      </w:r>
    </w:p>
    <w:p w:rsidR="00604794" w:rsidRDefault="00AF5403">
      <w:pPr>
        <w:pStyle w:val="Prrafodelista"/>
        <w:widowControl w:val="0"/>
        <w:tabs>
          <w:tab w:val="left" w:pos="1701"/>
          <w:tab w:val="left" w:pos="1843"/>
        </w:tabs>
        <w:spacing w:beforeAutospacing="1" w:afterAutospacing="1" w:line="360" w:lineRule="auto"/>
        <w:ind w:left="0"/>
        <w:jc w:val="both"/>
        <w:rPr>
          <w:rFonts w:ascii="Palatino Linotype" w:hAnsi="Palatino Linotype" w:cs="Arial"/>
        </w:rPr>
      </w:pPr>
      <w:r>
        <w:rPr>
          <w:noProof/>
          <w:lang w:eastAsia="es-MX"/>
        </w:rPr>
        <w:drawing>
          <wp:inline distT="0" distB="0" distL="0" distR="0">
            <wp:extent cx="5791835" cy="4169410"/>
            <wp:effectExtent l="0" t="0" r="0" b="0"/>
            <wp:docPr id="24"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n 32"/>
                    <pic:cNvPicPr>
                      <a:picLocks noChangeAspect="1" noChangeArrowheads="1"/>
                    </pic:cNvPicPr>
                  </pic:nvPicPr>
                  <pic:blipFill>
                    <a:blip r:embed="rId26"/>
                    <a:stretch>
                      <a:fillRect/>
                    </a:stretch>
                  </pic:blipFill>
                  <pic:spPr bwMode="auto">
                    <a:xfrm>
                      <a:off x="0" y="0"/>
                      <a:ext cx="5791835" cy="4169410"/>
                    </a:xfrm>
                    <a:prstGeom prst="rect">
                      <a:avLst/>
                    </a:prstGeom>
                  </pic:spPr>
                </pic:pic>
              </a:graphicData>
            </a:graphic>
          </wp:inline>
        </w:drawing>
      </w:r>
    </w:p>
    <w:p w:rsidR="00604794" w:rsidRDefault="00AF5403">
      <w:pPr>
        <w:pStyle w:val="Prrafodelista"/>
        <w:widowControl w:val="0"/>
        <w:tabs>
          <w:tab w:val="left" w:pos="1701"/>
          <w:tab w:val="left" w:pos="1843"/>
        </w:tabs>
        <w:spacing w:beforeAutospacing="1" w:afterAutospacing="1" w:line="360" w:lineRule="auto"/>
        <w:ind w:left="0"/>
        <w:jc w:val="both"/>
        <w:rPr>
          <w:rFonts w:ascii="Palatino Linotype" w:hAnsi="Palatino Linotype" w:cs="Arial"/>
        </w:rPr>
      </w:pPr>
      <w:r>
        <w:rPr>
          <w:noProof/>
          <w:lang w:eastAsia="es-MX"/>
        </w:rPr>
        <w:lastRenderedPageBreak/>
        <w:drawing>
          <wp:inline distT="0" distB="0" distL="0" distR="0">
            <wp:extent cx="5777865" cy="4435475"/>
            <wp:effectExtent l="0" t="0" r="0" b="0"/>
            <wp:docPr id="27"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n 33"/>
                    <pic:cNvPicPr>
                      <a:picLocks noChangeAspect="1" noChangeArrowheads="1"/>
                    </pic:cNvPicPr>
                  </pic:nvPicPr>
                  <pic:blipFill>
                    <a:blip r:embed="rId27"/>
                    <a:stretch>
                      <a:fillRect/>
                    </a:stretch>
                  </pic:blipFill>
                  <pic:spPr bwMode="auto">
                    <a:xfrm>
                      <a:off x="0" y="0"/>
                      <a:ext cx="5777865" cy="4435475"/>
                    </a:xfrm>
                    <a:prstGeom prst="rect">
                      <a:avLst/>
                    </a:prstGeom>
                  </pic:spPr>
                </pic:pic>
              </a:graphicData>
            </a:graphic>
          </wp:inline>
        </w:drawing>
      </w:r>
      <w:r>
        <w:rPr>
          <w:noProof/>
          <w:lang w:eastAsia="es-MX"/>
        </w:rPr>
        <mc:AlternateContent>
          <mc:Choice Requires="wps">
            <w:drawing>
              <wp:anchor distT="0" distB="0" distL="0" distR="0" simplePos="0" relativeHeight="93" behindDoc="0" locked="0" layoutInCell="1" allowOverlap="1" wp14:anchorId="4C9C1485">
                <wp:simplePos x="0" y="0"/>
                <wp:positionH relativeFrom="column">
                  <wp:posOffset>73025</wp:posOffset>
                </wp:positionH>
                <wp:positionV relativeFrom="paragraph">
                  <wp:posOffset>22225</wp:posOffset>
                </wp:positionV>
                <wp:extent cx="1761490" cy="239395"/>
                <wp:effectExtent l="57150" t="19050" r="48895" b="85090"/>
                <wp:wrapNone/>
                <wp:docPr id="25" name="Rectángulo 34"/>
                <wp:cNvGraphicFramePr/>
                <a:graphic xmlns:a="http://schemas.openxmlformats.org/drawingml/2006/main">
                  <a:graphicData uri="http://schemas.microsoft.com/office/word/2010/wordprocessingShape">
                    <wps:wsp>
                      <wps:cNvSpPr/>
                      <wps:spPr>
                        <a:xfrm>
                          <a:off x="0" y="0"/>
                          <a:ext cx="1760760" cy="238680"/>
                        </a:xfrm>
                        <a:prstGeom prst="rect">
                          <a:avLst/>
                        </a:prstGeom>
                        <a:noFill/>
                        <a:ln w="19080">
                          <a:solidFill>
                            <a:srgbClr val="FF0000"/>
                          </a:solidFill>
                          <a:round/>
                        </a:ln>
                        <a:effectLst>
                          <a:outerShdw blurRad="40000" dist="23040" dir="5400000" rotWithShape="0">
                            <a:srgbClr val="000000">
                              <a:alpha val="35000"/>
                            </a:srgbClr>
                          </a:outerShdw>
                        </a:effectLst>
                      </wps:spPr>
                      <wps:style>
                        <a:lnRef idx="1">
                          <a:schemeClr val="accent1"/>
                        </a:lnRef>
                        <a:fillRef idx="3">
                          <a:schemeClr val="accent1"/>
                        </a:fillRef>
                        <a:effectRef idx="2">
                          <a:schemeClr val="accent1"/>
                        </a:effectRef>
                        <a:fontRef idx="minor"/>
                      </wps:style>
                      <wps:bodyPr/>
                    </wps:wsp>
                  </a:graphicData>
                </a:graphic>
              </wp:anchor>
            </w:drawing>
          </mc:Choice>
          <mc:Fallback>
            <w:pict>
              <v:rect id="shape_0" ID="Rectángulo 34" stroked="t" style="position:absolute;margin-left:5.75pt;margin-top:1.75pt;width:138.6pt;height:18.75pt" wp14:anchorId="4C9C1485">
                <w10:wrap type="none"/>
                <v:fill o:detectmouseclick="t" on="false"/>
                <v:stroke color="red" weight="19080" joinstyle="round" endcap="flat"/>
                <v:shadow on="t" obscured="f" color="black"/>
              </v:rect>
            </w:pict>
          </mc:Fallback>
        </mc:AlternateContent>
      </w:r>
      <w:r>
        <w:rPr>
          <w:noProof/>
          <w:lang w:eastAsia="es-MX"/>
        </w:rPr>
        <mc:AlternateContent>
          <mc:Choice Requires="wps">
            <w:drawing>
              <wp:anchor distT="0" distB="0" distL="0" distR="0" simplePos="0" relativeHeight="94" behindDoc="0" locked="0" layoutInCell="1" allowOverlap="1" wp14:anchorId="45CFB694">
                <wp:simplePos x="0" y="0"/>
                <wp:positionH relativeFrom="column">
                  <wp:posOffset>66040</wp:posOffset>
                </wp:positionH>
                <wp:positionV relativeFrom="paragraph">
                  <wp:posOffset>663575</wp:posOffset>
                </wp:positionV>
                <wp:extent cx="1044575" cy="204470"/>
                <wp:effectExtent l="57150" t="19050" r="60960" b="81915"/>
                <wp:wrapNone/>
                <wp:docPr id="26" name="Rectángulo 35"/>
                <wp:cNvGraphicFramePr/>
                <a:graphic xmlns:a="http://schemas.openxmlformats.org/drawingml/2006/main">
                  <a:graphicData uri="http://schemas.microsoft.com/office/word/2010/wordprocessingShape">
                    <wps:wsp>
                      <wps:cNvSpPr/>
                      <wps:spPr>
                        <a:xfrm>
                          <a:off x="0" y="0"/>
                          <a:ext cx="1044000" cy="203760"/>
                        </a:xfrm>
                        <a:prstGeom prst="rect">
                          <a:avLst/>
                        </a:prstGeom>
                        <a:noFill/>
                        <a:ln w="19080">
                          <a:solidFill>
                            <a:srgbClr val="FF0000"/>
                          </a:solidFill>
                          <a:round/>
                        </a:ln>
                        <a:effectLst>
                          <a:outerShdw blurRad="40000" dist="23040" dir="5400000" rotWithShape="0">
                            <a:srgbClr val="000000">
                              <a:alpha val="35000"/>
                            </a:srgbClr>
                          </a:outerShdw>
                        </a:effectLst>
                      </wps:spPr>
                      <wps:style>
                        <a:lnRef idx="1">
                          <a:schemeClr val="accent1"/>
                        </a:lnRef>
                        <a:fillRef idx="3">
                          <a:schemeClr val="accent1"/>
                        </a:fillRef>
                        <a:effectRef idx="2">
                          <a:schemeClr val="accent1"/>
                        </a:effectRef>
                        <a:fontRef idx="minor"/>
                      </wps:style>
                      <wps:bodyPr/>
                    </wps:wsp>
                  </a:graphicData>
                </a:graphic>
              </wp:anchor>
            </w:drawing>
          </mc:Choice>
          <mc:Fallback>
            <w:pict>
              <v:rect id="shape_0" ID="Rectángulo 35" stroked="t" style="position:absolute;margin-left:5.2pt;margin-top:52.25pt;width:82.15pt;height:16pt" wp14:anchorId="45CFB694">
                <w10:wrap type="none"/>
                <v:fill o:detectmouseclick="t" on="false"/>
                <v:stroke color="red" weight="19080" joinstyle="round" endcap="flat"/>
                <v:shadow on="t" obscured="f" color="black"/>
              </v:rect>
            </w:pict>
          </mc:Fallback>
        </mc:AlternateContent>
      </w:r>
    </w:p>
    <w:p w:rsidR="00604794" w:rsidRDefault="00AF5403">
      <w:pPr>
        <w:pStyle w:val="Prrafodelista"/>
        <w:widowControl w:val="0"/>
        <w:tabs>
          <w:tab w:val="left" w:pos="1701"/>
          <w:tab w:val="left" w:pos="1843"/>
        </w:tabs>
        <w:spacing w:beforeAutospacing="1" w:afterAutospacing="1" w:line="360" w:lineRule="auto"/>
        <w:ind w:left="0"/>
        <w:jc w:val="both"/>
        <w:rPr>
          <w:rFonts w:ascii="Palatino Linotype" w:hAnsi="Palatino Linotype" w:cs="Arial"/>
        </w:rPr>
      </w:pPr>
      <w:r>
        <w:rPr>
          <w:noProof/>
          <w:lang w:eastAsia="es-MX"/>
        </w:rPr>
        <w:drawing>
          <wp:inline distT="0" distB="0" distL="0" distR="0">
            <wp:extent cx="5745480" cy="2571750"/>
            <wp:effectExtent l="0" t="0" r="0" b="0"/>
            <wp:docPr id="28"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n 36"/>
                    <pic:cNvPicPr>
                      <a:picLocks noChangeAspect="1" noChangeArrowheads="1"/>
                    </pic:cNvPicPr>
                  </pic:nvPicPr>
                  <pic:blipFill>
                    <a:blip r:embed="rId28"/>
                    <a:stretch>
                      <a:fillRect/>
                    </a:stretch>
                  </pic:blipFill>
                  <pic:spPr bwMode="auto">
                    <a:xfrm>
                      <a:off x="0" y="0"/>
                      <a:ext cx="5745480" cy="2571750"/>
                    </a:xfrm>
                    <a:prstGeom prst="rect">
                      <a:avLst/>
                    </a:prstGeom>
                  </pic:spPr>
                </pic:pic>
              </a:graphicData>
            </a:graphic>
          </wp:inline>
        </w:drawing>
      </w:r>
    </w:p>
    <w:p w:rsidR="00604794" w:rsidRDefault="00AF5403">
      <w:pPr>
        <w:pStyle w:val="Prrafodelista"/>
        <w:widowControl w:val="0"/>
        <w:tabs>
          <w:tab w:val="left" w:pos="1701"/>
          <w:tab w:val="left" w:pos="1843"/>
        </w:tabs>
        <w:spacing w:beforeAutospacing="1" w:afterAutospacing="1" w:line="360" w:lineRule="auto"/>
        <w:ind w:left="0"/>
        <w:jc w:val="both"/>
        <w:rPr>
          <w:rFonts w:ascii="Palatino Linotype" w:hAnsi="Palatino Linotype" w:cs="Arial"/>
        </w:rPr>
      </w:pPr>
      <w:r>
        <w:rPr>
          <w:noProof/>
          <w:lang w:eastAsia="es-MX"/>
        </w:rPr>
        <w:lastRenderedPageBreak/>
        <w:drawing>
          <wp:inline distT="0" distB="0" distL="0" distR="0">
            <wp:extent cx="5745480" cy="5608955"/>
            <wp:effectExtent l="0" t="0" r="0" b="0"/>
            <wp:docPr id="3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n 41"/>
                    <pic:cNvPicPr>
                      <a:picLocks noChangeAspect="1" noChangeArrowheads="1"/>
                    </pic:cNvPicPr>
                  </pic:nvPicPr>
                  <pic:blipFill>
                    <a:blip r:embed="rId29"/>
                    <a:stretch>
                      <a:fillRect/>
                    </a:stretch>
                  </pic:blipFill>
                  <pic:spPr bwMode="auto">
                    <a:xfrm>
                      <a:off x="0" y="0"/>
                      <a:ext cx="5745480" cy="5608955"/>
                    </a:xfrm>
                    <a:prstGeom prst="rect">
                      <a:avLst/>
                    </a:prstGeom>
                  </pic:spPr>
                </pic:pic>
              </a:graphicData>
            </a:graphic>
          </wp:inline>
        </w:drawing>
      </w:r>
      <w:r>
        <w:rPr>
          <w:noProof/>
          <w:lang w:eastAsia="es-MX"/>
        </w:rPr>
        <mc:AlternateContent>
          <mc:Choice Requires="wps">
            <w:drawing>
              <wp:anchor distT="0" distB="0" distL="0" distR="0" simplePos="0" relativeHeight="95" behindDoc="0" locked="0" layoutInCell="1" allowOverlap="1" wp14:anchorId="74AC812A">
                <wp:simplePos x="0" y="0"/>
                <wp:positionH relativeFrom="column">
                  <wp:posOffset>127635</wp:posOffset>
                </wp:positionH>
                <wp:positionV relativeFrom="paragraph">
                  <wp:posOffset>1270</wp:posOffset>
                </wp:positionV>
                <wp:extent cx="2457450" cy="212090"/>
                <wp:effectExtent l="57150" t="19050" r="57785" b="74295"/>
                <wp:wrapNone/>
                <wp:docPr id="29" name="Rectángulo 42"/>
                <wp:cNvGraphicFramePr/>
                <a:graphic xmlns:a="http://schemas.openxmlformats.org/drawingml/2006/main">
                  <a:graphicData uri="http://schemas.microsoft.com/office/word/2010/wordprocessingShape">
                    <wps:wsp>
                      <wps:cNvSpPr/>
                      <wps:spPr>
                        <a:xfrm>
                          <a:off x="0" y="0"/>
                          <a:ext cx="2456640" cy="211320"/>
                        </a:xfrm>
                        <a:prstGeom prst="rect">
                          <a:avLst/>
                        </a:prstGeom>
                        <a:noFill/>
                        <a:ln w="19080">
                          <a:solidFill>
                            <a:srgbClr val="FF0000"/>
                          </a:solidFill>
                          <a:round/>
                        </a:ln>
                        <a:effectLst>
                          <a:outerShdw blurRad="40000" dist="23040" dir="5400000" rotWithShape="0">
                            <a:srgbClr val="000000">
                              <a:alpha val="35000"/>
                            </a:srgbClr>
                          </a:outerShdw>
                        </a:effectLst>
                      </wps:spPr>
                      <wps:style>
                        <a:lnRef idx="1">
                          <a:schemeClr val="accent1"/>
                        </a:lnRef>
                        <a:fillRef idx="3">
                          <a:schemeClr val="accent1"/>
                        </a:fillRef>
                        <a:effectRef idx="2">
                          <a:schemeClr val="accent1"/>
                        </a:effectRef>
                        <a:fontRef idx="minor"/>
                      </wps:style>
                      <wps:bodyPr/>
                    </wps:wsp>
                  </a:graphicData>
                </a:graphic>
              </wp:anchor>
            </w:drawing>
          </mc:Choice>
          <mc:Fallback>
            <w:pict>
              <v:rect id="shape_0" ID="Rectángulo 42" stroked="t" style="position:absolute;margin-left:10.05pt;margin-top:0.1pt;width:193.4pt;height:16.6pt" wp14:anchorId="74AC812A">
                <w10:wrap type="none"/>
                <v:fill o:detectmouseclick="t" on="false"/>
                <v:stroke color="red" weight="19080" joinstyle="round" endcap="flat"/>
                <v:shadow on="t" obscured="f" color="black"/>
              </v:rect>
            </w:pict>
          </mc:Fallback>
        </mc:AlternateContent>
      </w:r>
      <w:r>
        <w:rPr>
          <w:noProof/>
          <w:lang w:eastAsia="es-MX"/>
        </w:rPr>
        <mc:AlternateContent>
          <mc:Choice Requires="wps">
            <w:drawing>
              <wp:anchor distT="0" distB="0" distL="0" distR="0" simplePos="0" relativeHeight="96" behindDoc="0" locked="0" layoutInCell="1" allowOverlap="1" wp14:anchorId="64CF02D5">
                <wp:simplePos x="0" y="0"/>
                <wp:positionH relativeFrom="column">
                  <wp:posOffset>161925</wp:posOffset>
                </wp:positionH>
                <wp:positionV relativeFrom="paragraph">
                  <wp:posOffset>1066165</wp:posOffset>
                </wp:positionV>
                <wp:extent cx="1051560" cy="219075"/>
                <wp:effectExtent l="57150" t="19050" r="53975" b="67310"/>
                <wp:wrapNone/>
                <wp:docPr id="30" name="Rectángulo 43"/>
                <wp:cNvGraphicFramePr/>
                <a:graphic xmlns:a="http://schemas.openxmlformats.org/drawingml/2006/main">
                  <a:graphicData uri="http://schemas.microsoft.com/office/word/2010/wordprocessingShape">
                    <wps:wsp>
                      <wps:cNvSpPr/>
                      <wps:spPr>
                        <a:xfrm>
                          <a:off x="0" y="0"/>
                          <a:ext cx="1050840" cy="218520"/>
                        </a:xfrm>
                        <a:prstGeom prst="rect">
                          <a:avLst/>
                        </a:prstGeom>
                        <a:noFill/>
                        <a:ln w="19080">
                          <a:solidFill>
                            <a:srgbClr val="FF0000"/>
                          </a:solidFill>
                          <a:round/>
                        </a:ln>
                        <a:effectLst>
                          <a:outerShdw blurRad="40000" dist="23040" dir="5400000" rotWithShape="0">
                            <a:srgbClr val="000000">
                              <a:alpha val="35000"/>
                            </a:srgbClr>
                          </a:outerShdw>
                        </a:effectLst>
                      </wps:spPr>
                      <wps:style>
                        <a:lnRef idx="1">
                          <a:schemeClr val="accent1"/>
                        </a:lnRef>
                        <a:fillRef idx="3">
                          <a:schemeClr val="accent1"/>
                        </a:fillRef>
                        <a:effectRef idx="2">
                          <a:schemeClr val="accent1"/>
                        </a:effectRef>
                        <a:fontRef idx="minor"/>
                      </wps:style>
                      <wps:bodyPr/>
                    </wps:wsp>
                  </a:graphicData>
                </a:graphic>
              </wp:anchor>
            </w:drawing>
          </mc:Choice>
          <mc:Fallback>
            <w:pict>
              <v:rect id="shape_0" ID="Rectángulo 43" stroked="t" style="position:absolute;margin-left:12.75pt;margin-top:83.95pt;width:82.7pt;height:17.15pt" wp14:anchorId="64CF02D5">
                <w10:wrap type="none"/>
                <v:fill o:detectmouseclick="t" on="false"/>
                <v:stroke color="red" weight="19080" joinstyle="round" endcap="flat"/>
                <v:shadow on="t" obscured="f" color="black"/>
              </v:rect>
            </w:pict>
          </mc:Fallback>
        </mc:AlternateContent>
      </w:r>
    </w:p>
    <w:p w:rsidR="00604794" w:rsidRDefault="00AF5403">
      <w:pPr>
        <w:pStyle w:val="Prrafodelista"/>
        <w:widowControl w:val="0"/>
        <w:tabs>
          <w:tab w:val="left" w:pos="1701"/>
          <w:tab w:val="left" w:pos="1843"/>
        </w:tabs>
        <w:spacing w:beforeAutospacing="1" w:afterAutospacing="1" w:line="360" w:lineRule="auto"/>
        <w:ind w:left="0"/>
        <w:jc w:val="both"/>
        <w:rPr>
          <w:rFonts w:ascii="Palatino Linotype" w:hAnsi="Palatino Linotype" w:cs="Arial"/>
        </w:rPr>
      </w:pPr>
      <w:r>
        <w:rPr>
          <w:noProof/>
          <w:lang w:eastAsia="es-MX"/>
        </w:rPr>
        <w:drawing>
          <wp:inline distT="0" distB="0" distL="0" distR="0">
            <wp:extent cx="5765800" cy="1459865"/>
            <wp:effectExtent l="0" t="0" r="0" b="0"/>
            <wp:docPr id="32"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n 44"/>
                    <pic:cNvPicPr>
                      <a:picLocks noChangeAspect="1" noChangeArrowheads="1"/>
                    </pic:cNvPicPr>
                  </pic:nvPicPr>
                  <pic:blipFill>
                    <a:blip r:embed="rId30"/>
                    <a:stretch>
                      <a:fillRect/>
                    </a:stretch>
                  </pic:blipFill>
                  <pic:spPr bwMode="auto">
                    <a:xfrm>
                      <a:off x="0" y="0"/>
                      <a:ext cx="5765800" cy="1459865"/>
                    </a:xfrm>
                    <a:prstGeom prst="rect">
                      <a:avLst/>
                    </a:prstGeom>
                  </pic:spPr>
                </pic:pic>
              </a:graphicData>
            </a:graphic>
          </wp:inline>
        </w:drawing>
      </w:r>
    </w:p>
    <w:p w:rsidR="00604794" w:rsidRDefault="00AF5403">
      <w:pPr>
        <w:pStyle w:val="Prrafodelista"/>
        <w:widowControl w:val="0"/>
        <w:tabs>
          <w:tab w:val="left" w:pos="1701"/>
          <w:tab w:val="left" w:pos="1843"/>
        </w:tabs>
        <w:spacing w:beforeAutospacing="1" w:afterAutospacing="1" w:line="360" w:lineRule="auto"/>
        <w:ind w:left="0"/>
        <w:jc w:val="both"/>
        <w:rPr>
          <w:rFonts w:ascii="Palatino Linotype" w:hAnsi="Palatino Linotype" w:cs="Arial"/>
        </w:rPr>
      </w:pPr>
      <w:r>
        <w:rPr>
          <w:noProof/>
          <w:lang w:eastAsia="es-MX"/>
        </w:rPr>
        <w:lastRenderedPageBreak/>
        <w:drawing>
          <wp:inline distT="0" distB="0" distL="0" distR="0">
            <wp:extent cx="5772150" cy="3493770"/>
            <wp:effectExtent l="0" t="0" r="0" b="0"/>
            <wp:docPr id="35"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n 37"/>
                    <pic:cNvPicPr>
                      <a:picLocks noChangeAspect="1" noChangeArrowheads="1"/>
                    </pic:cNvPicPr>
                  </pic:nvPicPr>
                  <pic:blipFill>
                    <a:blip r:embed="rId31"/>
                    <a:stretch>
                      <a:fillRect/>
                    </a:stretch>
                  </pic:blipFill>
                  <pic:spPr bwMode="auto">
                    <a:xfrm>
                      <a:off x="0" y="0"/>
                      <a:ext cx="5772150" cy="3493770"/>
                    </a:xfrm>
                    <a:prstGeom prst="rect">
                      <a:avLst/>
                    </a:prstGeom>
                  </pic:spPr>
                </pic:pic>
              </a:graphicData>
            </a:graphic>
          </wp:inline>
        </w:drawing>
      </w:r>
      <w:r>
        <w:rPr>
          <w:noProof/>
          <w:lang w:eastAsia="es-MX"/>
        </w:rPr>
        <mc:AlternateContent>
          <mc:Choice Requires="wps">
            <w:drawing>
              <wp:anchor distT="0" distB="0" distL="0" distR="0" simplePos="0" relativeHeight="97" behindDoc="0" locked="0" layoutInCell="1" allowOverlap="1" wp14:anchorId="71F5B4D7">
                <wp:simplePos x="0" y="0"/>
                <wp:positionH relativeFrom="column">
                  <wp:posOffset>147955</wp:posOffset>
                </wp:positionH>
                <wp:positionV relativeFrom="paragraph">
                  <wp:posOffset>110490</wp:posOffset>
                </wp:positionV>
                <wp:extent cx="3166745" cy="171450"/>
                <wp:effectExtent l="57150" t="19050" r="53340" b="76835"/>
                <wp:wrapNone/>
                <wp:docPr id="33" name="Rectángulo 45"/>
                <wp:cNvGraphicFramePr/>
                <a:graphic xmlns:a="http://schemas.openxmlformats.org/drawingml/2006/main">
                  <a:graphicData uri="http://schemas.microsoft.com/office/word/2010/wordprocessingShape">
                    <wps:wsp>
                      <wps:cNvSpPr/>
                      <wps:spPr>
                        <a:xfrm>
                          <a:off x="0" y="0"/>
                          <a:ext cx="3166200" cy="170640"/>
                        </a:xfrm>
                        <a:prstGeom prst="rect">
                          <a:avLst/>
                        </a:prstGeom>
                        <a:noFill/>
                        <a:ln w="19080">
                          <a:solidFill>
                            <a:srgbClr val="FF0000"/>
                          </a:solidFill>
                          <a:round/>
                        </a:ln>
                        <a:effectLst>
                          <a:outerShdw blurRad="40000" dist="23040" dir="5400000" rotWithShape="0">
                            <a:srgbClr val="000000">
                              <a:alpha val="35000"/>
                            </a:srgbClr>
                          </a:outerShdw>
                        </a:effectLst>
                      </wps:spPr>
                      <wps:style>
                        <a:lnRef idx="1">
                          <a:schemeClr val="accent1"/>
                        </a:lnRef>
                        <a:fillRef idx="3">
                          <a:schemeClr val="accent1"/>
                        </a:fillRef>
                        <a:effectRef idx="2">
                          <a:schemeClr val="accent1"/>
                        </a:effectRef>
                        <a:fontRef idx="minor"/>
                      </wps:style>
                      <wps:bodyPr/>
                    </wps:wsp>
                  </a:graphicData>
                </a:graphic>
              </wp:anchor>
            </w:drawing>
          </mc:Choice>
          <mc:Fallback>
            <w:pict>
              <v:rect id="shape_0" ID="Rectángulo 45" stroked="t" style="position:absolute;margin-left:11.65pt;margin-top:8.7pt;width:249.25pt;height:13.4pt" wp14:anchorId="71F5B4D7">
                <w10:wrap type="none"/>
                <v:fill o:detectmouseclick="t" on="false"/>
                <v:stroke color="red" weight="19080" joinstyle="round" endcap="flat"/>
                <v:shadow on="t" obscured="f" color="black"/>
              </v:rect>
            </w:pict>
          </mc:Fallback>
        </mc:AlternateContent>
      </w:r>
      <w:r>
        <w:rPr>
          <w:noProof/>
          <w:lang w:eastAsia="es-MX"/>
        </w:rPr>
        <mc:AlternateContent>
          <mc:Choice Requires="wps">
            <w:drawing>
              <wp:anchor distT="0" distB="0" distL="0" distR="0" simplePos="0" relativeHeight="98" behindDoc="0" locked="0" layoutInCell="1" allowOverlap="1" wp14:anchorId="18EDB2EC">
                <wp:simplePos x="0" y="0"/>
                <wp:positionH relativeFrom="column">
                  <wp:posOffset>127635</wp:posOffset>
                </wp:positionH>
                <wp:positionV relativeFrom="paragraph">
                  <wp:posOffset>711200</wp:posOffset>
                </wp:positionV>
                <wp:extent cx="962660" cy="177800"/>
                <wp:effectExtent l="57150" t="19050" r="66675" b="70485"/>
                <wp:wrapNone/>
                <wp:docPr id="34" name="Rectángulo 46"/>
                <wp:cNvGraphicFramePr/>
                <a:graphic xmlns:a="http://schemas.openxmlformats.org/drawingml/2006/main">
                  <a:graphicData uri="http://schemas.microsoft.com/office/word/2010/wordprocessingShape">
                    <wps:wsp>
                      <wps:cNvSpPr/>
                      <wps:spPr>
                        <a:xfrm>
                          <a:off x="0" y="0"/>
                          <a:ext cx="961920" cy="177120"/>
                        </a:xfrm>
                        <a:prstGeom prst="rect">
                          <a:avLst/>
                        </a:prstGeom>
                        <a:noFill/>
                        <a:ln w="19080">
                          <a:solidFill>
                            <a:srgbClr val="FF0000"/>
                          </a:solidFill>
                          <a:round/>
                        </a:ln>
                        <a:effectLst>
                          <a:outerShdw blurRad="40000" dist="23040" dir="5400000" rotWithShape="0">
                            <a:srgbClr val="000000">
                              <a:alpha val="35000"/>
                            </a:srgbClr>
                          </a:outerShdw>
                        </a:effectLst>
                      </wps:spPr>
                      <wps:style>
                        <a:lnRef idx="1">
                          <a:schemeClr val="accent1"/>
                        </a:lnRef>
                        <a:fillRef idx="3">
                          <a:schemeClr val="accent1"/>
                        </a:fillRef>
                        <a:effectRef idx="2">
                          <a:schemeClr val="accent1"/>
                        </a:effectRef>
                        <a:fontRef idx="minor"/>
                      </wps:style>
                      <wps:bodyPr/>
                    </wps:wsp>
                  </a:graphicData>
                </a:graphic>
              </wp:anchor>
            </w:drawing>
          </mc:Choice>
          <mc:Fallback>
            <w:pict>
              <v:rect id="shape_0" ID="Rectángulo 46" stroked="t" style="position:absolute;margin-left:10.05pt;margin-top:56pt;width:75.7pt;height:13.9pt" wp14:anchorId="18EDB2EC">
                <w10:wrap type="none"/>
                <v:fill o:detectmouseclick="t" on="false"/>
                <v:stroke color="red" weight="19080" joinstyle="round" endcap="flat"/>
                <v:shadow on="t" obscured="f" color="black"/>
              </v:rect>
            </w:pict>
          </mc:Fallback>
        </mc:AlternateContent>
      </w:r>
    </w:p>
    <w:p w:rsidR="00604794" w:rsidRDefault="00AF5403">
      <w:pPr>
        <w:pStyle w:val="Prrafodelista"/>
        <w:widowControl w:val="0"/>
        <w:tabs>
          <w:tab w:val="left" w:pos="1701"/>
          <w:tab w:val="left" w:pos="1843"/>
        </w:tabs>
        <w:spacing w:beforeAutospacing="1" w:afterAutospacing="1" w:line="360" w:lineRule="auto"/>
        <w:ind w:left="0"/>
        <w:jc w:val="both"/>
        <w:rPr>
          <w:rFonts w:ascii="Palatino Linotype" w:hAnsi="Palatino Linotype" w:cs="Arial"/>
        </w:rPr>
      </w:pPr>
      <w:r>
        <w:rPr>
          <w:noProof/>
          <w:lang w:eastAsia="es-MX"/>
        </w:rPr>
        <w:drawing>
          <wp:inline distT="0" distB="0" distL="0" distR="0">
            <wp:extent cx="5710555" cy="3371215"/>
            <wp:effectExtent l="0" t="0" r="0" b="0"/>
            <wp:docPr id="36"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n 38"/>
                    <pic:cNvPicPr>
                      <a:picLocks noChangeAspect="1" noChangeArrowheads="1"/>
                    </pic:cNvPicPr>
                  </pic:nvPicPr>
                  <pic:blipFill>
                    <a:blip r:embed="rId32"/>
                    <a:stretch>
                      <a:fillRect/>
                    </a:stretch>
                  </pic:blipFill>
                  <pic:spPr bwMode="auto">
                    <a:xfrm>
                      <a:off x="0" y="0"/>
                      <a:ext cx="5710555" cy="3371215"/>
                    </a:xfrm>
                    <a:prstGeom prst="rect">
                      <a:avLst/>
                    </a:prstGeom>
                  </pic:spPr>
                </pic:pic>
              </a:graphicData>
            </a:graphic>
          </wp:inline>
        </w:drawing>
      </w:r>
    </w:p>
    <w:p w:rsidR="00604794" w:rsidRDefault="00AF5403">
      <w:pPr>
        <w:spacing w:beforeAutospacing="1" w:afterAutospacing="1" w:line="360" w:lineRule="auto"/>
        <w:contextualSpacing/>
        <w:jc w:val="both"/>
        <w:rPr>
          <w:rFonts w:ascii="Palatino Linotype" w:hAnsi="Palatino Linotype" w:cs="Arial"/>
        </w:rPr>
      </w:pPr>
      <w:r>
        <w:rPr>
          <w:rFonts w:ascii="Palatino Linotype" w:hAnsi="Palatino Linotype" w:cs="Arial"/>
        </w:rPr>
        <w:lastRenderedPageBreak/>
        <w:t xml:space="preserve">De dichas imágenes, se tiene que </w:t>
      </w:r>
      <w:r>
        <w:rPr>
          <w:rFonts w:ascii="Palatino Linotype" w:hAnsi="Palatino Linotype" w:cs="Arial"/>
          <w:b/>
        </w:rPr>
        <w:t>EL SUJETO OBLIGADO</w:t>
      </w:r>
      <w:r>
        <w:rPr>
          <w:rFonts w:ascii="Palatino Linotype" w:hAnsi="Palatino Linotype" w:cs="Arial"/>
        </w:rPr>
        <w:t xml:space="preserve"> realizó un pronunciamiento en el que hizo entrega de la legislación, fundamento legal y funciones que realiza el personal que ostenta puestos de dirección y subdirección y jefes de departamento u homólogos del Hospital referido en la solicitud y atendiendo a esto, este Instituto no está facultado para manifestarse sobre la veracidad del mismo, pues no existe precepto legal alguno en la Ley de la materia que lo faculte, vía recurso de revisión, pronunciarse al respecto.</w:t>
      </w:r>
    </w:p>
    <w:p w:rsidR="00604794" w:rsidRDefault="00604794">
      <w:pPr>
        <w:spacing w:line="360" w:lineRule="auto"/>
        <w:jc w:val="both"/>
        <w:rPr>
          <w:rFonts w:ascii="Palatino Linotype" w:hAnsi="Palatino Linotype" w:cs="Arial"/>
        </w:rPr>
      </w:pPr>
    </w:p>
    <w:p w:rsidR="00604794" w:rsidRDefault="00AF5403">
      <w:pPr>
        <w:spacing w:line="360" w:lineRule="auto"/>
        <w:jc w:val="both"/>
        <w:rPr>
          <w:rFonts w:ascii="Palatino Linotype" w:hAnsi="Palatino Linotype" w:cs="Arial"/>
          <w:lang w:val="es-ES"/>
        </w:rPr>
      </w:pPr>
      <w:r>
        <w:rPr>
          <w:rFonts w:ascii="Palatino Linotype" w:hAnsi="Palatino Linotype"/>
          <w:lang w:val="es-ES" w:eastAsia="es-MX"/>
        </w:rPr>
        <w:t xml:space="preserve">En razón de lo anteriormente expuesto, este Instituto determina que resultan </w:t>
      </w:r>
      <w:r>
        <w:rPr>
          <w:rFonts w:ascii="Palatino Linotype" w:hAnsi="Palatino Linotype"/>
          <w:b/>
          <w:lang w:val="es-ES" w:eastAsia="es-MX"/>
        </w:rPr>
        <w:t>parcialmente</w:t>
      </w:r>
      <w:r>
        <w:rPr>
          <w:rFonts w:ascii="Palatino Linotype" w:hAnsi="Palatino Linotype"/>
          <w:lang w:val="es-ES" w:eastAsia="es-MX"/>
        </w:rPr>
        <w:t xml:space="preserve"> </w:t>
      </w:r>
      <w:r>
        <w:rPr>
          <w:rFonts w:ascii="Palatino Linotype" w:hAnsi="Palatino Linotype"/>
          <w:b/>
          <w:lang w:val="es-ES" w:eastAsia="es-MX"/>
        </w:rPr>
        <w:t>fundadas</w:t>
      </w:r>
      <w:r>
        <w:rPr>
          <w:rFonts w:ascii="Palatino Linotype" w:hAnsi="Palatino Linotype"/>
          <w:lang w:val="es-ES" w:eastAsia="es-MX"/>
        </w:rPr>
        <w:t xml:space="preserve"> las razones o motivos de inconformidad expuestas por </w:t>
      </w:r>
      <w:r>
        <w:rPr>
          <w:rFonts w:ascii="Palatino Linotype" w:hAnsi="Palatino Linotype"/>
          <w:b/>
          <w:lang w:val="es-ES" w:eastAsia="es-MX"/>
        </w:rPr>
        <w:t>EL RECURRENTE</w:t>
      </w:r>
      <w:r>
        <w:rPr>
          <w:rFonts w:ascii="Palatino Linotype" w:hAnsi="Palatino Linotype"/>
          <w:lang w:val="es-ES" w:eastAsia="es-MX"/>
        </w:rPr>
        <w:t xml:space="preserve">; </w:t>
      </w:r>
      <w:r>
        <w:rPr>
          <w:rFonts w:ascii="Palatino Linotype" w:hAnsi="Palatino Linotype" w:cs="Arial"/>
          <w:lang w:val="es-ES"/>
        </w:rPr>
        <w:t>por lo que, lo procedente es</w:t>
      </w:r>
      <w:r>
        <w:rPr>
          <w:rFonts w:ascii="Palatino Linotype" w:hAnsi="Palatino Linotype" w:cs="Arial"/>
          <w:b/>
          <w:lang w:val="es-ES"/>
        </w:rPr>
        <w:t xml:space="preserve"> MODIFICAR </w:t>
      </w:r>
      <w:r>
        <w:rPr>
          <w:rFonts w:ascii="Palatino Linotype" w:hAnsi="Palatino Linotype" w:cs="Arial"/>
          <w:lang w:val="es-ES"/>
        </w:rPr>
        <w:t xml:space="preserve">la respuesta emitida por </w:t>
      </w:r>
      <w:r>
        <w:rPr>
          <w:rFonts w:ascii="Palatino Linotype" w:hAnsi="Palatino Linotype" w:cs="Arial"/>
          <w:b/>
          <w:lang w:val="es-ES"/>
        </w:rPr>
        <w:t xml:space="preserve">EL SUJETO OBLIGADO </w:t>
      </w:r>
      <w:r>
        <w:rPr>
          <w:rFonts w:ascii="Palatino Linotype" w:hAnsi="Palatino Linotype" w:cs="Arial"/>
          <w:lang w:val="es-ES"/>
        </w:rPr>
        <w:t xml:space="preserve">y </w:t>
      </w:r>
      <w:r>
        <w:rPr>
          <w:rFonts w:ascii="Palatino Linotype" w:hAnsi="Palatino Linotype" w:cs="Arial"/>
          <w:b/>
          <w:lang w:val="es-ES"/>
        </w:rPr>
        <w:t xml:space="preserve">ORDENAR </w:t>
      </w:r>
      <w:r>
        <w:rPr>
          <w:rFonts w:ascii="Palatino Linotype" w:hAnsi="Palatino Linotype" w:cs="Arial"/>
          <w:lang w:val="es-ES"/>
        </w:rPr>
        <w:t xml:space="preserve">haga entrega vía </w:t>
      </w:r>
      <w:r>
        <w:rPr>
          <w:rFonts w:ascii="Palatino Linotype" w:hAnsi="Palatino Linotype" w:cs="Arial"/>
          <w:b/>
          <w:lang w:val="es-ES"/>
        </w:rPr>
        <w:t>SAIMEX</w:t>
      </w:r>
      <w:r>
        <w:rPr>
          <w:rFonts w:ascii="Palatino Linotype" w:hAnsi="Palatino Linotype" w:cs="Arial"/>
          <w:lang w:val="es-ES"/>
        </w:rPr>
        <w:t xml:space="preserve"> de la información que ha quedado precisada en el cuerpo de la presente resolución, vía </w:t>
      </w:r>
      <w:r>
        <w:rPr>
          <w:rFonts w:ascii="Palatino Linotype" w:hAnsi="Palatino Linotype" w:cs="Arial"/>
          <w:b/>
          <w:lang w:val="es-ES"/>
        </w:rPr>
        <w:t>SAIMEX.</w:t>
      </w:r>
    </w:p>
    <w:p w:rsidR="00604794" w:rsidRDefault="00604794">
      <w:pPr>
        <w:spacing w:line="360" w:lineRule="auto"/>
        <w:jc w:val="both"/>
        <w:rPr>
          <w:rFonts w:ascii="Palatino Linotype" w:hAnsi="Palatino Linotype" w:cs="Arial"/>
          <w:sz w:val="20"/>
          <w:szCs w:val="20"/>
          <w:lang w:val="es-ES"/>
        </w:rPr>
      </w:pPr>
    </w:p>
    <w:p w:rsidR="00604794" w:rsidRDefault="00AF5403">
      <w:pPr>
        <w:spacing w:line="360" w:lineRule="auto"/>
        <w:jc w:val="both"/>
        <w:rPr>
          <w:rFonts w:ascii="Palatino Linotype" w:hAnsi="Palatino Linotype" w:cs="Arial"/>
          <w:lang w:val="es-ES"/>
        </w:rPr>
      </w:pPr>
      <w:r>
        <w:rPr>
          <w:rFonts w:ascii="Palatino Linotype" w:eastAsia="Calibri" w:hAnsi="Palatino Linotype" w:cs="Arial"/>
        </w:rPr>
        <w:t xml:space="preserve">Así, con fundamento en lo prescrito en los artículos 5, párrafos </w:t>
      </w:r>
      <w:r>
        <w:rPr>
          <w:rFonts w:ascii="Palatino Linotype" w:hAnsi="Palatino Linotype"/>
        </w:rPr>
        <w:t xml:space="preserve">vigésimo </w:t>
      </w:r>
      <w:r>
        <w:rPr>
          <w:rFonts w:ascii="Palatino Linotype" w:hAnsi="Palatino Linotype" w:cs="Arial"/>
        </w:rPr>
        <w:t>segundo,</w:t>
      </w:r>
      <w:r>
        <w:rPr>
          <w:rFonts w:ascii="Palatino Linotype" w:hAnsi="Palatino Linotype"/>
        </w:rPr>
        <w:t xml:space="preserve"> vigésimo tercero y vigésimo cuarto, fracciones IV y V </w:t>
      </w:r>
      <w:r>
        <w:rPr>
          <w:rFonts w:ascii="Palatino Linotype" w:eastAsia="Calibri" w:hAnsi="Palatino Linotype" w:cs="Arial"/>
        </w:rPr>
        <w:t xml:space="preserve">de la Constitución Política del Estado Libre y Soberano de México; </w:t>
      </w:r>
      <w:r>
        <w:rPr>
          <w:rFonts w:ascii="Palatino Linotype" w:hAnsi="Palatino Linotype" w:cs="Arial"/>
        </w:rPr>
        <w:t>2, fracción II, 9, 29, 36, fracciones I y II, 176, 178, 179, 181, 185, fracción I, 186 y 188</w:t>
      </w:r>
      <w:r>
        <w:rPr>
          <w:rFonts w:ascii="Palatino Linotype" w:eastAsia="Calibri" w:hAnsi="Palatino Linotype" w:cs="Arial"/>
        </w:rPr>
        <w:t xml:space="preserve"> de la Ley de Transparencia y Acceso a la Información Pública del Estado de México y Municipios, este Pleno:</w:t>
      </w:r>
    </w:p>
    <w:p w:rsidR="00604794" w:rsidRDefault="00604794">
      <w:pPr>
        <w:jc w:val="center"/>
        <w:rPr>
          <w:rFonts w:ascii="Palatino Linotype" w:eastAsia="Calibri" w:hAnsi="Palatino Linotype" w:cs="Arial"/>
          <w:b/>
          <w:spacing w:val="30"/>
          <w:sz w:val="28"/>
        </w:rPr>
      </w:pPr>
    </w:p>
    <w:p w:rsidR="00604794" w:rsidRDefault="00AF5403">
      <w:pPr>
        <w:jc w:val="center"/>
        <w:rPr>
          <w:rFonts w:ascii="Palatino Linotype" w:eastAsia="Calibri" w:hAnsi="Palatino Linotype" w:cs="Arial"/>
          <w:b/>
          <w:spacing w:val="30"/>
          <w:sz w:val="28"/>
        </w:rPr>
      </w:pPr>
      <w:r>
        <w:rPr>
          <w:rFonts w:ascii="Palatino Linotype" w:eastAsia="Calibri" w:hAnsi="Palatino Linotype" w:cs="Arial"/>
          <w:b/>
          <w:spacing w:val="30"/>
          <w:sz w:val="28"/>
        </w:rPr>
        <w:t>RESUELVE</w:t>
      </w:r>
    </w:p>
    <w:p w:rsidR="00604794" w:rsidRDefault="00AF5403">
      <w:pPr>
        <w:pStyle w:val="Prrafodelista"/>
        <w:widowControl w:val="0"/>
        <w:numPr>
          <w:ilvl w:val="0"/>
          <w:numId w:val="1"/>
        </w:numPr>
        <w:tabs>
          <w:tab w:val="left" w:pos="1701"/>
        </w:tabs>
        <w:spacing w:before="240" w:line="360" w:lineRule="auto"/>
        <w:ind w:left="0" w:firstLine="0"/>
        <w:jc w:val="both"/>
        <w:rPr>
          <w:rFonts w:ascii="Palatino Linotype" w:hAnsi="Palatino Linotype" w:cs="Arial"/>
        </w:rPr>
      </w:pPr>
      <w:r>
        <w:rPr>
          <w:rFonts w:ascii="Palatino Linotype" w:hAnsi="Palatino Linotype" w:cs="Arial"/>
        </w:rPr>
        <w:t xml:space="preserve">Resultan </w:t>
      </w:r>
      <w:r>
        <w:rPr>
          <w:rFonts w:ascii="Palatino Linotype" w:hAnsi="Palatino Linotype" w:cs="Arial"/>
          <w:b/>
        </w:rPr>
        <w:t>parcialmente</w:t>
      </w:r>
      <w:r>
        <w:rPr>
          <w:rFonts w:ascii="Palatino Linotype" w:hAnsi="Palatino Linotype" w:cs="Arial"/>
        </w:rPr>
        <w:t xml:space="preserve"> </w:t>
      </w:r>
      <w:r>
        <w:rPr>
          <w:rFonts w:ascii="Palatino Linotype" w:hAnsi="Palatino Linotype" w:cs="Arial"/>
          <w:b/>
        </w:rPr>
        <w:t>fundadas</w:t>
      </w:r>
      <w:r>
        <w:rPr>
          <w:rFonts w:ascii="Palatino Linotype" w:hAnsi="Palatino Linotype" w:cs="Arial"/>
        </w:rPr>
        <w:t xml:space="preserve"> las </w:t>
      </w:r>
      <w:r>
        <w:rPr>
          <w:rFonts w:ascii="Palatino Linotype" w:hAnsi="Palatino Linotype"/>
          <w:shd w:val="clear" w:color="auto" w:fill="FFFFFF"/>
        </w:rPr>
        <w:t>razones</w:t>
      </w:r>
      <w:r>
        <w:rPr>
          <w:rFonts w:ascii="Palatino Linotype" w:hAnsi="Palatino Linotype" w:cs="Arial"/>
        </w:rPr>
        <w:t xml:space="preserve"> o motivos de inconformidad hechas valer por </w:t>
      </w:r>
      <w:r>
        <w:rPr>
          <w:rFonts w:ascii="Palatino Linotype" w:hAnsi="Palatino Linotype"/>
          <w:b/>
        </w:rPr>
        <w:t>EL</w:t>
      </w:r>
      <w:r>
        <w:rPr>
          <w:rFonts w:ascii="Palatino Linotype" w:hAnsi="Palatino Linotype" w:cs="Arial"/>
          <w:b/>
        </w:rPr>
        <w:t xml:space="preserve"> RECURRENTE,</w:t>
      </w:r>
      <w:r>
        <w:rPr>
          <w:rFonts w:ascii="Palatino Linotype" w:hAnsi="Palatino Linotype" w:cs="Arial"/>
        </w:rPr>
        <w:t xml:space="preserve"> en términos del Considerando </w:t>
      </w:r>
      <w:r>
        <w:rPr>
          <w:rFonts w:ascii="Palatino Linotype" w:hAnsi="Palatino Linotype" w:cs="Arial"/>
          <w:b/>
        </w:rPr>
        <w:t>QUINTO</w:t>
      </w:r>
      <w:r>
        <w:rPr>
          <w:rFonts w:ascii="Palatino Linotype" w:hAnsi="Palatino Linotype" w:cs="Arial"/>
        </w:rPr>
        <w:t xml:space="preserve"> de la presente resolución.</w:t>
      </w:r>
    </w:p>
    <w:p w:rsidR="00604794" w:rsidRDefault="00AF5403">
      <w:pPr>
        <w:pStyle w:val="Prrafodelista"/>
        <w:widowControl w:val="0"/>
        <w:numPr>
          <w:ilvl w:val="0"/>
          <w:numId w:val="1"/>
        </w:numPr>
        <w:tabs>
          <w:tab w:val="left" w:pos="1701"/>
        </w:tabs>
        <w:spacing w:before="240" w:afterAutospacing="1" w:line="360" w:lineRule="auto"/>
        <w:ind w:left="0" w:firstLine="0"/>
        <w:jc w:val="both"/>
        <w:rPr>
          <w:rFonts w:ascii="Palatino Linotype" w:hAnsi="Palatino Linotype"/>
          <w:color w:val="000000" w:themeColor="text1"/>
        </w:rPr>
      </w:pPr>
      <w:r>
        <w:rPr>
          <w:rFonts w:ascii="Palatino Linotype" w:hAnsi="Palatino Linotype" w:cs="Arial"/>
          <w:color w:val="000000" w:themeColor="text1"/>
        </w:rPr>
        <w:lastRenderedPageBreak/>
        <w:t xml:space="preserve">Se </w:t>
      </w:r>
      <w:r>
        <w:rPr>
          <w:rFonts w:ascii="Palatino Linotype" w:hAnsi="Palatino Linotype" w:cs="Arial"/>
          <w:b/>
          <w:color w:val="000000" w:themeColor="text1"/>
        </w:rPr>
        <w:t xml:space="preserve">MODIFICA </w:t>
      </w:r>
      <w:r>
        <w:rPr>
          <w:rFonts w:ascii="Palatino Linotype" w:hAnsi="Palatino Linotype" w:cs="Arial"/>
          <w:color w:val="000000" w:themeColor="text1"/>
        </w:rPr>
        <w:t xml:space="preserve">la respuesta del </w:t>
      </w:r>
      <w:r>
        <w:rPr>
          <w:rFonts w:ascii="Palatino Linotype" w:hAnsi="Palatino Linotype" w:cs="Arial"/>
          <w:b/>
          <w:color w:val="000000" w:themeColor="text1"/>
        </w:rPr>
        <w:t>SUJETO OBLIGADO</w:t>
      </w:r>
      <w:r>
        <w:rPr>
          <w:rFonts w:ascii="Palatino Linotype" w:hAnsi="Palatino Linotype" w:cs="Arial"/>
          <w:color w:val="000000" w:themeColor="text1"/>
        </w:rPr>
        <w:t xml:space="preserve"> y se </w:t>
      </w:r>
      <w:r>
        <w:rPr>
          <w:rFonts w:ascii="Palatino Linotype" w:hAnsi="Palatino Linotype" w:cs="Arial"/>
          <w:b/>
          <w:color w:val="000000" w:themeColor="text1"/>
        </w:rPr>
        <w:t>ordena</w:t>
      </w:r>
      <w:r>
        <w:rPr>
          <w:rFonts w:ascii="Palatino Linotype" w:hAnsi="Palatino Linotype" w:cs="Arial"/>
          <w:color w:val="000000" w:themeColor="text1"/>
        </w:rPr>
        <w:t xml:space="preserve"> atienda la solicitud de información pública motivo del recurso de revisión </w:t>
      </w:r>
      <w:r>
        <w:rPr>
          <w:rFonts w:ascii="Palatino Linotype" w:hAnsi="Palatino Linotype"/>
          <w:b/>
          <w:lang w:val="es-ES_tradnl"/>
        </w:rPr>
        <w:t>01237/INFOEM/IP/RR/2020</w:t>
      </w:r>
      <w:r>
        <w:rPr>
          <w:rFonts w:ascii="Palatino Linotype" w:hAnsi="Palatino Linotype" w:cs="Arial"/>
          <w:b/>
          <w:bCs/>
          <w:color w:val="000000" w:themeColor="text1"/>
        </w:rPr>
        <w:t xml:space="preserve">, </w:t>
      </w:r>
      <w:r>
        <w:rPr>
          <w:rFonts w:ascii="Palatino Linotype" w:hAnsi="Palatino Linotype" w:cs="Arial"/>
          <w:bCs/>
          <w:color w:val="000000" w:themeColor="text1"/>
        </w:rPr>
        <w:t>y haga entrega</w:t>
      </w:r>
      <w:r>
        <w:rPr>
          <w:rFonts w:ascii="Palatino Linotype" w:hAnsi="Palatino Linotype" w:cs="Arial"/>
          <w:b/>
          <w:bCs/>
          <w:color w:val="000000" w:themeColor="text1"/>
        </w:rPr>
        <w:t xml:space="preserve"> </w:t>
      </w:r>
      <w:r>
        <w:rPr>
          <w:rFonts w:ascii="Palatino Linotype" w:hAnsi="Palatino Linotype" w:cs="Arial"/>
          <w:color w:val="000000" w:themeColor="text1"/>
        </w:rPr>
        <w:t xml:space="preserve">al </w:t>
      </w:r>
      <w:r>
        <w:rPr>
          <w:rFonts w:ascii="Palatino Linotype" w:hAnsi="Palatino Linotype" w:cs="Arial"/>
          <w:b/>
          <w:color w:val="000000" w:themeColor="text1"/>
        </w:rPr>
        <w:t>RECURRENTE</w:t>
      </w:r>
      <w:r>
        <w:rPr>
          <w:rFonts w:ascii="Palatino Linotype" w:hAnsi="Palatino Linotype" w:cs="Arial"/>
          <w:color w:val="000000" w:themeColor="text1"/>
        </w:rPr>
        <w:t xml:space="preserve">, vía </w:t>
      </w:r>
      <w:r>
        <w:rPr>
          <w:rFonts w:ascii="Palatino Linotype" w:hAnsi="Palatino Linotype" w:cs="Arial"/>
          <w:b/>
          <w:color w:val="000000" w:themeColor="text1"/>
        </w:rPr>
        <w:t>EL</w:t>
      </w:r>
      <w:r>
        <w:rPr>
          <w:rFonts w:ascii="Palatino Linotype" w:hAnsi="Palatino Linotype" w:cs="Arial"/>
          <w:color w:val="000000" w:themeColor="text1"/>
        </w:rPr>
        <w:t xml:space="preserve"> </w:t>
      </w:r>
      <w:r>
        <w:rPr>
          <w:rFonts w:ascii="Palatino Linotype" w:hAnsi="Palatino Linotype" w:cs="Arial"/>
          <w:b/>
          <w:color w:val="000000" w:themeColor="text1"/>
        </w:rPr>
        <w:t>SAIMEX</w:t>
      </w:r>
      <w:r>
        <w:rPr>
          <w:rFonts w:ascii="Palatino Linotype" w:hAnsi="Palatino Linotype" w:cs="Arial"/>
          <w:color w:val="000000" w:themeColor="text1"/>
        </w:rPr>
        <w:t xml:space="preserve">, en </w:t>
      </w:r>
      <w:r>
        <w:rPr>
          <w:rFonts w:ascii="Palatino Linotype" w:hAnsi="Palatino Linotype"/>
          <w:color w:val="000000" w:themeColor="text1"/>
          <w:lang w:eastAsia="es-ES_tradnl"/>
        </w:rPr>
        <w:t>términos</w:t>
      </w:r>
      <w:r>
        <w:rPr>
          <w:rFonts w:ascii="Palatino Linotype" w:hAnsi="Palatino Linotype" w:cs="Arial"/>
          <w:color w:val="000000" w:themeColor="text1"/>
        </w:rPr>
        <w:t xml:space="preserve"> del Considerando </w:t>
      </w:r>
      <w:r>
        <w:rPr>
          <w:rFonts w:ascii="Palatino Linotype" w:hAnsi="Palatino Linotype" w:cs="Arial"/>
          <w:b/>
          <w:color w:val="000000" w:themeColor="text1"/>
        </w:rPr>
        <w:t>QUINTO</w:t>
      </w:r>
      <w:r>
        <w:rPr>
          <w:rFonts w:ascii="Palatino Linotype" w:hAnsi="Palatino Linotype" w:cs="Arial"/>
          <w:color w:val="000000" w:themeColor="text1"/>
        </w:rPr>
        <w:t xml:space="preserve"> </w:t>
      </w:r>
      <w:r>
        <w:rPr>
          <w:rFonts w:ascii="Palatino Linotype" w:hAnsi="Palatino Linotype"/>
          <w:color w:val="000000" w:themeColor="text1"/>
        </w:rPr>
        <w:t xml:space="preserve">de la presente resolución, </w:t>
      </w:r>
      <w:r>
        <w:rPr>
          <w:rFonts w:ascii="Palatino Linotype" w:hAnsi="Palatino Linotype" w:cs="Arial"/>
          <w:lang w:val="es-ES"/>
        </w:rPr>
        <w:t xml:space="preserve">de lo siguiente: </w:t>
      </w:r>
    </w:p>
    <w:p w:rsidR="00604794" w:rsidRDefault="00AF5403">
      <w:pPr>
        <w:ind w:left="851" w:right="902"/>
        <w:jc w:val="both"/>
        <w:rPr>
          <w:rFonts w:ascii="Palatino Linotype" w:hAnsi="Palatino Linotype"/>
          <w:i/>
          <w:iCs/>
          <w:color w:val="000000" w:themeColor="text1"/>
          <w:sz w:val="22"/>
          <w:szCs w:val="22"/>
          <w:lang w:eastAsia="es-MX"/>
        </w:rPr>
      </w:pPr>
      <w:r>
        <w:rPr>
          <w:rFonts w:ascii="Palatino Linotype" w:hAnsi="Palatino Linotype"/>
          <w:i/>
          <w:iCs/>
          <w:color w:val="000000" w:themeColor="text1"/>
          <w:sz w:val="22"/>
          <w:szCs w:val="22"/>
          <w:lang w:eastAsia="es-MX"/>
        </w:rPr>
        <w:t>“La normatividad tal como Reglamentos, Acuerdos, Decretos y/o Lineamientos vigentes al 4 de febrero de 2020 que regulan las relaciones laborales entre los trabajadores y el Hospital General “Dr. José Ma. Rodríguez.”</w:t>
      </w:r>
    </w:p>
    <w:p w:rsidR="00604794" w:rsidRDefault="00604794">
      <w:pPr>
        <w:ind w:left="851" w:right="902"/>
        <w:jc w:val="both"/>
        <w:rPr>
          <w:rFonts w:ascii="Palatino Linotype" w:hAnsi="Palatino Linotype"/>
          <w:i/>
          <w:iCs/>
          <w:color w:val="222222"/>
          <w:sz w:val="22"/>
          <w:szCs w:val="22"/>
          <w:lang w:eastAsia="es-MX"/>
        </w:rPr>
      </w:pPr>
    </w:p>
    <w:p w:rsidR="00604794" w:rsidRDefault="00AF5403">
      <w:pPr>
        <w:pStyle w:val="Prrafodelista"/>
        <w:widowControl w:val="0"/>
        <w:numPr>
          <w:ilvl w:val="0"/>
          <w:numId w:val="1"/>
        </w:numPr>
        <w:tabs>
          <w:tab w:val="left" w:pos="1701"/>
        </w:tabs>
        <w:spacing w:before="240" w:line="360" w:lineRule="auto"/>
        <w:ind w:left="0" w:firstLine="0"/>
        <w:jc w:val="both"/>
        <w:rPr>
          <w:rFonts w:ascii="Palatino Linotype" w:hAnsi="Palatino Linotype"/>
          <w:highlight w:val="white"/>
        </w:rPr>
      </w:pPr>
      <w:r>
        <w:rPr>
          <w:rFonts w:ascii="Palatino Linotype" w:hAnsi="Palatino Linotype"/>
          <w:b/>
          <w:szCs w:val="17"/>
          <w:lang w:eastAsia="es-ES_tradnl"/>
        </w:rPr>
        <w:t>Notifíquese</w:t>
      </w:r>
      <w:r>
        <w:rPr>
          <w:rFonts w:ascii="Palatino Linotype" w:hAnsi="Palatino Linotype"/>
          <w:szCs w:val="17"/>
          <w:lang w:eastAsia="es-ES_tradnl"/>
        </w:rPr>
        <w:t xml:space="preserve"> </w:t>
      </w:r>
      <w:r>
        <w:rPr>
          <w:rFonts w:ascii="Palatino Linotype" w:hAnsi="Palatino Linotype"/>
          <w:shd w:val="clear" w:color="auto" w:fill="FFFFFF"/>
        </w:rPr>
        <w:t xml:space="preserve">al </w:t>
      </w:r>
      <w:r>
        <w:rPr>
          <w:rFonts w:ascii="Palatino Linotype" w:hAnsi="Palatino Linotype" w:cs="Arial"/>
        </w:rPr>
        <w:t>Titular</w:t>
      </w:r>
      <w:r>
        <w:rPr>
          <w:rFonts w:ascii="Palatino Linotype" w:hAnsi="Palatino Linotype"/>
          <w:shd w:val="clear" w:color="auto" w:fill="FFFFFF"/>
        </w:rPr>
        <w:t xml:space="preserve"> de la Unidad de Transparencia del</w:t>
      </w:r>
      <w:r>
        <w:rPr>
          <w:rStyle w:val="apple-converted-space"/>
          <w:rFonts w:ascii="Palatino Linotype" w:hAnsi="Palatino Linotype"/>
          <w:b/>
          <w:shd w:val="clear" w:color="auto" w:fill="FFFFFF"/>
        </w:rPr>
        <w:t xml:space="preserve"> </w:t>
      </w:r>
      <w:r>
        <w:rPr>
          <w:rFonts w:ascii="Palatino Linotype" w:hAnsi="Palatino Linotype"/>
          <w:b/>
          <w:shd w:val="clear" w:color="auto" w:fill="FFFFFF"/>
        </w:rPr>
        <w:t>SUJETO OBLIGADO</w:t>
      </w:r>
      <w:r>
        <w:rPr>
          <w:rFonts w:ascii="Palatino Linotype" w:hAnsi="Palatino Linotype"/>
          <w:shd w:val="clear" w:color="auto" w:fill="FFFFFF"/>
        </w:rPr>
        <w:t xml:space="preserve"> para que, </w:t>
      </w:r>
      <w:r>
        <w:rPr>
          <w:rFonts w:ascii="Palatino Linotype" w:hAnsi="Palatino Linotype" w:cs="Arial"/>
        </w:rPr>
        <w:t>conforme</w:t>
      </w:r>
      <w:r>
        <w:rPr>
          <w:rFonts w:ascii="Palatino Linotype" w:hAnsi="Palatino Linotype"/>
          <w:shd w:val="clear" w:color="auto" w:fill="FFFFFF"/>
        </w:rPr>
        <w:t xml:space="preserve"> a los artículos 186, último párrafo y 189, párrafo segundo de la Ley de </w:t>
      </w:r>
      <w:r>
        <w:rPr>
          <w:rFonts w:ascii="Palatino Linotype" w:hAnsi="Palatino Linotype"/>
          <w:szCs w:val="17"/>
          <w:lang w:eastAsia="es-ES_tradnl"/>
        </w:rPr>
        <w:t>Transparencia</w:t>
      </w:r>
      <w:r>
        <w:rPr>
          <w:rFonts w:ascii="Palatino Linotype" w:hAnsi="Palatino Linotype"/>
          <w:shd w:val="clear" w:color="auto" w:fill="FFFFFF"/>
        </w:rPr>
        <w:t xml:space="preserve"> y </w:t>
      </w:r>
      <w:r>
        <w:rPr>
          <w:rFonts w:ascii="Palatino Linotype" w:hAnsi="Palatino Linotype" w:cs="Arial"/>
        </w:rPr>
        <w:t>Acceso</w:t>
      </w:r>
      <w:r>
        <w:rPr>
          <w:rFonts w:ascii="Palatino Linotype" w:hAnsi="Palatino Linotype"/>
          <w:shd w:val="clear" w:color="auto" w:fill="FFFFFF"/>
        </w:rPr>
        <w:t xml:space="preserve"> a la Información Pública del Estado de México y Municipios, dé </w:t>
      </w:r>
      <w:r>
        <w:rPr>
          <w:rFonts w:ascii="Palatino Linotype" w:hAnsi="Palatino Linotype" w:cs="Arial"/>
        </w:rPr>
        <w:t>cumplimiento</w:t>
      </w:r>
      <w:r>
        <w:rPr>
          <w:rFonts w:ascii="Palatino Linotype" w:hAnsi="Palatino Linotype"/>
          <w:shd w:val="clear" w:color="auto" w:fill="FFFFFF"/>
        </w:rPr>
        <w:t xml:space="preserve"> a lo ordenado dentro del plazo de diez días hábiles, debiendo informar a este Instituto en un plazo </w:t>
      </w:r>
      <w:r>
        <w:rPr>
          <w:rFonts w:ascii="Palatino Linotype" w:eastAsiaTheme="minorEastAsia" w:hAnsi="Palatino Linotype"/>
          <w:szCs w:val="17"/>
          <w:lang w:eastAsia="es-ES_tradnl"/>
        </w:rPr>
        <w:t>de</w:t>
      </w:r>
      <w:r>
        <w:rPr>
          <w:rFonts w:ascii="Palatino Linotype" w:hAnsi="Palatino Linotype"/>
          <w:shd w:val="clear" w:color="auto" w:fill="FFFFFF"/>
        </w:rPr>
        <w:t xml:space="preserve"> tres días hábiles siguientes sobre el cumplimiento dado a la resolución.</w:t>
      </w:r>
    </w:p>
    <w:p w:rsidR="00604794" w:rsidRDefault="00AF5403">
      <w:pPr>
        <w:pStyle w:val="Prrafodelista"/>
        <w:widowControl w:val="0"/>
        <w:numPr>
          <w:ilvl w:val="0"/>
          <w:numId w:val="1"/>
        </w:numPr>
        <w:tabs>
          <w:tab w:val="left" w:pos="1701"/>
        </w:tabs>
        <w:spacing w:before="240" w:line="360" w:lineRule="auto"/>
        <w:ind w:left="0" w:firstLine="0"/>
        <w:jc w:val="both"/>
        <w:rPr>
          <w:rFonts w:ascii="Palatino Linotype" w:hAnsi="Palatino Linotype"/>
          <w:highlight w:val="white"/>
        </w:rPr>
      </w:pPr>
      <w:r>
        <w:rPr>
          <w:rFonts w:ascii="Palatino Linotype" w:hAnsi="Palatino Linotype"/>
          <w:shd w:val="clear" w:color="auto" w:fill="FFFFFF"/>
        </w:rPr>
        <w:t xml:space="preserve">Con fundamento en el artículo 198 de la Ley de Transparencia y Acceso a la Información Pública del Estado de México y Municipios, se apercibe al </w:t>
      </w:r>
      <w:r>
        <w:rPr>
          <w:rFonts w:ascii="Palatino Linotype" w:hAnsi="Palatino Linotype"/>
          <w:b/>
          <w:shd w:val="clear" w:color="auto" w:fill="FFFFFF"/>
        </w:rPr>
        <w:t>SUJETO OBLIGADO</w:t>
      </w:r>
      <w:r>
        <w:rPr>
          <w:rFonts w:ascii="Palatino Linotype" w:hAnsi="Palatino Linotype"/>
          <w:shd w:val="clear" w:color="auto" w:fill="FFFFFF"/>
        </w:rPr>
        <w:t xml:space="preserve"> que, en caso de negarse a cumplir la presente resolución o hacerlo de manera parcial se actuará de conformidad con lo previsto en los artículos 213, 214, 216 y 217 de dicha Ley.</w:t>
      </w:r>
    </w:p>
    <w:p w:rsidR="00604794" w:rsidRDefault="00AF5403">
      <w:pPr>
        <w:pStyle w:val="Prrafodelista"/>
        <w:widowControl w:val="0"/>
        <w:numPr>
          <w:ilvl w:val="0"/>
          <w:numId w:val="1"/>
        </w:numPr>
        <w:tabs>
          <w:tab w:val="left" w:pos="1701"/>
        </w:tabs>
        <w:spacing w:before="240" w:line="360" w:lineRule="auto"/>
        <w:ind w:left="0" w:firstLine="0"/>
        <w:jc w:val="both"/>
        <w:rPr>
          <w:rFonts w:ascii="Palatino Linotype" w:hAnsi="Palatino Linotype"/>
          <w:szCs w:val="17"/>
          <w:lang w:eastAsia="es-ES_tradnl"/>
        </w:rPr>
      </w:pPr>
      <w:r>
        <w:rPr>
          <w:rFonts w:ascii="Palatino Linotype" w:hAnsi="Palatino Linotype"/>
          <w:b/>
          <w:szCs w:val="17"/>
          <w:lang w:eastAsia="es-ES_tradnl"/>
        </w:rPr>
        <w:t>Notifíquese</w:t>
      </w:r>
      <w:r>
        <w:rPr>
          <w:rFonts w:ascii="Palatino Linotype" w:hAnsi="Palatino Linotype"/>
          <w:szCs w:val="17"/>
          <w:lang w:eastAsia="es-ES_tradnl"/>
        </w:rPr>
        <w:t xml:space="preserve"> al</w:t>
      </w:r>
      <w:r>
        <w:rPr>
          <w:rFonts w:ascii="Palatino Linotype" w:hAnsi="Palatino Linotype" w:cs="Arial"/>
          <w:b/>
        </w:rPr>
        <w:t xml:space="preserve"> RECURRENTE</w:t>
      </w:r>
      <w:r>
        <w:rPr>
          <w:rFonts w:ascii="Palatino Linotype" w:hAnsi="Palatino Linotype"/>
          <w:szCs w:val="17"/>
          <w:lang w:eastAsia="es-ES_tradnl"/>
        </w:rPr>
        <w:t xml:space="preserve"> la </w:t>
      </w:r>
      <w:r>
        <w:rPr>
          <w:rFonts w:ascii="Palatino Linotype" w:hAnsi="Palatino Linotype" w:cs="Arial"/>
        </w:rPr>
        <w:t>presente</w:t>
      </w:r>
      <w:r>
        <w:rPr>
          <w:rFonts w:ascii="Palatino Linotype" w:hAnsi="Palatino Linotype"/>
          <w:szCs w:val="17"/>
          <w:lang w:eastAsia="es-ES_tradnl"/>
        </w:rPr>
        <w:t xml:space="preserve"> </w:t>
      </w:r>
      <w:r>
        <w:rPr>
          <w:rFonts w:ascii="Palatino Linotype" w:hAnsi="Palatino Linotype"/>
          <w:shd w:val="clear" w:color="auto" w:fill="FFFFFF"/>
        </w:rPr>
        <w:t>resolución</w:t>
      </w:r>
      <w:r>
        <w:rPr>
          <w:rFonts w:ascii="Palatino Linotype" w:hAnsi="Palatino Linotype"/>
          <w:szCs w:val="17"/>
          <w:lang w:eastAsia="es-ES_tradnl"/>
        </w:rPr>
        <w:t>.</w:t>
      </w:r>
    </w:p>
    <w:p w:rsidR="00604794" w:rsidRDefault="00AF5403">
      <w:pPr>
        <w:pStyle w:val="Prrafodelista"/>
        <w:widowControl w:val="0"/>
        <w:numPr>
          <w:ilvl w:val="0"/>
          <w:numId w:val="1"/>
        </w:numPr>
        <w:tabs>
          <w:tab w:val="left" w:pos="1701"/>
        </w:tabs>
        <w:spacing w:before="240" w:afterAutospacing="1" w:line="360" w:lineRule="auto"/>
        <w:ind w:left="0" w:firstLine="0"/>
        <w:jc w:val="both"/>
        <w:rPr>
          <w:rFonts w:ascii="Palatino Linotype" w:hAnsi="Palatino Linotype"/>
          <w:szCs w:val="17"/>
          <w:lang w:eastAsia="es-ES_tradnl"/>
        </w:rPr>
      </w:pPr>
      <w:r>
        <w:rPr>
          <w:rFonts w:ascii="Palatino Linotype" w:hAnsi="Palatino Linotype"/>
          <w:b/>
          <w:szCs w:val="17"/>
          <w:lang w:eastAsia="es-ES_tradnl"/>
        </w:rPr>
        <w:t>Hágase</w:t>
      </w:r>
      <w:r>
        <w:rPr>
          <w:rFonts w:ascii="Palatino Linotype" w:hAnsi="Palatino Linotype"/>
          <w:szCs w:val="17"/>
          <w:lang w:eastAsia="es-ES_tradnl"/>
        </w:rPr>
        <w:t xml:space="preserve"> </w:t>
      </w:r>
      <w:r>
        <w:rPr>
          <w:rFonts w:ascii="Palatino Linotype" w:hAnsi="Palatino Linotype"/>
          <w:b/>
          <w:szCs w:val="17"/>
          <w:lang w:eastAsia="es-ES_tradnl"/>
        </w:rPr>
        <w:t>del conocimiento</w:t>
      </w:r>
      <w:r>
        <w:rPr>
          <w:rFonts w:ascii="Palatino Linotype" w:hAnsi="Palatino Linotype"/>
          <w:szCs w:val="17"/>
          <w:lang w:eastAsia="es-ES_tradnl"/>
        </w:rPr>
        <w:t xml:space="preserve"> </w:t>
      </w:r>
      <w:r>
        <w:rPr>
          <w:rFonts w:ascii="Palatino Linotype" w:hAnsi="Palatino Linotype"/>
        </w:rPr>
        <w:t>del</w:t>
      </w:r>
      <w:r>
        <w:rPr>
          <w:rFonts w:ascii="Palatino Linotype" w:hAnsi="Palatino Linotype" w:cs="Arial"/>
          <w:b/>
        </w:rPr>
        <w:t xml:space="preserve"> RECURRENTE</w:t>
      </w:r>
      <w:r>
        <w:rPr>
          <w:rFonts w:ascii="Palatino Linotype" w:hAnsi="Palatino Linotype"/>
        </w:rPr>
        <w:t xml:space="preserve"> </w:t>
      </w:r>
      <w:r>
        <w:rPr>
          <w:rFonts w:ascii="Palatino Linotype" w:hAnsi="Palatino Linotype"/>
          <w:szCs w:val="17"/>
          <w:lang w:eastAsia="es-ES_tradnl"/>
        </w:rPr>
        <w:t xml:space="preserve">que, de conformidad </w:t>
      </w:r>
      <w:r>
        <w:rPr>
          <w:rFonts w:ascii="Palatino Linotype" w:hAnsi="Palatino Linotype" w:cs="Arial"/>
        </w:rPr>
        <w:t>con</w:t>
      </w:r>
      <w:r>
        <w:rPr>
          <w:rFonts w:ascii="Palatino Linotype" w:hAnsi="Palatino Linotype"/>
          <w:szCs w:val="17"/>
          <w:lang w:eastAsia="es-ES_tradnl"/>
        </w:rPr>
        <w:t xml:space="preserve"> lo </w:t>
      </w:r>
      <w:r>
        <w:rPr>
          <w:rFonts w:ascii="Palatino Linotype" w:hAnsi="Palatino Linotype" w:cs="Arial"/>
        </w:rPr>
        <w:t>establecido</w:t>
      </w:r>
      <w:r>
        <w:rPr>
          <w:rFonts w:ascii="Palatino Linotype" w:hAnsi="Palatino Linotype"/>
          <w:szCs w:val="17"/>
          <w:lang w:eastAsia="es-ES_tradnl"/>
        </w:rPr>
        <w:t xml:space="preserve"> en el artículo 196 de la Ley de </w:t>
      </w:r>
      <w:r>
        <w:rPr>
          <w:rFonts w:ascii="Palatino Linotype" w:hAnsi="Palatino Linotype" w:cs="Arial"/>
        </w:rPr>
        <w:t>Transparencia</w:t>
      </w:r>
      <w:r>
        <w:rPr>
          <w:rFonts w:ascii="Palatino Linotype" w:hAnsi="Palatino Linotype"/>
          <w:szCs w:val="17"/>
          <w:lang w:eastAsia="es-ES_tradnl"/>
        </w:rPr>
        <w:t xml:space="preserve"> y </w:t>
      </w:r>
      <w:r>
        <w:rPr>
          <w:rFonts w:ascii="Palatino Linotype" w:hAnsi="Palatino Linotype" w:cs="Arial"/>
        </w:rPr>
        <w:t>Acceso</w:t>
      </w:r>
      <w:r>
        <w:rPr>
          <w:rFonts w:ascii="Palatino Linotype" w:hAnsi="Palatino Linotype"/>
          <w:szCs w:val="17"/>
          <w:lang w:eastAsia="es-ES_tradnl"/>
        </w:rPr>
        <w:t xml:space="preserve"> a la </w:t>
      </w:r>
      <w:r>
        <w:rPr>
          <w:rFonts w:ascii="Palatino Linotype" w:hAnsi="Palatino Linotype"/>
          <w:szCs w:val="17"/>
          <w:lang w:eastAsia="es-ES_tradnl"/>
        </w:rPr>
        <w:lastRenderedPageBreak/>
        <w:t xml:space="preserve">Información </w:t>
      </w:r>
      <w:r>
        <w:rPr>
          <w:rFonts w:ascii="Palatino Linotype" w:hAnsi="Palatino Linotype"/>
          <w:lang w:eastAsia="es-ES_tradnl"/>
        </w:rPr>
        <w:t>Pública</w:t>
      </w:r>
      <w:r>
        <w:rPr>
          <w:rFonts w:ascii="Palatino Linotype" w:hAnsi="Palatino Linotype"/>
          <w:szCs w:val="17"/>
          <w:lang w:eastAsia="es-ES_tradnl"/>
        </w:rPr>
        <w:t xml:space="preserve"> del Estado de México y Municipios, podrá impugnarla vía Juicio de Amparo en los términos de las leyes aplicables.</w:t>
      </w:r>
    </w:p>
    <w:p w:rsidR="00604794" w:rsidRDefault="00AF5403">
      <w:pPr>
        <w:spacing w:beforeAutospacing="1" w:afterAutospacing="1" w:line="360" w:lineRule="auto"/>
        <w:jc w:val="both"/>
        <w:rPr>
          <w:rFonts w:ascii="Palatino Linotype" w:hAnsi="Palatino Linotype" w:cs="Arial"/>
        </w:rPr>
      </w:pPr>
      <w:r>
        <w:rPr>
          <w:rFonts w:ascii="Palatino Linotype" w:hAnsi="Palatino Linotype" w:cs="Arial"/>
        </w:rPr>
        <w:t xml:space="preserve">ASÍ LO RESUELVE, </w:t>
      </w:r>
      <w:r w:rsidRPr="00387379">
        <w:rPr>
          <w:rFonts w:ascii="Palatino Linotype" w:hAnsi="Palatino Linotype" w:cs="Arial"/>
        </w:rPr>
        <w:t>POR UNANIMIDAD DE</w:t>
      </w:r>
      <w:r>
        <w:rPr>
          <w:rFonts w:ascii="Palatino Linotype" w:hAnsi="Palatino Linotype" w:cs="Arial"/>
        </w:rPr>
        <w:t xml:space="preserve"> VOTOS EL PLENO DEL</w:t>
      </w:r>
      <w:r>
        <w:rPr>
          <w:rFonts w:ascii="Palatino Linotype" w:eastAsia="Arial Unicode MS" w:hAnsi="Palatino Linotype" w:cs="Arial"/>
        </w:rPr>
        <w:t xml:space="preserve"> INSTITUTO DE </w:t>
      </w:r>
      <w:r>
        <w:rPr>
          <w:rFonts w:ascii="Palatino Linotype" w:hAnsi="Palatino Linotype"/>
          <w:lang w:eastAsia="en-US"/>
        </w:rPr>
        <w:t>TRANSPARENCIA</w:t>
      </w:r>
      <w:r>
        <w:rPr>
          <w:rFonts w:ascii="Palatino Linotype" w:eastAsia="Arial Unicode MS" w:hAnsi="Palatino Linotype" w:cs="Arial"/>
        </w:rPr>
        <w:t>, ACCESO A LA INFORMACIÓN PÚBLICA Y PROTECCIÓN DE DATOS PERSONALES DEL ESTADO DE MÉXICO Y MUNICIPIOS</w:t>
      </w:r>
      <w:r>
        <w:rPr>
          <w:rFonts w:ascii="Palatino Linotype" w:hAnsi="Palatino Linotype" w:cs="Arial"/>
        </w:rPr>
        <w:t>, CONFORMADO POR LOS COMISIONADOS ZULEMA MARTÍNEZ SÁNCHEZ; EVA ABAID YAPUR; JOSÉ GUADALUPE LUNA HERNÁNDEZ; JAVIER MARTÍNEZ CRUZ Y LUIS GUSTAVO PARRA NORIEGA; EN LA DÉCIMA TERCERA SESIÓN ORDINARIA CELEBRADA EL DÍA DOCE DE AGOSTO DE DOS MIL VEINTE, ANTE EL SECRETARIO TÉCNICO DEL PLENO, ALEXIS TAPIA RAMÍREZ.</w:t>
      </w:r>
    </w:p>
    <w:tbl>
      <w:tblPr>
        <w:tblW w:w="10074" w:type="dxa"/>
        <w:jc w:val="center"/>
        <w:tblLook w:val="04A0" w:firstRow="1" w:lastRow="0" w:firstColumn="1" w:lastColumn="0" w:noHBand="0" w:noVBand="1"/>
      </w:tblPr>
      <w:tblGrid>
        <w:gridCol w:w="4934"/>
        <w:gridCol w:w="4918"/>
        <w:gridCol w:w="222"/>
      </w:tblGrid>
      <w:tr w:rsidR="00604794">
        <w:trPr>
          <w:trHeight w:val="1510"/>
          <w:jc w:val="center"/>
        </w:trPr>
        <w:tc>
          <w:tcPr>
            <w:tcW w:w="10073" w:type="dxa"/>
            <w:gridSpan w:val="3"/>
          </w:tcPr>
          <w:p w:rsidR="00604794" w:rsidRDefault="00604794">
            <w:pPr>
              <w:jc w:val="center"/>
              <w:rPr>
                <w:rFonts w:ascii="Palatino Linotype" w:hAnsi="Palatino Linotype" w:cs="Arial"/>
                <w:b/>
              </w:rPr>
            </w:pPr>
          </w:p>
          <w:p w:rsidR="00604794" w:rsidRDefault="00604794">
            <w:pPr>
              <w:jc w:val="center"/>
              <w:rPr>
                <w:rFonts w:ascii="Palatino Linotype" w:hAnsi="Palatino Linotype" w:cs="Arial"/>
                <w:b/>
              </w:rPr>
            </w:pPr>
          </w:p>
          <w:p w:rsidR="00604794" w:rsidRDefault="00604794">
            <w:pPr>
              <w:jc w:val="center"/>
              <w:rPr>
                <w:rFonts w:ascii="Palatino Linotype" w:hAnsi="Palatino Linotype" w:cs="Arial"/>
                <w:b/>
              </w:rPr>
            </w:pPr>
          </w:p>
          <w:p w:rsidR="00604794" w:rsidRDefault="00604794">
            <w:pPr>
              <w:jc w:val="center"/>
              <w:rPr>
                <w:rFonts w:ascii="Palatino Linotype" w:hAnsi="Palatino Linotype" w:cs="Arial"/>
                <w:b/>
              </w:rPr>
            </w:pPr>
          </w:p>
          <w:p w:rsidR="00604794" w:rsidRDefault="00604794">
            <w:pPr>
              <w:jc w:val="center"/>
              <w:rPr>
                <w:rFonts w:ascii="Palatino Linotype" w:hAnsi="Palatino Linotype" w:cs="Arial"/>
                <w:b/>
              </w:rPr>
            </w:pPr>
          </w:p>
          <w:p w:rsidR="00604794" w:rsidRDefault="00604794">
            <w:pPr>
              <w:jc w:val="center"/>
              <w:rPr>
                <w:rFonts w:ascii="Palatino Linotype" w:hAnsi="Palatino Linotype" w:cs="Arial"/>
                <w:b/>
              </w:rPr>
            </w:pPr>
          </w:p>
          <w:p w:rsidR="00604794" w:rsidRDefault="00AF5403">
            <w:pPr>
              <w:jc w:val="center"/>
              <w:rPr>
                <w:rFonts w:ascii="Palatino Linotype" w:hAnsi="Palatino Linotype" w:cs="Arial"/>
                <w:b/>
              </w:rPr>
            </w:pPr>
            <w:r>
              <w:rPr>
                <w:rFonts w:ascii="Palatino Linotype" w:hAnsi="Palatino Linotype" w:cs="Arial"/>
                <w:b/>
              </w:rPr>
              <w:t>Zulema Martínez Sánchez</w:t>
            </w:r>
          </w:p>
          <w:p w:rsidR="00604794" w:rsidRDefault="00AF5403">
            <w:pPr>
              <w:jc w:val="center"/>
              <w:rPr>
                <w:rFonts w:ascii="Palatino Linotype" w:hAnsi="Palatino Linotype" w:cs="Arial"/>
                <w:b/>
              </w:rPr>
            </w:pPr>
            <w:r>
              <w:rPr>
                <w:rFonts w:ascii="Palatino Linotype" w:hAnsi="Palatino Linotype" w:cs="Arial"/>
              </w:rPr>
              <w:t>Comisionada Presidenta</w:t>
            </w:r>
          </w:p>
          <w:p w:rsidR="00604794" w:rsidRDefault="00AF5403">
            <w:pPr>
              <w:jc w:val="center"/>
              <w:rPr>
                <w:rFonts w:ascii="Palatino Linotype" w:hAnsi="Palatino Linotype" w:cs="Arial"/>
                <w:b/>
              </w:rPr>
            </w:pPr>
            <w:r>
              <w:rPr>
                <w:rFonts w:ascii="Palatino Linotype" w:hAnsi="Palatino Linotype" w:cs="Arial"/>
                <w:b/>
              </w:rPr>
              <w:t>(RÚBRICA)</w:t>
            </w:r>
          </w:p>
        </w:tc>
      </w:tr>
      <w:tr w:rsidR="00604794">
        <w:trPr>
          <w:trHeight w:val="1256"/>
          <w:jc w:val="center"/>
        </w:trPr>
        <w:tc>
          <w:tcPr>
            <w:tcW w:w="5034" w:type="dxa"/>
          </w:tcPr>
          <w:p w:rsidR="00604794" w:rsidRDefault="00604794">
            <w:pPr>
              <w:jc w:val="center"/>
              <w:rPr>
                <w:rFonts w:ascii="Palatino Linotype" w:hAnsi="Palatino Linotype" w:cs="Arial"/>
                <w:b/>
              </w:rPr>
            </w:pPr>
          </w:p>
          <w:p w:rsidR="00604794" w:rsidRDefault="00604794">
            <w:pPr>
              <w:jc w:val="center"/>
              <w:rPr>
                <w:rFonts w:ascii="Palatino Linotype" w:hAnsi="Palatino Linotype" w:cs="Arial"/>
                <w:b/>
              </w:rPr>
            </w:pPr>
          </w:p>
          <w:p w:rsidR="00604794" w:rsidRDefault="00604794">
            <w:pPr>
              <w:jc w:val="center"/>
              <w:rPr>
                <w:rFonts w:ascii="Palatino Linotype" w:hAnsi="Palatino Linotype" w:cs="Arial"/>
                <w:b/>
              </w:rPr>
            </w:pPr>
          </w:p>
          <w:p w:rsidR="00604794" w:rsidRDefault="00604794">
            <w:pPr>
              <w:jc w:val="center"/>
              <w:rPr>
                <w:rFonts w:ascii="Palatino Linotype" w:hAnsi="Palatino Linotype" w:cs="Arial"/>
                <w:b/>
              </w:rPr>
            </w:pPr>
          </w:p>
          <w:p w:rsidR="00604794" w:rsidRDefault="00604794">
            <w:pPr>
              <w:jc w:val="center"/>
              <w:rPr>
                <w:rFonts w:ascii="Palatino Linotype" w:hAnsi="Palatino Linotype" w:cs="Arial"/>
                <w:b/>
              </w:rPr>
            </w:pPr>
          </w:p>
          <w:p w:rsidR="00604794" w:rsidRDefault="00AF5403">
            <w:pPr>
              <w:jc w:val="center"/>
              <w:rPr>
                <w:rFonts w:ascii="Palatino Linotype" w:hAnsi="Palatino Linotype" w:cs="Arial"/>
                <w:b/>
              </w:rPr>
            </w:pPr>
            <w:r>
              <w:rPr>
                <w:rFonts w:ascii="Palatino Linotype" w:hAnsi="Palatino Linotype" w:cs="Arial"/>
                <w:b/>
              </w:rPr>
              <w:t>Eva Abaid Yapur</w:t>
            </w:r>
          </w:p>
          <w:p w:rsidR="00604794" w:rsidRDefault="00AF5403">
            <w:pPr>
              <w:jc w:val="center"/>
              <w:rPr>
                <w:rFonts w:ascii="Palatino Linotype" w:hAnsi="Palatino Linotype" w:cs="Arial"/>
              </w:rPr>
            </w:pPr>
            <w:r>
              <w:rPr>
                <w:rFonts w:ascii="Palatino Linotype" w:hAnsi="Palatino Linotype" w:cs="Arial"/>
              </w:rPr>
              <w:t>Comisionada</w:t>
            </w:r>
          </w:p>
          <w:p w:rsidR="00604794" w:rsidRDefault="00AF5403">
            <w:pPr>
              <w:jc w:val="center"/>
              <w:rPr>
                <w:rFonts w:ascii="Palatino Linotype" w:hAnsi="Palatino Linotype" w:cs="Arial"/>
                <w:b/>
              </w:rPr>
            </w:pPr>
            <w:r>
              <w:rPr>
                <w:rFonts w:ascii="Palatino Linotype" w:hAnsi="Palatino Linotype" w:cs="Arial"/>
                <w:b/>
              </w:rPr>
              <w:t>(RÚBRICA)</w:t>
            </w:r>
          </w:p>
        </w:tc>
        <w:tc>
          <w:tcPr>
            <w:tcW w:w="5039" w:type="dxa"/>
            <w:gridSpan w:val="2"/>
          </w:tcPr>
          <w:p w:rsidR="00604794" w:rsidRDefault="00604794">
            <w:pPr>
              <w:jc w:val="center"/>
              <w:rPr>
                <w:rFonts w:ascii="Palatino Linotype" w:hAnsi="Palatino Linotype" w:cs="Arial"/>
                <w:b/>
              </w:rPr>
            </w:pPr>
          </w:p>
          <w:p w:rsidR="00604794" w:rsidRDefault="00604794">
            <w:pPr>
              <w:jc w:val="center"/>
              <w:rPr>
                <w:rFonts w:ascii="Palatino Linotype" w:hAnsi="Palatino Linotype" w:cs="Arial"/>
                <w:b/>
              </w:rPr>
            </w:pPr>
          </w:p>
          <w:p w:rsidR="00604794" w:rsidRDefault="00604794">
            <w:pPr>
              <w:jc w:val="center"/>
              <w:rPr>
                <w:rFonts w:ascii="Palatino Linotype" w:hAnsi="Palatino Linotype" w:cs="Arial"/>
                <w:b/>
              </w:rPr>
            </w:pPr>
          </w:p>
          <w:p w:rsidR="00604794" w:rsidRDefault="00604794">
            <w:pPr>
              <w:jc w:val="center"/>
              <w:rPr>
                <w:rFonts w:ascii="Palatino Linotype" w:hAnsi="Palatino Linotype" w:cs="Arial"/>
                <w:b/>
              </w:rPr>
            </w:pPr>
          </w:p>
          <w:p w:rsidR="00604794" w:rsidRDefault="00604794">
            <w:pPr>
              <w:jc w:val="center"/>
              <w:rPr>
                <w:rFonts w:ascii="Palatino Linotype" w:hAnsi="Palatino Linotype" w:cs="Arial"/>
                <w:b/>
              </w:rPr>
            </w:pPr>
          </w:p>
          <w:p w:rsidR="00604794" w:rsidRDefault="00AF5403">
            <w:pPr>
              <w:jc w:val="center"/>
              <w:rPr>
                <w:rFonts w:ascii="Palatino Linotype" w:hAnsi="Palatino Linotype" w:cs="Arial"/>
                <w:b/>
              </w:rPr>
            </w:pPr>
            <w:r>
              <w:rPr>
                <w:rFonts w:ascii="Palatino Linotype" w:hAnsi="Palatino Linotype" w:cs="Arial"/>
                <w:b/>
              </w:rPr>
              <w:t>José Guadalupe Luna Hernández</w:t>
            </w:r>
          </w:p>
          <w:p w:rsidR="00604794" w:rsidRDefault="00AF5403">
            <w:pPr>
              <w:jc w:val="center"/>
              <w:rPr>
                <w:rFonts w:ascii="Palatino Linotype" w:hAnsi="Palatino Linotype" w:cs="Arial"/>
              </w:rPr>
            </w:pPr>
            <w:r>
              <w:rPr>
                <w:rFonts w:ascii="Palatino Linotype" w:hAnsi="Palatino Linotype" w:cs="Arial"/>
              </w:rPr>
              <w:t>Comisionado</w:t>
            </w:r>
          </w:p>
          <w:p w:rsidR="00604794" w:rsidRDefault="00AF5403">
            <w:pPr>
              <w:jc w:val="center"/>
              <w:rPr>
                <w:rFonts w:ascii="Palatino Linotype" w:hAnsi="Palatino Linotype" w:cs="Arial"/>
                <w:b/>
              </w:rPr>
            </w:pPr>
            <w:r>
              <w:rPr>
                <w:rFonts w:ascii="Palatino Linotype" w:hAnsi="Palatino Linotype" w:cs="Arial"/>
                <w:b/>
              </w:rPr>
              <w:t>(RÚBRICA)</w:t>
            </w:r>
          </w:p>
        </w:tc>
      </w:tr>
      <w:tr w:rsidR="00604794">
        <w:trPr>
          <w:trHeight w:val="1798"/>
          <w:jc w:val="center"/>
        </w:trPr>
        <w:tc>
          <w:tcPr>
            <w:tcW w:w="5034" w:type="dxa"/>
          </w:tcPr>
          <w:p w:rsidR="00604794" w:rsidRDefault="00604794">
            <w:pPr>
              <w:jc w:val="center"/>
              <w:rPr>
                <w:rFonts w:ascii="Palatino Linotype" w:hAnsi="Palatino Linotype" w:cs="Arial"/>
                <w:b/>
              </w:rPr>
            </w:pPr>
          </w:p>
          <w:p w:rsidR="00604794" w:rsidRDefault="00604794">
            <w:pPr>
              <w:jc w:val="center"/>
              <w:rPr>
                <w:rFonts w:ascii="Palatino Linotype" w:hAnsi="Palatino Linotype" w:cs="Arial"/>
                <w:b/>
              </w:rPr>
            </w:pPr>
          </w:p>
          <w:p w:rsidR="00604794" w:rsidRDefault="00604794">
            <w:pPr>
              <w:jc w:val="center"/>
              <w:rPr>
                <w:rFonts w:ascii="Palatino Linotype" w:hAnsi="Palatino Linotype" w:cs="Arial"/>
                <w:b/>
              </w:rPr>
            </w:pPr>
          </w:p>
          <w:p w:rsidR="00604794" w:rsidRDefault="00604794">
            <w:pPr>
              <w:jc w:val="center"/>
              <w:rPr>
                <w:rFonts w:ascii="Palatino Linotype" w:hAnsi="Palatino Linotype" w:cs="Arial"/>
                <w:b/>
              </w:rPr>
            </w:pPr>
          </w:p>
          <w:p w:rsidR="00604794" w:rsidRDefault="00604794">
            <w:pPr>
              <w:jc w:val="center"/>
              <w:rPr>
                <w:rFonts w:ascii="Palatino Linotype" w:hAnsi="Palatino Linotype" w:cs="Arial"/>
                <w:b/>
              </w:rPr>
            </w:pPr>
          </w:p>
          <w:p w:rsidR="00604794" w:rsidRDefault="00604794">
            <w:pPr>
              <w:jc w:val="center"/>
              <w:rPr>
                <w:rFonts w:ascii="Palatino Linotype" w:hAnsi="Palatino Linotype" w:cs="Arial"/>
                <w:b/>
              </w:rPr>
            </w:pPr>
          </w:p>
          <w:p w:rsidR="00604794" w:rsidRDefault="00604794">
            <w:pPr>
              <w:jc w:val="center"/>
              <w:rPr>
                <w:rFonts w:ascii="Palatino Linotype" w:hAnsi="Palatino Linotype" w:cs="Arial"/>
                <w:b/>
              </w:rPr>
            </w:pPr>
          </w:p>
          <w:p w:rsidR="00604794" w:rsidRDefault="00604794">
            <w:pPr>
              <w:jc w:val="center"/>
              <w:rPr>
                <w:rFonts w:ascii="Palatino Linotype" w:hAnsi="Palatino Linotype" w:cs="Arial"/>
                <w:b/>
              </w:rPr>
            </w:pPr>
          </w:p>
          <w:p w:rsidR="00604794" w:rsidRDefault="00604794">
            <w:pPr>
              <w:jc w:val="center"/>
              <w:rPr>
                <w:rFonts w:ascii="Palatino Linotype" w:hAnsi="Palatino Linotype" w:cs="Arial"/>
                <w:b/>
              </w:rPr>
            </w:pPr>
          </w:p>
          <w:p w:rsidR="00604794" w:rsidRDefault="00604794">
            <w:pPr>
              <w:jc w:val="center"/>
              <w:rPr>
                <w:rFonts w:ascii="Palatino Linotype" w:hAnsi="Palatino Linotype" w:cs="Arial"/>
                <w:b/>
              </w:rPr>
            </w:pPr>
          </w:p>
          <w:p w:rsidR="00604794" w:rsidRDefault="00604794">
            <w:pPr>
              <w:jc w:val="center"/>
              <w:rPr>
                <w:rFonts w:ascii="Palatino Linotype" w:hAnsi="Palatino Linotype" w:cs="Arial"/>
                <w:b/>
              </w:rPr>
            </w:pPr>
          </w:p>
          <w:p w:rsidR="00604794" w:rsidRDefault="00AF5403">
            <w:pPr>
              <w:jc w:val="center"/>
              <w:rPr>
                <w:rFonts w:ascii="Palatino Linotype" w:hAnsi="Palatino Linotype" w:cs="Arial"/>
                <w:b/>
              </w:rPr>
            </w:pPr>
            <w:r>
              <w:rPr>
                <w:rFonts w:ascii="Palatino Linotype" w:hAnsi="Palatino Linotype" w:cs="Arial"/>
                <w:b/>
              </w:rPr>
              <w:t>Javier Martínez Cruz</w:t>
            </w:r>
          </w:p>
          <w:p w:rsidR="00604794" w:rsidRDefault="00AF5403">
            <w:pPr>
              <w:tabs>
                <w:tab w:val="center" w:pos="2513"/>
                <w:tab w:val="left" w:pos="3750"/>
              </w:tabs>
              <w:jc w:val="center"/>
              <w:rPr>
                <w:rFonts w:ascii="Palatino Linotype" w:hAnsi="Palatino Linotype" w:cs="Arial"/>
              </w:rPr>
            </w:pPr>
            <w:r>
              <w:rPr>
                <w:rFonts w:ascii="Palatino Linotype" w:hAnsi="Palatino Linotype" w:cs="Arial"/>
              </w:rPr>
              <w:t>Comisionado</w:t>
            </w:r>
          </w:p>
          <w:p w:rsidR="00604794" w:rsidRDefault="00AF5403">
            <w:pPr>
              <w:jc w:val="center"/>
              <w:rPr>
                <w:rFonts w:ascii="Palatino Linotype" w:hAnsi="Palatino Linotype" w:cs="Arial"/>
                <w:b/>
              </w:rPr>
            </w:pPr>
            <w:r>
              <w:rPr>
                <w:rFonts w:ascii="Palatino Linotype" w:hAnsi="Palatino Linotype" w:cs="Arial"/>
                <w:b/>
              </w:rPr>
              <w:t>(RÚBRICA)</w:t>
            </w:r>
          </w:p>
        </w:tc>
        <w:tc>
          <w:tcPr>
            <w:tcW w:w="5039" w:type="dxa"/>
            <w:gridSpan w:val="2"/>
          </w:tcPr>
          <w:p w:rsidR="00604794" w:rsidRDefault="00604794">
            <w:pPr>
              <w:jc w:val="center"/>
              <w:rPr>
                <w:rFonts w:ascii="Palatino Linotype" w:hAnsi="Palatino Linotype" w:cs="Arial"/>
                <w:b/>
              </w:rPr>
            </w:pPr>
          </w:p>
          <w:p w:rsidR="00604794" w:rsidRDefault="00604794">
            <w:pPr>
              <w:jc w:val="center"/>
              <w:rPr>
                <w:rFonts w:ascii="Palatino Linotype" w:hAnsi="Palatino Linotype" w:cs="Arial"/>
                <w:b/>
              </w:rPr>
            </w:pPr>
          </w:p>
          <w:p w:rsidR="00604794" w:rsidRDefault="00604794">
            <w:pPr>
              <w:jc w:val="center"/>
              <w:rPr>
                <w:rFonts w:ascii="Palatino Linotype" w:hAnsi="Palatino Linotype" w:cs="Arial"/>
                <w:b/>
              </w:rPr>
            </w:pPr>
          </w:p>
          <w:p w:rsidR="00604794" w:rsidRDefault="00604794">
            <w:pPr>
              <w:jc w:val="center"/>
              <w:rPr>
                <w:rFonts w:ascii="Palatino Linotype" w:hAnsi="Palatino Linotype" w:cs="Arial"/>
                <w:b/>
              </w:rPr>
            </w:pPr>
          </w:p>
          <w:p w:rsidR="00604794" w:rsidRDefault="00604794">
            <w:pPr>
              <w:jc w:val="center"/>
              <w:rPr>
                <w:rFonts w:ascii="Palatino Linotype" w:hAnsi="Palatino Linotype" w:cs="Arial"/>
                <w:b/>
              </w:rPr>
            </w:pPr>
          </w:p>
          <w:p w:rsidR="00604794" w:rsidRDefault="00604794">
            <w:pPr>
              <w:jc w:val="center"/>
              <w:rPr>
                <w:rFonts w:ascii="Palatino Linotype" w:hAnsi="Palatino Linotype" w:cs="Arial"/>
                <w:b/>
              </w:rPr>
            </w:pPr>
          </w:p>
          <w:p w:rsidR="00604794" w:rsidRDefault="00604794">
            <w:pPr>
              <w:jc w:val="center"/>
              <w:rPr>
                <w:rFonts w:ascii="Palatino Linotype" w:hAnsi="Palatino Linotype" w:cs="Arial"/>
                <w:b/>
              </w:rPr>
            </w:pPr>
          </w:p>
          <w:p w:rsidR="00604794" w:rsidRDefault="00604794">
            <w:pPr>
              <w:jc w:val="center"/>
              <w:rPr>
                <w:rFonts w:ascii="Palatino Linotype" w:hAnsi="Palatino Linotype" w:cs="Arial"/>
                <w:b/>
              </w:rPr>
            </w:pPr>
          </w:p>
          <w:p w:rsidR="00604794" w:rsidRDefault="00604794">
            <w:pPr>
              <w:jc w:val="center"/>
              <w:rPr>
                <w:rFonts w:ascii="Palatino Linotype" w:hAnsi="Palatino Linotype" w:cs="Arial"/>
                <w:b/>
              </w:rPr>
            </w:pPr>
          </w:p>
          <w:p w:rsidR="00604794" w:rsidRDefault="00604794">
            <w:pPr>
              <w:jc w:val="center"/>
              <w:rPr>
                <w:rFonts w:ascii="Palatino Linotype" w:hAnsi="Palatino Linotype" w:cs="Arial"/>
                <w:b/>
              </w:rPr>
            </w:pPr>
          </w:p>
          <w:p w:rsidR="00604794" w:rsidRDefault="00604794">
            <w:pPr>
              <w:jc w:val="center"/>
              <w:rPr>
                <w:rFonts w:ascii="Palatino Linotype" w:hAnsi="Palatino Linotype" w:cs="Arial"/>
                <w:b/>
              </w:rPr>
            </w:pPr>
          </w:p>
          <w:p w:rsidR="00604794" w:rsidRDefault="00AF5403">
            <w:pPr>
              <w:jc w:val="center"/>
              <w:rPr>
                <w:rFonts w:ascii="Palatino Linotype" w:hAnsi="Palatino Linotype" w:cs="Arial"/>
                <w:b/>
              </w:rPr>
            </w:pPr>
            <w:r>
              <w:rPr>
                <w:rFonts w:ascii="Palatino Linotype" w:hAnsi="Palatino Linotype" w:cs="Arial"/>
                <w:b/>
              </w:rPr>
              <w:t>Luis Gustavo Parra Noriega</w:t>
            </w:r>
          </w:p>
          <w:p w:rsidR="00604794" w:rsidRDefault="00AF5403">
            <w:pPr>
              <w:jc w:val="center"/>
              <w:rPr>
                <w:rFonts w:ascii="Palatino Linotype" w:hAnsi="Palatino Linotype" w:cs="Arial"/>
              </w:rPr>
            </w:pPr>
            <w:r>
              <w:rPr>
                <w:rFonts w:ascii="Palatino Linotype" w:hAnsi="Palatino Linotype" w:cs="Arial"/>
              </w:rPr>
              <w:t>Comisionado</w:t>
            </w:r>
          </w:p>
          <w:p w:rsidR="00604794" w:rsidRDefault="00AF5403">
            <w:pPr>
              <w:jc w:val="center"/>
              <w:rPr>
                <w:rFonts w:ascii="Palatino Linotype" w:hAnsi="Palatino Linotype" w:cs="Arial"/>
                <w:b/>
              </w:rPr>
            </w:pPr>
            <w:r>
              <w:rPr>
                <w:rFonts w:ascii="Palatino Linotype" w:hAnsi="Palatino Linotype" w:cs="Arial"/>
                <w:b/>
              </w:rPr>
              <w:t>(RÚBRICA)</w:t>
            </w:r>
          </w:p>
        </w:tc>
      </w:tr>
      <w:tr w:rsidR="00604794">
        <w:trPr>
          <w:trHeight w:val="1033"/>
          <w:jc w:val="center"/>
        </w:trPr>
        <w:tc>
          <w:tcPr>
            <w:tcW w:w="10073" w:type="dxa"/>
            <w:gridSpan w:val="3"/>
          </w:tcPr>
          <w:p w:rsidR="00604794" w:rsidRDefault="00604794">
            <w:pPr>
              <w:jc w:val="center"/>
              <w:rPr>
                <w:rFonts w:ascii="Palatino Linotype" w:hAnsi="Palatino Linotype" w:cs="Arial"/>
                <w:b/>
              </w:rPr>
            </w:pPr>
          </w:p>
          <w:p w:rsidR="00604794" w:rsidRDefault="00604794">
            <w:pPr>
              <w:jc w:val="center"/>
              <w:rPr>
                <w:rFonts w:ascii="Palatino Linotype" w:hAnsi="Palatino Linotype" w:cs="Arial"/>
                <w:b/>
              </w:rPr>
            </w:pPr>
          </w:p>
          <w:p w:rsidR="00604794" w:rsidRDefault="00604794">
            <w:pPr>
              <w:jc w:val="center"/>
              <w:rPr>
                <w:rFonts w:ascii="Palatino Linotype" w:hAnsi="Palatino Linotype" w:cs="Arial"/>
                <w:b/>
              </w:rPr>
            </w:pPr>
          </w:p>
          <w:p w:rsidR="00604794" w:rsidRDefault="00604794">
            <w:pPr>
              <w:jc w:val="center"/>
              <w:rPr>
                <w:rFonts w:ascii="Palatino Linotype" w:hAnsi="Palatino Linotype" w:cs="Arial"/>
                <w:b/>
              </w:rPr>
            </w:pPr>
          </w:p>
          <w:p w:rsidR="00F02A51" w:rsidRDefault="00F02A51">
            <w:pPr>
              <w:jc w:val="center"/>
              <w:rPr>
                <w:rFonts w:ascii="Palatino Linotype" w:hAnsi="Palatino Linotype" w:cs="Arial"/>
                <w:b/>
              </w:rPr>
            </w:pPr>
          </w:p>
          <w:p w:rsidR="00604794" w:rsidRDefault="00604794">
            <w:pPr>
              <w:jc w:val="center"/>
              <w:rPr>
                <w:rFonts w:ascii="Palatino Linotype" w:hAnsi="Palatino Linotype" w:cs="Arial"/>
                <w:b/>
              </w:rPr>
            </w:pPr>
          </w:p>
          <w:p w:rsidR="00604794" w:rsidRDefault="00604794">
            <w:pPr>
              <w:jc w:val="center"/>
              <w:rPr>
                <w:rFonts w:ascii="Palatino Linotype" w:hAnsi="Palatino Linotype" w:cs="Arial"/>
                <w:b/>
              </w:rPr>
            </w:pPr>
          </w:p>
          <w:p w:rsidR="00604794" w:rsidRDefault="00604794">
            <w:pPr>
              <w:jc w:val="center"/>
              <w:rPr>
                <w:rFonts w:ascii="Palatino Linotype" w:hAnsi="Palatino Linotype" w:cs="Arial"/>
                <w:b/>
              </w:rPr>
            </w:pPr>
          </w:p>
          <w:p w:rsidR="00604794" w:rsidRDefault="00604794">
            <w:pPr>
              <w:jc w:val="center"/>
              <w:rPr>
                <w:rFonts w:ascii="Palatino Linotype" w:hAnsi="Palatino Linotype" w:cs="Arial"/>
                <w:b/>
              </w:rPr>
            </w:pPr>
          </w:p>
          <w:p w:rsidR="00604794" w:rsidRDefault="00604794">
            <w:pPr>
              <w:jc w:val="center"/>
              <w:rPr>
                <w:rFonts w:ascii="Palatino Linotype" w:hAnsi="Palatino Linotype" w:cs="Arial"/>
                <w:b/>
              </w:rPr>
            </w:pPr>
          </w:p>
          <w:p w:rsidR="00604794" w:rsidRDefault="00604794">
            <w:pPr>
              <w:jc w:val="center"/>
              <w:rPr>
                <w:rFonts w:ascii="Palatino Linotype" w:hAnsi="Palatino Linotype" w:cs="Arial"/>
                <w:b/>
              </w:rPr>
            </w:pPr>
          </w:p>
          <w:p w:rsidR="00604794" w:rsidRDefault="00AF5403">
            <w:pPr>
              <w:jc w:val="center"/>
              <w:rPr>
                <w:rFonts w:ascii="Palatino Linotype" w:hAnsi="Palatino Linotype" w:cs="Arial"/>
                <w:b/>
              </w:rPr>
            </w:pPr>
            <w:r>
              <w:rPr>
                <w:rFonts w:ascii="Palatino Linotype" w:hAnsi="Palatino Linotype" w:cs="Arial"/>
                <w:b/>
              </w:rPr>
              <w:t>Alexis Tapia Ramírez</w:t>
            </w:r>
          </w:p>
          <w:p w:rsidR="00604794" w:rsidRDefault="00AF5403">
            <w:pPr>
              <w:jc w:val="center"/>
              <w:rPr>
                <w:rFonts w:ascii="Palatino Linotype" w:hAnsi="Palatino Linotype" w:cs="Arial"/>
              </w:rPr>
            </w:pPr>
            <w:r>
              <w:rPr>
                <w:rFonts w:ascii="Palatino Linotype" w:hAnsi="Palatino Linotype" w:cs="Arial"/>
              </w:rPr>
              <w:t>Secretario Técnico del Pleno</w:t>
            </w:r>
          </w:p>
          <w:p w:rsidR="00604794" w:rsidRDefault="00AF5403">
            <w:pPr>
              <w:pStyle w:val="Piedepgina"/>
              <w:jc w:val="center"/>
              <w:rPr>
                <w:rFonts w:ascii="Palatino Linotype" w:hAnsi="Palatino Linotype" w:cs="Arial"/>
                <w:b/>
              </w:rPr>
            </w:pPr>
            <w:r>
              <w:rPr>
                <w:rFonts w:ascii="Palatino Linotype" w:hAnsi="Palatino Linotype" w:cs="Arial"/>
                <w:b/>
              </w:rPr>
              <w:t>(RÚBRICA)</w:t>
            </w:r>
          </w:p>
        </w:tc>
      </w:tr>
      <w:tr w:rsidR="00604794">
        <w:trPr>
          <w:trHeight w:val="253"/>
          <w:jc w:val="center"/>
        </w:trPr>
        <w:tc>
          <w:tcPr>
            <w:tcW w:w="10059" w:type="dxa"/>
            <w:gridSpan w:val="2"/>
          </w:tcPr>
          <w:p w:rsidR="00604794" w:rsidRDefault="00604794">
            <w:pPr>
              <w:jc w:val="both"/>
              <w:rPr>
                <w:rFonts w:ascii="Palatino Linotype" w:hAnsi="Palatino Linotype" w:cs="Arial"/>
                <w:sz w:val="22"/>
                <w:szCs w:val="22"/>
                <w:lang w:val="es-ES"/>
              </w:rPr>
            </w:pPr>
          </w:p>
          <w:p w:rsidR="00604794" w:rsidRDefault="00604794">
            <w:pPr>
              <w:jc w:val="both"/>
              <w:rPr>
                <w:rFonts w:ascii="Palatino Linotype" w:hAnsi="Palatino Linotype" w:cs="Arial"/>
                <w:sz w:val="22"/>
                <w:szCs w:val="22"/>
                <w:lang w:val="es-ES"/>
              </w:rPr>
            </w:pPr>
          </w:p>
          <w:p w:rsidR="00604794" w:rsidRDefault="00604794">
            <w:pPr>
              <w:jc w:val="both"/>
              <w:rPr>
                <w:rFonts w:ascii="Palatino Linotype" w:hAnsi="Palatino Linotype" w:cs="Arial"/>
                <w:sz w:val="22"/>
                <w:szCs w:val="22"/>
                <w:lang w:val="es-ES"/>
              </w:rPr>
            </w:pPr>
          </w:p>
          <w:p w:rsidR="00604794" w:rsidRDefault="00604794">
            <w:pPr>
              <w:jc w:val="both"/>
              <w:rPr>
                <w:rFonts w:ascii="Palatino Linotype" w:hAnsi="Palatino Linotype" w:cs="Arial"/>
                <w:sz w:val="22"/>
                <w:szCs w:val="22"/>
                <w:lang w:val="es-ES"/>
              </w:rPr>
            </w:pPr>
          </w:p>
          <w:p w:rsidR="00604794" w:rsidRDefault="00AF5403">
            <w:pPr>
              <w:jc w:val="both"/>
              <w:rPr>
                <w:rFonts w:ascii="Palatino Linotype" w:hAnsi="Palatino Linotype" w:cs="Arial"/>
                <w:sz w:val="22"/>
                <w:szCs w:val="22"/>
                <w:lang w:val="es-ES"/>
              </w:rPr>
            </w:pPr>
            <w:r>
              <w:rPr>
                <w:rFonts w:ascii="Palatino Linotype" w:hAnsi="Palatino Linotype" w:cs="Arial"/>
                <w:sz w:val="22"/>
                <w:szCs w:val="22"/>
                <w:lang w:val="es-ES"/>
              </w:rPr>
              <w:t>Esta hoja corresponde a la resolución de fecha doce de agosto de dos mil veinte, emitida en el recurso de revisión 01237/INFOEM/IP/RR/2020.</w:t>
            </w:r>
          </w:p>
          <w:p w:rsidR="00604794" w:rsidRDefault="00AF5403">
            <w:pPr>
              <w:jc w:val="both"/>
              <w:rPr>
                <w:rFonts w:ascii="Palatino Linotype" w:hAnsi="Palatino Linotype" w:cs="Arial"/>
              </w:rPr>
            </w:pPr>
            <w:r>
              <w:rPr>
                <w:rFonts w:ascii="Palatino Linotype" w:hAnsi="Palatino Linotype" w:cs="Arial"/>
                <w:sz w:val="22"/>
                <w:szCs w:val="22"/>
                <w:lang w:val="es-ES"/>
              </w:rPr>
              <w:t>YSM/IAHA</w:t>
            </w:r>
          </w:p>
        </w:tc>
        <w:tc>
          <w:tcPr>
            <w:tcW w:w="14" w:type="dxa"/>
          </w:tcPr>
          <w:p w:rsidR="00604794" w:rsidRDefault="00604794"/>
        </w:tc>
      </w:tr>
    </w:tbl>
    <w:p w:rsidR="00604794" w:rsidRDefault="00604794" w:rsidP="00F02A51">
      <w:pPr>
        <w:spacing w:line="360" w:lineRule="auto"/>
        <w:jc w:val="both"/>
        <w:rPr>
          <w:rFonts w:ascii="Palatino Linotype" w:hAnsi="Palatino Linotype"/>
          <w:color w:val="000000"/>
          <w:lang w:val="es-ES"/>
        </w:rPr>
      </w:pPr>
    </w:p>
    <w:sectPr w:rsidR="00604794">
      <w:headerReference w:type="default" r:id="rId33"/>
      <w:footerReference w:type="default" r:id="rId34"/>
      <w:headerReference w:type="first" r:id="rId35"/>
      <w:footerReference w:type="first" r:id="rId36"/>
      <w:pgSz w:w="12240" w:h="15840"/>
      <w:pgMar w:top="1418" w:right="1418" w:bottom="1418" w:left="1701" w:header="709" w:footer="1009" w:gutter="0"/>
      <w:cols w:space="720"/>
      <w:formProt w:val="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D0F10" w:rsidRDefault="00DD0F10">
      <w:r>
        <w:separator/>
      </w:r>
    </w:p>
  </w:endnote>
  <w:endnote w:type="continuationSeparator" w:id="0">
    <w:p w:rsidR="00DD0F10" w:rsidRDefault="00DD0F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Liberation Sans">
    <w:altName w:val="Arial"/>
    <w:charset w:val="01"/>
    <w:family w:val="roman"/>
    <w:pitch w:val="variable"/>
  </w:font>
  <w:font w:name="Noto Sans CJK SC">
    <w:panose1 w:val="00000000000000000000"/>
    <w:charset w:val="00"/>
    <w:family w:val="roman"/>
    <w:notTrueType/>
    <w:pitch w:val="default"/>
  </w:font>
  <w:font w:name="Lohit Devanagari">
    <w:panose1 w:val="00000000000000000000"/>
    <w:charset w:val="00"/>
    <w:family w:val="roman"/>
    <w:notTrueType/>
    <w:pitch w:val="default"/>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panose1 w:val="00000000000000000000"/>
    <w:charset w:val="00"/>
    <w:family w:val="roman"/>
    <w:notTrueType/>
    <w:pitch w:val="default"/>
  </w:font>
  <w:font w:name="Palatino Linotype">
    <w:panose1 w:val="02040502050505030304"/>
    <w:charset w:val="00"/>
    <w:family w:val="roman"/>
    <w:pitch w:val="variable"/>
    <w:sig w:usb0="E0000287" w:usb1="40000013"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4794" w:rsidRDefault="00AF5403">
    <w:pPr>
      <w:pStyle w:val="Piedepgina"/>
      <w:jc w:val="right"/>
      <w:rPr>
        <w:rFonts w:ascii="Palatino Linotype" w:hAnsi="Palatino Linotype" w:cs="Arial"/>
        <w:bCs/>
        <w:sz w:val="22"/>
        <w:szCs w:val="22"/>
      </w:rPr>
    </w:pPr>
    <w:r>
      <w:rPr>
        <w:rFonts w:ascii="Palatino Linotype" w:hAnsi="Palatino Linotype" w:cs="Arial"/>
        <w:bCs/>
        <w:sz w:val="22"/>
        <w:szCs w:val="22"/>
      </w:rPr>
      <w:t xml:space="preserve">Página </w:t>
    </w:r>
    <w:r>
      <w:rPr>
        <w:rFonts w:ascii="Palatino Linotype" w:hAnsi="Palatino Linotype" w:cs="Arial"/>
        <w:bCs/>
        <w:sz w:val="22"/>
        <w:szCs w:val="22"/>
      </w:rPr>
      <w:fldChar w:fldCharType="begin"/>
    </w:r>
    <w:r>
      <w:rPr>
        <w:rFonts w:ascii="Palatino Linotype" w:hAnsi="Palatino Linotype" w:cs="Arial"/>
        <w:bCs/>
        <w:sz w:val="22"/>
        <w:szCs w:val="22"/>
      </w:rPr>
      <w:instrText>PAGE</w:instrText>
    </w:r>
    <w:r>
      <w:rPr>
        <w:rFonts w:ascii="Palatino Linotype" w:hAnsi="Palatino Linotype" w:cs="Arial"/>
        <w:bCs/>
        <w:sz w:val="22"/>
        <w:szCs w:val="22"/>
      </w:rPr>
      <w:fldChar w:fldCharType="separate"/>
    </w:r>
    <w:r w:rsidR="00B34D33">
      <w:rPr>
        <w:rFonts w:ascii="Palatino Linotype" w:hAnsi="Palatino Linotype" w:cs="Arial"/>
        <w:bCs/>
        <w:noProof/>
        <w:sz w:val="22"/>
        <w:szCs w:val="22"/>
      </w:rPr>
      <w:t>21</w:t>
    </w:r>
    <w:r>
      <w:rPr>
        <w:rFonts w:ascii="Palatino Linotype" w:hAnsi="Palatino Linotype" w:cs="Arial"/>
        <w:bCs/>
        <w:sz w:val="22"/>
        <w:szCs w:val="22"/>
      </w:rPr>
      <w:fldChar w:fldCharType="end"/>
    </w:r>
    <w:r>
      <w:rPr>
        <w:rFonts w:ascii="Palatino Linotype" w:hAnsi="Palatino Linotype" w:cs="Arial"/>
        <w:bCs/>
        <w:sz w:val="22"/>
        <w:szCs w:val="22"/>
      </w:rPr>
      <w:t xml:space="preserve"> de </w:t>
    </w:r>
    <w:r>
      <w:rPr>
        <w:rFonts w:ascii="Palatino Linotype" w:hAnsi="Palatino Linotype" w:cs="Arial"/>
        <w:bCs/>
        <w:sz w:val="22"/>
        <w:szCs w:val="22"/>
      </w:rPr>
      <w:fldChar w:fldCharType="begin"/>
    </w:r>
    <w:r>
      <w:rPr>
        <w:rFonts w:ascii="Palatino Linotype" w:hAnsi="Palatino Linotype" w:cs="Arial"/>
        <w:bCs/>
        <w:sz w:val="22"/>
        <w:szCs w:val="22"/>
      </w:rPr>
      <w:instrText>NUMPAGES</w:instrText>
    </w:r>
    <w:r>
      <w:rPr>
        <w:rFonts w:ascii="Palatino Linotype" w:hAnsi="Palatino Linotype" w:cs="Arial"/>
        <w:bCs/>
        <w:sz w:val="22"/>
        <w:szCs w:val="22"/>
      </w:rPr>
      <w:fldChar w:fldCharType="separate"/>
    </w:r>
    <w:r w:rsidR="00B34D33">
      <w:rPr>
        <w:rFonts w:ascii="Palatino Linotype" w:hAnsi="Palatino Linotype" w:cs="Arial"/>
        <w:bCs/>
        <w:noProof/>
        <w:sz w:val="22"/>
        <w:szCs w:val="22"/>
      </w:rPr>
      <w:t>32</w:t>
    </w:r>
    <w:r>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4794" w:rsidRDefault="00AF5403">
    <w:pPr>
      <w:pStyle w:val="Piedepgina"/>
      <w:spacing w:before="120"/>
      <w:jc w:val="right"/>
      <w:rPr>
        <w:rFonts w:ascii="Palatino Linotype" w:hAnsi="Palatino Linotype" w:cs="Arial"/>
        <w:bCs/>
        <w:sz w:val="22"/>
        <w:szCs w:val="22"/>
      </w:rPr>
    </w:pPr>
    <w:r>
      <w:rPr>
        <w:rFonts w:ascii="Palatino Linotype" w:hAnsi="Palatino Linotype" w:cs="Arial"/>
        <w:bCs/>
        <w:sz w:val="22"/>
        <w:szCs w:val="22"/>
      </w:rPr>
      <w:t xml:space="preserve">Página </w:t>
    </w:r>
    <w:r>
      <w:rPr>
        <w:rFonts w:ascii="Palatino Linotype" w:hAnsi="Palatino Linotype" w:cs="Arial"/>
        <w:bCs/>
        <w:sz w:val="22"/>
        <w:szCs w:val="22"/>
      </w:rPr>
      <w:fldChar w:fldCharType="begin"/>
    </w:r>
    <w:r>
      <w:rPr>
        <w:rFonts w:ascii="Palatino Linotype" w:hAnsi="Palatino Linotype" w:cs="Arial"/>
        <w:bCs/>
        <w:sz w:val="22"/>
        <w:szCs w:val="22"/>
      </w:rPr>
      <w:instrText>PAGE</w:instrText>
    </w:r>
    <w:r>
      <w:rPr>
        <w:rFonts w:ascii="Palatino Linotype" w:hAnsi="Palatino Linotype" w:cs="Arial"/>
        <w:bCs/>
        <w:sz w:val="22"/>
        <w:szCs w:val="22"/>
      </w:rPr>
      <w:fldChar w:fldCharType="separate"/>
    </w:r>
    <w:r w:rsidR="00B34D33">
      <w:rPr>
        <w:rFonts w:ascii="Palatino Linotype" w:hAnsi="Palatino Linotype" w:cs="Arial"/>
        <w:bCs/>
        <w:noProof/>
        <w:sz w:val="22"/>
        <w:szCs w:val="22"/>
      </w:rPr>
      <w:t>1</w:t>
    </w:r>
    <w:r>
      <w:rPr>
        <w:rFonts w:ascii="Palatino Linotype" w:hAnsi="Palatino Linotype" w:cs="Arial"/>
        <w:bCs/>
        <w:sz w:val="22"/>
        <w:szCs w:val="22"/>
      </w:rPr>
      <w:fldChar w:fldCharType="end"/>
    </w:r>
    <w:r>
      <w:rPr>
        <w:rFonts w:ascii="Palatino Linotype" w:hAnsi="Palatino Linotype" w:cs="Arial"/>
        <w:sz w:val="22"/>
        <w:szCs w:val="22"/>
      </w:rPr>
      <w:t xml:space="preserve"> de </w:t>
    </w:r>
    <w:r>
      <w:rPr>
        <w:rFonts w:ascii="Palatino Linotype" w:hAnsi="Palatino Linotype" w:cs="Arial"/>
        <w:bCs/>
        <w:sz w:val="22"/>
        <w:szCs w:val="22"/>
      </w:rPr>
      <w:fldChar w:fldCharType="begin"/>
    </w:r>
    <w:r>
      <w:rPr>
        <w:rFonts w:ascii="Palatino Linotype" w:hAnsi="Palatino Linotype" w:cs="Arial"/>
        <w:bCs/>
        <w:sz w:val="22"/>
        <w:szCs w:val="22"/>
      </w:rPr>
      <w:instrText>NUMPAGES</w:instrText>
    </w:r>
    <w:r>
      <w:rPr>
        <w:rFonts w:ascii="Palatino Linotype" w:hAnsi="Palatino Linotype" w:cs="Arial"/>
        <w:bCs/>
        <w:sz w:val="22"/>
        <w:szCs w:val="22"/>
      </w:rPr>
      <w:fldChar w:fldCharType="separate"/>
    </w:r>
    <w:r w:rsidR="00B34D33">
      <w:rPr>
        <w:rFonts w:ascii="Palatino Linotype" w:hAnsi="Palatino Linotype" w:cs="Arial"/>
        <w:bCs/>
        <w:noProof/>
        <w:sz w:val="22"/>
        <w:szCs w:val="22"/>
      </w:rPr>
      <w:t>32</w:t>
    </w:r>
    <w:r>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D0F10" w:rsidRDefault="00DD0F10">
      <w:r>
        <w:separator/>
      </w:r>
    </w:p>
  </w:footnote>
  <w:footnote w:type="continuationSeparator" w:id="0">
    <w:p w:rsidR="00DD0F10" w:rsidRDefault="00DD0F1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4794" w:rsidRDefault="00AF5403">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mc:AlternateContent>
        <mc:Choice Requires="wps">
          <w:drawing>
            <wp:anchor distT="0" distB="0" distL="0" distR="0" simplePos="0" relativeHeight="32" behindDoc="1" locked="0" layoutInCell="1" allowOverlap="1">
              <wp:simplePos x="0" y="0"/>
              <wp:positionH relativeFrom="column">
                <wp:align>center</wp:align>
              </wp:positionH>
              <wp:positionV relativeFrom="margin">
                <wp:align>center</wp:align>
              </wp:positionV>
              <wp:extent cx="6858635" cy="9144635"/>
              <wp:effectExtent l="0" t="0" r="0" b="0"/>
              <wp:wrapNone/>
              <wp:docPr id="37" name="WordPictureWatermark2095932798"/>
              <wp:cNvGraphicFramePr/>
              <a:graphic xmlns:a="http://schemas.openxmlformats.org/drawingml/2006/main">
                <a:graphicData uri="http://schemas.openxmlformats.org/drawingml/2006/picture">
                  <pic:pic xmlns:pic="http://schemas.openxmlformats.org/drawingml/2006/picture">
                    <pic:nvPicPr>
                      <pic:cNvPr id="0" name="WordPictureWatermark2095932798"/>
                      <pic:cNvPicPr/>
                    </pic:nvPicPr>
                    <pic:blipFill>
                      <a:blip r:embed="rId1"/>
                      <a:stretch/>
                    </pic:blipFill>
                    <pic:spPr>
                      <a:xfrm>
                        <a:off x="0" y="0"/>
                        <a:ext cx="6858000" cy="9144000"/>
                      </a:xfrm>
                      <a:prstGeom prst="rect">
                        <a:avLst/>
                      </a:prstGeom>
                      <a:ln>
                        <a:noFill/>
                      </a:ln>
                    </pic:spPr>
                  </pic:pic>
                </a:graphicData>
              </a:graphic>
            </wp:anchor>
          </w:drawing>
        </mc:Choice>
        <mc:Fallback>
          <w:pict>
            <v:shapetype id="shapetype_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shape_0" stroked="f" style="position:absolute;margin-left:-42pt;margin-top:-67pt;width:539.95pt;height:719.95pt;mso-position-horizontal:center;mso-position-vertical:center;mso-position-vertical-relative:margin" type="shapetype_75">
              <v:imagedata r:id="rId2" o:detectmouseclick="t"/>
              <w10:wrap type="none"/>
              <v:stroke color="#3465a4" joinstyle="round" endcap="flat"/>
            </v:shape>
          </w:pict>
        </mc:Fallback>
      </mc:AlternateContent>
    </w:r>
  </w:p>
  <w:tbl>
    <w:tblPr>
      <w:tblW w:w="9534" w:type="dxa"/>
      <w:tblInd w:w="-142" w:type="dxa"/>
      <w:tblLook w:val="04A0" w:firstRow="1" w:lastRow="0" w:firstColumn="1" w:lastColumn="0" w:noHBand="0" w:noVBand="1"/>
    </w:tblPr>
    <w:tblGrid>
      <w:gridCol w:w="3260"/>
      <w:gridCol w:w="2551"/>
      <w:gridCol w:w="3723"/>
    </w:tblGrid>
    <w:tr w:rsidR="00604794">
      <w:tc>
        <w:tcPr>
          <w:tcW w:w="3260" w:type="dxa"/>
          <w:vMerge w:val="restart"/>
        </w:tcPr>
        <w:p w:rsidR="00604794" w:rsidRDefault="00AF5403">
          <w:pPr>
            <w:rPr>
              <w:rFonts w:ascii="Palatino Linotype" w:hAnsi="Palatino Linotype"/>
              <w:b/>
              <w:sz w:val="22"/>
              <w:szCs w:val="22"/>
              <w:lang w:val="es-ES_tradnl"/>
            </w:rPr>
          </w:pPr>
          <w:r>
            <w:rPr>
              <w:noProof/>
              <w:lang w:eastAsia="es-MX"/>
            </w:rPr>
            <w:drawing>
              <wp:inline distT="0" distB="0" distL="0" distR="0">
                <wp:extent cx="1663700" cy="838200"/>
                <wp:effectExtent l="0" t="0" r="0" b="0"/>
                <wp:docPr id="38"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n 11"/>
                        <pic:cNvPicPr>
                          <a:picLocks noChangeAspect="1" noChangeArrowheads="1"/>
                        </pic:cNvPicPr>
                      </pic:nvPicPr>
                      <pic:blipFill>
                        <a:blip r:embed="rId3"/>
                        <a:stretch>
                          <a:fillRect/>
                        </a:stretch>
                      </pic:blipFill>
                      <pic:spPr bwMode="auto">
                        <a:xfrm>
                          <a:off x="0" y="0"/>
                          <a:ext cx="1663700" cy="838200"/>
                        </a:xfrm>
                        <a:prstGeom prst="rect">
                          <a:avLst/>
                        </a:prstGeom>
                      </pic:spPr>
                    </pic:pic>
                  </a:graphicData>
                </a:graphic>
              </wp:inline>
            </w:drawing>
          </w:r>
        </w:p>
      </w:tc>
      <w:tc>
        <w:tcPr>
          <w:tcW w:w="2551" w:type="dxa"/>
          <w:shd w:val="clear" w:color="auto" w:fill="auto"/>
        </w:tcPr>
        <w:p w:rsidR="00604794" w:rsidRDefault="00AF5403">
          <w:pPr>
            <w:rPr>
              <w:rFonts w:ascii="Palatino Linotype" w:hAnsi="Palatino Linotype"/>
              <w:b/>
              <w:sz w:val="22"/>
              <w:szCs w:val="22"/>
              <w:lang w:val="es-ES_tradnl"/>
            </w:rPr>
          </w:pPr>
          <w:r>
            <w:rPr>
              <w:rFonts w:ascii="Palatino Linotype" w:hAnsi="Palatino Linotype"/>
              <w:b/>
              <w:sz w:val="22"/>
              <w:szCs w:val="22"/>
              <w:lang w:val="es-ES_tradnl"/>
            </w:rPr>
            <w:t>Recurso de revisión:</w:t>
          </w:r>
        </w:p>
      </w:tc>
      <w:tc>
        <w:tcPr>
          <w:tcW w:w="3723" w:type="dxa"/>
          <w:shd w:val="clear" w:color="auto" w:fill="auto"/>
          <w:vAlign w:val="center"/>
        </w:tcPr>
        <w:p w:rsidR="00604794" w:rsidRDefault="00AF5403">
          <w:pPr>
            <w:jc w:val="both"/>
            <w:rPr>
              <w:rFonts w:ascii="Palatino Linotype" w:hAnsi="Palatino Linotype"/>
              <w:b/>
              <w:sz w:val="22"/>
              <w:szCs w:val="22"/>
              <w:lang w:val="es-ES_tradnl"/>
            </w:rPr>
          </w:pPr>
          <w:r>
            <w:rPr>
              <w:rFonts w:ascii="Palatino Linotype" w:hAnsi="Palatino Linotype"/>
              <w:b/>
              <w:sz w:val="22"/>
              <w:szCs w:val="22"/>
              <w:lang w:val="es-ES_tradnl"/>
            </w:rPr>
            <w:t>01237/INFOEM/IP/RR/2020</w:t>
          </w:r>
        </w:p>
      </w:tc>
    </w:tr>
    <w:tr w:rsidR="00604794">
      <w:tc>
        <w:tcPr>
          <w:tcW w:w="3260" w:type="dxa"/>
          <w:vMerge/>
        </w:tcPr>
        <w:p w:rsidR="00604794" w:rsidRDefault="00604794">
          <w:pPr>
            <w:rPr>
              <w:rFonts w:ascii="Palatino Linotype" w:hAnsi="Palatino Linotype"/>
              <w:b/>
              <w:sz w:val="22"/>
              <w:szCs w:val="22"/>
              <w:lang w:val="es-ES_tradnl"/>
            </w:rPr>
          </w:pPr>
        </w:p>
      </w:tc>
      <w:tc>
        <w:tcPr>
          <w:tcW w:w="2551" w:type="dxa"/>
          <w:shd w:val="clear" w:color="auto" w:fill="auto"/>
        </w:tcPr>
        <w:p w:rsidR="00604794" w:rsidRDefault="00AF5403">
          <w:pPr>
            <w:rPr>
              <w:rFonts w:ascii="Palatino Linotype" w:hAnsi="Palatino Linotype"/>
              <w:b/>
              <w:sz w:val="22"/>
              <w:szCs w:val="22"/>
              <w:lang w:val="es-ES_tradnl"/>
            </w:rPr>
          </w:pPr>
          <w:r>
            <w:rPr>
              <w:rFonts w:ascii="Palatino Linotype" w:hAnsi="Palatino Linotype"/>
              <w:b/>
              <w:sz w:val="22"/>
              <w:szCs w:val="22"/>
              <w:lang w:val="es-ES_tradnl"/>
            </w:rPr>
            <w:t>Sujeto Obligado:</w:t>
          </w:r>
        </w:p>
      </w:tc>
      <w:tc>
        <w:tcPr>
          <w:tcW w:w="3723" w:type="dxa"/>
          <w:shd w:val="clear" w:color="auto" w:fill="auto"/>
          <w:vAlign w:val="center"/>
        </w:tcPr>
        <w:p w:rsidR="00604794" w:rsidRDefault="00AF5403">
          <w:pPr>
            <w:jc w:val="both"/>
            <w:rPr>
              <w:rFonts w:ascii="Palatino Linotype" w:hAnsi="Palatino Linotype"/>
              <w:b/>
              <w:sz w:val="22"/>
              <w:szCs w:val="22"/>
              <w:lang w:val="es-ES_tradnl"/>
            </w:rPr>
          </w:pPr>
          <w:r>
            <w:rPr>
              <w:rFonts w:ascii="Palatino Linotype" w:hAnsi="Palatino Linotype"/>
              <w:b/>
              <w:sz w:val="22"/>
              <w:szCs w:val="22"/>
              <w:lang w:val="es-ES_tradnl"/>
            </w:rPr>
            <w:t>Instituto de Salud del Estado de México</w:t>
          </w:r>
        </w:p>
      </w:tc>
    </w:tr>
    <w:tr w:rsidR="00604794">
      <w:trPr>
        <w:trHeight w:val="228"/>
      </w:trPr>
      <w:tc>
        <w:tcPr>
          <w:tcW w:w="3260" w:type="dxa"/>
          <w:vMerge/>
        </w:tcPr>
        <w:p w:rsidR="00604794" w:rsidRDefault="00604794">
          <w:pPr>
            <w:rPr>
              <w:rFonts w:ascii="Palatino Linotype" w:hAnsi="Palatino Linotype"/>
              <w:b/>
              <w:sz w:val="22"/>
              <w:szCs w:val="22"/>
              <w:lang w:val="es-ES_tradnl"/>
            </w:rPr>
          </w:pPr>
        </w:p>
      </w:tc>
      <w:tc>
        <w:tcPr>
          <w:tcW w:w="2551" w:type="dxa"/>
          <w:shd w:val="clear" w:color="auto" w:fill="auto"/>
        </w:tcPr>
        <w:p w:rsidR="00604794" w:rsidRDefault="00AF5403">
          <w:pPr>
            <w:rPr>
              <w:rFonts w:ascii="Palatino Linotype" w:hAnsi="Palatino Linotype"/>
              <w:b/>
              <w:sz w:val="22"/>
              <w:szCs w:val="22"/>
              <w:lang w:val="es-ES_tradnl"/>
            </w:rPr>
          </w:pPr>
          <w:r>
            <w:rPr>
              <w:rFonts w:ascii="Palatino Linotype" w:hAnsi="Palatino Linotype"/>
              <w:b/>
              <w:sz w:val="22"/>
              <w:szCs w:val="22"/>
              <w:lang w:val="es-ES_tradnl"/>
            </w:rPr>
            <w:t>Comisionada ponente:</w:t>
          </w:r>
        </w:p>
      </w:tc>
      <w:tc>
        <w:tcPr>
          <w:tcW w:w="3723" w:type="dxa"/>
          <w:shd w:val="clear" w:color="auto" w:fill="auto"/>
        </w:tcPr>
        <w:p w:rsidR="00604794" w:rsidRDefault="00AF5403">
          <w:pPr>
            <w:jc w:val="both"/>
            <w:rPr>
              <w:rFonts w:ascii="Palatino Linotype" w:hAnsi="Palatino Linotype"/>
              <w:b/>
              <w:sz w:val="22"/>
              <w:szCs w:val="22"/>
              <w:lang w:val="es-ES_tradnl"/>
            </w:rPr>
          </w:pPr>
          <w:r>
            <w:rPr>
              <w:rFonts w:ascii="Palatino Linotype" w:hAnsi="Palatino Linotype"/>
              <w:b/>
              <w:sz w:val="22"/>
              <w:szCs w:val="22"/>
              <w:lang w:val="es-ES_tradnl"/>
            </w:rPr>
            <w:t>Eva Abaid Yapur</w:t>
          </w:r>
        </w:p>
      </w:tc>
    </w:tr>
  </w:tbl>
  <w:p w:rsidR="00604794" w:rsidRDefault="00604794">
    <w:pPr>
      <w:pStyle w:val="Encabezado"/>
      <w:tabs>
        <w:tab w:val="clear" w:pos="4252"/>
        <w:tab w:val="clear" w:pos="8504"/>
        <w:tab w:val="left" w:pos="2326"/>
      </w:tabs>
      <w:rPr>
        <w:rFonts w:ascii="Palatino Linotype" w:hAnsi="Palatino Linotype"/>
        <w:sz w:val="28"/>
        <w:szCs w:val="2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4794" w:rsidRDefault="00AF5403">
    <w:pPr>
      <w:rPr>
        <w:rFonts w:ascii="Palatino Linotype" w:hAnsi="Palatino Linotype"/>
        <w:sz w:val="28"/>
        <w:szCs w:val="28"/>
      </w:rPr>
    </w:pPr>
    <w:r>
      <w:rPr>
        <w:rFonts w:ascii="Palatino Linotype" w:hAnsi="Palatino Linotype"/>
        <w:noProof/>
        <w:sz w:val="28"/>
        <w:szCs w:val="28"/>
        <w:lang w:eastAsia="es-MX"/>
      </w:rPr>
      <mc:AlternateContent>
        <mc:Choice Requires="wps">
          <w:drawing>
            <wp:anchor distT="0" distB="0" distL="0" distR="0" simplePos="0" relativeHeight="2" behindDoc="1" locked="0" layoutInCell="1" allowOverlap="1">
              <wp:simplePos x="0" y="0"/>
              <wp:positionH relativeFrom="column">
                <wp:align>center</wp:align>
              </wp:positionH>
              <wp:positionV relativeFrom="margin">
                <wp:align>center</wp:align>
              </wp:positionV>
              <wp:extent cx="6858635" cy="9144635"/>
              <wp:effectExtent l="0" t="0" r="0" b="0"/>
              <wp:wrapNone/>
              <wp:docPr id="39" name="WordPictureWatermark2095932796"/>
              <wp:cNvGraphicFramePr/>
              <a:graphic xmlns:a="http://schemas.openxmlformats.org/drawingml/2006/main">
                <a:graphicData uri="http://schemas.openxmlformats.org/drawingml/2006/picture">
                  <pic:pic xmlns:pic="http://schemas.openxmlformats.org/drawingml/2006/picture">
                    <pic:nvPicPr>
                      <pic:cNvPr id="1" name="WordPictureWatermark2095932796"/>
                      <pic:cNvPicPr/>
                    </pic:nvPicPr>
                    <pic:blipFill>
                      <a:blip r:embed="rId1"/>
                      <a:stretch/>
                    </pic:blipFill>
                    <pic:spPr>
                      <a:xfrm>
                        <a:off x="0" y="0"/>
                        <a:ext cx="6858000" cy="9144000"/>
                      </a:xfrm>
                      <a:prstGeom prst="rect">
                        <a:avLst/>
                      </a:prstGeom>
                      <a:ln>
                        <a:noFill/>
                      </a:ln>
                    </pic:spPr>
                  </pic:pic>
                </a:graphicData>
              </a:graphic>
            </wp:anchor>
          </w:drawing>
        </mc:Choice>
        <mc:Fallback>
          <w:pict>
            <v:shape id="WordPictureWatermark2095932796" o:spid="shape_0" stroked="f" style="position:absolute;margin-left:-42pt;margin-top:-67pt;width:539.95pt;height:719.95pt;mso-position-horizontal:center;mso-position-vertical:center;mso-position-vertical-relative:margin" type="shapetype_75">
              <v:imagedata r:id="rId2" o:detectmouseclick="t"/>
              <w10:wrap type="none"/>
              <v:stroke color="#3465a4" joinstyle="round" endcap="flat"/>
            </v:shape>
          </w:pict>
        </mc:Fallback>
      </mc:AlternateContent>
    </w:r>
  </w:p>
  <w:tbl>
    <w:tblPr>
      <w:tblW w:w="10490" w:type="dxa"/>
      <w:tblInd w:w="-1276" w:type="dxa"/>
      <w:tblLook w:val="04A0" w:firstRow="1" w:lastRow="0" w:firstColumn="1" w:lastColumn="0" w:noHBand="0" w:noVBand="1"/>
    </w:tblPr>
    <w:tblGrid>
      <w:gridCol w:w="4252"/>
      <w:gridCol w:w="2552"/>
      <w:gridCol w:w="3686"/>
    </w:tblGrid>
    <w:tr w:rsidR="00604794">
      <w:tc>
        <w:tcPr>
          <w:tcW w:w="4252" w:type="dxa"/>
          <w:vMerge w:val="restart"/>
          <w:shd w:val="clear" w:color="auto" w:fill="auto"/>
        </w:tcPr>
        <w:p w:rsidR="00604794" w:rsidRDefault="00AF5403">
          <w:pPr>
            <w:rPr>
              <w:rFonts w:ascii="Palatino Linotype" w:hAnsi="Palatino Linotype"/>
              <w:b/>
              <w:sz w:val="22"/>
              <w:szCs w:val="22"/>
              <w:lang w:val="es-ES_tradnl"/>
            </w:rPr>
          </w:pPr>
          <w:r>
            <w:rPr>
              <w:noProof/>
              <w:lang w:eastAsia="es-MX"/>
            </w:rPr>
            <w:drawing>
              <wp:inline distT="0" distB="0" distL="0" distR="0">
                <wp:extent cx="1663700" cy="838200"/>
                <wp:effectExtent l="0" t="0" r="0" b="0"/>
                <wp:docPr id="40"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n 9"/>
                        <pic:cNvPicPr>
                          <a:picLocks noChangeAspect="1" noChangeArrowheads="1"/>
                        </pic:cNvPicPr>
                      </pic:nvPicPr>
                      <pic:blipFill>
                        <a:blip r:embed="rId3"/>
                        <a:stretch>
                          <a:fillRect/>
                        </a:stretch>
                      </pic:blipFill>
                      <pic:spPr bwMode="auto">
                        <a:xfrm>
                          <a:off x="0" y="0"/>
                          <a:ext cx="1663700" cy="838200"/>
                        </a:xfrm>
                        <a:prstGeom prst="rect">
                          <a:avLst/>
                        </a:prstGeom>
                      </pic:spPr>
                    </pic:pic>
                  </a:graphicData>
                </a:graphic>
              </wp:inline>
            </w:drawing>
          </w:r>
        </w:p>
      </w:tc>
      <w:tc>
        <w:tcPr>
          <w:tcW w:w="2552" w:type="dxa"/>
          <w:shd w:val="clear" w:color="auto" w:fill="auto"/>
        </w:tcPr>
        <w:p w:rsidR="00604794" w:rsidRDefault="00AF5403">
          <w:pPr>
            <w:rPr>
              <w:rFonts w:ascii="Palatino Linotype" w:hAnsi="Palatino Linotype"/>
              <w:b/>
              <w:sz w:val="22"/>
              <w:szCs w:val="22"/>
              <w:lang w:val="es-ES_tradnl"/>
            </w:rPr>
          </w:pPr>
          <w:r>
            <w:rPr>
              <w:rFonts w:ascii="Palatino Linotype" w:hAnsi="Palatino Linotype"/>
              <w:b/>
              <w:sz w:val="22"/>
              <w:szCs w:val="22"/>
              <w:lang w:val="es-ES_tradnl"/>
            </w:rPr>
            <w:t>Recurso de revisión:</w:t>
          </w:r>
        </w:p>
      </w:tc>
      <w:tc>
        <w:tcPr>
          <w:tcW w:w="3686" w:type="dxa"/>
          <w:shd w:val="clear" w:color="auto" w:fill="auto"/>
          <w:vAlign w:val="center"/>
        </w:tcPr>
        <w:p w:rsidR="00604794" w:rsidRDefault="00AF5403">
          <w:pPr>
            <w:jc w:val="both"/>
            <w:rPr>
              <w:rFonts w:ascii="Palatino Linotype" w:hAnsi="Palatino Linotype"/>
              <w:b/>
              <w:sz w:val="22"/>
              <w:szCs w:val="22"/>
              <w:lang w:val="es-ES_tradnl"/>
            </w:rPr>
          </w:pPr>
          <w:r>
            <w:rPr>
              <w:rFonts w:ascii="Palatino Linotype" w:hAnsi="Palatino Linotype"/>
              <w:b/>
              <w:sz w:val="22"/>
              <w:szCs w:val="22"/>
              <w:lang w:val="es-ES_tradnl"/>
            </w:rPr>
            <w:t>01237/INFOEM/IP/RR/2020</w:t>
          </w:r>
        </w:p>
      </w:tc>
    </w:tr>
    <w:tr w:rsidR="00604794">
      <w:tc>
        <w:tcPr>
          <w:tcW w:w="4252" w:type="dxa"/>
          <w:vMerge/>
          <w:shd w:val="clear" w:color="auto" w:fill="auto"/>
        </w:tcPr>
        <w:p w:rsidR="00604794" w:rsidRDefault="00604794">
          <w:pPr>
            <w:rPr>
              <w:rFonts w:ascii="Palatino Linotype" w:hAnsi="Palatino Linotype"/>
              <w:b/>
              <w:sz w:val="22"/>
              <w:szCs w:val="22"/>
              <w:lang w:val="es-ES_tradnl"/>
            </w:rPr>
          </w:pPr>
        </w:p>
      </w:tc>
      <w:tc>
        <w:tcPr>
          <w:tcW w:w="2552" w:type="dxa"/>
          <w:shd w:val="clear" w:color="auto" w:fill="auto"/>
        </w:tcPr>
        <w:p w:rsidR="00604794" w:rsidRDefault="00AF5403">
          <w:pPr>
            <w:rPr>
              <w:rFonts w:ascii="Palatino Linotype" w:hAnsi="Palatino Linotype"/>
              <w:b/>
              <w:sz w:val="22"/>
              <w:szCs w:val="22"/>
              <w:lang w:val="es-ES_tradnl"/>
            </w:rPr>
          </w:pPr>
          <w:r>
            <w:rPr>
              <w:rFonts w:ascii="Palatino Linotype" w:hAnsi="Palatino Linotype"/>
              <w:b/>
              <w:sz w:val="22"/>
              <w:szCs w:val="22"/>
              <w:lang w:val="es-ES_tradnl"/>
            </w:rPr>
            <w:t>Recurrente:</w:t>
          </w:r>
        </w:p>
      </w:tc>
      <w:tc>
        <w:tcPr>
          <w:tcW w:w="3686" w:type="dxa"/>
          <w:shd w:val="clear" w:color="auto" w:fill="auto"/>
          <w:vAlign w:val="center"/>
        </w:tcPr>
        <w:p w:rsidR="00604794" w:rsidRDefault="00504E30" w:rsidP="00504E30">
          <w:pPr>
            <w:jc w:val="both"/>
            <w:rPr>
              <w:rFonts w:ascii="Palatino Linotype" w:hAnsi="Palatino Linotype"/>
              <w:b/>
              <w:sz w:val="22"/>
              <w:szCs w:val="22"/>
              <w:lang w:val="es-ES_tradnl"/>
            </w:rPr>
          </w:pPr>
          <w:proofErr w:type="spellStart"/>
          <w:r>
            <w:rPr>
              <w:rFonts w:ascii="Palatino Linotype" w:hAnsi="Palatino Linotype"/>
              <w:b/>
              <w:sz w:val="22"/>
              <w:szCs w:val="22"/>
              <w:lang w:val="es-ES_tradnl"/>
            </w:rPr>
            <w:t>Xxxxxxx</w:t>
          </w:r>
          <w:proofErr w:type="spellEnd"/>
          <w:r w:rsidR="00AF5403">
            <w:rPr>
              <w:rFonts w:ascii="Palatino Linotype" w:hAnsi="Palatino Linotype"/>
              <w:b/>
              <w:sz w:val="22"/>
              <w:szCs w:val="22"/>
              <w:lang w:val="es-ES_tradnl"/>
            </w:rPr>
            <w:t xml:space="preserve"> </w:t>
          </w:r>
          <w:proofErr w:type="spellStart"/>
          <w:r>
            <w:rPr>
              <w:rFonts w:ascii="Palatino Linotype" w:hAnsi="Palatino Linotype"/>
              <w:b/>
              <w:sz w:val="22"/>
              <w:szCs w:val="22"/>
              <w:lang w:val="es-ES_tradnl"/>
            </w:rPr>
            <w:t>Xxxxxx</w:t>
          </w:r>
          <w:proofErr w:type="spellEnd"/>
          <w:r w:rsidR="00AF5403">
            <w:rPr>
              <w:rFonts w:ascii="Palatino Linotype" w:hAnsi="Palatino Linotype"/>
              <w:b/>
              <w:sz w:val="22"/>
              <w:szCs w:val="22"/>
              <w:lang w:val="es-ES_tradnl"/>
            </w:rPr>
            <w:t xml:space="preserve"> </w:t>
          </w:r>
          <w:proofErr w:type="spellStart"/>
          <w:r>
            <w:rPr>
              <w:rFonts w:ascii="Palatino Linotype" w:hAnsi="Palatino Linotype"/>
              <w:b/>
              <w:sz w:val="22"/>
              <w:szCs w:val="22"/>
              <w:lang w:val="es-ES_tradnl"/>
            </w:rPr>
            <w:t>Xxxxxxxxx</w:t>
          </w:r>
          <w:proofErr w:type="spellEnd"/>
        </w:p>
      </w:tc>
    </w:tr>
    <w:tr w:rsidR="00604794">
      <w:trPr>
        <w:trHeight w:val="228"/>
      </w:trPr>
      <w:tc>
        <w:tcPr>
          <w:tcW w:w="4252" w:type="dxa"/>
          <w:vMerge/>
          <w:shd w:val="clear" w:color="auto" w:fill="auto"/>
        </w:tcPr>
        <w:p w:rsidR="00604794" w:rsidRDefault="00604794">
          <w:pPr>
            <w:rPr>
              <w:rFonts w:ascii="Palatino Linotype" w:hAnsi="Palatino Linotype"/>
              <w:b/>
              <w:sz w:val="22"/>
              <w:szCs w:val="22"/>
              <w:lang w:val="es-ES_tradnl"/>
            </w:rPr>
          </w:pPr>
        </w:p>
      </w:tc>
      <w:tc>
        <w:tcPr>
          <w:tcW w:w="2552" w:type="dxa"/>
          <w:shd w:val="clear" w:color="auto" w:fill="auto"/>
        </w:tcPr>
        <w:p w:rsidR="00604794" w:rsidRDefault="00AF5403">
          <w:pPr>
            <w:rPr>
              <w:rFonts w:ascii="Palatino Linotype" w:hAnsi="Palatino Linotype"/>
              <w:b/>
              <w:sz w:val="22"/>
              <w:szCs w:val="22"/>
              <w:lang w:val="es-ES_tradnl"/>
            </w:rPr>
          </w:pPr>
          <w:r>
            <w:rPr>
              <w:rFonts w:ascii="Palatino Linotype" w:hAnsi="Palatino Linotype"/>
              <w:b/>
              <w:sz w:val="22"/>
              <w:szCs w:val="22"/>
              <w:lang w:val="es-ES_tradnl"/>
            </w:rPr>
            <w:t>Sujeto Obligado:</w:t>
          </w:r>
        </w:p>
      </w:tc>
      <w:tc>
        <w:tcPr>
          <w:tcW w:w="3686" w:type="dxa"/>
          <w:shd w:val="clear" w:color="auto" w:fill="auto"/>
          <w:vAlign w:val="center"/>
        </w:tcPr>
        <w:p w:rsidR="00604794" w:rsidRDefault="00AF5403">
          <w:pPr>
            <w:jc w:val="both"/>
            <w:rPr>
              <w:rFonts w:ascii="Palatino Linotype" w:hAnsi="Palatino Linotype"/>
              <w:b/>
              <w:sz w:val="22"/>
              <w:szCs w:val="22"/>
            </w:rPr>
          </w:pPr>
          <w:r>
            <w:rPr>
              <w:rFonts w:ascii="Palatino Linotype" w:hAnsi="Palatino Linotype"/>
              <w:b/>
              <w:sz w:val="22"/>
              <w:szCs w:val="22"/>
            </w:rPr>
            <w:t>Instituto de Salud del Estado de México</w:t>
          </w:r>
        </w:p>
      </w:tc>
    </w:tr>
    <w:tr w:rsidR="00604794">
      <w:tc>
        <w:tcPr>
          <w:tcW w:w="4252" w:type="dxa"/>
          <w:vMerge/>
          <w:shd w:val="clear" w:color="auto" w:fill="auto"/>
        </w:tcPr>
        <w:p w:rsidR="00604794" w:rsidRDefault="00604794">
          <w:pPr>
            <w:rPr>
              <w:rFonts w:ascii="Palatino Linotype" w:hAnsi="Palatino Linotype"/>
              <w:b/>
              <w:sz w:val="22"/>
              <w:szCs w:val="22"/>
              <w:lang w:val="es-ES_tradnl"/>
            </w:rPr>
          </w:pPr>
        </w:p>
      </w:tc>
      <w:tc>
        <w:tcPr>
          <w:tcW w:w="2552" w:type="dxa"/>
          <w:shd w:val="clear" w:color="auto" w:fill="auto"/>
        </w:tcPr>
        <w:p w:rsidR="00604794" w:rsidRDefault="00AF5403">
          <w:pPr>
            <w:rPr>
              <w:rFonts w:ascii="Palatino Linotype" w:hAnsi="Palatino Linotype"/>
              <w:b/>
              <w:sz w:val="22"/>
              <w:szCs w:val="22"/>
              <w:lang w:val="es-ES_tradnl"/>
            </w:rPr>
          </w:pPr>
          <w:r>
            <w:rPr>
              <w:rFonts w:ascii="Palatino Linotype" w:hAnsi="Palatino Linotype"/>
              <w:b/>
              <w:sz w:val="22"/>
              <w:szCs w:val="22"/>
              <w:lang w:val="es-ES_tradnl"/>
            </w:rPr>
            <w:t>Comisionada ponente:</w:t>
          </w:r>
        </w:p>
      </w:tc>
      <w:tc>
        <w:tcPr>
          <w:tcW w:w="3686" w:type="dxa"/>
          <w:shd w:val="clear" w:color="auto" w:fill="auto"/>
        </w:tcPr>
        <w:p w:rsidR="00604794" w:rsidRDefault="00AF5403">
          <w:pPr>
            <w:jc w:val="both"/>
            <w:rPr>
              <w:rFonts w:ascii="Palatino Linotype" w:hAnsi="Palatino Linotype"/>
              <w:b/>
              <w:sz w:val="22"/>
              <w:szCs w:val="22"/>
              <w:lang w:val="es-ES_tradnl"/>
            </w:rPr>
          </w:pPr>
          <w:r>
            <w:rPr>
              <w:rFonts w:ascii="Palatino Linotype" w:hAnsi="Palatino Linotype"/>
              <w:b/>
              <w:sz w:val="22"/>
              <w:szCs w:val="22"/>
              <w:lang w:val="es-ES_tradnl"/>
            </w:rPr>
            <w:t>Eva Abaid Yapur</w:t>
          </w:r>
        </w:p>
      </w:tc>
    </w:tr>
  </w:tbl>
  <w:p w:rsidR="00604794" w:rsidRDefault="00604794">
    <w:pPr>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8DB4971"/>
    <w:multiLevelType w:val="multilevel"/>
    <w:tmpl w:val="6E461512"/>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 w15:restartNumberingAfterBreak="0">
    <w:nsid w:val="192C529A"/>
    <w:multiLevelType w:val="multilevel"/>
    <w:tmpl w:val="318E8D1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 w15:restartNumberingAfterBreak="0">
    <w:nsid w:val="47ED007A"/>
    <w:multiLevelType w:val="multilevel"/>
    <w:tmpl w:val="065074F8"/>
    <w:lvl w:ilvl="0">
      <w:start w:val="1"/>
      <w:numFmt w:val="ordinalText"/>
      <w:lvlText w:val="%1."/>
      <w:lvlJc w:val="left"/>
      <w:pPr>
        <w:ind w:left="720" w:hanging="360"/>
      </w:pPr>
      <w:rPr>
        <w:rFonts w:hint="default"/>
        <w:b/>
        <w:caps/>
        <w:sz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9"/>
  <w:autoHyphenation/>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4794"/>
    <w:rsid w:val="002F05FB"/>
    <w:rsid w:val="00387379"/>
    <w:rsid w:val="00504E30"/>
    <w:rsid w:val="00604794"/>
    <w:rsid w:val="00AF5403"/>
    <w:rsid w:val="00B34D33"/>
    <w:rsid w:val="00DD0F10"/>
    <w:rsid w:val="00F02A51"/>
  </w:rsids>
  <m:mathPr>
    <m:mathFont m:val="Cambria Math"/>
    <m:brkBin m:val="before"/>
    <m:brkBinSub m:val="--"/>
    <m:smallFrac m:val="0"/>
    <m:dispDef/>
    <m:lMargin m:val="0"/>
    <m:rMargin m:val="0"/>
    <m:defJc m:val="centerGroup"/>
    <m:wrapIndent m:val="1440"/>
    <m:intLim m:val="subSup"/>
    <m:naryLim m:val="undOvr"/>
  </m:mathPr>
  <w:themeFontLang w:val="es-ES_tradnl" w:eastAsia="ja-JP"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ACBC52A-D097-4577-872B-68ADF7C283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pPr>
        <w:suppressAutoHyphens/>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60B8"/>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Autospacing="1"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EncabezadoCar">
    <w:name w:val="Encabezado Car"/>
    <w:basedOn w:val="Fuentedeprrafopredeter"/>
    <w:link w:val="Encabezado"/>
    <w:uiPriority w:val="99"/>
    <w:qFormat/>
    <w:rsid w:val="00C80F8C"/>
  </w:style>
  <w:style w:type="character" w:customStyle="1" w:styleId="PiedepginaCar">
    <w:name w:val="Pie de página Car"/>
    <w:basedOn w:val="Fuentedeprrafopredeter"/>
    <w:link w:val="Piedepgina"/>
    <w:uiPriority w:val="99"/>
    <w:qFormat/>
    <w:rsid w:val="00C80F8C"/>
  </w:style>
  <w:style w:type="character" w:customStyle="1" w:styleId="TextodegloboCar">
    <w:name w:val="Texto de globo Car"/>
    <w:basedOn w:val="Fuentedeprrafopredeter"/>
    <w:link w:val="Textodeglobo"/>
    <w:uiPriority w:val="99"/>
    <w:semiHidden/>
    <w:qFormat/>
    <w:rsid w:val="00C80F8C"/>
    <w:rPr>
      <w:rFonts w:ascii="Lucida Grande" w:hAnsi="Lucida Grande" w:cs="Lucida Grande"/>
      <w:sz w:val="18"/>
      <w:szCs w:val="18"/>
    </w:rPr>
  </w:style>
  <w:style w:type="character" w:customStyle="1" w:styleId="PrrafodelistaCar">
    <w:name w:val="Párrafo de lista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character" w:customStyle="1" w:styleId="Textoindependiente2Car">
    <w:name w:val="Texto independiente 2 Car"/>
    <w:basedOn w:val="Fuentedeprrafopredeter"/>
    <w:link w:val="Textoindependiente2"/>
    <w:uiPriority w:val="99"/>
    <w:qFormat/>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qFormat/>
    <w:rsid w:val="00532734"/>
    <w:rPr>
      <w:sz w:val="16"/>
      <w:szCs w:val="16"/>
    </w:rPr>
  </w:style>
  <w:style w:type="character" w:customStyle="1" w:styleId="apple-converted-space">
    <w:name w:val="apple-converted-space"/>
    <w:basedOn w:val="Fuentedeprrafopredeter"/>
    <w:qFormat/>
    <w:rsid w:val="00097B14"/>
  </w:style>
  <w:style w:type="character" w:customStyle="1" w:styleId="Listavistosa-nfasis1Car">
    <w:name w:val="Lista vistosa - Énfasis 1 Car"/>
    <w:uiPriority w:val="34"/>
    <w:qFormat/>
    <w:locked/>
    <w:rsid w:val="0015349A"/>
    <w:rPr>
      <w:rFonts w:ascii="Times New Roman" w:eastAsia="Times New Roman" w:hAnsi="Times New Roman" w:cs="Times New Roman"/>
      <w:lang w:val="es-ES"/>
    </w:rPr>
  </w:style>
  <w:style w:type="character" w:customStyle="1" w:styleId="apple-style-span">
    <w:name w:val="apple-style-span"/>
    <w:qFormat/>
    <w:rsid w:val="0015349A"/>
  </w:style>
  <w:style w:type="character" w:customStyle="1" w:styleId="TextonotapieCar">
    <w:name w:val="Texto nota pie Car"/>
    <w:basedOn w:val="Fuentedeprrafopredeter"/>
    <w:link w:val="Textonotapie"/>
    <w:uiPriority w:val="99"/>
    <w:qFormat/>
    <w:rsid w:val="0015349A"/>
    <w:rPr>
      <w:rFonts w:eastAsiaTheme="minorHAnsi"/>
      <w:sz w:val="20"/>
      <w:szCs w:val="20"/>
      <w:lang w:val="es-MX" w:eastAsia="en-US"/>
    </w:rPr>
  </w:style>
  <w:style w:type="character" w:customStyle="1" w:styleId="FootnoteCharacters">
    <w:name w:val="Footnote Characters"/>
    <w:basedOn w:val="Fuentedeprrafopredeter"/>
    <w:uiPriority w:val="99"/>
    <w:unhideWhenUsed/>
    <w:qFormat/>
    <w:rsid w:val="0015349A"/>
    <w:rPr>
      <w:vertAlign w:val="superscript"/>
    </w:rPr>
  </w:style>
  <w:style w:type="character" w:customStyle="1" w:styleId="FootnoteAnchor">
    <w:name w:val="Footnote Anchor"/>
    <w:rPr>
      <w:vertAlign w:val="superscript"/>
    </w:rPr>
  </w:style>
  <w:style w:type="character" w:customStyle="1" w:styleId="TextosinformatoCar">
    <w:name w:val="Texto sin formato Car"/>
    <w:basedOn w:val="Fuentedeprrafopredeter"/>
    <w:link w:val="Textosinformato"/>
    <w:qFormat/>
    <w:rsid w:val="0015349A"/>
    <w:rPr>
      <w:rFonts w:ascii="Courier New" w:eastAsia="Times New Roman" w:hAnsi="Courier New" w:cs="Times New Roman"/>
      <w:sz w:val="20"/>
      <w:szCs w:val="20"/>
      <w:lang w:val="es-ES"/>
    </w:rPr>
  </w:style>
  <w:style w:type="character" w:customStyle="1" w:styleId="negritas1">
    <w:name w:val="negritas1"/>
    <w:qFormat/>
    <w:rsid w:val="0015349A"/>
    <w:rPr>
      <w:rFonts w:ascii="Arial" w:hAnsi="Arial" w:cs="Arial"/>
      <w:b/>
      <w:bCs/>
      <w:sz w:val="18"/>
      <w:szCs w:val="18"/>
    </w:rPr>
  </w:style>
  <w:style w:type="character" w:customStyle="1" w:styleId="f">
    <w:name w:val="f"/>
    <w:basedOn w:val="Fuentedeprrafopredeter"/>
    <w:qFormat/>
    <w:rsid w:val="0015349A"/>
  </w:style>
  <w:style w:type="character" w:customStyle="1" w:styleId="d">
    <w:name w:val="d"/>
    <w:basedOn w:val="Fuentedeprrafopredeter"/>
    <w:qFormat/>
    <w:rsid w:val="0015349A"/>
  </w:style>
  <w:style w:type="character" w:customStyle="1" w:styleId="b">
    <w:name w:val="b"/>
    <w:basedOn w:val="Fuentedeprrafopredeter"/>
    <w:qFormat/>
    <w:rsid w:val="0015349A"/>
  </w:style>
  <w:style w:type="character" w:customStyle="1" w:styleId="k">
    <w:name w:val="k"/>
    <w:basedOn w:val="Fuentedeprrafopredeter"/>
    <w:qFormat/>
    <w:rsid w:val="0015349A"/>
  </w:style>
  <w:style w:type="character" w:customStyle="1" w:styleId="h">
    <w:name w:val="h"/>
    <w:basedOn w:val="Fuentedeprrafopredeter"/>
    <w:qFormat/>
    <w:rsid w:val="0015349A"/>
  </w:style>
  <w:style w:type="character" w:styleId="CitaHTML">
    <w:name w:val="HTML Cite"/>
    <w:uiPriority w:val="99"/>
    <w:semiHidden/>
    <w:unhideWhenUsed/>
    <w:qFormat/>
    <w:rsid w:val="0015349A"/>
    <w:rPr>
      <w:i/>
      <w:iCs/>
    </w:rPr>
  </w:style>
  <w:style w:type="character" w:customStyle="1" w:styleId="lbl-encabezado-blanco2">
    <w:name w:val="lbl-encabezado-blanco2"/>
    <w:qFormat/>
    <w:rsid w:val="00052E1B"/>
    <w:rPr>
      <w:color w:val="FFFFFF"/>
    </w:rPr>
  </w:style>
  <w:style w:type="character" w:customStyle="1" w:styleId="TextoCar">
    <w:name w:val="Texto Car"/>
    <w:link w:val="Texto"/>
    <w:qFormat/>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qFormat/>
    <w:rsid w:val="0071255C"/>
    <w:rPr>
      <w:rFonts w:ascii="Times New Roman" w:eastAsia="Times New Roman" w:hAnsi="Times New Roman" w:cs="Times New Roman"/>
      <w:b/>
      <w:bCs/>
      <w:sz w:val="27"/>
      <w:szCs w:val="27"/>
      <w:lang w:val="es-MX" w:eastAsia="es-MX"/>
    </w:rPr>
  </w:style>
  <w:style w:type="character" w:customStyle="1" w:styleId="ANOTACIONCar">
    <w:name w:val="ANOTACION Car"/>
    <w:link w:val="ANOTACION"/>
    <w:qFormat/>
    <w:locked/>
    <w:rsid w:val="003D3A0C"/>
    <w:rPr>
      <w:rFonts w:ascii="Times New Roman" w:eastAsia="Times New Roman" w:hAnsi="Times New Roman" w:cs="Times New Roman"/>
      <w:b/>
      <w:sz w:val="18"/>
      <w:szCs w:val="18"/>
    </w:rPr>
  </w:style>
  <w:style w:type="character" w:styleId="nfasis">
    <w:name w:val="Emphasis"/>
    <w:basedOn w:val="Fuentedeprrafopredeter"/>
    <w:uiPriority w:val="20"/>
    <w:qFormat/>
    <w:rsid w:val="0022780C"/>
    <w:rPr>
      <w:i/>
      <w:iCs/>
    </w:rPr>
  </w:style>
  <w:style w:type="character" w:customStyle="1" w:styleId="SinespaciadoCar">
    <w:name w:val="Sin espaciado Car"/>
    <w:link w:val="Sinespaciado"/>
    <w:uiPriority w:val="1"/>
    <w:qFormat/>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qFormat/>
    <w:rsid w:val="004435D7"/>
    <w:rPr>
      <w:rFonts w:asciiTheme="majorHAnsi" w:eastAsiaTheme="majorEastAsia" w:hAnsiTheme="majorHAnsi" w:cstheme="majorBidi"/>
      <w:color w:val="365F91" w:themeColor="accent1" w:themeShade="BF"/>
      <w:sz w:val="26"/>
      <w:szCs w:val="26"/>
      <w:lang w:val="es-MX" w:eastAsia="en-US"/>
    </w:rPr>
  </w:style>
  <w:style w:type="character" w:customStyle="1" w:styleId="TextocomentarioCar">
    <w:name w:val="Texto comentario Car"/>
    <w:basedOn w:val="Fuentedeprrafopredeter"/>
    <w:link w:val="Textocomentario"/>
    <w:uiPriority w:val="99"/>
    <w:semiHidden/>
    <w:qFormat/>
    <w:rsid w:val="006C2EF9"/>
    <w:rPr>
      <w:rFonts w:ascii="Times New Roman" w:eastAsia="Times New Roman" w:hAnsi="Times New Roman" w:cs="Times New Roman"/>
      <w:sz w:val="20"/>
      <w:szCs w:val="20"/>
      <w:lang w:val="es-ES"/>
    </w:rPr>
  </w:style>
  <w:style w:type="character" w:customStyle="1" w:styleId="AsuntodelcomentarioCar">
    <w:name w:val="Asunto del comentario Car"/>
    <w:basedOn w:val="TextocomentarioCar"/>
    <w:link w:val="Asuntodelcomentario"/>
    <w:uiPriority w:val="99"/>
    <w:semiHidden/>
    <w:qFormat/>
    <w:rsid w:val="006C2EF9"/>
    <w:rPr>
      <w:rFonts w:ascii="Times New Roman" w:eastAsia="Times New Roman" w:hAnsi="Times New Roman" w:cs="Times New Roman"/>
      <w:b/>
      <w:bCs/>
      <w:sz w:val="20"/>
      <w:szCs w:val="20"/>
      <w:lang w:val="es-ES"/>
    </w:rPr>
  </w:style>
  <w:style w:type="character" w:customStyle="1" w:styleId="ROMANOSCar">
    <w:name w:val="ROMANOS Car"/>
    <w:link w:val="ROMANOS"/>
    <w:qFormat/>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qFormat/>
    <w:rsid w:val="000054EA"/>
  </w:style>
  <w:style w:type="character" w:customStyle="1" w:styleId="Ninguno">
    <w:name w:val="Ninguno"/>
    <w:qFormat/>
    <w:rsid w:val="00A327E0"/>
    <w:rPr>
      <w:lang w:val="es-ES_tradnl"/>
    </w:rPr>
  </w:style>
  <w:style w:type="character" w:customStyle="1" w:styleId="Ttulo1Car">
    <w:name w:val="Título 1 Car"/>
    <w:basedOn w:val="Fuentedeprrafopredeter"/>
    <w:link w:val="Ttulo1"/>
    <w:uiPriority w:val="9"/>
    <w:qFormat/>
    <w:rsid w:val="00CC7BDB"/>
    <w:rPr>
      <w:rFonts w:asciiTheme="majorHAnsi" w:eastAsiaTheme="majorEastAsia" w:hAnsiTheme="majorHAnsi" w:cstheme="majorBidi"/>
      <w:color w:val="365F91" w:themeColor="accent1" w:themeShade="BF"/>
      <w:sz w:val="32"/>
      <w:szCs w:val="32"/>
      <w:lang w:val="es-ES"/>
    </w:rPr>
  </w:style>
  <w:style w:type="character" w:customStyle="1" w:styleId="normaltextrun">
    <w:name w:val="normaltextrun"/>
    <w:basedOn w:val="Fuentedeprrafopredeter"/>
    <w:qFormat/>
    <w:rsid w:val="00641BB8"/>
  </w:style>
  <w:style w:type="character" w:customStyle="1" w:styleId="nacep">
    <w:name w:val="n_acep"/>
    <w:basedOn w:val="Fuentedeprrafopredeter"/>
    <w:qFormat/>
    <w:rsid w:val="001C4E80"/>
  </w:style>
  <w:style w:type="character" w:customStyle="1" w:styleId="user-highlighted-active">
    <w:name w:val="user-highlighted-active"/>
    <w:basedOn w:val="Fuentedeprrafopredeter"/>
    <w:qFormat/>
    <w:rsid w:val="00967345"/>
  </w:style>
  <w:style w:type="character" w:customStyle="1" w:styleId="Ttulo4Car">
    <w:name w:val="Título 4 Car"/>
    <w:basedOn w:val="Fuentedeprrafopredeter"/>
    <w:link w:val="Ttulo4"/>
    <w:uiPriority w:val="9"/>
    <w:qFormat/>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qFormat/>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qFormat/>
    <w:rsid w:val="00FC157F"/>
    <w:rPr>
      <w:rFonts w:asciiTheme="majorHAnsi" w:eastAsiaTheme="majorEastAsia" w:hAnsiTheme="majorHAnsi" w:cstheme="majorBidi"/>
      <w:color w:val="243F60" w:themeColor="accent1" w:themeShade="7F"/>
      <w:lang w:val="es-ES"/>
    </w:rPr>
  </w:style>
  <w:style w:type="character" w:customStyle="1" w:styleId="TextoindependienteCar">
    <w:name w:val="Texto independiente Car"/>
    <w:basedOn w:val="Fuentedeprrafopredeter"/>
    <w:link w:val="Textoindependiente"/>
    <w:uiPriority w:val="99"/>
    <w:qFormat/>
    <w:rsid w:val="00FC157F"/>
    <w:rPr>
      <w:rFonts w:ascii="Times New Roman" w:eastAsia="Times New Roman" w:hAnsi="Times New Roman" w:cs="Times New Roman"/>
      <w:lang w:val="es-ES"/>
    </w:rPr>
  </w:style>
  <w:style w:type="character" w:customStyle="1" w:styleId="SangradetextonormalCar">
    <w:name w:val="Sangría de texto normal Car"/>
    <w:basedOn w:val="Fuentedeprrafopredeter"/>
    <w:link w:val="Sangradetextonormal"/>
    <w:uiPriority w:val="99"/>
    <w:qFormat/>
    <w:rsid w:val="00FC157F"/>
    <w:rPr>
      <w:rFonts w:ascii="Times New Roman" w:eastAsia="Times New Roman" w:hAnsi="Times New Roman" w:cs="Times New Roman"/>
      <w:lang w:val="es-ES"/>
    </w:rPr>
  </w:style>
  <w:style w:type="character" w:customStyle="1" w:styleId="Textoindependienteprimerasangra2Car">
    <w:name w:val="Texto independiente primera sangría 2 Car"/>
    <w:basedOn w:val="SangradetextonormalCar"/>
    <w:link w:val="Textoindependienteprimerasangra2"/>
    <w:uiPriority w:val="99"/>
    <w:qFormat/>
    <w:rsid w:val="00FC157F"/>
    <w:rPr>
      <w:rFonts w:ascii="Times New Roman" w:eastAsia="Times New Roman" w:hAnsi="Times New Roman" w:cs="Times New Roman"/>
      <w:lang w:val="es-ES"/>
    </w:rPr>
  </w:style>
  <w:style w:type="character" w:customStyle="1" w:styleId="numberfracccentro">
    <w:name w:val="numberfracccentro"/>
    <w:basedOn w:val="Fuentedeprrafopredeter"/>
    <w:qFormat/>
    <w:rsid w:val="004B7691"/>
  </w:style>
  <w:style w:type="character" w:customStyle="1" w:styleId="titulorubrolgt">
    <w:name w:val="titulorubrolgt"/>
    <w:basedOn w:val="Fuentedeprrafopredeter"/>
    <w:qFormat/>
    <w:rsid w:val="004B7691"/>
  </w:style>
  <w:style w:type="character" w:customStyle="1" w:styleId="TextChar">
    <w:name w:val="Text Char"/>
    <w:link w:val="Text"/>
    <w:qFormat/>
    <w:locked/>
    <w:rsid w:val="00B93B76"/>
    <w:rPr>
      <w:rFonts w:ascii="Times New Roman" w:eastAsia="Times New Roman" w:hAnsi="Times New Roman" w:cs="Times New Roman"/>
      <w:szCs w:val="20"/>
      <w:lang w:val="en-US" w:eastAsia="en-US"/>
    </w:rPr>
  </w:style>
  <w:style w:type="paragraph" w:customStyle="1" w:styleId="Heading">
    <w:name w:val="Heading"/>
    <w:basedOn w:val="Normal"/>
    <w:next w:val="Textoindependiente"/>
    <w:qFormat/>
    <w:pPr>
      <w:keepNext/>
      <w:spacing w:before="240" w:after="120"/>
    </w:pPr>
    <w:rPr>
      <w:rFonts w:ascii="Liberation Sans" w:eastAsia="Noto Sans CJK SC" w:hAnsi="Liberation Sans" w:cs="Lohit Devanagari"/>
      <w:sz w:val="28"/>
      <w:szCs w:val="28"/>
    </w:rPr>
  </w:style>
  <w:style w:type="paragraph" w:styleId="Textoindependiente">
    <w:name w:val="Body Text"/>
    <w:basedOn w:val="Normal"/>
    <w:link w:val="TextoindependienteCar"/>
    <w:uiPriority w:val="99"/>
    <w:unhideWhenUsed/>
    <w:rsid w:val="00FC157F"/>
    <w:pPr>
      <w:spacing w:after="120"/>
    </w:pPr>
    <w:rPr>
      <w:lang w:val="es-ES"/>
    </w:rPr>
  </w:style>
  <w:style w:type="paragraph" w:styleId="Lista">
    <w:name w:val="List"/>
    <w:basedOn w:val="Normal"/>
    <w:uiPriority w:val="99"/>
    <w:unhideWhenUsed/>
    <w:rsid w:val="00FC157F"/>
    <w:pPr>
      <w:ind w:left="283" w:hanging="283"/>
      <w:contextualSpacing/>
    </w:pPr>
    <w:rPr>
      <w:lang w:val="es-ES"/>
    </w:rPr>
  </w:style>
  <w:style w:type="paragraph" w:styleId="Descripcin">
    <w:name w:val="caption"/>
    <w:basedOn w:val="Normal"/>
    <w:qFormat/>
    <w:pPr>
      <w:suppressLineNumbers/>
      <w:spacing w:before="120" w:after="120"/>
    </w:pPr>
    <w:rPr>
      <w:rFonts w:cs="Lohit Devanagari"/>
      <w:i/>
      <w:iCs/>
    </w:rPr>
  </w:style>
  <w:style w:type="paragraph" w:customStyle="1" w:styleId="Index">
    <w:name w:val="Index"/>
    <w:basedOn w:val="Normal"/>
    <w:qFormat/>
    <w:pPr>
      <w:suppressLineNumbers/>
    </w:pPr>
    <w:rPr>
      <w:rFonts w:cs="Lohit Devanagari"/>
    </w:rPr>
  </w:style>
  <w:style w:type="paragraph" w:customStyle="1" w:styleId="HeaderandFooter">
    <w:name w:val="Header and Footer"/>
    <w:basedOn w:val="Normal"/>
    <w:qFormat/>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paragraph" w:styleId="Textodeglobo">
    <w:name w:val="Balloon Text"/>
    <w:basedOn w:val="Normal"/>
    <w:link w:val="TextodegloboCar"/>
    <w:uiPriority w:val="99"/>
    <w:semiHidden/>
    <w:unhideWhenUsed/>
    <w:qFormat/>
    <w:rsid w:val="00C80F8C"/>
    <w:rPr>
      <w:rFonts w:ascii="Lucida Grande" w:eastAsiaTheme="minorEastAsia" w:hAnsi="Lucida Grande" w:cs="Lucida Grande"/>
      <w:sz w:val="18"/>
      <w:szCs w:val="18"/>
      <w:lang w:val="es-ES_tradnl"/>
    </w:rPr>
  </w:style>
  <w:style w:type="paragraph" w:styleId="Prrafodelista">
    <w:name w:val="List Paragraph"/>
    <w:basedOn w:val="Normal"/>
    <w:link w:val="PrrafodelistaCar"/>
    <w:uiPriority w:val="34"/>
    <w:qFormat/>
    <w:rsid w:val="00A2780F"/>
    <w:pPr>
      <w:ind w:left="708"/>
    </w:pPr>
  </w:style>
  <w:style w:type="paragraph" w:styleId="NormalWeb">
    <w:name w:val="Normal (Web)"/>
    <w:basedOn w:val="Normal"/>
    <w:uiPriority w:val="99"/>
    <w:qFormat/>
    <w:rsid w:val="00A2780F"/>
    <w:pPr>
      <w:spacing w:beforeAutospacing="1" w:afterAutospacing="1"/>
    </w:pPr>
  </w:style>
  <w:style w:type="paragraph" w:styleId="Textoindependiente2">
    <w:name w:val="Body Text 2"/>
    <w:basedOn w:val="Normal"/>
    <w:link w:val="Textoindependiente2Car"/>
    <w:uiPriority w:val="99"/>
    <w:unhideWhenUsed/>
    <w:qFormat/>
    <w:rsid w:val="009776B8"/>
    <w:pPr>
      <w:spacing w:after="120" w:line="480" w:lineRule="auto"/>
    </w:pPr>
  </w:style>
  <w:style w:type="paragraph" w:customStyle="1" w:styleId="Default">
    <w:name w:val="Default"/>
    <w:qFormat/>
    <w:rsid w:val="004325CE"/>
    <w:rPr>
      <w:rFonts w:ascii="Arial" w:eastAsiaTheme="minorHAnsi" w:hAnsi="Arial" w:cs="Arial"/>
      <w:color w:val="000000"/>
      <w:lang w:val="es-MX" w:eastAsia="en-US"/>
    </w:rPr>
  </w:style>
  <w:style w:type="paragraph" w:customStyle="1" w:styleId="Listavistosa-nfasis11">
    <w:name w:val="Lista vistosa - Énfasis 11"/>
    <w:basedOn w:val="Normal"/>
    <w:uiPriority w:val="34"/>
    <w:qFormat/>
    <w:rsid w:val="0015349A"/>
    <w:pPr>
      <w:ind w:left="708"/>
    </w:p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paragraph" w:styleId="Textonotapie">
    <w:name w:val="footnote text"/>
    <w:basedOn w:val="Normal"/>
    <w:link w:val="TextonotapieCar"/>
    <w:uiPriority w:val="99"/>
    <w:unhideWhenUsed/>
    <w:qFormat/>
    <w:rsid w:val="0015349A"/>
    <w:rPr>
      <w:rFonts w:asciiTheme="minorHAnsi" w:eastAsiaTheme="minorHAnsi" w:hAnsiTheme="minorHAnsi" w:cstheme="minorBidi"/>
      <w:sz w:val="20"/>
      <w:szCs w:val="20"/>
      <w:lang w:eastAsia="en-US"/>
    </w:rPr>
  </w:style>
  <w:style w:type="paragraph" w:styleId="Sinespaciado">
    <w:name w:val="No Spacing"/>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qFormat/>
    <w:rsid w:val="0015349A"/>
    <w:rPr>
      <w:rFonts w:ascii="Courier New" w:hAnsi="Courier New"/>
      <w:sz w:val="20"/>
      <w:szCs w:val="20"/>
    </w:rPr>
  </w:style>
  <w:style w:type="paragraph" w:customStyle="1" w:styleId="Standard">
    <w:name w:val="Standard"/>
    <w:qFormat/>
    <w:rsid w:val="0015349A"/>
    <w:pPr>
      <w:widowControl w:val="0"/>
      <w:textAlignment w:val="baseline"/>
    </w:pPr>
    <w:rPr>
      <w:rFonts w:ascii="Liberation Serif" w:eastAsia="DejaVu Sans" w:hAnsi="Liberation Serif" w:cs="Lohit Hindi"/>
      <w:kern w:val="2"/>
      <w:lang w:val="es-MX" w:eastAsia="zh-CN" w:bidi="hi-IN"/>
    </w:rPr>
  </w:style>
  <w:style w:type="paragraph" w:customStyle="1" w:styleId="Pa2">
    <w:name w:val="Pa2"/>
    <w:basedOn w:val="Normal"/>
    <w:next w:val="Normal"/>
    <w:uiPriority w:val="99"/>
    <w:qFormat/>
    <w:rsid w:val="0015349A"/>
    <w:pPr>
      <w:spacing w:line="240" w:lineRule="atLeast"/>
    </w:pPr>
    <w:rPr>
      <w:rFonts w:ascii="Helvetica" w:hAnsi="Helvetica"/>
      <w:lang w:val="es-ES_tradnl" w:eastAsia="es-ES_tradnl"/>
    </w:rPr>
  </w:style>
  <w:style w:type="paragraph" w:customStyle="1" w:styleId="q">
    <w:name w:val="q"/>
    <w:basedOn w:val="Normal"/>
    <w:qFormat/>
    <w:rsid w:val="0015349A"/>
    <w:pPr>
      <w:spacing w:beforeAutospacing="1" w:afterAutospacing="1"/>
    </w:pPr>
    <w:rPr>
      <w:lang w:eastAsia="es-MX"/>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paragraph" w:customStyle="1" w:styleId="ANOTACION">
    <w:name w:val="ANOTACION"/>
    <w:basedOn w:val="Normal"/>
    <w:link w:val="ANOTACIONCar"/>
    <w:qFormat/>
    <w:rsid w:val="003D3A0C"/>
    <w:pPr>
      <w:spacing w:before="101" w:after="101"/>
      <w:jc w:val="center"/>
    </w:pPr>
    <w:rPr>
      <w:b/>
      <w:sz w:val="18"/>
      <w:szCs w:val="18"/>
    </w:rPr>
  </w:style>
  <w:style w:type="paragraph" w:styleId="Bibliografa">
    <w:name w:val="Bibliography"/>
    <w:basedOn w:val="Normal"/>
    <w:next w:val="Normal"/>
    <w:uiPriority w:val="37"/>
    <w:semiHidden/>
    <w:unhideWhenUsed/>
    <w:qFormat/>
    <w:rsid w:val="002B0232"/>
  </w:style>
  <w:style w:type="paragraph" w:styleId="Textocomentario">
    <w:name w:val="annotation text"/>
    <w:basedOn w:val="Normal"/>
    <w:link w:val="TextocomentarioCar"/>
    <w:uiPriority w:val="99"/>
    <w:semiHidden/>
    <w:unhideWhenUsed/>
    <w:qFormat/>
    <w:rsid w:val="006C2EF9"/>
    <w:rPr>
      <w:sz w:val="20"/>
      <w:szCs w:val="20"/>
    </w:rPr>
  </w:style>
  <w:style w:type="paragraph" w:styleId="Asuntodelcomentario">
    <w:name w:val="annotation subject"/>
    <w:basedOn w:val="Textocomentario"/>
    <w:next w:val="Textocomentario"/>
    <w:link w:val="AsuntodelcomentarioCar"/>
    <w:uiPriority w:val="99"/>
    <w:semiHidden/>
    <w:unhideWhenUsed/>
    <w:qFormat/>
    <w:rsid w:val="006C2EF9"/>
    <w:rPr>
      <w:b/>
      <w:bCs/>
    </w:rPr>
  </w:style>
  <w:style w:type="paragraph" w:customStyle="1" w:styleId="ROMANOS">
    <w:name w:val="ROMANOS"/>
    <w:basedOn w:val="Normal"/>
    <w:link w:val="ROMANOSCar"/>
    <w:qFormat/>
    <w:rsid w:val="0014538F"/>
    <w:pPr>
      <w:tabs>
        <w:tab w:val="left" w:pos="720"/>
      </w:tabs>
      <w:spacing w:after="101" w:line="216" w:lineRule="exact"/>
      <w:ind w:left="720" w:hanging="432"/>
      <w:jc w:val="both"/>
    </w:pPr>
    <w:rPr>
      <w:rFonts w:ascii="Arial" w:hAnsi="Arial" w:cs="Arial"/>
      <w:sz w:val="18"/>
      <w:szCs w:val="18"/>
      <w:lang w:val="es-ES"/>
    </w:rPr>
  </w:style>
  <w:style w:type="paragraph" w:customStyle="1" w:styleId="Cuerpo">
    <w:name w:val="Cuerpo"/>
    <w:qFormat/>
    <w:rsid w:val="004F00D5"/>
    <w:pPr>
      <w:spacing w:after="160" w:line="259" w:lineRule="auto"/>
    </w:pPr>
    <w:rPr>
      <w:rFonts w:ascii="Calibri" w:eastAsia="Calibri" w:hAnsi="Calibri" w:cs="Calibri"/>
      <w:color w:val="000000"/>
      <w:sz w:val="22"/>
      <w:szCs w:val="22"/>
      <w:u w:color="000000"/>
      <w:lang w:val="de-DE"/>
    </w:rPr>
  </w:style>
  <w:style w:type="paragraph" w:customStyle="1" w:styleId="INCISO">
    <w:name w:val="INCISO"/>
    <w:basedOn w:val="Normal"/>
    <w:qFormat/>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qFormat/>
    <w:rsid w:val="001C4E80"/>
    <w:pPr>
      <w:spacing w:beforeAutospacing="1" w:afterAutospacing="1"/>
    </w:pPr>
    <w:rPr>
      <w:lang w:eastAsia="es-MX"/>
    </w:rPr>
  </w:style>
  <w:style w:type="paragraph" w:customStyle="1" w:styleId="j">
    <w:name w:val="j"/>
    <w:basedOn w:val="Normal"/>
    <w:qFormat/>
    <w:rsid w:val="001C4E80"/>
    <w:pPr>
      <w:spacing w:beforeAutospacing="1" w:afterAutospacing="1"/>
    </w:pPr>
    <w:rPr>
      <w:lang w:eastAsia="es-MX"/>
    </w:rPr>
  </w:style>
  <w:style w:type="paragraph" w:customStyle="1" w:styleId="m5212863947045306324gmail-msonormal">
    <w:name w:val="m_5212863947045306324gmail-msonormal"/>
    <w:basedOn w:val="Normal"/>
    <w:qFormat/>
    <w:rsid w:val="003A73F9"/>
    <w:pPr>
      <w:spacing w:beforeAutospacing="1" w:afterAutospacing="1"/>
    </w:pPr>
    <w:rPr>
      <w:lang w:eastAsia="es-MX"/>
    </w:rPr>
  </w:style>
  <w:style w:type="paragraph" w:styleId="Listaconvietas3">
    <w:name w:val="List Bullet 3"/>
    <w:basedOn w:val="Normal"/>
    <w:uiPriority w:val="99"/>
    <w:unhideWhenUsed/>
    <w:rsid w:val="00FC157F"/>
    <w:pPr>
      <w:ind w:left="566" w:hanging="283"/>
      <w:contextualSpacing/>
    </w:pPr>
    <w:rPr>
      <w:lang w:val="es-ES"/>
    </w:rPr>
  </w:style>
  <w:style w:type="paragraph" w:styleId="Listaconvietas4">
    <w:name w:val="List Bullet 4"/>
    <w:basedOn w:val="Normal"/>
    <w:uiPriority w:val="99"/>
    <w:unhideWhenUsed/>
    <w:rsid w:val="00FC157F"/>
    <w:pPr>
      <w:ind w:left="849" w:hanging="283"/>
      <w:contextualSpacing/>
    </w:pPr>
    <w:rPr>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paragraph" w:styleId="Textoindependienteprimerasangra2">
    <w:name w:val="Body Text First Indent 2"/>
    <w:basedOn w:val="Sangradetextonormal"/>
    <w:link w:val="Textoindependienteprimerasangra2Car"/>
    <w:uiPriority w:val="99"/>
    <w:unhideWhenUsed/>
    <w:qFormat/>
    <w:rsid w:val="00FC157F"/>
    <w:pPr>
      <w:spacing w:after="0"/>
      <w:ind w:left="360" w:firstLine="360"/>
    </w:pPr>
  </w:style>
  <w:style w:type="paragraph" w:customStyle="1" w:styleId="Text">
    <w:name w:val="Text"/>
    <w:basedOn w:val="Normal"/>
    <w:link w:val="TextChar"/>
    <w:qFormat/>
    <w:rsid w:val="00B93B76"/>
    <w:pPr>
      <w:spacing w:after="240"/>
    </w:pPr>
    <w:rPr>
      <w:szCs w:val="20"/>
      <w:lang w:val="en-US" w:eastAsia="en-US"/>
    </w:rPr>
  </w:style>
  <w:style w:type="paragraph" w:customStyle="1" w:styleId="corte5transcripcion">
    <w:name w:val="corte5 transcripcion"/>
    <w:basedOn w:val="Normal"/>
    <w:qFormat/>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qFormat/>
    <w:rsid w:val="001D2165"/>
    <w:rPr>
      <w:rFonts w:asciiTheme="minorHAnsi" w:eastAsia="Cambria" w:hAnsiTheme="minorHAnsi" w:cstheme="minorBidi"/>
      <w:sz w:val="20"/>
      <w:szCs w:val="20"/>
      <w:lang w:eastAsia="en-US"/>
    </w:rPr>
  </w:style>
  <w:style w:type="paragraph" w:customStyle="1" w:styleId="paragraph">
    <w:name w:val="paragraph"/>
    <w:basedOn w:val="Normal"/>
    <w:qFormat/>
    <w:rsid w:val="00004C7A"/>
    <w:pPr>
      <w:spacing w:beforeAutospacing="1" w:afterAutospacing="1" w:line="264" w:lineRule="auto"/>
    </w:pPr>
    <w:rPr>
      <w:rFonts w:asciiTheme="minorHAnsi" w:eastAsiaTheme="minorEastAsia" w:hAnsiTheme="minorHAnsi" w:cstheme="minorBidi"/>
      <w:sz w:val="20"/>
      <w:szCs w:val="20"/>
      <w:lang w:eastAsia="es-MX"/>
    </w:rPr>
  </w:style>
  <w:style w:type="numbering" w:customStyle="1" w:styleId="Estiloimportado2">
    <w:name w:val="Estilo importado 2"/>
    <w:qFormat/>
    <w:rsid w:val="008677B6"/>
  </w:style>
  <w:style w:type="numbering" w:customStyle="1" w:styleId="Estiloimportado1">
    <w:name w:val="Estilo importado 1"/>
    <w:qFormat/>
    <w:rsid w:val="00CC7BDB"/>
  </w:style>
  <w:style w:type="table" w:styleId="Tablaconcuadrcula">
    <w:name w:val="Table Grid"/>
    <w:basedOn w:val="Tablanormal"/>
    <w:uiPriority w:val="5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uiPriority w:val="59"/>
    <w:rsid w:val="00555C12"/>
    <w:rPr>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uiPriority w:val="39"/>
    <w:rsid w:val="00177F5F"/>
    <w:rPr>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ddsisem.edomex.gob.mx/bvirtual/index.php?mod=239" TargetMode="External"/><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header" Target="header1.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header" Target="header2.xml"/></Relationships>
</file>

<file path=word/_rels/header1.xml.rels><?xml version="1.0" encoding="UTF-8" standalone="yes"?>
<Relationships xmlns="http://schemas.openxmlformats.org/package/2006/relationships"><Relationship Id="rId3" Type="http://schemas.openxmlformats.org/officeDocument/2006/relationships/image" Target="media/image26.png"/><Relationship Id="rId2" Type="http://schemas.openxmlformats.org/officeDocument/2006/relationships/image" Target="media/image250.jpeg"/><Relationship Id="rId1" Type="http://schemas.openxmlformats.org/officeDocument/2006/relationships/image" Target="media/image25.jpeg"/></Relationships>
</file>

<file path=word/_rels/header2.xml.rels><?xml version="1.0" encoding="UTF-8" standalone="yes"?>
<Relationships xmlns="http://schemas.openxmlformats.org/package/2006/relationships"><Relationship Id="rId3" Type="http://schemas.openxmlformats.org/officeDocument/2006/relationships/image" Target="media/image26.png"/><Relationship Id="rId2" Type="http://schemas.openxmlformats.org/officeDocument/2006/relationships/image" Target="media/image27.jpeg"/><Relationship Id="rId1" Type="http://schemas.openxmlformats.org/officeDocument/2006/relationships/image" Target="media/image2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6FB1A4-9FA3-4C1A-8433-97FA86BDB5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32</Pages>
  <Words>5052</Words>
  <Characters>27786</Characters>
  <Application>Microsoft Office Word</Application>
  <DocSecurity>0</DocSecurity>
  <Lines>231</Lines>
  <Paragraphs>65</Paragraphs>
  <ScaleCrop>false</ScaleCrop>
  <HeadingPairs>
    <vt:vector size="2" baseType="variant">
      <vt:variant>
        <vt:lpstr>Título</vt:lpstr>
      </vt:variant>
      <vt:variant>
        <vt:i4>1</vt:i4>
      </vt:variant>
    </vt:vector>
  </HeadingPairs>
  <TitlesOfParts>
    <vt:vector size="1" baseType="lpstr">
      <vt:lpstr/>
    </vt:vector>
  </TitlesOfParts>
  <Company>INFOEM</Company>
  <LinksUpToDate>false</LinksUpToDate>
  <CharactersWithSpaces>32773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dc:description/>
  <cp:lastModifiedBy>Itze Hdz.</cp:lastModifiedBy>
  <cp:revision>2</cp:revision>
  <cp:lastPrinted>2020-01-22T19:55:00Z</cp:lastPrinted>
  <dcterms:created xsi:type="dcterms:W3CDTF">2020-08-21T02:21:00Z</dcterms:created>
  <dcterms:modified xsi:type="dcterms:W3CDTF">2020-08-21T02:21:00Z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