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6C8" w:rsidRDefault="008C15B3" w:rsidP="00E826C8">
      <w:pPr>
        <w:spacing w:before="240" w:after="240" w:line="360" w:lineRule="auto"/>
        <w:jc w:val="center"/>
        <w:rPr>
          <w:rFonts w:ascii="Palatino Linotype" w:hAnsi="Palatino Linotype"/>
          <w:b/>
        </w:rPr>
      </w:pPr>
      <w:r w:rsidRPr="00323478">
        <w:rPr>
          <w:rFonts w:ascii="Palatino Linotype" w:hAnsi="Palatino Linotype"/>
          <w:b/>
        </w:rPr>
        <w:t>LÍNEAS ARGUMENTATIVAS</w:t>
      </w:r>
    </w:p>
    <w:p w:rsidR="00E826C8" w:rsidRPr="00E826C8" w:rsidRDefault="00E826C8" w:rsidP="00E826C8">
      <w:pPr>
        <w:spacing w:line="360" w:lineRule="auto"/>
        <w:jc w:val="both"/>
        <w:rPr>
          <w:rFonts w:ascii="Palatino Linotype" w:eastAsia="Calibri" w:hAnsi="Palatino Linotype" w:cs="Times New Roman"/>
        </w:rPr>
      </w:pPr>
      <w:r w:rsidRPr="00E826C8">
        <w:rPr>
          <w:rFonts w:ascii="Palatino Linotype" w:eastAsia="Calibri" w:hAnsi="Palatino Linotype" w:cs="Times New Roman"/>
          <w:b/>
        </w:rPr>
        <w:t>DE LA GARANTÍA DE PERMITIR A LOS PARTICULARES EJERCER SUS DERECHOS ARCO.</w:t>
      </w:r>
      <w:r w:rsidRPr="00E826C8">
        <w:rPr>
          <w:rFonts w:ascii="Palatino Linotype" w:eastAsia="Calibri" w:hAnsi="Palatino Linotype" w:cs="Times New Roman"/>
        </w:rPr>
        <w:t xml:space="preserve"> Los sujetos obligados tienen el deber de establecer las bases, principios y procedimientos necesarios para permitir a los particulares el ejercicio de sus derecho de acceso, rectificación, cancelación u oposición de sus datos personales a través de sus solicitudes de acceso a datos canalizados por las Unidades de Transparencia y éstas fungiendo como el enlace procurador y protector de los datos entre los solicitantes y las áreas administrativas que los posean o administren.</w:t>
      </w:r>
    </w:p>
    <w:p w:rsidR="00E826C8" w:rsidRPr="00E826C8" w:rsidRDefault="00E826C8" w:rsidP="00E826C8">
      <w:pPr>
        <w:spacing w:before="240" w:after="240" w:line="360" w:lineRule="auto"/>
        <w:jc w:val="both"/>
        <w:rPr>
          <w:rFonts w:ascii="Palatino Linotype" w:eastAsia="Times New Roman" w:hAnsi="Palatino Linotype"/>
        </w:rPr>
      </w:pPr>
      <w:r w:rsidRPr="00E826C8">
        <w:rPr>
          <w:rFonts w:ascii="Palatino Linotype" w:eastAsia="Times New Roman" w:hAnsi="Palatino Linotype"/>
          <w:b/>
        </w:rPr>
        <w:t>DEBERES DE LAS AUTORIDADES.</w:t>
      </w:r>
      <w:r w:rsidRPr="00E826C8">
        <w:rPr>
          <w:rFonts w:ascii="Palatino Linotype" w:eastAsia="Times New Roman" w:hAnsi="Palatino Linotype"/>
        </w:rPr>
        <w:t xml:space="preserve"> El acceso a datos personales es un derecho constitucionalmente reconocido en consecuencia todas las autoridades en el ámbito de sus competencias, funciones y atribuciones tienen la obligación de respetarlo, protegerlo y garantizarlo.</w:t>
      </w:r>
    </w:p>
    <w:p w:rsidR="00E826C8" w:rsidRDefault="00E826C8" w:rsidP="008C15B3">
      <w:pPr>
        <w:spacing w:before="240" w:after="240" w:line="360" w:lineRule="auto"/>
        <w:jc w:val="center"/>
        <w:rPr>
          <w:rFonts w:ascii="Palatino Linotype" w:hAnsi="Palatino Linotype"/>
          <w:b/>
        </w:rPr>
      </w:pPr>
    </w:p>
    <w:p w:rsidR="00E826C8" w:rsidRDefault="00E826C8" w:rsidP="008C15B3">
      <w:pPr>
        <w:spacing w:before="240" w:after="240" w:line="360" w:lineRule="auto"/>
        <w:jc w:val="center"/>
        <w:rPr>
          <w:rFonts w:ascii="Palatino Linotype" w:hAnsi="Palatino Linotype"/>
          <w:b/>
        </w:rPr>
      </w:pPr>
    </w:p>
    <w:p w:rsidR="00E826C8" w:rsidRDefault="00E826C8" w:rsidP="008C15B3">
      <w:pPr>
        <w:spacing w:before="240" w:after="240" w:line="360" w:lineRule="auto"/>
        <w:jc w:val="center"/>
        <w:rPr>
          <w:rFonts w:ascii="Palatino Linotype" w:hAnsi="Palatino Linotype"/>
          <w:b/>
        </w:rPr>
      </w:pPr>
    </w:p>
    <w:p w:rsidR="00E826C8" w:rsidRDefault="00E826C8" w:rsidP="00E826C8">
      <w:pPr>
        <w:spacing w:before="240" w:after="240" w:line="360" w:lineRule="auto"/>
        <w:rPr>
          <w:rFonts w:ascii="Palatino Linotype" w:hAnsi="Palatino Linotype"/>
          <w:b/>
        </w:rPr>
      </w:pPr>
    </w:p>
    <w:p w:rsidR="005C3739" w:rsidRDefault="005C3739" w:rsidP="00E826C8">
      <w:pPr>
        <w:spacing w:before="240" w:after="240" w:line="360" w:lineRule="auto"/>
        <w:rPr>
          <w:rFonts w:ascii="Palatino Linotype" w:hAnsi="Palatino Linotype"/>
          <w:b/>
        </w:rPr>
      </w:pPr>
    </w:p>
    <w:p w:rsidR="005C3739" w:rsidRDefault="005C3739" w:rsidP="00E826C8">
      <w:pPr>
        <w:spacing w:before="240" w:after="240" w:line="360" w:lineRule="auto"/>
        <w:rPr>
          <w:rFonts w:ascii="Palatino Linotype" w:hAnsi="Palatino Linotype"/>
          <w:b/>
        </w:rPr>
      </w:pPr>
    </w:p>
    <w:p w:rsidR="00A55BA0" w:rsidRPr="00863ACE" w:rsidRDefault="008C54C1" w:rsidP="00A55BA0">
      <w:pPr>
        <w:spacing w:before="240" w:after="240" w:line="360" w:lineRule="auto"/>
        <w:jc w:val="center"/>
        <w:rPr>
          <w:rFonts w:ascii="Palatino Linotype" w:hAnsi="Palatino Linotype"/>
        </w:rPr>
      </w:pPr>
      <w:r>
        <w:rPr>
          <w:rFonts w:ascii="Palatino Linotype" w:hAnsi="Palatino Linotype"/>
          <w:b/>
        </w:rPr>
        <w:lastRenderedPageBreak/>
        <w:t>Í</w:t>
      </w:r>
      <w:r w:rsidRPr="00863ACE">
        <w:rPr>
          <w:rFonts w:ascii="Palatino Linotype" w:hAnsi="Palatino Linotype"/>
          <w:b/>
        </w:rPr>
        <w:t>NDICE</w:t>
      </w:r>
      <w:r w:rsidR="00A55BA0" w:rsidRPr="00863AC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5C3739" w:rsidRDefault="00A55BA0" w:rsidP="00A55BA0">
          <w:pPr>
            <w:pStyle w:val="TtuloTDC"/>
            <w:spacing w:line="480" w:lineRule="auto"/>
          </w:pPr>
        </w:p>
        <w:p w:rsidR="00CE1616" w:rsidRPr="00CE1616" w:rsidRDefault="00A55BA0" w:rsidP="00CE1616">
          <w:pPr>
            <w:pStyle w:val="TDC1"/>
            <w:tabs>
              <w:tab w:val="right" w:leader="dot" w:pos="8779"/>
            </w:tabs>
            <w:rPr>
              <w:rFonts w:ascii="Palatino Linotype" w:hAnsi="Palatino Linotype"/>
              <w:b/>
              <w:noProof/>
              <w:sz w:val="22"/>
              <w:szCs w:val="22"/>
              <w:lang w:val="es-MX" w:eastAsia="es-MX"/>
            </w:rPr>
          </w:pPr>
          <w:r w:rsidRPr="005C3739">
            <w:rPr>
              <w:rFonts w:ascii="Palatino Linotype" w:hAnsi="Palatino Linotype"/>
              <w:b/>
            </w:rPr>
            <w:fldChar w:fldCharType="begin"/>
          </w:r>
          <w:r w:rsidRPr="005C3739">
            <w:rPr>
              <w:rFonts w:ascii="Palatino Linotype" w:hAnsi="Palatino Linotype"/>
              <w:b/>
            </w:rPr>
            <w:instrText xml:space="preserve"> TOC \o "1-3" \h \z \u </w:instrText>
          </w:r>
          <w:r w:rsidRPr="005C3739">
            <w:rPr>
              <w:rFonts w:ascii="Palatino Linotype" w:hAnsi="Palatino Linotype"/>
              <w:b/>
            </w:rPr>
            <w:fldChar w:fldCharType="separate"/>
          </w:r>
          <w:hyperlink w:anchor="_Toc58596299" w:history="1">
            <w:r w:rsidR="00CE1616" w:rsidRPr="00CE1616">
              <w:rPr>
                <w:rStyle w:val="Hipervnculo"/>
                <w:rFonts w:ascii="Palatino Linotype" w:hAnsi="Palatino Linotype"/>
                <w:b/>
                <w:noProof/>
              </w:rPr>
              <w:t>ANTECEDENTES</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_Toc58596299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5</w:t>
            </w:r>
            <w:r w:rsidR="00CE1616" w:rsidRPr="00CE1616">
              <w:rPr>
                <w:rFonts w:ascii="Palatino Linotype" w:hAnsi="Palatino Linotype"/>
                <w:b/>
                <w:noProof/>
                <w:webHidden/>
              </w:rPr>
              <w:fldChar w:fldCharType="end"/>
            </w:r>
          </w:hyperlink>
        </w:p>
        <w:p w:rsidR="00CE1616" w:rsidRPr="00CE1616" w:rsidRDefault="0011269D" w:rsidP="00CE1616">
          <w:pPr>
            <w:pStyle w:val="TDC1"/>
            <w:tabs>
              <w:tab w:val="right" w:leader="dot" w:pos="8779"/>
            </w:tabs>
            <w:rPr>
              <w:rFonts w:ascii="Palatino Linotype" w:hAnsi="Palatino Linotype"/>
              <w:b/>
              <w:noProof/>
              <w:sz w:val="22"/>
              <w:szCs w:val="22"/>
              <w:lang w:val="es-MX" w:eastAsia="es-MX"/>
            </w:rPr>
          </w:pPr>
          <w:hyperlink w:anchor="_Toc58596300" w:history="1">
            <w:r w:rsidR="00CE1616" w:rsidRPr="00CE1616">
              <w:rPr>
                <w:rStyle w:val="Hipervnculo"/>
                <w:rFonts w:ascii="Palatino Linotype" w:hAnsi="Palatino Linotype"/>
                <w:b/>
                <w:noProof/>
              </w:rPr>
              <w:t>CONSIDERANDO</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_Toc58596300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14</w:t>
            </w:r>
            <w:r w:rsidR="00CE1616" w:rsidRPr="00CE1616">
              <w:rPr>
                <w:rFonts w:ascii="Palatino Linotype" w:hAnsi="Palatino Linotype"/>
                <w:b/>
                <w:noProof/>
                <w:webHidden/>
              </w:rPr>
              <w:fldChar w:fldCharType="end"/>
            </w:r>
          </w:hyperlink>
        </w:p>
        <w:p w:rsidR="00CE1616" w:rsidRPr="00CE1616" w:rsidRDefault="0011269D" w:rsidP="00CE1616">
          <w:pPr>
            <w:pStyle w:val="TDC2"/>
            <w:rPr>
              <w:rFonts w:ascii="Palatino Linotype" w:hAnsi="Palatino Linotype"/>
              <w:b/>
              <w:noProof/>
              <w:sz w:val="22"/>
              <w:szCs w:val="22"/>
              <w:lang w:val="es-MX" w:eastAsia="es-MX"/>
            </w:rPr>
          </w:pPr>
          <w:hyperlink w:anchor="_Toc58596301" w:history="1">
            <w:r w:rsidR="00CE1616" w:rsidRPr="00CE1616">
              <w:rPr>
                <w:rStyle w:val="Hipervnculo"/>
                <w:rFonts w:ascii="Palatino Linotype" w:hAnsi="Palatino Linotype"/>
                <w:b/>
                <w:noProof/>
              </w:rPr>
              <w:t>PRIMERO. De la competencia</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_Toc58596301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14</w:t>
            </w:r>
            <w:r w:rsidR="00CE1616" w:rsidRPr="00CE1616">
              <w:rPr>
                <w:rFonts w:ascii="Palatino Linotype" w:hAnsi="Palatino Linotype"/>
                <w:b/>
                <w:noProof/>
                <w:webHidden/>
              </w:rPr>
              <w:fldChar w:fldCharType="end"/>
            </w:r>
          </w:hyperlink>
        </w:p>
        <w:p w:rsidR="00CE1616" w:rsidRPr="00CE1616" w:rsidRDefault="0011269D" w:rsidP="00CE1616">
          <w:pPr>
            <w:pStyle w:val="TDC2"/>
            <w:rPr>
              <w:rFonts w:ascii="Palatino Linotype" w:hAnsi="Palatino Linotype"/>
              <w:b/>
              <w:noProof/>
              <w:sz w:val="22"/>
              <w:szCs w:val="22"/>
              <w:lang w:val="es-MX" w:eastAsia="es-MX"/>
            </w:rPr>
          </w:pPr>
          <w:hyperlink w:anchor="_Toc58596302" w:history="1">
            <w:r w:rsidR="00CE1616" w:rsidRPr="00CE1616">
              <w:rPr>
                <w:rStyle w:val="Hipervnculo"/>
                <w:rFonts w:ascii="Palatino Linotype" w:hAnsi="Palatino Linotype"/>
                <w:b/>
                <w:noProof/>
              </w:rPr>
              <w:t>SEGUNDO. De la oportunidad y procedencia.</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_Toc58596302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14</w:t>
            </w:r>
            <w:r w:rsidR="00CE1616" w:rsidRPr="00CE1616">
              <w:rPr>
                <w:rFonts w:ascii="Palatino Linotype" w:hAnsi="Palatino Linotype"/>
                <w:b/>
                <w:noProof/>
                <w:webHidden/>
              </w:rPr>
              <w:fldChar w:fldCharType="end"/>
            </w:r>
          </w:hyperlink>
        </w:p>
        <w:p w:rsidR="00CE1616" w:rsidRPr="00CE1616" w:rsidRDefault="0011269D" w:rsidP="00CE1616">
          <w:pPr>
            <w:pStyle w:val="TDC2"/>
            <w:rPr>
              <w:rFonts w:ascii="Palatino Linotype" w:hAnsi="Palatino Linotype"/>
              <w:b/>
              <w:noProof/>
              <w:sz w:val="22"/>
              <w:szCs w:val="22"/>
              <w:lang w:val="es-MX" w:eastAsia="es-MX"/>
            </w:rPr>
          </w:pPr>
          <w:hyperlink w:anchor="_Toc58596303" w:history="1">
            <w:r w:rsidR="00CE1616" w:rsidRPr="00CE1616">
              <w:rPr>
                <w:rStyle w:val="Hipervnculo"/>
                <w:rFonts w:ascii="Palatino Linotype" w:eastAsia="Calibri" w:hAnsi="Palatino Linotype" w:cs="Times New Roman"/>
                <w:b/>
                <w:bCs/>
                <w:noProof/>
                <w:lang w:val="es-ES"/>
              </w:rPr>
              <w:t xml:space="preserve">TERCERO. Del planteamiento de la </w:t>
            </w:r>
            <w:r w:rsidR="00CE1616" w:rsidRPr="00CE1616">
              <w:rPr>
                <w:rStyle w:val="Hipervnculo"/>
                <w:rFonts w:ascii="Palatino Linotype" w:eastAsia="Calibri" w:hAnsi="Palatino Linotype" w:cs="Times New Roman"/>
                <w:b/>
                <w:bCs/>
                <w:i/>
                <w:noProof/>
                <w:lang w:val="es-ES"/>
              </w:rPr>
              <w:t>Litis</w:t>
            </w:r>
            <w:r w:rsidR="00CE1616" w:rsidRPr="00CE1616">
              <w:rPr>
                <w:rStyle w:val="Hipervnculo"/>
                <w:rFonts w:ascii="Palatino Linotype" w:eastAsia="Calibri" w:hAnsi="Palatino Linotype" w:cs="Times New Roman"/>
                <w:b/>
                <w:bCs/>
                <w:noProof/>
                <w:lang w:val="es-ES"/>
              </w:rPr>
              <w:t>.</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_Toc58596303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15</w:t>
            </w:r>
            <w:r w:rsidR="00CE1616" w:rsidRPr="00CE1616">
              <w:rPr>
                <w:rFonts w:ascii="Palatino Linotype" w:hAnsi="Palatino Linotype"/>
                <w:b/>
                <w:noProof/>
                <w:webHidden/>
              </w:rPr>
              <w:fldChar w:fldCharType="end"/>
            </w:r>
          </w:hyperlink>
        </w:p>
        <w:p w:rsidR="00CE1616" w:rsidRPr="00CE1616" w:rsidRDefault="0011269D" w:rsidP="00CE1616">
          <w:pPr>
            <w:pStyle w:val="TDC1"/>
            <w:tabs>
              <w:tab w:val="left" w:pos="660"/>
              <w:tab w:val="right" w:leader="dot" w:pos="8779"/>
            </w:tabs>
            <w:rPr>
              <w:rFonts w:ascii="Palatino Linotype" w:hAnsi="Palatino Linotype"/>
              <w:b/>
              <w:noProof/>
              <w:sz w:val="22"/>
              <w:szCs w:val="22"/>
              <w:lang w:val="es-MX" w:eastAsia="es-MX"/>
            </w:rPr>
          </w:pPr>
          <w:hyperlink w:anchor="_Toc58596312" w:history="1"/>
          <w:hyperlink w:anchor="_Toc58596313" w:history="1">
            <w:r w:rsidR="00CE1616" w:rsidRPr="00CE1616">
              <w:rPr>
                <w:rStyle w:val="Hipervnculo"/>
                <w:rFonts w:ascii="Palatino Linotype" w:eastAsia="MS Gothic" w:hAnsi="Palatino Linotype" w:cs="Times New Roman"/>
                <w:b/>
                <w:noProof/>
              </w:rPr>
              <w:t>II. Del Procedimiento de acceso a datos personales.</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_Toc58596313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22</w:t>
            </w:r>
            <w:r w:rsidR="00CE1616" w:rsidRPr="00CE1616">
              <w:rPr>
                <w:rFonts w:ascii="Palatino Linotype" w:hAnsi="Palatino Linotype"/>
                <w:b/>
                <w:noProof/>
                <w:webHidden/>
              </w:rPr>
              <w:fldChar w:fldCharType="end"/>
            </w:r>
          </w:hyperlink>
        </w:p>
        <w:p w:rsidR="00CE1616" w:rsidRPr="00CE1616" w:rsidRDefault="0011269D" w:rsidP="00CE1616">
          <w:pPr>
            <w:pStyle w:val="TDC1"/>
            <w:tabs>
              <w:tab w:val="right" w:leader="dot" w:pos="8779"/>
            </w:tabs>
            <w:rPr>
              <w:rFonts w:ascii="Palatino Linotype" w:hAnsi="Palatino Linotype"/>
              <w:b/>
              <w:noProof/>
              <w:sz w:val="22"/>
              <w:szCs w:val="22"/>
              <w:lang w:val="es-MX" w:eastAsia="es-MX"/>
            </w:rPr>
          </w:pPr>
          <w:hyperlink w:anchor="_Toc58596314" w:history="1">
            <w:r w:rsidR="00CE1616" w:rsidRPr="00CE1616">
              <w:rPr>
                <w:rStyle w:val="Hipervnculo"/>
                <w:rFonts w:ascii="Palatino Linotype" w:hAnsi="Palatino Linotype"/>
                <w:b/>
                <w:noProof/>
              </w:rPr>
              <w:t>III. De la Gratuidad de las Copias Certificadas.</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_Toc58596314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29</w:t>
            </w:r>
            <w:r w:rsidR="00CE1616" w:rsidRPr="00CE1616">
              <w:rPr>
                <w:rFonts w:ascii="Palatino Linotype" w:hAnsi="Palatino Linotype"/>
                <w:b/>
                <w:noProof/>
                <w:webHidden/>
              </w:rPr>
              <w:fldChar w:fldCharType="end"/>
            </w:r>
          </w:hyperlink>
        </w:p>
        <w:p w:rsidR="00CE1616" w:rsidRPr="00CE1616" w:rsidRDefault="0011269D" w:rsidP="00CE1616">
          <w:pPr>
            <w:pStyle w:val="TDC1"/>
            <w:tabs>
              <w:tab w:val="right" w:leader="dot" w:pos="8779"/>
            </w:tabs>
            <w:rPr>
              <w:rFonts w:ascii="Palatino Linotype" w:hAnsi="Palatino Linotype"/>
              <w:b/>
              <w:noProof/>
              <w:sz w:val="22"/>
              <w:szCs w:val="22"/>
              <w:lang w:val="es-MX" w:eastAsia="es-MX"/>
            </w:rPr>
          </w:pPr>
          <w:hyperlink w:anchor="_Toc58596315" w:history="1">
            <w:r w:rsidR="00CE1616" w:rsidRPr="00CE1616">
              <w:rPr>
                <w:rStyle w:val="Hipervnculo"/>
                <w:rFonts w:ascii="Palatino Linotype" w:eastAsiaTheme="majorEastAsia" w:hAnsi="Palatino Linotype" w:cstheme="majorBidi"/>
                <w:b/>
                <w:noProof/>
                <w:lang w:val="es-MX" w:eastAsia="en-US"/>
              </w:rPr>
              <w:t>QUINTO. De la Versión Pública.</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_Toc58596315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38</w:t>
            </w:r>
            <w:r w:rsidR="00CE1616" w:rsidRPr="00CE1616">
              <w:rPr>
                <w:rFonts w:ascii="Palatino Linotype" w:hAnsi="Palatino Linotype"/>
                <w:b/>
                <w:noProof/>
                <w:webHidden/>
              </w:rPr>
              <w:fldChar w:fldCharType="end"/>
            </w:r>
          </w:hyperlink>
        </w:p>
        <w:p w:rsidR="00CE1616" w:rsidRPr="00CE1616" w:rsidRDefault="0011269D" w:rsidP="00CE1616">
          <w:pPr>
            <w:pStyle w:val="TDC3"/>
            <w:tabs>
              <w:tab w:val="left" w:pos="1100"/>
              <w:tab w:val="right" w:leader="dot" w:pos="8779"/>
            </w:tabs>
            <w:ind w:left="0"/>
            <w:rPr>
              <w:rFonts w:ascii="Palatino Linotype" w:hAnsi="Palatino Linotype"/>
              <w:b/>
              <w:noProof/>
              <w:sz w:val="22"/>
              <w:szCs w:val="22"/>
              <w:lang w:val="es-MX" w:eastAsia="es-MX"/>
            </w:rPr>
          </w:pPr>
          <w:hyperlink w:anchor="_Toc58596316" w:history="1">
            <w:r w:rsidR="00CE1616" w:rsidRPr="00CE1616">
              <w:rPr>
                <w:rStyle w:val="Hipervnculo"/>
                <w:rFonts w:ascii="Palatino Linotype" w:eastAsiaTheme="majorEastAsia" w:hAnsi="Palatino Linotype" w:cstheme="majorBidi"/>
                <w:b/>
                <w:noProof/>
              </w:rPr>
              <w:t>a.</w:t>
            </w:r>
            <w:r w:rsidR="00CE1616" w:rsidRPr="00CE1616">
              <w:rPr>
                <w:rFonts w:ascii="Palatino Linotype" w:hAnsi="Palatino Linotype"/>
                <w:b/>
                <w:noProof/>
                <w:sz w:val="22"/>
                <w:szCs w:val="22"/>
                <w:lang w:val="es-MX" w:eastAsia="es-MX"/>
              </w:rPr>
              <w:tab/>
            </w:r>
            <w:r w:rsidR="00CE1616" w:rsidRPr="00CE1616">
              <w:rPr>
                <w:rStyle w:val="Hipervnculo"/>
                <w:rFonts w:ascii="Palatino Linotype" w:eastAsiaTheme="majorEastAsia" w:hAnsi="Palatino Linotype" w:cstheme="majorBidi"/>
                <w:b/>
                <w:noProof/>
              </w:rPr>
              <w:t>Requisitos previos.</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_Toc58596316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38</w:t>
            </w:r>
            <w:r w:rsidR="00CE1616" w:rsidRPr="00CE1616">
              <w:rPr>
                <w:rFonts w:ascii="Palatino Linotype" w:hAnsi="Palatino Linotype"/>
                <w:b/>
                <w:noProof/>
                <w:webHidden/>
              </w:rPr>
              <w:fldChar w:fldCharType="end"/>
            </w:r>
          </w:hyperlink>
        </w:p>
        <w:p w:rsidR="00CE1616" w:rsidRPr="00CE1616" w:rsidRDefault="0011269D" w:rsidP="00CE1616">
          <w:pPr>
            <w:pStyle w:val="TDC3"/>
            <w:tabs>
              <w:tab w:val="left" w:pos="1100"/>
              <w:tab w:val="right" w:leader="dot" w:pos="8779"/>
            </w:tabs>
            <w:ind w:left="0"/>
            <w:rPr>
              <w:rFonts w:ascii="Palatino Linotype" w:hAnsi="Palatino Linotype"/>
              <w:b/>
              <w:noProof/>
              <w:sz w:val="22"/>
              <w:szCs w:val="22"/>
              <w:lang w:val="es-MX" w:eastAsia="es-MX"/>
            </w:rPr>
          </w:pPr>
          <w:hyperlink w:anchor="_Toc58596317" w:history="1">
            <w:r w:rsidR="00CE1616" w:rsidRPr="00CE1616">
              <w:rPr>
                <w:rStyle w:val="Hipervnculo"/>
                <w:rFonts w:ascii="Palatino Linotype" w:eastAsiaTheme="majorEastAsia" w:hAnsi="Palatino Linotype" w:cstheme="majorBidi"/>
                <w:b/>
                <w:noProof/>
              </w:rPr>
              <w:t>b.</w:t>
            </w:r>
            <w:r w:rsidR="00CE1616" w:rsidRPr="00CE1616">
              <w:rPr>
                <w:rFonts w:ascii="Palatino Linotype" w:hAnsi="Palatino Linotype"/>
                <w:b/>
                <w:noProof/>
                <w:sz w:val="22"/>
                <w:szCs w:val="22"/>
                <w:lang w:val="es-MX" w:eastAsia="es-MX"/>
              </w:rPr>
              <w:tab/>
            </w:r>
            <w:r w:rsidR="00CE1616" w:rsidRPr="00CE1616">
              <w:rPr>
                <w:rStyle w:val="Hipervnculo"/>
                <w:rFonts w:ascii="Palatino Linotype" w:eastAsiaTheme="majorEastAsia" w:hAnsi="Palatino Linotype" w:cstheme="majorBidi"/>
                <w:b/>
                <w:noProof/>
              </w:rPr>
              <w:t>Supuesto de clasificación.</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_Toc58596317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39</w:t>
            </w:r>
            <w:r w:rsidR="00CE1616" w:rsidRPr="00CE1616">
              <w:rPr>
                <w:rFonts w:ascii="Palatino Linotype" w:hAnsi="Palatino Linotype"/>
                <w:b/>
                <w:noProof/>
                <w:webHidden/>
              </w:rPr>
              <w:fldChar w:fldCharType="end"/>
            </w:r>
          </w:hyperlink>
        </w:p>
        <w:p w:rsidR="00CE1616" w:rsidRPr="00CE1616" w:rsidRDefault="0011269D" w:rsidP="00CE1616">
          <w:pPr>
            <w:pStyle w:val="TDC3"/>
            <w:tabs>
              <w:tab w:val="left" w:pos="880"/>
              <w:tab w:val="right" w:leader="dot" w:pos="8779"/>
            </w:tabs>
            <w:ind w:left="0"/>
            <w:rPr>
              <w:rFonts w:ascii="Palatino Linotype" w:hAnsi="Palatino Linotype"/>
              <w:b/>
              <w:noProof/>
              <w:sz w:val="22"/>
              <w:szCs w:val="22"/>
              <w:lang w:val="es-MX" w:eastAsia="es-MX"/>
            </w:rPr>
          </w:pPr>
          <w:hyperlink w:anchor="_Toc58596318" w:history="1">
            <w:r w:rsidR="00CE1616" w:rsidRPr="00CE1616">
              <w:rPr>
                <w:rStyle w:val="Hipervnculo"/>
                <w:rFonts w:ascii="Palatino Linotype" w:eastAsiaTheme="majorEastAsia" w:hAnsi="Palatino Linotype" w:cstheme="majorBidi"/>
                <w:b/>
                <w:noProof/>
              </w:rPr>
              <w:t>c.</w:t>
            </w:r>
            <w:r w:rsidR="00CE1616" w:rsidRPr="00CE1616">
              <w:rPr>
                <w:rFonts w:ascii="Palatino Linotype" w:hAnsi="Palatino Linotype"/>
                <w:b/>
                <w:noProof/>
                <w:sz w:val="22"/>
                <w:szCs w:val="22"/>
                <w:lang w:val="es-MX" w:eastAsia="es-MX"/>
              </w:rPr>
              <w:tab/>
            </w:r>
            <w:r w:rsidR="00CE1616" w:rsidRPr="00CE1616">
              <w:rPr>
                <w:rStyle w:val="Hipervnculo"/>
                <w:rFonts w:ascii="Palatino Linotype" w:eastAsiaTheme="majorEastAsia" w:hAnsi="Palatino Linotype" w:cstheme="majorBidi"/>
                <w:b/>
                <w:noProof/>
              </w:rPr>
              <w:t>La intervención del Comité de Transparencia.</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_Toc58596318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42</w:t>
            </w:r>
            <w:r w:rsidR="00CE1616" w:rsidRPr="00CE1616">
              <w:rPr>
                <w:rFonts w:ascii="Palatino Linotype" w:hAnsi="Palatino Linotype"/>
                <w:b/>
                <w:noProof/>
                <w:webHidden/>
              </w:rPr>
              <w:fldChar w:fldCharType="end"/>
            </w:r>
          </w:hyperlink>
        </w:p>
        <w:p w:rsidR="00CE1616" w:rsidRPr="00CE1616" w:rsidRDefault="0011269D" w:rsidP="00CE1616">
          <w:pPr>
            <w:pStyle w:val="TDC1"/>
            <w:tabs>
              <w:tab w:val="right" w:leader="dot" w:pos="8779"/>
            </w:tabs>
            <w:rPr>
              <w:rFonts w:ascii="Palatino Linotype" w:hAnsi="Palatino Linotype"/>
              <w:b/>
              <w:noProof/>
              <w:sz w:val="22"/>
              <w:szCs w:val="22"/>
              <w:lang w:val="es-MX" w:eastAsia="es-MX"/>
            </w:rPr>
          </w:pPr>
          <w:hyperlink w:anchor="_Toc58596319" w:history="1">
            <w:r w:rsidR="00CE1616" w:rsidRPr="00CE1616">
              <w:rPr>
                <w:rStyle w:val="Hipervnculo"/>
                <w:rFonts w:ascii="Palatino Linotype" w:hAnsi="Palatino Linotype"/>
                <w:b/>
                <w:noProof/>
                <w:lang w:val="es-ES"/>
              </w:rPr>
              <w:t>R E S O L U T I V O S</w:t>
            </w:r>
            <w:r w:rsidR="00CE1616" w:rsidRPr="00CE1616">
              <w:rPr>
                <w:rFonts w:ascii="Palatino Linotype" w:hAnsi="Palatino Linotype"/>
                <w:b/>
                <w:noProof/>
                <w:webHidden/>
              </w:rPr>
              <w:tab/>
            </w:r>
            <w:r w:rsidR="00CE1616" w:rsidRPr="00CE1616">
              <w:rPr>
                <w:rFonts w:ascii="Palatino Linotype" w:hAnsi="Palatino Linotype"/>
                <w:b/>
                <w:noProof/>
                <w:webHidden/>
              </w:rPr>
              <w:fldChar w:fldCharType="begin"/>
            </w:r>
            <w:r w:rsidR="00CE1616" w:rsidRPr="00CE1616">
              <w:rPr>
                <w:rFonts w:ascii="Palatino Linotype" w:hAnsi="Palatino Linotype"/>
                <w:b/>
                <w:noProof/>
                <w:webHidden/>
              </w:rPr>
              <w:instrText xml:space="preserve"> PAGEREF _Toc58596319 \h </w:instrText>
            </w:r>
            <w:r w:rsidR="00CE1616" w:rsidRPr="00CE1616">
              <w:rPr>
                <w:rFonts w:ascii="Palatino Linotype" w:hAnsi="Palatino Linotype"/>
                <w:b/>
                <w:noProof/>
                <w:webHidden/>
              </w:rPr>
            </w:r>
            <w:r w:rsidR="00CE1616" w:rsidRPr="00CE1616">
              <w:rPr>
                <w:rFonts w:ascii="Palatino Linotype" w:hAnsi="Palatino Linotype"/>
                <w:b/>
                <w:noProof/>
                <w:webHidden/>
              </w:rPr>
              <w:fldChar w:fldCharType="separate"/>
            </w:r>
            <w:r w:rsidR="00CE1616" w:rsidRPr="00CE1616">
              <w:rPr>
                <w:rFonts w:ascii="Palatino Linotype" w:hAnsi="Palatino Linotype"/>
                <w:b/>
                <w:noProof/>
                <w:webHidden/>
              </w:rPr>
              <w:t>48</w:t>
            </w:r>
            <w:r w:rsidR="00CE1616" w:rsidRPr="00CE1616">
              <w:rPr>
                <w:rFonts w:ascii="Palatino Linotype" w:hAnsi="Palatino Linotype"/>
                <w:b/>
                <w:noProof/>
                <w:webHidden/>
              </w:rPr>
              <w:fldChar w:fldCharType="end"/>
            </w:r>
          </w:hyperlink>
        </w:p>
        <w:p w:rsidR="00A55BA0" w:rsidRDefault="00A55BA0" w:rsidP="008C54C1">
          <w:pPr>
            <w:pStyle w:val="TDC1"/>
            <w:tabs>
              <w:tab w:val="right" w:leader="dot" w:pos="8779"/>
            </w:tabs>
            <w:rPr>
              <w:bCs/>
              <w:lang w:val="es-ES"/>
            </w:rPr>
          </w:pPr>
          <w:r w:rsidRPr="005C3739">
            <w:rPr>
              <w:rFonts w:ascii="Palatino Linotype" w:hAnsi="Palatino Linotype"/>
              <w:b/>
              <w:bCs/>
              <w:lang w:val="es-ES"/>
            </w:rPr>
            <w:fldChar w:fldCharType="end"/>
          </w:r>
        </w:p>
      </w:sdtContent>
    </w:sdt>
    <w:p w:rsidR="006E5EF0" w:rsidRDefault="006E5EF0">
      <w:pPr>
        <w:spacing w:after="160" w:line="259" w:lineRule="auto"/>
        <w:rPr>
          <w:rFonts w:ascii="Palatino Linotype" w:hAnsi="Palatino Linotype"/>
        </w:rPr>
      </w:pPr>
      <w:r>
        <w:rPr>
          <w:rFonts w:ascii="Palatino Linotype" w:hAnsi="Palatino Linotype"/>
        </w:rPr>
        <w:br w:type="page"/>
      </w:r>
    </w:p>
    <w:p w:rsidR="00A55BA0" w:rsidRPr="00863ACE" w:rsidRDefault="00A55BA0" w:rsidP="00A55BA0">
      <w:pPr>
        <w:spacing w:before="240" w:after="240" w:line="360" w:lineRule="auto"/>
        <w:jc w:val="both"/>
        <w:rPr>
          <w:rFonts w:ascii="Palatino Linotype" w:hAnsi="Palatino Linotype"/>
        </w:rPr>
      </w:pPr>
      <w:r w:rsidRPr="00863ACE">
        <w:rPr>
          <w:rFonts w:ascii="Palatino Linotype" w:hAnsi="Palatino Linotype"/>
        </w:rPr>
        <w:lastRenderedPageBreak/>
        <w:t xml:space="preserve">Resolución del Pleno del Instituto de Transparencia, Acceso a la Información Pública </w:t>
      </w:r>
      <w:r w:rsidRPr="00F5714C">
        <w:rPr>
          <w:rFonts w:ascii="Palatino Linotype" w:hAnsi="Palatino Linotype"/>
        </w:rPr>
        <w:t xml:space="preserve">y Protección de Datos Personales del Estado de México y Municipios, con domicilio en Metepec, Estado de México; de fecha </w:t>
      </w:r>
      <w:r w:rsidR="007D0561">
        <w:rPr>
          <w:rFonts w:ascii="Palatino Linotype" w:hAnsi="Palatino Linotype"/>
        </w:rPr>
        <w:t xml:space="preserve">dieciséis </w:t>
      </w:r>
      <w:r w:rsidR="00ED56BC" w:rsidRPr="00F5714C">
        <w:rPr>
          <w:rFonts w:ascii="Palatino Linotype" w:hAnsi="Palatino Linotype"/>
        </w:rPr>
        <w:t>(</w:t>
      </w:r>
      <w:r w:rsidR="007D0561">
        <w:rPr>
          <w:rFonts w:ascii="Palatino Linotype" w:hAnsi="Palatino Linotype"/>
        </w:rPr>
        <w:t>16</w:t>
      </w:r>
      <w:r w:rsidR="00ED56BC" w:rsidRPr="00F5714C">
        <w:rPr>
          <w:rFonts w:ascii="Palatino Linotype" w:hAnsi="Palatino Linotype"/>
        </w:rPr>
        <w:t xml:space="preserve">) de </w:t>
      </w:r>
      <w:r w:rsidR="00F5714C" w:rsidRPr="00F5714C">
        <w:rPr>
          <w:rFonts w:ascii="Palatino Linotype" w:hAnsi="Palatino Linotype"/>
        </w:rPr>
        <w:t xml:space="preserve">diciembre </w:t>
      </w:r>
      <w:r w:rsidRPr="00F5714C">
        <w:rPr>
          <w:rFonts w:ascii="Palatino Linotype" w:hAnsi="Palatino Linotype"/>
        </w:rPr>
        <w:t>de dos mil</w:t>
      </w:r>
      <w:r w:rsidR="00F5714C" w:rsidRPr="00F5714C">
        <w:rPr>
          <w:rFonts w:ascii="Palatino Linotype" w:hAnsi="Palatino Linotype"/>
        </w:rPr>
        <w:t xml:space="preserve"> veinte</w:t>
      </w:r>
      <w:r w:rsidRPr="00F5714C">
        <w:rPr>
          <w:rFonts w:ascii="Palatino Linotype" w:hAnsi="Palatino Linotype"/>
        </w:rPr>
        <w:t>.</w:t>
      </w:r>
    </w:p>
    <w:p w:rsidR="00A55BA0" w:rsidRDefault="00A55BA0" w:rsidP="00A55BA0">
      <w:pPr>
        <w:spacing w:before="240" w:after="360" w:line="360" w:lineRule="auto"/>
        <w:jc w:val="both"/>
        <w:rPr>
          <w:rFonts w:ascii="Palatino Linotype" w:hAnsi="Palatino Linotype"/>
        </w:rPr>
      </w:pPr>
      <w:r w:rsidRPr="00863ACE">
        <w:rPr>
          <w:rFonts w:ascii="Palatino Linotype" w:hAnsi="Palatino Linotype"/>
          <w:b/>
        </w:rPr>
        <w:t>VISTO</w:t>
      </w:r>
      <w:r w:rsidRPr="00863ACE">
        <w:rPr>
          <w:rFonts w:ascii="Palatino Linotype" w:hAnsi="Palatino Linotype"/>
        </w:rPr>
        <w:t xml:space="preserve"> el expediente electrónico formado con motivo del recurso de revisión</w:t>
      </w:r>
      <w:r w:rsidR="007D0561">
        <w:rPr>
          <w:rFonts w:ascii="Palatino Linotype" w:hAnsi="Palatino Linotype" w:cs="Arial"/>
          <w:b/>
          <w:bCs/>
        </w:rPr>
        <w:t xml:space="preserve"> </w:t>
      </w:r>
      <w:r w:rsidR="007D0561" w:rsidRPr="007D0561">
        <w:rPr>
          <w:rFonts w:ascii="Palatino Linotype" w:hAnsi="Palatino Linotype" w:cs="Arial"/>
          <w:b/>
          <w:bCs/>
        </w:rPr>
        <w:t>04278/INFOEM/AD/RR/2020</w:t>
      </w:r>
      <w:r w:rsidRPr="00863ACE">
        <w:rPr>
          <w:rFonts w:ascii="Palatino Linotype" w:hAnsi="Palatino Linotype" w:cs="Arial"/>
          <w:b/>
          <w:bCs/>
        </w:rPr>
        <w:t xml:space="preserve">, </w:t>
      </w:r>
      <w:r w:rsidR="00ED56BC" w:rsidRPr="00555E8F">
        <w:rPr>
          <w:rFonts w:ascii="Palatino Linotype" w:hAnsi="Palatino Linotype"/>
        </w:rPr>
        <w:t xml:space="preserve">promovido </w:t>
      </w:r>
      <w:r w:rsidR="00FF0C84" w:rsidRPr="00555E8F">
        <w:rPr>
          <w:rFonts w:ascii="Palatino Linotype" w:hAnsi="Palatino Linotype"/>
        </w:rPr>
        <w:t>por</w:t>
      </w:r>
      <w:r w:rsidR="007D0561">
        <w:rPr>
          <w:rFonts w:ascii="Palatino Linotype" w:hAnsi="Palatino Linotype"/>
          <w:b/>
        </w:rPr>
        <w:t xml:space="preserve"> </w:t>
      </w:r>
      <w:r w:rsidR="003734FA" w:rsidRPr="003734FA">
        <w:rPr>
          <w:rFonts w:ascii="Palatino Linotype" w:hAnsi="Palatino Linotype"/>
          <w:b/>
          <w:highlight w:val="black"/>
        </w:rPr>
        <w:t>-----------------</w:t>
      </w:r>
      <w:r w:rsidR="003734FA">
        <w:rPr>
          <w:rFonts w:ascii="Palatino Linotype" w:hAnsi="Palatino Linotype"/>
          <w:b/>
          <w:highlight w:val="black"/>
        </w:rPr>
        <w:t>-</w:t>
      </w:r>
      <w:r w:rsidR="003734FA" w:rsidRPr="003734FA">
        <w:rPr>
          <w:rFonts w:ascii="Palatino Linotype" w:hAnsi="Palatino Linotype"/>
          <w:b/>
          <w:highlight w:val="black"/>
        </w:rPr>
        <w:t>--------------</w:t>
      </w:r>
      <w:r w:rsidR="007946CF">
        <w:rPr>
          <w:rFonts w:ascii="Palatino Linotype" w:hAnsi="Palatino Linotype"/>
          <w:bCs/>
        </w:rPr>
        <w:t>, en su calidad de</w:t>
      </w:r>
      <w:r w:rsidRPr="00863ACE">
        <w:rPr>
          <w:rFonts w:ascii="Palatino Linotype" w:hAnsi="Palatino Linotype" w:cs="Arial"/>
        </w:rPr>
        <w:t xml:space="preserve"> </w:t>
      </w:r>
      <w:r w:rsidRPr="00863ACE">
        <w:rPr>
          <w:rFonts w:ascii="Palatino Linotype" w:hAnsi="Palatino Linotype" w:cs="Arial"/>
          <w:b/>
        </w:rPr>
        <w:t>RECURRENTE</w:t>
      </w:r>
      <w:r w:rsidRPr="00863ACE">
        <w:rPr>
          <w:rFonts w:ascii="Palatino Linotype" w:hAnsi="Palatino Linotype" w:cs="Arial"/>
        </w:rPr>
        <w:t>, en contra de la</w:t>
      </w:r>
      <w:r w:rsidR="00277C08">
        <w:rPr>
          <w:rFonts w:ascii="Palatino Linotype" w:hAnsi="Palatino Linotype" w:cs="Arial"/>
        </w:rPr>
        <w:t xml:space="preserve"> </w:t>
      </w:r>
      <w:r w:rsidRPr="00863ACE">
        <w:rPr>
          <w:rFonts w:ascii="Palatino Linotype" w:hAnsi="Palatino Linotype" w:cs="Arial"/>
        </w:rPr>
        <w:t>respuesta de</w:t>
      </w:r>
      <w:r w:rsidR="0073789D">
        <w:rPr>
          <w:rFonts w:ascii="Palatino Linotype" w:hAnsi="Palatino Linotype" w:cs="Arial"/>
        </w:rPr>
        <w:t xml:space="preserve"> </w:t>
      </w:r>
      <w:r>
        <w:rPr>
          <w:rFonts w:ascii="Palatino Linotype" w:hAnsi="Palatino Linotype" w:cs="Arial"/>
        </w:rPr>
        <w:t>l</w:t>
      </w:r>
      <w:r w:rsidR="0073789D">
        <w:rPr>
          <w:rFonts w:ascii="Palatino Linotype" w:hAnsi="Palatino Linotype" w:cs="Arial"/>
        </w:rPr>
        <w:t>a</w:t>
      </w:r>
      <w:r w:rsidR="007D0561">
        <w:rPr>
          <w:rFonts w:ascii="Palatino Linotype" w:hAnsi="Palatino Linotype" w:cs="Arial"/>
          <w:b/>
        </w:rPr>
        <w:t xml:space="preserve"> Fiscalía General de Justicia del Estado de México</w:t>
      </w:r>
      <w:r w:rsidR="0073789D">
        <w:rPr>
          <w:rFonts w:ascii="Palatino Linotype" w:hAnsi="Palatino Linotype" w:cs="Arial"/>
          <w:b/>
        </w:rPr>
        <w:t>,</w:t>
      </w:r>
      <w:r w:rsidR="009D2081">
        <w:rPr>
          <w:rFonts w:ascii="Palatino Linotype" w:hAnsi="Palatino Linotype" w:cs="Arial"/>
          <w:b/>
        </w:rPr>
        <w:t xml:space="preserve"> </w:t>
      </w:r>
      <w:r w:rsidRPr="00863ACE">
        <w:rPr>
          <w:rFonts w:ascii="Palatino Linotype" w:hAnsi="Palatino Linotype"/>
        </w:rPr>
        <w:t>en lo sucesivo el</w:t>
      </w:r>
      <w:r w:rsidRPr="00863ACE">
        <w:rPr>
          <w:rFonts w:ascii="Palatino Linotype" w:hAnsi="Palatino Linotype"/>
          <w:b/>
        </w:rPr>
        <w:t xml:space="preserve"> SUJETO OBLIGADO, </w:t>
      </w:r>
      <w:r w:rsidRPr="00863ACE">
        <w:rPr>
          <w:rFonts w:ascii="Palatino Linotype" w:hAnsi="Palatino Linotype"/>
        </w:rPr>
        <w:t>se procede a dictar la presente resolución, con base en los siguientes:</w:t>
      </w:r>
      <w:r>
        <w:rPr>
          <w:rFonts w:ascii="Palatino Linotype" w:hAnsi="Palatino Linotype"/>
        </w:rPr>
        <w:t xml:space="preserve"> </w:t>
      </w:r>
    </w:p>
    <w:p w:rsidR="00A55BA0" w:rsidRPr="00863ACE" w:rsidRDefault="00A55BA0" w:rsidP="00A55BA0">
      <w:pPr>
        <w:pStyle w:val="Ttulo1"/>
        <w:jc w:val="center"/>
        <w:rPr>
          <w:b w:val="0"/>
        </w:rPr>
      </w:pPr>
      <w:bookmarkStart w:id="0" w:name="_Toc58596299"/>
      <w:r w:rsidRPr="00863ACE">
        <w:t>ANTECEDENTES</w:t>
      </w:r>
      <w:bookmarkEnd w:id="0"/>
    </w:p>
    <w:p w:rsidR="006E5EF0" w:rsidRDefault="006E5EF0" w:rsidP="006E5EF0">
      <w:pPr>
        <w:pStyle w:val="Prrafodelista"/>
        <w:spacing w:before="240" w:after="240" w:line="360" w:lineRule="auto"/>
        <w:ind w:left="0"/>
        <w:jc w:val="both"/>
        <w:rPr>
          <w:rFonts w:ascii="Palatino Linotype" w:eastAsia="Calibri" w:hAnsi="Palatino Linotype" w:cs="Arial"/>
          <w:lang w:val="es-ES"/>
        </w:rPr>
      </w:pPr>
    </w:p>
    <w:p w:rsidR="00A55BA0" w:rsidRPr="00C27F00"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E</w:t>
      </w:r>
      <w:r w:rsidR="00A55BA0" w:rsidRPr="00863ACE">
        <w:rPr>
          <w:rFonts w:ascii="Palatino Linotype" w:eastAsia="Calibri" w:hAnsi="Palatino Linotype" w:cs="Arial"/>
          <w:lang w:val="es-ES"/>
        </w:rPr>
        <w:t xml:space="preserve">l </w:t>
      </w:r>
      <w:r w:rsidR="00F5714C">
        <w:rPr>
          <w:rFonts w:ascii="Palatino Linotype" w:eastAsia="Calibri" w:hAnsi="Palatino Linotype" w:cs="Arial"/>
          <w:lang w:val="es-ES"/>
        </w:rPr>
        <w:t>tres</w:t>
      </w:r>
      <w:r w:rsidR="00A55BA0">
        <w:rPr>
          <w:rFonts w:ascii="Palatino Linotype" w:eastAsia="Calibri" w:hAnsi="Palatino Linotype" w:cs="Arial"/>
          <w:lang w:val="es-ES"/>
        </w:rPr>
        <w:t xml:space="preserve"> </w:t>
      </w:r>
      <w:r w:rsidR="00A55BA0" w:rsidRPr="00863ACE">
        <w:rPr>
          <w:rFonts w:ascii="Palatino Linotype" w:eastAsia="Calibri" w:hAnsi="Palatino Linotype" w:cs="Arial"/>
          <w:lang w:val="es-ES"/>
        </w:rPr>
        <w:t>(</w:t>
      </w:r>
      <w:r w:rsidR="00F5714C">
        <w:rPr>
          <w:rFonts w:ascii="Palatino Linotype" w:eastAsia="Calibri" w:hAnsi="Palatino Linotype" w:cs="Arial"/>
          <w:lang w:val="es-ES"/>
        </w:rPr>
        <w:t>03</w:t>
      </w:r>
      <w:r w:rsidR="009E411C">
        <w:rPr>
          <w:rFonts w:ascii="Palatino Linotype" w:eastAsia="Calibri" w:hAnsi="Palatino Linotype" w:cs="Arial"/>
          <w:lang w:val="es-ES"/>
        </w:rPr>
        <w:t>)</w:t>
      </w:r>
      <w:r w:rsidR="00A55BA0" w:rsidRPr="00863ACE">
        <w:rPr>
          <w:rFonts w:ascii="Palatino Linotype" w:eastAsia="Calibri" w:hAnsi="Palatino Linotype" w:cs="Arial"/>
          <w:lang w:val="es-ES"/>
        </w:rPr>
        <w:t xml:space="preserve"> de</w:t>
      </w:r>
      <w:r w:rsidR="00F5714C">
        <w:rPr>
          <w:rFonts w:ascii="Palatino Linotype" w:eastAsia="Calibri" w:hAnsi="Palatino Linotype" w:cs="Arial"/>
          <w:lang w:val="es-ES"/>
        </w:rPr>
        <w:t xml:space="preserve"> agosto </w:t>
      </w:r>
      <w:r w:rsidR="0030660D">
        <w:rPr>
          <w:rFonts w:ascii="Palatino Linotype" w:eastAsia="Calibri" w:hAnsi="Palatino Linotype" w:cs="Arial"/>
          <w:lang w:val="es-ES"/>
        </w:rPr>
        <w:t>d</w:t>
      </w:r>
      <w:r w:rsidR="00A55BA0" w:rsidRPr="00863ACE">
        <w:rPr>
          <w:rFonts w:ascii="Palatino Linotype" w:eastAsia="Calibri" w:hAnsi="Palatino Linotype" w:cs="Arial"/>
          <w:lang w:val="es-ES"/>
        </w:rPr>
        <w:t xml:space="preserve">e dos mil </w:t>
      </w:r>
      <w:r w:rsidR="005D791C">
        <w:rPr>
          <w:rFonts w:ascii="Palatino Linotype" w:eastAsia="Calibri" w:hAnsi="Palatino Linotype" w:cs="Arial"/>
          <w:lang w:val="es-ES"/>
        </w:rPr>
        <w:t>diecinueve</w:t>
      </w:r>
      <w:r w:rsidR="00A55BA0" w:rsidRPr="00863ACE">
        <w:rPr>
          <w:rFonts w:ascii="Palatino Linotype" w:eastAsia="Calibri" w:hAnsi="Palatino Linotype" w:cs="Arial"/>
          <w:lang w:val="es-ES"/>
        </w:rPr>
        <w:t>,</w:t>
      </w:r>
      <w:r w:rsidR="00F5714C">
        <w:rPr>
          <w:rFonts w:ascii="Palatino Linotype" w:eastAsia="Calibri" w:hAnsi="Palatino Linotype" w:cs="Arial"/>
          <w:lang w:val="es-ES"/>
        </w:rPr>
        <w:t xml:space="preserve"> </w:t>
      </w:r>
      <w:r w:rsidR="003734FA" w:rsidRPr="003734FA">
        <w:rPr>
          <w:rFonts w:ascii="Palatino Linotype" w:hAnsi="Palatino Linotype"/>
          <w:b/>
          <w:highlight w:val="black"/>
        </w:rPr>
        <w:t>-----------------------------</w:t>
      </w:r>
      <w:r w:rsidR="007D0561" w:rsidRPr="0046059A">
        <w:rPr>
          <w:rFonts w:ascii="Palatino Linotype" w:eastAsia="Calibri" w:hAnsi="Palatino Linotype" w:cs="Arial"/>
        </w:rPr>
        <w:t xml:space="preserve"> </w:t>
      </w:r>
      <w:r w:rsidR="0073789D" w:rsidRPr="0046059A">
        <w:rPr>
          <w:rFonts w:ascii="Palatino Linotype" w:eastAsia="Calibri" w:hAnsi="Palatino Linotype" w:cs="Arial"/>
        </w:rPr>
        <w:t xml:space="preserve">vía </w:t>
      </w:r>
      <w:r w:rsidR="0073789D" w:rsidRPr="00F5714C">
        <w:rPr>
          <w:rStyle w:val="Ttulo2Car"/>
          <w:rFonts w:ascii="Palatino Linotype" w:eastAsiaTheme="minorEastAsia" w:hAnsi="Palatino Linotype" w:cstheme="minorBidi"/>
          <w:color w:val="auto"/>
          <w:sz w:val="24"/>
          <w:szCs w:val="24"/>
        </w:rPr>
        <w:t xml:space="preserve">Sistema de Acceso, Rectificación, Cancelación y Oposición de Datos Personales del Estado de México </w:t>
      </w:r>
      <w:r w:rsidR="0073789D" w:rsidRPr="007D0561">
        <w:rPr>
          <w:rStyle w:val="Ttulo2Car"/>
          <w:rFonts w:ascii="Palatino Linotype" w:eastAsiaTheme="minorEastAsia" w:hAnsi="Palatino Linotype" w:cstheme="minorBidi"/>
          <w:b/>
          <w:color w:val="auto"/>
          <w:sz w:val="24"/>
          <w:szCs w:val="24"/>
        </w:rPr>
        <w:t>(SARCOEM)</w:t>
      </w:r>
      <w:r w:rsidR="0073789D" w:rsidRPr="0046059A">
        <w:rPr>
          <w:rFonts w:ascii="Palatino Linotype" w:eastAsia="Calibri" w:hAnsi="Palatino Linotype" w:cs="Arial"/>
          <w:lang w:val="es-ES"/>
        </w:rPr>
        <w:t xml:space="preserve">, presentó la solicitud de </w:t>
      </w:r>
      <w:r w:rsidR="0073789D">
        <w:rPr>
          <w:rFonts w:ascii="Palatino Linotype" w:eastAsia="Calibri" w:hAnsi="Palatino Linotype" w:cs="Arial"/>
          <w:lang w:val="es-ES"/>
        </w:rPr>
        <w:t>acceso a datos personales r</w:t>
      </w:r>
      <w:r w:rsidR="0073789D" w:rsidRPr="0046059A">
        <w:rPr>
          <w:rFonts w:ascii="Palatino Linotype" w:eastAsia="Calibri" w:hAnsi="Palatino Linotype" w:cs="Arial"/>
          <w:lang w:val="es-ES"/>
        </w:rPr>
        <w:t>egistrada bajo el número</w:t>
      </w:r>
      <w:r w:rsidR="007D0561" w:rsidRPr="007D0561">
        <w:rPr>
          <w:rFonts w:ascii="Verdana" w:hAnsi="Verdana"/>
          <w:b/>
          <w:bCs/>
          <w:color w:val="FF0000"/>
        </w:rPr>
        <w:t xml:space="preserve"> </w:t>
      </w:r>
      <w:r w:rsidR="007D0561" w:rsidRPr="007D0561">
        <w:rPr>
          <w:rFonts w:ascii="Palatino Linotype" w:eastAsia="Calibri" w:hAnsi="Palatino Linotype" w:cs="Arial"/>
          <w:b/>
          <w:bCs/>
        </w:rPr>
        <w:t>00006/FGJ/AD/2020</w:t>
      </w:r>
      <w:r w:rsidR="00F5714C" w:rsidRPr="00F5714C">
        <w:rPr>
          <w:rFonts w:ascii="Verdana" w:hAnsi="Verdana"/>
          <w:b/>
          <w:bCs/>
          <w:color w:val="FF0000"/>
        </w:rPr>
        <w:t xml:space="preserve"> </w:t>
      </w:r>
      <w:r w:rsidR="0073789D" w:rsidRPr="0046059A">
        <w:rPr>
          <w:rFonts w:ascii="Palatino Linotype" w:eastAsia="Calibri" w:hAnsi="Palatino Linotype" w:cs="Arial"/>
          <w:lang w:val="es-ES"/>
        </w:rPr>
        <w:t>mediante la cual solicitó lo siguiente:</w:t>
      </w:r>
    </w:p>
    <w:p w:rsidR="00A55BA0" w:rsidRPr="00590A61" w:rsidRDefault="00A55BA0" w:rsidP="00763406">
      <w:pPr>
        <w:spacing w:line="360" w:lineRule="auto"/>
        <w:ind w:left="851" w:right="709"/>
        <w:jc w:val="both"/>
        <w:rPr>
          <w:rFonts w:ascii="Palatino Linotype" w:hAnsi="Palatino Linotype"/>
          <w:i/>
          <w:sz w:val="22"/>
          <w:szCs w:val="22"/>
        </w:rPr>
      </w:pPr>
      <w:r w:rsidRPr="00B819AE">
        <w:rPr>
          <w:rFonts w:ascii="Palatino Linotype" w:eastAsia="Calibri" w:hAnsi="Palatino Linotype" w:cs="Times New Roman"/>
          <w:i/>
          <w:color w:val="000000"/>
          <w:sz w:val="22"/>
          <w:szCs w:val="22"/>
          <w:lang w:val="es-MX" w:eastAsia="en-US"/>
        </w:rPr>
        <w:t>“</w:t>
      </w:r>
      <w:r w:rsidR="007D0561" w:rsidRPr="007D0561">
        <w:rPr>
          <w:rFonts w:ascii="Palatino Linotype" w:eastAsia="Calibri" w:hAnsi="Palatino Linotype" w:cs="Times New Roman"/>
          <w:i/>
          <w:color w:val="000000"/>
          <w:sz w:val="22"/>
          <w:szCs w:val="22"/>
          <w:lang w:val="es-MX" w:eastAsia="en-US"/>
        </w:rPr>
        <w:t xml:space="preserve">Solicito información del servidor público: </w:t>
      </w:r>
      <w:r w:rsidR="008A3F19" w:rsidRPr="008A3F19">
        <w:rPr>
          <w:rFonts w:ascii="Palatino Linotype" w:eastAsia="Calibri" w:hAnsi="Palatino Linotype" w:cs="Times New Roman"/>
          <w:i/>
          <w:color w:val="000000"/>
          <w:sz w:val="22"/>
          <w:szCs w:val="22"/>
          <w:highlight w:val="black"/>
          <w:lang w:val="es-MX" w:eastAsia="en-US"/>
        </w:rPr>
        <w:t>-------------------------------</w:t>
      </w:r>
      <w:r w:rsidR="007D0561" w:rsidRPr="007D0561">
        <w:rPr>
          <w:rFonts w:ascii="Palatino Linotype" w:eastAsia="Calibri" w:hAnsi="Palatino Linotype" w:cs="Times New Roman"/>
          <w:i/>
          <w:color w:val="000000"/>
          <w:sz w:val="22"/>
          <w:szCs w:val="22"/>
          <w:lang w:val="es-MX" w:eastAsia="en-US"/>
        </w:rPr>
        <w:t xml:space="preserve"> </w:t>
      </w:r>
      <w:proofErr w:type="spellStart"/>
      <w:proofErr w:type="gramStart"/>
      <w:r w:rsidR="007D0561" w:rsidRPr="007D0561">
        <w:rPr>
          <w:rFonts w:ascii="Palatino Linotype" w:eastAsia="Calibri" w:hAnsi="Palatino Linotype" w:cs="Times New Roman"/>
          <w:i/>
          <w:color w:val="000000"/>
          <w:sz w:val="22"/>
          <w:szCs w:val="22"/>
          <w:lang w:val="es-MX" w:eastAsia="en-US"/>
        </w:rPr>
        <w:t>C.Servidor</w:t>
      </w:r>
      <w:proofErr w:type="spellEnd"/>
      <w:proofErr w:type="gramEnd"/>
      <w:r w:rsidR="003734FA">
        <w:rPr>
          <w:rFonts w:ascii="Palatino Linotype" w:eastAsia="Calibri" w:hAnsi="Palatino Linotype" w:cs="Times New Roman"/>
          <w:i/>
          <w:color w:val="000000"/>
          <w:sz w:val="22"/>
          <w:szCs w:val="22"/>
          <w:lang w:val="es-MX" w:eastAsia="en-US"/>
        </w:rPr>
        <w:t xml:space="preserve">              </w:t>
      </w:r>
      <w:r w:rsidR="007D0561" w:rsidRPr="007D0561">
        <w:rPr>
          <w:rFonts w:ascii="Palatino Linotype" w:eastAsia="Calibri" w:hAnsi="Palatino Linotype" w:cs="Times New Roman"/>
          <w:i/>
          <w:color w:val="000000"/>
          <w:sz w:val="22"/>
          <w:szCs w:val="22"/>
          <w:lang w:val="es-MX" w:eastAsia="en-US"/>
        </w:rPr>
        <w:t xml:space="preserve"> </w:t>
      </w:r>
      <w:r w:rsidR="003734FA" w:rsidRPr="003734FA">
        <w:rPr>
          <w:rFonts w:ascii="Palatino Linotype" w:eastAsia="Calibri" w:hAnsi="Palatino Linotype" w:cs="Times New Roman"/>
          <w:i/>
          <w:color w:val="000000"/>
          <w:sz w:val="22"/>
          <w:szCs w:val="22"/>
          <w:highlight w:val="black"/>
          <w:lang w:val="es-MX" w:eastAsia="en-US"/>
        </w:rPr>
        <w:t>-------------</w:t>
      </w:r>
      <w:r w:rsidR="007D0561" w:rsidRPr="007D0561">
        <w:rPr>
          <w:rFonts w:ascii="Palatino Linotype" w:eastAsia="Calibri" w:hAnsi="Palatino Linotype" w:cs="Times New Roman"/>
          <w:i/>
          <w:color w:val="000000"/>
          <w:sz w:val="22"/>
          <w:szCs w:val="22"/>
          <w:lang w:val="es-MX" w:eastAsia="en-US"/>
        </w:rPr>
        <w:t>, Puesto: Agente investigador, Dependencia: fiscalía general de Justicia del Estado de México, Unidad: Oficina del C. Fiscal especial. copia certificada de la tarjeta o pase de lista de asistencia del 15 de marzo al 15 de mayo de 2020. Reporte de asistencia a operativos y/o guardias del 15 de marzo al 15 de mayo 2020</w:t>
      </w:r>
      <w:r w:rsidR="00F5714C" w:rsidRPr="00F5714C">
        <w:rPr>
          <w:rFonts w:ascii="Palatino Linotype" w:eastAsia="Calibri" w:hAnsi="Palatino Linotype" w:cs="Times New Roman"/>
          <w:i/>
          <w:color w:val="000000"/>
          <w:sz w:val="22"/>
          <w:szCs w:val="22"/>
          <w:lang w:val="es-MX" w:eastAsia="en-US"/>
        </w:rPr>
        <w:t>.</w:t>
      </w:r>
      <w:r w:rsidRPr="00B819AE">
        <w:rPr>
          <w:rFonts w:ascii="Palatino Linotype" w:hAnsi="Palatino Linotype"/>
          <w:i/>
          <w:sz w:val="22"/>
          <w:szCs w:val="22"/>
        </w:rPr>
        <w:t xml:space="preserve">” </w:t>
      </w:r>
      <w:r w:rsidRPr="00A46B18">
        <w:rPr>
          <w:rFonts w:ascii="Palatino Linotype" w:hAnsi="Palatino Linotype"/>
          <w:sz w:val="22"/>
          <w:szCs w:val="22"/>
        </w:rPr>
        <w:t>(Sic)</w:t>
      </w:r>
      <w:r w:rsidR="00A46B18">
        <w:rPr>
          <w:rFonts w:ascii="Palatino Linotype" w:hAnsi="Palatino Linotype"/>
          <w:sz w:val="22"/>
          <w:szCs w:val="22"/>
        </w:rPr>
        <w:t>.</w:t>
      </w:r>
    </w:p>
    <w:p w:rsidR="00763406" w:rsidRPr="00F60D68"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w:t>
      </w:r>
      <w:r w:rsidR="00F5714C">
        <w:rPr>
          <w:rFonts w:ascii="Palatino Linotype" w:eastAsia="Times New Roman" w:hAnsi="Palatino Linotype" w:cs="Arial"/>
          <w:lang w:val="es-ES"/>
        </w:rPr>
        <w:t>“</w:t>
      </w:r>
      <w:r w:rsidR="007D0561">
        <w:rPr>
          <w:rFonts w:ascii="Palatino Linotype" w:eastAsia="Times New Roman" w:hAnsi="Palatino Linotype" w:cs="Arial"/>
          <w:b/>
          <w:i/>
          <w:lang w:val="es-ES"/>
        </w:rPr>
        <w:t>SARCOEM</w:t>
      </w:r>
      <w:r w:rsidRPr="005D791C">
        <w:rPr>
          <w:rFonts w:ascii="Palatino Linotype" w:eastAsia="Times New Roman" w:hAnsi="Palatino Linotype" w:cs="Arial"/>
          <w:b/>
          <w:lang w:val="es-ES"/>
        </w:rPr>
        <w:t>.</w:t>
      </w:r>
      <w:r w:rsidR="005D791C" w:rsidRPr="005D791C">
        <w:rPr>
          <w:rFonts w:ascii="Palatino Linotype" w:eastAsia="Times New Roman" w:hAnsi="Palatino Linotype" w:cs="Arial"/>
          <w:lang w:val="es-ES"/>
        </w:rPr>
        <w:t>”</w:t>
      </w:r>
    </w:p>
    <w:p w:rsidR="00F60D68" w:rsidRPr="00F60D68" w:rsidRDefault="00F60D68" w:rsidP="00F60D68">
      <w:pPr>
        <w:pStyle w:val="Prrafodelista"/>
        <w:tabs>
          <w:tab w:val="left" w:pos="142"/>
          <w:tab w:val="left" w:pos="284"/>
        </w:tabs>
        <w:spacing w:before="240" w:after="240" w:line="360" w:lineRule="auto"/>
        <w:ind w:left="0"/>
        <w:jc w:val="both"/>
        <w:rPr>
          <w:rFonts w:ascii="Palatino Linotype" w:hAnsi="Palatino Linotype" w:cs="Arial"/>
          <w:i/>
        </w:rPr>
      </w:pPr>
    </w:p>
    <w:p w:rsidR="00F60D68" w:rsidRPr="00F60D68" w:rsidRDefault="00F5714C"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Pr>
          <w:rFonts w:ascii="Palatino Linotype" w:eastAsia="Times New Roman" w:hAnsi="Palatino Linotype" w:cs="Arial"/>
          <w:lang w:val="es-ES"/>
        </w:rPr>
        <w:lastRenderedPageBreak/>
        <w:t>Se hace constar que el particular</w:t>
      </w:r>
      <w:r w:rsidR="007D0561">
        <w:rPr>
          <w:rFonts w:ascii="Palatino Linotype" w:eastAsia="Times New Roman" w:hAnsi="Palatino Linotype" w:cs="Arial"/>
          <w:lang w:val="es-ES"/>
        </w:rPr>
        <w:t xml:space="preserve"> adjuntó a la solicitud de información</w:t>
      </w:r>
      <w:r w:rsidR="004322D0">
        <w:rPr>
          <w:rFonts w:ascii="Palatino Linotype" w:eastAsia="Times New Roman" w:hAnsi="Palatino Linotype" w:cs="Arial"/>
          <w:lang w:val="es-ES"/>
        </w:rPr>
        <w:t xml:space="preserve"> una C</w:t>
      </w:r>
      <w:r w:rsidR="007D0561">
        <w:rPr>
          <w:rFonts w:ascii="Palatino Linotype" w:eastAsia="Times New Roman" w:hAnsi="Palatino Linotype" w:cs="Arial"/>
          <w:lang w:val="es-ES"/>
        </w:rPr>
        <w:t xml:space="preserve">redencial de </w:t>
      </w:r>
      <w:r w:rsidR="004322D0">
        <w:rPr>
          <w:rFonts w:ascii="Palatino Linotype" w:eastAsia="Times New Roman" w:hAnsi="Palatino Linotype" w:cs="Arial"/>
          <w:lang w:val="es-ES"/>
        </w:rPr>
        <w:t>E</w:t>
      </w:r>
      <w:r w:rsidR="007D0561">
        <w:rPr>
          <w:rFonts w:ascii="Palatino Linotype" w:eastAsia="Times New Roman" w:hAnsi="Palatino Linotype" w:cs="Arial"/>
          <w:lang w:val="es-ES"/>
        </w:rPr>
        <w:t>lector expedida por el Instituto Nacional Electoral.</w:t>
      </w:r>
    </w:p>
    <w:p w:rsidR="00F5714C" w:rsidRPr="00F5714C" w:rsidRDefault="00F5714C" w:rsidP="00F5714C">
      <w:pPr>
        <w:pStyle w:val="Prrafodelista"/>
        <w:tabs>
          <w:tab w:val="left" w:pos="142"/>
          <w:tab w:val="left" w:pos="284"/>
        </w:tabs>
        <w:spacing w:before="240" w:after="240" w:line="360" w:lineRule="auto"/>
        <w:ind w:left="0"/>
        <w:jc w:val="both"/>
        <w:rPr>
          <w:rFonts w:ascii="Palatino Linotype" w:hAnsi="Palatino Linotype" w:cs="Arial"/>
          <w:i/>
        </w:rPr>
      </w:pPr>
    </w:p>
    <w:p w:rsidR="004322D0" w:rsidRPr="004322D0" w:rsidRDefault="007F4F56" w:rsidP="00E53D8F">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F60D68">
        <w:rPr>
          <w:rFonts w:ascii="Palatino Linotype" w:hAnsi="Palatino Linotype" w:cs="Arial"/>
        </w:rPr>
        <w:t>E</w:t>
      </w:r>
      <w:r w:rsidR="00F5714C">
        <w:rPr>
          <w:rFonts w:ascii="Palatino Linotype" w:hAnsi="Palatino Linotype" w:cs="Arial"/>
        </w:rPr>
        <w:t xml:space="preserve">l </w:t>
      </w:r>
      <w:r w:rsidR="004322D0">
        <w:rPr>
          <w:rFonts w:ascii="Palatino Linotype" w:hAnsi="Palatino Linotype" w:cs="Arial"/>
        </w:rPr>
        <w:t xml:space="preserve">día veintidós (22) de septiembre el </w:t>
      </w:r>
      <w:r w:rsidR="004322D0">
        <w:rPr>
          <w:rFonts w:ascii="Palatino Linotype" w:hAnsi="Palatino Linotype" w:cs="Arial"/>
          <w:b/>
        </w:rPr>
        <w:t xml:space="preserve">SUJETO OBLIGADO solicitó una prórroga </w:t>
      </w:r>
      <w:r w:rsidR="004322D0">
        <w:rPr>
          <w:rFonts w:ascii="Palatino Linotype" w:hAnsi="Palatino Linotype" w:cs="Arial"/>
        </w:rPr>
        <w:t xml:space="preserve">en los siguientes términos: </w:t>
      </w:r>
    </w:p>
    <w:p w:rsidR="004322D0" w:rsidRPr="004322D0" w:rsidRDefault="004322D0" w:rsidP="004322D0">
      <w:pPr>
        <w:pStyle w:val="Prrafodelista"/>
        <w:rPr>
          <w:rFonts w:ascii="Palatino Linotype" w:hAnsi="Palatino Linotype" w:cs="Arial"/>
          <w:i/>
        </w:rPr>
      </w:pPr>
    </w:p>
    <w:p w:rsidR="004322D0" w:rsidRPr="004322D0" w:rsidRDefault="004322D0" w:rsidP="004322D0">
      <w:pPr>
        <w:pStyle w:val="Prrafodelista"/>
        <w:tabs>
          <w:tab w:val="left" w:pos="142"/>
          <w:tab w:val="left" w:pos="284"/>
        </w:tabs>
        <w:spacing w:before="240" w:after="240" w:line="360" w:lineRule="auto"/>
        <w:ind w:left="0"/>
        <w:jc w:val="both"/>
        <w:rPr>
          <w:rFonts w:ascii="Palatino Linotype" w:hAnsi="Palatino Linotype" w:cs="Arial"/>
          <w:i/>
        </w:rPr>
      </w:pPr>
    </w:p>
    <w:p w:rsidR="004322D0" w:rsidRPr="004322D0" w:rsidRDefault="004322D0" w:rsidP="00F22FBB">
      <w:pPr>
        <w:pStyle w:val="Prrafodelista"/>
        <w:spacing w:line="360" w:lineRule="auto"/>
        <w:jc w:val="right"/>
        <w:rPr>
          <w:rFonts w:ascii="Palatino Linotype" w:hAnsi="Palatino Linotype" w:cs="Arial"/>
          <w:i/>
        </w:rPr>
      </w:pPr>
      <w:r>
        <w:rPr>
          <w:rFonts w:ascii="Palatino Linotype" w:hAnsi="Palatino Linotype" w:cs="Arial"/>
          <w:i/>
        </w:rPr>
        <w:t>“</w:t>
      </w:r>
      <w:r w:rsidRPr="004322D0">
        <w:rPr>
          <w:rFonts w:ascii="Palatino Linotype" w:hAnsi="Palatino Linotype" w:cs="Arial"/>
          <w:i/>
        </w:rPr>
        <w:t>Metepec, México a 22 de Septiembre de 2020</w:t>
      </w:r>
    </w:p>
    <w:p w:rsidR="004322D0" w:rsidRPr="004322D0" w:rsidRDefault="004322D0" w:rsidP="00F22FBB">
      <w:pPr>
        <w:pStyle w:val="Prrafodelista"/>
        <w:spacing w:line="360" w:lineRule="auto"/>
        <w:jc w:val="right"/>
        <w:rPr>
          <w:rFonts w:ascii="Palatino Linotype" w:hAnsi="Palatino Linotype" w:cs="Arial"/>
          <w:i/>
        </w:rPr>
      </w:pPr>
      <w:r w:rsidRPr="004322D0">
        <w:rPr>
          <w:rFonts w:ascii="Palatino Linotype" w:hAnsi="Palatino Linotype" w:cs="Arial"/>
          <w:i/>
        </w:rPr>
        <w:t xml:space="preserve">Nombre del solicitante: </w:t>
      </w:r>
      <w:r w:rsidR="003734FA" w:rsidRPr="003734FA">
        <w:rPr>
          <w:rFonts w:ascii="Palatino Linotype" w:hAnsi="Palatino Linotype" w:cs="Arial"/>
          <w:i/>
          <w:highlight w:val="black"/>
        </w:rPr>
        <w:t>-----------------------------------------------</w:t>
      </w:r>
    </w:p>
    <w:p w:rsidR="004322D0" w:rsidRPr="004322D0" w:rsidRDefault="004322D0" w:rsidP="00F22FBB">
      <w:pPr>
        <w:pStyle w:val="Prrafodelista"/>
        <w:spacing w:line="360" w:lineRule="auto"/>
        <w:jc w:val="right"/>
        <w:rPr>
          <w:rFonts w:ascii="Palatino Linotype" w:hAnsi="Palatino Linotype" w:cs="Arial"/>
          <w:i/>
        </w:rPr>
      </w:pPr>
      <w:r w:rsidRPr="004322D0">
        <w:rPr>
          <w:rFonts w:ascii="Palatino Linotype" w:hAnsi="Palatino Linotype" w:cs="Arial"/>
          <w:i/>
        </w:rPr>
        <w:t>Folio de la solicitud: 00006/FGJ/AD/2020</w:t>
      </w:r>
    </w:p>
    <w:p w:rsidR="004322D0" w:rsidRPr="004322D0" w:rsidRDefault="004322D0" w:rsidP="00F22FBB">
      <w:pPr>
        <w:pStyle w:val="Prrafodelista"/>
        <w:spacing w:line="360" w:lineRule="auto"/>
        <w:jc w:val="right"/>
        <w:rPr>
          <w:rFonts w:ascii="Palatino Linotype" w:hAnsi="Palatino Linotype" w:cs="Arial"/>
          <w:i/>
        </w:rPr>
      </w:pPr>
    </w:p>
    <w:p w:rsidR="004322D0" w:rsidRPr="004322D0" w:rsidRDefault="004322D0" w:rsidP="00F22FBB">
      <w:pPr>
        <w:pStyle w:val="Prrafodelista"/>
        <w:spacing w:line="360" w:lineRule="auto"/>
        <w:jc w:val="both"/>
        <w:rPr>
          <w:rFonts w:ascii="Palatino Linotype" w:hAnsi="Palatino Linotype" w:cs="Arial"/>
          <w:i/>
        </w:rPr>
      </w:pPr>
      <w:r w:rsidRPr="004322D0">
        <w:rPr>
          <w:rFonts w:ascii="Palatino Linotype" w:hAnsi="Palatino Linotype" w:cs="Arial"/>
          <w:i/>
        </w:rPr>
        <w:t>Con fundamento en el artículo 163 de la Ley de Transparencia y Acceso a la Información Pública del Estado de México y Municipios, se le hace de su conocimiento que el plazo de 15 días hábiles para atender su solicitud de información ha sido prorrogado por 10 días en virtud de las siguientes razones:</w:t>
      </w:r>
    </w:p>
    <w:p w:rsidR="004322D0" w:rsidRPr="004322D0" w:rsidRDefault="004322D0" w:rsidP="00F22FBB">
      <w:pPr>
        <w:pStyle w:val="Prrafodelista"/>
        <w:spacing w:line="360" w:lineRule="auto"/>
        <w:jc w:val="both"/>
        <w:rPr>
          <w:rFonts w:ascii="Palatino Linotype" w:hAnsi="Palatino Linotype" w:cs="Arial"/>
          <w:i/>
        </w:rPr>
      </w:pPr>
      <w:r w:rsidRPr="004322D0">
        <w:rPr>
          <w:rFonts w:ascii="Palatino Linotype" w:hAnsi="Palatino Linotype" w:cs="Arial"/>
          <w:i/>
        </w:rPr>
        <w:t xml:space="preserve">RESOLUCIÓN DE LA AMPLIACIÓN DE PLAZO PARA LA ENTREGA DE INFORMACIÓN DE LA SOLICITUD 00006/FGJ/AD/2020 El Comité de Transparencia de la Fiscalía General de Justicia del Estado de México, integrado por </w:t>
      </w:r>
      <w:proofErr w:type="spellStart"/>
      <w:r w:rsidRPr="004322D0">
        <w:rPr>
          <w:rFonts w:ascii="Palatino Linotype" w:hAnsi="Palatino Linotype" w:cs="Arial"/>
          <w:i/>
        </w:rPr>
        <w:t>Yamilit</w:t>
      </w:r>
      <w:proofErr w:type="spellEnd"/>
      <w:r w:rsidRPr="004322D0">
        <w:rPr>
          <w:rFonts w:ascii="Palatino Linotype" w:hAnsi="Palatino Linotype" w:cs="Arial"/>
          <w:i/>
        </w:rPr>
        <w:t xml:space="preserve"> Leyva Gutiérrez, Titular de la Unidad de Transparencia; la Lic. Claudia Romero Landázuri, Titular del Órgano Interno de Control; y el Lic. Delfino Rodríguez Manzanares, Coordinador de Archivos; tuvieron a bien reunirse siendo las 10:30 horas del día 22 de septiembre de 2020, en la sala de juntas de la Oficialía Mayor de la Fiscalía antes citada, ubicada en Avenida José María Morelos y Pavón, número 1300 Oriente, Cuarto Piso, Colonia San Sebastián, C.P. 50090, Toluca de </w:t>
      </w:r>
      <w:r w:rsidRPr="004322D0">
        <w:rPr>
          <w:rFonts w:ascii="Palatino Linotype" w:hAnsi="Palatino Linotype" w:cs="Arial"/>
          <w:i/>
        </w:rPr>
        <w:lastRenderedPageBreak/>
        <w:t xml:space="preserve">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108, párrafo segundo de la Ley de Protección de Datos Personales en Posesión de Sujetos Obligados del Estado de México y Municipios, el cual señala lo siguiente: “Artículo 108. 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 El plazo referido en el párrafo anterior podrá ser ampliado por una sola vez hasta por diez días cuando así lo justifiquen las circunstancias y siempre y cuando se le notifique al titular dentro del plazo de respuesta.” (…) II. Con fecha 24 de agosto de 2020, se recibió la solicitud de información de la C. </w:t>
      </w:r>
      <w:r w:rsidR="003734FA" w:rsidRPr="003734FA">
        <w:rPr>
          <w:rFonts w:ascii="Palatino Linotype" w:hAnsi="Palatino Linotype" w:cs="Arial"/>
          <w:i/>
          <w:highlight w:val="black"/>
        </w:rPr>
        <w:t>------------------------------------------</w:t>
      </w:r>
      <w:r w:rsidRPr="004322D0">
        <w:rPr>
          <w:rFonts w:ascii="Palatino Linotype" w:hAnsi="Palatino Linotype" w:cs="Arial"/>
          <w:i/>
        </w:rPr>
        <w:t xml:space="preserve">, a través del Módulo de Transparencia y Acceso a la Información Pública, la cual fue registrada bajo el folio 00006/FGJ/AD/2020. III. Con fundamento en lo dispuesto en el artículo 163, párrafo segundo de la Ley de la materia, la solicitud de mérito fue turnada al Servidor Público Habilitado correspondiente, mismo que solicito la prórroga de 10 días en virtud de que debido a la contingencia sanitaria derivada del virus COVD-19, no se cuenta con la totalidad del personal institucional que permita abarcar la operación de todas las unidades administrativas. Por lo antes expuesto, este Comité: RESUELVE PRIMERO. Aprobar la ampliación del plazo para la entrega de la información </w:t>
      </w:r>
      <w:r w:rsidRPr="004322D0">
        <w:rPr>
          <w:rFonts w:ascii="Palatino Linotype" w:hAnsi="Palatino Linotype" w:cs="Arial"/>
          <w:i/>
        </w:rPr>
        <w:lastRenderedPageBreak/>
        <w:t xml:space="preserve">solicitada, por un periodo de diez días hábiles, los cuales correrán del 23 de septiembre al 6 de octubre de 2020. SEGUNDO. Notifíquese a la C. </w:t>
      </w:r>
      <w:r w:rsidR="003734FA" w:rsidRPr="003734FA">
        <w:rPr>
          <w:rFonts w:ascii="Palatino Linotype" w:hAnsi="Palatino Linotype" w:cs="Arial"/>
          <w:i/>
          <w:highlight w:val="black"/>
        </w:rPr>
        <w:t>--------------------------------</w:t>
      </w:r>
      <w:r w:rsidRPr="003734FA">
        <w:rPr>
          <w:rFonts w:ascii="Palatino Linotype" w:hAnsi="Palatino Linotype" w:cs="Arial"/>
          <w:i/>
          <w:highlight w:val="black"/>
        </w:rPr>
        <w:t xml:space="preserve"> </w:t>
      </w:r>
      <w:r w:rsidR="003734FA" w:rsidRPr="003734FA">
        <w:rPr>
          <w:rFonts w:ascii="Palatino Linotype" w:hAnsi="Palatino Linotype" w:cs="Arial"/>
          <w:i/>
          <w:highlight w:val="black"/>
        </w:rPr>
        <w:t>-------------------</w:t>
      </w:r>
      <w:r w:rsidRPr="004322D0">
        <w:rPr>
          <w:rFonts w:ascii="Palatino Linotype" w:hAnsi="Palatino Linotype" w:cs="Arial"/>
          <w:i/>
        </w:rPr>
        <w:t>, la aprobación de la ampliación del plazo para dar contestación a su solitud de información. YAMILIT LEYVA GUTIÉRREZ Titular de la Unidad de Transparencia LIC. CLAUDIA ROMERO LANDÁZURI Titular del Órgano Interno de Control LIC. DELFINO RODRÍGUEZ MANZANARES Coordinador de Archivos YLG/LGCG</w:t>
      </w:r>
    </w:p>
    <w:p w:rsidR="004322D0" w:rsidRPr="004322D0" w:rsidRDefault="004322D0" w:rsidP="00F22FBB">
      <w:pPr>
        <w:pStyle w:val="Prrafodelista"/>
        <w:spacing w:line="360" w:lineRule="auto"/>
        <w:jc w:val="both"/>
        <w:rPr>
          <w:rFonts w:ascii="Palatino Linotype" w:hAnsi="Palatino Linotype" w:cs="Arial"/>
          <w:i/>
        </w:rPr>
      </w:pPr>
    </w:p>
    <w:p w:rsidR="004322D0" w:rsidRPr="004322D0" w:rsidRDefault="004322D0" w:rsidP="00F22FBB">
      <w:pPr>
        <w:pStyle w:val="Prrafodelista"/>
        <w:spacing w:line="360" w:lineRule="auto"/>
        <w:rPr>
          <w:rFonts w:ascii="Palatino Linotype" w:hAnsi="Palatino Linotype" w:cs="Arial"/>
          <w:i/>
        </w:rPr>
      </w:pPr>
      <w:r w:rsidRPr="004322D0">
        <w:rPr>
          <w:rFonts w:ascii="Palatino Linotype" w:hAnsi="Palatino Linotype" w:cs="Arial"/>
          <w:i/>
        </w:rPr>
        <w:t>YAMILIT LEYVA GUTIÉRREZ</w:t>
      </w:r>
    </w:p>
    <w:p w:rsidR="004322D0" w:rsidRPr="004322D0" w:rsidRDefault="004322D0" w:rsidP="00F22FBB">
      <w:pPr>
        <w:pStyle w:val="Prrafodelista"/>
        <w:spacing w:line="360" w:lineRule="auto"/>
        <w:rPr>
          <w:rFonts w:ascii="Palatino Linotype" w:hAnsi="Palatino Linotype" w:cs="Arial"/>
          <w:i/>
        </w:rPr>
      </w:pPr>
      <w:r w:rsidRPr="004322D0">
        <w:rPr>
          <w:rFonts w:ascii="Palatino Linotype" w:hAnsi="Palatino Linotype" w:cs="Arial"/>
          <w:i/>
        </w:rPr>
        <w:t>Responsable de la Unidad de Información</w:t>
      </w:r>
      <w:r>
        <w:rPr>
          <w:rFonts w:ascii="Palatino Linotype" w:hAnsi="Palatino Linotype" w:cs="Arial"/>
          <w:i/>
        </w:rPr>
        <w:t>” (Sic)</w:t>
      </w:r>
    </w:p>
    <w:p w:rsidR="004322D0" w:rsidRPr="004322D0" w:rsidRDefault="004322D0" w:rsidP="004322D0">
      <w:pPr>
        <w:pStyle w:val="Prrafodelista"/>
        <w:tabs>
          <w:tab w:val="left" w:pos="142"/>
          <w:tab w:val="left" w:pos="284"/>
        </w:tabs>
        <w:spacing w:before="240" w:after="240" w:line="360" w:lineRule="auto"/>
        <w:ind w:left="0"/>
        <w:jc w:val="both"/>
        <w:rPr>
          <w:rFonts w:ascii="Palatino Linotype" w:hAnsi="Palatino Linotype" w:cs="Arial"/>
          <w:i/>
        </w:rPr>
      </w:pPr>
    </w:p>
    <w:p w:rsidR="004322D0" w:rsidRPr="004322D0" w:rsidRDefault="004322D0" w:rsidP="004322D0">
      <w:pPr>
        <w:pStyle w:val="Prrafodelista"/>
        <w:rPr>
          <w:rFonts w:ascii="Palatino Linotype" w:hAnsi="Palatino Linotype" w:cs="Arial"/>
        </w:rPr>
      </w:pPr>
    </w:p>
    <w:p w:rsidR="00D369A5" w:rsidRPr="00F5714C" w:rsidRDefault="004322D0" w:rsidP="00E53D8F">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Pr>
          <w:rFonts w:ascii="Palatino Linotype" w:hAnsi="Palatino Linotype" w:cs="Arial"/>
        </w:rPr>
        <w:t>Consecuentemente el seis (06</w:t>
      </w:r>
      <w:r w:rsidR="00F5714C">
        <w:rPr>
          <w:rFonts w:ascii="Palatino Linotype" w:hAnsi="Palatino Linotype" w:cs="Arial"/>
        </w:rPr>
        <w:t>) de</w:t>
      </w:r>
      <w:r>
        <w:rPr>
          <w:rFonts w:ascii="Palatino Linotype" w:hAnsi="Palatino Linotype" w:cs="Arial"/>
        </w:rPr>
        <w:t xml:space="preserve"> octubre </w:t>
      </w:r>
      <w:r w:rsidR="00F5714C">
        <w:rPr>
          <w:rFonts w:ascii="Palatino Linotype" w:hAnsi="Palatino Linotype" w:cs="Arial"/>
        </w:rPr>
        <w:t xml:space="preserve">de dos mil veinte el </w:t>
      </w:r>
      <w:r w:rsidR="0060674E" w:rsidRPr="00F60D68">
        <w:rPr>
          <w:rFonts w:ascii="Palatino Linotype" w:hAnsi="Palatino Linotype" w:cs="Arial"/>
          <w:b/>
        </w:rPr>
        <w:t xml:space="preserve">SUJETO OBLIGADO </w:t>
      </w:r>
      <w:r w:rsidR="0060674E" w:rsidRPr="00F60D68">
        <w:rPr>
          <w:rFonts w:ascii="Palatino Linotype" w:hAnsi="Palatino Linotype" w:cs="Arial"/>
        </w:rPr>
        <w:t>dio</w:t>
      </w:r>
      <w:r w:rsidR="00F5714C">
        <w:rPr>
          <w:rFonts w:ascii="Palatino Linotype" w:hAnsi="Palatino Linotype" w:cs="Arial"/>
        </w:rPr>
        <w:t xml:space="preserve"> respuesta a la solicitud de Acceso a Datos, e los siguientes términos:</w:t>
      </w:r>
    </w:p>
    <w:p w:rsidR="00F5714C" w:rsidRPr="00F5714C" w:rsidRDefault="00F5714C" w:rsidP="00F5714C">
      <w:pPr>
        <w:pStyle w:val="Prrafodelista"/>
        <w:rPr>
          <w:rFonts w:ascii="Palatino Linotype" w:hAnsi="Palatino Linotype" w:cs="Arial"/>
          <w:i/>
        </w:rPr>
      </w:pPr>
    </w:p>
    <w:p w:rsidR="00F5714C" w:rsidRPr="00F5714C" w:rsidRDefault="00F5714C" w:rsidP="00F5714C">
      <w:pPr>
        <w:pStyle w:val="Prrafodelista"/>
        <w:tabs>
          <w:tab w:val="left" w:pos="142"/>
          <w:tab w:val="left" w:pos="284"/>
        </w:tabs>
        <w:spacing w:before="240" w:after="240" w:line="360" w:lineRule="auto"/>
        <w:jc w:val="both"/>
        <w:rPr>
          <w:rFonts w:ascii="Palatino Linotype" w:hAnsi="Palatino Linotype" w:cs="Arial"/>
          <w:i/>
        </w:rPr>
      </w:pPr>
    </w:p>
    <w:p w:rsidR="004322D0" w:rsidRPr="004322D0" w:rsidRDefault="00F5714C" w:rsidP="004322D0">
      <w:pPr>
        <w:pStyle w:val="Prrafodelista"/>
        <w:tabs>
          <w:tab w:val="left" w:pos="142"/>
          <w:tab w:val="left" w:pos="284"/>
        </w:tabs>
        <w:spacing w:before="240" w:after="240" w:line="360" w:lineRule="auto"/>
        <w:jc w:val="right"/>
        <w:rPr>
          <w:rFonts w:ascii="Palatino Linotype" w:hAnsi="Palatino Linotype" w:cs="Arial"/>
          <w:i/>
        </w:rPr>
      </w:pPr>
      <w:r>
        <w:rPr>
          <w:rFonts w:ascii="Palatino Linotype" w:hAnsi="Palatino Linotype" w:cs="Arial"/>
          <w:i/>
        </w:rPr>
        <w:t>“</w:t>
      </w:r>
      <w:r w:rsidR="004322D0" w:rsidRPr="004322D0">
        <w:rPr>
          <w:rFonts w:ascii="Palatino Linotype" w:hAnsi="Palatino Linotype" w:cs="Arial"/>
          <w:i/>
        </w:rPr>
        <w:t>Metepec, México a 06 de Octubre de 2020</w:t>
      </w:r>
    </w:p>
    <w:p w:rsidR="004322D0" w:rsidRPr="004322D0" w:rsidRDefault="004322D0" w:rsidP="004322D0">
      <w:pPr>
        <w:pStyle w:val="Prrafodelista"/>
        <w:tabs>
          <w:tab w:val="left" w:pos="142"/>
          <w:tab w:val="left" w:pos="284"/>
        </w:tabs>
        <w:spacing w:before="240" w:after="240" w:line="360" w:lineRule="auto"/>
        <w:jc w:val="right"/>
        <w:rPr>
          <w:rFonts w:ascii="Palatino Linotype" w:hAnsi="Palatino Linotype" w:cs="Arial"/>
          <w:i/>
        </w:rPr>
      </w:pPr>
      <w:r w:rsidRPr="004322D0">
        <w:rPr>
          <w:rFonts w:ascii="Palatino Linotype" w:hAnsi="Palatino Linotype" w:cs="Arial"/>
          <w:i/>
        </w:rPr>
        <w:t xml:space="preserve">Nombre del solicitante: </w:t>
      </w:r>
      <w:r w:rsidR="003734FA" w:rsidRPr="003734FA">
        <w:rPr>
          <w:rFonts w:ascii="Palatino Linotype" w:hAnsi="Palatino Linotype" w:cs="Arial"/>
          <w:i/>
          <w:highlight w:val="black"/>
        </w:rPr>
        <w:t>------------------------------------------------</w:t>
      </w:r>
    </w:p>
    <w:p w:rsidR="004322D0" w:rsidRPr="004322D0" w:rsidRDefault="004322D0" w:rsidP="004322D0">
      <w:pPr>
        <w:pStyle w:val="Prrafodelista"/>
        <w:tabs>
          <w:tab w:val="left" w:pos="142"/>
          <w:tab w:val="left" w:pos="284"/>
        </w:tabs>
        <w:spacing w:before="240" w:after="240" w:line="360" w:lineRule="auto"/>
        <w:jc w:val="right"/>
        <w:rPr>
          <w:rFonts w:ascii="Palatino Linotype" w:hAnsi="Palatino Linotype" w:cs="Arial"/>
          <w:i/>
        </w:rPr>
      </w:pPr>
      <w:r w:rsidRPr="004322D0">
        <w:rPr>
          <w:rFonts w:ascii="Palatino Linotype" w:hAnsi="Palatino Linotype" w:cs="Arial"/>
          <w:i/>
        </w:rPr>
        <w:t>Folio de la solicitud: 00006/FGJ/AD/2020</w:t>
      </w:r>
    </w:p>
    <w:p w:rsidR="004322D0" w:rsidRPr="004322D0" w:rsidRDefault="004322D0" w:rsidP="004322D0">
      <w:pPr>
        <w:pStyle w:val="Prrafodelista"/>
        <w:tabs>
          <w:tab w:val="left" w:pos="142"/>
          <w:tab w:val="left" w:pos="284"/>
        </w:tabs>
        <w:spacing w:before="240" w:after="240" w:line="360" w:lineRule="auto"/>
        <w:jc w:val="both"/>
        <w:rPr>
          <w:rFonts w:ascii="Palatino Linotype" w:hAnsi="Palatino Linotype" w:cs="Arial"/>
          <w:i/>
        </w:rPr>
      </w:pPr>
      <w:r w:rsidRPr="004322D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322D0" w:rsidRDefault="004322D0" w:rsidP="004322D0">
      <w:pPr>
        <w:pStyle w:val="Prrafodelista"/>
        <w:tabs>
          <w:tab w:val="left" w:pos="142"/>
          <w:tab w:val="left" w:pos="284"/>
        </w:tabs>
        <w:spacing w:before="240" w:after="240" w:line="360" w:lineRule="auto"/>
        <w:jc w:val="both"/>
        <w:rPr>
          <w:rFonts w:ascii="Palatino Linotype" w:hAnsi="Palatino Linotype" w:cs="Arial"/>
          <w:i/>
        </w:rPr>
      </w:pPr>
      <w:r w:rsidRPr="004322D0">
        <w:rPr>
          <w:rFonts w:ascii="Palatino Linotype" w:hAnsi="Palatino Linotype" w:cs="Arial"/>
          <w:i/>
        </w:rPr>
        <w:lastRenderedPageBreak/>
        <w:t xml:space="preserve">Toluca de Lerdo, Estado de México; a 25 de septiembre de 2020 Número de oficio: 1195/MAIP/FGJ/2020 </w:t>
      </w:r>
      <w:r w:rsidR="003734FA" w:rsidRPr="003734FA">
        <w:rPr>
          <w:rFonts w:ascii="Palatino Linotype" w:hAnsi="Palatino Linotype" w:cs="Arial"/>
          <w:i/>
          <w:highlight w:val="black"/>
        </w:rPr>
        <w:t>-------------------------------------------</w:t>
      </w:r>
      <w:r w:rsidRPr="004322D0">
        <w:rPr>
          <w:rFonts w:ascii="Palatino Linotype" w:hAnsi="Palatino Linotype" w:cs="Arial"/>
          <w:i/>
        </w:rPr>
        <w:t xml:space="preserve"> Hago referencia al contenido de su Solicitud de Acceso a Datos Personales, presentada en fecha 24 de agosto del 2020, ante la Unidad de Transparencia de esta Fiscalía General de Justicia del Estado de México, registrada en el Sistema de Acceso, Rectificación Cancelación y Oposición de Datos Personales del Estado de México (SARCOEM), con el folio 00006/FGJ/AD/2020; la cual se tiene por recibida conforme a lo dispuesto en el artículo 97 de la Ley de Protección de Datos Personales en Posesión de Sujetos Obligados del Estado de México, en la que requiere lo siguiente: “Solicito información del servidor público: </w:t>
      </w:r>
      <w:r w:rsidR="00921A27" w:rsidRPr="00921A27">
        <w:rPr>
          <w:rFonts w:ascii="Palatino Linotype" w:hAnsi="Palatino Linotype" w:cs="Arial"/>
          <w:i/>
          <w:highlight w:val="black"/>
        </w:rPr>
        <w:t>--------------------------</w:t>
      </w:r>
      <w:r w:rsidRPr="004322D0">
        <w:rPr>
          <w:rFonts w:ascii="Palatino Linotype" w:hAnsi="Palatino Linotype" w:cs="Arial"/>
          <w:i/>
        </w:rPr>
        <w:t xml:space="preserve"> C. Servidor </w:t>
      </w:r>
      <w:r w:rsidR="003734FA" w:rsidRPr="003734FA">
        <w:rPr>
          <w:rFonts w:ascii="Palatino Linotype" w:hAnsi="Palatino Linotype" w:cs="Arial"/>
          <w:i/>
          <w:highlight w:val="black"/>
        </w:rPr>
        <w:t>------------------</w:t>
      </w:r>
      <w:r w:rsidRPr="004322D0">
        <w:rPr>
          <w:rFonts w:ascii="Palatino Linotype" w:hAnsi="Palatino Linotype" w:cs="Arial"/>
          <w:i/>
        </w:rPr>
        <w:t xml:space="preserve">, Puesto: Agente investigador, Dependencia: fiscalía general de Justicia del Estado de México, Unidad: Oficina del C. Fiscal especial. copia certificada de la tarjeta o pase de lista de asistencia del 15 de marzo al 15 de mayo de 2020. Reporte de asistencia a operativos y/o guardias del 15 de marzo al 15 de mayo 2020.”(sic) Al respecto, este Órgano Público Autónomo, con fundamento en los artículos 1, 4, 98 y 143 fracción I, de la Ley de Transparencia y Acceso a la Información Pública del Estado de México y Municipios y artículo 4 fracción VII de la Ley de Protección de Datos Personales en Posesión de Sujetos Obligados del Estado de México y Municipios, hace de su conocimiento que de acuerdo a lo informado por el Coordinador General de la Policía de Investigación, Servidor Público Habilitado, no es posible proporcionar la información solicitada, toda vez que su divulgación vulnera la vida e integridad de los Agentes de Investigación, por lo cual no es posible contestar de manera favorable su solicitud. Sin otro particular, le reitero la seguridad de mi distinguida </w:t>
      </w:r>
      <w:r w:rsidRPr="004322D0">
        <w:rPr>
          <w:rFonts w:ascii="Palatino Linotype" w:hAnsi="Palatino Linotype" w:cs="Arial"/>
          <w:i/>
        </w:rPr>
        <w:lastRenderedPageBreak/>
        <w:t>consideración. A T E N T A M E N T E YAMILIT LEYVA GUTIÉRREZ TITULAR DE LA UNIDAD DE TRANSPARENCIA YLG/YMG</w:t>
      </w:r>
    </w:p>
    <w:p w:rsidR="004322D0" w:rsidRPr="004322D0" w:rsidRDefault="004322D0" w:rsidP="004322D0">
      <w:pPr>
        <w:pStyle w:val="Prrafodelista"/>
        <w:tabs>
          <w:tab w:val="left" w:pos="142"/>
          <w:tab w:val="left" w:pos="284"/>
        </w:tabs>
        <w:spacing w:before="240" w:after="240" w:line="360" w:lineRule="auto"/>
        <w:jc w:val="right"/>
        <w:rPr>
          <w:rFonts w:ascii="Palatino Linotype" w:hAnsi="Palatino Linotype" w:cs="Arial"/>
          <w:i/>
        </w:rPr>
      </w:pPr>
    </w:p>
    <w:p w:rsidR="004322D0" w:rsidRPr="004322D0" w:rsidRDefault="004322D0" w:rsidP="004322D0">
      <w:pPr>
        <w:pStyle w:val="Prrafodelista"/>
        <w:tabs>
          <w:tab w:val="left" w:pos="142"/>
          <w:tab w:val="left" w:pos="284"/>
        </w:tabs>
        <w:spacing w:before="240" w:after="240" w:line="360" w:lineRule="auto"/>
        <w:rPr>
          <w:rFonts w:ascii="Palatino Linotype" w:hAnsi="Palatino Linotype" w:cs="Arial"/>
          <w:i/>
        </w:rPr>
      </w:pPr>
      <w:r w:rsidRPr="004322D0">
        <w:rPr>
          <w:rFonts w:ascii="Palatino Linotype" w:hAnsi="Palatino Linotype" w:cs="Arial"/>
          <w:i/>
        </w:rPr>
        <w:t>ATENTAMENTE</w:t>
      </w:r>
    </w:p>
    <w:p w:rsidR="00F5714C" w:rsidRPr="004322D0" w:rsidRDefault="004322D0" w:rsidP="004322D0">
      <w:pPr>
        <w:pStyle w:val="Prrafodelista"/>
        <w:tabs>
          <w:tab w:val="left" w:pos="142"/>
          <w:tab w:val="left" w:pos="284"/>
        </w:tabs>
        <w:spacing w:before="240" w:after="240" w:line="360" w:lineRule="auto"/>
        <w:rPr>
          <w:rFonts w:ascii="Palatino Linotype" w:hAnsi="Palatino Linotype" w:cs="Arial"/>
          <w:i/>
        </w:rPr>
      </w:pPr>
      <w:r w:rsidRPr="004322D0">
        <w:rPr>
          <w:rFonts w:ascii="Palatino Linotype" w:hAnsi="Palatino Linotype" w:cs="Arial"/>
          <w:i/>
        </w:rPr>
        <w:t>YAMILIT LEYVA GUTIÉRREZ</w:t>
      </w:r>
      <w:r w:rsidR="00F5714C" w:rsidRPr="004322D0">
        <w:rPr>
          <w:rFonts w:ascii="Palatino Linotype" w:hAnsi="Palatino Linotype" w:cs="Arial"/>
          <w:i/>
        </w:rPr>
        <w:t>” (Sic)</w:t>
      </w:r>
    </w:p>
    <w:p w:rsidR="00D369A5" w:rsidRPr="00D369A5" w:rsidRDefault="00D369A5" w:rsidP="00763406">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5D791C" w:rsidRDefault="000328BD"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bookmarkStart w:id="1" w:name="_Toc462307683"/>
      <w:bookmarkStart w:id="2" w:name="_Toc472427085"/>
      <w:bookmarkStart w:id="3" w:name="_Toc472500652"/>
      <w:r>
        <w:rPr>
          <w:rFonts w:ascii="Palatino Linotype" w:eastAsia="Calibri" w:hAnsi="Palatino Linotype" w:cs="Arial"/>
          <w:lang w:val="es-AR"/>
        </w:rPr>
        <w:t xml:space="preserve">Derivado de la </w:t>
      </w:r>
      <w:r w:rsidR="00F60D68">
        <w:rPr>
          <w:rFonts w:ascii="Palatino Linotype" w:eastAsia="Calibri" w:hAnsi="Palatino Linotype" w:cs="Arial"/>
          <w:lang w:val="es-AR"/>
        </w:rPr>
        <w:t>respuesta</w:t>
      </w:r>
      <w:r>
        <w:rPr>
          <w:rFonts w:ascii="Palatino Linotype" w:eastAsia="Calibri" w:hAnsi="Palatino Linotype" w:cs="Arial"/>
          <w:lang w:val="es-AR"/>
        </w:rPr>
        <w:t xml:space="preserve"> otorgada  por </w:t>
      </w:r>
      <w:r w:rsidR="00F60D68">
        <w:rPr>
          <w:rFonts w:ascii="Palatino Linotype" w:eastAsia="Calibri" w:hAnsi="Palatino Linotype" w:cs="Arial"/>
          <w:lang w:val="es-AR"/>
        </w:rPr>
        <w:t xml:space="preserve">el </w:t>
      </w:r>
      <w:r w:rsidR="00F60D68">
        <w:rPr>
          <w:rFonts w:ascii="Palatino Linotype" w:eastAsia="Calibri" w:hAnsi="Palatino Linotype" w:cs="Arial"/>
          <w:b/>
          <w:lang w:val="es-AR"/>
        </w:rPr>
        <w:t>SUJETO OBLIGADO</w:t>
      </w:r>
      <w:r w:rsidR="00F60D68">
        <w:rPr>
          <w:rFonts w:ascii="Palatino Linotype" w:eastAsia="Calibri" w:hAnsi="Palatino Linotype" w:cs="Arial"/>
          <w:lang w:val="es-AR"/>
        </w:rPr>
        <w:t>, el</w:t>
      </w:r>
      <w:r w:rsidR="004322D0">
        <w:rPr>
          <w:rFonts w:ascii="Palatino Linotype" w:eastAsia="Calibri" w:hAnsi="Palatino Linotype" w:cs="Arial"/>
          <w:lang w:val="es-AR"/>
        </w:rPr>
        <w:t xml:space="preserve"> seis (06</w:t>
      </w:r>
      <w:r>
        <w:rPr>
          <w:rFonts w:ascii="Palatino Linotype" w:eastAsia="Calibri" w:hAnsi="Palatino Linotype" w:cs="Arial"/>
          <w:lang w:val="es-AR"/>
        </w:rPr>
        <w:t>)</w:t>
      </w:r>
      <w:r w:rsidR="00F60D68" w:rsidRPr="0046059A">
        <w:rPr>
          <w:rFonts w:ascii="Palatino Linotype" w:eastAsia="Times New Roman" w:hAnsi="Palatino Linotype" w:cs="Arial"/>
          <w:lang w:val="es-ES"/>
        </w:rPr>
        <w:t xml:space="preserve"> </w:t>
      </w:r>
      <w:r>
        <w:rPr>
          <w:rFonts w:ascii="Palatino Linotype" w:eastAsia="Times New Roman" w:hAnsi="Palatino Linotype" w:cs="Arial"/>
          <w:lang w:val="es-ES"/>
        </w:rPr>
        <w:t xml:space="preserve"> </w:t>
      </w:r>
      <w:r w:rsidR="00F60D68" w:rsidRPr="0046059A">
        <w:rPr>
          <w:rFonts w:ascii="Palatino Linotype" w:eastAsia="Times New Roman" w:hAnsi="Palatino Linotype" w:cs="Arial"/>
          <w:lang w:val="es-ES"/>
        </w:rPr>
        <w:t xml:space="preserve">de </w:t>
      </w:r>
      <w:r w:rsidR="004322D0">
        <w:rPr>
          <w:rFonts w:ascii="Palatino Linotype" w:eastAsia="Times New Roman" w:hAnsi="Palatino Linotype" w:cs="Arial"/>
          <w:lang w:val="es-ES"/>
        </w:rPr>
        <w:t xml:space="preserve">octubre </w:t>
      </w:r>
      <w:r w:rsidR="00F60D68" w:rsidRPr="0046059A">
        <w:rPr>
          <w:rFonts w:ascii="Palatino Linotype" w:eastAsia="Times New Roman" w:hAnsi="Palatino Linotype" w:cs="Arial"/>
          <w:lang w:val="es-ES"/>
        </w:rPr>
        <w:t xml:space="preserve">dos </w:t>
      </w:r>
      <w:r w:rsidR="004322D0">
        <w:rPr>
          <w:rFonts w:ascii="Palatino Linotype" w:eastAsia="Times New Roman" w:hAnsi="Palatino Linotype" w:cs="Arial"/>
          <w:lang w:val="es-ES"/>
        </w:rPr>
        <w:t>mil veinte,</w:t>
      </w:r>
      <w:r w:rsidR="00F60D68" w:rsidRPr="0046059A">
        <w:rPr>
          <w:rFonts w:ascii="Palatino Linotype" w:eastAsia="Times New Roman" w:hAnsi="Palatino Linotype" w:cs="Arial"/>
          <w:lang w:val="es-ES"/>
        </w:rPr>
        <w:t xml:space="preserve"> </w:t>
      </w:r>
      <w:r>
        <w:rPr>
          <w:rFonts w:ascii="Palatino Linotype" w:hAnsi="Palatino Linotype"/>
          <w:szCs w:val="22"/>
        </w:rPr>
        <w:t xml:space="preserve">el </w:t>
      </w:r>
      <w:r w:rsidR="00F60D68">
        <w:rPr>
          <w:rFonts w:ascii="Palatino Linotype" w:hAnsi="Palatino Linotype"/>
          <w:szCs w:val="22"/>
        </w:rPr>
        <w:t xml:space="preserve">ahora </w:t>
      </w:r>
      <w:r w:rsidR="00F60D68">
        <w:rPr>
          <w:rFonts w:ascii="Palatino Linotype" w:hAnsi="Palatino Linotype"/>
          <w:b/>
          <w:szCs w:val="22"/>
        </w:rPr>
        <w:t>RECURRENTE,</w:t>
      </w:r>
      <w:r w:rsidR="00F60D68" w:rsidRPr="0046059A">
        <w:rPr>
          <w:rFonts w:ascii="Palatino Linotype" w:eastAsia="Times New Roman" w:hAnsi="Palatino Linotype" w:cs="Arial"/>
          <w:lang w:val="es-ES"/>
        </w:rPr>
        <w:t xml:space="preserve"> interpuso el recurso de revisión, </w:t>
      </w:r>
      <w:r w:rsidR="00F60D68">
        <w:rPr>
          <w:rFonts w:ascii="Palatino Linotype" w:eastAsia="Times New Roman" w:hAnsi="Palatino Linotype" w:cs="Arial"/>
          <w:lang w:val="es-ES"/>
        </w:rPr>
        <w:t>señalando como:</w:t>
      </w:r>
    </w:p>
    <w:p w:rsidR="005D791C" w:rsidRPr="005D791C" w:rsidRDefault="005D791C" w:rsidP="005D791C">
      <w:pPr>
        <w:pStyle w:val="Prrafodelista"/>
        <w:tabs>
          <w:tab w:val="left" w:pos="142"/>
          <w:tab w:val="left" w:pos="284"/>
        </w:tabs>
        <w:spacing w:before="240" w:after="240" w:line="360" w:lineRule="auto"/>
        <w:ind w:left="0"/>
        <w:jc w:val="both"/>
        <w:rPr>
          <w:rFonts w:ascii="Palatino Linotype" w:hAnsi="Palatino Linotype" w:cs="Arial"/>
          <w:sz w:val="22"/>
          <w:szCs w:val="22"/>
        </w:rPr>
      </w:pPr>
    </w:p>
    <w:bookmarkEnd w:id="1"/>
    <w:bookmarkEnd w:id="2"/>
    <w:bookmarkEnd w:id="3"/>
    <w:p w:rsidR="006E5EF0" w:rsidRPr="005D791C"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5D791C">
        <w:rPr>
          <w:rFonts w:ascii="Palatino Linotype" w:hAnsi="Palatino Linotype" w:cs="Arial"/>
          <w:b/>
          <w:szCs w:val="22"/>
        </w:rPr>
        <w:t>Acto impugnado:</w:t>
      </w:r>
      <w:r w:rsidRPr="005D791C">
        <w:rPr>
          <w:rFonts w:ascii="Palatino Linotype" w:hAnsi="Palatino Linotype" w:cs="Arial"/>
          <w:szCs w:val="22"/>
        </w:rPr>
        <w:t xml:space="preserve"> “</w:t>
      </w:r>
      <w:r w:rsidR="004322D0" w:rsidRPr="004322D0">
        <w:rPr>
          <w:rFonts w:ascii="Palatino Linotype" w:hAnsi="Palatino Linotype" w:cs="Arial"/>
          <w:i/>
          <w:szCs w:val="22"/>
        </w:rPr>
        <w:t>Negación de entrega de información</w:t>
      </w:r>
      <w:r w:rsidR="000328BD" w:rsidRPr="004322D0">
        <w:rPr>
          <w:rFonts w:ascii="Palatino Linotype" w:hAnsi="Palatino Linotype" w:cs="Arial"/>
          <w:i/>
          <w:szCs w:val="22"/>
        </w:rPr>
        <w:t>.</w:t>
      </w:r>
      <w:r w:rsidRPr="004322D0">
        <w:rPr>
          <w:rFonts w:ascii="Palatino Linotype" w:hAnsi="Palatino Linotype" w:cs="Arial"/>
          <w:i/>
          <w:szCs w:val="22"/>
        </w:rPr>
        <w:t>”</w:t>
      </w:r>
      <w:r w:rsidR="005D791C" w:rsidRPr="005D791C">
        <w:rPr>
          <w:rFonts w:ascii="Palatino Linotype" w:hAnsi="Palatino Linotype" w:cs="Arial"/>
          <w:szCs w:val="22"/>
        </w:rPr>
        <w:t xml:space="preserve"> </w:t>
      </w:r>
      <w:r w:rsidRPr="005D791C">
        <w:rPr>
          <w:rFonts w:ascii="Palatino Linotype" w:hAnsi="Palatino Linotype" w:cs="Arial"/>
          <w:szCs w:val="22"/>
        </w:rPr>
        <w:t>(Sic).</w:t>
      </w:r>
    </w:p>
    <w:p w:rsidR="006E5EF0" w:rsidRPr="005D791C" w:rsidRDefault="006E5EF0" w:rsidP="005D791C">
      <w:pPr>
        <w:pStyle w:val="Prrafodelista"/>
        <w:tabs>
          <w:tab w:val="left" w:pos="142"/>
          <w:tab w:val="left" w:pos="284"/>
        </w:tabs>
        <w:spacing w:line="360" w:lineRule="auto"/>
        <w:ind w:left="567" w:right="567"/>
        <w:jc w:val="both"/>
        <w:rPr>
          <w:rFonts w:ascii="Palatino Linotype" w:hAnsi="Palatino Linotype" w:cs="Arial"/>
          <w:b/>
          <w:szCs w:val="22"/>
        </w:rPr>
      </w:pPr>
    </w:p>
    <w:p w:rsidR="006E5EF0" w:rsidRPr="005D791C"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5D791C">
        <w:rPr>
          <w:rFonts w:ascii="Palatino Linotype" w:hAnsi="Palatino Linotype" w:cs="Arial"/>
          <w:b/>
          <w:szCs w:val="22"/>
        </w:rPr>
        <w:t>Razones o motivos de inconformidad:</w:t>
      </w:r>
      <w:r w:rsidRPr="005D791C">
        <w:rPr>
          <w:rFonts w:ascii="Palatino Linotype" w:hAnsi="Palatino Linotype" w:cs="Arial"/>
          <w:szCs w:val="22"/>
        </w:rPr>
        <w:t xml:space="preserve"> </w:t>
      </w:r>
      <w:r w:rsidRPr="005D791C">
        <w:rPr>
          <w:rFonts w:ascii="Palatino Linotype" w:hAnsi="Palatino Linotype" w:cs="Arial"/>
          <w:i/>
          <w:szCs w:val="22"/>
        </w:rPr>
        <w:t>“</w:t>
      </w:r>
      <w:r w:rsidR="004322D0" w:rsidRPr="004322D0">
        <w:rPr>
          <w:rFonts w:ascii="Palatino Linotype" w:hAnsi="Palatino Linotype" w:cs="Arial"/>
          <w:i/>
          <w:szCs w:val="22"/>
        </w:rPr>
        <w:t>La información solicitada es de un servidor público fallecido, y son documentos que solicito en calidad de concubina para trámites post mortem</w:t>
      </w:r>
      <w:r w:rsidR="000328BD" w:rsidRPr="000328BD">
        <w:rPr>
          <w:rFonts w:ascii="Palatino Linotype" w:hAnsi="Palatino Linotype" w:cs="Arial"/>
          <w:i/>
          <w:szCs w:val="22"/>
        </w:rPr>
        <w:t>.</w:t>
      </w:r>
      <w:r w:rsidRPr="005D791C">
        <w:rPr>
          <w:rFonts w:ascii="Palatino Linotype" w:hAnsi="Palatino Linotype" w:cs="Arial"/>
          <w:i/>
          <w:szCs w:val="22"/>
        </w:rPr>
        <w:t>”</w:t>
      </w:r>
      <w:r w:rsidR="00591A27">
        <w:rPr>
          <w:rFonts w:ascii="Palatino Linotype" w:hAnsi="Palatino Linotype" w:cs="Arial"/>
          <w:i/>
          <w:szCs w:val="22"/>
        </w:rPr>
        <w:t xml:space="preserve"> </w:t>
      </w:r>
      <w:r w:rsidRPr="005D791C">
        <w:rPr>
          <w:rFonts w:ascii="Palatino Linotype" w:hAnsi="Palatino Linotype" w:cs="Arial"/>
          <w:szCs w:val="22"/>
        </w:rPr>
        <w:t>(Sic).</w:t>
      </w:r>
    </w:p>
    <w:p w:rsidR="006E5EF0" w:rsidRPr="00D6368E" w:rsidRDefault="006E5EF0" w:rsidP="00763406">
      <w:pPr>
        <w:pStyle w:val="Prrafodelista"/>
        <w:tabs>
          <w:tab w:val="left" w:pos="142"/>
          <w:tab w:val="left" w:pos="284"/>
        </w:tabs>
        <w:spacing w:line="360" w:lineRule="auto"/>
        <w:ind w:left="0" w:right="567"/>
        <w:jc w:val="both"/>
        <w:rPr>
          <w:rFonts w:ascii="Palatino Linotype" w:hAnsi="Palatino Linotype" w:cs="Arial"/>
          <w:sz w:val="22"/>
          <w:szCs w:val="22"/>
        </w:rPr>
      </w:pPr>
    </w:p>
    <w:p w:rsidR="000328BD" w:rsidRDefault="000328BD" w:rsidP="000328B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0328BD">
        <w:rPr>
          <w:rFonts w:ascii="Palatino Linotype" w:hAnsi="Palatino Linotype"/>
          <w:color w:val="000000"/>
        </w:rPr>
        <w:t xml:space="preserve">Se hace constar que el particular no adjuntó documento </w:t>
      </w:r>
      <w:r>
        <w:rPr>
          <w:rFonts w:ascii="Palatino Linotype" w:hAnsi="Palatino Linotype"/>
          <w:color w:val="000000"/>
        </w:rPr>
        <w:t xml:space="preserve">al formato electrónico del recurso de revisión. </w:t>
      </w:r>
    </w:p>
    <w:p w:rsidR="00BB2529" w:rsidRPr="00BB2529" w:rsidRDefault="00BB2529" w:rsidP="00BB2529">
      <w:pPr>
        <w:pStyle w:val="Prrafodelista"/>
        <w:tabs>
          <w:tab w:val="left" w:pos="142"/>
          <w:tab w:val="left" w:pos="284"/>
        </w:tabs>
        <w:spacing w:before="240" w:after="240" w:line="360" w:lineRule="auto"/>
        <w:ind w:left="0"/>
        <w:jc w:val="both"/>
        <w:rPr>
          <w:rFonts w:ascii="Palatino Linotype" w:hAnsi="Palatino Linotype"/>
          <w:color w:val="000000"/>
        </w:rPr>
      </w:pPr>
    </w:p>
    <w:p w:rsidR="00A55BA0" w:rsidRPr="00863ACE" w:rsidRDefault="00F60D68"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Pr>
          <w:rFonts w:ascii="Palatino Linotype" w:eastAsia="Times New Roman" w:hAnsi="Palatino Linotype" w:cs="Arial"/>
          <w:lang w:val="es-ES"/>
        </w:rPr>
        <w:t>S</w:t>
      </w:r>
      <w:r w:rsidR="00A55BA0" w:rsidRPr="00863ACE">
        <w:rPr>
          <w:rFonts w:ascii="Palatino Linotype" w:eastAsia="Times New Roman" w:hAnsi="Palatino Linotype" w:cs="Arial"/>
          <w:lang w:val="es-ES"/>
        </w:rPr>
        <w:t xml:space="preserve">e registró el recurso de revisión bajo el número de expediente </w:t>
      </w:r>
      <w:r w:rsidR="00A55BA0" w:rsidRPr="00863ACE">
        <w:rPr>
          <w:rFonts w:ascii="Palatino Linotype" w:hAnsi="Palatino Linotype" w:cs="Arial"/>
          <w:bCs/>
        </w:rPr>
        <w:t xml:space="preserve">al rubro indicado, asimismo con fundamento en lo dispuesto por el </w:t>
      </w:r>
      <w:r w:rsidR="00A55BA0" w:rsidRPr="00863ACE">
        <w:rPr>
          <w:rFonts w:ascii="Palatino Linotype" w:eastAsia="Calibri" w:hAnsi="Palatino Linotype" w:cs="Arial"/>
          <w:lang w:val="es-ES"/>
        </w:rPr>
        <w:t xml:space="preserve">artículo 185 fracción I de la </w:t>
      </w:r>
      <w:r w:rsidR="00A55BA0" w:rsidRPr="00863ACE">
        <w:rPr>
          <w:rFonts w:ascii="Palatino Linotype" w:eastAsia="Calibri" w:hAnsi="Palatino Linotype" w:cs="Arial"/>
          <w:b/>
          <w:lang w:val="es-ES"/>
        </w:rPr>
        <w:t xml:space="preserve">Ley de Transparencia y Acceso a la Información Pública del Estado de México y Municipios </w:t>
      </w:r>
      <w:r w:rsidR="00A55BA0" w:rsidRPr="00863ACE">
        <w:rPr>
          <w:rFonts w:ascii="Palatino Linotype" w:eastAsia="Times New Roman" w:hAnsi="Palatino Linotype" w:cs="Arial"/>
          <w:lang w:val="es-ES"/>
        </w:rPr>
        <w:t xml:space="preserve">se turnó al </w:t>
      </w:r>
      <w:r w:rsidR="00A55BA0" w:rsidRPr="00863ACE">
        <w:rPr>
          <w:rFonts w:ascii="Palatino Linotype" w:eastAsia="Times New Roman" w:hAnsi="Palatino Linotype" w:cs="Arial"/>
          <w:b/>
          <w:lang w:val="es-ES"/>
        </w:rPr>
        <w:t xml:space="preserve">Comisionado José Guadalupe Luna Hernández, </w:t>
      </w:r>
      <w:r w:rsidR="00A55BA0" w:rsidRPr="00863ACE">
        <w:rPr>
          <w:rFonts w:ascii="Palatino Linotype" w:eastAsia="Times New Roman" w:hAnsi="Palatino Linotype" w:cs="Arial"/>
          <w:lang w:val="es-ES"/>
        </w:rPr>
        <w:t xml:space="preserve">con el objeto de </w:t>
      </w:r>
      <w:r w:rsidR="00A55BA0" w:rsidRPr="00863ACE">
        <w:rPr>
          <w:rFonts w:ascii="Palatino Linotype" w:eastAsia="Times New Roman" w:hAnsi="Palatino Linotype" w:cs="Arial"/>
          <w:lang w:val="es-MX"/>
        </w:rPr>
        <w:t>su análisis.</w:t>
      </w:r>
    </w:p>
    <w:p w:rsidR="00A55BA0" w:rsidRPr="00863ACE" w:rsidRDefault="00A55BA0" w:rsidP="00763406">
      <w:pPr>
        <w:pStyle w:val="Prrafodelista"/>
        <w:tabs>
          <w:tab w:val="left" w:pos="142"/>
          <w:tab w:val="left" w:pos="284"/>
        </w:tabs>
        <w:ind w:left="0"/>
        <w:rPr>
          <w:rFonts w:ascii="Palatino Linotype" w:hAnsi="Palatino Linotype"/>
          <w:i/>
          <w:color w:val="000000"/>
          <w:sz w:val="22"/>
          <w:szCs w:val="22"/>
        </w:rPr>
      </w:pPr>
    </w:p>
    <w:p w:rsidR="00006DFE" w:rsidRPr="00006DFE" w:rsidRDefault="00006DFE" w:rsidP="00006DFE">
      <w:pPr>
        <w:pStyle w:val="Prrafodelista"/>
        <w:numPr>
          <w:ilvl w:val="0"/>
          <w:numId w:val="2"/>
        </w:numPr>
        <w:tabs>
          <w:tab w:val="left" w:pos="142"/>
          <w:tab w:val="left" w:pos="426"/>
        </w:tabs>
        <w:spacing w:before="240" w:after="240" w:line="360" w:lineRule="auto"/>
        <w:ind w:left="0" w:firstLine="0"/>
        <w:jc w:val="both"/>
        <w:rPr>
          <w:rFonts w:ascii="Palatino Linotype" w:hAnsi="Palatino Linotype"/>
          <w:color w:val="000000"/>
          <w:sz w:val="22"/>
          <w:szCs w:val="22"/>
        </w:rPr>
      </w:pPr>
      <w:r>
        <w:rPr>
          <w:rFonts w:ascii="Palatino Linotype" w:eastAsia="Calibri" w:hAnsi="Palatino Linotype" w:cs="Arial"/>
          <w:lang w:val="es-ES"/>
        </w:rPr>
        <w:t xml:space="preserve">Mediante </w:t>
      </w:r>
      <w:r w:rsidRPr="00AE587B">
        <w:rPr>
          <w:rFonts w:ascii="Palatino Linotype" w:hAnsi="Palatino Linotype" w:cs="Arial"/>
        </w:rPr>
        <w:t xml:space="preserve">el acuerdo de </w:t>
      </w:r>
      <w:r w:rsidR="004322D0">
        <w:rPr>
          <w:rFonts w:ascii="Palatino Linotype" w:hAnsi="Palatino Linotype" w:cs="Arial"/>
        </w:rPr>
        <w:t xml:space="preserve">trece </w:t>
      </w:r>
      <w:r w:rsidRPr="00AE587B">
        <w:rPr>
          <w:rFonts w:ascii="Palatino Linotype" w:hAnsi="Palatino Linotype" w:cs="Arial"/>
        </w:rPr>
        <w:t>(</w:t>
      </w:r>
      <w:r w:rsidR="004322D0">
        <w:rPr>
          <w:rFonts w:ascii="Palatino Linotype" w:hAnsi="Palatino Linotype" w:cs="Arial"/>
        </w:rPr>
        <w:t>13</w:t>
      </w:r>
      <w:r w:rsidRPr="00AE587B">
        <w:rPr>
          <w:rFonts w:ascii="Palatino Linotype" w:hAnsi="Palatino Linotype" w:cs="Arial"/>
        </w:rPr>
        <w:t>) de</w:t>
      </w:r>
      <w:r w:rsidR="004322D0">
        <w:rPr>
          <w:rFonts w:ascii="Palatino Linotype" w:hAnsi="Palatino Linotype" w:cs="Arial"/>
        </w:rPr>
        <w:t xml:space="preserve"> octubre </w:t>
      </w:r>
      <w:r w:rsidRPr="00AE587B">
        <w:rPr>
          <w:rFonts w:ascii="Palatino Linotype" w:hAnsi="Palatino Linotype" w:cs="Arial"/>
        </w:rPr>
        <w:t>de dos mil</w:t>
      </w:r>
      <w:r w:rsidR="000328BD">
        <w:rPr>
          <w:rFonts w:ascii="Palatino Linotype" w:hAnsi="Palatino Linotype" w:cs="Arial"/>
        </w:rPr>
        <w:t xml:space="preserve"> veinte</w:t>
      </w:r>
      <w:r w:rsidRPr="00AE587B">
        <w:rPr>
          <w:rFonts w:ascii="Palatino Linotype" w:hAnsi="Palatino Linotype" w:cs="Arial"/>
        </w:rPr>
        <w:t>, se admitió el recurs</w:t>
      </w:r>
      <w:r>
        <w:rPr>
          <w:rFonts w:ascii="Palatino Linotype" w:hAnsi="Palatino Linotype" w:cs="Arial"/>
        </w:rPr>
        <w:t>o de revisión al rubro indicado y,</w:t>
      </w:r>
      <w:r w:rsidRPr="00AE587B">
        <w:rPr>
          <w:rFonts w:ascii="Palatino Linotype" w:hAnsi="Palatino Linotype" w:cs="Arial"/>
        </w:rPr>
        <w:t xml:space="preserve"> atento a lo dispuesto en los artículos 131 y 132 de la Ley de Protección de Datos Personales en Posesión de Sujetos Obligados del Estado de México y Municipios</w:t>
      </w:r>
      <w:r>
        <w:rPr>
          <w:rFonts w:ascii="Palatino Linotype" w:hAnsi="Palatino Linotype" w:cs="Arial"/>
        </w:rPr>
        <w:t>,</w:t>
      </w:r>
      <w:r w:rsidRPr="00AE587B">
        <w:rPr>
          <w:rFonts w:ascii="Palatino Linotype" w:hAnsi="Palatino Linotype" w:cs="Arial"/>
        </w:rPr>
        <w:t xml:space="preserve"> se </w:t>
      </w:r>
      <w:r>
        <w:rPr>
          <w:rFonts w:ascii="Palatino Linotype" w:hAnsi="Palatino Linotype" w:cs="Arial"/>
        </w:rPr>
        <w:t>exhortó a las partes</w:t>
      </w:r>
      <w:r w:rsidRPr="00AE587B">
        <w:rPr>
          <w:rFonts w:ascii="Palatino Linotype" w:hAnsi="Palatino Linotype" w:cs="Arial"/>
        </w:rPr>
        <w:t xml:space="preserve"> a realizar una conciliación, para tal efecto se les concedió un p</w:t>
      </w:r>
      <w:r>
        <w:rPr>
          <w:rFonts w:ascii="Palatino Linotype" w:hAnsi="Palatino Linotype" w:cs="Arial"/>
        </w:rPr>
        <w:t>lazo de siete (7) días hábiles para que manifestaran si era su deseo conciliar.</w:t>
      </w:r>
    </w:p>
    <w:p w:rsidR="00006DFE" w:rsidRPr="00006DFE" w:rsidRDefault="00006DFE" w:rsidP="00006DFE">
      <w:pPr>
        <w:pStyle w:val="Prrafodelista"/>
        <w:tabs>
          <w:tab w:val="left" w:pos="142"/>
          <w:tab w:val="left" w:pos="284"/>
        </w:tabs>
        <w:spacing w:before="240" w:after="240" w:line="360" w:lineRule="auto"/>
        <w:ind w:left="0"/>
        <w:jc w:val="both"/>
        <w:rPr>
          <w:rFonts w:ascii="Palatino Linotype" w:hAnsi="Palatino Linotype"/>
          <w:color w:val="000000"/>
          <w:sz w:val="22"/>
          <w:szCs w:val="22"/>
        </w:rPr>
      </w:pPr>
    </w:p>
    <w:p w:rsidR="00BB2529" w:rsidRPr="00BB2529" w:rsidRDefault="00006DFE" w:rsidP="00006DFE">
      <w:pPr>
        <w:pStyle w:val="Prrafodelista"/>
        <w:numPr>
          <w:ilvl w:val="0"/>
          <w:numId w:val="2"/>
        </w:numPr>
        <w:tabs>
          <w:tab w:val="left" w:pos="142"/>
          <w:tab w:val="left" w:pos="426"/>
        </w:tabs>
        <w:spacing w:before="240" w:after="240" w:line="360" w:lineRule="auto"/>
        <w:ind w:left="0" w:firstLine="0"/>
        <w:jc w:val="both"/>
        <w:rPr>
          <w:rFonts w:ascii="Palatino Linotype" w:hAnsi="Palatino Linotype"/>
          <w:color w:val="000000"/>
          <w:sz w:val="22"/>
          <w:szCs w:val="22"/>
        </w:rPr>
      </w:pPr>
      <w:r>
        <w:rPr>
          <w:rFonts w:ascii="Palatino Linotype" w:eastAsia="Calibri" w:hAnsi="Palatino Linotype" w:cs="Arial"/>
          <w:lang w:val="es-ES"/>
        </w:rPr>
        <w:t xml:space="preserve">De las constancias que obras en autos del expediente digital del </w:t>
      </w:r>
      <w:r w:rsidRPr="000328BD">
        <w:rPr>
          <w:rFonts w:ascii="Palatino Linotype" w:eastAsia="Calibri" w:hAnsi="Palatino Linotype" w:cs="Arial"/>
          <w:b/>
          <w:lang w:val="es-ES"/>
        </w:rPr>
        <w:t>SARCOEM</w:t>
      </w:r>
      <w:r>
        <w:rPr>
          <w:rFonts w:ascii="Palatino Linotype" w:eastAsia="Calibri" w:hAnsi="Palatino Linotype" w:cs="Arial"/>
          <w:lang w:val="es-ES"/>
        </w:rPr>
        <w:t>, se aprecia que</w:t>
      </w:r>
      <w:r w:rsidR="00BB2529">
        <w:rPr>
          <w:rFonts w:ascii="Palatino Linotype" w:eastAsia="Calibri" w:hAnsi="Palatino Linotype" w:cs="Arial"/>
          <w:lang w:val="es-ES"/>
        </w:rPr>
        <w:t xml:space="preserve"> el Titular de la Unidad de Trasparencia del </w:t>
      </w:r>
      <w:r w:rsidR="00BB2529">
        <w:rPr>
          <w:rFonts w:ascii="Palatino Linotype" w:eastAsia="Calibri" w:hAnsi="Palatino Linotype" w:cs="Arial"/>
          <w:b/>
          <w:lang w:val="es-ES"/>
        </w:rPr>
        <w:t xml:space="preserve">SUJETO OBLIGADO, </w:t>
      </w:r>
      <w:r w:rsidR="00BB2529">
        <w:rPr>
          <w:rFonts w:ascii="Palatino Linotype" w:eastAsia="Calibri" w:hAnsi="Palatino Linotype" w:cs="Arial"/>
          <w:lang w:val="es-ES"/>
        </w:rPr>
        <w:t xml:space="preserve">aceptó llevar a cabo la conciliación; sin embargo, de las constancias de autos que obran en el expediente, se aprecia que el </w:t>
      </w:r>
      <w:r w:rsidR="00BB2529">
        <w:rPr>
          <w:rFonts w:ascii="Palatino Linotype" w:eastAsia="Calibri" w:hAnsi="Palatino Linotype" w:cs="Arial"/>
          <w:b/>
          <w:lang w:val="es-ES"/>
        </w:rPr>
        <w:t xml:space="preserve">RECURRENTE </w:t>
      </w:r>
      <w:r w:rsidR="00BB2529">
        <w:rPr>
          <w:rFonts w:ascii="Palatino Linotype" w:eastAsia="Calibri" w:hAnsi="Palatino Linotype" w:cs="Arial"/>
          <w:lang w:val="es-ES"/>
        </w:rPr>
        <w:t xml:space="preserve">no atendió el exhorto de conciliación, como se aprecia a continuación:   </w:t>
      </w:r>
    </w:p>
    <w:p w:rsidR="000328BD" w:rsidRPr="00006DFE" w:rsidRDefault="004322D0" w:rsidP="000328BD">
      <w:pPr>
        <w:pStyle w:val="Prrafodelista"/>
        <w:tabs>
          <w:tab w:val="left" w:pos="142"/>
          <w:tab w:val="left" w:pos="426"/>
        </w:tabs>
        <w:spacing w:before="240" w:after="240" w:line="360" w:lineRule="auto"/>
        <w:ind w:left="0"/>
        <w:jc w:val="both"/>
        <w:rPr>
          <w:rFonts w:ascii="Palatino Linotype" w:hAnsi="Palatino Linotype"/>
          <w:color w:val="000000"/>
          <w:sz w:val="22"/>
          <w:szCs w:val="22"/>
        </w:rPr>
      </w:pPr>
      <w:r>
        <w:rPr>
          <w:noProof/>
          <w:lang w:val="es-MX" w:eastAsia="es-MX"/>
        </w:rPr>
        <w:lastRenderedPageBreak/>
        <mc:AlternateContent>
          <mc:Choice Requires="wps">
            <w:drawing>
              <wp:anchor distT="0" distB="0" distL="114300" distR="114300" simplePos="0" relativeHeight="251674624" behindDoc="0" locked="0" layoutInCell="1" allowOverlap="1" wp14:anchorId="720B7118" wp14:editId="3BFE8E3F">
                <wp:simplePos x="0" y="0"/>
                <wp:positionH relativeFrom="margin">
                  <wp:align>right</wp:align>
                </wp:positionH>
                <wp:positionV relativeFrom="paragraph">
                  <wp:posOffset>2747645</wp:posOffset>
                </wp:positionV>
                <wp:extent cx="5457825" cy="44767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5457825" cy="44767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25597" id="Rectángulo 10" o:spid="_x0000_s1026" style="position:absolute;margin-left:378.55pt;margin-top:216.35pt;width:429.75pt;height:35.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" filled="f" strokecolor="red" strokeweight="1.5pt">
                <w10:wrap anchorx="margin"/>
              </v:rect>
            </w:pict>
          </mc:Fallback>
        </mc:AlternateContent>
      </w:r>
      <w:r>
        <w:rPr>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300990</wp:posOffset>
                </wp:positionH>
                <wp:positionV relativeFrom="paragraph">
                  <wp:posOffset>1147445</wp:posOffset>
                </wp:positionV>
                <wp:extent cx="2247900" cy="25717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2247900" cy="2571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F6395" id="Rectángulo 8" o:spid="_x0000_s1026" style="position:absolute;margin-left:23.7pt;margin-top:90.35pt;width:177pt;height:2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" filled="f" strokecolor="red" strokeweight="1.5pt"/>
            </w:pict>
          </mc:Fallback>
        </mc:AlternateContent>
      </w:r>
      <w:r>
        <w:rPr>
          <w:noProof/>
          <w:lang w:val="es-MX" w:eastAsia="es-MX"/>
        </w:rPr>
        <w:drawing>
          <wp:inline distT="0" distB="0" distL="0" distR="0" wp14:anchorId="5F474002" wp14:editId="470CCA16">
            <wp:extent cx="5781675" cy="48653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307" t="19417" r="27466" b="12925"/>
                    <a:stretch/>
                  </pic:blipFill>
                  <pic:spPr bwMode="auto">
                    <a:xfrm>
                      <a:off x="0" y="0"/>
                      <a:ext cx="5791831" cy="4873880"/>
                    </a:xfrm>
                    <a:prstGeom prst="rect">
                      <a:avLst/>
                    </a:prstGeom>
                    <a:ln>
                      <a:noFill/>
                    </a:ln>
                    <a:extLst>
                      <a:ext uri="{53640926-AAD7-44D8-BBD7-CCE9431645EC}">
                        <a14:shadowObscured xmlns:a14="http://schemas.microsoft.com/office/drawing/2010/main"/>
                      </a:ext>
                    </a:extLst>
                  </pic:spPr>
                </pic:pic>
              </a:graphicData>
            </a:graphic>
          </wp:inline>
        </w:drawing>
      </w:r>
    </w:p>
    <w:p w:rsidR="00006DFE" w:rsidRDefault="00006DFE" w:rsidP="00BB2529">
      <w:pPr>
        <w:pStyle w:val="Prrafodelista"/>
        <w:tabs>
          <w:tab w:val="left" w:pos="142"/>
          <w:tab w:val="left" w:pos="284"/>
        </w:tabs>
        <w:spacing w:before="240" w:after="240" w:line="360" w:lineRule="auto"/>
        <w:ind w:left="0"/>
        <w:jc w:val="center"/>
        <w:rPr>
          <w:rFonts w:ascii="Palatino Linotype" w:hAnsi="Palatino Linotype"/>
          <w:color w:val="000000"/>
          <w:sz w:val="22"/>
          <w:szCs w:val="22"/>
        </w:rPr>
      </w:pPr>
    </w:p>
    <w:p w:rsidR="00C03398" w:rsidRPr="00C03398" w:rsidRDefault="004322D0" w:rsidP="00C03398">
      <w:pPr>
        <w:numPr>
          <w:ilvl w:val="0"/>
          <w:numId w:val="2"/>
        </w:numPr>
        <w:tabs>
          <w:tab w:val="left" w:pos="426"/>
        </w:tabs>
        <w:spacing w:line="360" w:lineRule="auto"/>
        <w:ind w:left="0" w:firstLine="0"/>
        <w:contextualSpacing/>
        <w:jc w:val="both"/>
        <w:rPr>
          <w:rFonts w:ascii="Palatino Linotype" w:hAnsi="Palatino Linotype" w:cs="Arial"/>
          <w:sz w:val="16"/>
        </w:rPr>
      </w:pPr>
      <w:r>
        <w:rPr>
          <w:rFonts w:ascii="Palatino Linotype" w:hAnsi="Palatino Linotype" w:cs="Arial"/>
        </w:rPr>
        <w:t>As</w:t>
      </w:r>
      <w:r w:rsidR="00C03398">
        <w:rPr>
          <w:rFonts w:ascii="Palatino Linotype" w:hAnsi="Palatino Linotype" w:cs="Arial"/>
        </w:rPr>
        <w:t xml:space="preserve">í, </w:t>
      </w:r>
      <w:r>
        <w:rPr>
          <w:rFonts w:ascii="Palatino Linotype" w:hAnsi="Palatino Linotype" w:cs="Arial"/>
        </w:rPr>
        <w:t>es dable precisar que según se advierte se subió al apartado de los A</w:t>
      </w:r>
      <w:r w:rsidR="00C03398">
        <w:rPr>
          <w:rFonts w:ascii="Palatino Linotype" w:hAnsi="Palatino Linotype" w:cs="Arial"/>
        </w:rPr>
        <w:t>rchivos Enviados por el Recurrente</w:t>
      </w:r>
      <w:r w:rsidR="00BB2529" w:rsidRPr="00BB2529">
        <w:rPr>
          <w:rFonts w:ascii="Palatino Linotype" w:hAnsi="Palatino Linotype" w:cs="Arial"/>
        </w:rPr>
        <w:t>,</w:t>
      </w:r>
      <w:r w:rsidR="00C03398">
        <w:rPr>
          <w:rFonts w:ascii="Palatino Linotype" w:hAnsi="Palatino Linotype" w:cs="Arial"/>
        </w:rPr>
        <w:t xml:space="preserve"> el siguiente documento</w:t>
      </w:r>
      <w:r w:rsidR="00C03398" w:rsidRPr="00C03398">
        <w:rPr>
          <w:rFonts w:ascii="Palatino Linotype" w:hAnsi="Palatino Linotype" w:cs="Arial"/>
          <w:sz w:val="40"/>
        </w:rPr>
        <w:t xml:space="preserve"> </w:t>
      </w:r>
      <w:r w:rsidR="00C03398" w:rsidRPr="00C03398">
        <w:rPr>
          <w:rFonts w:ascii="Palatino Linotype" w:hAnsi="Palatino Linotype" w:cs="Arial"/>
          <w:sz w:val="40"/>
        </w:rPr>
        <w:tab/>
      </w:r>
      <w:r w:rsidR="00C03398" w:rsidRPr="00C03398">
        <w:rPr>
          <w:rFonts w:ascii="Palatino Linotype" w:hAnsi="Palatino Linotype" w:cs="Arial"/>
          <w:b/>
        </w:rPr>
        <w:t>ACUERDO RR_2019 _02_07_01_1   9_50</w:t>
      </w:r>
      <w:proofErr w:type="gramStart"/>
      <w:r w:rsidR="00C03398" w:rsidRPr="00C03398">
        <w:rPr>
          <w:rFonts w:ascii="Palatino Linotype" w:hAnsi="Palatino Linotype" w:cs="Arial"/>
          <w:b/>
        </w:rPr>
        <w:t>_  280.pdf</w:t>
      </w:r>
      <w:proofErr w:type="gramEnd"/>
      <w:r w:rsidR="00C03398" w:rsidRPr="00C03398">
        <w:rPr>
          <w:rFonts w:ascii="Palatino Linotype" w:hAnsi="Palatino Linotype" w:cs="Arial"/>
          <w:b/>
        </w:rPr>
        <w:t xml:space="preserve"> </w:t>
      </w:r>
      <w:r w:rsidR="00C03398">
        <w:rPr>
          <w:rFonts w:ascii="Palatino Linotype" w:hAnsi="Palatino Linotype" w:cs="Arial"/>
          <w:b/>
        </w:rPr>
        <w:t xml:space="preserve">, </w:t>
      </w:r>
      <w:r w:rsidR="00C03398">
        <w:rPr>
          <w:rFonts w:ascii="Palatino Linotype" w:hAnsi="Palatino Linotype" w:cs="Arial"/>
        </w:rPr>
        <w:t>mismo que contiene el oficio</w:t>
      </w:r>
      <w:r w:rsidR="00C03398" w:rsidRPr="00C03398">
        <w:rPr>
          <w:rFonts w:ascii="Palatino Linotype" w:hAnsi="Palatino Linotype" w:cs="Arial"/>
          <w:b/>
        </w:rPr>
        <w:t xml:space="preserve"> 136MAIP/FGJ/2020</w:t>
      </w:r>
      <w:r w:rsidR="00C03398">
        <w:rPr>
          <w:rFonts w:ascii="Palatino Linotype" w:hAnsi="Palatino Linotype" w:cs="Arial"/>
          <w:b/>
        </w:rPr>
        <w:t xml:space="preserve"> </w:t>
      </w:r>
      <w:r w:rsidR="00C03398">
        <w:rPr>
          <w:rFonts w:ascii="Palatino Linotype" w:hAnsi="Palatino Linotype" w:cs="Arial"/>
        </w:rPr>
        <w:t xml:space="preserve">dirigido al Comisionado José Guadalupe Luna Hernández Comisionado del Instituto de Transparencia  y suscrito por la Titular de la Unidad de Transparencia, mediante el cual se manifiesta la voluntad de conciliar por parte del ente recurrido.  </w:t>
      </w:r>
    </w:p>
    <w:p w:rsidR="00C03398" w:rsidRDefault="00C03398" w:rsidP="00C03398">
      <w:pPr>
        <w:tabs>
          <w:tab w:val="left" w:pos="426"/>
        </w:tabs>
        <w:spacing w:line="360" w:lineRule="auto"/>
        <w:contextualSpacing/>
        <w:jc w:val="both"/>
        <w:rPr>
          <w:rFonts w:ascii="Palatino Linotype" w:hAnsi="Palatino Linotype" w:cs="Arial"/>
        </w:rPr>
      </w:pPr>
    </w:p>
    <w:p w:rsidR="00BB2529" w:rsidRDefault="00C03398" w:rsidP="008614EA">
      <w:pPr>
        <w:numPr>
          <w:ilvl w:val="0"/>
          <w:numId w:val="2"/>
        </w:numPr>
        <w:tabs>
          <w:tab w:val="left" w:pos="426"/>
        </w:tabs>
        <w:spacing w:line="360" w:lineRule="auto"/>
        <w:ind w:left="0" w:firstLine="0"/>
        <w:contextualSpacing/>
        <w:jc w:val="both"/>
        <w:rPr>
          <w:rFonts w:ascii="Palatino Linotype" w:hAnsi="Palatino Linotype" w:cs="Arial"/>
        </w:rPr>
      </w:pPr>
      <w:r>
        <w:rPr>
          <w:rFonts w:ascii="Palatino Linotype" w:hAnsi="Palatino Linotype" w:cs="Arial"/>
        </w:rPr>
        <w:t xml:space="preserve">  Consecuentemente, </w:t>
      </w:r>
      <w:r w:rsidR="00BB2529" w:rsidRPr="00BB2529">
        <w:rPr>
          <w:rFonts w:ascii="Palatino Linotype" w:hAnsi="Palatino Linotype" w:cs="Arial"/>
        </w:rPr>
        <w:t xml:space="preserve">en fecha </w:t>
      </w:r>
      <w:r>
        <w:rPr>
          <w:rFonts w:ascii="Palatino Linotype" w:hAnsi="Palatino Linotype" w:cs="Arial"/>
        </w:rPr>
        <w:t>veintitrés</w:t>
      </w:r>
      <w:r w:rsidR="00BB2529" w:rsidRPr="00BB2529">
        <w:rPr>
          <w:rFonts w:ascii="Palatino Linotype" w:hAnsi="Palatino Linotype" w:cs="Arial"/>
        </w:rPr>
        <w:t xml:space="preserve"> (</w:t>
      </w:r>
      <w:r>
        <w:rPr>
          <w:rFonts w:ascii="Palatino Linotype" w:hAnsi="Palatino Linotype" w:cs="Arial"/>
        </w:rPr>
        <w:t>23</w:t>
      </w:r>
      <w:r w:rsidR="00BB2529" w:rsidRPr="00BB2529">
        <w:rPr>
          <w:rFonts w:ascii="Palatino Linotype" w:hAnsi="Palatino Linotype" w:cs="Arial"/>
        </w:rPr>
        <w:t>) de</w:t>
      </w:r>
      <w:r w:rsidR="00BB2529" w:rsidRPr="00E826C8">
        <w:rPr>
          <w:rFonts w:ascii="Palatino Linotype" w:hAnsi="Palatino Linotype" w:cs="Arial"/>
        </w:rPr>
        <w:t xml:space="preserve"> octubre </w:t>
      </w:r>
      <w:r w:rsidR="00BB2529" w:rsidRPr="00BB2529">
        <w:rPr>
          <w:rFonts w:ascii="Palatino Linotype" w:hAnsi="Palatino Linotype" w:cs="Arial"/>
        </w:rPr>
        <w:t>de dos mil</w:t>
      </w:r>
      <w:r w:rsidR="00BB2529" w:rsidRPr="00E826C8">
        <w:rPr>
          <w:rFonts w:ascii="Palatino Linotype" w:hAnsi="Palatino Linotype" w:cs="Arial"/>
        </w:rPr>
        <w:t xml:space="preserve"> veinte</w:t>
      </w:r>
      <w:r w:rsidR="00BB2529" w:rsidRPr="00BB2529">
        <w:rPr>
          <w:rFonts w:ascii="Palatino Linotype" w:hAnsi="Palatino Linotype" w:cs="Arial"/>
        </w:rPr>
        <w:t xml:space="preserve">, el Comisionado Ponente concedió a las partes, un plazo de siete (07) días hábiles, a efecto de que manifestaran lo </w:t>
      </w:r>
      <w:r>
        <w:rPr>
          <w:rFonts w:ascii="Palatino Linotype" w:hAnsi="Palatino Linotype" w:cs="Arial"/>
        </w:rPr>
        <w:t xml:space="preserve">que a su derecho correspondiera, situación que no concurrió por las partes, como a continuación se observa: </w:t>
      </w:r>
    </w:p>
    <w:p w:rsidR="00C03398" w:rsidRDefault="00C03398" w:rsidP="00C03398">
      <w:pPr>
        <w:pStyle w:val="Prrafodelista"/>
        <w:rPr>
          <w:rFonts w:ascii="Palatino Linotype" w:hAnsi="Palatino Linotype" w:cs="Arial"/>
        </w:rPr>
      </w:pPr>
    </w:p>
    <w:p w:rsidR="00C03398" w:rsidRPr="00BB2529" w:rsidRDefault="00C03398" w:rsidP="00BB2529">
      <w:pPr>
        <w:tabs>
          <w:tab w:val="left" w:pos="426"/>
        </w:tabs>
        <w:spacing w:line="360" w:lineRule="auto"/>
        <w:contextualSpacing/>
        <w:jc w:val="both"/>
        <w:rPr>
          <w:rFonts w:ascii="Palatino Linotype" w:hAnsi="Palatino Linotype"/>
          <w:b/>
          <w:u w:val="single"/>
        </w:rPr>
      </w:pPr>
      <w:r>
        <w:rPr>
          <w:noProof/>
          <w:lang w:val="es-MX" w:eastAsia="es-MX"/>
        </w:rPr>
        <w:drawing>
          <wp:inline distT="0" distB="0" distL="0" distR="0" wp14:anchorId="1DCEC27A" wp14:editId="33BDF339">
            <wp:extent cx="5514975" cy="226842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307" t="19721" r="27466" b="47209"/>
                    <a:stretch/>
                  </pic:blipFill>
                  <pic:spPr bwMode="auto">
                    <a:xfrm>
                      <a:off x="0" y="0"/>
                      <a:ext cx="5529612" cy="2274445"/>
                    </a:xfrm>
                    <a:prstGeom prst="rect">
                      <a:avLst/>
                    </a:prstGeom>
                    <a:ln>
                      <a:noFill/>
                    </a:ln>
                    <a:extLst>
                      <a:ext uri="{53640926-AAD7-44D8-BBD7-CCE9431645EC}">
                        <a14:shadowObscured xmlns:a14="http://schemas.microsoft.com/office/drawing/2010/main"/>
                      </a:ext>
                    </a:extLst>
                  </pic:spPr>
                </pic:pic>
              </a:graphicData>
            </a:graphic>
          </wp:inline>
        </w:drawing>
      </w:r>
    </w:p>
    <w:p w:rsidR="00006DFE" w:rsidRPr="00E826C8" w:rsidRDefault="00E826C8" w:rsidP="00E826C8">
      <w:pPr>
        <w:numPr>
          <w:ilvl w:val="0"/>
          <w:numId w:val="2"/>
        </w:numPr>
        <w:tabs>
          <w:tab w:val="left" w:pos="426"/>
        </w:tabs>
        <w:spacing w:line="360" w:lineRule="auto"/>
        <w:ind w:left="0" w:hanging="11"/>
        <w:contextualSpacing/>
        <w:jc w:val="both"/>
        <w:rPr>
          <w:rFonts w:ascii="Palatino Linotype" w:hAnsi="Palatino Linotype"/>
          <w:b/>
          <w:u w:val="single"/>
        </w:rPr>
      </w:pPr>
      <w:r>
        <w:rPr>
          <w:rFonts w:ascii="Palatino Linotype" w:hAnsi="Palatino Linotype"/>
        </w:rPr>
        <w:t>Consecuentemente, e</w:t>
      </w:r>
      <w:r w:rsidR="00BB2529" w:rsidRPr="00BB2529">
        <w:rPr>
          <w:rFonts w:ascii="Palatino Linotype" w:hAnsi="Palatino Linotype"/>
        </w:rPr>
        <w:t>l Comisionado Ponente decretó el cierre de instrucción</w:t>
      </w:r>
      <w:r w:rsidR="00BB2529" w:rsidRPr="00BB2529">
        <w:rPr>
          <w:rFonts w:ascii="Palatino Linotype" w:hAnsi="Palatino Linotype" w:cs="Arial"/>
        </w:rPr>
        <w:t xml:space="preserve"> </w:t>
      </w:r>
      <w:r w:rsidR="00BB2529" w:rsidRPr="00BB2529">
        <w:rPr>
          <w:rFonts w:ascii="Palatino Linotype" w:hAnsi="Palatino Linotype"/>
        </w:rPr>
        <w:t xml:space="preserve">mediante el acuerdo de </w:t>
      </w:r>
      <w:r w:rsidR="00C03398">
        <w:rPr>
          <w:rFonts w:ascii="Palatino Linotype" w:hAnsi="Palatino Linotype"/>
        </w:rPr>
        <w:t>seis (06</w:t>
      </w:r>
      <w:r w:rsidR="00BB2529" w:rsidRPr="00BB2529">
        <w:rPr>
          <w:rFonts w:ascii="Palatino Linotype" w:hAnsi="Palatino Linotype"/>
        </w:rPr>
        <w:t xml:space="preserve">) de </w:t>
      </w:r>
      <w:r>
        <w:rPr>
          <w:rFonts w:ascii="Palatino Linotype" w:hAnsi="Palatino Linotype"/>
        </w:rPr>
        <w:t>noviembre de dos mil veinte</w:t>
      </w:r>
      <w:r w:rsidR="00BB2529" w:rsidRPr="00BB2529">
        <w:rPr>
          <w:rFonts w:ascii="Palatino Linotype" w:hAnsi="Palatino Linotype"/>
        </w:rPr>
        <w:t>.</w:t>
      </w:r>
      <w:r w:rsidR="00C03398">
        <w:rPr>
          <w:rFonts w:ascii="Palatino Linotype" w:hAnsi="Palatino Linotype" w:cs="Arial"/>
        </w:rPr>
        <w:t xml:space="preserve"> Asimismo, el once (11) de diciembre de dos mil veinte</w:t>
      </w:r>
      <w:r w:rsidR="00BB2529" w:rsidRPr="00BB2529">
        <w:rPr>
          <w:rFonts w:ascii="Palatino Linotype" w:hAnsi="Palatino Linotype" w:cs="Arial"/>
        </w:rPr>
        <w:t xml:space="preserve">, </w:t>
      </w:r>
      <w:r w:rsidR="00BB2529" w:rsidRPr="00BB2529">
        <w:rPr>
          <w:rFonts w:ascii="Palatino Linotype" w:hAnsi="Palatino Linotype"/>
          <w:color w:val="000000" w:themeColor="text1"/>
        </w:rPr>
        <w:t xml:space="preserve">se notificó la ampliación del plazo para resolver el recurso de revisión, por un periodo de veinte (20) días hábiles, </w:t>
      </w:r>
      <w:r w:rsidR="00BB2529" w:rsidRPr="00BB2529">
        <w:rPr>
          <w:rFonts w:ascii="Palatino Linotype" w:hAnsi="Palatino Linotype" w:cs="Arial"/>
          <w:color w:val="000000" w:themeColor="text1"/>
        </w:rPr>
        <w:t>por lo que ordenó turnar el expediente para su resolución, misma que ahora se pronuncia; y --------------------------------------------------</w:t>
      </w:r>
    </w:p>
    <w:p w:rsidR="00FF0C84" w:rsidRDefault="00FF0C84">
      <w:pPr>
        <w:spacing w:after="160" w:line="259" w:lineRule="auto"/>
        <w:rPr>
          <w:lang w:val="es-MX" w:eastAsia="en-US"/>
        </w:rPr>
      </w:pPr>
    </w:p>
    <w:p w:rsidR="00C03398" w:rsidRDefault="00C03398">
      <w:pPr>
        <w:spacing w:after="160" w:line="259" w:lineRule="auto"/>
        <w:rPr>
          <w:lang w:val="es-MX" w:eastAsia="en-US"/>
        </w:rPr>
      </w:pPr>
    </w:p>
    <w:p w:rsidR="00C03398" w:rsidRDefault="00C03398">
      <w:pPr>
        <w:spacing w:after="160" w:line="259" w:lineRule="auto"/>
        <w:rPr>
          <w:lang w:val="es-MX" w:eastAsia="en-US"/>
        </w:rPr>
      </w:pPr>
    </w:p>
    <w:p w:rsidR="00C03398" w:rsidRDefault="00C03398">
      <w:pPr>
        <w:spacing w:after="160" w:line="259" w:lineRule="auto"/>
        <w:rPr>
          <w:lang w:val="es-MX" w:eastAsia="en-US"/>
        </w:rPr>
      </w:pPr>
    </w:p>
    <w:p w:rsidR="00A55BA0" w:rsidRDefault="00A55BA0" w:rsidP="00763406">
      <w:pPr>
        <w:pStyle w:val="Ttulo1"/>
        <w:tabs>
          <w:tab w:val="left" w:pos="142"/>
          <w:tab w:val="left" w:pos="284"/>
        </w:tabs>
        <w:jc w:val="center"/>
        <w:rPr>
          <w:szCs w:val="24"/>
        </w:rPr>
      </w:pPr>
      <w:bookmarkStart w:id="4" w:name="_Toc58596300"/>
      <w:r w:rsidRPr="00863ACE">
        <w:rPr>
          <w:szCs w:val="24"/>
        </w:rPr>
        <w:lastRenderedPageBreak/>
        <w:t>CONSIDERANDO</w:t>
      </w:r>
      <w:bookmarkEnd w:id="4"/>
    </w:p>
    <w:p w:rsidR="00A55BA0" w:rsidRPr="004141FB" w:rsidRDefault="00A55BA0" w:rsidP="00763406">
      <w:pPr>
        <w:tabs>
          <w:tab w:val="left" w:pos="142"/>
          <w:tab w:val="left" w:pos="284"/>
        </w:tabs>
        <w:rPr>
          <w:lang w:val="es-MX" w:eastAsia="en-US"/>
        </w:rPr>
      </w:pPr>
    </w:p>
    <w:p w:rsidR="00A55BA0" w:rsidRDefault="00A55BA0" w:rsidP="00763406">
      <w:pPr>
        <w:pStyle w:val="Ttulo2"/>
        <w:tabs>
          <w:tab w:val="left" w:pos="142"/>
          <w:tab w:val="left" w:pos="284"/>
        </w:tabs>
        <w:rPr>
          <w:rFonts w:ascii="Palatino Linotype" w:hAnsi="Palatino Linotype"/>
          <w:b/>
          <w:color w:val="auto"/>
          <w:sz w:val="24"/>
        </w:rPr>
      </w:pPr>
      <w:bookmarkStart w:id="5" w:name="_Toc58596301"/>
      <w:r w:rsidRPr="00863ACE">
        <w:rPr>
          <w:rFonts w:ascii="Palatino Linotype" w:hAnsi="Palatino Linotype"/>
          <w:b/>
          <w:color w:val="auto"/>
          <w:sz w:val="24"/>
        </w:rPr>
        <w:t>PRIMERO. De la competencia</w:t>
      </w:r>
      <w:bookmarkEnd w:id="5"/>
    </w:p>
    <w:p w:rsidR="00A55BA0" w:rsidRPr="007B721D" w:rsidRDefault="00A55BA0" w:rsidP="00763406">
      <w:pPr>
        <w:tabs>
          <w:tab w:val="left" w:pos="142"/>
          <w:tab w:val="left" w:pos="284"/>
        </w:tabs>
        <w:rPr>
          <w:lang w:val="es-MX" w:eastAsia="en-US"/>
        </w:rPr>
      </w:pPr>
    </w:p>
    <w:p w:rsidR="00A55BA0" w:rsidRDefault="00A55BA0" w:rsidP="00AC71D5">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63ACE">
        <w:rPr>
          <w:rFonts w:ascii="Palatino Linotype" w:eastAsia="Calibri" w:hAnsi="Palatino Linotype" w:cs="Times New Roman"/>
          <w:lang w:val="es-ES"/>
        </w:rPr>
        <w:t xml:space="preserve">Este </w:t>
      </w:r>
      <w:r w:rsidR="00E53D8F" w:rsidRPr="0046059A">
        <w:rPr>
          <w:rFonts w:ascii="Palatino Linotype" w:eastAsia="Calibri" w:hAnsi="Palatino Linotype" w:cs="Times New Roman"/>
          <w:lang w:val="es-ES"/>
        </w:rPr>
        <w:t xml:space="preserve">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00E53D8F" w:rsidRPr="0046059A">
        <w:rPr>
          <w:rFonts w:ascii="Palatino Linotype" w:eastAsia="Calibri" w:hAnsi="Palatino Linotype" w:cs="Times New Roman"/>
          <w:b/>
          <w:lang w:val="es-ES"/>
        </w:rPr>
        <w:t>Constitución Política de los Estados Unidos Mexicanos</w:t>
      </w:r>
      <w:r w:rsidR="00E53D8F" w:rsidRPr="0046059A">
        <w:rPr>
          <w:rFonts w:ascii="Palatino Linotype" w:eastAsia="Calibri" w:hAnsi="Palatino Linotype" w:cs="Times New Roman"/>
          <w:lang w:val="es-ES"/>
        </w:rPr>
        <w:t>; 5, párrafos vigésimo segundo</w:t>
      </w:r>
      <w:r w:rsidR="00E53D8F">
        <w:rPr>
          <w:rFonts w:ascii="Palatino Linotype" w:eastAsia="Calibri" w:hAnsi="Palatino Linotype" w:cs="Times New Roman"/>
          <w:lang w:val="es-ES"/>
        </w:rPr>
        <w:t>, vigésimo tercero y vigésimo cuarto, fracciones IV, V y</w:t>
      </w:r>
      <w:r w:rsidR="00E53D8F" w:rsidRPr="0046059A">
        <w:rPr>
          <w:rFonts w:ascii="Palatino Linotype" w:eastAsia="Calibri" w:hAnsi="Palatino Linotype" w:cs="Times New Roman"/>
          <w:lang w:val="es-ES"/>
        </w:rPr>
        <w:t xml:space="preserve"> VIII</w:t>
      </w:r>
      <w:r w:rsidR="00E53D8F">
        <w:rPr>
          <w:rFonts w:ascii="Palatino Linotype" w:eastAsia="Calibri" w:hAnsi="Palatino Linotype" w:cs="Times New Roman"/>
          <w:lang w:val="es-ES"/>
        </w:rPr>
        <w:t>,</w:t>
      </w:r>
      <w:r w:rsidR="00E53D8F" w:rsidRPr="0046059A">
        <w:rPr>
          <w:rFonts w:ascii="Palatino Linotype" w:eastAsia="Calibri" w:hAnsi="Palatino Linotype" w:cs="Times New Roman"/>
          <w:lang w:val="es-ES"/>
        </w:rPr>
        <w:t xml:space="preserve"> de la </w:t>
      </w:r>
      <w:r w:rsidR="00E53D8F" w:rsidRPr="0046059A">
        <w:rPr>
          <w:rFonts w:ascii="Palatino Linotype" w:eastAsia="Calibri" w:hAnsi="Palatino Linotype" w:cs="Times New Roman"/>
          <w:b/>
          <w:lang w:val="es-ES"/>
        </w:rPr>
        <w:t>Constitución Política del Estado Libre y Soberano de México</w:t>
      </w:r>
      <w:r w:rsidR="00E53D8F" w:rsidRPr="0046059A">
        <w:rPr>
          <w:rFonts w:ascii="Palatino Linotype" w:eastAsia="Calibri" w:hAnsi="Palatino Linotype" w:cs="Times New Roman"/>
          <w:lang w:val="es-ES"/>
        </w:rPr>
        <w:t>; 1, 3 fracción I, 82, 97, 98, 119, 123, 124, 127, 128 y 133</w:t>
      </w:r>
      <w:r w:rsidR="00E53D8F" w:rsidRPr="0046059A">
        <w:rPr>
          <w:rFonts w:ascii="Palatino Linotype" w:hAnsi="Palatino Linotype" w:cs="Arial"/>
          <w:szCs w:val="22"/>
          <w:lang w:val="es-ES"/>
        </w:rPr>
        <w:t xml:space="preserve"> </w:t>
      </w:r>
      <w:r w:rsidR="00E53D8F" w:rsidRPr="0046059A">
        <w:rPr>
          <w:rFonts w:ascii="Palatino Linotype" w:eastAsia="Calibri" w:hAnsi="Palatino Linotype" w:cs="Times New Roman"/>
          <w:b/>
        </w:rPr>
        <w:t>Ley de Protección de Datos Personales en Posesión de Sujetos Obligados del Estado de México y Municipios</w:t>
      </w:r>
      <w:r w:rsidR="00E53D8F" w:rsidRPr="0046059A">
        <w:rPr>
          <w:rFonts w:ascii="Palatino Linotype" w:eastAsia="Calibri" w:hAnsi="Palatino Linotype" w:cs="Arial"/>
          <w:lang w:val="es-ES"/>
        </w:rPr>
        <w:t xml:space="preserve">; y 10, 7, 9 fracciones I y XXIV, y 11 del </w:t>
      </w:r>
      <w:r w:rsidR="00E53D8F" w:rsidRPr="0046059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A55BA0" w:rsidRPr="00554E41" w:rsidRDefault="00A55BA0" w:rsidP="00763406">
      <w:pPr>
        <w:tabs>
          <w:tab w:val="left" w:pos="142"/>
          <w:tab w:val="left" w:pos="284"/>
        </w:tabs>
        <w:spacing w:before="240" w:after="240" w:line="360" w:lineRule="auto"/>
        <w:jc w:val="both"/>
        <w:rPr>
          <w:rFonts w:ascii="Palatino Linotype" w:hAnsi="Palatino Linotype"/>
        </w:rPr>
      </w:pPr>
    </w:p>
    <w:p w:rsidR="00A55BA0" w:rsidRPr="00863ACE" w:rsidRDefault="00A55BA0" w:rsidP="00763406">
      <w:pPr>
        <w:pStyle w:val="Ttulo2"/>
        <w:tabs>
          <w:tab w:val="left" w:pos="142"/>
          <w:tab w:val="left" w:pos="284"/>
        </w:tabs>
        <w:rPr>
          <w:rFonts w:ascii="Palatino Linotype" w:hAnsi="Palatino Linotype"/>
          <w:b/>
          <w:color w:val="auto"/>
          <w:sz w:val="24"/>
        </w:rPr>
      </w:pPr>
      <w:bookmarkStart w:id="6" w:name="_Toc58596302"/>
      <w:r w:rsidRPr="00863ACE">
        <w:rPr>
          <w:rFonts w:ascii="Palatino Linotype" w:hAnsi="Palatino Linotype"/>
          <w:b/>
          <w:color w:val="auto"/>
          <w:sz w:val="24"/>
        </w:rPr>
        <w:t>SEGUNDO. De</w:t>
      </w:r>
      <w:r>
        <w:rPr>
          <w:rFonts w:ascii="Palatino Linotype" w:hAnsi="Palatino Linotype"/>
          <w:b/>
          <w:color w:val="auto"/>
          <w:sz w:val="24"/>
        </w:rPr>
        <w:t xml:space="preserve"> la oportunidad y procedencia</w:t>
      </w:r>
      <w:r w:rsidRPr="00863ACE">
        <w:rPr>
          <w:rFonts w:ascii="Palatino Linotype" w:hAnsi="Palatino Linotype"/>
          <w:b/>
          <w:color w:val="auto"/>
          <w:sz w:val="24"/>
        </w:rPr>
        <w:t>.</w:t>
      </w:r>
      <w:bookmarkEnd w:id="6"/>
    </w:p>
    <w:p w:rsidR="00E826C8" w:rsidRPr="00E826C8" w:rsidRDefault="00E826C8" w:rsidP="00E826C8">
      <w:pPr>
        <w:keepNext/>
        <w:keepLines/>
        <w:spacing w:before="40" w:line="360" w:lineRule="auto"/>
        <w:outlineLvl w:val="1"/>
        <w:rPr>
          <w:rFonts w:ascii="Palatino Linotype" w:eastAsiaTheme="majorEastAsia" w:hAnsi="Palatino Linotype" w:cstheme="majorBidi"/>
          <w:b/>
          <w:szCs w:val="26"/>
          <w:lang w:val="es-MX" w:eastAsia="en-US"/>
        </w:rPr>
      </w:pPr>
    </w:p>
    <w:p w:rsidR="00E826C8" w:rsidRPr="00E826C8" w:rsidRDefault="00E826C8" w:rsidP="00E826C8">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E826C8">
        <w:rPr>
          <w:rFonts w:ascii="Palatino Linotype" w:eastAsia="Calibri" w:hAnsi="Palatino Linotype" w:cs="Arial"/>
        </w:rPr>
        <w:t xml:space="preserve">El medio de impugnación fue presentado a través del </w:t>
      </w:r>
      <w:r w:rsidRPr="00E826C8">
        <w:rPr>
          <w:rFonts w:ascii="Palatino Linotype" w:eastAsia="Calibri" w:hAnsi="Palatino Linotype" w:cs="Arial"/>
          <w:b/>
        </w:rPr>
        <w:t>SARCOEM,</w:t>
      </w:r>
      <w:r w:rsidRPr="00E826C8">
        <w:rPr>
          <w:rFonts w:ascii="Palatino Linotype" w:eastAsia="Calibri" w:hAnsi="Palatino Linotype" w:cs="Arial"/>
        </w:rPr>
        <w:t xml:space="preserve"> en el formato previamente aprobado para tal efecto y dentro del plazo legal de quince (15) días hábiles otorgados; para el caso en particular es de señalar que el </w:t>
      </w:r>
      <w:r w:rsidRPr="00E826C8">
        <w:rPr>
          <w:rFonts w:ascii="Palatino Linotype" w:eastAsia="Calibri" w:hAnsi="Palatino Linotype" w:cs="Arial"/>
          <w:b/>
        </w:rPr>
        <w:t>SUJETO OBLIGADO</w:t>
      </w:r>
      <w:r w:rsidR="00CA3B1A">
        <w:rPr>
          <w:rFonts w:ascii="Palatino Linotype" w:eastAsia="Calibri" w:hAnsi="Palatino Linotype" w:cs="Arial"/>
        </w:rPr>
        <w:t xml:space="preserve"> entregó respuest</w:t>
      </w:r>
      <w:r w:rsidR="00C03398">
        <w:rPr>
          <w:rFonts w:ascii="Palatino Linotype" w:eastAsia="Calibri" w:hAnsi="Palatino Linotype" w:cs="Arial"/>
        </w:rPr>
        <w:t>a el día seis</w:t>
      </w:r>
      <w:r w:rsidR="00CA3B1A">
        <w:rPr>
          <w:rFonts w:ascii="Palatino Linotype" w:eastAsia="Calibri" w:hAnsi="Palatino Linotype" w:cs="Arial"/>
        </w:rPr>
        <w:t xml:space="preserve"> </w:t>
      </w:r>
      <w:r w:rsidR="00C03398">
        <w:rPr>
          <w:rFonts w:ascii="Palatino Linotype" w:eastAsia="Calibri" w:hAnsi="Palatino Linotype" w:cs="Arial"/>
        </w:rPr>
        <w:t>(06</w:t>
      </w:r>
      <w:r w:rsidRPr="00E826C8">
        <w:rPr>
          <w:rFonts w:ascii="Palatino Linotype" w:eastAsia="Calibri" w:hAnsi="Palatino Linotype" w:cs="Arial"/>
        </w:rPr>
        <w:t>) de</w:t>
      </w:r>
      <w:r w:rsidR="00C03398">
        <w:rPr>
          <w:rFonts w:ascii="Palatino Linotype" w:eastAsia="Calibri" w:hAnsi="Palatino Linotype" w:cs="Arial"/>
        </w:rPr>
        <w:t xml:space="preserve"> octubre</w:t>
      </w:r>
      <w:r w:rsidRPr="00E826C8">
        <w:rPr>
          <w:rFonts w:ascii="Palatino Linotype" w:eastAsia="Calibri" w:hAnsi="Palatino Linotype" w:cs="Arial"/>
        </w:rPr>
        <w:t xml:space="preserve"> </w:t>
      </w:r>
      <w:r w:rsidR="00CA3B1A">
        <w:rPr>
          <w:rFonts w:ascii="Palatino Linotype" w:eastAsia="Calibri" w:hAnsi="Palatino Linotype" w:cs="Arial"/>
        </w:rPr>
        <w:t xml:space="preserve">de </w:t>
      </w:r>
      <w:r w:rsidRPr="00E826C8">
        <w:rPr>
          <w:rFonts w:ascii="Palatino Linotype" w:eastAsia="Calibri" w:hAnsi="Palatino Linotype" w:cs="Arial"/>
        </w:rPr>
        <w:t>dos mil</w:t>
      </w:r>
      <w:r w:rsidR="00CA3B1A">
        <w:rPr>
          <w:rFonts w:ascii="Palatino Linotype" w:eastAsia="Calibri" w:hAnsi="Palatino Linotype" w:cs="Arial"/>
        </w:rPr>
        <w:t xml:space="preserve"> veinte </w:t>
      </w:r>
      <w:r w:rsidRPr="00E826C8">
        <w:rPr>
          <w:rFonts w:ascii="Palatino Linotype" w:eastAsia="Calibri" w:hAnsi="Palatino Linotype" w:cs="Arial"/>
        </w:rPr>
        <w:t xml:space="preserve">, </w:t>
      </w:r>
      <w:r w:rsidRPr="00E826C8">
        <w:rPr>
          <w:rFonts w:ascii="Palatino Linotype" w:hAnsi="Palatino Linotype" w:cs="Arial"/>
        </w:rPr>
        <w:t>de tal forma que el plazo para interponer el recurso de revisión transcurrió del</w:t>
      </w:r>
      <w:r w:rsidR="00C03398">
        <w:rPr>
          <w:rFonts w:ascii="Palatino Linotype" w:hAnsi="Palatino Linotype" w:cs="Arial"/>
        </w:rPr>
        <w:t xml:space="preserve"> siete (07) al veintisiete (27)</w:t>
      </w:r>
      <w:r w:rsidRPr="00E826C8">
        <w:rPr>
          <w:rFonts w:ascii="Palatino Linotype" w:hAnsi="Palatino Linotype" w:cs="Arial"/>
        </w:rPr>
        <w:t xml:space="preserve"> de</w:t>
      </w:r>
      <w:r w:rsidR="00CA3B1A">
        <w:rPr>
          <w:rFonts w:ascii="Palatino Linotype" w:hAnsi="Palatino Linotype" w:cs="Arial"/>
        </w:rPr>
        <w:t xml:space="preserve"> </w:t>
      </w:r>
      <w:r w:rsidR="00C03398">
        <w:rPr>
          <w:rFonts w:ascii="Palatino Linotype" w:hAnsi="Palatino Linotype" w:cs="Arial"/>
        </w:rPr>
        <w:t xml:space="preserve">octubre </w:t>
      </w:r>
      <w:r w:rsidR="00CA3B1A">
        <w:rPr>
          <w:rFonts w:ascii="Palatino Linotype" w:hAnsi="Palatino Linotype" w:cs="Arial"/>
        </w:rPr>
        <w:t>de</w:t>
      </w:r>
      <w:r w:rsidRPr="00E826C8">
        <w:rPr>
          <w:rFonts w:ascii="Palatino Linotype" w:hAnsi="Palatino Linotype" w:cs="Arial"/>
        </w:rPr>
        <w:t xml:space="preserve"> dos mil</w:t>
      </w:r>
      <w:r w:rsidR="00CA3B1A">
        <w:rPr>
          <w:rFonts w:ascii="Palatino Linotype" w:hAnsi="Palatino Linotype" w:cs="Arial"/>
        </w:rPr>
        <w:t xml:space="preserve"> veinte;  </w:t>
      </w:r>
      <w:r w:rsidRPr="00E826C8">
        <w:rPr>
          <w:rFonts w:ascii="Palatino Linotype" w:hAnsi="Palatino Linotype" w:cs="Arial"/>
        </w:rPr>
        <w:t>en consecuencia,</w:t>
      </w:r>
      <w:r w:rsidR="00A826A4">
        <w:rPr>
          <w:rFonts w:ascii="Palatino Linotype" w:hAnsi="Palatino Linotype" w:cs="Arial"/>
        </w:rPr>
        <w:t xml:space="preserve"> si el particular</w:t>
      </w:r>
      <w:r w:rsidRPr="00E826C8">
        <w:rPr>
          <w:rFonts w:ascii="Palatino Linotype" w:hAnsi="Palatino Linotype" w:cs="Arial"/>
        </w:rPr>
        <w:t xml:space="preserve"> </w:t>
      </w:r>
      <w:r w:rsidRPr="00E826C8">
        <w:rPr>
          <w:rFonts w:ascii="Palatino Linotype" w:hAnsi="Palatino Linotype" w:cs="Arial"/>
        </w:rPr>
        <w:lastRenderedPageBreak/>
        <w:t xml:space="preserve">presentó su inconformidad el </w:t>
      </w:r>
      <w:r w:rsidR="00A826A4">
        <w:rPr>
          <w:rFonts w:ascii="Palatino Linotype" w:hAnsi="Palatino Linotype" w:cs="Arial"/>
        </w:rPr>
        <w:t>seis</w:t>
      </w:r>
      <w:r w:rsidRPr="00E826C8">
        <w:rPr>
          <w:rFonts w:ascii="Palatino Linotype" w:hAnsi="Palatino Linotype" w:cs="Arial"/>
        </w:rPr>
        <w:t xml:space="preserve"> (</w:t>
      </w:r>
      <w:r w:rsidR="00A826A4">
        <w:rPr>
          <w:rFonts w:ascii="Palatino Linotype" w:hAnsi="Palatino Linotype" w:cs="Arial"/>
        </w:rPr>
        <w:t>06</w:t>
      </w:r>
      <w:r w:rsidRPr="00E826C8">
        <w:rPr>
          <w:rFonts w:ascii="Palatino Linotype" w:hAnsi="Palatino Linotype" w:cs="Arial"/>
        </w:rPr>
        <w:t>) de</w:t>
      </w:r>
      <w:r w:rsidR="00A826A4">
        <w:rPr>
          <w:rFonts w:ascii="Palatino Linotype" w:hAnsi="Palatino Linotype" w:cs="Arial"/>
        </w:rPr>
        <w:t xml:space="preserve"> octubre  </w:t>
      </w:r>
      <w:r w:rsidR="00CA3B1A">
        <w:rPr>
          <w:rFonts w:ascii="Palatino Linotype" w:hAnsi="Palatino Linotype" w:cs="Arial"/>
        </w:rPr>
        <w:t xml:space="preserve"> </w:t>
      </w:r>
      <w:r w:rsidRPr="00E826C8">
        <w:rPr>
          <w:rFonts w:ascii="Palatino Linotype" w:hAnsi="Palatino Linotype" w:cs="Arial"/>
        </w:rPr>
        <w:t xml:space="preserve">de dos mil </w:t>
      </w:r>
      <w:r w:rsidR="00CA3B1A">
        <w:rPr>
          <w:rFonts w:ascii="Palatino Linotype" w:hAnsi="Palatino Linotype" w:cs="Arial"/>
        </w:rPr>
        <w:t>veinte</w:t>
      </w:r>
      <w:r w:rsidRPr="00E826C8">
        <w:rPr>
          <w:rFonts w:ascii="Palatino Linotype" w:hAnsi="Palatino Linotype" w:cs="Arial"/>
        </w:rPr>
        <w:t>, se encuentra dentro de los márgenes temporales previstos en el artículo</w:t>
      </w:r>
      <w:r w:rsidRPr="00E826C8">
        <w:rPr>
          <w:rFonts w:ascii="Palatino Linotype" w:eastAsia="Calibri" w:hAnsi="Palatino Linotype" w:cs="Arial"/>
        </w:rPr>
        <w:t xml:space="preserve"> </w:t>
      </w:r>
      <w:r w:rsidRPr="00E826C8">
        <w:rPr>
          <w:rFonts w:ascii="Palatino Linotype" w:hAnsi="Palatino Linotype" w:cs="Arial"/>
        </w:rPr>
        <w:t xml:space="preserve">128 de la </w:t>
      </w:r>
      <w:r w:rsidRPr="00E826C8">
        <w:rPr>
          <w:rFonts w:ascii="Palatino Linotype" w:hAnsi="Palatino Linotype" w:cs="Arial"/>
          <w:b/>
        </w:rPr>
        <w:t>Ley de Protección de Datos Personales en Posesión de Sujetos Obligados del Estado de México y Municipios.</w:t>
      </w:r>
      <w:r w:rsidRPr="00E826C8">
        <w:rPr>
          <w:rFonts w:ascii="Palatino Linotype" w:hAnsi="Palatino Linotype" w:cs="Arial"/>
        </w:rPr>
        <w:t xml:space="preserve"> </w:t>
      </w:r>
    </w:p>
    <w:p w:rsidR="00E826C8" w:rsidRPr="00E826C8" w:rsidRDefault="00E826C8" w:rsidP="00E826C8">
      <w:pPr>
        <w:tabs>
          <w:tab w:val="left" w:pos="426"/>
        </w:tabs>
        <w:spacing w:before="240" w:after="240" w:line="360" w:lineRule="auto"/>
        <w:ind w:right="49"/>
        <w:contextualSpacing/>
        <w:jc w:val="both"/>
        <w:rPr>
          <w:rFonts w:ascii="Palatino Linotype" w:hAnsi="Palatino Linotype"/>
        </w:rPr>
      </w:pPr>
    </w:p>
    <w:p w:rsidR="00E826C8" w:rsidRPr="00E826C8" w:rsidRDefault="00E826C8" w:rsidP="00E826C8">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E826C8">
        <w:rPr>
          <w:rFonts w:ascii="Palatino Linotype" w:hAnsi="Palatino Linotype"/>
        </w:rPr>
        <w:t xml:space="preserve">Por otro lado, debe señalarse que el </w:t>
      </w:r>
      <w:r w:rsidRPr="00E826C8">
        <w:rPr>
          <w:rFonts w:ascii="Palatino Linotype" w:hAnsi="Palatino Linotype"/>
          <w:b/>
        </w:rPr>
        <w:t>RECURRENTE</w:t>
      </w:r>
      <w:r w:rsidRPr="00E826C8">
        <w:rPr>
          <w:rFonts w:ascii="Palatino Linotype" w:hAnsi="Palatino Linotype"/>
        </w:rPr>
        <w:t>, ni en la solicitud de acceso a datos, ni en la promoción del recurso de revisión, ajuntó los documentos necesarios para acreditar su personalidad e identidad, lo cual es reconocido como un requisito exigible en el escrito de interposición del recurso de revisión. Sin embargo, en aras de privilegiar el derecho del particular para ejercitar sus derechos de acceso, rectificación, cancelación u oposición de datos personales, esta</w:t>
      </w:r>
      <w:r w:rsidR="00CA3B1A">
        <w:rPr>
          <w:rFonts w:ascii="Palatino Linotype" w:hAnsi="Palatino Linotype"/>
        </w:rPr>
        <w:t xml:space="preserve"> Ponencia Resolutora considero la admisión del recurso</w:t>
      </w:r>
      <w:r w:rsidRPr="00E826C8">
        <w:rPr>
          <w:rFonts w:ascii="Palatino Linotype" w:hAnsi="Palatino Linotype"/>
        </w:rPr>
        <w:t>.</w:t>
      </w:r>
    </w:p>
    <w:p w:rsidR="00E826C8" w:rsidRPr="00E826C8" w:rsidRDefault="00E826C8" w:rsidP="00E826C8">
      <w:pPr>
        <w:tabs>
          <w:tab w:val="left" w:pos="426"/>
        </w:tabs>
        <w:spacing w:before="240" w:after="240" w:line="360" w:lineRule="auto"/>
        <w:ind w:right="49"/>
        <w:contextualSpacing/>
        <w:jc w:val="both"/>
        <w:rPr>
          <w:rFonts w:ascii="Palatino Linotype" w:hAnsi="Palatino Linotype"/>
        </w:rPr>
      </w:pPr>
    </w:p>
    <w:p w:rsidR="00E826C8" w:rsidRPr="00E826C8" w:rsidRDefault="00E826C8" w:rsidP="00E826C8">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E826C8">
        <w:rPr>
          <w:rFonts w:ascii="Palatino Linotype" w:eastAsia="Calibri" w:hAnsi="Palatino Linotype" w:cs="Arial"/>
        </w:rPr>
        <w:t>En consecuencia,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rsidR="00E826C8" w:rsidRPr="00E826C8" w:rsidRDefault="00E826C8" w:rsidP="00E826C8">
      <w:pPr>
        <w:tabs>
          <w:tab w:val="left" w:pos="426"/>
        </w:tabs>
        <w:spacing w:before="240" w:after="240" w:line="360" w:lineRule="auto"/>
        <w:ind w:right="49"/>
        <w:contextualSpacing/>
        <w:jc w:val="both"/>
        <w:rPr>
          <w:rFonts w:ascii="Palatino Linotype" w:hAnsi="Palatino Linotype"/>
        </w:rPr>
      </w:pPr>
    </w:p>
    <w:p w:rsidR="00E40A30" w:rsidRDefault="0054193B" w:rsidP="00093440">
      <w:pPr>
        <w:pStyle w:val="Ttulo2"/>
        <w:rPr>
          <w:rFonts w:ascii="Palatino Linotype" w:eastAsia="Calibri" w:hAnsi="Palatino Linotype" w:cs="Times New Roman"/>
          <w:b/>
          <w:bCs/>
          <w:color w:val="auto"/>
          <w:sz w:val="24"/>
          <w:lang w:val="es-ES"/>
        </w:rPr>
      </w:pPr>
      <w:bookmarkStart w:id="7" w:name="_Toc58596303"/>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CA3B1A">
        <w:rPr>
          <w:rFonts w:ascii="Palatino Linotype" w:eastAsia="Calibri" w:hAnsi="Palatino Linotype" w:cs="Times New Roman"/>
          <w:b/>
          <w:bCs/>
          <w:color w:val="auto"/>
          <w:sz w:val="24"/>
          <w:lang w:val="es-ES"/>
        </w:rPr>
        <w:t>TERCERO</w:t>
      </w:r>
      <w:r w:rsidR="00B549FD" w:rsidRPr="00CA3B1A">
        <w:rPr>
          <w:rFonts w:ascii="Palatino Linotype" w:eastAsia="Calibri" w:hAnsi="Palatino Linotype" w:cs="Times New Roman"/>
          <w:b/>
          <w:bCs/>
          <w:color w:val="auto"/>
          <w:sz w:val="24"/>
          <w:lang w:val="es-ES"/>
        </w:rPr>
        <w:t xml:space="preserve">. </w:t>
      </w:r>
      <w:r w:rsidR="00A55BA0" w:rsidRPr="00CA3B1A">
        <w:rPr>
          <w:rFonts w:ascii="Palatino Linotype" w:eastAsia="Calibri" w:hAnsi="Palatino Linotype" w:cs="Times New Roman"/>
          <w:b/>
          <w:bCs/>
          <w:color w:val="auto"/>
          <w:sz w:val="24"/>
          <w:lang w:val="es-ES"/>
        </w:rPr>
        <w:t xml:space="preserve">Del planteamiento de la </w:t>
      </w:r>
      <w:r w:rsidR="00E40A30" w:rsidRPr="00CA3B1A">
        <w:rPr>
          <w:rFonts w:ascii="Palatino Linotype" w:eastAsia="Calibri" w:hAnsi="Palatino Linotype" w:cs="Times New Roman"/>
          <w:b/>
          <w:bCs/>
          <w:i/>
          <w:color w:val="auto"/>
          <w:sz w:val="24"/>
          <w:lang w:val="es-ES"/>
        </w:rPr>
        <w:t>L</w:t>
      </w:r>
      <w:r w:rsidR="00A55BA0" w:rsidRPr="00CA3B1A">
        <w:rPr>
          <w:rFonts w:ascii="Palatino Linotype" w:eastAsia="Calibri" w:hAnsi="Palatino Linotype" w:cs="Times New Roman"/>
          <w:b/>
          <w:bCs/>
          <w:i/>
          <w:color w:val="auto"/>
          <w:sz w:val="24"/>
          <w:lang w:val="es-ES"/>
        </w:rPr>
        <w:t>itis</w:t>
      </w:r>
      <w:r w:rsidR="00A55BA0" w:rsidRPr="00CA3B1A">
        <w:rPr>
          <w:rFonts w:ascii="Palatino Linotype" w:eastAsia="Calibri" w:hAnsi="Palatino Linotype" w:cs="Times New Roman"/>
          <w:b/>
          <w:bCs/>
          <w:color w:val="auto"/>
          <w:sz w:val="24"/>
          <w:lang w:val="es-ES"/>
        </w:rPr>
        <w:t>.</w:t>
      </w:r>
      <w:bookmarkEnd w:id="7"/>
    </w:p>
    <w:bookmarkEnd w:id="8"/>
    <w:bookmarkEnd w:id="9"/>
    <w:bookmarkEnd w:id="10"/>
    <w:bookmarkEnd w:id="11"/>
    <w:bookmarkEnd w:id="12"/>
    <w:bookmarkEnd w:id="13"/>
    <w:bookmarkEnd w:id="14"/>
    <w:p w:rsidR="00093440" w:rsidRPr="008F23B8" w:rsidRDefault="00093440" w:rsidP="00093440">
      <w:pPr>
        <w:pStyle w:val="Prrafodelista"/>
        <w:tabs>
          <w:tab w:val="left" w:pos="142"/>
          <w:tab w:val="left" w:pos="284"/>
        </w:tabs>
        <w:spacing w:before="240" w:after="240" w:line="360" w:lineRule="auto"/>
        <w:ind w:left="0"/>
        <w:jc w:val="both"/>
        <w:rPr>
          <w:rFonts w:ascii="Palatino Linotype" w:hAnsi="Palatino Linotype"/>
          <w:sz w:val="22"/>
        </w:rPr>
      </w:pPr>
    </w:p>
    <w:p w:rsidR="00A55BA0" w:rsidRPr="00093440" w:rsidRDefault="00093440" w:rsidP="008F23B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rPr>
      </w:pPr>
      <w:r>
        <w:rPr>
          <w:rFonts w:ascii="Palatino Linotype" w:hAnsi="Palatino Linotype" w:cs="Arial"/>
          <w:szCs w:val="23"/>
        </w:rPr>
        <w:t>E</w:t>
      </w:r>
      <w:r w:rsidR="00A55BA0" w:rsidRPr="00AE42E0">
        <w:rPr>
          <w:rFonts w:ascii="Palatino Linotype" w:hAnsi="Palatino Linotype" w:cs="Arial"/>
          <w:szCs w:val="23"/>
        </w:rPr>
        <w:t xml:space="preserve">l Recurso Revisión tiene como finalidad reparar cualquier posible afectación al derecho de acceso a la información pública en términos del Título </w:t>
      </w:r>
      <w:r w:rsidR="000E2158">
        <w:rPr>
          <w:rFonts w:ascii="Palatino Linotype" w:hAnsi="Palatino Linotype" w:cs="Arial"/>
          <w:szCs w:val="23"/>
        </w:rPr>
        <w:t>Décimo Primero</w:t>
      </w:r>
      <w:r w:rsidR="00A55BA0" w:rsidRPr="00AE42E0">
        <w:rPr>
          <w:rFonts w:ascii="Palatino Linotype" w:hAnsi="Palatino Linotype" w:cs="Arial"/>
          <w:szCs w:val="23"/>
        </w:rPr>
        <w:t xml:space="preserve"> de la </w:t>
      </w:r>
      <w:r w:rsidR="00A55BA0" w:rsidRPr="00AE42E0">
        <w:rPr>
          <w:rFonts w:ascii="Palatino Linotype" w:eastAsia="Calibri" w:hAnsi="Palatino Linotype" w:cs="Arial"/>
          <w:b/>
          <w:lang w:val="es-ES"/>
        </w:rPr>
        <w:t xml:space="preserve">Ley </w:t>
      </w:r>
      <w:r w:rsidR="000E2158" w:rsidRPr="000E2158">
        <w:rPr>
          <w:rFonts w:ascii="Palatino Linotype" w:eastAsia="Calibri" w:hAnsi="Palatino Linotype" w:cs="Arial"/>
          <w:b/>
          <w:lang w:val="es-ES"/>
        </w:rPr>
        <w:t xml:space="preserve">de Protección de Datos Personales en Posesión de Sujetos </w:t>
      </w:r>
      <w:r w:rsidR="000E2158" w:rsidRPr="000E2158">
        <w:rPr>
          <w:rFonts w:ascii="Palatino Linotype" w:eastAsia="Calibri" w:hAnsi="Palatino Linotype" w:cs="Arial"/>
          <w:b/>
          <w:lang w:val="es-ES"/>
        </w:rPr>
        <w:lastRenderedPageBreak/>
        <w:t>Obligados del Estado de México y Municipios</w:t>
      </w:r>
      <w:r w:rsidR="000E2158">
        <w:rPr>
          <w:rFonts w:ascii="Palatino Linotype" w:eastAsia="Calibri" w:hAnsi="Palatino Linotype" w:cs="Arial"/>
          <w:b/>
          <w:lang w:val="es-ES"/>
        </w:rPr>
        <w:t>,</w:t>
      </w:r>
      <w:r w:rsidR="00A55BA0" w:rsidRPr="00AE42E0">
        <w:rPr>
          <w:rFonts w:ascii="Palatino Linotype" w:hAnsi="Palatino Linotype" w:cs="Arial"/>
          <w:szCs w:val="23"/>
        </w:rPr>
        <w:t xml:space="preserve"> y determinar la confir</w:t>
      </w:r>
      <w:r w:rsidR="00DE216C">
        <w:rPr>
          <w:rFonts w:ascii="Palatino Linotype" w:hAnsi="Palatino Linotype" w:cs="Arial"/>
          <w:szCs w:val="23"/>
        </w:rPr>
        <w:t>mación,</w:t>
      </w:r>
      <w:r w:rsidR="00A55BA0" w:rsidRPr="00AE42E0">
        <w:rPr>
          <w:rFonts w:ascii="Palatino Linotype" w:hAnsi="Palatino Linotype" w:cs="Arial"/>
          <w:szCs w:val="23"/>
        </w:rPr>
        <w:t xml:space="preserve"> revocación o modificación; </w:t>
      </w:r>
      <w:proofErr w:type="spellStart"/>
      <w:r w:rsidR="00A55BA0" w:rsidRPr="00AE42E0">
        <w:rPr>
          <w:rFonts w:ascii="Palatino Linotype" w:hAnsi="Palatino Linotype" w:cs="Arial"/>
          <w:szCs w:val="23"/>
        </w:rPr>
        <w:t>desechamiento</w:t>
      </w:r>
      <w:proofErr w:type="spellEnd"/>
      <w:r w:rsidR="00A55BA0" w:rsidRPr="00AE42E0">
        <w:rPr>
          <w:rFonts w:ascii="Palatino Linotype" w:hAnsi="Palatino Linotype" w:cs="Arial"/>
          <w:szCs w:val="23"/>
        </w:rPr>
        <w:t xml:space="preserve"> o sobreseimie</w:t>
      </w:r>
      <w:r w:rsidR="00A55BA0" w:rsidRPr="00093440">
        <w:rPr>
          <w:rFonts w:ascii="Palatino Linotype" w:hAnsi="Palatino Linotype" w:cs="Arial"/>
          <w:szCs w:val="23"/>
        </w:rPr>
        <w:t>nto; y</w:t>
      </w:r>
      <w:r w:rsidR="00DE216C">
        <w:rPr>
          <w:rFonts w:ascii="Palatino Linotype" w:hAnsi="Palatino Linotype" w:cs="Arial"/>
          <w:szCs w:val="23"/>
        </w:rPr>
        <w:t>,</w:t>
      </w:r>
      <w:r w:rsidR="00A55BA0" w:rsidRPr="00093440">
        <w:rPr>
          <w:rFonts w:ascii="Palatino Linotype" w:hAnsi="Palatino Linotype" w:cs="Arial"/>
          <w:szCs w:val="23"/>
        </w:rPr>
        <w:t xml:space="preserve"> en su caso</w:t>
      </w:r>
      <w:r w:rsidR="000E2158">
        <w:rPr>
          <w:rFonts w:ascii="Palatino Linotype" w:hAnsi="Palatino Linotype" w:cs="Arial"/>
          <w:szCs w:val="23"/>
        </w:rPr>
        <w:t>,</w:t>
      </w:r>
      <w:r w:rsidR="00A55BA0" w:rsidRPr="00093440">
        <w:rPr>
          <w:rFonts w:ascii="Palatino Linotype" w:hAnsi="Palatino Linotype" w:cs="Arial"/>
          <w:szCs w:val="23"/>
        </w:rPr>
        <w:t xml:space="preserve"> ordenar </w:t>
      </w:r>
      <w:r w:rsidR="000E2158">
        <w:rPr>
          <w:rFonts w:ascii="Palatino Linotype" w:hAnsi="Palatino Linotype" w:cs="Arial"/>
          <w:szCs w:val="23"/>
        </w:rPr>
        <w:t>el acceso, rectificación, cancelación u oposición de datos personales</w:t>
      </w:r>
      <w:r w:rsidR="00A55BA0" w:rsidRPr="00093440">
        <w:rPr>
          <w:rFonts w:ascii="Palatino Linotype" w:hAnsi="Palatino Linotype" w:cs="Arial"/>
          <w:szCs w:val="23"/>
        </w:rPr>
        <w:t xml:space="preserve">, respecto a las respuestas o falta de ellas de los Sujetos Obligados. </w:t>
      </w:r>
    </w:p>
    <w:p w:rsidR="00A55BA0" w:rsidRPr="00093440" w:rsidRDefault="00A55BA0" w:rsidP="00763406">
      <w:pPr>
        <w:pStyle w:val="Prrafodelista"/>
        <w:tabs>
          <w:tab w:val="left" w:pos="142"/>
          <w:tab w:val="left" w:pos="284"/>
        </w:tabs>
        <w:spacing w:before="240" w:after="240" w:line="360" w:lineRule="auto"/>
        <w:ind w:left="0"/>
        <w:jc w:val="both"/>
        <w:rPr>
          <w:rFonts w:ascii="Palatino Linotype" w:hAnsi="Palatino Linotype"/>
          <w:sz w:val="22"/>
        </w:rPr>
      </w:pPr>
    </w:p>
    <w:p w:rsidR="002572AE" w:rsidRPr="00A826A4" w:rsidRDefault="00093440" w:rsidP="00A826A4">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2"/>
        </w:rPr>
      </w:pPr>
      <w:bookmarkStart w:id="15" w:name="_Toc454968928"/>
      <w:bookmarkStart w:id="16" w:name="_Toc455743517"/>
      <w:bookmarkStart w:id="17" w:name="_Toc458016386"/>
      <w:bookmarkStart w:id="18" w:name="_Toc461555893"/>
      <w:bookmarkStart w:id="19" w:name="_Toc462307690"/>
      <w:bookmarkStart w:id="20" w:name="_Toc475005143"/>
      <w:r>
        <w:rPr>
          <w:rFonts w:ascii="Palatino Linotype" w:hAnsi="Palatino Linotype" w:cs="Arial"/>
          <w:szCs w:val="23"/>
        </w:rPr>
        <w:t>Dicho lo anterior, es de toral importancia manifesta</w:t>
      </w:r>
      <w:r w:rsidR="000E2158">
        <w:rPr>
          <w:rFonts w:ascii="Palatino Linotype" w:hAnsi="Palatino Linotype" w:cs="Arial"/>
          <w:szCs w:val="23"/>
        </w:rPr>
        <w:t xml:space="preserve">r </w:t>
      </w:r>
      <w:r w:rsidR="000E2158" w:rsidRPr="00757024">
        <w:rPr>
          <w:rFonts w:ascii="Palatino Linotype" w:hAnsi="Palatino Linotype" w:cs="Arial"/>
          <w:szCs w:val="23"/>
        </w:rPr>
        <w:t xml:space="preserve">que </w:t>
      </w:r>
      <w:r w:rsidR="00757024" w:rsidRPr="00757024">
        <w:rPr>
          <w:rFonts w:ascii="Palatino Linotype" w:hAnsi="Palatino Linotype" w:cs="Arial"/>
          <w:szCs w:val="23"/>
        </w:rPr>
        <w:t>el</w:t>
      </w:r>
      <w:r w:rsidR="00E40A30" w:rsidRPr="00757024">
        <w:rPr>
          <w:rFonts w:ascii="Palatino Linotype" w:hAnsi="Palatino Linotype" w:cs="Arial"/>
          <w:szCs w:val="23"/>
        </w:rPr>
        <w:t xml:space="preserve"> particular</w:t>
      </w:r>
      <w:r w:rsidR="00E40A30">
        <w:rPr>
          <w:rFonts w:ascii="Palatino Linotype" w:hAnsi="Palatino Linotype" w:cs="Arial"/>
          <w:szCs w:val="23"/>
        </w:rPr>
        <w:t xml:space="preserve">, mediante la solicitud de </w:t>
      </w:r>
      <w:r w:rsidR="000E2158">
        <w:rPr>
          <w:rFonts w:ascii="Palatino Linotype" w:hAnsi="Palatino Linotype" w:cs="Arial"/>
          <w:szCs w:val="23"/>
        </w:rPr>
        <w:t>acceso a datos personales número</w:t>
      </w:r>
      <w:r w:rsidR="00A826A4">
        <w:rPr>
          <w:rFonts w:ascii="Palatino Linotype" w:hAnsi="Palatino Linotype" w:cs="Arial"/>
          <w:b/>
          <w:bCs/>
          <w:szCs w:val="23"/>
        </w:rPr>
        <w:t xml:space="preserve"> </w:t>
      </w:r>
      <w:r w:rsidR="00A826A4" w:rsidRPr="00A826A4">
        <w:rPr>
          <w:rFonts w:ascii="Palatino Linotype" w:hAnsi="Palatino Linotype"/>
          <w:b/>
          <w:bCs/>
        </w:rPr>
        <w:t>00006/FGJ/AD/2020</w:t>
      </w:r>
      <w:r w:rsidRPr="00A826A4">
        <w:rPr>
          <w:rFonts w:ascii="Palatino Linotype" w:hAnsi="Palatino Linotype" w:cs="Arial"/>
          <w:b/>
        </w:rPr>
        <w:t>,</w:t>
      </w:r>
      <w:r w:rsidRPr="00A826A4">
        <w:rPr>
          <w:rFonts w:ascii="Palatino Linotype" w:hAnsi="Palatino Linotype" w:cs="Arial"/>
          <w:szCs w:val="23"/>
        </w:rPr>
        <w:t xml:space="preserve"> requirió a</w:t>
      </w:r>
      <w:r w:rsidR="00757024" w:rsidRPr="00A826A4">
        <w:rPr>
          <w:rFonts w:ascii="Palatino Linotype" w:hAnsi="Palatino Linotype" w:cs="Arial"/>
          <w:szCs w:val="23"/>
        </w:rPr>
        <w:t xml:space="preserve"> la Secretaría de Educación</w:t>
      </w:r>
      <w:r w:rsidRPr="00A826A4">
        <w:rPr>
          <w:rFonts w:ascii="Palatino Linotype" w:hAnsi="Palatino Linotype" w:cs="Arial"/>
          <w:szCs w:val="23"/>
        </w:rPr>
        <w:t>,</w:t>
      </w:r>
      <w:r w:rsidR="000E2158" w:rsidRPr="00A826A4">
        <w:rPr>
          <w:rFonts w:ascii="Palatino Linotype" w:hAnsi="Palatino Linotype" w:cs="Arial"/>
          <w:szCs w:val="23"/>
        </w:rPr>
        <w:t xml:space="preserve"> lo siguiente</w:t>
      </w:r>
      <w:r w:rsidRPr="00A826A4">
        <w:rPr>
          <w:rFonts w:ascii="Palatino Linotype" w:hAnsi="Palatino Linotype" w:cs="Arial"/>
          <w:szCs w:val="23"/>
        </w:rPr>
        <w:t>:</w:t>
      </w:r>
    </w:p>
    <w:p w:rsidR="000E2158" w:rsidRPr="000E2158" w:rsidRDefault="000E2158" w:rsidP="000E2158">
      <w:pPr>
        <w:pStyle w:val="Prrafodelista"/>
        <w:tabs>
          <w:tab w:val="left" w:pos="142"/>
          <w:tab w:val="left" w:pos="284"/>
        </w:tabs>
        <w:spacing w:before="240" w:after="240" w:line="360" w:lineRule="auto"/>
        <w:ind w:left="993" w:right="851"/>
        <w:jc w:val="both"/>
        <w:rPr>
          <w:rFonts w:ascii="Palatino Linotype" w:hAnsi="Palatino Linotype"/>
          <w:i/>
          <w:sz w:val="12"/>
        </w:rPr>
      </w:pPr>
    </w:p>
    <w:p w:rsidR="00CA3B1A" w:rsidRPr="00CA3B1A" w:rsidRDefault="00CA3B1A" w:rsidP="00CA3B1A">
      <w:pPr>
        <w:spacing w:line="360" w:lineRule="auto"/>
        <w:ind w:left="567" w:right="567"/>
        <w:jc w:val="both"/>
        <w:rPr>
          <w:rFonts w:ascii="Palatino Linotype" w:hAnsi="Palatino Linotype"/>
          <w:i/>
          <w:sz w:val="22"/>
        </w:rPr>
      </w:pPr>
      <w:r w:rsidRPr="00CA3B1A">
        <w:rPr>
          <w:rFonts w:ascii="Palatino Linotype" w:hAnsi="Palatino Linotype"/>
          <w:i/>
          <w:sz w:val="22"/>
        </w:rPr>
        <w:t>“</w:t>
      </w:r>
      <w:r w:rsidR="00A826A4" w:rsidRPr="00A826A4">
        <w:rPr>
          <w:rFonts w:ascii="Palatino Linotype" w:hAnsi="Palatino Linotype"/>
          <w:i/>
          <w:sz w:val="22"/>
        </w:rPr>
        <w:t xml:space="preserve">Solicito información del servidor público: </w:t>
      </w:r>
      <w:r w:rsidR="003734FA" w:rsidRPr="003734FA">
        <w:rPr>
          <w:rFonts w:ascii="Palatino Linotype" w:hAnsi="Palatino Linotype"/>
          <w:i/>
          <w:sz w:val="22"/>
          <w:highlight w:val="black"/>
        </w:rPr>
        <w:t>---------------------------</w:t>
      </w:r>
      <w:r w:rsidR="00A826A4" w:rsidRPr="00A826A4">
        <w:rPr>
          <w:rFonts w:ascii="Palatino Linotype" w:hAnsi="Palatino Linotype"/>
          <w:i/>
          <w:sz w:val="22"/>
        </w:rPr>
        <w:t xml:space="preserve"> </w:t>
      </w:r>
      <w:proofErr w:type="spellStart"/>
      <w:proofErr w:type="gramStart"/>
      <w:r w:rsidR="00A826A4" w:rsidRPr="00A826A4">
        <w:rPr>
          <w:rFonts w:ascii="Palatino Linotype" w:hAnsi="Palatino Linotype"/>
          <w:i/>
          <w:sz w:val="22"/>
        </w:rPr>
        <w:t>C.Servidor</w:t>
      </w:r>
      <w:proofErr w:type="spellEnd"/>
      <w:proofErr w:type="gramEnd"/>
      <w:r w:rsidR="003734FA">
        <w:rPr>
          <w:rFonts w:ascii="Palatino Linotype" w:hAnsi="Palatino Linotype"/>
          <w:i/>
          <w:sz w:val="22"/>
        </w:rPr>
        <w:t xml:space="preserve">                     </w:t>
      </w:r>
      <w:r w:rsidR="00A826A4" w:rsidRPr="00A826A4">
        <w:rPr>
          <w:rFonts w:ascii="Palatino Linotype" w:hAnsi="Palatino Linotype"/>
          <w:i/>
          <w:sz w:val="22"/>
        </w:rPr>
        <w:t xml:space="preserve"> </w:t>
      </w:r>
      <w:r w:rsidR="003734FA" w:rsidRPr="003734FA">
        <w:rPr>
          <w:rFonts w:ascii="Palatino Linotype" w:hAnsi="Palatino Linotype"/>
          <w:i/>
          <w:sz w:val="22"/>
          <w:highlight w:val="black"/>
        </w:rPr>
        <w:t>------</w:t>
      </w:r>
      <w:r w:rsidR="003734FA">
        <w:rPr>
          <w:rFonts w:ascii="Palatino Linotype" w:hAnsi="Palatino Linotype"/>
          <w:i/>
          <w:sz w:val="22"/>
          <w:highlight w:val="black"/>
        </w:rPr>
        <w:t>-</w:t>
      </w:r>
      <w:r w:rsidR="003734FA" w:rsidRPr="003734FA">
        <w:rPr>
          <w:rFonts w:ascii="Palatino Linotype" w:hAnsi="Palatino Linotype"/>
          <w:i/>
          <w:sz w:val="22"/>
          <w:highlight w:val="black"/>
        </w:rPr>
        <w:t>-------</w:t>
      </w:r>
      <w:r w:rsidR="00A826A4" w:rsidRPr="00A826A4">
        <w:rPr>
          <w:rFonts w:ascii="Palatino Linotype" w:hAnsi="Palatino Linotype"/>
          <w:i/>
          <w:sz w:val="22"/>
        </w:rPr>
        <w:t>, Puesto: Agente investigador, Dependencia: fiscalía general de Justicia del Estado de México, Unidad: Oficina del C. Fiscal especial. copia certificada de la tarjeta o pase de lista de asistencia del 15 de marzo al 15 de mayo de 2020. Reporte de asistencia a operativos y/o guardias del 15 de marzo al 15 de mayo 2020</w:t>
      </w:r>
      <w:r w:rsidRPr="00CA3B1A">
        <w:rPr>
          <w:rFonts w:ascii="Palatino Linotype" w:hAnsi="Palatino Linotype"/>
          <w:i/>
          <w:sz w:val="22"/>
        </w:rPr>
        <w:t>.” (Sic)</w:t>
      </w:r>
    </w:p>
    <w:p w:rsidR="000E2158" w:rsidRPr="003F40A7" w:rsidRDefault="000E2158" w:rsidP="000E2158">
      <w:pPr>
        <w:pStyle w:val="Prrafodelista"/>
        <w:tabs>
          <w:tab w:val="left" w:pos="142"/>
          <w:tab w:val="left" w:pos="284"/>
        </w:tabs>
        <w:spacing w:before="240" w:after="240" w:line="360" w:lineRule="auto"/>
        <w:ind w:left="993" w:right="851"/>
        <w:jc w:val="both"/>
        <w:rPr>
          <w:rFonts w:ascii="Palatino Linotype" w:hAnsi="Palatino Linotype"/>
          <w:sz w:val="22"/>
        </w:rPr>
      </w:pPr>
    </w:p>
    <w:p w:rsidR="00A826A4" w:rsidRPr="009157BC" w:rsidRDefault="00BB0779" w:rsidP="00A826A4">
      <w:pPr>
        <w:pStyle w:val="Prrafodelista"/>
        <w:keepNext/>
        <w:keepLines/>
        <w:numPr>
          <w:ilvl w:val="0"/>
          <w:numId w:val="2"/>
        </w:numPr>
        <w:tabs>
          <w:tab w:val="left" w:pos="142"/>
          <w:tab w:val="left" w:pos="284"/>
          <w:tab w:val="left" w:pos="426"/>
        </w:tabs>
        <w:spacing w:before="40" w:after="240" w:line="360" w:lineRule="auto"/>
        <w:ind w:left="0" w:firstLine="0"/>
        <w:jc w:val="both"/>
        <w:outlineLvl w:val="1"/>
        <w:rPr>
          <w:rFonts w:ascii="Palatino Linotype" w:eastAsia="MS Gothic" w:hAnsi="Palatino Linotype" w:cs="Times New Roman"/>
          <w:b/>
          <w:szCs w:val="26"/>
        </w:rPr>
      </w:pPr>
      <w:bookmarkStart w:id="21" w:name="_Toc58596304"/>
      <w:r w:rsidRPr="00A826A4">
        <w:rPr>
          <w:rFonts w:ascii="Palatino Linotype" w:eastAsia="Times New Roman" w:hAnsi="Palatino Linotype" w:cs="Arial"/>
          <w:color w:val="222222"/>
          <w:lang w:val="es-ES" w:eastAsia="es-MX"/>
        </w:rPr>
        <w:t>P</w:t>
      </w:r>
      <w:r w:rsidR="00093440" w:rsidRPr="00A826A4">
        <w:rPr>
          <w:rFonts w:ascii="Palatino Linotype" w:eastAsia="Times New Roman" w:hAnsi="Palatino Linotype" w:cs="Arial"/>
          <w:color w:val="222222"/>
          <w:lang w:val="es-ES" w:eastAsia="es-MX"/>
        </w:rPr>
        <w:t xml:space="preserve">osteriormente, el </w:t>
      </w:r>
      <w:r w:rsidR="00093440" w:rsidRPr="00A826A4">
        <w:rPr>
          <w:rFonts w:ascii="Palatino Linotype" w:eastAsia="Times New Roman" w:hAnsi="Palatino Linotype" w:cs="Arial"/>
          <w:b/>
          <w:color w:val="222222"/>
          <w:lang w:val="es-ES" w:eastAsia="es-MX"/>
        </w:rPr>
        <w:t>SUJETO OBLIGADO</w:t>
      </w:r>
      <w:r w:rsidR="00C36F77" w:rsidRPr="00A826A4">
        <w:rPr>
          <w:rFonts w:ascii="Palatino Linotype" w:eastAsia="Times New Roman" w:hAnsi="Palatino Linotype" w:cs="Arial"/>
          <w:color w:val="222222"/>
          <w:lang w:val="es-ES" w:eastAsia="es-MX"/>
        </w:rPr>
        <w:t xml:space="preserve"> refirió la</w:t>
      </w:r>
      <w:r w:rsidR="00A826A4" w:rsidRPr="00A826A4">
        <w:rPr>
          <w:rFonts w:ascii="Palatino Linotype" w:eastAsia="Times New Roman" w:hAnsi="Palatino Linotype" w:cs="Arial"/>
          <w:color w:val="222222"/>
          <w:lang w:val="es-ES" w:eastAsia="es-MX"/>
        </w:rPr>
        <w:t xml:space="preserve"> imposibilidad de entregar la información solicitada</w:t>
      </w:r>
      <w:r w:rsidR="00C36F77" w:rsidRPr="00A826A4">
        <w:rPr>
          <w:rFonts w:ascii="Palatino Linotype" w:eastAsia="Times New Roman" w:hAnsi="Palatino Linotype" w:cs="Arial"/>
          <w:color w:val="222222"/>
          <w:lang w:val="es-ES" w:eastAsia="es-MX"/>
        </w:rPr>
        <w:t xml:space="preserve">, por </w:t>
      </w:r>
      <w:r w:rsidR="00A826A4" w:rsidRPr="00A826A4">
        <w:rPr>
          <w:rFonts w:ascii="Palatino Linotype" w:eastAsia="Times New Roman" w:hAnsi="Palatino Linotype" w:cs="Arial"/>
          <w:color w:val="222222"/>
          <w:lang w:val="es-ES" w:eastAsia="es-MX"/>
        </w:rPr>
        <w:t xml:space="preserve">contener información susceptible de ser clasificada por </w:t>
      </w:r>
      <w:r w:rsidR="00C36F77" w:rsidRPr="00A826A4">
        <w:rPr>
          <w:rFonts w:ascii="Palatino Linotype" w:eastAsia="Times New Roman" w:hAnsi="Palatino Linotype" w:cs="Arial"/>
          <w:color w:val="222222"/>
          <w:lang w:val="es-ES" w:eastAsia="es-MX"/>
        </w:rPr>
        <w:t>lo que el particular se i</w:t>
      </w:r>
      <w:bookmarkStart w:id="22" w:name="_Toc499659080"/>
      <w:r w:rsidR="00A826A4">
        <w:rPr>
          <w:rFonts w:ascii="Palatino Linotype" w:eastAsia="Times New Roman" w:hAnsi="Palatino Linotype" w:cs="Arial"/>
          <w:color w:val="222222"/>
          <w:lang w:val="es-ES" w:eastAsia="es-MX"/>
        </w:rPr>
        <w:t>nconforma argumentando como razones o motivos de inconformidad le negativa de la información solicitada y la falta, deficiencia o insuficiencia de la fundamentación y/o motivación en la respuesta.</w:t>
      </w:r>
      <w:bookmarkEnd w:id="21"/>
      <w:r w:rsidR="00A826A4">
        <w:rPr>
          <w:rFonts w:ascii="Palatino Linotype" w:eastAsia="Times New Roman" w:hAnsi="Palatino Linotype" w:cs="Arial"/>
          <w:color w:val="222222"/>
          <w:lang w:val="es-ES" w:eastAsia="es-MX"/>
        </w:rPr>
        <w:t xml:space="preserve">  </w:t>
      </w:r>
    </w:p>
    <w:p w:rsidR="00A826A4" w:rsidRDefault="00A826A4" w:rsidP="00A826A4">
      <w:pPr>
        <w:pStyle w:val="Prrafodelista"/>
        <w:keepNext/>
        <w:keepLines/>
        <w:tabs>
          <w:tab w:val="left" w:pos="142"/>
          <w:tab w:val="left" w:pos="284"/>
          <w:tab w:val="left" w:pos="426"/>
        </w:tabs>
        <w:spacing w:before="40" w:after="240" w:line="360" w:lineRule="auto"/>
        <w:ind w:left="0"/>
        <w:jc w:val="both"/>
        <w:outlineLvl w:val="1"/>
        <w:rPr>
          <w:rFonts w:ascii="Palatino Linotype" w:eastAsia="Times New Roman" w:hAnsi="Palatino Linotype" w:cs="Arial"/>
          <w:color w:val="222222"/>
          <w:lang w:val="es-ES" w:eastAsia="es-MX"/>
        </w:rPr>
      </w:pPr>
    </w:p>
    <w:p w:rsidR="00390C2D" w:rsidRPr="00A826A4" w:rsidRDefault="002572AE" w:rsidP="00A826A4">
      <w:pPr>
        <w:pStyle w:val="Prrafodelista"/>
        <w:keepNext/>
        <w:keepLines/>
        <w:tabs>
          <w:tab w:val="left" w:pos="142"/>
          <w:tab w:val="left" w:pos="284"/>
          <w:tab w:val="left" w:pos="426"/>
        </w:tabs>
        <w:spacing w:before="40" w:after="240" w:line="360" w:lineRule="auto"/>
        <w:ind w:left="0"/>
        <w:jc w:val="both"/>
        <w:outlineLvl w:val="1"/>
        <w:rPr>
          <w:rFonts w:ascii="Palatino Linotype" w:eastAsia="MS Gothic" w:hAnsi="Palatino Linotype" w:cs="Times New Roman"/>
          <w:b/>
          <w:szCs w:val="26"/>
        </w:rPr>
      </w:pPr>
      <w:bookmarkStart w:id="23" w:name="_Toc58596305"/>
      <w:r w:rsidRPr="00A826A4">
        <w:rPr>
          <w:rFonts w:ascii="Palatino Linotype" w:eastAsia="MS Gothic" w:hAnsi="Palatino Linotype" w:cs="Times New Roman"/>
          <w:b/>
          <w:szCs w:val="26"/>
        </w:rPr>
        <w:t>CUARTO</w:t>
      </w:r>
      <w:r w:rsidR="001E4669" w:rsidRPr="00A826A4">
        <w:rPr>
          <w:rFonts w:ascii="Palatino Linotype" w:eastAsia="MS Gothic" w:hAnsi="Palatino Linotype" w:cs="Times New Roman"/>
          <w:b/>
          <w:szCs w:val="26"/>
        </w:rPr>
        <w:t xml:space="preserve">. </w:t>
      </w:r>
      <w:r w:rsidR="00390C2D" w:rsidRPr="00A826A4">
        <w:rPr>
          <w:rFonts w:ascii="Palatino Linotype" w:eastAsia="MS Gothic" w:hAnsi="Palatino Linotype" w:cs="Times New Roman"/>
          <w:b/>
          <w:szCs w:val="26"/>
        </w:rPr>
        <w:t>Del estudio y resolución del asunto</w:t>
      </w:r>
      <w:bookmarkEnd w:id="23"/>
    </w:p>
    <w:p w:rsidR="0052144D" w:rsidRDefault="0052144D" w:rsidP="0052144D">
      <w:pPr>
        <w:rPr>
          <w:rFonts w:ascii="Palatino Linotype" w:eastAsia="MS Gothic" w:hAnsi="Palatino Linotype" w:cs="Times New Roman"/>
          <w:b/>
          <w:szCs w:val="26"/>
        </w:rPr>
      </w:pPr>
      <w:bookmarkStart w:id="24" w:name="_Toc498528948"/>
    </w:p>
    <w:p w:rsidR="009157BC" w:rsidRDefault="006E5EF0" w:rsidP="009157BC">
      <w:pPr>
        <w:pStyle w:val="Prrafodelista"/>
        <w:keepNext/>
        <w:keepLines/>
        <w:tabs>
          <w:tab w:val="left" w:pos="142"/>
          <w:tab w:val="left" w:pos="284"/>
        </w:tabs>
        <w:spacing w:before="40"/>
        <w:ind w:left="0"/>
        <w:outlineLvl w:val="2"/>
        <w:rPr>
          <w:rFonts w:ascii="Palatino Linotype" w:eastAsia="MS Gothic" w:hAnsi="Palatino Linotype" w:cs="Times New Roman"/>
          <w:b/>
          <w:color w:val="000000"/>
          <w:lang w:val="es-MX" w:eastAsia="en-US"/>
        </w:rPr>
      </w:pPr>
      <w:bookmarkStart w:id="25" w:name="_Toc58596306"/>
      <w:r>
        <w:rPr>
          <w:rFonts w:ascii="Palatino Linotype" w:eastAsia="MS Gothic" w:hAnsi="Palatino Linotype" w:cs="Times New Roman"/>
          <w:b/>
          <w:szCs w:val="26"/>
        </w:rPr>
        <w:lastRenderedPageBreak/>
        <w:t>I</w:t>
      </w:r>
      <w:r w:rsidR="009157BC">
        <w:rPr>
          <w:rFonts w:ascii="Palatino Linotype" w:eastAsia="MS Gothic" w:hAnsi="Palatino Linotype" w:cs="Times New Roman"/>
          <w:b/>
          <w:szCs w:val="26"/>
        </w:rPr>
        <w:t>.</w:t>
      </w:r>
      <w:r w:rsidR="009157BC" w:rsidRPr="009157BC">
        <w:rPr>
          <w:rFonts w:ascii="Palatino Linotype" w:eastAsia="MS Gothic" w:hAnsi="Palatino Linotype" w:cs="Times New Roman"/>
          <w:b/>
          <w:color w:val="000000"/>
          <w:lang w:val="es-MX" w:eastAsia="en-US"/>
        </w:rPr>
        <w:t xml:space="preserve"> Del deber de las Autoridades de Juzgar con Perspectiva de Género.</w:t>
      </w:r>
      <w:bookmarkEnd w:id="25"/>
      <w:r w:rsidR="009157BC" w:rsidRPr="009157BC">
        <w:rPr>
          <w:rFonts w:ascii="Palatino Linotype" w:eastAsia="MS Gothic" w:hAnsi="Palatino Linotype" w:cs="Times New Roman"/>
          <w:b/>
          <w:color w:val="000000"/>
          <w:lang w:val="es-MX" w:eastAsia="en-US"/>
        </w:rPr>
        <w:t xml:space="preserve"> </w:t>
      </w:r>
    </w:p>
    <w:p w:rsidR="009157BC" w:rsidRPr="009157BC" w:rsidRDefault="009157BC" w:rsidP="009157BC">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p>
    <w:p w:rsidR="009C5323" w:rsidRPr="009C5323" w:rsidRDefault="009157BC" w:rsidP="009157BC">
      <w:pPr>
        <w:pStyle w:val="Prrafodelista"/>
        <w:keepNext/>
        <w:keepLines/>
        <w:numPr>
          <w:ilvl w:val="0"/>
          <w:numId w:val="2"/>
        </w:numPr>
        <w:spacing w:before="240" w:line="360" w:lineRule="auto"/>
        <w:ind w:left="0" w:firstLine="0"/>
        <w:jc w:val="both"/>
        <w:outlineLvl w:val="0"/>
        <w:rPr>
          <w:rFonts w:ascii="Palatino Linotype" w:eastAsia="MS Gothic" w:hAnsi="Palatino Linotype" w:cs="Times New Roman"/>
          <w:b/>
          <w:color w:val="000000"/>
          <w:lang w:val="es-MX" w:eastAsia="en-US"/>
        </w:rPr>
      </w:pPr>
      <w:bookmarkStart w:id="26" w:name="_Toc57864015"/>
      <w:bookmarkStart w:id="27" w:name="_Toc58596307"/>
      <w:r w:rsidRPr="009157BC">
        <w:rPr>
          <w:rFonts w:ascii="Palatino Linotype" w:eastAsia="MS Gothic" w:hAnsi="Palatino Linotype" w:cs="Times New Roman"/>
          <w:color w:val="000000"/>
          <w:lang w:val="es-MX" w:eastAsia="en-US"/>
        </w:rPr>
        <w:t>Establecido la anterior y previo al análisis de la información solicitada, es oportuno señalar que dada la naturaleza del presente caso y de conformidad con los principios de eficacia y profesionalismo</w:t>
      </w:r>
      <w:r w:rsidRPr="009157BC">
        <w:rPr>
          <w:rFonts w:eastAsia="MS Gothic"/>
          <w:vertAlign w:val="superscript"/>
          <w:lang w:val="es-MX" w:eastAsia="en-US"/>
        </w:rPr>
        <w:footnoteReference w:id="1"/>
      </w:r>
      <w:r w:rsidRPr="009157BC">
        <w:rPr>
          <w:rFonts w:ascii="Palatino Linotype" w:eastAsia="MS Gothic" w:hAnsi="Palatino Linotype" w:cs="Times New Roman"/>
          <w:color w:val="000000"/>
          <w:lang w:val="es-MX" w:eastAsia="en-US"/>
        </w:rPr>
        <w:t xml:space="preserve"> señalados por la Ley de la Materia, se advierte que este Instituto de Transparencia, Acceso a la Información y Protección de Datos Personales del Estado de México y Municipio debe conducir su actuar bajo una perspectiva de género.</w:t>
      </w:r>
      <w:bookmarkEnd w:id="26"/>
      <w:bookmarkEnd w:id="27"/>
    </w:p>
    <w:p w:rsidR="009C5323" w:rsidRPr="009C5323" w:rsidRDefault="009C5323" w:rsidP="009C5323">
      <w:pPr>
        <w:pStyle w:val="Prrafodelista"/>
        <w:keepNext/>
        <w:keepLines/>
        <w:spacing w:before="240" w:line="360" w:lineRule="auto"/>
        <w:ind w:left="0"/>
        <w:jc w:val="both"/>
        <w:outlineLvl w:val="0"/>
        <w:rPr>
          <w:rFonts w:ascii="Palatino Linotype" w:eastAsia="MS Gothic" w:hAnsi="Palatino Linotype" w:cs="Times New Roman"/>
          <w:b/>
          <w:color w:val="000000"/>
          <w:lang w:val="es-MX" w:eastAsia="en-US"/>
        </w:rPr>
      </w:pPr>
    </w:p>
    <w:p w:rsidR="009157BC" w:rsidRPr="009C5323" w:rsidRDefault="009C5323" w:rsidP="009157BC">
      <w:pPr>
        <w:pStyle w:val="Prrafodelista"/>
        <w:keepNext/>
        <w:keepLines/>
        <w:numPr>
          <w:ilvl w:val="0"/>
          <w:numId w:val="2"/>
        </w:numPr>
        <w:spacing w:before="240" w:line="360" w:lineRule="auto"/>
        <w:ind w:left="0" w:firstLine="0"/>
        <w:jc w:val="both"/>
        <w:outlineLvl w:val="0"/>
        <w:rPr>
          <w:rFonts w:ascii="Palatino Linotype" w:eastAsia="MS Gothic" w:hAnsi="Palatino Linotype" w:cs="Times New Roman"/>
          <w:b/>
          <w:color w:val="000000"/>
          <w:lang w:val="es-MX" w:eastAsia="en-US"/>
        </w:rPr>
      </w:pPr>
      <w:r w:rsidRPr="009C5323">
        <w:rPr>
          <w:rFonts w:ascii="Palatino Linotype" w:eastAsia="MS Gothic" w:hAnsi="Palatino Linotype" w:cs="Times New Roman"/>
          <w:color w:val="000000"/>
          <w:lang w:val="es-MX" w:eastAsia="en-US"/>
        </w:rPr>
        <w:t>En efecto, de conformidad con lo expuesto por la hoy recurrente en su solicitud de información, es posible observar que se requiere acceso a la lista de asistencia de operativos o guardias, lo que permite deducir a este Órgano Garante que la información se requiera con la finalidad de gestionar algún beneficio laboral del servidor público referido en la solicitud,  por lo que de conformidad con lo que se expone en la Tesis 1a. XCIX/2014 se deberá de considerar dicha situación, como a continuación se observa:</w:t>
      </w:r>
    </w:p>
    <w:p w:rsidR="009157BC" w:rsidRDefault="009157BC" w:rsidP="009157BC">
      <w:pPr>
        <w:keepNext/>
        <w:keepLines/>
        <w:spacing w:before="240" w:line="360" w:lineRule="auto"/>
        <w:ind w:left="567" w:right="567"/>
        <w:contextualSpacing/>
        <w:jc w:val="both"/>
        <w:outlineLvl w:val="0"/>
        <w:rPr>
          <w:rFonts w:ascii="Palatino Linotype" w:eastAsia="MS Gothic" w:hAnsi="Palatino Linotype" w:cs="Times New Roman"/>
          <w:i/>
          <w:color w:val="000000"/>
          <w:lang w:val="es-MX" w:eastAsia="en-US"/>
        </w:rPr>
      </w:pPr>
      <w:bookmarkStart w:id="28" w:name="_Toc57864017"/>
      <w:bookmarkStart w:id="29" w:name="_Toc58596309"/>
      <w:r w:rsidRPr="009157BC">
        <w:rPr>
          <w:rFonts w:ascii="Palatino Linotype" w:eastAsia="MS Gothic" w:hAnsi="Palatino Linotype" w:cs="Times New Roman"/>
          <w:b/>
          <w:i/>
          <w:color w:val="000000"/>
          <w:lang w:val="es-MX" w:eastAsia="en-US"/>
        </w:rPr>
        <w:lastRenderedPageBreak/>
        <w:t>“ACCESO A LA JUSTICIA EN CONDICIONES DE IGUALDAD. TODOS LOS ÓRGANOS JURISDICCIONALES DEL PAÍS DEBEN DE IMPARTIR JUSTICIA CON PERSPECTIVA DE GÉNERO.</w:t>
      </w:r>
      <w:bookmarkEnd w:id="28"/>
      <w:r w:rsidRPr="009157BC">
        <w:rPr>
          <w:rFonts w:ascii="Palatino Linotype" w:eastAsia="MS Gothic" w:hAnsi="Palatino Linotype" w:cs="Times New Roman"/>
          <w:b/>
          <w:i/>
          <w:color w:val="000000"/>
          <w:lang w:val="es-MX" w:eastAsia="en-US"/>
        </w:rPr>
        <w:t xml:space="preserve"> </w:t>
      </w:r>
      <w:bookmarkStart w:id="30" w:name="_Toc57864018"/>
      <w:r w:rsidRPr="009157BC">
        <w:rPr>
          <w:rFonts w:ascii="Palatino Linotype" w:eastAsia="MS Gothic" w:hAnsi="Palatino Linotype" w:cs="Times New Roman"/>
          <w:i/>
          <w:color w:val="000000"/>
          <w:lang w:val="es-MX" w:eastAsia="en-US"/>
        </w:rPr>
        <w:t xml:space="preserve">De los artículos 1o. y 4o. de la Constitución Política de los Estados Unidos Mexicanos, 2, 6 y 7 de la Convención Interamericana para Prevenir, Sancionar y Erradicar la violencia contra la Mujer, “Convención de Belém do Pará”, adoptada en la ciudad de Belém do Pará, Brasil, el 9 de junio de 1994, publicada en el Diario Oficial de la Federación el 19 de enero de 1999 y, 1y 16 de la Convención de las Naciones Unidas sobre la Eliminación de Todas las Formas de Discriminación contra la Mujer, adoptada por la asamblea general el 18 de diciembre de 1979, publicada en el señalado medio de difusión oficial el 12 de mayo 1981, deriva que el derecho humano de la mujer a una vida libre de violencia y discriminación es interdependiente del derecho a la igualdad; primeramente, porque este último funge como presupuesto básico para el goce y ejercicio de otros derechos y porque los derechos humanos de genero giran en torno a los principios de igualdad y no violencia y discriminación y de acceso a la justicia en condiciones de igualdad, </w:t>
      </w:r>
      <w:r w:rsidRPr="009157BC">
        <w:rPr>
          <w:rFonts w:ascii="Palatino Linotype" w:eastAsia="MS Gothic" w:hAnsi="Palatino Linotype" w:cs="Times New Roman"/>
          <w:b/>
          <w:i/>
          <w:color w:val="000000"/>
          <w:lang w:val="es-MX" w:eastAsia="en-US"/>
        </w:rPr>
        <w:t>exige que todos los órganos jurisdiccionales del país impartan justicia con perspectiva de género, que constituye un método que pretende detectar y eliminar todas las situaciones de desventaja que, por cuestiones de género, discriminan e impiden la igualdad</w:t>
      </w:r>
      <w:r w:rsidRPr="009157BC">
        <w:rPr>
          <w:rFonts w:ascii="Palatino Linotype" w:eastAsia="MS Gothic" w:hAnsi="Palatino Linotype" w:cs="Times New Roman"/>
          <w:i/>
          <w:color w:val="000000"/>
          <w:lang w:val="es-MX" w:eastAsia="en-US"/>
        </w:rPr>
        <w:t xml:space="preserve">. De ahí que el juez debe de cuestionar los estereotipos preconcebidos en la legislación respecto de las funciones de uno u otro género, así como actuar con neutralidad en la aplicación de la norma jurídica en cada situación; toda vez que el Estado tiene el deber de velar porque en toda controversia jurisdiccional donde se advierta una situación </w:t>
      </w:r>
      <w:r w:rsidRPr="009157BC">
        <w:rPr>
          <w:rFonts w:ascii="Palatino Linotype" w:eastAsia="MS Gothic" w:hAnsi="Palatino Linotype" w:cs="Times New Roman"/>
          <w:i/>
          <w:color w:val="000000"/>
          <w:lang w:val="es-MX" w:eastAsia="en-US"/>
        </w:rPr>
        <w:lastRenderedPageBreak/>
        <w:t>de violencia, discriminación o vulnerabilidad por razones de género, esta sea tomada en cuenta a fin de visualizar claramente la problemática y garantizar el acceso a la justicia de forma efectiva e igualitaria. “(Sic)</w:t>
      </w:r>
      <w:bookmarkEnd w:id="29"/>
      <w:bookmarkEnd w:id="30"/>
    </w:p>
    <w:p w:rsidR="009157BC" w:rsidRPr="009157BC" w:rsidRDefault="009157BC" w:rsidP="009157BC">
      <w:pPr>
        <w:keepNext/>
        <w:keepLines/>
        <w:spacing w:before="240" w:line="360" w:lineRule="auto"/>
        <w:ind w:left="567" w:right="567"/>
        <w:contextualSpacing/>
        <w:jc w:val="both"/>
        <w:outlineLvl w:val="0"/>
        <w:rPr>
          <w:rFonts w:ascii="Palatino Linotype" w:eastAsia="MS Gothic" w:hAnsi="Palatino Linotype" w:cs="Times New Roman"/>
          <w:b/>
          <w:i/>
          <w:color w:val="000000"/>
          <w:lang w:val="es-MX" w:eastAsia="en-US"/>
        </w:rPr>
      </w:pPr>
    </w:p>
    <w:p w:rsidR="009157BC" w:rsidRPr="009157BC" w:rsidRDefault="009157BC" w:rsidP="009157BC">
      <w:pPr>
        <w:keepNext/>
        <w:keepLines/>
        <w:numPr>
          <w:ilvl w:val="0"/>
          <w:numId w:val="2"/>
        </w:numPr>
        <w:spacing w:before="240" w:line="360" w:lineRule="auto"/>
        <w:ind w:left="0" w:firstLine="0"/>
        <w:contextualSpacing/>
        <w:jc w:val="both"/>
        <w:outlineLvl w:val="0"/>
        <w:rPr>
          <w:rFonts w:ascii="Palatino Linotype" w:eastAsia="MS Gothic" w:hAnsi="Palatino Linotype" w:cs="Times New Roman"/>
          <w:b/>
          <w:color w:val="000000"/>
          <w:lang w:val="es-MX" w:eastAsia="en-US"/>
        </w:rPr>
      </w:pPr>
      <w:r w:rsidRPr="009157BC">
        <w:rPr>
          <w:rFonts w:ascii="Palatino Linotype" w:eastAsia="MS Gothic" w:hAnsi="Palatino Linotype" w:cs="Times New Roman"/>
          <w:color w:val="000000"/>
          <w:lang w:val="es-MX" w:eastAsia="en-US"/>
        </w:rPr>
        <w:t xml:space="preserve"> </w:t>
      </w:r>
      <w:bookmarkStart w:id="31" w:name="_Toc57864019"/>
      <w:bookmarkStart w:id="32" w:name="_Toc58596310"/>
      <w:r w:rsidRPr="009157BC">
        <w:rPr>
          <w:rFonts w:ascii="Palatino Linotype" w:eastAsia="MS Gothic" w:hAnsi="Palatino Linotype" w:cs="Times New Roman"/>
          <w:color w:val="000000"/>
          <w:lang w:val="es-MX" w:eastAsia="en-US"/>
        </w:rPr>
        <w:t xml:space="preserve">Así, es preciso referir </w:t>
      </w:r>
      <w:r w:rsidRPr="009157BC">
        <w:rPr>
          <w:rFonts w:ascii="Palatino Linotype" w:hAnsi="Palatino Linotype" w:cs="Arial"/>
        </w:rPr>
        <w:t xml:space="preserve">que </w:t>
      </w:r>
      <w:r w:rsidRPr="009157BC">
        <w:rPr>
          <w:rFonts w:ascii="Palatino Linotype" w:hAnsi="Palatino Linotype"/>
        </w:rPr>
        <w:t>si bien el Derecho</w:t>
      </w:r>
      <w:r w:rsidR="00F54483">
        <w:rPr>
          <w:rFonts w:ascii="Palatino Linotype" w:hAnsi="Palatino Linotype"/>
        </w:rPr>
        <w:t xml:space="preserve"> de Acceso, Rectificación, Cancelación y Oposición </w:t>
      </w:r>
      <w:r w:rsidRPr="009157BC">
        <w:rPr>
          <w:rFonts w:ascii="Palatino Linotype" w:hAnsi="Palatino Linotype"/>
        </w:rPr>
        <w:t xml:space="preserve">, tiene por objeto </w:t>
      </w:r>
      <w:r w:rsidR="00F54483">
        <w:rPr>
          <w:rFonts w:ascii="Palatino Linotype" w:hAnsi="Palatino Linotype"/>
        </w:rPr>
        <w:t>el libre manejo de la información personal</w:t>
      </w:r>
      <w:r w:rsidRPr="009157BC">
        <w:rPr>
          <w:rFonts w:ascii="Palatino Linotype" w:hAnsi="Palatino Linotype"/>
          <w:b/>
        </w:rPr>
        <w:t>, también tiene</w:t>
      </w:r>
      <w:r w:rsidR="00F54483">
        <w:rPr>
          <w:rFonts w:ascii="Palatino Linotype" w:hAnsi="Palatino Linotype"/>
          <w:b/>
        </w:rPr>
        <w:t>n</w:t>
      </w:r>
      <w:r w:rsidRPr="009157BC">
        <w:rPr>
          <w:rFonts w:ascii="Palatino Linotype" w:hAnsi="Palatino Linotype"/>
          <w:b/>
        </w:rPr>
        <w:t xml:space="preserve"> como fin salvaguardar otros derechos, </w:t>
      </w:r>
      <w:r w:rsidRPr="009157BC">
        <w:rPr>
          <w:rFonts w:ascii="Palatino Linotype" w:hAnsi="Palatino Linotype"/>
        </w:rPr>
        <w:t>esto</w:t>
      </w:r>
      <w:r w:rsidRPr="009157BC">
        <w:rPr>
          <w:rFonts w:ascii="Palatino Linotype" w:hAnsi="Palatino Linotype"/>
          <w:b/>
        </w:rPr>
        <w:t xml:space="preserve">, </w:t>
      </w:r>
      <w:r w:rsidRPr="009157BC">
        <w:rPr>
          <w:rFonts w:ascii="Palatino Linotype" w:hAnsi="Palatino Linotype"/>
        </w:rPr>
        <w:t xml:space="preserve">de conformidad con el tercer párrafo del artículo primero de la Constitución Política de los Estados Unidos Mexicanos que precisa que </w:t>
      </w:r>
      <w:r w:rsidRPr="009157BC">
        <w:rPr>
          <w:rFonts w:ascii="Palatino Linotype" w:hAnsi="Palatino Linotype"/>
          <w:i/>
        </w:rPr>
        <w:t xml:space="preserve">“Todas las autoridades, en ámbito de sus competencias, tienen la obligación de promover, respetar, proteger y garantizar los derechos humanos de conformidad con los principios de universalidad, </w:t>
      </w:r>
      <w:r w:rsidRPr="009157BC">
        <w:rPr>
          <w:rFonts w:ascii="Palatino Linotype" w:hAnsi="Palatino Linotype"/>
          <w:b/>
          <w:i/>
        </w:rPr>
        <w:t>interdependencia,</w:t>
      </w:r>
      <w:r w:rsidRPr="009157BC">
        <w:rPr>
          <w:rFonts w:ascii="Palatino Linotype" w:hAnsi="Palatino Linotype"/>
          <w:i/>
        </w:rPr>
        <w:t xml:space="preserve"> indivisibilidad y progresividad. En consecuencia, el estado deberá prevenir, investigar, sancionar y reparar las violaciones a los derechos humanos en los términos que establezca la ley”.</w:t>
      </w:r>
      <w:bookmarkEnd w:id="31"/>
      <w:bookmarkEnd w:id="32"/>
    </w:p>
    <w:p w:rsidR="009157BC" w:rsidRPr="009157BC" w:rsidRDefault="009157BC" w:rsidP="009157BC">
      <w:pPr>
        <w:keepNext/>
        <w:keepLines/>
        <w:spacing w:before="240" w:line="360" w:lineRule="auto"/>
        <w:contextualSpacing/>
        <w:jc w:val="both"/>
        <w:outlineLvl w:val="0"/>
        <w:rPr>
          <w:rFonts w:ascii="Palatino Linotype" w:eastAsia="MS Gothic" w:hAnsi="Palatino Linotype" w:cs="Times New Roman"/>
          <w:b/>
          <w:color w:val="000000"/>
          <w:lang w:val="es-MX" w:eastAsia="en-US"/>
        </w:rPr>
      </w:pPr>
    </w:p>
    <w:p w:rsidR="009157BC" w:rsidRPr="009157BC" w:rsidRDefault="009157BC" w:rsidP="009157BC">
      <w:pPr>
        <w:keepNext/>
        <w:keepLines/>
        <w:numPr>
          <w:ilvl w:val="0"/>
          <w:numId w:val="2"/>
        </w:numPr>
        <w:spacing w:before="240" w:line="360" w:lineRule="auto"/>
        <w:ind w:left="0" w:firstLine="0"/>
        <w:contextualSpacing/>
        <w:jc w:val="both"/>
        <w:outlineLvl w:val="0"/>
        <w:rPr>
          <w:rFonts w:ascii="Palatino Linotype" w:eastAsia="MS Gothic" w:hAnsi="Palatino Linotype" w:cs="Times New Roman"/>
          <w:b/>
          <w:color w:val="000000"/>
          <w:lang w:val="es-MX" w:eastAsia="en-US"/>
        </w:rPr>
      </w:pPr>
      <w:bookmarkStart w:id="33" w:name="_Toc57864020"/>
      <w:bookmarkStart w:id="34" w:name="_Toc58596311"/>
      <w:r w:rsidRPr="009157BC">
        <w:rPr>
          <w:rFonts w:ascii="Palatino Linotype" w:hAnsi="Palatino Linotype"/>
        </w:rPr>
        <w:t>Efectivamente, los derechos humanos son interdependientes, es decir, están vinculados entre sí y son indivisibles, lo cual implica que el goce y ejercicio de un derecho está vinculado a que se garantice otro, en el caso en concreto que se analiza se advierte que coexisten diversos derechos humanos como lo es el</w:t>
      </w:r>
      <w:r>
        <w:rPr>
          <w:rFonts w:ascii="Palatino Linotype" w:hAnsi="Palatino Linotype"/>
        </w:rPr>
        <w:t xml:space="preserve"> Interés Superior del Menor</w:t>
      </w:r>
      <w:r w:rsidRPr="009157BC">
        <w:rPr>
          <w:rFonts w:ascii="Palatino Linotype" w:hAnsi="Palatino Linotype"/>
        </w:rPr>
        <w:t>.</w:t>
      </w:r>
      <w:bookmarkEnd w:id="33"/>
      <w:bookmarkEnd w:id="34"/>
      <w:r w:rsidRPr="009157BC">
        <w:rPr>
          <w:rFonts w:ascii="Palatino Linotype" w:hAnsi="Palatino Linotype"/>
        </w:rPr>
        <w:t xml:space="preserve"> </w:t>
      </w:r>
    </w:p>
    <w:p w:rsidR="009157BC" w:rsidRPr="009157BC" w:rsidRDefault="009157BC" w:rsidP="009157BC">
      <w:pPr>
        <w:ind w:left="720"/>
        <w:contextualSpacing/>
        <w:rPr>
          <w:rFonts w:ascii="Palatino Linotype" w:hAnsi="Palatino Linotype"/>
        </w:rPr>
      </w:pPr>
    </w:p>
    <w:p w:rsidR="009157BC" w:rsidRPr="009157BC" w:rsidRDefault="009157BC" w:rsidP="009157BC">
      <w:pPr>
        <w:keepNext/>
        <w:keepLines/>
        <w:numPr>
          <w:ilvl w:val="0"/>
          <w:numId w:val="2"/>
        </w:numPr>
        <w:spacing w:before="240" w:line="360" w:lineRule="auto"/>
        <w:ind w:left="0" w:firstLine="0"/>
        <w:contextualSpacing/>
        <w:jc w:val="both"/>
        <w:outlineLvl w:val="0"/>
        <w:rPr>
          <w:rFonts w:ascii="Palatino Linotype" w:eastAsia="MS Gothic" w:hAnsi="Palatino Linotype" w:cs="Times New Roman"/>
          <w:b/>
          <w:color w:val="000000"/>
          <w:lang w:val="es-MX" w:eastAsia="en-US"/>
        </w:rPr>
      </w:pPr>
      <w:bookmarkStart w:id="35" w:name="_Toc57864021"/>
      <w:bookmarkStart w:id="36" w:name="_Toc58596312"/>
      <w:r w:rsidRPr="009157BC">
        <w:rPr>
          <w:rFonts w:ascii="Palatino Linotype" w:hAnsi="Palatino Linotype"/>
        </w:rPr>
        <w:lastRenderedPageBreak/>
        <w:t>Es por lo anterior que se advierte la importancia que tiene el debido cumplimiento a la resolución que se presenta pues, la solicitud que realiza la particular tiene como principal pretensión acceder a información a efecto de garantizar la seguridad de su persona, lo que como ya se expresó implica la interdependencia de diversos derechos, discernimiento que se robustece a través de la siguiente jurisprudencia:</w:t>
      </w:r>
      <w:bookmarkEnd w:id="35"/>
      <w:bookmarkEnd w:id="36"/>
      <w:r w:rsidRPr="009157BC">
        <w:rPr>
          <w:rFonts w:ascii="Palatino Linotype" w:hAnsi="Palatino Linotype"/>
        </w:rPr>
        <w:t xml:space="preserve"> </w:t>
      </w:r>
    </w:p>
    <w:p w:rsidR="009157BC" w:rsidRPr="009157BC" w:rsidRDefault="009157BC" w:rsidP="009157BC">
      <w:pPr>
        <w:pBdr>
          <w:top w:val="nil"/>
          <w:left w:val="nil"/>
          <w:bottom w:val="nil"/>
          <w:right w:val="nil"/>
          <w:between w:val="nil"/>
          <w:bar w:val="nil"/>
        </w:pBdr>
        <w:spacing w:before="240" w:after="240" w:line="360" w:lineRule="auto"/>
        <w:contextualSpacing/>
        <w:jc w:val="both"/>
        <w:rPr>
          <w:rFonts w:ascii="Palatino Linotype" w:hAnsi="Palatino Linotype"/>
        </w:rPr>
      </w:pPr>
    </w:p>
    <w:p w:rsidR="009157BC" w:rsidRPr="009157BC" w:rsidRDefault="009157BC" w:rsidP="009157BC">
      <w:pPr>
        <w:pBdr>
          <w:top w:val="nil"/>
          <w:left w:val="nil"/>
          <w:bottom w:val="nil"/>
          <w:right w:val="nil"/>
          <w:between w:val="nil"/>
          <w:bar w:val="nil"/>
        </w:pBdr>
        <w:spacing w:before="240" w:after="240" w:line="360" w:lineRule="auto"/>
        <w:ind w:left="567" w:right="616"/>
        <w:contextualSpacing/>
        <w:jc w:val="both"/>
        <w:rPr>
          <w:rFonts w:ascii="Palatino Linotype" w:hAnsi="Palatino Linotype"/>
          <w:i/>
        </w:rPr>
      </w:pPr>
      <w:r w:rsidRPr="009157BC">
        <w:rPr>
          <w:rFonts w:ascii="Palatino Linotype" w:hAnsi="Palatino Linotype"/>
          <w:b/>
          <w:i/>
        </w:rPr>
        <w:t>PRINCIPIOS DE UNIVERSALIDAD, INTERDEPENDENCIA, INDIVISIBILIDAD Y PROGRESIVIDAD DE LOS DERECHOS HUMANOS. EN QUÉ CONSISTEN.</w:t>
      </w:r>
      <w:r w:rsidRPr="009157BC">
        <w:rPr>
          <w:rFonts w:ascii="Palatino Linotype" w:hAnsi="Palatino Linotype"/>
          <w:i/>
        </w:rPr>
        <w:t xml:space="preserve"> El tercer párrafo del artículo 1o. de la Constitución Política de los Estados Unidos Mexicanos dispone, entre otras cuestiones, que todas las autoridades, en el ámbito de sus competencias, tienen la obligación de promover, respetar, proteger y garantizar los derechos humanos de conformidad con los principios de universalidad, interdependencia, indivisibilidad y progresividad, los que consisten en lo siguiente: i) universalidad: que son inherentes a todos y conciernen a la comunidad internacional en su totalidad; en esta medida, son inviolables, lo que no quiere decir que sean absolutos, sino que son protegidos porque no puede infringirse la dignidad humana, pues lo razonable es pensar que se adecuan a las circunstancias; por ello, en razón de esta flexibilidad es que son universales, ya que su naturaleza permite que, al amoldarse a las contingencias, siempre estén con la persona. En relación con lo anterior, la Corte Interamericana de Derechos Humanos (Caso de la "Masacre de Mapiripán vs Colombia) ha señalado que los tratados de derechos humanos son instrumentos vivos, cuya interpretación tiene </w:t>
      </w:r>
      <w:r w:rsidRPr="009157BC">
        <w:rPr>
          <w:rFonts w:ascii="Palatino Linotype" w:hAnsi="Palatino Linotype"/>
          <w:i/>
        </w:rPr>
        <w:lastRenderedPageBreak/>
        <w:t xml:space="preserve">que acompañar la evolución de los tiempos y las condiciones de vida actuales, interpretación evolutiva que es consecuente con las reglas generales de interpretación consagradas en el artículo 29 de la Convención Americana sobre Derechos Humanos, así como las establecidas por la Convención de Viena sobre el Derecho de los Tratados. De ahí que dichos derechos, dentro de sus límites, son inalterables, es decir, que su núcleo esencial es intangible; por ello, la Norma Fundamental señala que ni aun en los estados de excepción se "suspenden", pues en todo caso, siempre se estará de conformidad con los principios del derecho internacional humanitario; </w:t>
      </w:r>
      <w:r w:rsidRPr="009157BC">
        <w:rPr>
          <w:rFonts w:ascii="Palatino Linotype" w:hAnsi="Palatino Linotype"/>
          <w:b/>
          <w:i/>
        </w:rPr>
        <w:t>ii) interdependencia e indivisibilidad: que están relacionados entre sí, esto es, no puede hacerse ninguna separación ni pensar que unos son más importantes que otros, deben interpretarse y tomarse en su conjunto y no como elementos aislados. Todos los derechos humanos y las libertades fundamentales son indivisibles e interdependientes; debe darse igual atención y urgente consideración a la aplicación, promoción y protección de los derechos civiles, políticos, económicos, sociales y culturales; esto es, complementarse, potenciarse o reforzarse recíprocamente;</w:t>
      </w:r>
      <w:r w:rsidRPr="009157BC">
        <w:rPr>
          <w:rFonts w:ascii="Palatino Linotype" w:hAnsi="Palatino Linotype"/>
          <w:i/>
        </w:rPr>
        <w:t xml:space="preserve"> y iii) progresividad: constituye el compromiso de los Estados para adoptar providencias, tanto a nivel interno como mediante la cooperación internacional, especialmente económica y técnica, para lograr progresivamente la plena efectividad de los derechos que se derivan de las normas económicas, sociales y sobre educación, ciencia y cultura, principio que no puede entenderse en el sentido de que los gobiernos no tengan la obligación inmediata de empeñarse por lograr la realización íntegra de tales derechos, sino en la posibilidad de ir </w:t>
      </w:r>
      <w:r w:rsidRPr="009157BC">
        <w:rPr>
          <w:rFonts w:ascii="Palatino Linotype" w:hAnsi="Palatino Linotype"/>
          <w:i/>
        </w:rPr>
        <w:lastRenderedPageBreak/>
        <w:t xml:space="preserve">avanzando gradual y constantemente hacia su más completa realización, en función de sus recursos materiales; así, este principio exige que a medida que mejora el nivel de desarrollo de un Estado, mejore el nivel de compromiso de garantizar los derechos económicos, sociales y culturales. CUARTO TRIBUNAL COLEGIADO EN MATERIA ADMINISTRATIVA DEL PRIMER CIRCUITO. Amparo en revisión 184/2012. Margarita Quezada Labra. 16 de agosto de 2012. Unanimidad de votos. Ponente: Jean Claude Tron Petit. Secretaria: </w:t>
      </w:r>
      <w:proofErr w:type="spellStart"/>
      <w:r w:rsidRPr="009157BC">
        <w:rPr>
          <w:rFonts w:ascii="Palatino Linotype" w:hAnsi="Palatino Linotype"/>
          <w:i/>
        </w:rPr>
        <w:t>Aideé</w:t>
      </w:r>
      <w:proofErr w:type="spellEnd"/>
      <w:r w:rsidRPr="009157BC">
        <w:rPr>
          <w:rFonts w:ascii="Palatino Linotype" w:hAnsi="Palatino Linotype"/>
          <w:i/>
        </w:rPr>
        <w:t xml:space="preserve"> Pineda Núñez</w:t>
      </w:r>
    </w:p>
    <w:p w:rsidR="009157BC" w:rsidRDefault="009157BC"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p>
    <w:p w:rsidR="00390C2D" w:rsidRDefault="009157BC"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bookmarkStart w:id="37" w:name="_Toc58596313"/>
      <w:r>
        <w:rPr>
          <w:rFonts w:ascii="Palatino Linotype" w:eastAsia="MS Gothic" w:hAnsi="Palatino Linotype" w:cs="Times New Roman"/>
          <w:b/>
          <w:szCs w:val="26"/>
        </w:rPr>
        <w:t>II</w:t>
      </w:r>
      <w:r w:rsidR="006E5EF0">
        <w:rPr>
          <w:rFonts w:ascii="Palatino Linotype" w:eastAsia="MS Gothic" w:hAnsi="Palatino Linotype" w:cs="Times New Roman"/>
          <w:b/>
          <w:szCs w:val="26"/>
        </w:rPr>
        <w:t xml:space="preserve">. </w:t>
      </w:r>
      <w:bookmarkEnd w:id="24"/>
      <w:r w:rsidR="008614EA">
        <w:rPr>
          <w:rFonts w:ascii="Palatino Linotype" w:eastAsia="MS Gothic" w:hAnsi="Palatino Linotype" w:cs="Times New Roman"/>
          <w:b/>
          <w:szCs w:val="26"/>
        </w:rPr>
        <w:t>Del Procedimiento de acceso a datos personales.</w:t>
      </w:r>
      <w:bookmarkEnd w:id="37"/>
      <w:r w:rsidR="008614EA">
        <w:rPr>
          <w:rFonts w:ascii="Palatino Linotype" w:eastAsia="MS Gothic" w:hAnsi="Palatino Linotype" w:cs="Times New Roman"/>
          <w:b/>
          <w:szCs w:val="26"/>
        </w:rPr>
        <w:t xml:space="preserve"> </w:t>
      </w:r>
    </w:p>
    <w:p w:rsidR="008614EA" w:rsidRDefault="008614EA"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p>
    <w:p w:rsidR="008614EA" w:rsidRPr="008614EA" w:rsidRDefault="008614EA" w:rsidP="008614EA">
      <w:pPr>
        <w:numPr>
          <w:ilvl w:val="0"/>
          <w:numId w:val="2"/>
        </w:numPr>
        <w:tabs>
          <w:tab w:val="left" w:pos="426"/>
        </w:tabs>
        <w:spacing w:before="240" w:after="240" w:line="360" w:lineRule="auto"/>
        <w:ind w:left="0" w:right="49" w:firstLine="0"/>
        <w:contextualSpacing/>
        <w:jc w:val="both"/>
        <w:rPr>
          <w:rFonts w:ascii="Palatino Linotype" w:hAnsi="Palatino Linotype" w:cs="Arial"/>
        </w:rPr>
      </w:pPr>
      <w:r w:rsidRPr="008614EA">
        <w:rPr>
          <w:rFonts w:ascii="Palatino Linotype" w:hAnsi="Palatino Linotype" w:cs="Arial"/>
          <w:szCs w:val="23"/>
        </w:rPr>
        <w:t xml:space="preserve">De </w:t>
      </w:r>
      <w:r w:rsidRPr="008614EA">
        <w:rPr>
          <w:rFonts w:ascii="Palatino Linotype" w:hAnsi="Palatino Linotype"/>
        </w:rPr>
        <w:t>lo anterior, es dable señalar que el acceso a datos personales constituye un derecho subjetivo público cuyo titular es la persona y el sujeto pasivo o el sujeto obligado es el Estado; Se trata de que los titulares</w:t>
      </w:r>
      <w:r w:rsidR="00DD1A00">
        <w:rPr>
          <w:rFonts w:ascii="Palatino Linotype" w:hAnsi="Palatino Linotype"/>
        </w:rPr>
        <w:t xml:space="preserve"> o quien al efecto represente sus intereses</w:t>
      </w:r>
      <w:r w:rsidRPr="008614EA">
        <w:rPr>
          <w:rFonts w:ascii="Palatino Linotype" w:hAnsi="Palatino Linotype"/>
        </w:rPr>
        <w:t xml:space="preserve"> de los datos personales en todo momento pueden tener acceso a los mismos, siempre y cuando se encuentren en posesión de los Sujetos Obligados.</w:t>
      </w:r>
    </w:p>
    <w:p w:rsidR="008614EA" w:rsidRPr="008614EA" w:rsidRDefault="008614EA" w:rsidP="008614EA">
      <w:pPr>
        <w:tabs>
          <w:tab w:val="left" w:pos="426"/>
        </w:tabs>
        <w:spacing w:before="240" w:after="240" w:line="360" w:lineRule="auto"/>
        <w:ind w:right="49"/>
        <w:contextualSpacing/>
        <w:jc w:val="both"/>
        <w:rPr>
          <w:rFonts w:ascii="Palatino Linotype" w:hAnsi="Palatino Linotype" w:cs="Arial"/>
        </w:rPr>
      </w:pPr>
    </w:p>
    <w:p w:rsidR="008614EA" w:rsidRPr="00DD1A00" w:rsidRDefault="008614EA" w:rsidP="008614EA">
      <w:pPr>
        <w:numPr>
          <w:ilvl w:val="0"/>
          <w:numId w:val="2"/>
        </w:numPr>
        <w:tabs>
          <w:tab w:val="left" w:pos="426"/>
        </w:tabs>
        <w:spacing w:before="240" w:after="240" w:line="360" w:lineRule="auto"/>
        <w:ind w:left="0" w:right="49" w:firstLine="0"/>
        <w:contextualSpacing/>
        <w:jc w:val="both"/>
        <w:rPr>
          <w:rFonts w:ascii="Palatino Linotype" w:hAnsi="Palatino Linotype" w:cs="Arial"/>
        </w:rPr>
      </w:pPr>
      <w:r w:rsidRPr="008614EA">
        <w:rPr>
          <w:rFonts w:ascii="Palatino Linotype" w:hAnsi="Palatino Linotype" w:cs="Arial"/>
        </w:rPr>
        <w:t xml:space="preserve">Así, </w:t>
      </w:r>
      <w:r w:rsidRPr="008614EA">
        <w:rPr>
          <w:rFonts w:ascii="Palatino Linotype" w:hAnsi="Palatino Linotype"/>
          <w:color w:val="000000"/>
          <w:lang w:val="es-MX" w:eastAsia="es-MX"/>
        </w:rPr>
        <w:t xml:space="preserve">es conveniente resaltar que de acuerdo a la Ley de la Materia, señala expresamente que </w:t>
      </w:r>
      <w:r w:rsidRPr="008614EA">
        <w:rPr>
          <w:rFonts w:ascii="Palatino Linotype" w:hAnsi="Palatino Linotype"/>
          <w:color w:val="000000"/>
          <w:lang w:eastAsia="es-MX"/>
        </w:rPr>
        <w:t>titular tiene derecho a acceder, solicitar y ser informado sobre sus datos personales en posesión de los sujetos obligados, así como la información relacionada con las condiciones y generalidades de su tratamiento</w:t>
      </w:r>
      <w:r w:rsidRPr="008614EA">
        <w:rPr>
          <w:rFonts w:ascii="Palatino Linotype" w:hAnsi="Palatino Linotype"/>
          <w:color w:val="000000"/>
          <w:lang w:val="es-MX" w:eastAsia="es-MX"/>
        </w:rPr>
        <w:t>, tal y como se lee a continuación:</w:t>
      </w:r>
    </w:p>
    <w:p w:rsidR="00DD1A00" w:rsidRDefault="00DD1A00" w:rsidP="00DD1A00">
      <w:pPr>
        <w:pStyle w:val="Prrafodelista"/>
        <w:rPr>
          <w:rFonts w:ascii="Palatino Linotype" w:hAnsi="Palatino Linotype" w:cs="Arial"/>
        </w:rPr>
      </w:pPr>
    </w:p>
    <w:p w:rsidR="00DD1A00" w:rsidRPr="008614EA" w:rsidRDefault="00DD1A00" w:rsidP="00DD1A00">
      <w:pPr>
        <w:tabs>
          <w:tab w:val="left" w:pos="426"/>
        </w:tabs>
        <w:spacing w:before="240" w:after="240" w:line="360" w:lineRule="auto"/>
        <w:ind w:right="49"/>
        <w:contextualSpacing/>
        <w:jc w:val="both"/>
        <w:rPr>
          <w:rFonts w:ascii="Palatino Linotype" w:hAnsi="Palatino Linotype" w:cs="Arial"/>
        </w:rPr>
      </w:pPr>
    </w:p>
    <w:p w:rsidR="008614EA" w:rsidRPr="00DD1A00" w:rsidRDefault="00DD1A00" w:rsidP="00DD1A00">
      <w:pPr>
        <w:tabs>
          <w:tab w:val="left" w:pos="993"/>
          <w:tab w:val="left" w:pos="7513"/>
          <w:tab w:val="left" w:pos="7655"/>
        </w:tabs>
        <w:spacing w:before="240" w:after="240" w:line="360" w:lineRule="auto"/>
        <w:ind w:left="993" w:right="1134"/>
        <w:contextualSpacing/>
        <w:jc w:val="both"/>
        <w:rPr>
          <w:rFonts w:ascii="Palatino Linotype" w:hAnsi="Palatino Linotype"/>
          <w:i/>
        </w:rPr>
      </w:pPr>
      <w:r w:rsidRPr="00DD1A00">
        <w:rPr>
          <w:rFonts w:ascii="Palatino Linotype" w:hAnsi="Palatino Linotype"/>
          <w:i/>
        </w:rPr>
        <w:t>“</w:t>
      </w:r>
      <w:r w:rsidRPr="00DD1A00">
        <w:rPr>
          <w:rFonts w:ascii="Palatino Linotype" w:hAnsi="Palatino Linotype"/>
          <w:b/>
          <w:i/>
        </w:rPr>
        <w:t>Artículo 25.-</w:t>
      </w:r>
      <w:r w:rsidRPr="00DD1A00">
        <w:rPr>
          <w:rFonts w:ascii="Palatino Linotype" w:hAnsi="Palatino Linotype"/>
          <w:i/>
        </w:rPr>
        <w:t xml:space="preserve"> Los derechos de acceso, rectificación, cancelación y oposición de datos personales son derechos independientes. El ejercicio de cualquiera de ellos no es requisito previo ni impide el ejercicio de otro. La procedencia de estos derechos, en su caso, se hará efectiva una vez que el titular o su representante legal acrediten su identidad o representación, respectivamente.” </w:t>
      </w:r>
    </w:p>
    <w:p w:rsidR="00DD1A00" w:rsidRPr="008614EA" w:rsidRDefault="00DD1A00" w:rsidP="008614EA">
      <w:pPr>
        <w:tabs>
          <w:tab w:val="left" w:pos="426"/>
        </w:tabs>
        <w:spacing w:before="240" w:after="240" w:line="360" w:lineRule="auto"/>
        <w:ind w:right="49"/>
        <w:contextualSpacing/>
        <w:jc w:val="both"/>
        <w:rPr>
          <w:rFonts w:ascii="Palatino Linotype" w:hAnsi="Palatino Linotype" w:cs="Arial"/>
        </w:rPr>
      </w:pPr>
    </w:p>
    <w:p w:rsidR="008614EA" w:rsidRPr="008614EA" w:rsidRDefault="008614EA" w:rsidP="00DD1A00">
      <w:pPr>
        <w:spacing w:before="100" w:after="100" w:line="360" w:lineRule="auto"/>
        <w:ind w:left="993" w:right="1041"/>
        <w:jc w:val="both"/>
        <w:rPr>
          <w:rFonts w:ascii="Palatino Linotype" w:eastAsia="Times New Roman" w:hAnsi="Palatino Linotype" w:cs="Arial"/>
          <w:lang w:val="es-MX" w:eastAsia="es-MX"/>
        </w:rPr>
      </w:pPr>
      <w:r w:rsidRPr="008614EA">
        <w:rPr>
          <w:rFonts w:ascii="Palatino Linotype" w:eastAsia="Times New Roman" w:hAnsi="Palatino Linotype" w:cs="Arial"/>
          <w:i/>
          <w:lang w:val="es-MX" w:eastAsia="es-MX"/>
        </w:rPr>
        <w:t xml:space="preserve"> “</w:t>
      </w:r>
      <w:r w:rsidRPr="008614EA">
        <w:rPr>
          <w:rFonts w:ascii="Palatino Linotype" w:eastAsia="Times New Roman" w:hAnsi="Palatino Linotype" w:cs="Times New Roman"/>
          <w:b/>
          <w:i/>
          <w:lang w:val="es-ES" w:eastAsia="es-MX"/>
        </w:rPr>
        <w:t xml:space="preserve">Artículo 98. </w:t>
      </w:r>
      <w:r w:rsidRPr="008614EA">
        <w:rPr>
          <w:rFonts w:ascii="Palatino Linotype" w:eastAsia="Times New Roman" w:hAnsi="Palatino Linotype" w:cs="Times New Roman"/>
          <w:i/>
          <w:lang w:val="es-ES" w:eastAsia="es-MX"/>
        </w:rPr>
        <w:t>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El responsable debe responder al ejercicio del derecho de acceso, tenga o no datos de carácter personal del interesado en su sistema de datos</w:t>
      </w:r>
      <w:r w:rsidRPr="008614EA">
        <w:rPr>
          <w:rFonts w:ascii="Palatino Linotype" w:eastAsia="Times New Roman" w:hAnsi="Palatino Linotype" w:cs="Times New Roman"/>
          <w:i/>
          <w:lang w:val="es-MX" w:eastAsia="es-MX"/>
        </w:rPr>
        <w:t>.”</w:t>
      </w:r>
    </w:p>
    <w:p w:rsidR="008614EA" w:rsidRPr="008614EA" w:rsidRDefault="008614EA" w:rsidP="008614EA">
      <w:pPr>
        <w:spacing w:before="240" w:after="240" w:line="360" w:lineRule="auto"/>
        <w:contextualSpacing/>
        <w:jc w:val="both"/>
        <w:rPr>
          <w:rFonts w:ascii="Palatino Linotype" w:eastAsia="Times New Roman" w:hAnsi="Palatino Linotype" w:cs="Arial"/>
          <w:lang w:val="es-ES"/>
        </w:rPr>
      </w:pPr>
    </w:p>
    <w:p w:rsidR="008614EA" w:rsidRPr="008614EA" w:rsidRDefault="008614EA" w:rsidP="008614EA">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8614EA">
        <w:rPr>
          <w:rFonts w:ascii="Palatino Linotype" w:eastAsia="Times New Roman" w:hAnsi="Palatino Linotype" w:cs="Arial"/>
          <w:lang w:val="es-ES"/>
        </w:rPr>
        <w:t xml:space="preserve">De lo anterior se desprende que los Sujetos Obligados están constreñidos a atender las solicitudes de acceso a datos personales que se les hagan de su conocimiento y proporcionar la información que obren en su poder. </w:t>
      </w:r>
    </w:p>
    <w:p w:rsidR="008614EA" w:rsidRPr="008614EA" w:rsidRDefault="008614EA" w:rsidP="008614EA">
      <w:pPr>
        <w:pStyle w:val="Prrafodelista"/>
        <w:spacing w:before="240" w:after="240" w:line="360" w:lineRule="auto"/>
        <w:ind w:left="0"/>
        <w:jc w:val="both"/>
        <w:rPr>
          <w:rFonts w:ascii="Palatino Linotype" w:eastAsia="Times New Roman" w:hAnsi="Palatino Linotype" w:cs="Arial"/>
          <w:i/>
          <w:lang w:val="es-ES"/>
        </w:rPr>
      </w:pPr>
    </w:p>
    <w:p w:rsidR="007D5F26" w:rsidRPr="007D5F26" w:rsidRDefault="008614EA" w:rsidP="007D5F26">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8614EA">
        <w:rPr>
          <w:rFonts w:ascii="Palatino Linotype" w:eastAsia="Times New Roman" w:hAnsi="Palatino Linotype" w:cs="Arial"/>
          <w:lang w:val="es-ES"/>
        </w:rPr>
        <w:lastRenderedPageBreak/>
        <w:t xml:space="preserve">Es importante señalar en este aspecto lo establecido en los </w:t>
      </w:r>
      <w:r w:rsidRPr="008614EA">
        <w:rPr>
          <w:rFonts w:ascii="Palatino Linotype" w:eastAsia="Times New Roman" w:hAnsi="Palatino Linotype" w:cs="Arial"/>
          <w:color w:val="000000"/>
          <w:lang w:val="es-ES"/>
        </w:rPr>
        <w:t xml:space="preserve">Principios Generales sobre el Derecho Humano a la Protección de Datos Personales en su dimensión de Acceso. </w:t>
      </w:r>
    </w:p>
    <w:p w:rsidR="007D5F26" w:rsidRPr="007D5F26" w:rsidRDefault="007D5F26" w:rsidP="007D5F26">
      <w:pPr>
        <w:pStyle w:val="Prrafodelista"/>
        <w:rPr>
          <w:rFonts w:ascii="Palatino Linotype" w:eastAsia="Times New Roman" w:hAnsi="Palatino Linotype" w:cs="Times New Roman"/>
          <w:lang w:val="es-ES"/>
        </w:rPr>
      </w:pPr>
    </w:p>
    <w:p w:rsidR="007D5F26" w:rsidRPr="007D5F26" w:rsidRDefault="008614EA" w:rsidP="007D5F26">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7D5F26">
        <w:rPr>
          <w:rFonts w:ascii="Palatino Linotype" w:eastAsia="Times New Roman" w:hAnsi="Palatino Linotype" w:cs="Times New Roman"/>
          <w:lang w:val="es-ES"/>
        </w:rPr>
        <w:t>La información referente a la intimidad de la vida privada y la imagen de las personas será protegida a través de un marco jurídico rígido de tratamiento y manejo de datos personales, con las excepciones que establezca la ley</w:t>
      </w:r>
      <w:r w:rsidR="007D5F26">
        <w:rPr>
          <w:rFonts w:ascii="Palatino Linotype" w:eastAsia="Times New Roman" w:hAnsi="Palatino Linotype" w:cs="Times New Roman"/>
          <w:lang w:val="es-ES"/>
        </w:rPr>
        <w:t xml:space="preserve"> reglamentaria.</w:t>
      </w:r>
      <w:r w:rsidR="007D5F26">
        <w:rPr>
          <w:rFonts w:ascii="Palatino Linotype" w:eastAsia="Times New Roman" w:hAnsi="Palatino Linotype" w:cs="Arial"/>
          <w:i/>
          <w:lang w:val="es-ES"/>
        </w:rPr>
        <w:t xml:space="preserve"> </w:t>
      </w:r>
      <w:r w:rsidRPr="007D5F26">
        <w:rPr>
          <w:rFonts w:ascii="Palatino Linotype" w:eastAsia="Times New Roman" w:hAnsi="Palatino Linotype" w:cs="Arial"/>
          <w:b/>
          <w:color w:val="000000"/>
          <w:lang w:val="es-ES"/>
        </w:rPr>
        <w:t xml:space="preserve">En este sentido, </w:t>
      </w:r>
      <w:r w:rsidRPr="007D5F26">
        <w:rPr>
          <w:rFonts w:ascii="Palatino Linotype" w:eastAsia="Times New Roman" w:hAnsi="Palatino Linotype" w:cs="Arial"/>
          <w:color w:val="000000"/>
          <w:lang w:val="es-ES"/>
        </w:rPr>
        <w:t>este plen</w:t>
      </w:r>
      <w:r w:rsidR="007D5F26" w:rsidRPr="007D5F26">
        <w:rPr>
          <w:rFonts w:ascii="Palatino Linotype" w:eastAsia="Times New Roman" w:hAnsi="Palatino Linotype" w:cs="Arial"/>
          <w:color w:val="000000"/>
          <w:lang w:val="es-ES"/>
        </w:rPr>
        <w:t>o ya se ha pronunciado en diversas</w:t>
      </w:r>
      <w:r w:rsidRPr="007D5F26">
        <w:rPr>
          <w:rFonts w:ascii="Palatino Linotype" w:eastAsia="Times New Roman" w:hAnsi="Palatino Linotype" w:cs="Arial"/>
          <w:color w:val="000000"/>
          <w:lang w:val="es-ES"/>
        </w:rPr>
        <w:t xml:space="preserve"> resoluciones acerca del derecho a la protección de datos personales en su modalidad de Acceso tutelado a partir  de lo dispuesto  por  los  artículos  6, apartado  A, fracciones  II y  III, así  como  16 de la Constitución Política  de  los  Estados   Unidos   Mexicanos</w:t>
      </w:r>
      <w:r w:rsidRPr="008614EA">
        <w:rPr>
          <w:rFonts w:eastAsia="Times New Roman"/>
          <w:vertAlign w:val="superscript"/>
          <w:lang w:val="es-ES"/>
        </w:rPr>
        <w:footnoteReference w:id="2"/>
      </w:r>
      <w:r w:rsidRPr="007D5F26">
        <w:rPr>
          <w:rFonts w:ascii="Palatino Linotype" w:eastAsia="Times New Roman" w:hAnsi="Palatino Linotype" w:cs="Times New Roman"/>
          <w:lang w:val="es-ES"/>
        </w:rPr>
        <w:t xml:space="preserve">, en cuyo texto refiere que </w:t>
      </w:r>
      <w:r w:rsidRPr="007D5F26">
        <w:rPr>
          <w:rFonts w:ascii="Palatino Linotype" w:eastAsia="Times New Roman" w:hAnsi="Palatino Linotype" w:cs="Arial"/>
          <w:color w:val="000000"/>
          <w:lang w:val="es-ES"/>
        </w:rPr>
        <w:t xml:space="preserve">toda   persona,  sin excepción alguna, tiene derecho de acceder de forma gratuita a sus datos personales o a la rectificación de éstos, a </w:t>
      </w:r>
      <w:r w:rsidRPr="007D5F26">
        <w:rPr>
          <w:rFonts w:ascii="Palatino Linotype" w:eastAsia="Times New Roman" w:hAnsi="Palatino Linotype" w:cs="Times New Roman"/>
          <w:lang w:val="es-ES"/>
        </w:rPr>
        <w:t>su protección, al acceso, rectificación y cancelación de los mismos, así como a manifestar su oposición.</w:t>
      </w:r>
    </w:p>
    <w:p w:rsidR="007D5F26" w:rsidRPr="007D5F26" w:rsidRDefault="007D5F26" w:rsidP="007D5F26">
      <w:pPr>
        <w:pStyle w:val="Prrafodelista"/>
        <w:rPr>
          <w:rFonts w:ascii="Palatino Linotype" w:hAnsi="Palatino Linotype" w:cs="Arial"/>
          <w:color w:val="000000" w:themeColor="text1"/>
        </w:rPr>
      </w:pPr>
    </w:p>
    <w:p w:rsidR="007D5F26" w:rsidRPr="007D5F26" w:rsidRDefault="007D5F26" w:rsidP="007D5F26">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7D5F26">
        <w:rPr>
          <w:rFonts w:ascii="Palatino Linotype" w:hAnsi="Palatino Linotype" w:cs="Arial"/>
          <w:color w:val="000000" w:themeColor="text1"/>
        </w:rPr>
        <w:t>De igual manera, se resume que la información referente al ámbito privado de las personas, así como los datos personales, debe estar protegida en los términos y con las excepciones a los principios de tratamiento de datos que por razones de orden público fije la ley,</w:t>
      </w:r>
      <w:r w:rsidRPr="007D5F26">
        <w:rPr>
          <w:rFonts w:ascii="Palatino Linotype" w:hAnsi="Palatino Linotype" w:cs="Arial"/>
          <w:noProof/>
          <w:lang w:val="es-MX" w:eastAsia="es-MX"/>
        </w:rPr>
        <w:t xml:space="preserve"> </w:t>
      </w:r>
      <w:r w:rsidRPr="007D5F26">
        <w:rPr>
          <w:rFonts w:ascii="Palatino Linotype" w:hAnsi="Palatino Linotype" w:cs="Arial"/>
          <w:color w:val="000000" w:themeColor="text1"/>
        </w:rPr>
        <w:t xml:space="preserve"> por lo que toda persona tiene derecho  a la protección de sus datos personales.</w:t>
      </w:r>
    </w:p>
    <w:p w:rsidR="007D5F26" w:rsidRPr="007D5F26" w:rsidRDefault="007D5F26" w:rsidP="007D5F26">
      <w:pPr>
        <w:pStyle w:val="Prrafodelista"/>
        <w:rPr>
          <w:rFonts w:ascii="Palatino Linotype" w:hAnsi="Palatino Linotype" w:cs="Arial"/>
          <w:color w:val="000000" w:themeColor="text1"/>
        </w:rPr>
      </w:pPr>
    </w:p>
    <w:p w:rsidR="007D5F26" w:rsidRPr="007D5F26" w:rsidRDefault="007D5F26" w:rsidP="007D5F26">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7D5F26">
        <w:rPr>
          <w:rFonts w:ascii="Palatino Linotype" w:hAnsi="Palatino Linotype" w:cs="Arial"/>
          <w:color w:val="000000" w:themeColor="text1"/>
        </w:rPr>
        <w:t xml:space="preserve">Por su parte, la Ley de Protección de Datos Personales en Posesión de Sujetos Obligados del Estado de México y Municipios, expone: </w:t>
      </w:r>
    </w:p>
    <w:p w:rsidR="007D5F26" w:rsidRPr="00CF1ED4" w:rsidRDefault="007D5F26" w:rsidP="007D5F26">
      <w:pPr>
        <w:autoSpaceDE w:val="0"/>
        <w:autoSpaceDN w:val="0"/>
        <w:adjustRightInd w:val="0"/>
        <w:spacing w:line="360" w:lineRule="auto"/>
        <w:ind w:left="567" w:right="567"/>
        <w:jc w:val="both"/>
        <w:rPr>
          <w:rFonts w:ascii="Palatino Linotype" w:hAnsi="Palatino Linotype"/>
          <w:i/>
        </w:rPr>
      </w:pPr>
      <w:r w:rsidRPr="00CF1ED4">
        <w:rPr>
          <w:rFonts w:ascii="Palatino Linotype" w:hAnsi="Palatino Linotype"/>
          <w:i/>
        </w:rPr>
        <w:t>“Artículo 4. Para los efectos de esta Ley se entenderá por:</w:t>
      </w:r>
    </w:p>
    <w:p w:rsidR="007D5F26" w:rsidRPr="00CF1ED4" w:rsidRDefault="007D5F26" w:rsidP="007D5F26">
      <w:pPr>
        <w:autoSpaceDE w:val="0"/>
        <w:autoSpaceDN w:val="0"/>
        <w:adjustRightInd w:val="0"/>
        <w:spacing w:line="360" w:lineRule="auto"/>
        <w:ind w:left="567" w:right="567"/>
        <w:jc w:val="both"/>
        <w:rPr>
          <w:rFonts w:ascii="Palatino Linotype" w:hAnsi="Palatino Linotype"/>
          <w:i/>
        </w:rPr>
      </w:pPr>
      <w:r w:rsidRPr="00CF1ED4">
        <w:rPr>
          <w:rFonts w:ascii="Palatino Linotype" w:hAnsi="Palatino Linotype"/>
          <w:i/>
        </w:rPr>
        <w:t>…</w:t>
      </w:r>
    </w:p>
    <w:p w:rsidR="007D5F26" w:rsidRPr="00CF1ED4" w:rsidRDefault="007D5F26" w:rsidP="007D5F26">
      <w:pPr>
        <w:autoSpaceDE w:val="0"/>
        <w:autoSpaceDN w:val="0"/>
        <w:adjustRightInd w:val="0"/>
        <w:spacing w:line="360" w:lineRule="auto"/>
        <w:ind w:left="567" w:right="567"/>
        <w:jc w:val="both"/>
        <w:rPr>
          <w:rFonts w:ascii="Palatino Linotype" w:hAnsi="Palatino Linotype"/>
          <w:i/>
        </w:rPr>
      </w:pPr>
      <w:r w:rsidRPr="00CF1ED4">
        <w:rPr>
          <w:rFonts w:ascii="Palatino Linotype" w:hAnsi="Palatino Linotype"/>
          <w:i/>
        </w:rPr>
        <w:t xml:space="preserve">XI. </w:t>
      </w:r>
      <w:r w:rsidRPr="00CF1ED4">
        <w:rPr>
          <w:rFonts w:ascii="Palatino Linotype" w:hAnsi="Palatino Linotype"/>
          <w:b/>
          <w:i/>
        </w:rPr>
        <w:t>Datos personales</w:t>
      </w:r>
      <w:r w:rsidRPr="00CF1ED4">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7D5F26" w:rsidRPr="00CF1ED4" w:rsidRDefault="007D5F26" w:rsidP="007D5F26">
      <w:pPr>
        <w:autoSpaceDE w:val="0"/>
        <w:autoSpaceDN w:val="0"/>
        <w:adjustRightInd w:val="0"/>
        <w:spacing w:line="360" w:lineRule="auto"/>
        <w:ind w:left="567" w:right="567"/>
        <w:jc w:val="both"/>
        <w:rPr>
          <w:rFonts w:ascii="Palatino Linotype" w:hAnsi="Palatino Linotype"/>
          <w:i/>
        </w:rPr>
      </w:pPr>
      <w:r w:rsidRPr="00CF1ED4">
        <w:rPr>
          <w:rFonts w:ascii="Palatino Linotype" w:hAnsi="Palatino Linotype"/>
          <w:i/>
        </w:rPr>
        <w:t>…</w:t>
      </w:r>
    </w:p>
    <w:p w:rsidR="007D5F26" w:rsidRPr="00CF1ED4"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sidRPr="00CF1ED4">
        <w:rPr>
          <w:rFonts w:ascii="Palatino Linotype" w:hAnsi="Palatino Linotype" w:cs="Arial"/>
          <w:i/>
          <w:color w:val="000000" w:themeColor="text1"/>
        </w:rPr>
        <w:t xml:space="preserve">XIII. </w:t>
      </w:r>
      <w:r w:rsidRPr="00CF1ED4">
        <w:rPr>
          <w:rFonts w:ascii="Palatino Linotype" w:hAnsi="Palatino Linotype" w:cs="Arial"/>
          <w:b/>
          <w:i/>
          <w:color w:val="000000" w:themeColor="text1"/>
        </w:rPr>
        <w:t>Derechos ARCO:</w:t>
      </w:r>
      <w:r w:rsidRPr="00CF1ED4">
        <w:rPr>
          <w:rFonts w:ascii="Palatino Linotype" w:hAnsi="Palatino Linotype" w:cs="Arial"/>
          <w:i/>
          <w:color w:val="000000" w:themeColor="text1"/>
        </w:rPr>
        <w:t xml:space="preserve"> a los derechos de Acceso, Rectificación, Cancelación y Oposición al tratamiento de datos personales.</w:t>
      </w:r>
    </w:p>
    <w:p w:rsidR="007D5F26" w:rsidRPr="00CF1ED4"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sidRPr="00CF1ED4">
        <w:rPr>
          <w:rFonts w:ascii="Palatino Linotype" w:hAnsi="Palatino Linotype" w:cs="Arial"/>
          <w:i/>
          <w:color w:val="000000" w:themeColor="text1"/>
        </w:rPr>
        <w:t>…</w:t>
      </w:r>
    </w:p>
    <w:p w:rsidR="007D5F26" w:rsidRPr="00CF1ED4"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sidRPr="00CF1ED4">
        <w:rPr>
          <w:rFonts w:ascii="Palatino Linotype" w:hAnsi="Palatino Linotype" w:cs="Arial"/>
          <w:b/>
          <w:i/>
          <w:color w:val="000000" w:themeColor="text1"/>
        </w:rPr>
        <w:t>XLI. Responsable: a los sujetos obligados a que se refiere la presente Ley que deciden sobre el tratamiento de los datos personales</w:t>
      </w:r>
      <w:r w:rsidRPr="00CF1ED4">
        <w:rPr>
          <w:rFonts w:ascii="Palatino Linotype" w:hAnsi="Palatino Linotype" w:cs="Arial"/>
          <w:i/>
          <w:color w:val="000000" w:themeColor="text1"/>
        </w:rPr>
        <w:t>.</w:t>
      </w:r>
    </w:p>
    <w:p w:rsidR="007D5F26" w:rsidRPr="00CF1ED4"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sidRPr="00CF1ED4">
        <w:rPr>
          <w:rFonts w:ascii="Palatino Linotype" w:hAnsi="Palatino Linotype" w:cs="Arial"/>
          <w:i/>
          <w:color w:val="000000" w:themeColor="text1"/>
        </w:rPr>
        <w:t>…</w:t>
      </w:r>
    </w:p>
    <w:p w:rsidR="007D5F26" w:rsidRPr="00CF1ED4" w:rsidRDefault="007D5F26" w:rsidP="007D5F26">
      <w:pPr>
        <w:autoSpaceDE w:val="0"/>
        <w:autoSpaceDN w:val="0"/>
        <w:adjustRightInd w:val="0"/>
        <w:spacing w:line="360" w:lineRule="auto"/>
        <w:ind w:left="567" w:right="567"/>
        <w:jc w:val="both"/>
        <w:rPr>
          <w:rFonts w:ascii="Palatino Linotype" w:hAnsi="Palatino Linotype" w:cs="Arial"/>
          <w:b/>
          <w:i/>
          <w:color w:val="000000" w:themeColor="text1"/>
          <w:u w:val="single"/>
        </w:rPr>
      </w:pPr>
      <w:r w:rsidRPr="00CF1ED4">
        <w:rPr>
          <w:rFonts w:ascii="Palatino Linotype" w:hAnsi="Palatino Linotype" w:cs="Arial"/>
          <w:i/>
          <w:color w:val="000000" w:themeColor="text1"/>
        </w:rPr>
        <w:lastRenderedPageBreak/>
        <w:t>L</w:t>
      </w:r>
      <w:r w:rsidRPr="00CF1ED4">
        <w:rPr>
          <w:rFonts w:ascii="Palatino Linotype" w:hAnsi="Palatino Linotype" w:cs="Arial"/>
          <w:b/>
          <w:i/>
          <w:color w:val="000000" w:themeColor="text1"/>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RPr="00CF1ED4">
        <w:rPr>
          <w:rFonts w:ascii="Palatino Linotype" w:hAnsi="Palatino Linotype" w:cs="Arial"/>
          <w:b/>
          <w:i/>
          <w:color w:val="000000" w:themeColor="text1"/>
          <w:u w:val="single"/>
        </w:rPr>
        <w:t>.</w:t>
      </w:r>
    </w:p>
    <w:p w:rsidR="007D5F26" w:rsidRPr="00F13CCE"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Pr>
          <w:rFonts w:ascii="Palatino Linotype" w:hAnsi="Palatino Linotype" w:cs="Arial"/>
          <w:i/>
          <w:color w:val="000000" w:themeColor="text1"/>
        </w:rPr>
        <w:t>…</w:t>
      </w:r>
    </w:p>
    <w:p w:rsidR="007D5F26" w:rsidRDefault="007D5F26" w:rsidP="007D5F26">
      <w:pPr>
        <w:autoSpaceDE w:val="0"/>
        <w:autoSpaceDN w:val="0"/>
        <w:adjustRightInd w:val="0"/>
        <w:spacing w:line="360" w:lineRule="auto"/>
        <w:ind w:left="567" w:right="567"/>
        <w:jc w:val="both"/>
        <w:rPr>
          <w:rFonts w:ascii="Palatino Linotype" w:hAnsi="Palatino Linotype"/>
          <w:i/>
        </w:rPr>
      </w:pPr>
      <w:r w:rsidRPr="00CF1ED4">
        <w:rPr>
          <w:rFonts w:ascii="Palatino Linotype" w:hAnsi="Palatino Linotype"/>
          <w:i/>
        </w:rPr>
        <w:t xml:space="preserve">Artículo 97. Los derechos de acceso, rectificación, cancelación y oposición de datos personales son derechos independientes. </w:t>
      </w:r>
      <w:r w:rsidRPr="00CF1ED4">
        <w:rPr>
          <w:rFonts w:ascii="Palatino Linotype" w:hAnsi="Palatino Linotype"/>
          <w:b/>
          <w:i/>
        </w:rPr>
        <w:t>El ejercicio de cualquiera de ellos no es requisito previo no impide el ejercicio de otro</w:t>
      </w:r>
      <w:r w:rsidRPr="00CF1ED4">
        <w:rPr>
          <w:rFonts w:ascii="Palatino Linotype" w:hAnsi="Palatino Linotype"/>
          <w:i/>
        </w:rPr>
        <w:t>. La procedencia de estos derechos, en su caso, se hará efectiva una vez que el titular o su representante legal acrediten su identidad o r</w:t>
      </w:r>
      <w:r>
        <w:rPr>
          <w:rFonts w:ascii="Palatino Linotype" w:hAnsi="Palatino Linotype"/>
          <w:i/>
        </w:rPr>
        <w:t>epresentación, respectivamente.</w:t>
      </w:r>
    </w:p>
    <w:p w:rsidR="007D5F26" w:rsidRDefault="007D5F26" w:rsidP="007D5F26">
      <w:pPr>
        <w:autoSpaceDE w:val="0"/>
        <w:autoSpaceDN w:val="0"/>
        <w:adjustRightInd w:val="0"/>
        <w:spacing w:line="360" w:lineRule="auto"/>
        <w:ind w:left="567" w:right="567"/>
        <w:jc w:val="both"/>
        <w:rPr>
          <w:rFonts w:ascii="Palatino Linotype" w:hAnsi="Palatino Linotype"/>
          <w:i/>
        </w:rPr>
      </w:pPr>
      <w:r w:rsidRPr="00CF1ED4">
        <w:rPr>
          <w:rFonts w:ascii="Palatino Linotype" w:hAnsi="Palatino Linotype"/>
          <w:i/>
        </w:rPr>
        <w:t>…</w:t>
      </w:r>
    </w:p>
    <w:p w:rsidR="007D5F26" w:rsidRDefault="007D5F26" w:rsidP="007D5F26">
      <w:pPr>
        <w:autoSpaceDE w:val="0"/>
        <w:autoSpaceDN w:val="0"/>
        <w:adjustRightInd w:val="0"/>
        <w:spacing w:line="360" w:lineRule="auto"/>
        <w:ind w:left="567" w:right="567"/>
        <w:jc w:val="both"/>
        <w:rPr>
          <w:rFonts w:ascii="Palatino Linotype" w:hAnsi="Palatino Linotype"/>
          <w:i/>
        </w:rPr>
      </w:pPr>
      <w:r w:rsidRPr="00CF1ED4">
        <w:rPr>
          <w:rFonts w:ascii="Palatino Linotype" w:hAnsi="Palatino Linotype"/>
          <w:b/>
          <w:i/>
        </w:rPr>
        <w:t>Artículo 98. El titular tiene derecho a</w:t>
      </w:r>
      <w:r w:rsidRPr="00CF1ED4">
        <w:rPr>
          <w:rFonts w:ascii="Palatino Linotype" w:hAnsi="Palatino Linotype"/>
          <w:i/>
        </w:rPr>
        <w:t xml:space="preserve"> acceder, </w:t>
      </w:r>
      <w:r w:rsidRPr="00CF1ED4">
        <w:rPr>
          <w:rFonts w:ascii="Palatino Linotype" w:hAnsi="Palatino Linotype"/>
          <w:b/>
          <w:i/>
        </w:rPr>
        <w:t>solicitar y ser informado sobre sus datos personales en posesión de los sujetos obligados</w:t>
      </w:r>
      <w:r w:rsidRPr="00CF1ED4">
        <w:rPr>
          <w:rFonts w:ascii="Palatino Linotype" w:hAnsi="Palatino Linotype"/>
          <w:i/>
        </w:rPr>
        <w:t xml:space="preserve">, </w:t>
      </w:r>
      <w:r w:rsidRPr="00CF1ED4">
        <w:rPr>
          <w:rFonts w:ascii="Palatino Linotype" w:hAnsi="Palatino Linotype"/>
          <w:b/>
          <w:i/>
        </w:rPr>
        <w:t>así como la información relacionada con las condiciones y generalidades de su tratamiento, tales como el origen de los datos, las condiciones del tratamiento del cual sean objeto</w:t>
      </w:r>
      <w:r w:rsidRPr="00CF1ED4">
        <w:rPr>
          <w:rFonts w:ascii="Palatino Linotype" w:hAnsi="Palatino Linotype"/>
          <w:i/>
        </w:rPr>
        <w:t xml:space="preserve">, </w:t>
      </w:r>
      <w:r w:rsidRPr="00CF1ED4">
        <w:rPr>
          <w:rFonts w:ascii="Palatino Linotype" w:hAnsi="Palatino Linotype"/>
          <w:b/>
          <w:i/>
        </w:rPr>
        <w:t>las cesiones realizadas o que se pretendan realizar,</w:t>
      </w:r>
      <w:r w:rsidRPr="00CF1ED4">
        <w:rPr>
          <w:rFonts w:ascii="Palatino Linotype" w:hAnsi="Palatino Linotype"/>
          <w:i/>
        </w:rPr>
        <w:t xml:space="preserve"> así como tener acceso al aviso de</w:t>
      </w:r>
      <w:r>
        <w:rPr>
          <w:rFonts w:ascii="Palatino Linotype" w:hAnsi="Palatino Linotype"/>
          <w:i/>
        </w:rPr>
        <w:t xml:space="preserve"> privacidad al que está sujeto.</w:t>
      </w:r>
    </w:p>
    <w:p w:rsidR="007D5F26" w:rsidRPr="00E460C9" w:rsidRDefault="007D5F26" w:rsidP="007D5F26">
      <w:pPr>
        <w:autoSpaceDE w:val="0"/>
        <w:autoSpaceDN w:val="0"/>
        <w:adjustRightInd w:val="0"/>
        <w:spacing w:line="360" w:lineRule="auto"/>
        <w:ind w:left="567" w:right="567"/>
        <w:jc w:val="both"/>
        <w:rPr>
          <w:rFonts w:ascii="Palatino Linotype" w:hAnsi="Palatino Linotype"/>
          <w:i/>
        </w:rPr>
      </w:pPr>
      <w:r w:rsidRPr="00CF1ED4">
        <w:rPr>
          <w:rFonts w:ascii="Palatino Linotype" w:hAnsi="Palatino Linotype"/>
          <w:b/>
          <w:i/>
        </w:rPr>
        <w:t>…” (Sic)</w:t>
      </w:r>
    </w:p>
    <w:p w:rsidR="007D5F26" w:rsidRPr="007D5F26" w:rsidRDefault="007D5F26" w:rsidP="007D5F26">
      <w:pPr>
        <w:pStyle w:val="Prrafodelista"/>
        <w:numPr>
          <w:ilvl w:val="0"/>
          <w:numId w:val="2"/>
        </w:numPr>
        <w:spacing w:before="240" w:after="240" w:line="360" w:lineRule="auto"/>
        <w:ind w:left="0" w:right="49" w:firstLine="0"/>
        <w:jc w:val="both"/>
        <w:rPr>
          <w:rFonts w:ascii="Palatino Linotype" w:hAnsi="Palatino Linotype" w:cs="Arial"/>
        </w:rPr>
      </w:pPr>
      <w:r w:rsidRPr="007D5F26">
        <w:rPr>
          <w:rFonts w:ascii="Palatino Linotype" w:hAnsi="Palatino Linotype" w:cs="Arial"/>
        </w:rPr>
        <w:t xml:space="preserve">De los anteriores preceptos se advierte que </w:t>
      </w:r>
      <w:r>
        <w:rPr>
          <w:rFonts w:ascii="Palatino Linotype" w:hAnsi="Palatino Linotype" w:cs="Arial"/>
          <w:color w:val="000000" w:themeColor="text1"/>
        </w:rPr>
        <w:t xml:space="preserve">por datos </w:t>
      </w:r>
      <w:r w:rsidRPr="007D5F26">
        <w:rPr>
          <w:rFonts w:ascii="Palatino Linotype" w:hAnsi="Palatino Linotype" w:cs="Arial"/>
          <w:color w:val="000000" w:themeColor="text1"/>
        </w:rPr>
        <w:t xml:space="preserve">personales, se  entenderá la  información  concerniente  a  una persona física identificada o </w:t>
      </w:r>
      <w:r w:rsidRPr="007D5F26">
        <w:rPr>
          <w:rFonts w:ascii="Palatino Linotype" w:hAnsi="Palatino Linotype" w:cs="Arial"/>
          <w:color w:val="000000" w:themeColor="text1"/>
        </w:rPr>
        <w:lastRenderedPageBreak/>
        <w:t xml:space="preserve">identificable; y que se considera que una persona es </w:t>
      </w:r>
      <w:r w:rsidRPr="007D5F26">
        <w:rPr>
          <w:rFonts w:ascii="Palatino Linotype" w:hAnsi="Palatino Linotype" w:cs="Arial"/>
          <w:b/>
          <w:color w:val="000000" w:themeColor="text1"/>
        </w:rPr>
        <w:t>identificable cuando su identidad pueda determinarse directa o indirectamente a través de cualquier información</w:t>
      </w:r>
      <w:r w:rsidRPr="007D5F26">
        <w:rPr>
          <w:rFonts w:ascii="Palatino Linotype" w:hAnsi="Palatino Linotype" w:cs="Arial"/>
          <w:color w:val="000000" w:themeColor="text1"/>
        </w:rPr>
        <w:t>.</w:t>
      </w:r>
    </w:p>
    <w:p w:rsidR="007D5F26" w:rsidRPr="007D5F26" w:rsidRDefault="007D5F26" w:rsidP="007D5F26">
      <w:pPr>
        <w:pStyle w:val="Prrafodelista"/>
        <w:spacing w:before="240" w:after="240" w:line="360" w:lineRule="auto"/>
        <w:ind w:left="0" w:right="49"/>
        <w:jc w:val="both"/>
        <w:rPr>
          <w:rFonts w:ascii="Palatino Linotype" w:hAnsi="Palatino Linotype" w:cs="Arial"/>
        </w:rPr>
      </w:pPr>
    </w:p>
    <w:p w:rsidR="007D5F26" w:rsidRDefault="007D5F26" w:rsidP="007D5F26">
      <w:pPr>
        <w:pStyle w:val="Prrafodelista"/>
        <w:numPr>
          <w:ilvl w:val="0"/>
          <w:numId w:val="2"/>
        </w:numPr>
        <w:spacing w:before="240" w:after="240" w:line="360" w:lineRule="auto"/>
        <w:ind w:left="0" w:right="49" w:firstLine="0"/>
        <w:jc w:val="both"/>
        <w:rPr>
          <w:rFonts w:ascii="Palatino Linotype" w:hAnsi="Palatino Linotype" w:cs="Arial"/>
        </w:rPr>
      </w:pPr>
      <w:r w:rsidRPr="007D5F26">
        <w:rPr>
          <w:rFonts w:ascii="Palatino Linotype" w:hAnsi="Palatino Linotype" w:cs="Arial"/>
        </w:rPr>
        <w:t>Además,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justificar su interés o su utilización podrá solicitar el acceso gratuito a sus datos personales, en tal sentido tal derecho podrá tramitarse por medios electrónicos a través del sistema automatizado que se establezca por la ley de la materia y por el órgano garante del mismo.</w:t>
      </w:r>
    </w:p>
    <w:p w:rsidR="007D5F26" w:rsidRPr="007D5F26" w:rsidRDefault="007D5F26" w:rsidP="007D5F26">
      <w:pPr>
        <w:pStyle w:val="Prrafodelista"/>
        <w:rPr>
          <w:rFonts w:ascii="Palatino Linotype" w:hAnsi="Palatino Linotype" w:cs="Arial"/>
        </w:rPr>
      </w:pPr>
    </w:p>
    <w:p w:rsidR="007D5F26" w:rsidRPr="00F54483" w:rsidRDefault="007D5F26" w:rsidP="00F54483">
      <w:pPr>
        <w:pStyle w:val="Prrafodelista"/>
        <w:numPr>
          <w:ilvl w:val="0"/>
          <w:numId w:val="2"/>
        </w:numPr>
        <w:spacing w:before="240" w:after="240" w:line="360" w:lineRule="auto"/>
        <w:ind w:left="0" w:right="49" w:firstLine="0"/>
        <w:jc w:val="both"/>
        <w:rPr>
          <w:rFonts w:ascii="Palatino Linotype" w:hAnsi="Palatino Linotype" w:cs="Arial"/>
        </w:rPr>
      </w:pPr>
      <w:r w:rsidRPr="007D5F26">
        <w:rPr>
          <w:rFonts w:ascii="Palatino Linotype" w:hAnsi="Palatino Linotype" w:cs="Arial"/>
        </w:rPr>
        <w:t>Igualmente se denota, como fue apuntalado por la legislación, que el derecho que tenga por objeto conocer información personal del propio solicitante</w:t>
      </w:r>
      <w:r w:rsidR="00F54483">
        <w:rPr>
          <w:rFonts w:ascii="Palatino Linotype" w:hAnsi="Palatino Linotype" w:cs="Arial"/>
        </w:rPr>
        <w:t xml:space="preserve"> o a través de un representante</w:t>
      </w:r>
      <w:r w:rsidRPr="007D5F26">
        <w:rPr>
          <w:rFonts w:ascii="Palatino Linotype" w:hAnsi="Palatino Linotype" w:cs="Arial"/>
        </w:rPr>
        <w:t xml:space="preserve">, que se encuentre en posesión de cualquier Sujeto Obligado, será regulado por la Ley de Protección de Datos Personales del Estado de México; así,  en dicha Ley se listan los llamados derechos ARCO, derechos que son independientes, ya que el ejercicio de cualquiera de ellos no es requisito previo ni impide el ejercicio de otro, dentro de los que se encuentra el de acceso a datos personales; refiriéndose expresamente que el titular de los datos tiene derecho a ser informado sobre sus datos personales que estén en posesión del Sujeto Obligado, su origen, el tratamiento del que sean objeto, las cesiones realizadas o que se </w:t>
      </w:r>
      <w:r w:rsidRPr="007D5F26">
        <w:rPr>
          <w:rFonts w:ascii="Palatino Linotype" w:hAnsi="Palatino Linotype" w:cs="Arial"/>
        </w:rPr>
        <w:lastRenderedPageBreak/>
        <w:t>pretendan realizar y al acceso al aviso de privacidad a que está sujeto el tratamiento; y como requisito importante se alude a que la procedencia de los derechos ARCO se hará efectiva una vez que el titular acredite su identidad</w:t>
      </w:r>
      <w:r w:rsidRPr="007D5F26">
        <w:rPr>
          <w:rFonts w:ascii="Palatino Linotype" w:hAnsi="Palatino Linotype" w:cs="Arial"/>
          <w:color w:val="FF0000"/>
        </w:rPr>
        <w:t>.</w:t>
      </w:r>
    </w:p>
    <w:p w:rsidR="00F54483" w:rsidRPr="00F54483" w:rsidRDefault="00F54483" w:rsidP="00F54483">
      <w:pPr>
        <w:pStyle w:val="Prrafodelista"/>
        <w:spacing w:before="240" w:after="240" w:line="360" w:lineRule="auto"/>
        <w:ind w:left="0" w:right="49"/>
        <w:jc w:val="both"/>
        <w:rPr>
          <w:rFonts w:ascii="Palatino Linotype" w:hAnsi="Palatino Linotype" w:cs="Arial"/>
        </w:rPr>
      </w:pPr>
    </w:p>
    <w:p w:rsidR="007D5F26" w:rsidRPr="00F54483" w:rsidRDefault="007D5F26" w:rsidP="00B178CD">
      <w:pPr>
        <w:pStyle w:val="Prrafodelista"/>
        <w:numPr>
          <w:ilvl w:val="0"/>
          <w:numId w:val="2"/>
        </w:numPr>
        <w:spacing w:before="240" w:after="240" w:line="360" w:lineRule="auto"/>
        <w:ind w:left="0" w:right="49" w:firstLine="0"/>
        <w:jc w:val="both"/>
        <w:rPr>
          <w:rFonts w:ascii="Palatino Linotype" w:hAnsi="Palatino Linotype" w:cs="Arial"/>
        </w:rPr>
      </w:pPr>
      <w:r w:rsidRPr="00F54483">
        <w:rPr>
          <w:rFonts w:ascii="Palatino Linotype" w:hAnsi="Palatino Linotype" w:cs="Arial"/>
        </w:rPr>
        <w:t xml:space="preserve">Así es de precisar que en el desarrollo del </w:t>
      </w:r>
      <w:r w:rsidR="00DD1A00" w:rsidRPr="00F54483">
        <w:rPr>
          <w:rFonts w:ascii="Palatino Linotype" w:hAnsi="Palatino Linotype" w:cs="Arial"/>
        </w:rPr>
        <w:t>procedimiento se advirtió que la</w:t>
      </w:r>
      <w:r w:rsidRPr="00F54483">
        <w:rPr>
          <w:rFonts w:ascii="Palatino Linotype" w:hAnsi="Palatino Linotype" w:cs="Arial"/>
        </w:rPr>
        <w:t xml:space="preserve"> particular en el Ejercicio del Derecho de Acceso a Datos Personales no adjuntó tanto en su solicitud, como en el recurso de revisi</w:t>
      </w:r>
      <w:r w:rsidR="0090423C" w:rsidRPr="00F54483">
        <w:rPr>
          <w:rFonts w:ascii="Palatino Linotype" w:hAnsi="Palatino Linotype" w:cs="Arial"/>
        </w:rPr>
        <w:t xml:space="preserve">ón interpuesto, </w:t>
      </w:r>
      <w:r w:rsidR="00DD1A00" w:rsidRPr="00F54483">
        <w:rPr>
          <w:rFonts w:ascii="Palatino Linotype" w:hAnsi="Palatino Linotype" w:cs="Arial"/>
        </w:rPr>
        <w:t>documento</w:t>
      </w:r>
      <w:r w:rsidRPr="00F54483">
        <w:rPr>
          <w:rFonts w:ascii="Palatino Linotype" w:hAnsi="Palatino Linotype" w:cs="Arial"/>
        </w:rPr>
        <w:t xml:space="preserve"> con el objetivo de </w:t>
      </w:r>
      <w:r w:rsidR="00F54483" w:rsidRPr="00F54483">
        <w:rPr>
          <w:rFonts w:ascii="Palatino Linotype" w:hAnsi="Palatino Linotype" w:cs="Arial"/>
        </w:rPr>
        <w:t xml:space="preserve">acreditar interés </w:t>
      </w:r>
      <w:proofErr w:type="spellStart"/>
      <w:r w:rsidR="00F54483" w:rsidRPr="00F54483">
        <w:rPr>
          <w:rFonts w:ascii="Palatino Linotype" w:hAnsi="Palatino Linotype" w:cs="Arial"/>
        </w:rPr>
        <w:t>legitimo</w:t>
      </w:r>
      <w:proofErr w:type="spellEnd"/>
      <w:r w:rsidR="00F54483" w:rsidRPr="00F54483">
        <w:rPr>
          <w:rFonts w:ascii="Palatino Linotype" w:hAnsi="Palatino Linotype" w:cs="Arial"/>
        </w:rPr>
        <w:t xml:space="preserve"> para </w:t>
      </w:r>
      <w:r w:rsidRPr="00F54483">
        <w:rPr>
          <w:rFonts w:ascii="Palatino Linotype" w:hAnsi="Palatino Linotype" w:cs="Arial"/>
        </w:rPr>
        <w:t>acceder a la información solicitada, no obstante, este Órgano Garante procedió a admitir el recurso de revisión que hoy nos ocupa a efecto de garantizar el ejerci</w:t>
      </w:r>
      <w:r w:rsidR="00F54483" w:rsidRPr="00F54483">
        <w:rPr>
          <w:rFonts w:ascii="Palatino Linotype" w:hAnsi="Palatino Linotype" w:cs="Arial"/>
        </w:rPr>
        <w:t>cio del derecho accionado por la</w:t>
      </w:r>
      <w:r w:rsidRPr="00F54483">
        <w:rPr>
          <w:rFonts w:ascii="Palatino Linotype" w:hAnsi="Palatino Linotype" w:cs="Arial"/>
        </w:rPr>
        <w:t xml:space="preserve"> particular, ya que desestimar el acceso de facto</w:t>
      </w:r>
      <w:r w:rsidR="00F54483" w:rsidRPr="00F54483">
        <w:rPr>
          <w:rFonts w:ascii="Palatino Linotype" w:hAnsi="Palatino Linotype" w:cs="Arial"/>
        </w:rPr>
        <w:t xml:space="preserve"> le</w:t>
      </w:r>
      <w:r w:rsidRPr="00F54483">
        <w:rPr>
          <w:rFonts w:ascii="Palatino Linotype" w:hAnsi="Palatino Linotype" w:cs="Arial"/>
        </w:rPr>
        <w:t xml:space="preserve"> </w:t>
      </w:r>
      <w:r w:rsidR="0090423C" w:rsidRPr="00F54483">
        <w:rPr>
          <w:rFonts w:ascii="Palatino Linotype" w:hAnsi="Palatino Linotype" w:cs="Arial"/>
        </w:rPr>
        <w:t>dejaría en un estado de indefensión</w:t>
      </w:r>
      <w:r w:rsidR="00F54483">
        <w:rPr>
          <w:rFonts w:ascii="Palatino Linotype" w:hAnsi="Palatino Linotype" w:cs="Arial"/>
        </w:rPr>
        <w:t>.</w:t>
      </w:r>
    </w:p>
    <w:p w:rsidR="0090423C" w:rsidRPr="0090423C" w:rsidRDefault="007D5F26" w:rsidP="00061470">
      <w:pPr>
        <w:numPr>
          <w:ilvl w:val="0"/>
          <w:numId w:val="2"/>
        </w:numPr>
        <w:spacing w:before="240" w:after="240" w:line="360" w:lineRule="auto"/>
        <w:ind w:left="0" w:right="49" w:firstLine="0"/>
        <w:contextualSpacing/>
        <w:jc w:val="both"/>
        <w:rPr>
          <w:rFonts w:ascii="Palatino Linotype" w:hAnsi="Palatino Linotype" w:cs="Arial"/>
        </w:rPr>
      </w:pPr>
      <w:r w:rsidRPr="00061470">
        <w:rPr>
          <w:rFonts w:ascii="Palatino Linotype" w:hAnsi="Palatino Linotype" w:cs="Arial"/>
        </w:rPr>
        <w:t xml:space="preserve">Así las cosas, el </w:t>
      </w:r>
      <w:r w:rsidRPr="00061470">
        <w:rPr>
          <w:rFonts w:ascii="Palatino Linotype" w:hAnsi="Palatino Linotype" w:cs="Arial"/>
          <w:b/>
        </w:rPr>
        <w:t xml:space="preserve">SUJETO OBLIGADO </w:t>
      </w:r>
      <w:r w:rsidRPr="00061470">
        <w:rPr>
          <w:rFonts w:ascii="Palatino Linotype" w:hAnsi="Palatino Linotype" w:cs="Arial"/>
        </w:rPr>
        <w:t>y a</w:t>
      </w:r>
      <w:r w:rsidR="00DD1A00">
        <w:rPr>
          <w:rFonts w:ascii="Palatino Linotype" w:hAnsi="Palatino Linotype" w:cs="Arial"/>
        </w:rPr>
        <w:t>nte la falta de acreditación de la</w:t>
      </w:r>
      <w:r w:rsidRPr="00061470">
        <w:rPr>
          <w:rFonts w:ascii="Palatino Linotype" w:hAnsi="Palatino Linotype" w:cs="Arial"/>
        </w:rPr>
        <w:t xml:space="preserve"> particular procedió al acceso en la modalidad in situ, a efec</w:t>
      </w:r>
      <w:r w:rsidR="00DD1A00">
        <w:rPr>
          <w:rFonts w:ascii="Palatino Linotype" w:hAnsi="Palatino Linotype" w:cs="Arial"/>
        </w:rPr>
        <w:t>to de que la</w:t>
      </w:r>
      <w:r w:rsidRPr="00061470">
        <w:rPr>
          <w:rFonts w:ascii="Palatino Linotype" w:hAnsi="Palatino Linotype" w:cs="Arial"/>
        </w:rPr>
        <w:t xml:space="preserve"> particular pudriera acreditar la personalidad  y así pudiera a acceder a la información, en ese sentido es necesario precisar que se desarrollaron las etapas procesales de conciliación y manifestaciones, a efecto de que el particular pudiera manifestar lo que  a su derecho correspondiera, no obstante</w:t>
      </w:r>
      <w:r w:rsidR="00061470">
        <w:rPr>
          <w:rFonts w:ascii="Palatino Linotype" w:hAnsi="Palatino Linotype" w:cs="Arial"/>
        </w:rPr>
        <w:t xml:space="preserve">, </w:t>
      </w:r>
      <w:r w:rsidRPr="00061470">
        <w:rPr>
          <w:rFonts w:ascii="Palatino Linotype" w:hAnsi="Palatino Linotype" w:cs="Arial"/>
        </w:rPr>
        <w:t xml:space="preserve">no  hubo manifestación al respecto, así es necesario señalar que </w:t>
      </w:r>
      <w:r w:rsidR="00061470" w:rsidRPr="00061470">
        <w:rPr>
          <w:rFonts w:ascii="Palatino Linotype" w:hAnsi="Palatino Linotype" w:cs="Arial"/>
        </w:rPr>
        <w:t xml:space="preserve">el ente recurrido </w:t>
      </w:r>
      <w:r w:rsidR="00061470" w:rsidRPr="00061470">
        <w:rPr>
          <w:rFonts w:ascii="Palatino Linotype" w:eastAsia="Times New Roman" w:hAnsi="Palatino Linotype" w:cs="Arial"/>
          <w:lang w:val="es-ES"/>
        </w:rPr>
        <w:t xml:space="preserve">no niega contar con la información solicitada por el recurrente, </w:t>
      </w:r>
      <w:r w:rsidR="00061470" w:rsidRPr="00061470">
        <w:rPr>
          <w:rFonts w:ascii="Palatino Linotype" w:eastAsia="Calibri" w:hAnsi="Palatino Linotype" w:cs="Arial"/>
          <w:lang w:val="es-MX" w:eastAsia="en-US"/>
        </w:rPr>
        <w:t>por lo contrario, se presume que dicha información la posee o administra</w:t>
      </w:r>
      <w:r w:rsidR="00DD1A00">
        <w:rPr>
          <w:rFonts w:ascii="Palatino Linotype" w:eastAsia="Calibri" w:hAnsi="Palatino Linotype" w:cs="Arial"/>
          <w:lang w:val="es-MX" w:eastAsia="en-US"/>
        </w:rPr>
        <w:t xml:space="preserve"> al asumir su posición  según constancias que ob</w:t>
      </w:r>
      <w:r w:rsidR="00F54483">
        <w:rPr>
          <w:rFonts w:ascii="Palatino Linotype" w:eastAsia="Calibri" w:hAnsi="Palatino Linotype" w:cs="Arial"/>
          <w:lang w:val="es-MX" w:eastAsia="en-US"/>
        </w:rPr>
        <w:t xml:space="preserve">ran en el expediente en comento, por lo que de conformidad con el siguiente apartado se deberá otorgar el acceso previa acreditación del interés </w:t>
      </w:r>
      <w:proofErr w:type="spellStart"/>
      <w:r w:rsidR="00F54483">
        <w:rPr>
          <w:rFonts w:ascii="Palatino Linotype" w:eastAsia="Calibri" w:hAnsi="Palatino Linotype" w:cs="Arial"/>
          <w:lang w:val="es-MX" w:eastAsia="en-US"/>
        </w:rPr>
        <w:t>legitimo</w:t>
      </w:r>
      <w:proofErr w:type="spellEnd"/>
      <w:r w:rsidR="00F54483">
        <w:rPr>
          <w:rFonts w:ascii="Palatino Linotype" w:eastAsia="Calibri" w:hAnsi="Palatino Linotype" w:cs="Arial"/>
          <w:lang w:val="es-MX" w:eastAsia="en-US"/>
        </w:rPr>
        <w:t xml:space="preserve"> para acceder a la información solicitada. </w:t>
      </w:r>
    </w:p>
    <w:p w:rsidR="0090423C" w:rsidRPr="0090423C" w:rsidRDefault="0090423C" w:rsidP="0090423C">
      <w:pPr>
        <w:rPr>
          <w:rFonts w:ascii="Palatino Linotype" w:eastAsia="Calibri" w:hAnsi="Palatino Linotype" w:cs="Arial"/>
          <w:lang w:val="es-MX" w:eastAsia="en-US"/>
        </w:rPr>
      </w:pPr>
    </w:p>
    <w:p w:rsidR="00CE1616" w:rsidRDefault="00CE1616" w:rsidP="00CE1616">
      <w:pPr>
        <w:pStyle w:val="Prrafodelista"/>
        <w:rPr>
          <w:rFonts w:ascii="Palatino Linotype" w:hAnsi="Palatino Linotype" w:cs="Arial"/>
        </w:rPr>
      </w:pPr>
    </w:p>
    <w:p w:rsidR="00F54483" w:rsidRPr="00F54483" w:rsidRDefault="001D5FBE" w:rsidP="00F54483">
      <w:pPr>
        <w:pStyle w:val="Ttulo1"/>
      </w:pPr>
      <w:bookmarkStart w:id="38" w:name="_Toc58596314"/>
      <w:r>
        <w:t>III. Del interés legítimo y el deber de acreditarlo</w:t>
      </w:r>
      <w:r w:rsidR="00CE1616">
        <w:t>.</w:t>
      </w:r>
      <w:bookmarkEnd w:id="38"/>
      <w:r w:rsidR="00CE1616">
        <w:t xml:space="preserve"> </w:t>
      </w:r>
    </w:p>
    <w:p w:rsidR="00797733" w:rsidRDefault="00797733" w:rsidP="00797733">
      <w:pPr>
        <w:pStyle w:val="Prrafodelista"/>
        <w:rPr>
          <w:rFonts w:ascii="Palatino Linotype" w:hAnsi="Palatino Linotype" w:cs="Arial"/>
        </w:rPr>
      </w:pPr>
    </w:p>
    <w:p w:rsidR="00F54483" w:rsidRDefault="00CE1616" w:rsidP="00CE1616">
      <w:pPr>
        <w:numPr>
          <w:ilvl w:val="0"/>
          <w:numId w:val="2"/>
        </w:numPr>
        <w:spacing w:line="360" w:lineRule="auto"/>
        <w:ind w:left="0" w:firstLine="0"/>
        <w:contextualSpacing/>
        <w:jc w:val="both"/>
        <w:rPr>
          <w:rFonts w:ascii="Palatino Linotype" w:hAnsi="Palatino Linotype"/>
        </w:rPr>
      </w:pPr>
      <w:r>
        <w:rPr>
          <w:rFonts w:ascii="Palatino Linotype" w:hAnsi="Palatino Linotype"/>
        </w:rPr>
        <w:t xml:space="preserve">Señalado lo anterior </w:t>
      </w:r>
      <w:r w:rsidR="00F54483">
        <w:rPr>
          <w:rFonts w:ascii="Palatino Linotype" w:hAnsi="Palatino Linotype"/>
        </w:rPr>
        <w:t xml:space="preserve">es necesario precisar que la Ley de Protección de Datos Personales </w:t>
      </w:r>
      <w:r w:rsidR="00B178CD">
        <w:rPr>
          <w:rFonts w:ascii="Palatino Linotype" w:hAnsi="Palatino Linotype"/>
        </w:rPr>
        <w:t xml:space="preserve">en Posesión de Sujetos Obligados del Estado de México y Municipios refiere que cuando se trate de datos personales concernientes a personas fallecidas o de quienes haya sido declarada judicialmente la presunción de su muerte, la persona que acredite tener un interés jurídico, podrá ejercer los derechos de acceso, siempre </w:t>
      </w:r>
      <w:r w:rsidR="00B178CD" w:rsidRPr="00B178CD">
        <w:rPr>
          <w:rFonts w:ascii="Palatino Linotype" w:hAnsi="Palatino Linotype"/>
        </w:rPr>
        <w:t>que el titular de los derechos hubiere expresado fehacientemente su voluntad en tal sentido, o que exista un mandato judicial para dicho efecto</w:t>
      </w:r>
      <w:r w:rsidR="00B178CD">
        <w:rPr>
          <w:rFonts w:ascii="Palatino Linotype" w:hAnsi="Palatino Linotype"/>
        </w:rPr>
        <w:t xml:space="preserve">, como a continuación se observa: </w:t>
      </w:r>
    </w:p>
    <w:p w:rsidR="00B178CD" w:rsidRDefault="00B178CD" w:rsidP="00B178CD">
      <w:pPr>
        <w:spacing w:line="360" w:lineRule="auto"/>
        <w:contextualSpacing/>
        <w:jc w:val="both"/>
        <w:rPr>
          <w:rFonts w:ascii="Palatino Linotype" w:hAnsi="Palatino Linotype"/>
        </w:rPr>
      </w:pPr>
    </w:p>
    <w:p w:rsidR="00B178CD" w:rsidRDefault="00B178CD" w:rsidP="00B178CD">
      <w:pPr>
        <w:spacing w:line="360" w:lineRule="auto"/>
        <w:ind w:left="567" w:right="567"/>
        <w:contextualSpacing/>
        <w:jc w:val="both"/>
        <w:rPr>
          <w:rFonts w:ascii="Palatino Linotype" w:hAnsi="Palatino Linotype"/>
          <w:i/>
        </w:rPr>
      </w:pPr>
      <w:r w:rsidRPr="00B178CD">
        <w:rPr>
          <w:rFonts w:ascii="Palatino Linotype" w:hAnsi="Palatino Linotype"/>
          <w:i/>
        </w:rPr>
        <w:t>“</w:t>
      </w:r>
      <w:r w:rsidRPr="00B178CD">
        <w:rPr>
          <w:rFonts w:ascii="Palatino Linotype" w:hAnsi="Palatino Linotype"/>
          <w:b/>
          <w:i/>
        </w:rPr>
        <w:t>Artículo 106.</w:t>
      </w:r>
      <w:r w:rsidRPr="00B178CD">
        <w:rPr>
          <w:rFonts w:ascii="Palatino Linotype" w:hAnsi="Palatino Linotype"/>
          <w:i/>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r>
        <w:rPr>
          <w:rFonts w:ascii="Palatino Linotype" w:hAnsi="Palatino Linotype"/>
          <w:i/>
        </w:rPr>
        <w:t>.</w:t>
      </w:r>
    </w:p>
    <w:p w:rsidR="00B178CD" w:rsidRDefault="00B178CD" w:rsidP="00B178CD">
      <w:pPr>
        <w:spacing w:line="360" w:lineRule="auto"/>
        <w:ind w:left="567" w:right="567"/>
        <w:contextualSpacing/>
        <w:jc w:val="both"/>
        <w:rPr>
          <w:rFonts w:ascii="Palatino Linotype" w:hAnsi="Palatino Linotype"/>
          <w:i/>
        </w:rPr>
      </w:pPr>
    </w:p>
    <w:p w:rsidR="00B178CD" w:rsidRDefault="00B178CD" w:rsidP="00B178CD">
      <w:pPr>
        <w:spacing w:line="360" w:lineRule="auto"/>
        <w:ind w:left="567" w:right="567"/>
        <w:contextualSpacing/>
        <w:jc w:val="both"/>
        <w:rPr>
          <w:rFonts w:ascii="Palatino Linotype" w:hAnsi="Palatino Linotype"/>
          <w:i/>
        </w:rPr>
      </w:pPr>
      <w:r w:rsidRPr="00B178CD">
        <w:rPr>
          <w:rFonts w:ascii="Palatino Linotype" w:hAnsi="Palatino Linotype"/>
          <w:i/>
        </w:rPr>
        <w:t xml:space="preserve">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rsidR="00B178CD" w:rsidRDefault="00B178CD" w:rsidP="00B178CD">
      <w:pPr>
        <w:spacing w:line="360" w:lineRule="auto"/>
        <w:ind w:left="567" w:right="567"/>
        <w:contextualSpacing/>
        <w:jc w:val="both"/>
        <w:rPr>
          <w:rFonts w:ascii="Palatino Linotype" w:hAnsi="Palatino Linotype"/>
          <w:i/>
        </w:rPr>
      </w:pPr>
    </w:p>
    <w:p w:rsidR="00B178CD" w:rsidRDefault="00B178CD" w:rsidP="00B178CD">
      <w:pPr>
        <w:spacing w:line="360" w:lineRule="auto"/>
        <w:ind w:left="567" w:right="567"/>
        <w:contextualSpacing/>
        <w:jc w:val="both"/>
        <w:rPr>
          <w:rFonts w:ascii="Palatino Linotype" w:hAnsi="Palatino Linotype"/>
          <w:i/>
        </w:rPr>
      </w:pPr>
      <w:r w:rsidRPr="00B178CD">
        <w:rPr>
          <w:rFonts w:ascii="Palatino Linotype" w:hAnsi="Palatino Linotype"/>
          <w:i/>
        </w:rPr>
        <w:lastRenderedPageBreak/>
        <w:t xml:space="preserve">Para el ejercicio de los derechos ARCO solicitados será necesario acreditar la identidad de titular y en su caso la identidad y personalidad con la que actúe el representante. </w:t>
      </w:r>
    </w:p>
    <w:p w:rsidR="00B178CD" w:rsidRDefault="00B178CD" w:rsidP="00B178CD">
      <w:pPr>
        <w:spacing w:line="360" w:lineRule="auto"/>
        <w:ind w:left="567" w:right="567"/>
        <w:contextualSpacing/>
        <w:jc w:val="both"/>
        <w:rPr>
          <w:rFonts w:ascii="Palatino Linotype" w:hAnsi="Palatino Linotype"/>
          <w:i/>
        </w:rPr>
      </w:pPr>
    </w:p>
    <w:p w:rsidR="00B178CD" w:rsidRPr="00B178CD" w:rsidRDefault="00B178CD" w:rsidP="00B178CD">
      <w:pPr>
        <w:spacing w:line="360" w:lineRule="auto"/>
        <w:ind w:left="567" w:right="567"/>
        <w:contextualSpacing/>
        <w:jc w:val="both"/>
        <w:rPr>
          <w:rFonts w:ascii="Palatino Linotype" w:hAnsi="Palatino Linotype"/>
          <w:b/>
          <w:i/>
        </w:rPr>
      </w:pPr>
      <w:r w:rsidRPr="00B178CD">
        <w:rPr>
          <w:rFonts w:ascii="Palatino Linotype" w:hAnsi="Palatino Linotype"/>
          <w:b/>
          <w:i/>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B178CD" w:rsidRPr="00B178CD" w:rsidRDefault="00B178CD" w:rsidP="00B178CD">
      <w:pPr>
        <w:spacing w:line="360" w:lineRule="auto"/>
        <w:ind w:left="567" w:right="567"/>
        <w:contextualSpacing/>
        <w:jc w:val="both"/>
        <w:rPr>
          <w:rFonts w:ascii="Palatino Linotype" w:hAnsi="Palatino Linotype"/>
          <w:b/>
          <w:i/>
        </w:rPr>
      </w:pPr>
    </w:p>
    <w:p w:rsidR="00B178CD" w:rsidRPr="00B178CD" w:rsidRDefault="00B178CD" w:rsidP="00B178CD">
      <w:pPr>
        <w:spacing w:line="360" w:lineRule="auto"/>
        <w:ind w:left="567" w:right="567"/>
        <w:contextualSpacing/>
        <w:jc w:val="both"/>
        <w:rPr>
          <w:rFonts w:ascii="Palatino Linotype" w:hAnsi="Palatino Linotype"/>
          <w:b/>
          <w:i/>
        </w:rPr>
      </w:pPr>
      <w:r w:rsidRPr="00B178CD">
        <w:rPr>
          <w:rFonts w:ascii="Palatino Linotype" w:hAnsi="Palatino Linotype"/>
          <w:b/>
          <w:i/>
        </w:rPr>
        <w:t xml:space="preserve"> El titular podrá autorizar dentro de una cláusula del testamento a las personas que podrán ejercer sus derechos ARCO al momento del fallecimiento.</w:t>
      </w:r>
    </w:p>
    <w:p w:rsidR="00B178CD" w:rsidRPr="00B178CD" w:rsidRDefault="00B178CD" w:rsidP="00B178CD">
      <w:pPr>
        <w:spacing w:line="360" w:lineRule="auto"/>
        <w:ind w:left="567" w:right="567"/>
        <w:contextualSpacing/>
        <w:jc w:val="both"/>
        <w:rPr>
          <w:rFonts w:ascii="Palatino Linotype" w:hAnsi="Palatino Linotype"/>
          <w:b/>
          <w:i/>
        </w:rPr>
      </w:pPr>
    </w:p>
    <w:p w:rsidR="00B178CD" w:rsidRPr="00B178CD" w:rsidRDefault="00B178CD" w:rsidP="00B178CD">
      <w:pPr>
        <w:spacing w:line="360" w:lineRule="auto"/>
        <w:ind w:left="567" w:right="567"/>
        <w:contextualSpacing/>
        <w:jc w:val="both"/>
        <w:rPr>
          <w:rFonts w:ascii="Palatino Linotype" w:hAnsi="Palatino Linotype"/>
          <w:b/>
          <w:i/>
        </w:rPr>
      </w:pPr>
      <w:r w:rsidRPr="00B178CD">
        <w:rPr>
          <w:rFonts w:ascii="Palatino Linotype" w:hAnsi="Palatino Linotype"/>
          <w:b/>
          <w:i/>
        </w:rPr>
        <w:t xml:space="preserve"> El ejercicio de los derechos ARCO por persona distinta a su titular o a su representante, será posible, excepcionalmente, en aquellos supuestos previstos por disposición legal, o en su caso, por mandato judicial. </w:t>
      </w:r>
    </w:p>
    <w:p w:rsidR="00B178CD" w:rsidRPr="00B178CD" w:rsidRDefault="00B178CD" w:rsidP="00B178CD">
      <w:pPr>
        <w:spacing w:line="360" w:lineRule="auto"/>
        <w:ind w:left="567" w:right="567"/>
        <w:contextualSpacing/>
        <w:jc w:val="both"/>
        <w:rPr>
          <w:rFonts w:ascii="Palatino Linotype" w:hAnsi="Palatino Linotype"/>
          <w:b/>
          <w:i/>
        </w:rPr>
      </w:pPr>
    </w:p>
    <w:p w:rsidR="00B178CD" w:rsidRPr="00B178CD" w:rsidRDefault="00B178CD" w:rsidP="00B178CD">
      <w:pPr>
        <w:spacing w:line="360" w:lineRule="auto"/>
        <w:ind w:left="567" w:right="567"/>
        <w:contextualSpacing/>
        <w:jc w:val="both"/>
        <w:rPr>
          <w:rFonts w:ascii="Palatino Linotype" w:hAnsi="Palatino Linotype"/>
          <w:b/>
          <w:i/>
        </w:rPr>
      </w:pPr>
      <w:r w:rsidRPr="00B178CD">
        <w:rPr>
          <w:rFonts w:ascii="Palatino Linotype" w:hAnsi="Palatino Linotype"/>
          <w:b/>
          <w:i/>
        </w:rPr>
        <w:t>En el ejercicio de los derechos ARCO de menores de edad o de personas que se encuentren en estado de interdicción o incapacidad de conformidad con las leyes civiles, se estará a las reglas de representación dispuestas en la misma legislación. “(Sic)</w:t>
      </w:r>
    </w:p>
    <w:p w:rsidR="00F54483" w:rsidRDefault="00F54483" w:rsidP="00B178CD">
      <w:pPr>
        <w:spacing w:line="360" w:lineRule="auto"/>
        <w:contextualSpacing/>
        <w:jc w:val="both"/>
        <w:rPr>
          <w:rFonts w:ascii="Palatino Linotype" w:hAnsi="Palatino Linotype"/>
        </w:rPr>
      </w:pPr>
    </w:p>
    <w:p w:rsidR="00B178CD" w:rsidRDefault="00B178CD" w:rsidP="00B178CD">
      <w:pPr>
        <w:numPr>
          <w:ilvl w:val="0"/>
          <w:numId w:val="2"/>
        </w:numPr>
        <w:spacing w:line="360" w:lineRule="auto"/>
        <w:ind w:left="0" w:firstLine="0"/>
        <w:contextualSpacing/>
        <w:jc w:val="both"/>
        <w:rPr>
          <w:rFonts w:ascii="Palatino Linotype" w:hAnsi="Palatino Linotype"/>
        </w:rPr>
      </w:pPr>
      <w:r>
        <w:rPr>
          <w:rFonts w:ascii="Palatino Linotype" w:hAnsi="Palatino Linotype"/>
        </w:rPr>
        <w:t xml:space="preserve">Expuesto lo anterior, es oportuno recordar lo referido por la particular en su solicitud de Acceso a Datos personales, específicamente en el apartado de </w:t>
      </w:r>
      <w:r w:rsidRPr="00B178CD">
        <w:rPr>
          <w:rFonts w:ascii="Palatino Linotype" w:hAnsi="Palatino Linotype"/>
          <w:i/>
        </w:rPr>
        <w:t>“Documento con el cual se acredita la identidad de la representación</w:t>
      </w:r>
      <w:r>
        <w:rPr>
          <w:rFonts w:ascii="Palatino Linotype" w:hAnsi="Palatino Linotype"/>
        </w:rPr>
        <w:t xml:space="preserve">” se señaló expresamente </w:t>
      </w:r>
      <w:r w:rsidRPr="00B178CD">
        <w:rPr>
          <w:rFonts w:ascii="Palatino Linotype" w:hAnsi="Palatino Linotype"/>
          <w:i/>
        </w:rPr>
        <w:t>“Sentencia de concubinato”</w:t>
      </w:r>
      <w:r>
        <w:rPr>
          <w:rFonts w:ascii="Palatino Linotype" w:hAnsi="Palatino Linotype"/>
          <w:i/>
        </w:rPr>
        <w:t xml:space="preserve">, </w:t>
      </w:r>
      <w:r>
        <w:rPr>
          <w:rFonts w:ascii="Palatino Linotype" w:hAnsi="Palatino Linotype"/>
        </w:rPr>
        <w:t>como se observa:</w:t>
      </w:r>
    </w:p>
    <w:p w:rsidR="00D76150" w:rsidRPr="00D76150" w:rsidRDefault="00D76150" w:rsidP="00D76150">
      <w:pPr>
        <w:spacing w:line="360" w:lineRule="auto"/>
        <w:contextualSpacing/>
        <w:jc w:val="both"/>
        <w:rPr>
          <w:rFonts w:ascii="Palatino Linotype" w:hAnsi="Palatino Linotype"/>
        </w:rPr>
      </w:pPr>
    </w:p>
    <w:p w:rsidR="00B178CD" w:rsidRDefault="00B178CD" w:rsidP="00D76150">
      <w:pPr>
        <w:spacing w:line="360" w:lineRule="auto"/>
        <w:contextualSpacing/>
        <w:jc w:val="center"/>
        <w:rPr>
          <w:rFonts w:ascii="Palatino Linotype" w:hAnsi="Palatino Linotype"/>
        </w:rPr>
      </w:pPr>
      <w:r>
        <w:rPr>
          <w:noProof/>
          <w:lang w:val="es-MX" w:eastAsia="es-MX"/>
        </w:rPr>
        <w:drawing>
          <wp:inline distT="0" distB="0" distL="0" distR="0" wp14:anchorId="44098983" wp14:editId="31CC1F48">
            <wp:extent cx="5511800" cy="180975"/>
            <wp:effectExtent l="19050" t="19050" r="1270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355" t="29711" r="38901" b="68436"/>
                    <a:stretch/>
                  </pic:blipFill>
                  <pic:spPr bwMode="auto">
                    <a:xfrm>
                      <a:off x="0" y="0"/>
                      <a:ext cx="5511800" cy="180975"/>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p>
    <w:p w:rsidR="00D76150" w:rsidRDefault="00D76150" w:rsidP="00D76150">
      <w:pPr>
        <w:spacing w:line="360" w:lineRule="auto"/>
        <w:contextualSpacing/>
        <w:jc w:val="center"/>
        <w:rPr>
          <w:rFonts w:ascii="Palatino Linotype" w:hAnsi="Palatino Linotype"/>
        </w:rPr>
      </w:pPr>
    </w:p>
    <w:p w:rsidR="00797733" w:rsidRPr="00D76150" w:rsidRDefault="00D76150" w:rsidP="00D76150">
      <w:pPr>
        <w:numPr>
          <w:ilvl w:val="0"/>
          <w:numId w:val="2"/>
        </w:numPr>
        <w:spacing w:line="360" w:lineRule="auto"/>
        <w:ind w:left="0" w:firstLine="0"/>
        <w:contextualSpacing/>
        <w:jc w:val="both"/>
        <w:rPr>
          <w:rFonts w:ascii="Palatino Linotype" w:hAnsi="Palatino Linotype"/>
        </w:rPr>
      </w:pPr>
      <w:r w:rsidRPr="00D76150">
        <w:rPr>
          <w:rFonts w:ascii="Palatino Linotype" w:hAnsi="Palatino Linotype"/>
        </w:rPr>
        <w:t xml:space="preserve">Así es necesario señalar que a decir de la particular cuenta con una Resolución Judicial en términos del ya Ley de Protección de Datos Personales en Posesión de Sujetos Obligados del Estado de México y Municipios, no obstante y toda vez que no se realizó entrega de la misma, el </w:t>
      </w:r>
      <w:r w:rsidRPr="00D76150">
        <w:rPr>
          <w:rFonts w:ascii="Palatino Linotype" w:hAnsi="Palatino Linotype"/>
          <w:b/>
        </w:rPr>
        <w:t>SUJETO OBLIGADO</w:t>
      </w:r>
      <w:r w:rsidRPr="00D76150">
        <w:rPr>
          <w:rFonts w:ascii="Palatino Linotype" w:hAnsi="Palatino Linotype"/>
        </w:rPr>
        <w:t xml:space="preserve"> tiene la obligación de permitir el acceso previa acreditación del interés legítimo, lo cual implica que se ponga a su disposición documento fiel que permita el acceso donde conste fehacientemente  la voluntad del titular de los derechos  </w:t>
      </w:r>
      <w:r>
        <w:rPr>
          <w:rFonts w:ascii="Palatino Linotype" w:hAnsi="Palatino Linotype"/>
        </w:rPr>
        <w:t xml:space="preserve">de permitir su acceso como lo pudiera ser un testamento o mandato judicial. </w:t>
      </w:r>
    </w:p>
    <w:p w:rsidR="00797733" w:rsidRDefault="00F22FBB" w:rsidP="00F22FBB">
      <w:pPr>
        <w:keepNext/>
        <w:keepLines/>
        <w:spacing w:before="240" w:line="360" w:lineRule="auto"/>
        <w:outlineLvl w:val="0"/>
        <w:rPr>
          <w:rFonts w:ascii="Palatino Linotype" w:eastAsiaTheme="majorEastAsia" w:hAnsi="Palatino Linotype" w:cstheme="majorBidi"/>
          <w:b/>
          <w:lang w:val="es-MX" w:eastAsia="en-US"/>
        </w:rPr>
      </w:pPr>
      <w:bookmarkStart w:id="39" w:name="_Toc473799824"/>
      <w:bookmarkStart w:id="40" w:name="_Toc487025370"/>
      <w:bookmarkStart w:id="41" w:name="_Toc493790438"/>
      <w:bookmarkStart w:id="42" w:name="_Toc495606558"/>
      <w:bookmarkStart w:id="43" w:name="_Toc497297048"/>
      <w:bookmarkStart w:id="44" w:name="_Toc498503756"/>
      <w:bookmarkStart w:id="45" w:name="_Toc499201876"/>
      <w:bookmarkStart w:id="46" w:name="_Toc536618579"/>
      <w:bookmarkStart w:id="47" w:name="_Toc12380649"/>
      <w:bookmarkStart w:id="48" w:name="_Toc58596315"/>
      <w:r w:rsidRPr="00F22FBB">
        <w:rPr>
          <w:rFonts w:ascii="Palatino Linotype" w:eastAsiaTheme="majorEastAsia" w:hAnsi="Palatino Linotype" w:cstheme="majorBidi"/>
          <w:b/>
          <w:lang w:val="es-MX" w:eastAsia="en-US"/>
        </w:rPr>
        <w:t>QUINTO. De la Versión Pública</w:t>
      </w:r>
      <w:bookmarkEnd w:id="39"/>
      <w:bookmarkEnd w:id="40"/>
      <w:bookmarkEnd w:id="41"/>
      <w:bookmarkEnd w:id="42"/>
      <w:bookmarkEnd w:id="43"/>
      <w:bookmarkEnd w:id="44"/>
      <w:bookmarkEnd w:id="45"/>
      <w:bookmarkEnd w:id="46"/>
      <w:bookmarkEnd w:id="47"/>
      <w:r w:rsidR="00797733">
        <w:rPr>
          <w:rFonts w:ascii="Palatino Linotype" w:eastAsiaTheme="majorEastAsia" w:hAnsi="Palatino Linotype" w:cstheme="majorBidi"/>
          <w:b/>
          <w:lang w:val="es-MX" w:eastAsia="en-US"/>
        </w:rPr>
        <w:t>.</w:t>
      </w:r>
      <w:bookmarkEnd w:id="48"/>
    </w:p>
    <w:p w:rsidR="00CE1616" w:rsidRPr="00F22FBB" w:rsidRDefault="00CE1616" w:rsidP="00F22FBB">
      <w:pPr>
        <w:keepNext/>
        <w:keepLines/>
        <w:spacing w:before="240" w:line="360" w:lineRule="auto"/>
        <w:outlineLvl w:val="0"/>
        <w:rPr>
          <w:rFonts w:ascii="Palatino Linotype" w:eastAsiaTheme="majorEastAsia" w:hAnsi="Palatino Linotype" w:cstheme="majorBidi"/>
          <w:b/>
          <w:lang w:val="es-MX" w:eastAsia="en-US"/>
        </w:rPr>
      </w:pPr>
    </w:p>
    <w:p w:rsidR="00F22FBB" w:rsidRPr="00F22FBB" w:rsidRDefault="00F22FBB" w:rsidP="00F22FBB">
      <w:pPr>
        <w:numPr>
          <w:ilvl w:val="0"/>
          <w:numId w:val="2"/>
        </w:numPr>
        <w:spacing w:before="240" w:after="240" w:line="360" w:lineRule="auto"/>
        <w:ind w:left="0" w:right="49" w:firstLine="0"/>
        <w:contextualSpacing/>
        <w:jc w:val="both"/>
        <w:rPr>
          <w:rFonts w:ascii="Palatino Linotype" w:hAnsi="Palatino Linotype" w:cs="Bookman Old Style"/>
        </w:rPr>
      </w:pPr>
      <w:r w:rsidRPr="00F22FBB">
        <w:rPr>
          <w:rFonts w:ascii="Palatino Linotype" w:eastAsia="Calibri" w:hAnsi="Palatino Linotype" w:cs="Arial"/>
          <w:szCs w:val="22"/>
          <w:lang w:val="es-ES" w:eastAsia="es-MX"/>
        </w:rPr>
        <w:t xml:space="preserve">Como ya se ha señalado en el considerando anterior, el </w:t>
      </w:r>
      <w:r w:rsidRPr="00F22FBB">
        <w:rPr>
          <w:rFonts w:ascii="Palatino Linotype" w:eastAsia="Calibri" w:hAnsi="Palatino Linotype" w:cs="Arial"/>
          <w:b/>
          <w:szCs w:val="22"/>
          <w:lang w:val="es-ES" w:eastAsia="es-MX"/>
        </w:rPr>
        <w:t>SUJETO OBLIGADO</w:t>
      </w:r>
      <w:r w:rsidRPr="00F22FBB">
        <w:rPr>
          <w:rFonts w:ascii="Palatino Linotype" w:eastAsia="Calibri" w:hAnsi="Palatino Linotype" w:cs="Arial"/>
          <w:szCs w:val="22"/>
          <w:lang w:val="es-ES" w:eastAsia="es-MX"/>
        </w:rPr>
        <w:t xml:space="preserve"> deberá permitir el acceso a los documentos requeridos una vez que el Recurrente acredite su personalidad; no obstante, de ser el caso de que el </w:t>
      </w:r>
      <w:r w:rsidR="005C7B5E">
        <w:rPr>
          <w:rFonts w:ascii="Palatino Linotype" w:eastAsia="Calibri" w:hAnsi="Palatino Linotype" w:cs="Arial"/>
          <w:szCs w:val="22"/>
          <w:lang w:val="es-ES" w:eastAsia="es-MX"/>
        </w:rPr>
        <w:t xml:space="preserve">listado </w:t>
      </w:r>
      <w:r w:rsidRPr="00F22FBB">
        <w:rPr>
          <w:rFonts w:ascii="Palatino Linotype" w:eastAsia="Calibri" w:hAnsi="Palatino Linotype" w:cs="Arial"/>
          <w:szCs w:val="22"/>
          <w:lang w:val="es-ES" w:eastAsia="es-MX"/>
        </w:rPr>
        <w:t xml:space="preserve">contenga datos personales concernientes a terceras personas que sean parte del </w:t>
      </w:r>
      <w:r w:rsidRPr="00F22FBB">
        <w:rPr>
          <w:rFonts w:ascii="Palatino Linotype" w:eastAsia="Calibri" w:hAnsi="Palatino Linotype" w:cs="Arial"/>
          <w:szCs w:val="22"/>
          <w:lang w:val="es-ES" w:eastAsia="es-MX"/>
        </w:rPr>
        <w:lastRenderedPageBreak/>
        <w:t>procedimiento y que sean susceptibles de ser clasificados como confidenciales, deberá elaborarse una versión pública que deje a la vista la información requerida.</w:t>
      </w:r>
    </w:p>
    <w:p w:rsidR="00F22FBB" w:rsidRPr="00F22FBB" w:rsidRDefault="00F22FBB" w:rsidP="00F22FBB">
      <w:pPr>
        <w:keepNext/>
        <w:keepLines/>
        <w:numPr>
          <w:ilvl w:val="0"/>
          <w:numId w:val="33"/>
        </w:numPr>
        <w:spacing w:before="40" w:line="360" w:lineRule="auto"/>
        <w:outlineLvl w:val="2"/>
        <w:rPr>
          <w:rFonts w:ascii="Palatino Linotype" w:eastAsia="Calibri" w:hAnsi="Palatino Linotype" w:cstheme="majorBidi"/>
          <w:b/>
        </w:rPr>
      </w:pPr>
      <w:bookmarkStart w:id="49" w:name="_Toc531859121"/>
      <w:bookmarkStart w:id="50" w:name="_Toc532385645"/>
      <w:bookmarkStart w:id="51" w:name="_Toc536618580"/>
      <w:bookmarkStart w:id="52" w:name="_Toc12380650"/>
      <w:bookmarkStart w:id="53" w:name="_Toc58596316"/>
      <w:r w:rsidRPr="00F22FBB">
        <w:rPr>
          <w:rFonts w:ascii="Palatino Linotype" w:eastAsiaTheme="majorEastAsia" w:hAnsi="Palatino Linotype" w:cstheme="majorBidi"/>
          <w:b/>
        </w:rPr>
        <w:t>Requisitos previos.</w:t>
      </w:r>
      <w:bookmarkEnd w:id="49"/>
      <w:bookmarkEnd w:id="50"/>
      <w:bookmarkEnd w:id="51"/>
      <w:bookmarkEnd w:id="52"/>
      <w:bookmarkEnd w:id="53"/>
    </w:p>
    <w:p w:rsidR="00F22FBB" w:rsidRPr="00F22FBB" w:rsidRDefault="00F22FBB" w:rsidP="00F22FBB">
      <w:pPr>
        <w:autoSpaceDE w:val="0"/>
        <w:autoSpaceDN w:val="0"/>
        <w:adjustRightInd w:val="0"/>
        <w:spacing w:after="160" w:line="360" w:lineRule="auto"/>
        <w:ind w:right="50"/>
        <w:contextualSpacing/>
        <w:jc w:val="both"/>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cs="Arial"/>
        </w:rPr>
        <w:t>El artículo 122 de la Ley de Transparencia y Acceso a la Información Pública del Estado de México y Municipios de aplicación supletoria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22FBB" w:rsidRPr="00F22FBB" w:rsidRDefault="00F22FBB" w:rsidP="00F22FBB">
      <w:pPr>
        <w:autoSpaceDE w:val="0"/>
        <w:autoSpaceDN w:val="0"/>
        <w:adjustRightInd w:val="0"/>
        <w:spacing w:after="160" w:line="360" w:lineRule="auto"/>
        <w:ind w:right="50"/>
        <w:contextualSpacing/>
        <w:jc w:val="both"/>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22FBB" w:rsidRPr="00F22FBB" w:rsidRDefault="00F22FBB" w:rsidP="00F22FBB">
      <w:pPr>
        <w:spacing w:line="360" w:lineRule="auto"/>
        <w:ind w:left="720"/>
        <w:contextualSpacing/>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w:t>
      </w:r>
      <w:r w:rsidRPr="00F22FBB">
        <w:rPr>
          <w:rFonts w:ascii="Palatino Linotype" w:hAnsi="Palatino Linotype" w:cs="Arial"/>
        </w:rPr>
        <w:lastRenderedPageBreak/>
        <w:t>se vaya a clasificar dentro de un documento con diez datos, por ejemplo, susceptibles de ser clasificados.</w:t>
      </w:r>
    </w:p>
    <w:p w:rsidR="00F22FBB" w:rsidRPr="00F22FBB" w:rsidRDefault="00F22FBB" w:rsidP="00F22FBB">
      <w:pPr>
        <w:spacing w:line="360" w:lineRule="auto"/>
        <w:ind w:left="720"/>
        <w:contextualSpacing/>
        <w:rPr>
          <w:rFonts w:ascii="Palatino Linotype" w:eastAsia="Calibri" w:hAnsi="Palatino Linotype" w:cs="Arial"/>
          <w:szCs w:val="22"/>
          <w:lang w:val="es-ES" w:eastAsia="es-MX"/>
        </w:rPr>
      </w:pPr>
    </w:p>
    <w:p w:rsidR="00F22FBB" w:rsidRPr="00F22FBB" w:rsidRDefault="00F22FBB" w:rsidP="00F22FBB">
      <w:pPr>
        <w:keepNext/>
        <w:keepLines/>
        <w:numPr>
          <w:ilvl w:val="0"/>
          <w:numId w:val="33"/>
        </w:numPr>
        <w:spacing w:before="40" w:line="360" w:lineRule="auto"/>
        <w:outlineLvl w:val="2"/>
        <w:rPr>
          <w:rFonts w:ascii="Palatino Linotype" w:eastAsiaTheme="majorEastAsia" w:hAnsi="Palatino Linotype" w:cstheme="majorBidi"/>
          <w:b/>
        </w:rPr>
      </w:pPr>
      <w:bookmarkStart w:id="54" w:name="_Toc531859122"/>
      <w:bookmarkStart w:id="55" w:name="_Toc532385646"/>
      <w:bookmarkStart w:id="56" w:name="_Toc536618581"/>
      <w:bookmarkStart w:id="57" w:name="_Toc12380651"/>
      <w:bookmarkStart w:id="58" w:name="_Toc58596317"/>
      <w:r w:rsidRPr="00F22FBB">
        <w:rPr>
          <w:rFonts w:ascii="Palatino Linotype" w:eastAsiaTheme="majorEastAsia" w:hAnsi="Palatino Linotype" w:cstheme="majorBidi"/>
          <w:b/>
        </w:rPr>
        <w:t>Supuesto de clasificación.</w:t>
      </w:r>
      <w:bookmarkEnd w:id="54"/>
      <w:bookmarkEnd w:id="55"/>
      <w:bookmarkEnd w:id="56"/>
      <w:bookmarkEnd w:id="57"/>
      <w:bookmarkEnd w:id="58"/>
    </w:p>
    <w:p w:rsidR="00F22FBB" w:rsidRPr="00F22FBB" w:rsidRDefault="00F22FBB" w:rsidP="00F22FBB">
      <w:pPr>
        <w:autoSpaceDE w:val="0"/>
        <w:autoSpaceDN w:val="0"/>
        <w:adjustRightInd w:val="0"/>
        <w:spacing w:after="160" w:line="360" w:lineRule="auto"/>
        <w:ind w:right="50"/>
        <w:contextualSpacing/>
        <w:jc w:val="both"/>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22FBB" w:rsidRPr="00F22FBB" w:rsidRDefault="00F22FBB" w:rsidP="00F22FBB">
      <w:pPr>
        <w:autoSpaceDE w:val="0"/>
        <w:autoSpaceDN w:val="0"/>
        <w:adjustRightInd w:val="0"/>
        <w:spacing w:after="160" w:line="276" w:lineRule="auto"/>
        <w:ind w:left="567" w:right="567"/>
        <w:jc w:val="both"/>
        <w:rPr>
          <w:rFonts w:ascii="Palatino Linotype" w:hAnsi="Palatino Linotype" w:cs="Arial"/>
          <w:i/>
          <w:sz w:val="22"/>
          <w:lang w:val="es-MX"/>
        </w:rPr>
      </w:pPr>
      <w:r w:rsidRPr="00F22FBB">
        <w:rPr>
          <w:rFonts w:ascii="Palatino Linotype" w:hAnsi="Palatino Linotype" w:cs="Arial"/>
          <w:b/>
          <w:bCs/>
          <w:i/>
          <w:sz w:val="22"/>
          <w:lang w:val="es-MX"/>
        </w:rPr>
        <w:t xml:space="preserve">Artículo 3. </w:t>
      </w:r>
      <w:r w:rsidRPr="00F22FBB">
        <w:rPr>
          <w:rFonts w:ascii="Palatino Linotype" w:hAnsi="Palatino Linotype" w:cs="Arial"/>
          <w:i/>
          <w:sz w:val="22"/>
          <w:lang w:val="es-MX"/>
        </w:rPr>
        <w:t>Para los efectos de la presente Ley se entenderá por:</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 xml:space="preserve"> (…)</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XX. Información clasificada: Aquella considerada por la presente Ley como reservada o confidencial;</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lastRenderedPageBreak/>
        <w:t>Artículo 91. El acceso a la información pública será restringido excepcionalmente, cuando ésta sea clasificada como reservada o confidencial.</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F22FBB" w:rsidRPr="00F22FBB" w:rsidRDefault="00F22FBB" w:rsidP="00F22FBB">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F22FBB">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cs="Arial"/>
        </w:rPr>
        <w:t>Mientras que el artículo 130 de la Ley en comento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cs="Arial"/>
        </w:rPr>
        <w:t>Como consecuencia de lo anterior, el sujeto obligado debe identificar claramente el tipo de información y hacer un juicio de subsunción o encaje</w:t>
      </w:r>
      <w:r w:rsidRPr="00F22FBB">
        <w:rPr>
          <w:rFonts w:ascii="Palatino Linotype" w:hAnsi="Palatino Linotype" w:cs="Arial"/>
          <w:vertAlign w:val="superscript"/>
        </w:rPr>
        <w:footnoteReference w:id="3"/>
      </w:r>
      <w:r w:rsidRPr="00F22FBB">
        <w:rPr>
          <w:rFonts w:ascii="Palatino Linotype" w:hAnsi="Palatino Linotype" w:cs="Arial"/>
        </w:rPr>
        <w:t xml:space="preserve"> para </w:t>
      </w:r>
      <w:r w:rsidRPr="00F22FBB">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rsidR="00F22FBB" w:rsidRPr="00F22FBB" w:rsidRDefault="00F22FBB" w:rsidP="00F22FBB">
      <w:pPr>
        <w:spacing w:line="360" w:lineRule="auto"/>
        <w:ind w:left="720"/>
        <w:contextualSpacing/>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22FBB" w:rsidRPr="00F22FBB" w:rsidRDefault="00F22FBB" w:rsidP="00F22FBB">
      <w:pPr>
        <w:tabs>
          <w:tab w:val="left" w:pos="2385"/>
        </w:tabs>
        <w:spacing w:line="360" w:lineRule="auto"/>
        <w:ind w:left="720"/>
        <w:contextualSpacing/>
        <w:rPr>
          <w:rFonts w:ascii="Palatino Linotype" w:eastAsia="Calibri" w:hAnsi="Palatino Linotype" w:cs="Arial"/>
          <w:szCs w:val="22"/>
          <w:lang w:val="es-ES" w:eastAsia="es-MX"/>
        </w:rPr>
      </w:pPr>
      <w:r w:rsidRPr="00F22FBB">
        <w:rPr>
          <w:rFonts w:ascii="Palatino Linotype" w:eastAsia="Calibri" w:hAnsi="Palatino Linotype" w:cs="Arial"/>
          <w:szCs w:val="22"/>
          <w:lang w:val="es-ES" w:eastAsia="es-MX"/>
        </w:rPr>
        <w:tab/>
      </w:r>
    </w:p>
    <w:p w:rsidR="00F22FBB" w:rsidRPr="00F22FBB" w:rsidRDefault="00F22FBB" w:rsidP="00797733">
      <w:pPr>
        <w:keepNext/>
        <w:keepLines/>
        <w:numPr>
          <w:ilvl w:val="0"/>
          <w:numId w:val="33"/>
        </w:numPr>
        <w:spacing w:before="40" w:line="360" w:lineRule="auto"/>
        <w:ind w:left="0" w:firstLine="0"/>
        <w:outlineLvl w:val="2"/>
        <w:rPr>
          <w:rFonts w:ascii="Palatino Linotype" w:eastAsiaTheme="majorEastAsia" w:hAnsi="Palatino Linotype" w:cstheme="majorBidi"/>
          <w:b/>
        </w:rPr>
      </w:pPr>
      <w:bookmarkStart w:id="59" w:name="_Toc531859123"/>
      <w:bookmarkStart w:id="60" w:name="_Toc532385647"/>
      <w:bookmarkStart w:id="61" w:name="_Toc536618582"/>
      <w:bookmarkStart w:id="62" w:name="_Toc12380652"/>
      <w:bookmarkStart w:id="63" w:name="_Toc58596318"/>
      <w:r w:rsidRPr="00F22FBB">
        <w:rPr>
          <w:rFonts w:ascii="Palatino Linotype" w:eastAsiaTheme="majorEastAsia" w:hAnsi="Palatino Linotype" w:cstheme="majorBidi"/>
          <w:b/>
        </w:rPr>
        <w:t>La intervención del Comité de Transparencia.</w:t>
      </w:r>
      <w:bookmarkEnd w:id="59"/>
      <w:bookmarkEnd w:id="60"/>
      <w:bookmarkEnd w:id="61"/>
      <w:bookmarkEnd w:id="62"/>
      <w:bookmarkEnd w:id="63"/>
    </w:p>
    <w:p w:rsidR="00F22FBB" w:rsidRPr="00F22FBB" w:rsidRDefault="00F22FBB" w:rsidP="00797733">
      <w:pPr>
        <w:keepNext/>
        <w:keepLines/>
        <w:numPr>
          <w:ilvl w:val="1"/>
          <w:numId w:val="2"/>
        </w:numPr>
        <w:spacing w:before="40" w:line="360" w:lineRule="auto"/>
        <w:ind w:left="0" w:firstLine="0"/>
        <w:outlineLvl w:val="3"/>
        <w:rPr>
          <w:rFonts w:ascii="Palatino Linotype" w:eastAsiaTheme="majorEastAsia" w:hAnsi="Palatino Linotype" w:cstheme="majorBidi"/>
          <w:b/>
          <w:iCs/>
        </w:rPr>
      </w:pPr>
      <w:r w:rsidRPr="00F22FBB">
        <w:rPr>
          <w:rFonts w:ascii="Palatino Linotype" w:eastAsiaTheme="majorEastAsia" w:hAnsi="Palatino Linotype" w:cstheme="majorBidi"/>
          <w:b/>
          <w:iCs/>
        </w:rPr>
        <w:t>Formalidades para emitir el acuerdo de clasificación.</w:t>
      </w:r>
    </w:p>
    <w:p w:rsidR="00F22FBB" w:rsidRPr="00F22FBB" w:rsidRDefault="00F22FBB" w:rsidP="00F22FBB">
      <w:pPr>
        <w:spacing w:line="360" w:lineRule="auto"/>
        <w:rPr>
          <w:rFonts w:ascii="Palatino Linotype" w:hAnsi="Palatino Linotype"/>
          <w:lang w:val="es-MX" w:eastAsia="en-US"/>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cs="Arial"/>
        </w:rPr>
        <w:t xml:space="preserve">El Comité de Transparencia, según lo dispuesto en los artículos 128 y 103 de la Ley Estatal y de la Ley General, respectivamente, y </w:t>
      </w:r>
      <w:r w:rsidRPr="00F22FBB">
        <w:rPr>
          <w:rFonts w:ascii="Palatino Linotype" w:hAnsi="Palatino Linotype"/>
        </w:rPr>
        <w:t xml:space="preserve">la fracción III del numeral Segundo de los </w:t>
      </w:r>
      <w:r w:rsidRPr="00F22FB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22FBB">
        <w:rPr>
          <w:rFonts w:ascii="Palatino Linotype" w:hAnsi="Palatino Linotype"/>
        </w:rPr>
        <w:t xml:space="preserve"> </w:t>
      </w:r>
      <w:r w:rsidRPr="00F22FBB">
        <w:rPr>
          <w:rFonts w:ascii="Palatino Linotype" w:hAnsi="Palatino Linotype" w:cs="Arial"/>
        </w:rPr>
        <w:t xml:space="preserve">cuenta con las facultades para </w:t>
      </w:r>
      <w:r w:rsidRPr="00F22FBB">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22FBB" w:rsidRPr="00F22FBB" w:rsidRDefault="00F22FBB" w:rsidP="00F22FBB">
      <w:pPr>
        <w:autoSpaceDE w:val="0"/>
        <w:autoSpaceDN w:val="0"/>
        <w:adjustRightInd w:val="0"/>
        <w:spacing w:after="160" w:line="360" w:lineRule="auto"/>
        <w:ind w:right="50"/>
        <w:contextualSpacing/>
        <w:jc w:val="both"/>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22FBB" w:rsidRPr="00F22FBB" w:rsidRDefault="00F22FBB" w:rsidP="00F22FBB">
      <w:pPr>
        <w:spacing w:line="360" w:lineRule="auto"/>
        <w:ind w:left="720"/>
        <w:contextualSpacing/>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F22FBB">
        <w:rPr>
          <w:rFonts w:ascii="Palatino Linotype" w:hAnsi="Palatino Linotype"/>
        </w:rPr>
        <w:lastRenderedPageBreak/>
        <w:t xml:space="preserve">por los titulares de áreas y que son sujetas a control, en primera instancia, por el Comité de Transparencia. </w:t>
      </w:r>
    </w:p>
    <w:p w:rsidR="00F22FBB" w:rsidRPr="00F22FBB" w:rsidRDefault="00F22FBB" w:rsidP="00F22FBB">
      <w:pPr>
        <w:keepNext/>
        <w:keepLines/>
        <w:spacing w:before="40" w:line="360" w:lineRule="auto"/>
        <w:outlineLvl w:val="3"/>
        <w:rPr>
          <w:rFonts w:ascii="Palatino Linotype" w:eastAsiaTheme="majorEastAsia" w:hAnsi="Palatino Linotype" w:cstheme="majorBidi"/>
          <w:b/>
          <w:i/>
          <w:iCs/>
          <w:color w:val="2E74B5" w:themeColor="accent1" w:themeShade="BF"/>
        </w:rPr>
      </w:pPr>
    </w:p>
    <w:p w:rsidR="00F22FBB" w:rsidRPr="00F22FBB" w:rsidRDefault="00F22FBB" w:rsidP="00F22FBB">
      <w:pPr>
        <w:keepNext/>
        <w:keepLines/>
        <w:numPr>
          <w:ilvl w:val="0"/>
          <w:numId w:val="34"/>
        </w:numPr>
        <w:spacing w:before="40" w:line="360" w:lineRule="auto"/>
        <w:outlineLvl w:val="3"/>
        <w:rPr>
          <w:rFonts w:ascii="Palatino Linotype" w:eastAsiaTheme="majorEastAsia" w:hAnsi="Palatino Linotype" w:cstheme="majorBidi"/>
          <w:b/>
          <w:iCs/>
          <w:color w:val="2E74B5" w:themeColor="accent1" w:themeShade="BF"/>
          <w:sz w:val="22"/>
        </w:rPr>
      </w:pPr>
      <w:r w:rsidRPr="00F22FBB">
        <w:rPr>
          <w:rFonts w:ascii="Palatino Linotype" w:eastAsiaTheme="majorEastAsia" w:hAnsi="Palatino Linotype" w:cstheme="majorBidi"/>
          <w:b/>
          <w:iCs/>
        </w:rPr>
        <w:t>Requisitos de fondo del acuerdo de clasificación</w:t>
      </w:r>
    </w:p>
    <w:p w:rsidR="00F22FBB" w:rsidRPr="00F22FBB" w:rsidRDefault="00F22FBB" w:rsidP="00F22FBB">
      <w:pPr>
        <w:spacing w:line="360" w:lineRule="auto"/>
        <w:ind w:left="720"/>
        <w:contextualSpacing/>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22FBB" w:rsidRPr="00F22FBB" w:rsidRDefault="00F22FBB" w:rsidP="00F22FBB">
      <w:pPr>
        <w:autoSpaceDE w:val="0"/>
        <w:autoSpaceDN w:val="0"/>
        <w:adjustRightInd w:val="0"/>
        <w:spacing w:after="160" w:line="360" w:lineRule="auto"/>
        <w:ind w:right="50"/>
        <w:contextualSpacing/>
        <w:jc w:val="both"/>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22FBB" w:rsidRPr="00F22FBB" w:rsidRDefault="00F22FBB" w:rsidP="00F22FBB">
      <w:pPr>
        <w:spacing w:line="360" w:lineRule="auto"/>
        <w:ind w:left="720"/>
        <w:contextualSpacing/>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w:t>
      </w:r>
      <w:r w:rsidRPr="00F22FBB">
        <w:rPr>
          <w:rFonts w:ascii="Palatino Linotype" w:eastAsia="Times New Roman" w:hAnsi="Palatino Linotype" w:cs="Arial"/>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22FBB">
        <w:rPr>
          <w:rFonts w:ascii="Palatino Linotype" w:eastAsia="Times New Roman" w:hAnsi="Palatino Linotype" w:cs="Arial"/>
          <w:vertAlign w:val="superscript"/>
          <w:lang w:eastAsia="es-MX"/>
        </w:rPr>
        <w:footnoteReference w:id="4"/>
      </w:r>
    </w:p>
    <w:p w:rsidR="00F22FBB" w:rsidRPr="00F22FBB" w:rsidRDefault="00F22FBB" w:rsidP="00F22FBB">
      <w:pPr>
        <w:spacing w:line="360" w:lineRule="auto"/>
        <w:ind w:left="720"/>
        <w:contextualSpacing/>
        <w:rPr>
          <w:rFonts w:ascii="Palatino Linotype" w:eastAsia="Calibri" w:hAnsi="Palatino Linotype" w:cs="Arial"/>
          <w:szCs w:val="22"/>
          <w:lang w:val="es-ES" w:eastAsia="es-MX"/>
        </w:rPr>
      </w:pPr>
    </w:p>
    <w:p w:rsidR="00F22FBB" w:rsidRPr="00F22FBB" w:rsidRDefault="00F22FBB" w:rsidP="00F22FBB">
      <w:pPr>
        <w:numPr>
          <w:ilvl w:val="0"/>
          <w:numId w:val="2"/>
        </w:numPr>
        <w:autoSpaceDE w:val="0"/>
        <w:autoSpaceDN w:val="0"/>
        <w:adjustRightInd w:val="0"/>
        <w:spacing w:after="160" w:line="360" w:lineRule="auto"/>
        <w:ind w:left="0" w:right="50" w:firstLine="0"/>
        <w:contextualSpacing/>
        <w:jc w:val="both"/>
        <w:rPr>
          <w:rFonts w:ascii="Palatino Linotype" w:eastAsia="Calibri" w:hAnsi="Palatino Linotype" w:cs="Arial"/>
          <w:szCs w:val="22"/>
          <w:lang w:val="es-ES" w:eastAsia="es-MX"/>
        </w:rPr>
      </w:pPr>
      <w:r w:rsidRPr="00F22FB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22FBB" w:rsidRPr="00F22FBB" w:rsidRDefault="00F22FBB" w:rsidP="00F22FBB">
      <w:pPr>
        <w:ind w:left="720"/>
        <w:contextualSpacing/>
        <w:rPr>
          <w:rFonts w:ascii="Palatino Linotype" w:eastAsia="Calibri" w:hAnsi="Palatino Linotype" w:cs="Arial"/>
          <w:szCs w:val="22"/>
          <w:lang w:val="es-ES" w:eastAsia="es-MX"/>
        </w:rPr>
      </w:pPr>
    </w:p>
    <w:p w:rsidR="00F22FBB" w:rsidRPr="00F22FBB" w:rsidRDefault="00F22FBB" w:rsidP="00F22FBB">
      <w:pPr>
        <w:spacing w:line="360" w:lineRule="auto"/>
        <w:ind w:left="567" w:right="567"/>
        <w:contextualSpacing/>
        <w:jc w:val="both"/>
        <w:rPr>
          <w:rFonts w:ascii="Palatino Linotype" w:hAnsi="Palatino Linotype" w:cs="Arial"/>
          <w:i/>
          <w:sz w:val="22"/>
        </w:rPr>
      </w:pPr>
      <w:r w:rsidRPr="00F22FBB">
        <w:rPr>
          <w:rFonts w:ascii="Palatino Linotype" w:hAnsi="Palatino Linotype" w:cs="Arial"/>
          <w:b/>
          <w:i/>
          <w:sz w:val="22"/>
        </w:rPr>
        <w:t>FUNDAMENTACIÓN Y MOTIVACIÓN.</w:t>
      </w:r>
      <w:r w:rsidRPr="00F22FBB">
        <w:rPr>
          <w:rFonts w:ascii="Palatino Linotype" w:hAnsi="Palatino Linotype" w:cs="Arial"/>
          <w:i/>
          <w:sz w:val="22"/>
        </w:rPr>
        <w:t xml:space="preserve"> La </w:t>
      </w:r>
      <w:r w:rsidRPr="00F22FB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22FBB">
        <w:rPr>
          <w:rFonts w:ascii="Palatino Linotype" w:hAnsi="Palatino Linotype" w:cs="Arial"/>
          <w:i/>
          <w:sz w:val="22"/>
        </w:rPr>
        <w:t>.</w:t>
      </w:r>
    </w:p>
    <w:p w:rsidR="00F22FBB" w:rsidRPr="00F22FBB" w:rsidRDefault="00F22FBB" w:rsidP="00F22FBB">
      <w:pPr>
        <w:spacing w:line="360" w:lineRule="auto"/>
        <w:ind w:left="567" w:right="567"/>
        <w:contextualSpacing/>
        <w:jc w:val="both"/>
        <w:rPr>
          <w:rFonts w:ascii="Palatino Linotype" w:hAnsi="Palatino Linotype" w:cs="Arial"/>
          <w:i/>
          <w:sz w:val="22"/>
        </w:rPr>
      </w:pPr>
      <w:r w:rsidRPr="00F22FBB">
        <w:rPr>
          <w:rFonts w:ascii="Palatino Linotype" w:hAnsi="Palatino Linotype" w:cs="Arial"/>
          <w:i/>
          <w:sz w:val="22"/>
        </w:rPr>
        <w:t>SEGUNDO TRIBUNAL COLEGIADO DEL SEXTO CIRCUITO.</w:t>
      </w:r>
    </w:p>
    <w:p w:rsidR="00F22FBB" w:rsidRPr="00F22FBB" w:rsidRDefault="00F22FBB" w:rsidP="00F22FBB">
      <w:pPr>
        <w:spacing w:line="360" w:lineRule="auto"/>
        <w:ind w:left="567" w:right="567"/>
        <w:contextualSpacing/>
        <w:jc w:val="both"/>
        <w:rPr>
          <w:rFonts w:ascii="Palatino Linotype" w:hAnsi="Palatino Linotype" w:cs="Arial"/>
          <w:i/>
          <w:sz w:val="22"/>
        </w:rPr>
      </w:pPr>
      <w:r w:rsidRPr="00F22FBB">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rsidR="00F22FBB" w:rsidRPr="00F22FBB" w:rsidRDefault="00F22FBB" w:rsidP="00F22FBB">
      <w:pPr>
        <w:spacing w:line="360" w:lineRule="auto"/>
        <w:ind w:left="567" w:right="567"/>
        <w:contextualSpacing/>
        <w:jc w:val="both"/>
        <w:rPr>
          <w:rFonts w:ascii="Palatino Linotype" w:hAnsi="Palatino Linotype" w:cs="Arial"/>
          <w:i/>
          <w:sz w:val="22"/>
        </w:rPr>
      </w:pPr>
      <w:r w:rsidRPr="00F22FBB">
        <w:rPr>
          <w:rFonts w:ascii="Palatino Linotype" w:hAnsi="Palatino Linotype" w:cs="Arial"/>
          <w:i/>
          <w:sz w:val="22"/>
        </w:rPr>
        <w:t>Revisión fiscal 103/88. Instituto Mexicano del Seguro Social. 18 de octubre de 1988. Unanimidad de votos. Ponente: Arnoldo Nájera Virgen. Secretario: Alejandro Esponda Rincón.</w:t>
      </w:r>
    </w:p>
    <w:p w:rsidR="00F22FBB" w:rsidRPr="00F22FBB" w:rsidRDefault="00F22FBB" w:rsidP="00F22FBB">
      <w:pPr>
        <w:spacing w:line="360" w:lineRule="auto"/>
        <w:ind w:left="567" w:right="567"/>
        <w:contextualSpacing/>
        <w:jc w:val="both"/>
        <w:rPr>
          <w:rFonts w:ascii="Palatino Linotype" w:hAnsi="Palatino Linotype" w:cs="Arial"/>
          <w:i/>
          <w:sz w:val="22"/>
        </w:rPr>
      </w:pPr>
      <w:r w:rsidRPr="00F22FBB">
        <w:rPr>
          <w:rFonts w:ascii="Palatino Linotype" w:hAnsi="Palatino Linotype" w:cs="Arial"/>
          <w:i/>
          <w:sz w:val="22"/>
        </w:rPr>
        <w:t>Amparo en revisión 333/88. Adilia Romero. 26 de octubre de 1988. Unanimidad de votos. Ponente: Arnoldo Nájera Virgen. Secretario: Enrique Crispín Campos Ramírez.</w:t>
      </w:r>
    </w:p>
    <w:p w:rsidR="00F22FBB" w:rsidRPr="00F22FBB" w:rsidRDefault="00F22FBB" w:rsidP="00F22FBB">
      <w:pPr>
        <w:spacing w:line="360" w:lineRule="auto"/>
        <w:ind w:left="567" w:right="567"/>
        <w:contextualSpacing/>
        <w:jc w:val="both"/>
        <w:rPr>
          <w:rFonts w:ascii="Palatino Linotype" w:hAnsi="Palatino Linotype" w:cs="Arial"/>
          <w:i/>
          <w:sz w:val="22"/>
        </w:rPr>
      </w:pPr>
      <w:r w:rsidRPr="00F22FBB">
        <w:rPr>
          <w:rFonts w:ascii="Palatino Linotype" w:hAnsi="Palatino Linotype" w:cs="Arial"/>
          <w:i/>
          <w:sz w:val="22"/>
        </w:rPr>
        <w:t>Amparo en revisión 597/95. Emilio Maurer Bretón. 15 de noviembre de 1995. Unanimidad de votos. Ponente: Clementina Ramírez Moguel Goyzueta. Secretario: Gonzalo Carrera Molina.</w:t>
      </w:r>
    </w:p>
    <w:p w:rsidR="00F22FBB" w:rsidRPr="00F22FBB" w:rsidRDefault="00F22FBB" w:rsidP="00F22FBB">
      <w:pPr>
        <w:spacing w:line="360" w:lineRule="auto"/>
        <w:ind w:left="567" w:right="567"/>
        <w:contextualSpacing/>
        <w:jc w:val="both"/>
        <w:rPr>
          <w:rFonts w:ascii="Palatino Linotype" w:hAnsi="Palatino Linotype" w:cs="Arial"/>
          <w:i/>
          <w:sz w:val="22"/>
        </w:rPr>
      </w:pPr>
      <w:r w:rsidRPr="00F22FBB">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F22FBB">
        <w:rPr>
          <w:rFonts w:ascii="Palatino Linotype" w:hAnsi="Palatino Linotype" w:cs="Arial"/>
          <w:i/>
          <w:sz w:val="22"/>
        </w:rPr>
        <w:t>Baigts</w:t>
      </w:r>
      <w:proofErr w:type="spellEnd"/>
      <w:r w:rsidRPr="00F22FBB">
        <w:rPr>
          <w:rFonts w:ascii="Palatino Linotype" w:hAnsi="Palatino Linotype" w:cs="Arial"/>
          <w:i/>
          <w:sz w:val="22"/>
        </w:rPr>
        <w:t xml:space="preserve"> Muñoz.</w:t>
      </w:r>
    </w:p>
    <w:p w:rsidR="00F22FBB" w:rsidRPr="00F22FBB" w:rsidRDefault="00F22FBB" w:rsidP="00F22FBB">
      <w:pPr>
        <w:spacing w:line="360" w:lineRule="auto"/>
        <w:ind w:firstLine="1418"/>
        <w:contextualSpacing/>
        <w:jc w:val="both"/>
        <w:rPr>
          <w:rFonts w:ascii="Palatino Linotype" w:hAnsi="Palatino Linotype" w:cs="Arial"/>
          <w:lang w:val="es-ES"/>
        </w:rPr>
      </w:pPr>
    </w:p>
    <w:p w:rsidR="00F22FBB" w:rsidRPr="00F22FBB" w:rsidRDefault="00F22FBB" w:rsidP="00F22FBB">
      <w:pPr>
        <w:numPr>
          <w:ilvl w:val="0"/>
          <w:numId w:val="2"/>
        </w:numPr>
        <w:shd w:val="clear" w:color="auto" w:fill="FFFFFF"/>
        <w:spacing w:line="360" w:lineRule="auto"/>
        <w:ind w:left="0" w:firstLine="0"/>
        <w:contextualSpacing/>
        <w:jc w:val="both"/>
        <w:rPr>
          <w:rFonts w:ascii="Palatino Linotype" w:eastAsia="Times New Roman" w:hAnsi="Palatino Linotype" w:cs="Arial"/>
          <w:lang w:eastAsia="es-MX"/>
        </w:rPr>
      </w:pPr>
      <w:r w:rsidRPr="00F22FB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22FBB" w:rsidRPr="00F22FBB" w:rsidRDefault="00F22FBB" w:rsidP="00F22FBB">
      <w:pPr>
        <w:shd w:val="clear" w:color="auto" w:fill="FFFFFF"/>
        <w:spacing w:line="360" w:lineRule="auto"/>
        <w:ind w:left="360"/>
        <w:contextualSpacing/>
        <w:jc w:val="both"/>
        <w:rPr>
          <w:rFonts w:ascii="Palatino Linotype" w:eastAsia="Times New Roman" w:hAnsi="Palatino Linotype" w:cs="Arial"/>
          <w:lang w:eastAsia="es-MX"/>
        </w:rPr>
      </w:pPr>
    </w:p>
    <w:p w:rsidR="00F22FBB" w:rsidRPr="00F22FBB" w:rsidRDefault="00F22FBB" w:rsidP="00F22FBB">
      <w:pPr>
        <w:numPr>
          <w:ilvl w:val="0"/>
          <w:numId w:val="2"/>
        </w:numPr>
        <w:shd w:val="clear" w:color="auto" w:fill="FFFFFF"/>
        <w:spacing w:line="360" w:lineRule="auto"/>
        <w:ind w:left="0" w:firstLine="0"/>
        <w:contextualSpacing/>
        <w:jc w:val="both"/>
        <w:rPr>
          <w:rFonts w:ascii="Palatino Linotype" w:eastAsia="Times New Roman" w:hAnsi="Palatino Linotype" w:cs="Arial"/>
          <w:lang w:eastAsia="es-MX"/>
        </w:rPr>
      </w:pPr>
      <w:r w:rsidRPr="00F22FB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22FBB" w:rsidRPr="00F22FBB" w:rsidRDefault="00F22FBB" w:rsidP="00F22FBB">
      <w:pPr>
        <w:shd w:val="clear" w:color="auto" w:fill="FFFFFF"/>
        <w:spacing w:line="360" w:lineRule="auto"/>
        <w:contextualSpacing/>
        <w:jc w:val="both"/>
        <w:rPr>
          <w:rFonts w:ascii="Palatino Linotype" w:eastAsia="Times New Roman" w:hAnsi="Palatino Linotype" w:cs="Arial"/>
          <w:lang w:eastAsia="es-MX"/>
        </w:rPr>
      </w:pPr>
    </w:p>
    <w:p w:rsidR="00F22FBB" w:rsidRPr="00F22FBB" w:rsidRDefault="00F22FBB" w:rsidP="00F22FBB">
      <w:pPr>
        <w:numPr>
          <w:ilvl w:val="0"/>
          <w:numId w:val="2"/>
        </w:numPr>
        <w:shd w:val="clear" w:color="auto" w:fill="FFFFFF"/>
        <w:spacing w:line="360" w:lineRule="auto"/>
        <w:ind w:left="0" w:firstLine="0"/>
        <w:contextualSpacing/>
        <w:jc w:val="both"/>
        <w:rPr>
          <w:rFonts w:ascii="Palatino Linotype" w:eastAsia="Times New Roman" w:hAnsi="Palatino Linotype" w:cs="Arial"/>
          <w:lang w:eastAsia="es-MX"/>
        </w:rPr>
      </w:pPr>
      <w:r w:rsidRPr="00F22FB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22FBB" w:rsidRPr="00F22FBB" w:rsidRDefault="00F22FBB" w:rsidP="00F22FBB">
      <w:pPr>
        <w:shd w:val="clear" w:color="auto" w:fill="FFFFFF"/>
        <w:spacing w:line="360" w:lineRule="auto"/>
        <w:jc w:val="both"/>
        <w:rPr>
          <w:rFonts w:ascii="Palatino Linotype" w:eastAsia="Times New Roman" w:hAnsi="Palatino Linotype" w:cs="Arial"/>
          <w:lang w:eastAsia="es-MX"/>
        </w:rPr>
      </w:pPr>
    </w:p>
    <w:p w:rsidR="00F22FBB" w:rsidRPr="00F22FBB" w:rsidRDefault="00F22FBB" w:rsidP="00F22FBB">
      <w:pPr>
        <w:numPr>
          <w:ilvl w:val="0"/>
          <w:numId w:val="2"/>
        </w:numPr>
        <w:shd w:val="clear" w:color="auto" w:fill="FFFFFF"/>
        <w:spacing w:after="200" w:line="360" w:lineRule="auto"/>
        <w:ind w:left="0" w:firstLine="0"/>
        <w:contextualSpacing/>
        <w:jc w:val="both"/>
        <w:rPr>
          <w:rFonts w:ascii="Palatino Linotype" w:eastAsia="Times New Roman" w:hAnsi="Palatino Linotype" w:cs="Arial"/>
          <w:lang w:eastAsia="es-MX"/>
        </w:rPr>
      </w:pPr>
      <w:r w:rsidRPr="00F22FB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22FBB">
        <w:rPr>
          <w:rFonts w:ascii="Palatino Linotype" w:hAnsi="Palatino Linotype"/>
        </w:rPr>
        <w:t xml:space="preserve"> </w:t>
      </w:r>
      <w:r w:rsidRPr="00F22FBB">
        <w:rPr>
          <w:rFonts w:ascii="Palatino Linotype" w:eastAsia="Times New Roman" w:hAnsi="Palatino Linotype" w:cs="Arial"/>
          <w:lang w:eastAsia="es-MX"/>
        </w:rPr>
        <w:t>datos personales</w:t>
      </w:r>
      <w:r w:rsidRPr="00F22FBB">
        <w:rPr>
          <w:rFonts w:ascii="Palatino Linotype" w:eastAsia="Times New Roman" w:hAnsi="Palatino Linotype" w:cs="Arial"/>
          <w:vertAlign w:val="superscript"/>
          <w:lang w:eastAsia="es-MX"/>
        </w:rPr>
        <w:footnoteReference w:id="5"/>
      </w:r>
      <w:r w:rsidRPr="00F22FB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F22FB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22FBB" w:rsidRPr="00F22FBB" w:rsidRDefault="00F22FBB" w:rsidP="00F22FBB">
      <w:pPr>
        <w:spacing w:line="360" w:lineRule="auto"/>
        <w:ind w:left="720"/>
        <w:contextualSpacing/>
        <w:rPr>
          <w:rFonts w:ascii="Palatino Linotype" w:eastAsia="Times New Roman" w:hAnsi="Palatino Linotype" w:cs="Arial"/>
          <w:lang w:eastAsia="es-MX"/>
        </w:rPr>
      </w:pPr>
    </w:p>
    <w:p w:rsidR="00F22FBB" w:rsidRPr="00F22FBB" w:rsidRDefault="00F22FBB" w:rsidP="00F22FBB">
      <w:pPr>
        <w:numPr>
          <w:ilvl w:val="0"/>
          <w:numId w:val="2"/>
        </w:numPr>
        <w:shd w:val="clear" w:color="auto" w:fill="FFFFFF"/>
        <w:spacing w:after="200" w:line="360" w:lineRule="auto"/>
        <w:ind w:left="0" w:firstLine="0"/>
        <w:contextualSpacing/>
        <w:jc w:val="both"/>
        <w:rPr>
          <w:rFonts w:ascii="Palatino Linotype" w:eastAsia="Times New Roman" w:hAnsi="Palatino Linotype" w:cs="Arial"/>
          <w:lang w:eastAsia="es-MX"/>
        </w:rPr>
      </w:pPr>
      <w:r w:rsidRPr="00F22FBB">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w:t>
      </w:r>
      <w:r w:rsidRPr="00F22FBB">
        <w:rPr>
          <w:rFonts w:ascii="Palatino Linotype" w:eastAsia="Calibri" w:hAnsi="Palatino Linotype" w:cs="Arial"/>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F22FBB" w:rsidRPr="00F22FBB" w:rsidRDefault="00F22FBB" w:rsidP="00F22FBB">
      <w:pPr>
        <w:ind w:left="720"/>
        <w:contextualSpacing/>
        <w:rPr>
          <w:rFonts w:ascii="Palatino Linotype" w:eastAsia="Times New Roman" w:hAnsi="Palatino Linotype" w:cs="Arial"/>
          <w:lang w:eastAsia="es-MX"/>
        </w:rPr>
      </w:pPr>
    </w:p>
    <w:p w:rsidR="00F22FBB" w:rsidRPr="00797733" w:rsidRDefault="00F22FBB" w:rsidP="00F22FBB">
      <w:pPr>
        <w:numPr>
          <w:ilvl w:val="0"/>
          <w:numId w:val="2"/>
        </w:numPr>
        <w:tabs>
          <w:tab w:val="left" w:pos="851"/>
        </w:tabs>
        <w:spacing w:before="240" w:after="240" w:line="360" w:lineRule="auto"/>
        <w:ind w:left="0" w:right="49" w:firstLine="0"/>
        <w:contextualSpacing/>
        <w:jc w:val="both"/>
        <w:rPr>
          <w:rFonts w:ascii="Palatino Linotype" w:hAnsi="Palatino Linotype"/>
          <w:lang w:val="es-ES"/>
        </w:rPr>
      </w:pPr>
      <w:r w:rsidRPr="00F22FB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F22FBB">
        <w:rPr>
          <w:rFonts w:ascii="Palatino Linotype" w:hAnsi="Palatino Linotype"/>
          <w:lang w:val="es-ES"/>
        </w:rPr>
        <w:t xml:space="preserve"> </w:t>
      </w:r>
    </w:p>
    <w:p w:rsidR="0090423C" w:rsidRPr="0090423C" w:rsidRDefault="0090423C" w:rsidP="0090423C">
      <w:pPr>
        <w:rPr>
          <w:rFonts w:ascii="Palatino Linotype" w:eastAsia="Calibri" w:hAnsi="Palatino Linotype" w:cs="Arial"/>
          <w:lang w:val="es-ES"/>
        </w:rPr>
      </w:pPr>
    </w:p>
    <w:p w:rsidR="006E5EF0" w:rsidRPr="0053340C" w:rsidRDefault="00061470" w:rsidP="003D50AD">
      <w:pPr>
        <w:numPr>
          <w:ilvl w:val="0"/>
          <w:numId w:val="2"/>
        </w:numPr>
        <w:spacing w:before="240" w:after="240" w:line="360" w:lineRule="auto"/>
        <w:ind w:left="0" w:right="49" w:firstLine="0"/>
        <w:contextualSpacing/>
        <w:jc w:val="both"/>
        <w:rPr>
          <w:rFonts w:ascii="Palatino Linotype" w:hAnsi="Palatino Linotype" w:cs="Arial"/>
        </w:rPr>
      </w:pPr>
      <w:r w:rsidRPr="00061470">
        <w:rPr>
          <w:rFonts w:ascii="Palatino Linotype" w:eastAsia="Calibri" w:hAnsi="Palatino Linotype" w:cs="Arial"/>
          <w:lang w:val="es-ES"/>
        </w:rPr>
        <w:t xml:space="preserve">Así, con </w:t>
      </w:r>
      <w:r w:rsidRPr="00061470">
        <w:rPr>
          <w:rFonts w:ascii="Palatino Linotype" w:eastAsia="Times New Roman" w:hAnsi="Palatino Linotype" w:cs="Arial"/>
          <w:lang w:val="es-ES"/>
        </w:rPr>
        <w:t>fundamento</w:t>
      </w:r>
      <w:r w:rsidRPr="00061470">
        <w:rPr>
          <w:rFonts w:ascii="Palatino Linotype" w:eastAsia="Calibri" w:hAnsi="Palatino Linotype" w:cs="Arial"/>
          <w:lang w:val="es-ES"/>
        </w:rPr>
        <w:t xml:space="preserve"> en lo prescrito en los artículos 5 párrafos </w:t>
      </w:r>
      <w:r w:rsidRPr="00061470">
        <w:rPr>
          <w:rFonts w:ascii="Palatino Linotype" w:eastAsia="Times New Roman" w:hAnsi="Palatino Linotype" w:cs="Times New Roman"/>
          <w:lang w:val="es-ES"/>
        </w:rPr>
        <w:t>vigésimo, vigésimo primero y vigésimo segundo fracciones IV y V</w:t>
      </w:r>
      <w:r w:rsidRPr="00061470">
        <w:rPr>
          <w:rFonts w:ascii="Palatino Linotype" w:eastAsia="Calibri" w:hAnsi="Palatino Linotype" w:cs="Arial"/>
          <w:lang w:val="es-ES"/>
        </w:rPr>
        <w:t xml:space="preserve"> de la Constitución Política del Estado Libre y Soberano de México; </w:t>
      </w:r>
      <w:r w:rsidRPr="00061470">
        <w:rPr>
          <w:rFonts w:ascii="Palatino Linotype" w:eastAsia="Times New Roman" w:hAnsi="Palatino Linotype" w:cs="Times New Roman"/>
          <w:lang w:val="es-ES"/>
        </w:rPr>
        <w:t>2 fracción II, 29, 36 fracciones I y II, 176, 178, 179, 181, 185 fracción I, 186 y 188</w:t>
      </w:r>
      <w:r w:rsidRPr="00061470">
        <w:rPr>
          <w:rFonts w:ascii="Palatino Linotype" w:eastAsia="Calibri" w:hAnsi="Palatino Linotype" w:cs="Arial"/>
          <w:lang w:val="es-ES"/>
        </w:rPr>
        <w:t xml:space="preserve">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r w:rsidR="00797733">
        <w:rPr>
          <w:rFonts w:ascii="Palatino Linotype" w:eastAsia="Calibri" w:hAnsi="Palatino Linotype" w:cs="Arial"/>
          <w:lang w:val="es-ES"/>
        </w:rPr>
        <w:t xml:space="preserve"> emite los siguientes</w:t>
      </w:r>
      <w:r w:rsidRPr="00061470">
        <w:rPr>
          <w:rFonts w:ascii="Palatino Linotype" w:eastAsia="Calibri" w:hAnsi="Palatino Linotype" w:cs="Arial"/>
          <w:lang w:val="es-ES"/>
        </w:rPr>
        <w:t>:</w:t>
      </w:r>
      <w:bookmarkEnd w:id="15"/>
      <w:bookmarkEnd w:id="16"/>
      <w:bookmarkEnd w:id="17"/>
      <w:bookmarkEnd w:id="18"/>
      <w:bookmarkEnd w:id="19"/>
      <w:bookmarkEnd w:id="20"/>
      <w:bookmarkEnd w:id="22"/>
    </w:p>
    <w:p w:rsidR="0053340C" w:rsidRDefault="0053340C" w:rsidP="0053340C">
      <w:pPr>
        <w:pStyle w:val="Prrafodelista"/>
        <w:rPr>
          <w:rFonts w:ascii="Palatino Linotype" w:hAnsi="Palatino Linotype" w:cs="Arial"/>
        </w:rPr>
      </w:pPr>
    </w:p>
    <w:p w:rsidR="0053340C" w:rsidRDefault="0053340C" w:rsidP="0053340C">
      <w:pPr>
        <w:spacing w:before="240" w:after="240" w:line="360" w:lineRule="auto"/>
        <w:ind w:right="49"/>
        <w:contextualSpacing/>
        <w:jc w:val="both"/>
        <w:rPr>
          <w:rFonts w:ascii="Palatino Linotype" w:hAnsi="Palatino Linotype" w:cs="Arial"/>
        </w:rPr>
      </w:pPr>
    </w:p>
    <w:p w:rsidR="0053340C" w:rsidRDefault="0053340C" w:rsidP="0053340C">
      <w:pPr>
        <w:spacing w:before="240" w:after="240" w:line="360" w:lineRule="auto"/>
        <w:ind w:right="49"/>
        <w:contextualSpacing/>
        <w:jc w:val="both"/>
        <w:rPr>
          <w:rFonts w:ascii="Palatino Linotype" w:hAnsi="Palatino Linotype" w:cs="Arial"/>
        </w:rPr>
      </w:pPr>
    </w:p>
    <w:p w:rsidR="0053340C" w:rsidRDefault="0053340C" w:rsidP="0053340C">
      <w:pPr>
        <w:spacing w:before="240" w:after="240" w:line="360" w:lineRule="auto"/>
        <w:ind w:right="49"/>
        <w:contextualSpacing/>
        <w:jc w:val="both"/>
        <w:rPr>
          <w:rFonts w:ascii="Palatino Linotype" w:hAnsi="Palatino Linotype" w:cs="Arial"/>
        </w:rPr>
      </w:pPr>
    </w:p>
    <w:p w:rsidR="0053340C" w:rsidRPr="009F1C21" w:rsidRDefault="0053340C" w:rsidP="0053340C">
      <w:pPr>
        <w:spacing w:before="240" w:after="240" w:line="360" w:lineRule="auto"/>
        <w:ind w:right="49"/>
        <w:contextualSpacing/>
        <w:jc w:val="both"/>
        <w:rPr>
          <w:rFonts w:ascii="Palatino Linotype" w:hAnsi="Palatino Linotype" w:cs="Arial"/>
        </w:rPr>
      </w:pPr>
    </w:p>
    <w:p w:rsidR="00087EFD" w:rsidRDefault="006E5EF0" w:rsidP="009F1C21">
      <w:pPr>
        <w:pStyle w:val="Ttulo1"/>
        <w:spacing w:line="360" w:lineRule="auto"/>
        <w:jc w:val="center"/>
        <w:rPr>
          <w:lang w:val="es-ES"/>
        </w:rPr>
      </w:pPr>
      <w:bookmarkStart w:id="64" w:name="_Toc58596319"/>
      <w:r w:rsidRPr="006E5EF0">
        <w:rPr>
          <w:lang w:val="es-ES"/>
        </w:rPr>
        <w:lastRenderedPageBreak/>
        <w:t>R E S O L U T I V O S</w:t>
      </w:r>
      <w:bookmarkEnd w:id="64"/>
    </w:p>
    <w:p w:rsidR="009F1C21" w:rsidRPr="009F1C21" w:rsidRDefault="009F1C21" w:rsidP="009F1C21">
      <w:pPr>
        <w:rPr>
          <w:lang w:val="es-ES" w:eastAsia="en-US"/>
        </w:rPr>
      </w:pPr>
    </w:p>
    <w:p w:rsidR="008C54C1" w:rsidRPr="00165050" w:rsidRDefault="003D50AD" w:rsidP="004C0DA1">
      <w:pPr>
        <w:spacing w:line="360" w:lineRule="auto"/>
        <w:jc w:val="both"/>
        <w:rPr>
          <w:rFonts w:ascii="Palatino Linotype" w:eastAsia="Calibri" w:hAnsi="Palatino Linotype" w:cs="Arial"/>
          <w:lang w:val="es-ES"/>
        </w:rPr>
      </w:pPr>
      <w:r w:rsidRPr="00110244">
        <w:rPr>
          <w:rFonts w:ascii="Palatino Linotype" w:eastAsia="Times New Roman" w:hAnsi="Palatino Linotype" w:cs="Arial"/>
          <w:b/>
        </w:rPr>
        <w:t>PRIMERO</w:t>
      </w:r>
      <w:r w:rsidRPr="00110244">
        <w:rPr>
          <w:rFonts w:ascii="Palatino Linotype" w:eastAsia="Times New Roman" w:hAnsi="Palatino Linotype" w:cs="Arial"/>
          <w:lang w:val="es-ES"/>
        </w:rPr>
        <w:t>.</w:t>
      </w:r>
      <w:r w:rsidR="00087EFD" w:rsidRPr="00110244">
        <w:rPr>
          <w:rFonts w:ascii="Palatino Linotype" w:eastAsia="Times New Roman" w:hAnsi="Palatino Linotype" w:cs="Arial"/>
          <w:lang w:val="es-ES"/>
        </w:rPr>
        <w:t xml:space="preserve"> Resultan</w:t>
      </w:r>
      <w:r w:rsidR="0090423C">
        <w:rPr>
          <w:rFonts w:ascii="Palatino Linotype" w:eastAsia="Times New Roman" w:hAnsi="Palatino Linotype" w:cs="Arial"/>
          <w:lang w:val="es-ES"/>
        </w:rPr>
        <w:t xml:space="preserve"> </w:t>
      </w:r>
      <w:r w:rsidR="00087EFD" w:rsidRPr="00110244">
        <w:rPr>
          <w:rFonts w:ascii="Palatino Linotype" w:eastAsia="Times New Roman" w:hAnsi="Palatino Linotype" w:cs="Arial"/>
          <w:lang w:val="es-ES"/>
        </w:rPr>
        <w:t>fundadas</w:t>
      </w:r>
      <w:r w:rsidR="00D61154">
        <w:rPr>
          <w:rFonts w:ascii="Palatino Linotype" w:eastAsia="Times New Roman" w:hAnsi="Palatino Linotype" w:cs="Arial"/>
          <w:lang w:val="es-ES"/>
        </w:rPr>
        <w:t xml:space="preserve"> las razones y</w:t>
      </w:r>
      <w:r w:rsidRPr="00110244">
        <w:rPr>
          <w:rFonts w:ascii="Palatino Linotype" w:eastAsia="Times New Roman" w:hAnsi="Palatino Linotype" w:cs="Arial"/>
          <w:lang w:val="es-ES"/>
        </w:rPr>
        <w:t xml:space="preserve"> motivo</w:t>
      </w:r>
      <w:r w:rsidR="00614478" w:rsidRPr="00110244">
        <w:rPr>
          <w:rFonts w:ascii="Palatino Linotype" w:eastAsia="Times New Roman" w:hAnsi="Palatino Linotype" w:cs="Arial"/>
          <w:lang w:val="es-ES"/>
        </w:rPr>
        <w:t>s de inconformidad hechos valer e</w:t>
      </w:r>
      <w:r w:rsidRPr="00110244">
        <w:rPr>
          <w:rFonts w:ascii="Palatino Linotype" w:eastAsia="Calibri" w:hAnsi="Palatino Linotype" w:cs="Arial"/>
          <w:lang w:val="es-ES"/>
        </w:rPr>
        <w:t>n el recurso de revisión</w:t>
      </w:r>
      <w:r w:rsidR="00DA52F4">
        <w:rPr>
          <w:rFonts w:ascii="Palatino Linotype" w:eastAsia="Calibri" w:hAnsi="Palatino Linotype" w:cs="Arial"/>
          <w:lang w:val="es-ES"/>
        </w:rPr>
        <w:t xml:space="preserve"> </w:t>
      </w:r>
      <w:r w:rsidR="00DD1A00">
        <w:rPr>
          <w:rFonts w:ascii="Palatino Linotype" w:eastAsia="Calibri" w:hAnsi="Palatino Linotype" w:cs="Arial"/>
          <w:b/>
          <w:bCs/>
        </w:rPr>
        <w:t>04278</w:t>
      </w:r>
      <w:r w:rsidR="00DA52F4" w:rsidRPr="00DA52F4">
        <w:rPr>
          <w:rFonts w:ascii="Palatino Linotype" w:eastAsia="Calibri" w:hAnsi="Palatino Linotype" w:cs="Arial"/>
          <w:b/>
          <w:bCs/>
        </w:rPr>
        <w:t>/INFOEM/AD/RR/2020</w:t>
      </w:r>
      <w:r w:rsidRPr="00110244">
        <w:rPr>
          <w:rFonts w:ascii="Palatino Linotype" w:eastAsia="Calibri" w:hAnsi="Palatino Linotype" w:cs="Arial"/>
          <w:lang w:val="es-ES"/>
        </w:rPr>
        <w:t xml:space="preserve"> </w:t>
      </w:r>
      <w:r w:rsidR="00B96B07" w:rsidRPr="00110244">
        <w:rPr>
          <w:rFonts w:ascii="Palatino Linotype" w:eastAsia="Times New Roman" w:hAnsi="Palatino Linotype" w:cs="Times New Roman"/>
        </w:rPr>
        <w:t>en términos de</w:t>
      </w:r>
      <w:r w:rsidR="00B05E35" w:rsidRPr="00110244">
        <w:rPr>
          <w:rFonts w:ascii="Palatino Linotype" w:eastAsia="Times New Roman" w:hAnsi="Palatino Linotype" w:cs="Times New Roman"/>
        </w:rPr>
        <w:t>l</w:t>
      </w:r>
      <w:r w:rsidR="00B96B07" w:rsidRPr="00110244">
        <w:rPr>
          <w:rFonts w:ascii="Palatino Linotype" w:eastAsia="Times New Roman" w:hAnsi="Palatino Linotype" w:cs="Times New Roman"/>
        </w:rPr>
        <w:t xml:space="preserve"> </w:t>
      </w:r>
      <w:r w:rsidR="007034F5" w:rsidRPr="00110244">
        <w:rPr>
          <w:rFonts w:ascii="Palatino Linotype" w:eastAsia="Times New Roman" w:hAnsi="Palatino Linotype" w:cs="Times New Roman"/>
          <w:b/>
        </w:rPr>
        <w:t>C</w:t>
      </w:r>
      <w:r w:rsidR="00B96B07" w:rsidRPr="00110244">
        <w:rPr>
          <w:rFonts w:ascii="Palatino Linotype" w:eastAsia="Times New Roman" w:hAnsi="Palatino Linotype" w:cs="Times New Roman"/>
          <w:b/>
        </w:rPr>
        <w:t>onsiderando</w:t>
      </w:r>
      <w:r w:rsidRPr="00110244">
        <w:rPr>
          <w:rFonts w:ascii="Palatino Linotype" w:eastAsia="Times New Roman" w:hAnsi="Palatino Linotype" w:cs="Times New Roman"/>
          <w:b/>
        </w:rPr>
        <w:t xml:space="preserve"> </w:t>
      </w:r>
      <w:r w:rsidR="00292BCC">
        <w:rPr>
          <w:rFonts w:ascii="Palatino Linotype" w:eastAsia="Times New Roman" w:hAnsi="Palatino Linotype" w:cs="Times New Roman"/>
          <w:b/>
        </w:rPr>
        <w:t xml:space="preserve">CUARTO </w:t>
      </w:r>
      <w:r w:rsidR="00BA5158" w:rsidRPr="00110244">
        <w:rPr>
          <w:rFonts w:ascii="Palatino Linotype" w:eastAsia="Times New Roman" w:hAnsi="Palatino Linotype" w:cs="Times New Roman"/>
        </w:rPr>
        <w:t>d</w:t>
      </w:r>
      <w:r w:rsidRPr="00110244">
        <w:rPr>
          <w:rFonts w:ascii="Palatino Linotype" w:eastAsia="Times New Roman" w:hAnsi="Palatino Linotype" w:cs="Times New Roman"/>
        </w:rPr>
        <w:t>e la presente resolución.</w:t>
      </w:r>
      <w:r w:rsidRPr="00110244">
        <w:rPr>
          <w:rFonts w:ascii="Palatino Linotype" w:eastAsia="Calibri" w:hAnsi="Palatino Linotype" w:cs="Arial"/>
          <w:lang w:val="es-ES"/>
        </w:rPr>
        <w:t xml:space="preserve"> </w:t>
      </w:r>
    </w:p>
    <w:p w:rsidR="00D61154" w:rsidRDefault="008C54C1" w:rsidP="009F1C21">
      <w:pPr>
        <w:spacing w:before="240" w:after="240" w:line="360" w:lineRule="auto"/>
        <w:jc w:val="both"/>
        <w:rPr>
          <w:rFonts w:ascii="Palatino Linotype" w:hAnsi="Palatino Linotype"/>
        </w:rPr>
      </w:pPr>
      <w:r w:rsidRPr="00110244">
        <w:rPr>
          <w:rFonts w:ascii="Palatino Linotype" w:eastAsia="Calibri" w:hAnsi="Palatino Linotype" w:cs="Arial"/>
          <w:b/>
          <w:lang w:val="es-ES"/>
        </w:rPr>
        <w:t xml:space="preserve">SEGUNDO. </w:t>
      </w:r>
      <w:r w:rsidRPr="00110244">
        <w:rPr>
          <w:rFonts w:ascii="Palatino Linotype" w:eastAsia="Calibri" w:hAnsi="Palatino Linotype" w:cs="Arial"/>
          <w:lang w:val="es-ES"/>
        </w:rPr>
        <w:t>Se</w:t>
      </w:r>
      <w:r w:rsidR="005C7B5E">
        <w:rPr>
          <w:rFonts w:ascii="Palatino Linotype" w:eastAsia="Calibri" w:hAnsi="Palatino Linotype" w:cs="Arial"/>
          <w:b/>
          <w:lang w:val="es-ES"/>
        </w:rPr>
        <w:t xml:space="preserve"> REVOCA </w:t>
      </w:r>
      <w:r w:rsidR="009F1C21">
        <w:rPr>
          <w:rFonts w:ascii="Palatino Linotype" w:eastAsia="Calibri" w:hAnsi="Palatino Linotype" w:cs="Arial"/>
          <w:lang w:val="es-ES"/>
        </w:rPr>
        <w:t>la respuesta emitida por la</w:t>
      </w:r>
      <w:r w:rsidR="00DD1A00">
        <w:rPr>
          <w:rFonts w:ascii="Palatino Linotype" w:eastAsia="Calibri" w:hAnsi="Palatino Linotype" w:cs="Arial"/>
          <w:lang w:val="es-ES"/>
        </w:rPr>
        <w:t xml:space="preserve"> </w:t>
      </w:r>
      <w:r w:rsidR="00DD1A00" w:rsidRPr="00DD1A00">
        <w:rPr>
          <w:rFonts w:ascii="Palatino Linotype" w:eastAsia="Calibri" w:hAnsi="Palatino Linotype" w:cs="Arial"/>
          <w:b/>
          <w:bCs/>
        </w:rPr>
        <w:t>Fiscalía General de Justicia del Estado de México</w:t>
      </w:r>
      <w:r w:rsidR="009F1C21">
        <w:rPr>
          <w:rFonts w:ascii="Palatino Linotype" w:eastAsia="Calibri" w:hAnsi="Palatino Linotype" w:cs="Arial"/>
          <w:lang w:val="es-ES"/>
        </w:rPr>
        <w:t xml:space="preserve"> y se </w:t>
      </w:r>
      <w:r w:rsidR="009F1C21" w:rsidRPr="00110244">
        <w:rPr>
          <w:rFonts w:ascii="Palatino Linotype" w:eastAsia="Calibri" w:hAnsi="Palatino Linotype" w:cs="Arial"/>
          <w:b/>
          <w:lang w:val="es-ES"/>
        </w:rPr>
        <w:t xml:space="preserve">ORDENA </w:t>
      </w:r>
      <w:r w:rsidR="009F1C21" w:rsidRPr="009F1C21">
        <w:rPr>
          <w:rFonts w:ascii="Palatino Linotype" w:eastAsia="Calibri" w:hAnsi="Palatino Linotype" w:cs="Arial"/>
          <w:lang w:val="es-ES"/>
        </w:rPr>
        <w:t>entregar</w:t>
      </w:r>
      <w:r w:rsidR="009F1C21">
        <w:rPr>
          <w:rFonts w:ascii="Palatino Linotype" w:eastAsia="Calibri" w:hAnsi="Palatino Linotype" w:cs="Arial"/>
          <w:lang w:val="es-ES"/>
        </w:rPr>
        <w:t xml:space="preserve"> vía </w:t>
      </w:r>
      <w:r w:rsidR="009F1C21" w:rsidRPr="009F1C21">
        <w:rPr>
          <w:rFonts w:ascii="Palatino Linotype" w:hAnsi="Palatino Linotype"/>
        </w:rPr>
        <w:t>Sistema de Acceso, Rectificación, Cancelación y</w:t>
      </w:r>
      <w:r w:rsidR="00DD1A00">
        <w:rPr>
          <w:rFonts w:ascii="Palatino Linotype" w:hAnsi="Palatino Linotype"/>
        </w:rPr>
        <w:t xml:space="preserve"> </w:t>
      </w:r>
      <w:r w:rsidR="009F1C21" w:rsidRPr="009F1C21">
        <w:rPr>
          <w:rFonts w:ascii="Palatino Linotype" w:hAnsi="Palatino Linotype"/>
        </w:rPr>
        <w:t xml:space="preserve"> Oposición de Datos Personales del Estado de México </w:t>
      </w:r>
      <w:r w:rsidR="009F1C21" w:rsidRPr="009F1C21">
        <w:rPr>
          <w:rFonts w:ascii="Palatino Linotype" w:hAnsi="Palatino Linotype"/>
          <w:b/>
        </w:rPr>
        <w:t>(SARCOEM)</w:t>
      </w:r>
      <w:r w:rsidR="00DA52F4">
        <w:rPr>
          <w:rFonts w:ascii="Palatino Linotype" w:hAnsi="Palatino Linotype"/>
        </w:rPr>
        <w:t xml:space="preserve">, </w:t>
      </w:r>
      <w:r w:rsidR="005C7B5E">
        <w:rPr>
          <w:rFonts w:ascii="Palatino Linotype" w:hAnsi="Palatino Linotype"/>
        </w:rPr>
        <w:t>y</w:t>
      </w:r>
      <w:r w:rsidR="00CE1616">
        <w:rPr>
          <w:rFonts w:ascii="Palatino Linotype" w:hAnsi="Palatino Linotype"/>
        </w:rPr>
        <w:t xml:space="preserve"> </w:t>
      </w:r>
      <w:r w:rsidR="005C7B5E" w:rsidRPr="005C7B5E">
        <w:rPr>
          <w:rFonts w:ascii="Palatino Linotype" w:hAnsi="Palatino Linotype"/>
          <w:b/>
        </w:rPr>
        <w:t>Copias Certificadas</w:t>
      </w:r>
      <w:r w:rsidR="005C7B5E" w:rsidRPr="005C7B5E">
        <w:rPr>
          <w:rFonts w:ascii="Palatino Linotype" w:hAnsi="Palatino Linotype"/>
        </w:rPr>
        <w:t xml:space="preserve"> (</w:t>
      </w:r>
      <w:r w:rsidR="00060C7E">
        <w:rPr>
          <w:rFonts w:ascii="Palatino Linotype" w:hAnsi="Palatino Linotype"/>
          <w:b/>
        </w:rPr>
        <w:t>con</w:t>
      </w:r>
      <w:r w:rsidR="005C7B5E" w:rsidRPr="005C7B5E">
        <w:rPr>
          <w:rFonts w:ascii="Palatino Linotype" w:hAnsi="Palatino Linotype"/>
          <w:b/>
        </w:rPr>
        <w:t xml:space="preserve"> costo)</w:t>
      </w:r>
      <w:r w:rsidR="00797733">
        <w:rPr>
          <w:rFonts w:ascii="Palatino Linotype" w:hAnsi="Palatino Linotype"/>
        </w:rPr>
        <w:t>, previa acreditación de</w:t>
      </w:r>
      <w:r w:rsidR="00060C7E">
        <w:rPr>
          <w:rFonts w:ascii="Palatino Linotype" w:hAnsi="Palatino Linotype"/>
        </w:rPr>
        <w:t xml:space="preserve"> </w:t>
      </w:r>
      <w:r w:rsidR="00797733">
        <w:rPr>
          <w:rFonts w:ascii="Palatino Linotype" w:hAnsi="Palatino Linotype"/>
        </w:rPr>
        <w:t>l</w:t>
      </w:r>
      <w:r w:rsidR="00060C7E">
        <w:rPr>
          <w:rFonts w:ascii="Palatino Linotype" w:hAnsi="Palatino Linotype"/>
        </w:rPr>
        <w:t>a</w:t>
      </w:r>
      <w:r w:rsidR="00797733">
        <w:rPr>
          <w:rFonts w:ascii="Palatino Linotype" w:hAnsi="Palatino Linotype"/>
        </w:rPr>
        <w:t xml:space="preserve"> particular </w:t>
      </w:r>
      <w:r w:rsidR="005C7B5E" w:rsidRPr="005C7B5E">
        <w:rPr>
          <w:rFonts w:ascii="Palatino Linotype" w:hAnsi="Palatino Linotype"/>
        </w:rPr>
        <w:t>y de ser el caso en versión pública</w:t>
      </w:r>
      <w:r w:rsidR="009F1C21" w:rsidRPr="009F1C21">
        <w:rPr>
          <w:rFonts w:ascii="Palatino Linotype" w:hAnsi="Palatino Linotype"/>
        </w:rPr>
        <w:t>, lo siguiente:</w:t>
      </w:r>
    </w:p>
    <w:p w:rsidR="00165050" w:rsidRDefault="00165050" w:rsidP="00757024">
      <w:pPr>
        <w:pStyle w:val="Prrafodelista"/>
        <w:numPr>
          <w:ilvl w:val="0"/>
          <w:numId w:val="32"/>
        </w:numPr>
        <w:tabs>
          <w:tab w:val="left" w:pos="8080"/>
        </w:tabs>
        <w:spacing w:before="240" w:after="240" w:line="360" w:lineRule="auto"/>
        <w:ind w:right="567"/>
        <w:jc w:val="both"/>
        <w:rPr>
          <w:rFonts w:ascii="Palatino Linotype" w:hAnsi="Palatino Linotype"/>
          <w:b/>
          <w:color w:val="000000" w:themeColor="text1"/>
        </w:rPr>
      </w:pPr>
      <w:r>
        <w:rPr>
          <w:rFonts w:ascii="Palatino Linotype" w:hAnsi="Palatino Linotype"/>
          <w:b/>
          <w:color w:val="000000" w:themeColor="text1"/>
        </w:rPr>
        <w:t>Lista de asistencia del servidor público referido en la solicitud de información del quince</w:t>
      </w:r>
      <w:r w:rsidR="00797733">
        <w:rPr>
          <w:rFonts w:ascii="Palatino Linotype" w:hAnsi="Palatino Linotype"/>
          <w:b/>
          <w:color w:val="000000" w:themeColor="text1"/>
        </w:rPr>
        <w:t xml:space="preserve"> (15)</w:t>
      </w:r>
      <w:r>
        <w:rPr>
          <w:rFonts w:ascii="Palatino Linotype" w:hAnsi="Palatino Linotype"/>
          <w:b/>
          <w:color w:val="000000" w:themeColor="text1"/>
        </w:rPr>
        <w:t xml:space="preserve"> de marzo al quince</w:t>
      </w:r>
      <w:r w:rsidR="00797733">
        <w:rPr>
          <w:rFonts w:ascii="Palatino Linotype" w:hAnsi="Palatino Linotype"/>
          <w:b/>
          <w:color w:val="000000" w:themeColor="text1"/>
        </w:rPr>
        <w:t xml:space="preserve"> (15)</w:t>
      </w:r>
      <w:r>
        <w:rPr>
          <w:rFonts w:ascii="Palatino Linotype" w:hAnsi="Palatino Linotype"/>
          <w:b/>
          <w:color w:val="000000" w:themeColor="text1"/>
        </w:rPr>
        <w:t xml:space="preserve"> de mayo de dos mil veinte. </w:t>
      </w:r>
    </w:p>
    <w:p w:rsidR="00165050" w:rsidRDefault="00165050" w:rsidP="00757024">
      <w:pPr>
        <w:pStyle w:val="Prrafodelista"/>
        <w:numPr>
          <w:ilvl w:val="0"/>
          <w:numId w:val="32"/>
        </w:numPr>
        <w:tabs>
          <w:tab w:val="left" w:pos="8080"/>
        </w:tabs>
        <w:spacing w:before="240" w:after="240" w:line="360" w:lineRule="auto"/>
        <w:ind w:right="567"/>
        <w:jc w:val="both"/>
        <w:rPr>
          <w:rFonts w:ascii="Palatino Linotype" w:hAnsi="Palatino Linotype"/>
          <w:b/>
          <w:color w:val="000000" w:themeColor="text1"/>
        </w:rPr>
      </w:pPr>
      <w:r>
        <w:rPr>
          <w:rFonts w:ascii="Palatino Linotype" w:hAnsi="Palatino Linotype"/>
          <w:b/>
          <w:color w:val="000000" w:themeColor="text1"/>
        </w:rPr>
        <w:t>Reportes de asistencia a operativos</w:t>
      </w:r>
      <w:r w:rsidR="00AD79E7">
        <w:rPr>
          <w:rFonts w:ascii="Palatino Linotype" w:hAnsi="Palatino Linotype"/>
          <w:b/>
          <w:color w:val="000000" w:themeColor="text1"/>
        </w:rPr>
        <w:t xml:space="preserve"> o guardias </w:t>
      </w:r>
      <w:r>
        <w:rPr>
          <w:rFonts w:ascii="Palatino Linotype" w:hAnsi="Palatino Linotype"/>
          <w:b/>
          <w:color w:val="000000" w:themeColor="text1"/>
        </w:rPr>
        <w:t xml:space="preserve">del </w:t>
      </w:r>
      <w:r w:rsidR="00AD79E7">
        <w:rPr>
          <w:rFonts w:ascii="Palatino Linotype" w:hAnsi="Palatino Linotype"/>
          <w:b/>
          <w:color w:val="000000" w:themeColor="text1"/>
        </w:rPr>
        <w:t xml:space="preserve">servidor público referido en la solicitud de información del </w:t>
      </w:r>
      <w:r>
        <w:rPr>
          <w:rFonts w:ascii="Palatino Linotype" w:hAnsi="Palatino Linotype"/>
          <w:b/>
          <w:color w:val="000000" w:themeColor="text1"/>
        </w:rPr>
        <w:t>quince</w:t>
      </w:r>
      <w:r w:rsidR="00797733">
        <w:rPr>
          <w:rFonts w:ascii="Palatino Linotype" w:hAnsi="Palatino Linotype"/>
          <w:b/>
          <w:color w:val="000000" w:themeColor="text1"/>
        </w:rPr>
        <w:t xml:space="preserve"> (15) de marzo al quince (15) </w:t>
      </w:r>
      <w:r>
        <w:rPr>
          <w:rFonts w:ascii="Palatino Linotype" w:hAnsi="Palatino Linotype"/>
          <w:b/>
          <w:color w:val="000000" w:themeColor="text1"/>
        </w:rPr>
        <w:t>de mayo de dos mil veinte.</w:t>
      </w:r>
    </w:p>
    <w:p w:rsidR="005C7B5E" w:rsidRDefault="005C7B5E" w:rsidP="005C7B5E">
      <w:pPr>
        <w:spacing w:line="360" w:lineRule="auto"/>
        <w:jc w:val="both"/>
        <w:rPr>
          <w:rFonts w:ascii="Palatino Linotype" w:eastAsia="Calibri" w:hAnsi="Palatino Linotype" w:cs="Arial"/>
        </w:rPr>
      </w:pPr>
      <w:r w:rsidRPr="0079773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de aplicación supletoria en el que funde y motive las razones sobre los datos que se supriman o eliminen dentro del soporte documental respectivo objeto de las versiones públicas que se formulen.</w:t>
      </w:r>
    </w:p>
    <w:p w:rsidR="00BC7157" w:rsidRPr="00BC7157" w:rsidRDefault="00BC7157" w:rsidP="005C7B5E">
      <w:pPr>
        <w:spacing w:line="360" w:lineRule="auto"/>
        <w:jc w:val="both"/>
        <w:rPr>
          <w:rFonts w:ascii="Palatino Linotype" w:eastAsia="Calibri" w:hAnsi="Palatino Linotype" w:cs="Arial"/>
        </w:rPr>
      </w:pPr>
    </w:p>
    <w:p w:rsidR="005C7B5E" w:rsidRPr="005C7B5E" w:rsidRDefault="005C7B5E" w:rsidP="005C7B5E">
      <w:pPr>
        <w:spacing w:line="360" w:lineRule="auto"/>
        <w:jc w:val="both"/>
        <w:rPr>
          <w:rFonts w:ascii="Palatino Linotype" w:eastAsia="Calibri" w:hAnsi="Palatino Linotype" w:cs="Arial"/>
          <w:lang w:val="es-ES"/>
        </w:rPr>
      </w:pPr>
      <w:r w:rsidRPr="005C7B5E">
        <w:rPr>
          <w:rFonts w:ascii="Palatino Linotype" w:hAnsi="Palatino Linotype"/>
          <w:color w:val="222222"/>
          <w:shd w:val="clear" w:color="auto" w:fill="FFFFFF"/>
        </w:rPr>
        <w:lastRenderedPageBreak/>
        <w:t xml:space="preserve">Asimismo se ordena al Sujeto Obligado que previo a la entrega de la información, haga del conocimiento al Recurrente, el domicilio al cual deberá acudir, el nombre de la dependencia o área respectiva, los días y horarios de atención en los cuales </w:t>
      </w:r>
      <w:r>
        <w:rPr>
          <w:rFonts w:ascii="Palatino Linotype" w:hAnsi="Palatino Linotype"/>
          <w:color w:val="222222"/>
          <w:shd w:val="clear" w:color="auto" w:fill="FFFFFF"/>
        </w:rPr>
        <w:t xml:space="preserve">previa acreditación de la </w:t>
      </w:r>
      <w:r w:rsidR="00797733">
        <w:rPr>
          <w:rFonts w:ascii="Palatino Linotype" w:hAnsi="Palatino Linotype"/>
          <w:color w:val="222222"/>
          <w:shd w:val="clear" w:color="auto" w:fill="FFFFFF"/>
        </w:rPr>
        <w:t>identidad</w:t>
      </w:r>
      <w:r w:rsidR="00060C7E">
        <w:rPr>
          <w:rFonts w:ascii="Palatino Linotype" w:hAnsi="Palatino Linotype"/>
          <w:color w:val="222222"/>
          <w:shd w:val="clear" w:color="auto" w:fill="FFFFFF"/>
        </w:rPr>
        <w:t xml:space="preserve"> y el interés </w:t>
      </w:r>
      <w:r w:rsidR="00BC7157">
        <w:rPr>
          <w:rFonts w:ascii="Palatino Linotype" w:hAnsi="Palatino Linotype"/>
          <w:color w:val="222222"/>
          <w:shd w:val="clear" w:color="auto" w:fill="FFFFFF"/>
        </w:rPr>
        <w:t>legítimo señalado por la recurrente</w:t>
      </w:r>
      <w:r w:rsidR="00060C7E">
        <w:rPr>
          <w:rFonts w:ascii="Palatino Linotype" w:hAnsi="Palatino Linotype"/>
          <w:color w:val="222222"/>
          <w:shd w:val="clear" w:color="auto" w:fill="FFFFFF"/>
        </w:rPr>
        <w:t xml:space="preserve"> </w:t>
      </w:r>
      <w:r w:rsidRPr="005C7B5E">
        <w:rPr>
          <w:rFonts w:ascii="Palatino Linotype" w:hAnsi="Palatino Linotype"/>
          <w:color w:val="222222"/>
          <w:shd w:val="clear" w:color="auto" w:fill="FFFFFF"/>
        </w:rPr>
        <w:t>podrá recoger la información, la forma y procedimiento a seguir, así como el periodo durante el cual quedará a su disposición la información conforme a lo dispuesto por el artículo 118 de la Ley de Protección de Datos Personales en Posesión de los Sujetos Obligados del Estado de México y Municipios.</w:t>
      </w:r>
      <w:r w:rsidRPr="005C7B5E">
        <w:rPr>
          <w:rFonts w:ascii="Palatino Linotype" w:eastAsia="Calibri" w:hAnsi="Palatino Linotype" w:cs="Arial"/>
          <w:lang w:val="es-ES"/>
        </w:rPr>
        <w:t xml:space="preserve"> </w:t>
      </w:r>
    </w:p>
    <w:p w:rsidR="00757024" w:rsidRPr="00D22DFF" w:rsidRDefault="00757024" w:rsidP="0090423C">
      <w:pPr>
        <w:spacing w:after="240" w:line="360" w:lineRule="auto"/>
        <w:contextualSpacing/>
        <w:jc w:val="both"/>
        <w:rPr>
          <w:rFonts w:ascii="Palatino Linotype" w:eastAsia="Times New Roman" w:hAnsi="Palatino Linotype" w:cs="Arial"/>
          <w:color w:val="FF0000"/>
          <w:lang w:val="es-ES"/>
        </w:rPr>
      </w:pPr>
      <w:bookmarkStart w:id="65" w:name="_Toc503891610"/>
      <w:bookmarkStart w:id="66" w:name="_Toc453696503"/>
      <w:bookmarkStart w:id="67" w:name="_Toc454301156"/>
      <w:bookmarkStart w:id="68" w:name="_Toc462653938"/>
      <w:bookmarkStart w:id="69" w:name="_Toc477891769"/>
      <w:bookmarkStart w:id="70" w:name="_Toc477891859"/>
      <w:bookmarkStart w:id="71" w:name="_Toc481576260"/>
      <w:bookmarkStart w:id="72" w:name="_Toc492590392"/>
    </w:p>
    <w:p w:rsidR="00984C06" w:rsidRDefault="005C3739" w:rsidP="0090423C">
      <w:pPr>
        <w:spacing w:after="240" w:line="360" w:lineRule="auto"/>
        <w:contextualSpacing/>
        <w:jc w:val="both"/>
        <w:rPr>
          <w:rFonts w:ascii="Palatino Linotype" w:eastAsia="Calibri" w:hAnsi="Palatino Linotype" w:cs="Arial"/>
          <w:lang w:val="es-ES"/>
        </w:rPr>
      </w:pPr>
      <w:r>
        <w:rPr>
          <w:rFonts w:ascii="Palatino Linotype" w:eastAsia="Calibri" w:hAnsi="Palatino Linotype" w:cs="Arial"/>
          <w:b/>
        </w:rPr>
        <w:t>TERCER</w:t>
      </w:r>
      <w:r w:rsidRPr="0016675E">
        <w:rPr>
          <w:rFonts w:ascii="Palatino Linotype" w:eastAsia="Calibri" w:hAnsi="Palatino Linotype" w:cs="Arial"/>
          <w:b/>
        </w:rPr>
        <w:t>O.</w:t>
      </w:r>
      <w:r w:rsidRPr="0016675E">
        <w:rPr>
          <w:rFonts w:ascii="Palatino Linotype" w:eastAsia="Calibri" w:hAnsi="Palatino Linotype" w:cs="Arial"/>
        </w:rPr>
        <w:t xml:space="preserve"> </w:t>
      </w:r>
      <w:r w:rsidRPr="0016675E">
        <w:rPr>
          <w:rFonts w:ascii="Palatino Linotype" w:eastAsia="Calibri" w:hAnsi="Palatino Linotype" w:cs="Arial"/>
          <w:b/>
        </w:rPr>
        <w:t>Notifíquese</w:t>
      </w:r>
      <w:r w:rsidRPr="0016675E">
        <w:rPr>
          <w:rFonts w:ascii="Palatino Linotype" w:eastAsia="Calibri" w:hAnsi="Palatino Linotype" w:cs="Arial"/>
        </w:rPr>
        <w:t xml:space="preserve"> al Titular de la Unidad de Transparencia del </w:t>
      </w:r>
      <w:r w:rsidRPr="0016675E">
        <w:rPr>
          <w:rFonts w:ascii="Palatino Linotype" w:eastAsia="Calibri" w:hAnsi="Palatino Linotype" w:cs="Arial"/>
          <w:b/>
        </w:rPr>
        <w:t>SUJETO OBLIGADO</w:t>
      </w:r>
      <w:r w:rsidRPr="0016675E">
        <w:rPr>
          <w:rFonts w:ascii="Palatino Linotype" w:eastAsia="Calibri" w:hAnsi="Palatino Linotype" w:cs="Arial"/>
        </w:rPr>
        <w:t xml:space="preserve">, para que conforme a los artículos 137 y 140 </w:t>
      </w:r>
      <w:r w:rsidRPr="0016675E">
        <w:rPr>
          <w:rFonts w:ascii="Palatino Linotype" w:eastAsia="Times New Roman" w:hAnsi="Palatino Linotype" w:cs="Arial"/>
        </w:rPr>
        <w:t xml:space="preserve"> de la Ley de Protección de Datos Personales en Posesión de los Sujetos Obligados del Estado de México y Municipios, artículos</w:t>
      </w:r>
      <w:r w:rsidRPr="0016675E">
        <w:rPr>
          <w:rFonts w:ascii="Palatino Linotype" w:eastAsia="Calibri" w:hAnsi="Palatino Linotype" w:cs="Arial"/>
        </w:rPr>
        <w:t xml:space="preserve"> </w:t>
      </w:r>
      <w:r w:rsidRPr="0016675E">
        <w:rPr>
          <w:rFonts w:ascii="Palatino Linotype" w:eastAsia="Calibri" w:hAnsi="Palatino Linotype" w:cs="Arial"/>
          <w:lang w:val="es-ES"/>
        </w:rPr>
        <w:t>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de tres días hábiles siguientes sobre el cumplimiento dado a la presente resolución</w:t>
      </w:r>
    </w:p>
    <w:p w:rsidR="005C3739" w:rsidRPr="00984C06" w:rsidRDefault="005C3739" w:rsidP="0090423C">
      <w:pPr>
        <w:spacing w:after="240" w:line="360" w:lineRule="auto"/>
        <w:contextualSpacing/>
        <w:jc w:val="both"/>
        <w:rPr>
          <w:rFonts w:ascii="Palatino Linotype" w:hAnsi="Palatino Linotype"/>
        </w:rPr>
      </w:pPr>
    </w:p>
    <w:p w:rsidR="00984C06" w:rsidRDefault="00984C06" w:rsidP="0090423C">
      <w:pPr>
        <w:spacing w:after="240" w:line="360" w:lineRule="auto"/>
        <w:contextualSpacing/>
        <w:jc w:val="both"/>
        <w:rPr>
          <w:rFonts w:ascii="Palatino Linotype" w:hAnsi="Palatino Linotype"/>
        </w:rPr>
      </w:pPr>
      <w:r w:rsidRPr="00984C06">
        <w:rPr>
          <w:rFonts w:ascii="Palatino Linotype" w:hAnsi="Palatino Linotype"/>
        </w:rPr>
        <w:t xml:space="preserve"> </w:t>
      </w:r>
      <w:r w:rsidRPr="00984C06">
        <w:rPr>
          <w:rFonts w:ascii="Palatino Linotype" w:hAnsi="Palatino Linotype"/>
          <w:b/>
        </w:rPr>
        <w:t>CUARTO.</w:t>
      </w:r>
      <w:r w:rsidRPr="00984C06">
        <w:rPr>
          <w:rFonts w:ascii="Palatino Linotype" w:hAnsi="Palatino Linotype"/>
        </w:rPr>
        <w:t xml:space="preserve"> Notifíquese a </w:t>
      </w:r>
      <w:r w:rsidR="00E4684D" w:rsidRPr="00E4684D">
        <w:rPr>
          <w:rFonts w:ascii="Palatino Linotype" w:hAnsi="Palatino Linotype"/>
          <w:b/>
          <w:color w:val="000000"/>
          <w:highlight w:val="black"/>
        </w:rPr>
        <w:t>-----------------------------------</w:t>
      </w:r>
      <w:r w:rsidR="00DD1A00">
        <w:rPr>
          <w:rFonts w:ascii="Palatino Linotype" w:hAnsi="Palatino Linotype"/>
          <w:b/>
          <w:color w:val="000000"/>
        </w:rPr>
        <w:t xml:space="preserve"> </w:t>
      </w:r>
      <w:r w:rsidRPr="00984C06">
        <w:rPr>
          <w:rFonts w:ascii="Palatino Linotype" w:hAnsi="Palatino Linotype"/>
        </w:rPr>
        <w:t>la presente resolución</w:t>
      </w:r>
      <w:r>
        <w:rPr>
          <w:rFonts w:ascii="Palatino Linotype" w:hAnsi="Palatino Linotype"/>
        </w:rPr>
        <w:t>.</w:t>
      </w:r>
      <w:r w:rsidRPr="00984C06">
        <w:rPr>
          <w:rFonts w:ascii="Palatino Linotype" w:hAnsi="Palatino Linotype"/>
        </w:rPr>
        <w:t xml:space="preserve"> </w:t>
      </w:r>
    </w:p>
    <w:p w:rsidR="00984C06" w:rsidRPr="00984C06" w:rsidRDefault="00984C06" w:rsidP="0090423C">
      <w:pPr>
        <w:spacing w:after="240" w:line="360" w:lineRule="auto"/>
        <w:contextualSpacing/>
        <w:jc w:val="both"/>
        <w:rPr>
          <w:rFonts w:ascii="Palatino Linotype" w:hAnsi="Palatino Linotype"/>
        </w:rPr>
      </w:pPr>
    </w:p>
    <w:p w:rsidR="0090423C" w:rsidRPr="00984C06" w:rsidRDefault="00984C06" w:rsidP="0090423C">
      <w:pPr>
        <w:spacing w:after="240" w:line="360" w:lineRule="auto"/>
        <w:contextualSpacing/>
        <w:jc w:val="both"/>
        <w:rPr>
          <w:rFonts w:ascii="Palatino Linotype" w:hAnsi="Palatino Linotype"/>
        </w:rPr>
      </w:pPr>
      <w:r w:rsidRPr="00984C06">
        <w:rPr>
          <w:rFonts w:ascii="Palatino Linotype" w:hAnsi="Palatino Linotype"/>
          <w:b/>
        </w:rPr>
        <w:t>QUINTO.</w:t>
      </w:r>
      <w:r w:rsidRPr="00984C06">
        <w:rPr>
          <w:rFonts w:ascii="Palatino Linotype" w:hAnsi="Palatino Linotype"/>
        </w:rPr>
        <w:t xml:space="preserve"> Se hace de conocimiento a</w:t>
      </w:r>
      <w:r w:rsidRPr="00984C06">
        <w:rPr>
          <w:rFonts w:ascii="Palatino Linotype" w:hAnsi="Palatino Linotype"/>
          <w:b/>
          <w:color w:val="000000"/>
        </w:rPr>
        <w:t xml:space="preserve"> </w:t>
      </w:r>
      <w:r w:rsidR="00E4684D" w:rsidRPr="00E4684D">
        <w:rPr>
          <w:rFonts w:ascii="Palatino Linotype" w:hAnsi="Palatino Linotype"/>
          <w:b/>
          <w:color w:val="000000"/>
          <w:highlight w:val="black"/>
        </w:rPr>
        <w:t>------------</w:t>
      </w:r>
      <w:bookmarkStart w:id="73" w:name="_GoBack"/>
      <w:bookmarkEnd w:id="73"/>
      <w:r w:rsidR="00E4684D" w:rsidRPr="00E4684D">
        <w:rPr>
          <w:rFonts w:ascii="Palatino Linotype" w:hAnsi="Palatino Linotype"/>
          <w:b/>
          <w:color w:val="000000"/>
          <w:highlight w:val="black"/>
        </w:rPr>
        <w:t>--------------------</w:t>
      </w:r>
      <w:r w:rsidR="00DD1A00">
        <w:rPr>
          <w:rFonts w:ascii="Palatino Linotype" w:hAnsi="Palatino Linotype"/>
          <w:b/>
          <w:color w:val="000000"/>
        </w:rPr>
        <w:t xml:space="preserve"> </w:t>
      </w:r>
      <w:r w:rsidRPr="00984C06">
        <w:rPr>
          <w:rFonts w:ascii="Palatino Linotype" w:hAnsi="Palatino Linotype"/>
        </w:rPr>
        <w:t xml:space="preserve">que, de conformidad con lo establecido en el artículo 142 de la Ley de Protección de Datos Personales en Posesión de Sujetos Obligados del Estado de México y Municipios, en caso de que </w:t>
      </w:r>
      <w:r w:rsidRPr="00984C06">
        <w:rPr>
          <w:rFonts w:ascii="Palatino Linotype" w:hAnsi="Palatino Linotype"/>
        </w:rPr>
        <w:lastRenderedPageBreak/>
        <w:t>considere que la resolución le cause algún perjuicio podrá impugnarla vía juicio de amparo en los términos de las Leyes aplicables.</w:t>
      </w:r>
    </w:p>
    <w:p w:rsidR="00984C06" w:rsidRPr="00984C06" w:rsidRDefault="00984C06" w:rsidP="0090423C">
      <w:pPr>
        <w:spacing w:after="240" w:line="360" w:lineRule="auto"/>
        <w:contextualSpacing/>
        <w:jc w:val="both"/>
        <w:rPr>
          <w:rFonts w:ascii="Palatino Linotype" w:hAnsi="Palatino Linotype"/>
        </w:rPr>
      </w:pPr>
    </w:p>
    <w:p w:rsidR="00984C06" w:rsidRPr="00984C06" w:rsidRDefault="00984C06" w:rsidP="0090423C">
      <w:pPr>
        <w:spacing w:after="240" w:line="360" w:lineRule="auto"/>
        <w:contextualSpacing/>
        <w:jc w:val="both"/>
        <w:rPr>
          <w:rFonts w:ascii="Palatino Linotype" w:hAnsi="Palatino Linotype"/>
        </w:rPr>
      </w:pPr>
      <w:r w:rsidRPr="00984C06">
        <w:rPr>
          <w:rFonts w:ascii="Palatino Linotype" w:hAnsi="Palatino Linotype"/>
          <w:b/>
        </w:rPr>
        <w:t>SEXTO.</w:t>
      </w:r>
      <w:r w:rsidRPr="00984C06">
        <w:rPr>
          <w:rFonts w:ascii="Palatino Linotype" w:hAnsi="Palatino Linotype"/>
        </w:rPr>
        <w:t xml:space="preserve"> Con fundamento en el artículo 198 de la Ley de Transparencia y Acceso a la Información Pública del Estado de México y Municipios</w:t>
      </w:r>
      <w:r w:rsidR="005C3739">
        <w:rPr>
          <w:rFonts w:ascii="Palatino Linotype" w:hAnsi="Palatino Linotype"/>
        </w:rPr>
        <w:t xml:space="preserve"> de aplicación supletoria</w:t>
      </w:r>
      <w:r w:rsidRPr="00984C06">
        <w:rPr>
          <w:rFonts w:ascii="Palatino Linotype" w:hAnsi="Palatino Linotype"/>
        </w:rPr>
        <w:t xml:space="preserve">, se apercibe al </w:t>
      </w:r>
      <w:r w:rsidRPr="00984C06">
        <w:rPr>
          <w:rFonts w:ascii="Palatino Linotype" w:hAnsi="Palatino Linotype"/>
          <w:b/>
        </w:rPr>
        <w:t>SUJETO OBLIGADO</w:t>
      </w:r>
      <w:r w:rsidRPr="00984C06">
        <w:rPr>
          <w:rFonts w:ascii="Palatino Linotype" w:hAnsi="Palatino Linotype"/>
        </w:rPr>
        <w:t xml:space="preserve"> de que, en caso de incumplimiento total o parcial de la presente resolución, se actuará de conformidad con lo dispuesto en los artículos 213, 214, 215, 216 y 217 de la ley en cita.</w:t>
      </w:r>
    </w:p>
    <w:p w:rsidR="00984C06" w:rsidRDefault="00984C06" w:rsidP="0090423C">
      <w:pPr>
        <w:spacing w:after="240" w:line="360" w:lineRule="auto"/>
        <w:contextualSpacing/>
        <w:jc w:val="both"/>
      </w:pPr>
    </w:p>
    <w:bookmarkEnd w:id="65"/>
    <w:bookmarkEnd w:id="66"/>
    <w:bookmarkEnd w:id="67"/>
    <w:bookmarkEnd w:id="68"/>
    <w:bookmarkEnd w:id="69"/>
    <w:bookmarkEnd w:id="70"/>
    <w:bookmarkEnd w:id="71"/>
    <w:bookmarkEnd w:id="72"/>
    <w:p w:rsidR="00984C06" w:rsidRDefault="00984C06" w:rsidP="00984C06">
      <w:pPr>
        <w:tabs>
          <w:tab w:val="left" w:pos="0"/>
        </w:tabs>
        <w:spacing w:line="360" w:lineRule="auto"/>
        <w:ind w:firstLine="1"/>
        <w:jc w:val="both"/>
        <w:rPr>
          <w:rFonts w:ascii="Palatino Linotype" w:eastAsia="Calibri" w:hAnsi="Palatino Linotype" w:cs="Times New Roman"/>
          <w:lang w:val="es-MX" w:eastAsia="en-US"/>
        </w:rPr>
      </w:pPr>
      <w:r w:rsidRPr="00984C06">
        <w:rPr>
          <w:rFonts w:ascii="Palatino Linotype" w:eastAsia="Calibri" w:hAnsi="Palatino Linotype" w:cs="Times New Roman"/>
          <w:lang w:val="es-MX"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53340C">
        <w:rPr>
          <w:rFonts w:ascii="Palatino Linotype" w:eastAsia="Calibri" w:hAnsi="Palatino Linotype" w:cs="Times New Roman"/>
          <w:lang w:val="es-MX" w:eastAsia="en-US"/>
        </w:rPr>
        <w:t xml:space="preserve">JOSÉ GUADALUPE LUNA HERNÁNDEZ, </w:t>
      </w:r>
      <w:r w:rsidRPr="00984C06">
        <w:rPr>
          <w:rFonts w:ascii="Palatino Linotype" w:eastAsia="Calibri" w:hAnsi="Palatino Linotype" w:cs="Times New Roman"/>
          <w:lang w:val="es-MX" w:eastAsia="en-US"/>
        </w:rPr>
        <w:t>JAVIER MARTÍNEZ CRUZ</w:t>
      </w:r>
      <w:r w:rsidR="0053340C">
        <w:rPr>
          <w:rFonts w:ascii="Palatino Linotype" w:eastAsia="Calibri" w:hAnsi="Palatino Linotype" w:cs="Times New Roman"/>
          <w:lang w:val="es-MX" w:eastAsia="en-US"/>
        </w:rPr>
        <w:t xml:space="preserve"> EMITIENDO OPINIÓN PARTICULAR Y LUIS GUSTAVO PARRA NORIEGA EMITIENDO VOTO PARTICULAR</w:t>
      </w:r>
      <w:r w:rsidRPr="00984C06">
        <w:rPr>
          <w:rFonts w:ascii="Palatino Linotype" w:eastAsia="Calibri" w:hAnsi="Palatino Linotype" w:cs="Times New Roman"/>
          <w:lang w:val="es-MX" w:eastAsia="en-US"/>
        </w:rPr>
        <w:t xml:space="preserve">, EN LA </w:t>
      </w:r>
      <w:r w:rsidR="0053340C">
        <w:rPr>
          <w:rFonts w:ascii="Palatino Linotype" w:eastAsia="Calibri" w:hAnsi="Palatino Linotype" w:cs="Times New Roman"/>
          <w:lang w:val="es-MX" w:eastAsia="en-US"/>
        </w:rPr>
        <w:t>TRIGÉSIMA PRIMERA</w:t>
      </w:r>
      <w:r w:rsidR="00CE1616">
        <w:rPr>
          <w:rFonts w:ascii="Palatino Linotype" w:eastAsia="Calibri" w:hAnsi="Palatino Linotype" w:cs="Times New Roman"/>
          <w:lang w:val="es-MX" w:eastAsia="en-US"/>
        </w:rPr>
        <w:t xml:space="preserve"> </w:t>
      </w:r>
      <w:r w:rsidRPr="00984C06">
        <w:rPr>
          <w:rFonts w:ascii="Palatino Linotype" w:eastAsia="Calibri" w:hAnsi="Palatino Linotype" w:cs="Times New Roman"/>
          <w:lang w:val="es-MX" w:eastAsia="en-US"/>
        </w:rPr>
        <w:t xml:space="preserve">SESIÓN ORDINARIA CELEBRADA EL DÍA </w:t>
      </w:r>
      <w:r w:rsidR="0053340C">
        <w:rPr>
          <w:rFonts w:ascii="Palatino Linotype" w:eastAsia="Calibri" w:hAnsi="Palatino Linotype" w:cs="Times New Roman"/>
          <w:lang w:val="es-MX" w:eastAsia="en-US"/>
        </w:rPr>
        <w:t>DIECISÉIS</w:t>
      </w:r>
      <w:r w:rsidR="00CE1616">
        <w:rPr>
          <w:rFonts w:ascii="Palatino Linotype" w:eastAsia="Calibri" w:hAnsi="Palatino Linotype" w:cs="Times New Roman"/>
          <w:lang w:val="es-MX" w:eastAsia="en-US"/>
        </w:rPr>
        <w:t xml:space="preserve"> </w:t>
      </w:r>
      <w:r w:rsidRPr="00984C06">
        <w:rPr>
          <w:rFonts w:ascii="Palatino Linotype" w:eastAsia="Calibri" w:hAnsi="Palatino Linotype" w:cs="Times New Roman"/>
          <w:lang w:val="es-MX" w:eastAsia="en-US"/>
        </w:rPr>
        <w:t>DE DICIEMBRE DE DOS MIL VEINTE, ANTE EL SECRETARIO TÉCNICO DEL PLENO, ALEXIS TAPIA RAMÍREZ.</w:t>
      </w:r>
    </w:p>
    <w:p w:rsidR="0053340C" w:rsidRDefault="0053340C" w:rsidP="00984C06">
      <w:pPr>
        <w:tabs>
          <w:tab w:val="left" w:pos="0"/>
        </w:tabs>
        <w:spacing w:line="360" w:lineRule="auto"/>
        <w:ind w:firstLine="1"/>
        <w:jc w:val="both"/>
        <w:rPr>
          <w:rFonts w:ascii="Palatino Linotype" w:eastAsia="Calibri" w:hAnsi="Palatino Linotype" w:cs="Times New Roman"/>
          <w:lang w:val="es-MX" w:eastAsia="en-US"/>
        </w:rPr>
      </w:pPr>
    </w:p>
    <w:p w:rsidR="0053340C" w:rsidRDefault="0053340C" w:rsidP="00984C06">
      <w:pPr>
        <w:tabs>
          <w:tab w:val="left" w:pos="0"/>
        </w:tabs>
        <w:spacing w:line="360" w:lineRule="auto"/>
        <w:ind w:firstLine="1"/>
        <w:jc w:val="both"/>
        <w:rPr>
          <w:rFonts w:ascii="Palatino Linotype" w:eastAsia="Calibri" w:hAnsi="Palatino Linotype" w:cs="Times New Roman"/>
          <w:lang w:val="es-MX" w:eastAsia="en-US"/>
        </w:rPr>
      </w:pPr>
    </w:p>
    <w:p w:rsidR="0053340C" w:rsidRDefault="0053340C" w:rsidP="00984C06">
      <w:pPr>
        <w:tabs>
          <w:tab w:val="left" w:pos="0"/>
        </w:tabs>
        <w:spacing w:line="360" w:lineRule="auto"/>
        <w:ind w:firstLine="1"/>
        <w:jc w:val="both"/>
        <w:rPr>
          <w:rFonts w:ascii="Palatino Linotype" w:eastAsia="Calibri" w:hAnsi="Palatino Linotype" w:cs="Times New Roman"/>
          <w:lang w:val="es-MX" w:eastAsia="en-US"/>
        </w:rPr>
      </w:pPr>
    </w:p>
    <w:p w:rsidR="0053340C" w:rsidRPr="00984C06" w:rsidRDefault="0053340C" w:rsidP="00984C06">
      <w:pPr>
        <w:tabs>
          <w:tab w:val="left" w:pos="0"/>
        </w:tabs>
        <w:spacing w:line="360" w:lineRule="auto"/>
        <w:ind w:firstLine="1"/>
        <w:jc w:val="both"/>
        <w:rPr>
          <w:rFonts w:ascii="Palatino Linotype" w:eastAsia="Calibri" w:hAnsi="Palatino Linotype" w:cs="Times New Roman"/>
          <w:lang w:val="es-MX" w:eastAsia="en-US"/>
        </w:rPr>
      </w:pPr>
    </w:p>
    <w:tbl>
      <w:tblPr>
        <w:tblW w:w="10368" w:type="dxa"/>
        <w:jc w:val="center"/>
        <w:tblLayout w:type="fixed"/>
        <w:tblLook w:val="04A0" w:firstRow="1" w:lastRow="0" w:firstColumn="1" w:lastColumn="0" w:noHBand="0" w:noVBand="1"/>
      </w:tblPr>
      <w:tblGrid>
        <w:gridCol w:w="5184"/>
        <w:gridCol w:w="5184"/>
      </w:tblGrid>
      <w:tr w:rsidR="00984C06" w:rsidRPr="00984C06" w:rsidTr="00F22FBB">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984C06" w:rsidRPr="00984C06" w:rsidTr="00F22FBB">
              <w:trPr>
                <w:jc w:val="center"/>
              </w:trPr>
              <w:tc>
                <w:tcPr>
                  <w:tcW w:w="10365" w:type="dxa"/>
                  <w:gridSpan w:val="2"/>
                  <w:shd w:val="clear" w:color="auto" w:fill="auto"/>
                </w:tcPr>
                <w:p w:rsidR="00984C06" w:rsidRPr="00984C06" w:rsidRDefault="00984C06" w:rsidP="00984C06">
                  <w:pPr>
                    <w:spacing w:line="360" w:lineRule="auto"/>
                    <w:rPr>
                      <w:rFonts w:ascii="Palatino Linotype" w:eastAsia="Calibri" w:hAnsi="Palatino Linotype" w:cs="Arial"/>
                      <w:b/>
                      <w:lang w:val="es-MX" w:eastAsia="en-US"/>
                    </w:rPr>
                  </w:pPr>
                </w:p>
                <w:p w:rsidR="00984C06" w:rsidRPr="00984C06" w:rsidRDefault="00984C06" w:rsidP="00984C06">
                  <w:pPr>
                    <w:spacing w:line="360" w:lineRule="auto"/>
                    <w:jc w:val="center"/>
                    <w:rPr>
                      <w:rFonts w:ascii="Palatino Linotype" w:eastAsia="Calibri" w:hAnsi="Palatino Linotype" w:cs="Arial"/>
                      <w:b/>
                      <w:lang w:val="es-MX" w:eastAsia="en-US"/>
                    </w:rPr>
                  </w:pP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Zulema Martínez Sánchez</w:t>
                  </w: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lang w:val="es-MX" w:eastAsia="en-US"/>
                    </w:rPr>
                    <w:t>Comisionada Presidenta</w:t>
                  </w: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 xml:space="preserve">(RÚBRICA) </w:t>
                  </w:r>
                </w:p>
              </w:tc>
            </w:tr>
            <w:tr w:rsidR="00984C06" w:rsidRPr="00984C06" w:rsidTr="00F22FBB">
              <w:trPr>
                <w:jc w:val="center"/>
              </w:trPr>
              <w:tc>
                <w:tcPr>
                  <w:tcW w:w="5182" w:type="dxa"/>
                  <w:shd w:val="clear" w:color="auto" w:fill="auto"/>
                </w:tcPr>
                <w:p w:rsidR="00984C06" w:rsidRPr="00984C06" w:rsidRDefault="00984C06" w:rsidP="00984C06">
                  <w:pPr>
                    <w:spacing w:line="360" w:lineRule="auto"/>
                    <w:rPr>
                      <w:rFonts w:ascii="Palatino Linotype" w:eastAsia="Calibri" w:hAnsi="Palatino Linotype" w:cs="Arial"/>
                      <w:b/>
                      <w:lang w:val="es-MX" w:eastAsia="en-US"/>
                    </w:rPr>
                  </w:pP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 xml:space="preserve">Eva </w:t>
                  </w:r>
                  <w:proofErr w:type="spellStart"/>
                  <w:r w:rsidRPr="00984C06">
                    <w:rPr>
                      <w:rFonts w:ascii="Palatino Linotype" w:eastAsia="Calibri" w:hAnsi="Palatino Linotype" w:cs="Arial"/>
                      <w:b/>
                      <w:lang w:val="es-MX" w:eastAsia="en-US"/>
                    </w:rPr>
                    <w:t>Abaid</w:t>
                  </w:r>
                  <w:proofErr w:type="spellEnd"/>
                  <w:r w:rsidRPr="00984C06">
                    <w:rPr>
                      <w:rFonts w:ascii="Palatino Linotype" w:eastAsia="Calibri" w:hAnsi="Palatino Linotype" w:cs="Arial"/>
                      <w:b/>
                      <w:lang w:val="es-MX" w:eastAsia="en-US"/>
                    </w:rPr>
                    <w:t xml:space="preserve"> Yapur</w:t>
                  </w:r>
                </w:p>
                <w:p w:rsidR="00984C06" w:rsidRPr="00984C06" w:rsidRDefault="00984C06" w:rsidP="00984C06">
                  <w:pPr>
                    <w:spacing w:line="360" w:lineRule="auto"/>
                    <w:jc w:val="center"/>
                    <w:rPr>
                      <w:rFonts w:ascii="Palatino Linotype" w:eastAsia="Calibri" w:hAnsi="Palatino Linotype" w:cs="Arial"/>
                      <w:lang w:val="es-MX" w:eastAsia="en-US"/>
                    </w:rPr>
                  </w:pPr>
                  <w:r w:rsidRPr="00984C06">
                    <w:rPr>
                      <w:rFonts w:ascii="Palatino Linotype" w:eastAsia="Calibri" w:hAnsi="Palatino Linotype" w:cs="Arial"/>
                      <w:lang w:val="es-MX" w:eastAsia="en-US"/>
                    </w:rPr>
                    <w:t>Comisionada</w:t>
                  </w: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(RÚBRICA)</w:t>
                  </w:r>
                </w:p>
              </w:tc>
              <w:tc>
                <w:tcPr>
                  <w:tcW w:w="5183" w:type="dxa"/>
                  <w:shd w:val="clear" w:color="auto" w:fill="auto"/>
                </w:tcPr>
                <w:p w:rsidR="00984C06" w:rsidRPr="00984C06" w:rsidRDefault="00984C06" w:rsidP="00984C06">
                  <w:pPr>
                    <w:spacing w:line="360" w:lineRule="auto"/>
                    <w:rPr>
                      <w:rFonts w:ascii="Palatino Linotype" w:eastAsia="Calibri" w:hAnsi="Palatino Linotype" w:cs="Arial"/>
                      <w:b/>
                      <w:lang w:val="es-MX" w:eastAsia="en-US"/>
                    </w:rPr>
                  </w:pP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José Guadalupe Luna Hernández</w:t>
                  </w:r>
                </w:p>
                <w:p w:rsidR="00984C06" w:rsidRPr="00984C06" w:rsidRDefault="00984C06" w:rsidP="00984C06">
                  <w:pPr>
                    <w:spacing w:line="360" w:lineRule="auto"/>
                    <w:jc w:val="center"/>
                    <w:rPr>
                      <w:rFonts w:ascii="Palatino Linotype" w:eastAsia="Calibri" w:hAnsi="Palatino Linotype" w:cs="Arial"/>
                      <w:lang w:val="es-MX" w:eastAsia="en-US"/>
                    </w:rPr>
                  </w:pPr>
                  <w:r w:rsidRPr="00984C06">
                    <w:rPr>
                      <w:rFonts w:ascii="Palatino Linotype" w:eastAsia="Calibri" w:hAnsi="Palatino Linotype" w:cs="Arial"/>
                      <w:lang w:val="es-MX" w:eastAsia="en-US"/>
                    </w:rPr>
                    <w:t>Comisionado</w:t>
                  </w: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(RÚBRICA)</w:t>
                  </w:r>
                </w:p>
              </w:tc>
            </w:tr>
            <w:tr w:rsidR="00984C06" w:rsidRPr="00984C06" w:rsidTr="00F22FBB">
              <w:trPr>
                <w:jc w:val="center"/>
              </w:trPr>
              <w:tc>
                <w:tcPr>
                  <w:tcW w:w="5182" w:type="dxa"/>
                  <w:shd w:val="clear" w:color="auto" w:fill="auto"/>
                </w:tcPr>
                <w:p w:rsidR="00984C06" w:rsidRPr="00984C06" w:rsidRDefault="00984C06" w:rsidP="00984C06">
                  <w:pPr>
                    <w:spacing w:line="360" w:lineRule="auto"/>
                    <w:rPr>
                      <w:rFonts w:ascii="Palatino Linotype" w:eastAsia="Calibri" w:hAnsi="Palatino Linotype" w:cs="Arial"/>
                      <w:b/>
                      <w:lang w:val="es-MX" w:eastAsia="en-US"/>
                    </w:rPr>
                  </w:pPr>
                </w:p>
                <w:p w:rsidR="00984C06" w:rsidRPr="00984C06" w:rsidRDefault="00984C06" w:rsidP="00984C06">
                  <w:pPr>
                    <w:spacing w:line="360" w:lineRule="auto"/>
                    <w:rPr>
                      <w:rFonts w:ascii="Palatino Linotype" w:eastAsia="Calibri" w:hAnsi="Palatino Linotype" w:cs="Arial"/>
                      <w:b/>
                      <w:lang w:val="es-MX" w:eastAsia="en-US"/>
                    </w:rPr>
                  </w:pP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Javier Martínez Cruz</w:t>
                  </w:r>
                </w:p>
                <w:p w:rsidR="00984C06" w:rsidRPr="00984C06" w:rsidRDefault="00984C06" w:rsidP="00984C06">
                  <w:pPr>
                    <w:spacing w:line="360" w:lineRule="auto"/>
                    <w:jc w:val="center"/>
                    <w:rPr>
                      <w:rFonts w:ascii="Palatino Linotype" w:eastAsia="Calibri" w:hAnsi="Palatino Linotype" w:cs="Arial"/>
                      <w:lang w:val="es-MX" w:eastAsia="en-US"/>
                    </w:rPr>
                  </w:pPr>
                  <w:r w:rsidRPr="00984C06">
                    <w:rPr>
                      <w:rFonts w:ascii="Palatino Linotype" w:eastAsia="Calibri" w:hAnsi="Palatino Linotype" w:cs="Arial"/>
                      <w:lang w:val="es-MX" w:eastAsia="en-US"/>
                    </w:rPr>
                    <w:t>Comisionado</w:t>
                  </w:r>
                </w:p>
                <w:p w:rsidR="00984C06" w:rsidRPr="00984C06" w:rsidRDefault="00984C06" w:rsidP="00984C06">
                  <w:pPr>
                    <w:spacing w:line="360" w:lineRule="auto"/>
                    <w:jc w:val="center"/>
                    <w:rPr>
                      <w:rFonts w:ascii="Palatino Linotype" w:eastAsia="Calibri" w:hAnsi="Palatino Linotype" w:cs="Arial"/>
                      <w:lang w:val="es-MX" w:eastAsia="en-US"/>
                    </w:rPr>
                  </w:pPr>
                  <w:r w:rsidRPr="00984C06">
                    <w:rPr>
                      <w:rFonts w:ascii="Palatino Linotype" w:eastAsia="Calibri" w:hAnsi="Palatino Linotype" w:cs="Arial"/>
                      <w:b/>
                      <w:lang w:val="es-MX" w:eastAsia="en-US"/>
                    </w:rPr>
                    <w:t>(RÚBRICA)</w:t>
                  </w:r>
                </w:p>
              </w:tc>
              <w:tc>
                <w:tcPr>
                  <w:tcW w:w="5183" w:type="dxa"/>
                  <w:shd w:val="clear" w:color="auto" w:fill="auto"/>
                </w:tcPr>
                <w:p w:rsidR="00984C06" w:rsidRPr="00984C06" w:rsidRDefault="00984C06" w:rsidP="00984C06">
                  <w:pPr>
                    <w:spacing w:line="360" w:lineRule="auto"/>
                    <w:rPr>
                      <w:rFonts w:ascii="Palatino Linotype" w:eastAsia="Calibri" w:hAnsi="Palatino Linotype" w:cs="Arial"/>
                      <w:b/>
                      <w:lang w:val="es-MX" w:eastAsia="en-US"/>
                    </w:rPr>
                  </w:pPr>
                </w:p>
                <w:p w:rsidR="00984C06" w:rsidRPr="00984C06" w:rsidRDefault="00984C06" w:rsidP="00984C06">
                  <w:pPr>
                    <w:spacing w:line="360" w:lineRule="auto"/>
                    <w:rPr>
                      <w:rFonts w:ascii="Palatino Linotype" w:eastAsia="Calibri" w:hAnsi="Palatino Linotype" w:cs="Arial"/>
                      <w:b/>
                      <w:lang w:val="es-MX" w:eastAsia="en-US"/>
                    </w:rPr>
                  </w:pP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Luis Gustavo Parra Noriega</w:t>
                  </w:r>
                </w:p>
                <w:p w:rsidR="00984C06" w:rsidRPr="00984C06" w:rsidRDefault="00984C06" w:rsidP="00984C06">
                  <w:pPr>
                    <w:spacing w:line="360" w:lineRule="auto"/>
                    <w:jc w:val="center"/>
                    <w:rPr>
                      <w:rFonts w:ascii="Palatino Linotype" w:eastAsia="Calibri" w:hAnsi="Palatino Linotype" w:cs="Arial"/>
                      <w:lang w:val="es-MX" w:eastAsia="en-US"/>
                    </w:rPr>
                  </w:pPr>
                  <w:r w:rsidRPr="00984C06">
                    <w:rPr>
                      <w:rFonts w:ascii="Palatino Linotype" w:eastAsia="Calibri" w:hAnsi="Palatino Linotype" w:cs="Arial"/>
                      <w:lang w:val="es-MX" w:eastAsia="en-US"/>
                    </w:rPr>
                    <w:t>Comisionado</w:t>
                  </w: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(RÚBRICA)</w:t>
                  </w:r>
                </w:p>
              </w:tc>
            </w:tr>
            <w:tr w:rsidR="00984C06" w:rsidRPr="00984C06" w:rsidTr="00F22FBB">
              <w:trPr>
                <w:jc w:val="center"/>
              </w:trPr>
              <w:tc>
                <w:tcPr>
                  <w:tcW w:w="10365" w:type="dxa"/>
                  <w:gridSpan w:val="2"/>
                  <w:shd w:val="clear" w:color="auto" w:fill="auto"/>
                </w:tcPr>
                <w:p w:rsidR="00984C06" w:rsidRPr="00984C06" w:rsidRDefault="00984C06" w:rsidP="00984C06">
                  <w:pPr>
                    <w:tabs>
                      <w:tab w:val="left" w:pos="3720"/>
                    </w:tabs>
                    <w:spacing w:line="360" w:lineRule="auto"/>
                    <w:rPr>
                      <w:rFonts w:ascii="Palatino Linotype" w:eastAsia="Calibri" w:hAnsi="Palatino Linotype" w:cs="Arial"/>
                      <w:b/>
                      <w:lang w:val="es-MX" w:eastAsia="en-US"/>
                    </w:rPr>
                  </w:pPr>
                </w:p>
                <w:p w:rsidR="00984C06" w:rsidRPr="00984C06" w:rsidRDefault="00984C06" w:rsidP="00984C06">
                  <w:pPr>
                    <w:spacing w:line="360" w:lineRule="auto"/>
                    <w:jc w:val="center"/>
                    <w:rPr>
                      <w:rFonts w:ascii="Palatino Linotype" w:eastAsia="Calibri" w:hAnsi="Palatino Linotype" w:cs="Arial"/>
                      <w:b/>
                      <w:lang w:val="es-MX" w:eastAsia="en-US"/>
                    </w:rPr>
                  </w:pPr>
                </w:p>
                <w:p w:rsidR="00984C06" w:rsidRPr="00984C06" w:rsidRDefault="00984C06" w:rsidP="00984C06">
                  <w:pPr>
                    <w:spacing w:line="360" w:lineRule="auto"/>
                    <w:jc w:val="center"/>
                    <w:rPr>
                      <w:rFonts w:ascii="Palatino Linotype" w:eastAsia="Calibri" w:hAnsi="Palatino Linotype" w:cs="Arial"/>
                      <w:b/>
                      <w:lang w:val="es-MX" w:eastAsia="en-US"/>
                    </w:rPr>
                  </w:pPr>
                  <w:r w:rsidRPr="00984C06">
                    <w:rPr>
                      <w:rFonts w:ascii="Palatino Linotype" w:eastAsia="Calibri" w:hAnsi="Palatino Linotype" w:cs="Arial"/>
                      <w:b/>
                      <w:lang w:val="es-MX" w:eastAsia="en-US"/>
                    </w:rPr>
                    <w:t>Alexis Tapia Ramírez</w:t>
                  </w:r>
                </w:p>
                <w:p w:rsidR="00984C06" w:rsidRPr="00984C06" w:rsidRDefault="00984C06" w:rsidP="00984C06">
                  <w:pPr>
                    <w:spacing w:line="360" w:lineRule="auto"/>
                    <w:jc w:val="center"/>
                    <w:rPr>
                      <w:rFonts w:ascii="Palatino Linotype" w:eastAsia="Calibri" w:hAnsi="Palatino Linotype" w:cs="Arial"/>
                      <w:lang w:val="es-MX" w:eastAsia="en-US"/>
                    </w:rPr>
                  </w:pPr>
                  <w:r w:rsidRPr="00984C06">
                    <w:rPr>
                      <w:rFonts w:ascii="Palatino Linotype" w:eastAsia="Calibri" w:hAnsi="Palatino Linotype" w:cs="Arial"/>
                      <w:lang w:val="es-MX" w:eastAsia="en-US"/>
                    </w:rPr>
                    <w:t>Secretario Técnico del Pleno</w:t>
                  </w:r>
                </w:p>
                <w:p w:rsidR="00984C06" w:rsidRPr="00984C06" w:rsidRDefault="00984C06" w:rsidP="00984C06">
                  <w:pPr>
                    <w:spacing w:line="360" w:lineRule="auto"/>
                    <w:jc w:val="center"/>
                    <w:rPr>
                      <w:rFonts w:ascii="Palatino Linotype" w:eastAsia="Calibri" w:hAnsi="Palatino Linotype" w:cs="Arial"/>
                      <w:lang w:val="es-MX" w:eastAsia="en-US"/>
                    </w:rPr>
                  </w:pPr>
                  <w:r w:rsidRPr="00984C06">
                    <w:rPr>
                      <w:rFonts w:ascii="Palatino Linotype" w:eastAsia="Calibri" w:hAnsi="Palatino Linotype" w:cs="Arial"/>
                      <w:b/>
                      <w:lang w:val="es-MX" w:eastAsia="en-US"/>
                    </w:rPr>
                    <w:t>(RÚBRICA)</w:t>
                  </w:r>
                  <w:r w:rsidRPr="00984C06">
                    <w:rPr>
                      <w:rFonts w:ascii="Palatino Linotype" w:eastAsia="Calibri" w:hAnsi="Palatino Linotype" w:cs="Arial"/>
                      <w:lang w:val="es-MX" w:eastAsia="en-US"/>
                    </w:rPr>
                    <w:t xml:space="preserve"> </w:t>
                  </w:r>
                </w:p>
              </w:tc>
            </w:tr>
          </w:tbl>
          <w:p w:rsidR="00984C06" w:rsidRPr="00984C06" w:rsidRDefault="00984C06" w:rsidP="00984C06">
            <w:pPr>
              <w:spacing w:line="360" w:lineRule="auto"/>
              <w:jc w:val="both"/>
              <w:rPr>
                <w:rFonts w:ascii="Palatino Linotype" w:eastAsia="Calibri" w:hAnsi="Palatino Linotype" w:cs="Arial"/>
                <w:lang w:val="es-ES" w:eastAsia="en-US"/>
              </w:rPr>
            </w:pPr>
          </w:p>
        </w:tc>
      </w:tr>
      <w:tr w:rsidR="00984C06" w:rsidRPr="00984C06" w:rsidTr="00F22FBB">
        <w:trPr>
          <w:jc w:val="center"/>
        </w:trPr>
        <w:tc>
          <w:tcPr>
            <w:tcW w:w="5184" w:type="dxa"/>
            <w:hideMark/>
          </w:tcPr>
          <w:p w:rsidR="00984C06" w:rsidRPr="00984C06" w:rsidRDefault="00984C06" w:rsidP="00984C06">
            <w:pPr>
              <w:spacing w:line="360" w:lineRule="auto"/>
              <w:jc w:val="both"/>
              <w:rPr>
                <w:rFonts w:ascii="Palatino Linotype" w:eastAsia="Calibri" w:hAnsi="Palatino Linotype" w:cs="Arial"/>
                <w:lang w:val="es-ES" w:eastAsia="en-US"/>
              </w:rPr>
            </w:pPr>
          </w:p>
        </w:tc>
        <w:tc>
          <w:tcPr>
            <w:tcW w:w="5184" w:type="dxa"/>
          </w:tcPr>
          <w:p w:rsidR="00984C06" w:rsidRPr="00984C06" w:rsidRDefault="00984C06" w:rsidP="00984C06">
            <w:pPr>
              <w:spacing w:line="360" w:lineRule="auto"/>
              <w:jc w:val="center"/>
              <w:rPr>
                <w:rFonts w:ascii="Palatino Linotype" w:eastAsia="Calibri" w:hAnsi="Palatino Linotype" w:cs="Arial"/>
                <w:b/>
                <w:lang w:val="es-MX" w:eastAsia="en-US"/>
              </w:rPr>
            </w:pPr>
          </w:p>
        </w:tc>
      </w:tr>
      <w:tr w:rsidR="00984C06" w:rsidRPr="00984C06" w:rsidTr="00F22FBB">
        <w:trPr>
          <w:jc w:val="center"/>
        </w:trPr>
        <w:tc>
          <w:tcPr>
            <w:tcW w:w="10368" w:type="dxa"/>
            <w:gridSpan w:val="2"/>
          </w:tcPr>
          <w:p w:rsidR="00984C06" w:rsidRPr="00984C06" w:rsidRDefault="00984C06" w:rsidP="00984C06">
            <w:pPr>
              <w:spacing w:line="360" w:lineRule="auto"/>
              <w:jc w:val="both"/>
              <w:rPr>
                <w:rFonts w:ascii="Palatino Linotype" w:eastAsia="Calibri" w:hAnsi="Palatino Linotype" w:cs="Arial"/>
                <w:lang w:val="es-ES" w:eastAsia="en-US"/>
              </w:rPr>
            </w:pPr>
          </w:p>
        </w:tc>
      </w:tr>
    </w:tbl>
    <w:p w:rsidR="00984C06" w:rsidRPr="00984C06" w:rsidRDefault="00984C06" w:rsidP="00984C06">
      <w:pPr>
        <w:tabs>
          <w:tab w:val="left" w:pos="0"/>
        </w:tabs>
        <w:spacing w:line="360" w:lineRule="auto"/>
        <w:jc w:val="both"/>
        <w:rPr>
          <w:rFonts w:ascii="Palatino Linotype" w:eastAsia="Calibri" w:hAnsi="Palatino Linotype" w:cs="Times New Roman"/>
          <w:lang w:val="es-MX" w:eastAsia="en-US"/>
        </w:rPr>
      </w:pPr>
      <w:r w:rsidRPr="00984C06">
        <w:rPr>
          <w:rFonts w:ascii="Palatino Linotype" w:eastAsia="Calibri" w:hAnsi="Palatino Linotype" w:cs="Arial"/>
          <w:lang w:val="es-MX" w:eastAsia="en-US"/>
        </w:rPr>
        <w:t xml:space="preserve">Esta hoja corresponde </w:t>
      </w:r>
      <w:r w:rsidR="00CE1616">
        <w:rPr>
          <w:rFonts w:ascii="Palatino Linotype" w:eastAsia="Calibri" w:hAnsi="Palatino Linotype" w:cs="Arial"/>
          <w:lang w:val="es-MX" w:eastAsia="en-US"/>
        </w:rPr>
        <w:t>a la resolución de fecha  dieciséis (16</w:t>
      </w:r>
      <w:r w:rsidRPr="00984C06">
        <w:rPr>
          <w:rFonts w:ascii="Palatino Linotype" w:eastAsia="Calibri" w:hAnsi="Palatino Linotype" w:cs="Arial"/>
          <w:lang w:val="es-MX" w:eastAsia="en-US"/>
        </w:rPr>
        <w:t xml:space="preserve">) de diciembre de dos mil veinte, emitida en el recurso de revisión </w:t>
      </w:r>
      <w:r w:rsidR="0053340C">
        <w:rPr>
          <w:rFonts w:ascii="Palatino Linotype" w:hAnsi="Palatino Linotype" w:cs="Arial"/>
          <w:b/>
          <w:bCs/>
          <w:sz w:val="22"/>
          <w:szCs w:val="22"/>
          <w:lang w:eastAsia="es-MX"/>
        </w:rPr>
        <w:t>4278</w:t>
      </w:r>
      <w:r>
        <w:rPr>
          <w:rFonts w:ascii="Palatino Linotype" w:hAnsi="Palatino Linotype" w:cs="Arial"/>
          <w:b/>
          <w:bCs/>
          <w:sz w:val="22"/>
          <w:szCs w:val="22"/>
          <w:lang w:eastAsia="es-MX"/>
        </w:rPr>
        <w:t>/INFOEM/AD/RR/2020.</w:t>
      </w:r>
    </w:p>
    <w:p w:rsidR="00780382" w:rsidRDefault="00984C06" w:rsidP="0053340C">
      <w:pPr>
        <w:spacing w:line="360" w:lineRule="auto"/>
      </w:pPr>
      <w:r w:rsidRPr="00984C06">
        <w:t xml:space="preserve"> </w:t>
      </w:r>
    </w:p>
    <w:sectPr w:rsidR="00780382" w:rsidSect="001A4CD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CBE" w:rsidRDefault="002E3CBE">
      <w:r>
        <w:separator/>
      </w:r>
    </w:p>
  </w:endnote>
  <w:endnote w:type="continuationSeparator" w:id="0">
    <w:p w:rsidR="002E3CBE" w:rsidRDefault="002E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178CD" w:rsidRPr="00883450" w:rsidRDefault="00B178C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C5323">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C5323">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rsidR="00B178CD" w:rsidRDefault="00B178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8CD" w:rsidRPr="00883450" w:rsidRDefault="00B178CD"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C5323" w:rsidRPr="009C532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C5323" w:rsidRPr="009C5323">
      <w:rPr>
        <w:rFonts w:ascii="Palatino Linotype" w:hAnsi="Palatino Linotype"/>
        <w:noProof/>
        <w:sz w:val="22"/>
        <w:szCs w:val="22"/>
        <w:lang w:val="es-ES"/>
      </w:rPr>
      <w:t>43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CBE" w:rsidRDefault="002E3CBE">
      <w:r>
        <w:separator/>
      </w:r>
    </w:p>
  </w:footnote>
  <w:footnote w:type="continuationSeparator" w:id="0">
    <w:p w:rsidR="002E3CBE" w:rsidRDefault="002E3CBE">
      <w:r>
        <w:continuationSeparator/>
      </w:r>
    </w:p>
  </w:footnote>
  <w:footnote w:id="1">
    <w:p w:rsidR="00B178CD" w:rsidRDefault="00B178CD" w:rsidP="009157BC">
      <w:pPr>
        <w:pStyle w:val="Textonotapie"/>
        <w:jc w:val="both"/>
      </w:pPr>
      <w:r>
        <w:rPr>
          <w:rStyle w:val="Refdenotaalpie"/>
        </w:rPr>
        <w:footnoteRef/>
      </w:r>
      <w:r>
        <w:t>Artículo 9. El Instituto deberá regir su funcionamiento de acuerdo a los siguientes principios:</w:t>
      </w:r>
    </w:p>
    <w:p w:rsidR="00B178CD" w:rsidRDefault="00B178CD" w:rsidP="009157BC">
      <w:pPr>
        <w:pStyle w:val="Textonotapie"/>
        <w:jc w:val="both"/>
      </w:pPr>
      <w:r>
        <w:t>I. Eficacia: Obligación del Instituto para tutelar, de manera efectiva, el derecho de acceso a la información;</w:t>
      </w:r>
    </w:p>
    <w:p w:rsidR="00B178CD" w:rsidRDefault="00B178CD" w:rsidP="009157BC">
      <w:pPr>
        <w:pStyle w:val="Textonotapie"/>
        <w:jc w:val="both"/>
      </w:pPr>
      <w:r>
        <w:t>(…)</w:t>
      </w:r>
    </w:p>
    <w:p w:rsidR="00B178CD" w:rsidRDefault="00B178CD" w:rsidP="009157BC">
      <w:pPr>
        <w:pStyle w:val="Textonotapie"/>
        <w:jc w:val="both"/>
      </w:pPr>
      <w:r>
        <w:t>IX. Profesionalismo: Los servidores públicos que laboren en el Instituto deberán sujetar su actuación a conocimientos técnicos, teóricos y metodológicos que garanticen un desempeño eficiente y eficaz en el ejercicio de la función pública que tienen encomendada; y</w:t>
      </w:r>
    </w:p>
    <w:p w:rsidR="00B178CD" w:rsidRDefault="00B178CD" w:rsidP="009157BC">
      <w:pPr>
        <w:pStyle w:val="Textonotapie"/>
        <w:jc w:val="both"/>
      </w:pPr>
      <w:r>
        <w:t>(..</w:t>
      </w:r>
    </w:p>
    <w:p w:rsidR="00B178CD" w:rsidRPr="00B942BC" w:rsidRDefault="00B178CD" w:rsidP="009157BC">
      <w:pPr>
        <w:pStyle w:val="Textonotapie"/>
        <w:jc w:val="both"/>
      </w:pPr>
      <w:r>
        <w:t xml:space="preserve">Ley de Transparencia y Acceso a la Información Pública del Estado de México </w:t>
      </w:r>
    </w:p>
  </w:footnote>
  <w:footnote w:id="2">
    <w:p w:rsidR="00B178CD" w:rsidRDefault="00B178CD" w:rsidP="008614EA">
      <w:pPr>
        <w:pStyle w:val="Textonotapie"/>
        <w:jc w:val="both"/>
        <w:rPr>
          <w:i/>
        </w:rPr>
      </w:pPr>
      <w:r>
        <w:rPr>
          <w:rStyle w:val="Refdenotaalpie"/>
        </w:rPr>
        <w:footnoteRef/>
      </w:r>
      <w:r>
        <w:t xml:space="preserve"> </w:t>
      </w:r>
      <w:r w:rsidRPr="00602380">
        <w:t>Última reforma publicada en el</w:t>
      </w:r>
      <w:r>
        <w:t xml:space="preserve"> </w:t>
      </w:r>
      <w:r w:rsidRPr="00602380">
        <w:t>Diario Oficial del a Federación el veinticuatro de febrero de dos mil diecisiete, consultada en</w:t>
      </w:r>
      <w:r>
        <w:t xml:space="preserve"> </w:t>
      </w:r>
      <w:r w:rsidRPr="00602380">
        <w:t>el</w:t>
      </w:r>
      <w:r>
        <w:t xml:space="preserve"> </w:t>
      </w:r>
      <w:r w:rsidRPr="00602380">
        <w:t>sitio web</w:t>
      </w:r>
      <w:r>
        <w:t>.</w:t>
      </w:r>
      <w:r w:rsidRPr="00602380">
        <w:rPr>
          <w:i/>
        </w:rPr>
        <w:t xml:space="preserve"> </w:t>
      </w:r>
      <w:hyperlink r:id="rId1" w:history="1">
        <w:r w:rsidRPr="00423C8F">
          <w:rPr>
            <w:rStyle w:val="Hipervnculo"/>
            <w:i/>
          </w:rPr>
          <w:t>http://www.diputados.gob.mx/LeyesBiblio/pdf/1_150917.pdf</w:t>
        </w:r>
      </w:hyperlink>
    </w:p>
    <w:p w:rsidR="00B178CD" w:rsidRDefault="00B178CD" w:rsidP="008614EA">
      <w:pPr>
        <w:pStyle w:val="Textonotapie"/>
        <w:jc w:val="both"/>
        <w:rPr>
          <w:i/>
        </w:rPr>
      </w:pPr>
    </w:p>
    <w:p w:rsidR="00B178CD" w:rsidRDefault="00B178CD" w:rsidP="008614EA">
      <w:pPr>
        <w:pStyle w:val="Textonotapie"/>
        <w:jc w:val="both"/>
      </w:pPr>
      <w:r>
        <w:t>Artículo 6o.</w:t>
      </w:r>
    </w:p>
    <w:p w:rsidR="00B178CD" w:rsidRDefault="00B178CD" w:rsidP="008614EA">
      <w:pPr>
        <w:pStyle w:val="Textonotapie"/>
        <w:jc w:val="both"/>
      </w:pPr>
      <w:r>
        <w:t>…</w:t>
      </w:r>
    </w:p>
    <w:p w:rsidR="00B178CD" w:rsidRDefault="00B178CD" w:rsidP="008614EA">
      <w:pPr>
        <w:pStyle w:val="Textonotapie"/>
        <w:jc w:val="both"/>
      </w:pPr>
      <w:r>
        <w:t>II. La información que se refiere a la vida privada y los datos personales será protegida en los términos y con las excepciones que fijen las leyes.</w:t>
      </w:r>
    </w:p>
    <w:p w:rsidR="00B178CD" w:rsidRDefault="00B178CD" w:rsidP="008614EA">
      <w:pPr>
        <w:pStyle w:val="Textonotapie"/>
        <w:jc w:val="both"/>
      </w:pPr>
      <w:r>
        <w:t>…</w:t>
      </w:r>
    </w:p>
    <w:p w:rsidR="00B178CD" w:rsidRDefault="00B178CD" w:rsidP="008614EA">
      <w:pPr>
        <w:pStyle w:val="Textonotapie"/>
        <w:jc w:val="both"/>
      </w:pPr>
      <w:r>
        <w:t>III. Toda persona, sin necesidad de acreditar interés alguno o justificar su utilización, tendrá acceso gratuito a la información pública, a sus datos personales o a la rectificación de éstos.</w:t>
      </w:r>
    </w:p>
    <w:p w:rsidR="00B178CD" w:rsidRDefault="00B178CD" w:rsidP="008614EA">
      <w:pPr>
        <w:pStyle w:val="Textonotapie"/>
        <w:jc w:val="both"/>
      </w:pPr>
    </w:p>
    <w:p w:rsidR="00B178CD" w:rsidRDefault="00B178CD" w:rsidP="008614EA">
      <w:pPr>
        <w:pStyle w:val="Textonotapie"/>
        <w:jc w:val="both"/>
      </w:pPr>
      <w:r>
        <w:t>Artículo 16.</w:t>
      </w:r>
    </w:p>
    <w:p w:rsidR="00B178CD" w:rsidRDefault="00B178CD" w:rsidP="008614EA">
      <w:pPr>
        <w:pStyle w:val="Textonotapie"/>
        <w:jc w:val="both"/>
      </w:pPr>
      <w:r>
        <w:t>…</w:t>
      </w:r>
    </w:p>
    <w:p w:rsidR="00B178CD" w:rsidRDefault="00B178CD" w:rsidP="008614EA">
      <w:pPr>
        <w:pStyle w:val="Textonotapie"/>
        <w:jc w:val="both"/>
      </w:pPr>
      <w: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3">
    <w:p w:rsidR="00B178CD" w:rsidRDefault="00B178CD" w:rsidP="00F22F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178CD" w:rsidRDefault="00B178CD" w:rsidP="00F22F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178CD" w:rsidRPr="001E1F95" w:rsidRDefault="00B178CD" w:rsidP="00F22F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B178CD" w:rsidRPr="0037004E" w:rsidRDefault="00B178CD" w:rsidP="00F22F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5">
    <w:p w:rsidR="00B178CD" w:rsidRDefault="00B178CD" w:rsidP="00F22FBB">
      <w:pPr>
        <w:pStyle w:val="Textonotapie"/>
        <w:jc w:val="both"/>
      </w:pPr>
      <w:r>
        <w:rPr>
          <w:rStyle w:val="Refdenotaalpie"/>
        </w:rPr>
        <w:footnoteRef/>
      </w:r>
      <w:r>
        <w:t xml:space="preserve"> Artículo 3. Para los efectos de la presente Ley se entenderá por:</w:t>
      </w:r>
    </w:p>
    <w:p w:rsidR="00B178CD" w:rsidRDefault="00B178CD" w:rsidP="00F22FBB">
      <w:pPr>
        <w:pStyle w:val="Textonotapie"/>
        <w:jc w:val="both"/>
      </w:pPr>
      <w:r>
        <w:t xml:space="preserve"> (…)</w:t>
      </w:r>
    </w:p>
    <w:p w:rsidR="00B178CD" w:rsidRDefault="00B178CD" w:rsidP="00F22F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40C" w:rsidRDefault="0011269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8CD" w:rsidRDefault="0011269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15pt;margin-top:-140pt;width:609.4pt;height:793.75pt;z-index:-251656192;mso-position-horizontal-relative:margin;mso-position-vertical-relative:margin" o:allowincell="f">
          <v:imagedata r:id="rId1" o:title="resolución"/>
          <w10:wrap anchorx="margin" anchory="margin"/>
        </v:shape>
      </w:pict>
    </w:r>
  </w:p>
  <w:p w:rsidR="00B178CD" w:rsidRDefault="00B178CD">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B178CD" w:rsidRPr="00EF13C1" w:rsidTr="00262B20">
      <w:trPr>
        <w:trHeight w:val="138"/>
      </w:trPr>
      <w:tc>
        <w:tcPr>
          <w:tcW w:w="2835" w:type="dxa"/>
          <w:vAlign w:val="center"/>
        </w:tcPr>
        <w:p w:rsidR="00B178CD" w:rsidRPr="00EF13C1" w:rsidRDefault="00B178CD"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B178CD" w:rsidRPr="00EF13C1" w:rsidRDefault="00B178CD" w:rsidP="0073789D">
          <w:pPr>
            <w:pStyle w:val="Encabezado"/>
            <w:rPr>
              <w:rFonts w:ascii="Palatino Linotype" w:hAnsi="Palatino Linotype"/>
              <w:b/>
              <w:sz w:val="22"/>
              <w:szCs w:val="22"/>
            </w:rPr>
          </w:pPr>
          <w:r>
            <w:rPr>
              <w:rFonts w:ascii="Palatino Linotype" w:hAnsi="Palatino Linotype" w:cs="Arial"/>
              <w:b/>
              <w:bCs/>
              <w:sz w:val="22"/>
              <w:szCs w:val="22"/>
              <w:lang w:eastAsia="es-MX"/>
            </w:rPr>
            <w:t>04278/INFOEM/AD/RR/2020</w:t>
          </w:r>
        </w:p>
      </w:tc>
    </w:tr>
    <w:tr w:rsidR="00B178CD" w:rsidRPr="00EF13C1" w:rsidTr="00262B20">
      <w:trPr>
        <w:trHeight w:val="321"/>
      </w:trPr>
      <w:tc>
        <w:tcPr>
          <w:tcW w:w="2835" w:type="dxa"/>
          <w:vAlign w:val="center"/>
        </w:tcPr>
        <w:p w:rsidR="00B178CD" w:rsidRPr="00EF13C1" w:rsidRDefault="00B178CD"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B178CD" w:rsidRPr="00EF13C1" w:rsidRDefault="00B178CD" w:rsidP="007946CF">
          <w:pPr>
            <w:pStyle w:val="Encabezado"/>
            <w:ind w:right="21"/>
            <w:rPr>
              <w:rFonts w:ascii="Palatino Linotype" w:hAnsi="Palatino Linotype"/>
              <w:b/>
              <w:sz w:val="22"/>
              <w:szCs w:val="22"/>
            </w:rPr>
          </w:pPr>
          <w:r>
            <w:rPr>
              <w:rFonts w:ascii="Palatino Linotype" w:hAnsi="Palatino Linotype"/>
              <w:b/>
              <w:sz w:val="22"/>
              <w:szCs w:val="22"/>
            </w:rPr>
            <w:t>Fiscalía General de justicia del Estado de México</w:t>
          </w:r>
        </w:p>
      </w:tc>
    </w:tr>
    <w:tr w:rsidR="00B178CD" w:rsidRPr="00EF13C1" w:rsidTr="00262B20">
      <w:trPr>
        <w:trHeight w:val="321"/>
      </w:trPr>
      <w:tc>
        <w:tcPr>
          <w:tcW w:w="2835" w:type="dxa"/>
          <w:vAlign w:val="center"/>
        </w:tcPr>
        <w:p w:rsidR="00B178CD" w:rsidRPr="00EF13C1" w:rsidRDefault="00B178CD"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B178CD" w:rsidRPr="00EF13C1" w:rsidRDefault="00B178CD"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178CD" w:rsidRDefault="00B178CD" w:rsidP="001A4C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8CD" w:rsidRDefault="0011269D" w:rsidP="001A4CD6">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178CD">
      <w:tab/>
    </w:r>
    <w:r w:rsidR="00B178CD">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B178CD" w:rsidRPr="00182113" w:rsidTr="00262B20">
      <w:trPr>
        <w:trHeight w:val="138"/>
      </w:trPr>
      <w:tc>
        <w:tcPr>
          <w:tcW w:w="2532" w:type="dxa"/>
          <w:vAlign w:val="center"/>
        </w:tcPr>
        <w:p w:rsidR="00B178CD" w:rsidRPr="00182113" w:rsidRDefault="00B178CD"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B178CD" w:rsidRPr="00182113" w:rsidRDefault="00B178CD" w:rsidP="001A4CD6">
          <w:pPr>
            <w:pStyle w:val="Encabezado"/>
            <w:jc w:val="center"/>
            <w:rPr>
              <w:rFonts w:ascii="Palatino Linotype" w:hAnsi="Palatino Linotype"/>
              <w:b/>
              <w:sz w:val="22"/>
              <w:szCs w:val="22"/>
            </w:rPr>
          </w:pPr>
        </w:p>
      </w:tc>
      <w:tc>
        <w:tcPr>
          <w:tcW w:w="3827" w:type="dxa"/>
          <w:vAlign w:val="center"/>
        </w:tcPr>
        <w:p w:rsidR="00B178CD" w:rsidRPr="0073789D" w:rsidRDefault="00B178CD" w:rsidP="0073789D">
          <w:pPr>
            <w:pStyle w:val="Encabezado"/>
            <w:rPr>
              <w:rFonts w:ascii="Palatino Linotype" w:hAnsi="Palatino Linotype" w:cs="Arial"/>
              <w:b/>
              <w:bCs/>
              <w:sz w:val="22"/>
              <w:lang w:eastAsia="es-MX"/>
            </w:rPr>
          </w:pPr>
          <w:r>
            <w:rPr>
              <w:rFonts w:ascii="Palatino Linotype" w:hAnsi="Palatino Linotype" w:cs="Arial"/>
              <w:b/>
              <w:bCs/>
              <w:sz w:val="22"/>
              <w:lang w:eastAsia="es-MX"/>
            </w:rPr>
            <w:t>04278/INFOEM/AD/RR/2020</w:t>
          </w:r>
        </w:p>
      </w:tc>
    </w:tr>
    <w:tr w:rsidR="00B178CD" w:rsidRPr="00182113" w:rsidTr="00262B20">
      <w:trPr>
        <w:trHeight w:val="227"/>
      </w:trPr>
      <w:tc>
        <w:tcPr>
          <w:tcW w:w="2532" w:type="dxa"/>
          <w:vAlign w:val="center"/>
        </w:tcPr>
        <w:p w:rsidR="00B178CD" w:rsidRPr="00182113" w:rsidRDefault="00B178CD"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B178CD" w:rsidRPr="00182113" w:rsidRDefault="00B178CD" w:rsidP="001A4CD6">
          <w:pPr>
            <w:pStyle w:val="Encabezado"/>
            <w:jc w:val="center"/>
            <w:rPr>
              <w:rFonts w:ascii="Palatino Linotype" w:hAnsi="Palatino Linotype"/>
              <w:b/>
              <w:sz w:val="22"/>
              <w:szCs w:val="22"/>
            </w:rPr>
          </w:pPr>
        </w:p>
      </w:tc>
      <w:tc>
        <w:tcPr>
          <w:tcW w:w="3827" w:type="dxa"/>
          <w:vAlign w:val="center"/>
        </w:tcPr>
        <w:p w:rsidR="00B178CD" w:rsidRPr="003734FA" w:rsidRDefault="003734FA" w:rsidP="00262B20">
          <w:pPr>
            <w:pStyle w:val="Encabezado"/>
            <w:tabs>
              <w:tab w:val="clear" w:pos="4252"/>
            </w:tabs>
            <w:ind w:right="-250"/>
            <w:rPr>
              <w:rFonts w:ascii="Palatino Linotype" w:hAnsi="Palatino Linotype"/>
              <w:b/>
              <w:sz w:val="22"/>
              <w:szCs w:val="22"/>
              <w:highlight w:val="black"/>
            </w:rPr>
          </w:pPr>
          <w:r w:rsidRPr="003734FA">
            <w:rPr>
              <w:rFonts w:ascii="Palatino Linotype" w:hAnsi="Palatino Linotype"/>
              <w:b/>
              <w:sz w:val="22"/>
              <w:szCs w:val="22"/>
              <w:highlight w:val="black"/>
            </w:rPr>
            <w:t>---------------------------------------</w:t>
          </w:r>
          <w:r w:rsidR="00B178CD" w:rsidRPr="003734FA">
            <w:rPr>
              <w:rFonts w:ascii="Palatino Linotype" w:hAnsi="Palatino Linotype"/>
              <w:b/>
              <w:sz w:val="22"/>
              <w:szCs w:val="22"/>
              <w:highlight w:val="black"/>
            </w:rPr>
            <w:t xml:space="preserve"> </w:t>
          </w:r>
        </w:p>
      </w:tc>
    </w:tr>
    <w:tr w:rsidR="00B178CD" w:rsidRPr="00182113" w:rsidTr="00262B20">
      <w:trPr>
        <w:trHeight w:val="232"/>
      </w:trPr>
      <w:tc>
        <w:tcPr>
          <w:tcW w:w="2532" w:type="dxa"/>
          <w:vAlign w:val="center"/>
        </w:tcPr>
        <w:p w:rsidR="00B178CD" w:rsidRPr="00182113" w:rsidRDefault="00B178CD"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B178CD" w:rsidRPr="00182113" w:rsidRDefault="00B178CD" w:rsidP="001A4CD6">
          <w:pPr>
            <w:pStyle w:val="Encabezado"/>
            <w:jc w:val="center"/>
            <w:rPr>
              <w:rFonts w:ascii="Palatino Linotype" w:hAnsi="Palatino Linotype"/>
              <w:b/>
              <w:sz w:val="22"/>
              <w:szCs w:val="22"/>
            </w:rPr>
          </w:pPr>
        </w:p>
      </w:tc>
      <w:tc>
        <w:tcPr>
          <w:tcW w:w="3827" w:type="dxa"/>
          <w:vAlign w:val="center"/>
        </w:tcPr>
        <w:p w:rsidR="00B178CD" w:rsidRPr="00182113" w:rsidRDefault="00B178CD" w:rsidP="007946CF">
          <w:pPr>
            <w:pStyle w:val="Encabezado"/>
            <w:rPr>
              <w:rFonts w:ascii="Palatino Linotype" w:hAnsi="Palatino Linotype"/>
              <w:b/>
              <w:sz w:val="22"/>
              <w:szCs w:val="22"/>
            </w:rPr>
          </w:pPr>
          <w:r>
            <w:rPr>
              <w:rFonts w:ascii="Palatino Linotype" w:hAnsi="Palatino Linotype"/>
              <w:b/>
              <w:sz w:val="22"/>
              <w:szCs w:val="22"/>
            </w:rPr>
            <w:t xml:space="preserve">Fiscalía General de Justifica del Estado de México </w:t>
          </w:r>
        </w:p>
      </w:tc>
    </w:tr>
    <w:tr w:rsidR="00B178CD" w:rsidRPr="00182113" w:rsidTr="00262B20">
      <w:trPr>
        <w:trHeight w:val="320"/>
      </w:trPr>
      <w:tc>
        <w:tcPr>
          <w:tcW w:w="2532" w:type="dxa"/>
          <w:vAlign w:val="center"/>
        </w:tcPr>
        <w:p w:rsidR="00B178CD" w:rsidRPr="00182113" w:rsidRDefault="00B178CD"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B178CD" w:rsidRPr="00182113" w:rsidRDefault="00B178CD" w:rsidP="001A4CD6">
          <w:pPr>
            <w:pStyle w:val="Encabezado"/>
            <w:jc w:val="center"/>
            <w:rPr>
              <w:rFonts w:ascii="Palatino Linotype" w:hAnsi="Palatino Linotype"/>
              <w:b/>
              <w:sz w:val="22"/>
              <w:szCs w:val="22"/>
            </w:rPr>
          </w:pPr>
        </w:p>
      </w:tc>
      <w:tc>
        <w:tcPr>
          <w:tcW w:w="3827" w:type="dxa"/>
          <w:vAlign w:val="center"/>
        </w:tcPr>
        <w:p w:rsidR="00B178CD" w:rsidRPr="00182113" w:rsidRDefault="00B178CD"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178CD" w:rsidRDefault="00B178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36CE2"/>
    <w:multiLevelType w:val="hybridMultilevel"/>
    <w:tmpl w:val="FB1622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CCA2B12"/>
    <w:multiLevelType w:val="hybridMultilevel"/>
    <w:tmpl w:val="1D440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317490"/>
    <w:multiLevelType w:val="hybridMultilevel"/>
    <w:tmpl w:val="B852CE18"/>
    <w:lvl w:ilvl="0" w:tplc="92BE0B36">
      <w:start w:val="1"/>
      <w:numFmt w:val="decimal"/>
      <w:lvlText w:val="%1."/>
      <w:lvlJc w:val="left"/>
      <w:pPr>
        <w:ind w:left="5464" w:hanging="360"/>
      </w:pPr>
      <w:rPr>
        <w:rFonts w:ascii="Palatino Linotype" w:hAnsi="Palatino Linotype" w:hint="default"/>
        <w:b/>
        <w:i w:val="0"/>
        <w:color w:val="auto"/>
        <w:sz w:val="24"/>
      </w:rPr>
    </w:lvl>
    <w:lvl w:ilvl="1" w:tplc="2E106282">
      <w:start w:val="1"/>
      <w:numFmt w:val="lowerLetter"/>
      <w:lvlText w:val="%2)"/>
      <w:lvlJc w:val="left"/>
      <w:pPr>
        <w:ind w:left="1800" w:hanging="720"/>
      </w:pPr>
      <w:rPr>
        <w:rFonts w:hint="default"/>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0071B6"/>
    <w:multiLevelType w:val="hybridMultilevel"/>
    <w:tmpl w:val="56A2FF12"/>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2B190D"/>
    <w:multiLevelType w:val="hybridMultilevel"/>
    <w:tmpl w:val="B16AD230"/>
    <w:lvl w:ilvl="0" w:tplc="29029D38">
      <w:start w:val="1"/>
      <w:numFmt w:val="decimal"/>
      <w:lvlText w:val="%1."/>
      <w:lvlJc w:val="left"/>
      <w:pPr>
        <w:ind w:left="72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5"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7"/>
  </w:num>
  <w:num w:numId="3">
    <w:abstractNumId w:val="23"/>
  </w:num>
  <w:num w:numId="4">
    <w:abstractNumId w:val="14"/>
  </w:num>
  <w:num w:numId="5">
    <w:abstractNumId w:val="2"/>
  </w:num>
  <w:num w:numId="6">
    <w:abstractNumId w:val="3"/>
  </w:num>
  <w:num w:numId="7">
    <w:abstractNumId w:val="7"/>
  </w:num>
  <w:num w:numId="8">
    <w:abstractNumId w:val="33"/>
  </w:num>
  <w:num w:numId="9">
    <w:abstractNumId w:val="17"/>
  </w:num>
  <w:num w:numId="10">
    <w:abstractNumId w:val="18"/>
  </w:num>
  <w:num w:numId="11">
    <w:abstractNumId w:val="21"/>
  </w:num>
  <w:num w:numId="12">
    <w:abstractNumId w:val="9"/>
  </w:num>
  <w:num w:numId="13">
    <w:abstractNumId w:val="34"/>
  </w:num>
  <w:num w:numId="14">
    <w:abstractNumId w:val="15"/>
  </w:num>
  <w:num w:numId="15">
    <w:abstractNumId w:val="11"/>
  </w:num>
  <w:num w:numId="16">
    <w:abstractNumId w:val="6"/>
  </w:num>
  <w:num w:numId="17">
    <w:abstractNumId w:val="20"/>
  </w:num>
  <w:num w:numId="18">
    <w:abstractNumId w:val="22"/>
  </w:num>
  <w:num w:numId="19">
    <w:abstractNumId w:val="19"/>
  </w:num>
  <w:num w:numId="20">
    <w:abstractNumId w:val="35"/>
  </w:num>
  <w:num w:numId="21">
    <w:abstractNumId w:val="32"/>
  </w:num>
  <w:num w:numId="22">
    <w:abstractNumId w:val="10"/>
  </w:num>
  <w:num w:numId="23">
    <w:abstractNumId w:val="31"/>
  </w:num>
  <w:num w:numId="24">
    <w:abstractNumId w:val="12"/>
  </w:num>
  <w:num w:numId="25">
    <w:abstractNumId w:val="29"/>
  </w:num>
  <w:num w:numId="26">
    <w:abstractNumId w:val="25"/>
  </w:num>
  <w:num w:numId="27">
    <w:abstractNumId w:val="27"/>
  </w:num>
  <w:num w:numId="28">
    <w:abstractNumId w:val="28"/>
  </w:num>
  <w:num w:numId="29">
    <w:abstractNumId w:val="24"/>
  </w:num>
  <w:num w:numId="30">
    <w:abstractNumId w:val="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0"/>
  </w:num>
  <w:num w:numId="34">
    <w:abstractNumId w:val="13"/>
  </w:num>
  <w:num w:numId="35">
    <w:abstractNumId w:val="4"/>
  </w:num>
  <w:num w:numId="36">
    <w:abstractNumId w:val="2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A0"/>
    <w:rsid w:val="0000547D"/>
    <w:rsid w:val="00006232"/>
    <w:rsid w:val="00006DFE"/>
    <w:rsid w:val="000134A1"/>
    <w:rsid w:val="00015D3B"/>
    <w:rsid w:val="00016768"/>
    <w:rsid w:val="00030E8B"/>
    <w:rsid w:val="00031242"/>
    <w:rsid w:val="000328BD"/>
    <w:rsid w:val="00032BD5"/>
    <w:rsid w:val="00032F2E"/>
    <w:rsid w:val="000342A6"/>
    <w:rsid w:val="00035DCC"/>
    <w:rsid w:val="000365FB"/>
    <w:rsid w:val="000415A8"/>
    <w:rsid w:val="00057777"/>
    <w:rsid w:val="00060C7E"/>
    <w:rsid w:val="00061470"/>
    <w:rsid w:val="00065257"/>
    <w:rsid w:val="00087EFD"/>
    <w:rsid w:val="00093440"/>
    <w:rsid w:val="00096913"/>
    <w:rsid w:val="000A333C"/>
    <w:rsid w:val="000B0798"/>
    <w:rsid w:val="000B55FB"/>
    <w:rsid w:val="000D029A"/>
    <w:rsid w:val="000D4292"/>
    <w:rsid w:val="000D696D"/>
    <w:rsid w:val="000E14D4"/>
    <w:rsid w:val="000E1EF5"/>
    <w:rsid w:val="000E2158"/>
    <w:rsid w:val="000E2E37"/>
    <w:rsid w:val="000E68DC"/>
    <w:rsid w:val="000F0A44"/>
    <w:rsid w:val="000F4181"/>
    <w:rsid w:val="001052C0"/>
    <w:rsid w:val="00105BF6"/>
    <w:rsid w:val="00110244"/>
    <w:rsid w:val="0011269D"/>
    <w:rsid w:val="00112CE8"/>
    <w:rsid w:val="001248C0"/>
    <w:rsid w:val="00124DD2"/>
    <w:rsid w:val="00130074"/>
    <w:rsid w:val="00134074"/>
    <w:rsid w:val="00134368"/>
    <w:rsid w:val="001367B5"/>
    <w:rsid w:val="001501C7"/>
    <w:rsid w:val="00155F00"/>
    <w:rsid w:val="001570F2"/>
    <w:rsid w:val="001631F8"/>
    <w:rsid w:val="00163BA3"/>
    <w:rsid w:val="001649AD"/>
    <w:rsid w:val="00165050"/>
    <w:rsid w:val="0017271A"/>
    <w:rsid w:val="00175451"/>
    <w:rsid w:val="0018283F"/>
    <w:rsid w:val="001900FE"/>
    <w:rsid w:val="001A2852"/>
    <w:rsid w:val="001A4CD6"/>
    <w:rsid w:val="001B413D"/>
    <w:rsid w:val="001B4306"/>
    <w:rsid w:val="001B537C"/>
    <w:rsid w:val="001D306D"/>
    <w:rsid w:val="001D5FBE"/>
    <w:rsid w:val="001D6F0D"/>
    <w:rsid w:val="001E43E4"/>
    <w:rsid w:val="001E4669"/>
    <w:rsid w:val="001F3FE7"/>
    <w:rsid w:val="001F499B"/>
    <w:rsid w:val="00205D1F"/>
    <w:rsid w:val="00211CCB"/>
    <w:rsid w:val="00213898"/>
    <w:rsid w:val="0021402D"/>
    <w:rsid w:val="00214E34"/>
    <w:rsid w:val="00220341"/>
    <w:rsid w:val="00225B1D"/>
    <w:rsid w:val="002301C8"/>
    <w:rsid w:val="002406C0"/>
    <w:rsid w:val="00240C2F"/>
    <w:rsid w:val="00242193"/>
    <w:rsid w:val="00244110"/>
    <w:rsid w:val="00245D49"/>
    <w:rsid w:val="0024667A"/>
    <w:rsid w:val="00247376"/>
    <w:rsid w:val="002572AE"/>
    <w:rsid w:val="002612E8"/>
    <w:rsid w:val="00261B54"/>
    <w:rsid w:val="00262B20"/>
    <w:rsid w:val="00277C08"/>
    <w:rsid w:val="00277D13"/>
    <w:rsid w:val="00284CD9"/>
    <w:rsid w:val="00292BCC"/>
    <w:rsid w:val="002A00B1"/>
    <w:rsid w:val="002A1055"/>
    <w:rsid w:val="002B3AE8"/>
    <w:rsid w:val="002B4574"/>
    <w:rsid w:val="002C0E4B"/>
    <w:rsid w:val="002C37C0"/>
    <w:rsid w:val="002C4B4C"/>
    <w:rsid w:val="002D1192"/>
    <w:rsid w:val="002D278B"/>
    <w:rsid w:val="002E362D"/>
    <w:rsid w:val="002E3CBE"/>
    <w:rsid w:val="002E6484"/>
    <w:rsid w:val="002F5CDE"/>
    <w:rsid w:val="00304E51"/>
    <w:rsid w:val="0030660D"/>
    <w:rsid w:val="00313EC3"/>
    <w:rsid w:val="00321228"/>
    <w:rsid w:val="00337251"/>
    <w:rsid w:val="00337DE6"/>
    <w:rsid w:val="00340AD2"/>
    <w:rsid w:val="00341755"/>
    <w:rsid w:val="003425A6"/>
    <w:rsid w:val="00356FFB"/>
    <w:rsid w:val="003734FA"/>
    <w:rsid w:val="00377E5B"/>
    <w:rsid w:val="00383EB3"/>
    <w:rsid w:val="00390C2D"/>
    <w:rsid w:val="00397509"/>
    <w:rsid w:val="003A232D"/>
    <w:rsid w:val="003A3292"/>
    <w:rsid w:val="003A6589"/>
    <w:rsid w:val="003B5933"/>
    <w:rsid w:val="003C71AF"/>
    <w:rsid w:val="003D0081"/>
    <w:rsid w:val="003D454E"/>
    <w:rsid w:val="003D50AD"/>
    <w:rsid w:val="003D525D"/>
    <w:rsid w:val="003D6A00"/>
    <w:rsid w:val="003D6EA6"/>
    <w:rsid w:val="003E56C5"/>
    <w:rsid w:val="003F40A7"/>
    <w:rsid w:val="003F609D"/>
    <w:rsid w:val="003F61D7"/>
    <w:rsid w:val="004017FC"/>
    <w:rsid w:val="00414324"/>
    <w:rsid w:val="00414C5B"/>
    <w:rsid w:val="004166B2"/>
    <w:rsid w:val="004229E6"/>
    <w:rsid w:val="00423161"/>
    <w:rsid w:val="0043098B"/>
    <w:rsid w:val="00432188"/>
    <w:rsid w:val="004322D0"/>
    <w:rsid w:val="00433076"/>
    <w:rsid w:val="00441401"/>
    <w:rsid w:val="00451617"/>
    <w:rsid w:val="00460BCD"/>
    <w:rsid w:val="004618F0"/>
    <w:rsid w:val="00464FF4"/>
    <w:rsid w:val="00492F73"/>
    <w:rsid w:val="004A0E30"/>
    <w:rsid w:val="004A3547"/>
    <w:rsid w:val="004A3BF4"/>
    <w:rsid w:val="004A52B6"/>
    <w:rsid w:val="004B1EA0"/>
    <w:rsid w:val="004B60C9"/>
    <w:rsid w:val="004C0DA1"/>
    <w:rsid w:val="004C5004"/>
    <w:rsid w:val="004E6F73"/>
    <w:rsid w:val="004F27AC"/>
    <w:rsid w:val="004F44D4"/>
    <w:rsid w:val="00500DD3"/>
    <w:rsid w:val="00506433"/>
    <w:rsid w:val="0050688E"/>
    <w:rsid w:val="005143E6"/>
    <w:rsid w:val="00515B86"/>
    <w:rsid w:val="0051758D"/>
    <w:rsid w:val="0052144D"/>
    <w:rsid w:val="005260B7"/>
    <w:rsid w:val="00531380"/>
    <w:rsid w:val="0053340C"/>
    <w:rsid w:val="00537EB4"/>
    <w:rsid w:val="0054193B"/>
    <w:rsid w:val="00545A9F"/>
    <w:rsid w:val="00555E8F"/>
    <w:rsid w:val="00556554"/>
    <w:rsid w:val="00557FCA"/>
    <w:rsid w:val="00563D8D"/>
    <w:rsid w:val="0057083E"/>
    <w:rsid w:val="00570E89"/>
    <w:rsid w:val="00571AD4"/>
    <w:rsid w:val="005725E9"/>
    <w:rsid w:val="00572838"/>
    <w:rsid w:val="00574F1F"/>
    <w:rsid w:val="00576BA5"/>
    <w:rsid w:val="00591A27"/>
    <w:rsid w:val="005921E9"/>
    <w:rsid w:val="005957BA"/>
    <w:rsid w:val="005A1F06"/>
    <w:rsid w:val="005B1758"/>
    <w:rsid w:val="005C3739"/>
    <w:rsid w:val="005C7B5E"/>
    <w:rsid w:val="005D1981"/>
    <w:rsid w:val="005D3E69"/>
    <w:rsid w:val="005D791C"/>
    <w:rsid w:val="005E0AF0"/>
    <w:rsid w:val="006041B2"/>
    <w:rsid w:val="006057F0"/>
    <w:rsid w:val="0060674E"/>
    <w:rsid w:val="00606A49"/>
    <w:rsid w:val="00614478"/>
    <w:rsid w:val="006228CD"/>
    <w:rsid w:val="00624357"/>
    <w:rsid w:val="006255DB"/>
    <w:rsid w:val="00642B78"/>
    <w:rsid w:val="00642CED"/>
    <w:rsid w:val="00645492"/>
    <w:rsid w:val="00657293"/>
    <w:rsid w:val="00663F49"/>
    <w:rsid w:val="00664309"/>
    <w:rsid w:val="00664711"/>
    <w:rsid w:val="0066549D"/>
    <w:rsid w:val="006675B4"/>
    <w:rsid w:val="00671CE4"/>
    <w:rsid w:val="006728A5"/>
    <w:rsid w:val="00694D7C"/>
    <w:rsid w:val="0069522F"/>
    <w:rsid w:val="00695A9A"/>
    <w:rsid w:val="006D0FE4"/>
    <w:rsid w:val="006D319D"/>
    <w:rsid w:val="006D4306"/>
    <w:rsid w:val="006E51FB"/>
    <w:rsid w:val="006E5427"/>
    <w:rsid w:val="006E5EF0"/>
    <w:rsid w:val="006F7BB6"/>
    <w:rsid w:val="0070173D"/>
    <w:rsid w:val="007034F5"/>
    <w:rsid w:val="00733D32"/>
    <w:rsid w:val="0073789D"/>
    <w:rsid w:val="00742EAC"/>
    <w:rsid w:val="0074418E"/>
    <w:rsid w:val="00745ED5"/>
    <w:rsid w:val="007464D0"/>
    <w:rsid w:val="007557A7"/>
    <w:rsid w:val="00757024"/>
    <w:rsid w:val="0076038C"/>
    <w:rsid w:val="007609C8"/>
    <w:rsid w:val="00763406"/>
    <w:rsid w:val="00763C28"/>
    <w:rsid w:val="007663E4"/>
    <w:rsid w:val="0077177C"/>
    <w:rsid w:val="00771B05"/>
    <w:rsid w:val="007744EC"/>
    <w:rsid w:val="00780382"/>
    <w:rsid w:val="00782400"/>
    <w:rsid w:val="00782BB1"/>
    <w:rsid w:val="007946CF"/>
    <w:rsid w:val="00795AA6"/>
    <w:rsid w:val="00797733"/>
    <w:rsid w:val="007A005B"/>
    <w:rsid w:val="007A6825"/>
    <w:rsid w:val="007A7BA0"/>
    <w:rsid w:val="007B19CF"/>
    <w:rsid w:val="007C2130"/>
    <w:rsid w:val="007C588E"/>
    <w:rsid w:val="007D02B4"/>
    <w:rsid w:val="007D0561"/>
    <w:rsid w:val="007D5F26"/>
    <w:rsid w:val="007E6224"/>
    <w:rsid w:val="007F483B"/>
    <w:rsid w:val="007F4F56"/>
    <w:rsid w:val="0081011B"/>
    <w:rsid w:val="00831505"/>
    <w:rsid w:val="008355F1"/>
    <w:rsid w:val="00846CEB"/>
    <w:rsid w:val="00850718"/>
    <w:rsid w:val="00852925"/>
    <w:rsid w:val="00854EE8"/>
    <w:rsid w:val="00855BBD"/>
    <w:rsid w:val="008614EA"/>
    <w:rsid w:val="008626A8"/>
    <w:rsid w:val="00870842"/>
    <w:rsid w:val="0089433D"/>
    <w:rsid w:val="00894D37"/>
    <w:rsid w:val="008A3F19"/>
    <w:rsid w:val="008A55A4"/>
    <w:rsid w:val="008C153E"/>
    <w:rsid w:val="008C1593"/>
    <w:rsid w:val="008C15B3"/>
    <w:rsid w:val="008C185F"/>
    <w:rsid w:val="008C35D2"/>
    <w:rsid w:val="008C54C1"/>
    <w:rsid w:val="008C7782"/>
    <w:rsid w:val="008D53C3"/>
    <w:rsid w:val="008E3975"/>
    <w:rsid w:val="008F23B8"/>
    <w:rsid w:val="0090423C"/>
    <w:rsid w:val="009157BC"/>
    <w:rsid w:val="00921A27"/>
    <w:rsid w:val="00925AAD"/>
    <w:rsid w:val="00925D51"/>
    <w:rsid w:val="0093070D"/>
    <w:rsid w:val="00930C07"/>
    <w:rsid w:val="00933BFC"/>
    <w:rsid w:val="0093578E"/>
    <w:rsid w:val="009416C6"/>
    <w:rsid w:val="00951021"/>
    <w:rsid w:val="00966FDA"/>
    <w:rsid w:val="00971996"/>
    <w:rsid w:val="009754EF"/>
    <w:rsid w:val="00984C06"/>
    <w:rsid w:val="00995175"/>
    <w:rsid w:val="009B160F"/>
    <w:rsid w:val="009B4FC2"/>
    <w:rsid w:val="009C36E7"/>
    <w:rsid w:val="009C43C2"/>
    <w:rsid w:val="009C5323"/>
    <w:rsid w:val="009D2081"/>
    <w:rsid w:val="009E2C36"/>
    <w:rsid w:val="009E411C"/>
    <w:rsid w:val="009F1C21"/>
    <w:rsid w:val="009F6DA7"/>
    <w:rsid w:val="00A06BC9"/>
    <w:rsid w:val="00A12BB4"/>
    <w:rsid w:val="00A137B4"/>
    <w:rsid w:val="00A3158D"/>
    <w:rsid w:val="00A3714E"/>
    <w:rsid w:val="00A40DC7"/>
    <w:rsid w:val="00A46B18"/>
    <w:rsid w:val="00A4775A"/>
    <w:rsid w:val="00A478C7"/>
    <w:rsid w:val="00A55BA0"/>
    <w:rsid w:val="00A66C2E"/>
    <w:rsid w:val="00A7335F"/>
    <w:rsid w:val="00A76C3B"/>
    <w:rsid w:val="00A777F4"/>
    <w:rsid w:val="00A826A4"/>
    <w:rsid w:val="00A859DE"/>
    <w:rsid w:val="00A91238"/>
    <w:rsid w:val="00AA47F8"/>
    <w:rsid w:val="00AC5F1B"/>
    <w:rsid w:val="00AC71D5"/>
    <w:rsid w:val="00AD2920"/>
    <w:rsid w:val="00AD2B94"/>
    <w:rsid w:val="00AD79E7"/>
    <w:rsid w:val="00AF625F"/>
    <w:rsid w:val="00B05E35"/>
    <w:rsid w:val="00B10CAF"/>
    <w:rsid w:val="00B12AE4"/>
    <w:rsid w:val="00B16B7C"/>
    <w:rsid w:val="00B178CD"/>
    <w:rsid w:val="00B22768"/>
    <w:rsid w:val="00B2558C"/>
    <w:rsid w:val="00B35EBF"/>
    <w:rsid w:val="00B448B8"/>
    <w:rsid w:val="00B549FD"/>
    <w:rsid w:val="00B57829"/>
    <w:rsid w:val="00B74FFD"/>
    <w:rsid w:val="00B819AE"/>
    <w:rsid w:val="00B81B32"/>
    <w:rsid w:val="00B9019F"/>
    <w:rsid w:val="00B9306B"/>
    <w:rsid w:val="00B96B07"/>
    <w:rsid w:val="00B97052"/>
    <w:rsid w:val="00BA15D4"/>
    <w:rsid w:val="00BA31EB"/>
    <w:rsid w:val="00BA5158"/>
    <w:rsid w:val="00BB0779"/>
    <w:rsid w:val="00BB2529"/>
    <w:rsid w:val="00BC26F1"/>
    <w:rsid w:val="00BC54E8"/>
    <w:rsid w:val="00BC7157"/>
    <w:rsid w:val="00BD40C4"/>
    <w:rsid w:val="00BD6F10"/>
    <w:rsid w:val="00BE1A6D"/>
    <w:rsid w:val="00BE2CBC"/>
    <w:rsid w:val="00BF7E3A"/>
    <w:rsid w:val="00C028D5"/>
    <w:rsid w:val="00C03398"/>
    <w:rsid w:val="00C04C51"/>
    <w:rsid w:val="00C04CD2"/>
    <w:rsid w:val="00C05007"/>
    <w:rsid w:val="00C11DF7"/>
    <w:rsid w:val="00C256D4"/>
    <w:rsid w:val="00C32B19"/>
    <w:rsid w:val="00C36B98"/>
    <w:rsid w:val="00C36F77"/>
    <w:rsid w:val="00C52B0C"/>
    <w:rsid w:val="00C567E1"/>
    <w:rsid w:val="00C64C18"/>
    <w:rsid w:val="00C73AB8"/>
    <w:rsid w:val="00C75B8F"/>
    <w:rsid w:val="00C83B83"/>
    <w:rsid w:val="00C86A73"/>
    <w:rsid w:val="00C8714B"/>
    <w:rsid w:val="00C87D41"/>
    <w:rsid w:val="00C92950"/>
    <w:rsid w:val="00CA2E89"/>
    <w:rsid w:val="00CA3B1A"/>
    <w:rsid w:val="00CA544A"/>
    <w:rsid w:val="00CC54B0"/>
    <w:rsid w:val="00CE0A58"/>
    <w:rsid w:val="00CE1616"/>
    <w:rsid w:val="00CE3BFC"/>
    <w:rsid w:val="00CE3C45"/>
    <w:rsid w:val="00CF3989"/>
    <w:rsid w:val="00CF7940"/>
    <w:rsid w:val="00D004ED"/>
    <w:rsid w:val="00D16727"/>
    <w:rsid w:val="00D22DFF"/>
    <w:rsid w:val="00D26A5E"/>
    <w:rsid w:val="00D369A5"/>
    <w:rsid w:val="00D374D2"/>
    <w:rsid w:val="00D44AE0"/>
    <w:rsid w:val="00D47A5B"/>
    <w:rsid w:val="00D50B61"/>
    <w:rsid w:val="00D53C1F"/>
    <w:rsid w:val="00D61154"/>
    <w:rsid w:val="00D76150"/>
    <w:rsid w:val="00D82CE9"/>
    <w:rsid w:val="00D92653"/>
    <w:rsid w:val="00D93E60"/>
    <w:rsid w:val="00DA52F4"/>
    <w:rsid w:val="00DD1A00"/>
    <w:rsid w:val="00DE216C"/>
    <w:rsid w:val="00DE7FE8"/>
    <w:rsid w:val="00DF7495"/>
    <w:rsid w:val="00DF7C29"/>
    <w:rsid w:val="00E07D06"/>
    <w:rsid w:val="00E30553"/>
    <w:rsid w:val="00E33163"/>
    <w:rsid w:val="00E40A30"/>
    <w:rsid w:val="00E4684D"/>
    <w:rsid w:val="00E507DF"/>
    <w:rsid w:val="00E50C1A"/>
    <w:rsid w:val="00E51B74"/>
    <w:rsid w:val="00E53D8F"/>
    <w:rsid w:val="00E5521B"/>
    <w:rsid w:val="00E55DA2"/>
    <w:rsid w:val="00E56784"/>
    <w:rsid w:val="00E67006"/>
    <w:rsid w:val="00E72CA5"/>
    <w:rsid w:val="00E76F13"/>
    <w:rsid w:val="00E826C8"/>
    <w:rsid w:val="00EA0917"/>
    <w:rsid w:val="00EA65D1"/>
    <w:rsid w:val="00EC1084"/>
    <w:rsid w:val="00EC140B"/>
    <w:rsid w:val="00EC2375"/>
    <w:rsid w:val="00EC74E4"/>
    <w:rsid w:val="00ED1D6D"/>
    <w:rsid w:val="00ED56BC"/>
    <w:rsid w:val="00EE1F37"/>
    <w:rsid w:val="00EF12E0"/>
    <w:rsid w:val="00EF1613"/>
    <w:rsid w:val="00F004B1"/>
    <w:rsid w:val="00F00D89"/>
    <w:rsid w:val="00F03A8E"/>
    <w:rsid w:val="00F06C8F"/>
    <w:rsid w:val="00F148D6"/>
    <w:rsid w:val="00F16490"/>
    <w:rsid w:val="00F2194B"/>
    <w:rsid w:val="00F21D21"/>
    <w:rsid w:val="00F22FBB"/>
    <w:rsid w:val="00F25F3C"/>
    <w:rsid w:val="00F3211E"/>
    <w:rsid w:val="00F37D52"/>
    <w:rsid w:val="00F44A85"/>
    <w:rsid w:val="00F46CEB"/>
    <w:rsid w:val="00F54483"/>
    <w:rsid w:val="00F56F46"/>
    <w:rsid w:val="00F5714C"/>
    <w:rsid w:val="00F60843"/>
    <w:rsid w:val="00F60D68"/>
    <w:rsid w:val="00F61439"/>
    <w:rsid w:val="00F7379A"/>
    <w:rsid w:val="00F747FF"/>
    <w:rsid w:val="00F833B3"/>
    <w:rsid w:val="00F86D0F"/>
    <w:rsid w:val="00F9687E"/>
    <w:rsid w:val="00F9694B"/>
    <w:rsid w:val="00F97E34"/>
    <w:rsid w:val="00FA0EEA"/>
    <w:rsid w:val="00FA6E9B"/>
    <w:rsid w:val="00FA7F06"/>
    <w:rsid w:val="00FC702D"/>
    <w:rsid w:val="00FD0A82"/>
    <w:rsid w:val="00FD4BB0"/>
    <w:rsid w:val="00FD7733"/>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NormalWeb">
    <w:name w:val="Normal (Web)"/>
    <w:basedOn w:val="Normal"/>
    <w:uiPriority w:val="99"/>
    <w:semiHidden/>
    <w:unhideWhenUsed/>
    <w:rsid w:val="008614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170023567">
      <w:bodyDiv w:val="1"/>
      <w:marLeft w:val="0"/>
      <w:marRight w:val="0"/>
      <w:marTop w:val="0"/>
      <w:marBottom w:val="0"/>
      <w:divBdr>
        <w:top w:val="none" w:sz="0" w:space="0" w:color="auto"/>
        <w:left w:val="none" w:sz="0" w:space="0" w:color="auto"/>
        <w:bottom w:val="none" w:sz="0" w:space="0" w:color="auto"/>
        <w:right w:val="none" w:sz="0" w:space="0" w:color="auto"/>
      </w:divBdr>
    </w:div>
    <w:div w:id="373194129">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230921654">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671785253">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47749044">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1_1509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A876C-2E61-40F0-A44C-F2384487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43</Pages>
  <Words>8664</Words>
  <Characters>47655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 Verónica Mtz</cp:lastModifiedBy>
  <cp:revision>7</cp:revision>
  <dcterms:created xsi:type="dcterms:W3CDTF">2021-01-07T02:06:00Z</dcterms:created>
  <dcterms:modified xsi:type="dcterms:W3CDTF">2021-02-12T18:31:00Z</dcterms:modified>
</cp:coreProperties>
</file>