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E7A" w:rsidRDefault="0032792E">
      <w:pPr>
        <w:spacing w:line="360" w:lineRule="auto"/>
        <w:jc w:val="both"/>
        <w:rPr>
          <w:rFonts w:ascii="Palatino Linotype" w:hAnsi="Palatino Linotype"/>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diecinueve de agosto de dos mil veinte.</w:t>
      </w:r>
    </w:p>
    <w:p w:rsidR="001F4E7A" w:rsidRDefault="001F4E7A">
      <w:pPr>
        <w:spacing w:line="360" w:lineRule="auto"/>
        <w:jc w:val="both"/>
        <w:rPr>
          <w:rFonts w:ascii="Palatino Linotype" w:hAnsi="Palatino Linotype"/>
        </w:rPr>
      </w:pPr>
    </w:p>
    <w:p w:rsidR="001F4E7A" w:rsidRDefault="0032792E">
      <w:pPr>
        <w:spacing w:line="360" w:lineRule="auto"/>
        <w:jc w:val="both"/>
        <w:rPr>
          <w:rFonts w:ascii="Palatino Linotype" w:hAnsi="Palatino Linotype"/>
          <w:b/>
        </w:rPr>
      </w:pPr>
      <w:r>
        <w:rPr>
          <w:rFonts w:ascii="Palatino Linotype" w:hAnsi="Palatino Linotype"/>
          <w:sz w:val="28"/>
        </w:rPr>
        <w:t xml:space="preserve">VISTO </w:t>
      </w:r>
      <w:r>
        <w:rPr>
          <w:rFonts w:ascii="Palatino Linotype" w:hAnsi="Palatino Linotype"/>
        </w:rPr>
        <w:t xml:space="preserve">el expediente formado con motivo del recurso de revisión </w:t>
      </w:r>
      <w:r>
        <w:rPr>
          <w:rFonts w:ascii="Palatino Linotype" w:hAnsi="Palatino Linotype"/>
          <w:b/>
        </w:rPr>
        <w:t>01112/INFOEM/IP/RR/2020</w:t>
      </w:r>
      <w:r>
        <w:rPr>
          <w:rFonts w:ascii="Palatino Linotype" w:hAnsi="Palatino Linotype"/>
        </w:rPr>
        <w:t xml:space="preserve">, promovido por </w:t>
      </w:r>
      <w:r w:rsidR="000A1E7B" w:rsidRPr="000A1E7B">
        <w:rPr>
          <w:rFonts w:ascii="Palatino Linotype" w:hAnsi="Palatino Linotype"/>
          <w:b/>
        </w:rPr>
        <w:t>Xxxxxxxx Xxxxxxxxx Xxxxxxxx</w:t>
      </w:r>
      <w:r>
        <w:rPr>
          <w:rFonts w:ascii="Palatino Linotype" w:hAnsi="Palatino Linotype"/>
        </w:rPr>
        <w:t xml:space="preserve">, en lo sucesivo </w:t>
      </w:r>
      <w:r>
        <w:rPr>
          <w:rFonts w:ascii="Palatino Linotype" w:hAnsi="Palatino Linotype"/>
          <w:b/>
        </w:rPr>
        <w:t>EL RECURRENTE,</w:t>
      </w:r>
      <w:r>
        <w:rPr>
          <w:rFonts w:ascii="Palatino Linotype" w:hAnsi="Palatino Linotype"/>
        </w:rPr>
        <w:t xml:space="preserve"> en contra de la respuesta emitida por la</w:t>
      </w:r>
      <w:r>
        <w:rPr>
          <w:rFonts w:ascii="Palatino Linotype" w:hAnsi="Palatino Linotype"/>
          <w:b/>
        </w:rPr>
        <w:t xml:space="preserve"> Secretaría de Seguridad</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que se expone: </w:t>
      </w:r>
    </w:p>
    <w:p w:rsidR="001F4E7A" w:rsidRDefault="001F4E7A">
      <w:pPr>
        <w:tabs>
          <w:tab w:val="left" w:pos="9072"/>
        </w:tabs>
        <w:spacing w:line="360" w:lineRule="auto"/>
        <w:jc w:val="both"/>
        <w:rPr>
          <w:rFonts w:ascii="Palatino Linotype" w:hAnsi="Palatino Linotype"/>
        </w:rPr>
      </w:pPr>
    </w:p>
    <w:p w:rsidR="001F4E7A" w:rsidRDefault="0032792E">
      <w:pPr>
        <w:spacing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1F4E7A" w:rsidRDefault="001F4E7A">
      <w:pPr>
        <w:spacing w:line="360" w:lineRule="auto"/>
        <w:jc w:val="center"/>
        <w:rPr>
          <w:rFonts w:ascii="Palatino Linotype" w:hAnsi="Palatino Linotype"/>
          <w:b/>
          <w:bCs/>
          <w:spacing w:val="60"/>
        </w:rPr>
      </w:pPr>
    </w:p>
    <w:p w:rsidR="001F4E7A" w:rsidRDefault="0032792E">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rPr>
        <w:t xml:space="preserve">En fecha veintidós de enero de dos mil veinte, </w:t>
      </w:r>
      <w:r>
        <w:rPr>
          <w:rFonts w:ascii="Palatino Linotype" w:hAnsi="Palatino Linotype"/>
          <w:b/>
        </w:rPr>
        <w:t>EL RECURRENTE</w:t>
      </w:r>
      <w:r>
        <w:rPr>
          <w:rFonts w:ascii="Palatino Linotype" w:hAnsi="Palatino Linotype"/>
        </w:rPr>
        <w:t xml:space="preserve"> presentó a través del Sistema de </w:t>
      </w:r>
      <w:r>
        <w:rPr>
          <w:rFonts w:ascii="Palatino Linotype" w:hAnsi="Palatino Linotype" w:cs="Arial"/>
        </w:rPr>
        <w:t>Acceso</w:t>
      </w:r>
      <w:r>
        <w:rPr>
          <w:rFonts w:ascii="Palatino Linotype" w:hAnsi="Palatino Linotype"/>
        </w:rPr>
        <w:t xml:space="preserve">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 solicitud de acceso a información pública, a la que se le asignó el número </w:t>
      </w:r>
      <w:r>
        <w:rPr>
          <w:rFonts w:ascii="Palatino Linotype" w:hAnsi="Palatino Linotype"/>
          <w:b/>
          <w:bCs/>
        </w:rPr>
        <w:t>00051/SSEM/IP/2020,</w:t>
      </w:r>
      <w:r>
        <w:rPr>
          <w:rFonts w:ascii="Palatino Linotype" w:hAnsi="Palatino Linotype"/>
        </w:rPr>
        <w:t xml:space="preserve"> mediante la cual solicitó, vía </w:t>
      </w:r>
      <w:r>
        <w:rPr>
          <w:rFonts w:ascii="Palatino Linotype" w:hAnsi="Palatino Linotype"/>
          <w:b/>
        </w:rPr>
        <w:t>SAIMEX</w:t>
      </w:r>
      <w:r>
        <w:rPr>
          <w:rFonts w:ascii="Palatino Linotype" w:hAnsi="Palatino Linotype"/>
        </w:rPr>
        <w:t xml:space="preserve">, lo </w:t>
      </w:r>
      <w:r>
        <w:rPr>
          <w:rFonts w:ascii="Palatino Linotype" w:hAnsi="Palatino Linotype" w:cs="Arial"/>
        </w:rPr>
        <w:t>siguiente</w:t>
      </w:r>
      <w:r>
        <w:rPr>
          <w:rFonts w:ascii="Palatino Linotype" w:hAnsi="Palatino Linotype"/>
        </w:rPr>
        <w:t>:</w:t>
      </w:r>
    </w:p>
    <w:p w:rsidR="001F4E7A" w:rsidRDefault="001F4E7A">
      <w:pPr>
        <w:pStyle w:val="Prrafodelista"/>
        <w:spacing w:line="360" w:lineRule="auto"/>
        <w:ind w:left="851" w:right="899"/>
        <w:jc w:val="both"/>
        <w:rPr>
          <w:rFonts w:ascii="Palatino Linotype" w:hAnsi="Palatino Linotype" w:cs="Arial"/>
          <w:i/>
        </w:rPr>
      </w:pPr>
    </w:p>
    <w:p w:rsidR="001F4E7A" w:rsidRDefault="0032792E">
      <w:pPr>
        <w:pStyle w:val="Prrafodelista"/>
        <w:ind w:left="709" w:right="757"/>
        <w:jc w:val="both"/>
        <w:rPr>
          <w:rFonts w:ascii="Palatino Linotype" w:hAnsi="Palatino Linotype" w:cs="Arial"/>
          <w:i/>
          <w:sz w:val="22"/>
        </w:rPr>
      </w:pPr>
      <w:r>
        <w:rPr>
          <w:rFonts w:ascii="Palatino Linotype" w:hAnsi="Palatino Linotype" w:cs="Arial"/>
          <w:i/>
          <w:sz w:val="22"/>
        </w:rPr>
        <w:t xml:space="preserve">“DESEPO CONOCER LA RELACIÓN DETALLADAS DE TODO EL PERSONAL FENEMINO QUE LABORA COMO OFICIAL DE TRANSÍTO, SUELDO BASE Y ROL DE TURNOS” </w:t>
      </w:r>
      <w:r>
        <w:rPr>
          <w:rFonts w:ascii="Palatino Linotype" w:hAnsi="Palatino Linotype"/>
          <w:sz w:val="22"/>
        </w:rPr>
        <w:t>(Sic)</w:t>
      </w:r>
    </w:p>
    <w:p w:rsidR="001F4E7A" w:rsidRDefault="001F4E7A">
      <w:pPr>
        <w:spacing w:line="360" w:lineRule="auto"/>
        <w:ind w:right="709"/>
        <w:jc w:val="both"/>
        <w:rPr>
          <w:rFonts w:ascii="Palatino Linotype" w:hAnsi="Palatino Linotype"/>
        </w:rPr>
      </w:pPr>
    </w:p>
    <w:p w:rsidR="001F4E7A" w:rsidRDefault="0032792E">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Del expediente electrónico del </w:t>
      </w:r>
      <w:r>
        <w:rPr>
          <w:rFonts w:ascii="Palatino Linotype" w:hAnsi="Palatino Linotype" w:cs="Arial"/>
          <w:b/>
        </w:rPr>
        <w:t>SAIMEX,</w:t>
      </w:r>
      <w:r>
        <w:rPr>
          <w:rFonts w:ascii="Palatino Linotype" w:hAnsi="Palatino Linotype" w:cs="Arial"/>
        </w:rPr>
        <w:t xml:space="preserve"> se advierte que en fecha doce de febrero de dos mil veinte, </w:t>
      </w:r>
      <w:r>
        <w:rPr>
          <w:rFonts w:ascii="Palatino Linotype" w:hAnsi="Palatino Linotype" w:cs="Arial"/>
          <w:b/>
        </w:rPr>
        <w:t>EL SUJETO OBLIGADO</w:t>
      </w:r>
      <w:r>
        <w:rPr>
          <w:rFonts w:ascii="Palatino Linotype" w:hAnsi="Palatino Linotype" w:cs="Arial"/>
        </w:rPr>
        <w:t xml:space="preserve"> a manera de respuesta a la </w:t>
      </w:r>
      <w:r>
        <w:rPr>
          <w:rFonts w:ascii="Palatino Linotype" w:hAnsi="Palatino Linotype" w:cs="Arial"/>
        </w:rPr>
        <w:lastRenderedPageBreak/>
        <w:t xml:space="preserve">solicitud de acceso a la información pública requerida por </w:t>
      </w:r>
      <w:r>
        <w:rPr>
          <w:rFonts w:ascii="Palatino Linotype" w:hAnsi="Palatino Linotype" w:cs="Arial"/>
          <w:b/>
        </w:rPr>
        <w:t>EL RECURRENTE</w:t>
      </w:r>
      <w:r>
        <w:rPr>
          <w:rFonts w:ascii="Palatino Linotype" w:hAnsi="Palatino Linotype" w:cs="Arial"/>
        </w:rPr>
        <w:t>, se pronunció en estos términos:</w:t>
      </w:r>
    </w:p>
    <w:p w:rsidR="001F4E7A" w:rsidRDefault="0032792E">
      <w:pPr>
        <w:pStyle w:val="Prrafodelista"/>
        <w:ind w:left="720" w:right="757"/>
        <w:jc w:val="right"/>
        <w:rPr>
          <w:rFonts w:ascii="Palatino Linotype" w:hAnsi="Palatino Linotype" w:cs="Arial"/>
          <w:i/>
          <w:sz w:val="22"/>
        </w:rPr>
      </w:pPr>
      <w:r>
        <w:rPr>
          <w:rFonts w:ascii="Palatino Linotype" w:hAnsi="Palatino Linotype" w:cs="Arial"/>
          <w:i/>
          <w:sz w:val="22"/>
        </w:rPr>
        <w:t>“Metepec, México a 12 de Febrero de 2020</w:t>
      </w:r>
    </w:p>
    <w:p w:rsidR="001F4E7A" w:rsidRDefault="0032792E">
      <w:pPr>
        <w:pStyle w:val="Prrafodelista"/>
        <w:ind w:left="720" w:right="757"/>
        <w:jc w:val="right"/>
        <w:rPr>
          <w:rFonts w:ascii="Palatino Linotype" w:hAnsi="Palatino Linotype" w:cs="Arial"/>
          <w:i/>
          <w:sz w:val="22"/>
        </w:rPr>
      </w:pPr>
      <w:r>
        <w:rPr>
          <w:rFonts w:ascii="Palatino Linotype" w:hAnsi="Palatino Linotype" w:cs="Arial"/>
          <w:i/>
          <w:sz w:val="22"/>
        </w:rPr>
        <w:t xml:space="preserve">Nombre del solicitante: </w:t>
      </w:r>
      <w:r w:rsidR="000A1E7B" w:rsidRPr="000A1E7B">
        <w:rPr>
          <w:rFonts w:ascii="Palatino Linotype" w:hAnsi="Palatino Linotype" w:cs="Arial"/>
          <w:i/>
          <w:sz w:val="22"/>
        </w:rPr>
        <w:t>Xxxxxxxx Xxxxxxxxx Xxxxxxxx</w:t>
      </w:r>
    </w:p>
    <w:p w:rsidR="001F4E7A" w:rsidRDefault="0032792E">
      <w:pPr>
        <w:pStyle w:val="Prrafodelista"/>
        <w:ind w:left="720" w:right="757"/>
        <w:jc w:val="right"/>
        <w:rPr>
          <w:rFonts w:ascii="Palatino Linotype" w:hAnsi="Palatino Linotype" w:cs="Arial"/>
          <w:i/>
          <w:sz w:val="22"/>
        </w:rPr>
      </w:pPr>
      <w:r>
        <w:rPr>
          <w:rFonts w:ascii="Palatino Linotype" w:hAnsi="Palatino Linotype" w:cs="Arial"/>
          <w:i/>
          <w:sz w:val="22"/>
        </w:rPr>
        <w:t>Folio de la solicitud: 00051/SSEM/IP/2020</w:t>
      </w:r>
    </w:p>
    <w:p w:rsidR="001F4E7A" w:rsidRDefault="001F4E7A">
      <w:pPr>
        <w:pStyle w:val="Prrafodelista"/>
        <w:ind w:left="720" w:right="757"/>
        <w:jc w:val="right"/>
        <w:rPr>
          <w:rFonts w:ascii="Palatino Linotype" w:hAnsi="Palatino Linotype" w:cs="Arial"/>
          <w:i/>
          <w:sz w:val="22"/>
        </w:rPr>
      </w:pPr>
    </w:p>
    <w:p w:rsidR="001F4E7A" w:rsidRDefault="0032792E">
      <w:pPr>
        <w:pStyle w:val="Prrafodelista"/>
        <w:ind w:left="720" w:right="757"/>
        <w:jc w:val="both"/>
        <w:rPr>
          <w:rFonts w:ascii="Palatino Linotype" w:hAnsi="Palatino Linotype" w:cs="Arial"/>
          <w:i/>
          <w:sz w:val="22"/>
        </w:rPr>
      </w:pPr>
      <w:r>
        <w:rPr>
          <w:rFonts w:ascii="Palatino Linotype" w:hAnsi="Palatino Linotype" w:cs="Arial"/>
          <w:i/>
          <w:sz w:val="22"/>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rsidR="001F4E7A" w:rsidRDefault="001F4E7A">
      <w:pPr>
        <w:pStyle w:val="Prrafodelista"/>
        <w:ind w:left="720" w:right="757"/>
        <w:jc w:val="both"/>
        <w:rPr>
          <w:rFonts w:ascii="Palatino Linotype" w:hAnsi="Palatino Linotype" w:cs="Arial"/>
          <w:i/>
          <w:sz w:val="22"/>
        </w:rPr>
      </w:pPr>
    </w:p>
    <w:p w:rsidR="001F4E7A" w:rsidRDefault="0032792E">
      <w:pPr>
        <w:pStyle w:val="Prrafodelista"/>
        <w:ind w:left="720" w:right="757"/>
        <w:rPr>
          <w:rFonts w:ascii="Palatino Linotype" w:hAnsi="Palatino Linotype" w:cs="Arial"/>
          <w:i/>
          <w:sz w:val="22"/>
        </w:rPr>
      </w:pPr>
      <w:r>
        <w:rPr>
          <w:rFonts w:ascii="Palatino Linotype" w:hAnsi="Palatino Linotype" w:cs="Arial"/>
          <w:i/>
          <w:sz w:val="22"/>
        </w:rPr>
        <w:t>ATENTAMENTE</w:t>
      </w:r>
    </w:p>
    <w:p w:rsidR="001F4E7A" w:rsidRDefault="0032792E">
      <w:pPr>
        <w:pStyle w:val="Prrafodelista"/>
        <w:ind w:left="720" w:right="757"/>
        <w:rPr>
          <w:rFonts w:ascii="Palatino Linotype" w:hAnsi="Palatino Linotype" w:cs="Arial"/>
          <w:i/>
          <w:sz w:val="22"/>
        </w:rPr>
      </w:pPr>
      <w:r>
        <w:rPr>
          <w:rFonts w:ascii="Palatino Linotype" w:hAnsi="Palatino Linotype" w:cs="Arial"/>
          <w:i/>
          <w:sz w:val="22"/>
        </w:rPr>
        <w:t>M. en D. Larissa León Arce”</w:t>
      </w:r>
    </w:p>
    <w:p w:rsidR="001F4E7A" w:rsidRDefault="001F4E7A">
      <w:pPr>
        <w:pStyle w:val="Prrafodelista"/>
        <w:spacing w:line="360" w:lineRule="auto"/>
        <w:ind w:left="0"/>
        <w:jc w:val="both"/>
        <w:rPr>
          <w:rFonts w:ascii="Palatino Linotype" w:hAnsi="Palatino Linotype" w:cs="Arial"/>
        </w:rPr>
      </w:pPr>
    </w:p>
    <w:p w:rsidR="001F4E7A" w:rsidRDefault="0032792E">
      <w:pPr>
        <w:pStyle w:val="Prrafodelista"/>
        <w:spacing w:line="360" w:lineRule="auto"/>
        <w:ind w:left="0"/>
        <w:jc w:val="both"/>
        <w:rPr>
          <w:rFonts w:ascii="Palatino Linotype" w:hAnsi="Palatino Linotype" w:cs="Arial"/>
        </w:rPr>
      </w:pPr>
      <w:r>
        <w:rPr>
          <w:rFonts w:ascii="Palatino Linotype" w:hAnsi="Palatino Linotype" w:cs="Arial"/>
        </w:rPr>
        <w:t xml:space="preserve">Adjunto a su respuesta, </w:t>
      </w:r>
      <w:r>
        <w:rPr>
          <w:rFonts w:ascii="Palatino Linotype" w:hAnsi="Palatino Linotype" w:cs="Arial"/>
          <w:b/>
        </w:rPr>
        <w:t xml:space="preserve">EL SUJETO OBLIGADO </w:t>
      </w:r>
      <w:r>
        <w:rPr>
          <w:rFonts w:ascii="Palatino Linotype" w:hAnsi="Palatino Linotype" w:cs="Arial"/>
        </w:rPr>
        <w:t xml:space="preserve">remitió el archivo electrónico denominado </w:t>
      </w:r>
      <w:r>
        <w:rPr>
          <w:rFonts w:ascii="Palatino Linotype" w:hAnsi="Palatino Linotype" w:cs="Arial"/>
          <w:b/>
        </w:rPr>
        <w:t xml:space="preserve">051 RESPUESTA.pdf, </w:t>
      </w:r>
      <w:r>
        <w:rPr>
          <w:rFonts w:ascii="Palatino Linotype" w:hAnsi="Palatino Linotype" w:cs="Arial"/>
        </w:rPr>
        <w:t xml:space="preserve">mediante el cual la Titular de la Unidad de Transparencia un escrito en el cual se informa de la cantidad de elementos que desempeñan funciones de tránsito, así como la categoría de dichos elementos, sin embargo respecto a los ingresos de éstos remitió la liga electrónica mediante la cual podría consultar el tabulador de sueldos que le resulta aplicable a los citados, adicional a ello se pronunció respecto al rol de turnos, mencionando que este obedece a las necesidades propias del servicio en términos de la normatividad aplicable. </w:t>
      </w:r>
    </w:p>
    <w:p w:rsidR="001F4E7A" w:rsidRDefault="001F4E7A">
      <w:pPr>
        <w:pStyle w:val="Prrafodelista"/>
        <w:spacing w:line="360" w:lineRule="auto"/>
        <w:ind w:left="0"/>
        <w:jc w:val="both"/>
        <w:rPr>
          <w:rFonts w:ascii="Palatino Linotype" w:hAnsi="Palatino Linotype" w:cs="Arial"/>
        </w:rPr>
      </w:pPr>
    </w:p>
    <w:p w:rsidR="001F4E7A" w:rsidRDefault="0032792E">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rPr>
        <w:t xml:space="preserve">Inconforme con la </w:t>
      </w:r>
      <w:r>
        <w:rPr>
          <w:rFonts w:ascii="Palatino Linotype" w:hAnsi="Palatino Linotype" w:cs="Arial"/>
        </w:rPr>
        <w:t xml:space="preserve">respuesta </w:t>
      </w:r>
      <w:r>
        <w:rPr>
          <w:rFonts w:ascii="Palatino Linotype" w:hAnsi="Palatino Linotype"/>
        </w:rPr>
        <w:t xml:space="preserve">del </w:t>
      </w:r>
      <w:r>
        <w:rPr>
          <w:rFonts w:ascii="Palatino Linotype" w:hAnsi="Palatino Linotype"/>
          <w:b/>
        </w:rPr>
        <w:t>SUJETO OBLIGADO</w:t>
      </w:r>
      <w:r>
        <w:rPr>
          <w:rFonts w:ascii="Palatino Linotype" w:hAnsi="Palatino Linotype"/>
        </w:rPr>
        <w:t xml:space="preserve">, el diecinueve de febrero de dos mil veinte, </w:t>
      </w:r>
      <w:r>
        <w:rPr>
          <w:rFonts w:ascii="Palatino Linotype" w:hAnsi="Palatino Linotype"/>
          <w:b/>
        </w:rPr>
        <w:t>EL RECURRENTE</w:t>
      </w:r>
      <w:r>
        <w:rPr>
          <w:rFonts w:ascii="Palatino Linotype" w:hAnsi="Palatino Linotype"/>
        </w:rPr>
        <w:t xml:space="preserve"> interpuso el recurso de revisión objeto del presente estudio, el cual fue registrado en </w:t>
      </w:r>
      <w:r>
        <w:rPr>
          <w:rFonts w:ascii="Palatino Linotype" w:hAnsi="Palatino Linotype"/>
          <w:b/>
        </w:rPr>
        <w:t>EL SAIMEX</w:t>
      </w:r>
      <w:r>
        <w:rPr>
          <w:rFonts w:ascii="Palatino Linotype" w:hAnsi="Palatino Linotype"/>
        </w:rPr>
        <w:t xml:space="preserve"> y se le asignó el número de </w:t>
      </w:r>
      <w:r>
        <w:rPr>
          <w:rFonts w:ascii="Palatino Linotype" w:hAnsi="Palatino Linotype"/>
        </w:rPr>
        <w:lastRenderedPageBreak/>
        <w:t>expediente</w:t>
      </w:r>
      <w:r>
        <w:rPr>
          <w:rFonts w:ascii="Palatino Linotype" w:hAnsi="Palatino Linotype" w:cs="Arial"/>
          <w:b/>
          <w:bCs/>
        </w:rPr>
        <w:t xml:space="preserve"> 01112/INFOEM/IP/RR/2020</w:t>
      </w:r>
      <w:r>
        <w:rPr>
          <w:rFonts w:ascii="Palatino Linotype" w:hAnsi="Palatino Linotype" w:cs="Arial"/>
        </w:rPr>
        <w:t>, en el que señaló como acto impugnado lo siguiente:</w:t>
      </w:r>
    </w:p>
    <w:p w:rsidR="001F4E7A" w:rsidRDefault="001F4E7A">
      <w:pPr>
        <w:pStyle w:val="Prrafodelista"/>
        <w:spacing w:line="360" w:lineRule="auto"/>
        <w:ind w:left="0"/>
        <w:jc w:val="both"/>
        <w:rPr>
          <w:rFonts w:ascii="Palatino Linotype" w:hAnsi="Palatino Linotype" w:cs="Arial"/>
        </w:rPr>
      </w:pPr>
    </w:p>
    <w:p w:rsidR="001F4E7A" w:rsidRDefault="0032792E">
      <w:pPr>
        <w:pStyle w:val="Prrafodelista"/>
        <w:spacing w:line="360" w:lineRule="auto"/>
        <w:ind w:left="709" w:right="757"/>
        <w:jc w:val="both"/>
        <w:rPr>
          <w:rFonts w:ascii="Palatino Linotype" w:hAnsi="Palatino Linotype"/>
          <w:i/>
          <w:color w:val="000000"/>
          <w:sz w:val="22"/>
        </w:rPr>
      </w:pPr>
      <w:r>
        <w:rPr>
          <w:rFonts w:ascii="Palatino Linotype" w:hAnsi="Palatino Linotype"/>
          <w:i/>
          <w:color w:val="000000"/>
          <w:sz w:val="22"/>
        </w:rPr>
        <w:t>“la respuesta del sujeto obligado”</w:t>
      </w:r>
    </w:p>
    <w:p w:rsidR="001F4E7A" w:rsidRDefault="001F4E7A">
      <w:pPr>
        <w:spacing w:line="360" w:lineRule="auto"/>
        <w:ind w:right="757"/>
        <w:jc w:val="both"/>
        <w:rPr>
          <w:rFonts w:ascii="Palatino Linotype" w:hAnsi="Palatino Linotype" w:cs="Arial"/>
          <w:spacing w:val="-6"/>
          <w:lang w:eastAsia="es-MX"/>
        </w:rPr>
      </w:pPr>
    </w:p>
    <w:p w:rsidR="001F4E7A" w:rsidRDefault="0032792E">
      <w:pPr>
        <w:spacing w:line="360" w:lineRule="auto"/>
        <w:ind w:right="757"/>
        <w:jc w:val="both"/>
        <w:rPr>
          <w:rFonts w:ascii="Palatino Linotype" w:hAnsi="Palatino Linotype" w:cs="Arial"/>
        </w:rPr>
      </w:pPr>
      <w:r>
        <w:rPr>
          <w:rFonts w:ascii="Palatino Linotype" w:hAnsi="Palatino Linotype" w:cs="Arial"/>
          <w:spacing w:val="-6"/>
          <w:lang w:eastAsia="es-MX"/>
        </w:rPr>
        <w:t xml:space="preserve">Asimismo, manifestó como </w:t>
      </w:r>
      <w:r>
        <w:rPr>
          <w:rFonts w:ascii="Palatino Linotype" w:hAnsi="Palatino Linotype" w:cs="Arial"/>
        </w:rPr>
        <w:t>razones o motivos de inconformidad:</w:t>
      </w:r>
    </w:p>
    <w:p w:rsidR="001F4E7A" w:rsidRDefault="001F4E7A">
      <w:pPr>
        <w:pStyle w:val="Prrafodelista"/>
        <w:spacing w:line="360" w:lineRule="auto"/>
        <w:ind w:left="709" w:right="757"/>
        <w:jc w:val="both"/>
        <w:rPr>
          <w:rFonts w:ascii="Palatino Linotype" w:hAnsi="Palatino Linotype" w:cs="Arial"/>
          <w:i/>
          <w:spacing w:val="-6"/>
          <w:sz w:val="22"/>
          <w:lang w:eastAsia="es-MX"/>
        </w:rPr>
      </w:pPr>
    </w:p>
    <w:p w:rsidR="001F4E7A" w:rsidRDefault="0032792E">
      <w:pPr>
        <w:pStyle w:val="Prrafodelista"/>
        <w:ind w:left="709" w:right="757"/>
        <w:jc w:val="both"/>
        <w:rPr>
          <w:rFonts w:ascii="Palatino Linotype" w:hAnsi="Palatino Linotype" w:cs="Arial"/>
          <w:i/>
          <w:sz w:val="22"/>
        </w:rPr>
      </w:pPr>
      <w:r>
        <w:rPr>
          <w:rFonts w:ascii="Palatino Linotype" w:hAnsi="Palatino Linotype" w:cs="Arial"/>
          <w:i/>
          <w:spacing w:val="-6"/>
          <w:sz w:val="22"/>
          <w:lang w:eastAsia="es-MX"/>
        </w:rPr>
        <w:t xml:space="preserve">“no se agotan los requerimientos de la solicitud , se proporciona informacion de forma estadistica y nolman los puntos requeridos” </w:t>
      </w:r>
    </w:p>
    <w:p w:rsidR="001F4E7A" w:rsidRDefault="001F4E7A">
      <w:pPr>
        <w:spacing w:line="360" w:lineRule="auto"/>
        <w:ind w:right="49"/>
        <w:rPr>
          <w:rFonts w:ascii="Palatino Linotype" w:hAnsi="Palatino Linotype" w:cs="Arial"/>
          <w:spacing w:val="-6"/>
          <w:lang w:eastAsia="es-MX"/>
        </w:rPr>
      </w:pPr>
    </w:p>
    <w:p w:rsidR="001F4E7A" w:rsidRDefault="0032792E">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El recurso de que se trata se envió electrónicamente al Instituto de </w:t>
      </w:r>
      <w:r>
        <w:rPr>
          <w:rFonts w:ascii="Palatino Linotype" w:eastAsia="Arial Unicode MS" w:hAnsi="Palatino Linotype" w:cs="Arial"/>
        </w:rPr>
        <w:t>Transparencia</w:t>
      </w:r>
      <w:r>
        <w:rPr>
          <w:rFonts w:ascii="Palatino Linotype" w:hAnsi="Palatino Linotype" w:cs="Arial"/>
        </w:rPr>
        <w:t xml:space="preserve">, Acceso a la Información Pública y Protección de Datos Personales del Estado de México y Municipios en fecha </w:t>
      </w:r>
      <w:r>
        <w:rPr>
          <w:rFonts w:ascii="Palatino Linotype" w:hAnsi="Palatino Linotype"/>
        </w:rPr>
        <w:t>diecinueve de febrero de dos mil veinte</w:t>
      </w:r>
      <w:r>
        <w:rPr>
          <w:rFonts w:ascii="Palatino Linotype" w:hAnsi="Palatino Linotype" w:cs="Arial"/>
        </w:rPr>
        <w:t xml:space="preserve"> y con fundamento en el artículo 185, fracción I de la </w:t>
      </w:r>
      <w:r>
        <w:rPr>
          <w:rFonts w:ascii="Palatino Linotype" w:hAnsi="Palatino Linotype"/>
        </w:rPr>
        <w:t>Ley de Transparencia y Acceso a la Información Pública del Estado de México y Municipios</w:t>
      </w:r>
      <w:r>
        <w:rPr>
          <w:rFonts w:ascii="Palatino Linotype" w:hAnsi="Palatino Linotype" w:cs="Arial"/>
        </w:rPr>
        <w:t>, se turnó, a través del</w:t>
      </w:r>
      <w:r>
        <w:rPr>
          <w:rFonts w:ascii="Palatino Linotype" w:eastAsia="Arial Unicode MS" w:hAnsi="Palatino Linotype" w:cs="Arial"/>
        </w:rPr>
        <w:t xml:space="preserve"> </w:t>
      </w:r>
      <w:r>
        <w:rPr>
          <w:rFonts w:ascii="Palatino Linotype" w:eastAsia="Arial Unicode MS" w:hAnsi="Palatino Linotype" w:cs="Arial"/>
          <w:b/>
        </w:rPr>
        <w:t>SAIMEX</w:t>
      </w:r>
      <w:r>
        <w:rPr>
          <w:rFonts w:ascii="Palatino Linotype" w:hAnsi="Palatino Linotype"/>
        </w:rPr>
        <w:t xml:space="preserve">, a la </w:t>
      </w:r>
      <w:r>
        <w:rPr>
          <w:rFonts w:ascii="Palatino Linotype" w:hAnsi="Palatino Linotype" w:cs="Arial"/>
        </w:rPr>
        <w:t xml:space="preserve">Comisionada </w:t>
      </w:r>
      <w:r>
        <w:rPr>
          <w:rFonts w:ascii="Palatino Linotype" w:hAnsi="Palatino Linotype" w:cs="Arial"/>
          <w:b/>
        </w:rPr>
        <w:t>EVA ABAID YAPUR</w:t>
      </w:r>
      <w:r>
        <w:rPr>
          <w:rFonts w:ascii="Palatino Linotype" w:hAnsi="Palatino Linotype" w:cs="Arial"/>
        </w:rPr>
        <w:t>, a efecto de que decretara su admisión o desechamiento.</w:t>
      </w:r>
    </w:p>
    <w:p w:rsidR="001F4E7A" w:rsidRDefault="001F4E7A">
      <w:pPr>
        <w:pStyle w:val="Prrafodelista"/>
        <w:spacing w:line="360" w:lineRule="auto"/>
        <w:ind w:left="0"/>
        <w:jc w:val="both"/>
        <w:rPr>
          <w:rFonts w:ascii="Palatino Linotype" w:hAnsi="Palatino Linotype" w:cs="Arial"/>
        </w:rPr>
      </w:pPr>
    </w:p>
    <w:p w:rsidR="001F4E7A" w:rsidRDefault="0032792E">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En fecha veinticinco de febrero de la presente anualidad, atento a lo dispuesto en el artículo 185, fracciones I, II y IV de la </w:t>
      </w:r>
      <w:r>
        <w:rPr>
          <w:rFonts w:ascii="Palatino Linotype" w:hAnsi="Palatino Linotype"/>
        </w:rPr>
        <w:t>Ley de Transparencia y Acceso a la Información Pública del Estado de México y Municipios, se a</w:t>
      </w:r>
      <w:r>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Pr>
          <w:rFonts w:ascii="Palatino Linotype" w:hAnsi="Palatino Linotype" w:cs="Arial"/>
          <w:b/>
        </w:rPr>
        <w:t>EL RECURRENTE</w:t>
      </w:r>
      <w:r>
        <w:rPr>
          <w:rFonts w:ascii="Palatino Linotype" w:hAnsi="Palatino Linotype" w:cs="Arial"/>
        </w:rPr>
        <w:t xml:space="preserve"> realizara </w:t>
      </w:r>
      <w:r>
        <w:rPr>
          <w:rFonts w:ascii="Palatino Linotype" w:hAnsi="Palatino Linotype" w:cs="Arial"/>
        </w:rPr>
        <w:lastRenderedPageBreak/>
        <w:t>manifestaciones y alegatos, así como ofreciera las pruebas que a su derecho conviniera y, en el caso del</w:t>
      </w:r>
      <w:r>
        <w:rPr>
          <w:rFonts w:ascii="Palatino Linotype" w:hAnsi="Palatino Linotype" w:cs="Arial"/>
          <w:b/>
        </w:rPr>
        <w:t xml:space="preserve"> SUJETO OBLIGADO</w:t>
      </w:r>
      <w:r>
        <w:rPr>
          <w:rFonts w:ascii="Palatino Linotype" w:hAnsi="Palatino Linotype" w:cs="Arial"/>
        </w:rPr>
        <w:t xml:space="preserve"> exhibiera el Informe Justificado. </w:t>
      </w:r>
    </w:p>
    <w:p w:rsidR="001F4E7A" w:rsidRDefault="001F4E7A">
      <w:pPr>
        <w:pStyle w:val="Prrafodelista"/>
        <w:spacing w:line="360" w:lineRule="auto"/>
        <w:ind w:left="0"/>
        <w:jc w:val="both"/>
        <w:rPr>
          <w:rFonts w:ascii="Palatino Linotype" w:hAnsi="Palatino Linotype" w:cs="Arial"/>
        </w:rPr>
      </w:pPr>
    </w:p>
    <w:p w:rsidR="001F4E7A" w:rsidRDefault="002B745C">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53339</wp:posOffset>
                </wp:positionH>
                <wp:positionV relativeFrom="paragraph">
                  <wp:posOffset>3392805</wp:posOffset>
                </wp:positionV>
                <wp:extent cx="5743575" cy="3009900"/>
                <wp:effectExtent l="38100" t="19050" r="66675" b="95250"/>
                <wp:wrapNone/>
                <wp:docPr id="12" name="Conector recto 12"/>
                <wp:cNvGraphicFramePr/>
                <a:graphic xmlns:a="http://schemas.openxmlformats.org/drawingml/2006/main">
                  <a:graphicData uri="http://schemas.microsoft.com/office/word/2010/wordprocessingShape">
                    <wps:wsp>
                      <wps:cNvCnPr/>
                      <wps:spPr>
                        <a:xfrm>
                          <a:off x="0" y="0"/>
                          <a:ext cx="5743575" cy="3009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0FD90F" id="Conector recto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pt,267.15pt" to="456.45pt,5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" strokecolor="#4f81bd [3204]" strokeweight="2pt">
                <v:shadow on="t" color="black" opacity="24903f" origin=",.5" offset="0,.55556mm"/>
              </v:line>
            </w:pict>
          </mc:Fallback>
        </mc:AlternateContent>
      </w:r>
      <w:r w:rsidR="0032792E">
        <w:rPr>
          <w:rFonts w:ascii="Palatino Linotype" w:hAnsi="Palatino Linotype" w:cs="Arial"/>
        </w:rPr>
        <w:t xml:space="preserve">De las constancias que obran en el </w:t>
      </w:r>
      <w:r w:rsidR="0032792E">
        <w:rPr>
          <w:rFonts w:ascii="Palatino Linotype" w:hAnsi="Palatino Linotype" w:cs="Arial"/>
          <w:b/>
        </w:rPr>
        <w:t>SAIMEX</w:t>
      </w:r>
      <w:r w:rsidR="0032792E">
        <w:rPr>
          <w:rFonts w:ascii="Palatino Linotype" w:hAnsi="Palatino Linotype" w:cs="Arial"/>
        </w:rPr>
        <w:t>, se advierte que</w:t>
      </w:r>
      <w:r w:rsidR="0032792E">
        <w:rPr>
          <w:rFonts w:ascii="Palatino Linotype" w:hAnsi="Palatino Linotype" w:cs="Arial"/>
          <w:b/>
        </w:rPr>
        <w:t xml:space="preserve"> EL RECURRENTE </w:t>
      </w:r>
      <w:r w:rsidR="0032792E">
        <w:rPr>
          <w:rFonts w:ascii="Palatino Linotype" w:hAnsi="Palatino Linotype" w:cs="Arial"/>
        </w:rPr>
        <w:t xml:space="preserve">no presentó manifestaciones y alegatos, ni ofreció los medios de prueba que a su derecho convinieran; mientras que por su parte, </w:t>
      </w:r>
      <w:r w:rsidR="0032792E">
        <w:rPr>
          <w:rFonts w:ascii="Palatino Linotype" w:hAnsi="Palatino Linotype" w:cs="Arial"/>
          <w:b/>
        </w:rPr>
        <w:t>EL SUJETO OBLIGADO</w:t>
      </w:r>
      <w:r w:rsidR="0032792E">
        <w:t xml:space="preserve"> </w:t>
      </w:r>
      <w:r w:rsidR="0032792E">
        <w:rPr>
          <w:rFonts w:ascii="Palatino Linotype" w:hAnsi="Palatino Linotype" w:cs="Arial"/>
        </w:rPr>
        <w:t xml:space="preserve">rindió su Informe Justificado en fecha seis de marzo de dos mil veinte, mismo que no fue puesto a disposición del particular por no actualizar lo dispuesto por la fracción III del artículo 185 de la Ley de Transparencia y Acceso a la Información Pública del Estado de México y Municipios, pues no modifica ni revoca el sentido de la respuesta proporcionada, situación que será analizada con posterioridad en la presente resolución, por lo que únicamente se inserta lo relativo al Informe Justificado del </w:t>
      </w:r>
      <w:r w:rsidR="0032792E">
        <w:rPr>
          <w:rFonts w:ascii="Palatino Linotype" w:hAnsi="Palatino Linotype" w:cs="Arial"/>
          <w:b/>
        </w:rPr>
        <w:t>SUJETO OBLIGADO</w:t>
      </w:r>
      <w:r w:rsidR="0032792E">
        <w:rPr>
          <w:rFonts w:ascii="Palatino Linotype" w:hAnsi="Palatino Linotype" w:cs="Arial"/>
        </w:rPr>
        <w:t>, a fin de que el ciudadano cuente con todas y cada una de las constancias que integran el expediente electrónico del recurso de revisión.</w:t>
      </w:r>
    </w:p>
    <w:p w:rsidR="001F4E7A" w:rsidRDefault="001F4E7A">
      <w:pPr>
        <w:pStyle w:val="Prrafodelista"/>
        <w:spacing w:line="360" w:lineRule="auto"/>
        <w:ind w:left="0"/>
        <w:jc w:val="both"/>
        <w:rPr>
          <w:rFonts w:ascii="Palatino Linotype" w:hAnsi="Palatino Linotype" w:cs="Arial"/>
        </w:rPr>
      </w:pPr>
    </w:p>
    <w:p w:rsidR="001F4E7A" w:rsidRDefault="0032792E">
      <w:pPr>
        <w:pStyle w:val="Prrafodelista"/>
        <w:spacing w:line="360" w:lineRule="auto"/>
        <w:ind w:left="0"/>
        <w:jc w:val="center"/>
        <w:rPr>
          <w:rFonts w:ascii="Palatino Linotype" w:hAnsi="Palatino Linotype" w:cs="Arial"/>
        </w:rPr>
      </w:pPr>
      <w:r>
        <w:rPr>
          <w:noProof/>
          <w:lang w:eastAsia="es-MX"/>
        </w:rPr>
        <w:lastRenderedPageBreak/>
        <w:drawing>
          <wp:inline distT="0" distB="0" distL="0" distR="0">
            <wp:extent cx="4852670" cy="55911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8"/>
                    <a:stretch>
                      <a:fillRect/>
                    </a:stretch>
                  </pic:blipFill>
                  <pic:spPr bwMode="auto">
                    <a:xfrm>
                      <a:off x="0" y="0"/>
                      <a:ext cx="4852670" cy="5591175"/>
                    </a:xfrm>
                    <a:prstGeom prst="rect">
                      <a:avLst/>
                    </a:prstGeom>
                  </pic:spPr>
                </pic:pic>
              </a:graphicData>
            </a:graphic>
          </wp:inline>
        </w:drawing>
      </w:r>
    </w:p>
    <w:p w:rsidR="001F4E7A" w:rsidRDefault="001F4E7A">
      <w:pPr>
        <w:pStyle w:val="Prrafodelista"/>
        <w:spacing w:line="360" w:lineRule="auto"/>
        <w:ind w:left="0"/>
        <w:jc w:val="center"/>
        <w:rPr>
          <w:rFonts w:ascii="Palatino Linotype" w:hAnsi="Palatino Linotype" w:cs="Arial"/>
        </w:rPr>
      </w:pPr>
    </w:p>
    <w:p w:rsidR="001F4E7A" w:rsidRDefault="0032792E">
      <w:pPr>
        <w:pStyle w:val="Prrafodelista"/>
        <w:spacing w:line="360" w:lineRule="auto"/>
        <w:ind w:left="0"/>
        <w:jc w:val="center"/>
        <w:rPr>
          <w:rFonts w:ascii="Palatino Linotype" w:hAnsi="Palatino Linotype" w:cs="Arial"/>
        </w:rPr>
      </w:pPr>
      <w:r>
        <w:rPr>
          <w:noProof/>
          <w:lang w:eastAsia="es-MX"/>
        </w:rPr>
        <w:lastRenderedPageBreak/>
        <w:drawing>
          <wp:inline distT="0" distB="0" distL="0" distR="0">
            <wp:extent cx="5354955" cy="7010400"/>
            <wp:effectExtent l="0" t="0" r="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pic:cNvPicPr>
                      <a:picLocks noChangeAspect="1" noChangeArrowheads="1"/>
                    </pic:cNvPicPr>
                  </pic:nvPicPr>
                  <pic:blipFill>
                    <a:blip r:embed="rId9"/>
                    <a:stretch>
                      <a:fillRect/>
                    </a:stretch>
                  </pic:blipFill>
                  <pic:spPr bwMode="auto">
                    <a:xfrm>
                      <a:off x="0" y="0"/>
                      <a:ext cx="5354955" cy="7010400"/>
                    </a:xfrm>
                    <a:prstGeom prst="rect">
                      <a:avLst/>
                    </a:prstGeom>
                  </pic:spPr>
                </pic:pic>
              </a:graphicData>
            </a:graphic>
          </wp:inline>
        </w:drawing>
      </w:r>
    </w:p>
    <w:p w:rsidR="001F4E7A" w:rsidRDefault="001F4E7A">
      <w:pPr>
        <w:pStyle w:val="Prrafodelista"/>
        <w:spacing w:line="360" w:lineRule="auto"/>
        <w:ind w:left="0"/>
        <w:jc w:val="center"/>
        <w:rPr>
          <w:rFonts w:ascii="Palatino Linotype" w:hAnsi="Palatino Linotype" w:cs="Arial"/>
        </w:rPr>
      </w:pPr>
    </w:p>
    <w:p w:rsidR="001F4E7A" w:rsidRDefault="0032792E">
      <w:pPr>
        <w:pStyle w:val="Prrafodelista"/>
        <w:spacing w:line="360" w:lineRule="auto"/>
        <w:ind w:left="0"/>
        <w:jc w:val="center"/>
        <w:rPr>
          <w:rFonts w:ascii="Palatino Linotype" w:hAnsi="Palatino Linotype" w:cs="Arial"/>
        </w:rPr>
      </w:pPr>
      <w:r>
        <w:rPr>
          <w:noProof/>
          <w:lang w:eastAsia="es-MX"/>
        </w:rPr>
        <w:lastRenderedPageBreak/>
        <w:drawing>
          <wp:inline distT="0" distB="0" distL="0" distR="0">
            <wp:extent cx="5525135" cy="7210425"/>
            <wp:effectExtent l="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pic:cNvPicPr>
                      <a:picLocks noChangeAspect="1" noChangeArrowheads="1"/>
                    </pic:cNvPicPr>
                  </pic:nvPicPr>
                  <pic:blipFill>
                    <a:blip r:embed="rId10"/>
                    <a:stretch>
                      <a:fillRect/>
                    </a:stretch>
                  </pic:blipFill>
                  <pic:spPr bwMode="auto">
                    <a:xfrm>
                      <a:off x="0" y="0"/>
                      <a:ext cx="5525135" cy="7210425"/>
                    </a:xfrm>
                    <a:prstGeom prst="rect">
                      <a:avLst/>
                    </a:prstGeom>
                  </pic:spPr>
                </pic:pic>
              </a:graphicData>
            </a:graphic>
          </wp:inline>
        </w:drawing>
      </w:r>
    </w:p>
    <w:p w:rsidR="001F4E7A" w:rsidRDefault="0032792E">
      <w:pPr>
        <w:pStyle w:val="Prrafodelista"/>
        <w:spacing w:line="360" w:lineRule="auto"/>
        <w:ind w:left="0"/>
        <w:jc w:val="center"/>
        <w:rPr>
          <w:rFonts w:ascii="Palatino Linotype" w:hAnsi="Palatino Linotype" w:cs="Arial"/>
        </w:rPr>
      </w:pPr>
      <w:r>
        <w:rPr>
          <w:noProof/>
          <w:lang w:eastAsia="es-MX"/>
        </w:rPr>
        <w:lastRenderedPageBreak/>
        <w:drawing>
          <wp:inline distT="0" distB="0" distL="0" distR="0">
            <wp:extent cx="5509260" cy="7296150"/>
            <wp:effectExtent l="0" t="0" r="0" b="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8"/>
                    <pic:cNvPicPr>
                      <a:picLocks noChangeAspect="1" noChangeArrowheads="1"/>
                    </pic:cNvPicPr>
                  </pic:nvPicPr>
                  <pic:blipFill>
                    <a:blip r:embed="rId11"/>
                    <a:stretch>
                      <a:fillRect/>
                    </a:stretch>
                  </pic:blipFill>
                  <pic:spPr bwMode="auto">
                    <a:xfrm>
                      <a:off x="0" y="0"/>
                      <a:ext cx="5509260" cy="7296150"/>
                    </a:xfrm>
                    <a:prstGeom prst="rect">
                      <a:avLst/>
                    </a:prstGeom>
                  </pic:spPr>
                </pic:pic>
              </a:graphicData>
            </a:graphic>
          </wp:inline>
        </w:drawing>
      </w:r>
    </w:p>
    <w:p w:rsidR="001F4E7A" w:rsidRDefault="0032792E">
      <w:pPr>
        <w:pStyle w:val="Prrafodelista"/>
        <w:spacing w:line="360" w:lineRule="auto"/>
        <w:ind w:left="0"/>
        <w:jc w:val="center"/>
        <w:rPr>
          <w:rFonts w:ascii="Palatino Linotype" w:hAnsi="Palatino Linotype" w:cs="Arial"/>
        </w:rPr>
      </w:pPr>
      <w:r>
        <w:rPr>
          <w:noProof/>
          <w:lang w:eastAsia="es-MX"/>
        </w:rPr>
        <w:lastRenderedPageBreak/>
        <w:drawing>
          <wp:inline distT="0" distB="0" distL="0" distR="0">
            <wp:extent cx="5469255" cy="7219950"/>
            <wp:effectExtent l="0" t="0" r="0" b="0"/>
            <wp:docPr id="5"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2"/>
                    <pic:cNvPicPr>
                      <a:picLocks noChangeAspect="1" noChangeArrowheads="1"/>
                    </pic:cNvPicPr>
                  </pic:nvPicPr>
                  <pic:blipFill>
                    <a:blip r:embed="rId12"/>
                    <a:stretch>
                      <a:fillRect/>
                    </a:stretch>
                  </pic:blipFill>
                  <pic:spPr bwMode="auto">
                    <a:xfrm>
                      <a:off x="0" y="0"/>
                      <a:ext cx="5469255" cy="7219950"/>
                    </a:xfrm>
                    <a:prstGeom prst="rect">
                      <a:avLst/>
                    </a:prstGeom>
                  </pic:spPr>
                </pic:pic>
              </a:graphicData>
            </a:graphic>
          </wp:inline>
        </w:drawing>
      </w:r>
    </w:p>
    <w:p w:rsidR="001F4E7A" w:rsidRDefault="0032792E">
      <w:pPr>
        <w:pStyle w:val="Prrafodelista"/>
        <w:spacing w:line="360" w:lineRule="auto"/>
        <w:ind w:left="0"/>
        <w:jc w:val="center"/>
        <w:rPr>
          <w:rFonts w:ascii="Palatino Linotype" w:hAnsi="Palatino Linotype" w:cs="Arial"/>
        </w:rPr>
      </w:pPr>
      <w:r>
        <w:rPr>
          <w:noProof/>
          <w:lang w:eastAsia="es-MX"/>
        </w:rPr>
        <w:lastRenderedPageBreak/>
        <w:drawing>
          <wp:inline distT="0" distB="0" distL="0" distR="0">
            <wp:extent cx="5558155" cy="7248525"/>
            <wp:effectExtent l="0" t="0" r="0" b="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0"/>
                    <pic:cNvPicPr>
                      <a:picLocks noChangeAspect="1" noChangeArrowheads="1"/>
                    </pic:cNvPicPr>
                  </pic:nvPicPr>
                  <pic:blipFill>
                    <a:blip r:embed="rId13"/>
                    <a:stretch>
                      <a:fillRect/>
                    </a:stretch>
                  </pic:blipFill>
                  <pic:spPr bwMode="auto">
                    <a:xfrm>
                      <a:off x="0" y="0"/>
                      <a:ext cx="5558155" cy="7248525"/>
                    </a:xfrm>
                    <a:prstGeom prst="rect">
                      <a:avLst/>
                    </a:prstGeom>
                  </pic:spPr>
                </pic:pic>
              </a:graphicData>
            </a:graphic>
          </wp:inline>
        </w:drawing>
      </w:r>
    </w:p>
    <w:p w:rsidR="001F4E7A" w:rsidRDefault="0032792E">
      <w:pPr>
        <w:pStyle w:val="Prrafodelista"/>
        <w:spacing w:line="360" w:lineRule="auto"/>
        <w:ind w:left="0"/>
        <w:jc w:val="center"/>
        <w:rPr>
          <w:rFonts w:ascii="Palatino Linotype" w:hAnsi="Palatino Linotype" w:cs="Arial"/>
        </w:rPr>
      </w:pPr>
      <w:r>
        <w:rPr>
          <w:noProof/>
          <w:lang w:eastAsia="es-MX"/>
        </w:rPr>
        <w:lastRenderedPageBreak/>
        <w:drawing>
          <wp:inline distT="0" distB="0" distL="0" distR="0">
            <wp:extent cx="5556250" cy="7334250"/>
            <wp:effectExtent l="0" t="0" r="0" b="0"/>
            <wp:docPr id="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3"/>
                    <pic:cNvPicPr>
                      <a:picLocks noChangeAspect="1" noChangeArrowheads="1"/>
                    </pic:cNvPicPr>
                  </pic:nvPicPr>
                  <pic:blipFill>
                    <a:blip r:embed="rId14"/>
                    <a:stretch>
                      <a:fillRect/>
                    </a:stretch>
                  </pic:blipFill>
                  <pic:spPr bwMode="auto">
                    <a:xfrm>
                      <a:off x="0" y="0"/>
                      <a:ext cx="5556250" cy="7334250"/>
                    </a:xfrm>
                    <a:prstGeom prst="rect">
                      <a:avLst/>
                    </a:prstGeom>
                  </pic:spPr>
                </pic:pic>
              </a:graphicData>
            </a:graphic>
          </wp:inline>
        </w:drawing>
      </w:r>
    </w:p>
    <w:p w:rsidR="001F4E7A" w:rsidRDefault="0032792E">
      <w:pPr>
        <w:pStyle w:val="Prrafodelista"/>
        <w:numPr>
          <w:ilvl w:val="0"/>
          <w:numId w:val="1"/>
        </w:numPr>
        <w:spacing w:line="360" w:lineRule="auto"/>
        <w:ind w:left="0" w:firstLine="0"/>
        <w:jc w:val="both"/>
        <w:rPr>
          <w:rFonts w:ascii="Palatino Linotype" w:hAnsi="Palatino Linotype"/>
        </w:rPr>
      </w:pPr>
      <w:r>
        <w:rPr>
          <w:rFonts w:ascii="Palatino Linotype" w:hAnsi="Palatino Linotype" w:cs="Arial"/>
        </w:rPr>
        <w:lastRenderedPageBreak/>
        <w:t>Transcurrido el plazo señalado en el párrafo anterior y, una vez analizado el estado procesal que guardaba el expediente, en fecha trece de agosto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1F4E7A" w:rsidRDefault="001F4E7A">
      <w:pPr>
        <w:pStyle w:val="Prrafodelista"/>
        <w:spacing w:line="360" w:lineRule="auto"/>
        <w:ind w:left="720"/>
        <w:jc w:val="both"/>
        <w:rPr>
          <w:rFonts w:ascii="Palatino Linotype" w:hAnsi="Palatino Linotype"/>
        </w:rPr>
      </w:pPr>
    </w:p>
    <w:p w:rsidR="001F4E7A" w:rsidRDefault="0032792E">
      <w:pPr>
        <w:pStyle w:val="Prrafodelista"/>
        <w:numPr>
          <w:ilvl w:val="0"/>
          <w:numId w:val="1"/>
        </w:numPr>
        <w:spacing w:line="360" w:lineRule="auto"/>
        <w:ind w:left="0" w:firstLine="0"/>
        <w:jc w:val="both"/>
        <w:rPr>
          <w:rFonts w:ascii="Palatino Linotype" w:hAnsi="Palatino Linotype"/>
        </w:rPr>
      </w:pPr>
      <w:bookmarkStart w:id="0" w:name="docs-internal-guid-6fe9aa57-7fff-95de-22"/>
      <w:bookmarkEnd w:id="0"/>
      <w:r>
        <w:rPr>
          <w:rFonts w:ascii="Palatino Linotype;serif" w:hAnsi="Palatino Linotype;serif" w:cs="Arial"/>
          <w:color w:val="000000"/>
        </w:rPr>
        <w:t>En fecha dieciocho de agosto</w:t>
      </w:r>
      <w:r>
        <w:rPr>
          <w:rFonts w:ascii="Palatino Linotype" w:hAnsi="Palatino Linotype" w:cs="Arial"/>
          <w:color w:val="000000"/>
        </w:rPr>
        <w:t xml:space="preserve"> </w:t>
      </w:r>
      <w:r>
        <w:rPr>
          <w:rFonts w:ascii="Palatino Linotype;serif" w:hAnsi="Palatino Linotype;serif" w:cs="Arial"/>
          <w:color w:val="000000"/>
        </w:rPr>
        <w:t>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rsidR="001F4E7A" w:rsidRDefault="001F4E7A">
      <w:pPr>
        <w:pStyle w:val="Prrafodelista"/>
        <w:spacing w:line="360" w:lineRule="auto"/>
        <w:ind w:left="0"/>
        <w:jc w:val="both"/>
        <w:rPr>
          <w:rFonts w:ascii="Palatino Linotype" w:hAnsi="Palatino Linotype"/>
        </w:rPr>
      </w:pPr>
    </w:p>
    <w:p w:rsidR="001F4E7A" w:rsidRDefault="0032792E">
      <w:pPr>
        <w:spacing w:line="360" w:lineRule="auto"/>
        <w:jc w:val="center"/>
        <w:rPr>
          <w:rFonts w:ascii="Palatino Linotype" w:hAnsi="Palatino Linotype"/>
          <w:b/>
          <w:bCs/>
          <w:spacing w:val="60"/>
          <w:sz w:val="28"/>
        </w:rPr>
      </w:pPr>
      <w:r>
        <w:rPr>
          <w:rFonts w:ascii="Palatino Linotype" w:hAnsi="Palatino Linotype"/>
          <w:b/>
          <w:bCs/>
          <w:spacing w:val="60"/>
          <w:sz w:val="28"/>
        </w:rPr>
        <w:t>CONSIDERANDO</w:t>
      </w:r>
    </w:p>
    <w:p w:rsidR="001F4E7A" w:rsidRDefault="001F4E7A">
      <w:pPr>
        <w:spacing w:line="360" w:lineRule="auto"/>
        <w:jc w:val="center"/>
        <w:rPr>
          <w:rFonts w:ascii="Palatino Linotype" w:hAnsi="Palatino Linotype"/>
          <w:b/>
          <w:bCs/>
          <w:spacing w:val="60"/>
        </w:rPr>
      </w:pPr>
    </w:p>
    <w:p w:rsidR="001F4E7A" w:rsidRDefault="0032792E">
      <w:pPr>
        <w:pStyle w:val="Prrafodelista"/>
        <w:widowControl w:val="0"/>
        <w:numPr>
          <w:ilvl w:val="0"/>
          <w:numId w:val="2"/>
        </w:numPr>
        <w:spacing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 segundo, vigésimo tercero y vigésimo cuarto, fracciones IV y V de la Constitución Política del Estado Libre y Soberano de México; 2, fracción II, 13, 29, 36, fracciones I y II, 176, 178, 179, 181, párrafo tercero y 185 de la Ley de Transparencia y Acceso a la Información Pública del Estado de México y Municipios</w:t>
      </w:r>
      <w:r>
        <w:rPr>
          <w:rFonts w:ascii="Palatino Linotype" w:hAnsi="Palatino Linotype" w:cs="Arial"/>
        </w:rPr>
        <w:t xml:space="preserve">; y 9, fracciones I y XXIV y 11 del Reglamento Interior del Instituto de Transparencia, Acceso a la Información Pública y Protección de Datos Personales del </w:t>
      </w:r>
      <w:r>
        <w:rPr>
          <w:rFonts w:ascii="Palatino Linotype" w:hAnsi="Palatino Linotype" w:cs="Arial"/>
        </w:rPr>
        <w:lastRenderedPageBreak/>
        <w:t>Estado de México y Municipios.</w:t>
      </w:r>
    </w:p>
    <w:p w:rsidR="001F4E7A" w:rsidRDefault="001F4E7A">
      <w:pPr>
        <w:pStyle w:val="Prrafodelista"/>
        <w:widowControl w:val="0"/>
        <w:spacing w:line="360" w:lineRule="auto"/>
        <w:ind w:left="0"/>
        <w:jc w:val="both"/>
        <w:rPr>
          <w:rFonts w:ascii="Palatino Linotype" w:hAnsi="Palatino Linotype" w:cs="Arial"/>
        </w:rPr>
      </w:pPr>
    </w:p>
    <w:p w:rsidR="001F4E7A" w:rsidRDefault="0032792E">
      <w:pPr>
        <w:pStyle w:val="Prrafodelista"/>
        <w:widowControl w:val="0"/>
        <w:numPr>
          <w:ilvl w:val="0"/>
          <w:numId w:val="2"/>
        </w:numPr>
        <w:spacing w:line="360" w:lineRule="auto"/>
        <w:ind w:left="0" w:firstLine="0"/>
        <w:jc w:val="both"/>
        <w:rPr>
          <w:rFonts w:ascii="Palatino Linotype" w:hAnsi="Palatino Linotype" w:cs="Arial"/>
        </w:rPr>
      </w:pPr>
      <w:r>
        <w:rPr>
          <w:rFonts w:ascii="Palatino Linotype" w:hAnsi="Palatino Linotype" w:cs="Arial"/>
          <w:b/>
        </w:rPr>
        <w:t>Interés.</w:t>
      </w:r>
      <w:r>
        <w:rPr>
          <w:rFonts w:ascii="Palatino Linotype" w:hAnsi="Palatino Linotype" w:cs="Arial"/>
        </w:rPr>
        <w:t xml:space="preserve"> El recurso de revisión fue interpuesto por parte legítima en atención a que fue presentado por </w:t>
      </w:r>
      <w:r>
        <w:rPr>
          <w:rFonts w:ascii="Palatino Linotype" w:hAnsi="Palatino Linotype" w:cs="Arial"/>
          <w:b/>
        </w:rPr>
        <w:t>EL RECURRENTE</w:t>
      </w:r>
      <w:r>
        <w:rPr>
          <w:rFonts w:ascii="Palatino Linotype" w:hAnsi="Palatino Linotype" w:cs="Arial"/>
        </w:rPr>
        <w:t xml:space="preserve">, quien es la misma persona que formuló la solicitud de información pública número </w:t>
      </w:r>
      <w:r>
        <w:rPr>
          <w:rFonts w:ascii="Palatino Linotype" w:hAnsi="Palatino Linotype" w:cs="Arial"/>
          <w:b/>
          <w:bCs/>
        </w:rPr>
        <w:t xml:space="preserve">00051/SSEM/IP/2020 </w:t>
      </w:r>
      <w:r>
        <w:rPr>
          <w:rFonts w:ascii="Palatino Linotype" w:hAnsi="Palatino Linotype" w:cs="Arial"/>
        </w:rPr>
        <w:t>al</w:t>
      </w:r>
      <w:r>
        <w:rPr>
          <w:rFonts w:ascii="Palatino Linotype" w:hAnsi="Palatino Linotype" w:cs="Arial"/>
          <w:b/>
        </w:rPr>
        <w:t xml:space="preserve"> SUJETO OBLIGADO</w:t>
      </w:r>
      <w:r>
        <w:rPr>
          <w:rFonts w:ascii="Palatino Linotype" w:hAnsi="Palatino Linotype" w:cs="Arial"/>
        </w:rPr>
        <w:t>.</w:t>
      </w:r>
    </w:p>
    <w:p w:rsidR="001F4E7A" w:rsidRDefault="0032792E">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cs="Arial"/>
          <w:b/>
        </w:rPr>
        <w:t xml:space="preserve">Oportunidad. </w:t>
      </w:r>
      <w:r>
        <w:rPr>
          <w:rFonts w:ascii="Palatino Linotype" w:eastAsiaTheme="minorEastAsia" w:hAnsi="Palatino Linotype" w:cs="Arial"/>
          <w:lang w:val="es-ES_tradnl"/>
        </w:rPr>
        <w:t xml:space="preserve">En efecto, atendiendo a que </w:t>
      </w:r>
      <w:r>
        <w:rPr>
          <w:rFonts w:ascii="Palatino Linotype" w:eastAsiaTheme="minorEastAsia" w:hAnsi="Palatino Linotype" w:cs="Arial"/>
          <w:b/>
          <w:lang w:val="es-ES_tradnl"/>
        </w:rPr>
        <w:t>EL SUJETO OBLIGADO</w:t>
      </w:r>
      <w:r>
        <w:rPr>
          <w:rFonts w:ascii="Palatino Linotype" w:eastAsiaTheme="minorEastAsia" w:hAnsi="Palatino Linotype" w:cs="Arial"/>
          <w:lang w:val="es-ES_tradnl"/>
        </w:rPr>
        <w:t xml:space="preserve"> notificó la respuesta a la solicitud de información pública el</w:t>
      </w:r>
      <w:r>
        <w:rPr>
          <w:rFonts w:ascii="Palatino Linotype" w:eastAsiaTheme="minorEastAsia" w:hAnsi="Palatino Linotype" w:cs="Arial"/>
          <w:b/>
          <w:lang w:val="es-ES_tradnl"/>
        </w:rPr>
        <w:t xml:space="preserve"> doce de febrero de dos mil veinte; </w:t>
      </w:r>
      <w:r>
        <w:rPr>
          <w:rFonts w:ascii="Palatino Linotype" w:hAnsi="Palatino Linotype" w:cs="Arial"/>
        </w:rPr>
        <w:t>en consecuencia, el plazo de quince días hábiles que el artículo 178 de la ley de la materia otorga al</w:t>
      </w:r>
      <w:r>
        <w:rPr>
          <w:rFonts w:ascii="Palatino Linotype" w:hAnsi="Palatino Linotype" w:cs="Arial"/>
          <w:b/>
        </w:rPr>
        <w:t xml:space="preserve"> RECURRENTE</w:t>
      </w:r>
      <w:r>
        <w:rPr>
          <w:rFonts w:ascii="Palatino Linotype" w:hAnsi="Palatino Linotype" w:cs="Arial"/>
        </w:rPr>
        <w:t xml:space="preserve"> para presentar el recurso de revisión, transcurrió del</w:t>
      </w:r>
      <w:r>
        <w:rPr>
          <w:rFonts w:ascii="Palatino Linotype" w:hAnsi="Palatino Linotype" w:cs="Arial"/>
          <w:b/>
        </w:rPr>
        <w:t xml:space="preserve"> trece de febrero al cinco de marzo de dos mil veinte</w:t>
      </w:r>
      <w:r>
        <w:rPr>
          <w:rFonts w:ascii="Palatino Linotype" w:hAnsi="Palatino Linotype" w:cs="Arial"/>
        </w:rPr>
        <w:t xml:space="preserve">, sin contemplar en el cómputo los días quince, dieciséis, veintidós, veintitrés y veintinueve de febrero y uno de marzo de dos mil veinte, por corresponder a sábados y domingos, considerados como días inhábiles; en términos del artículo 3, fracción X de la </w:t>
      </w:r>
      <w:r>
        <w:rPr>
          <w:rFonts w:ascii="Palatino Linotype" w:hAnsi="Palatino Linotype"/>
        </w:rPr>
        <w:t>Ley de Transparencia y Acceso a la Información Pública del Estado de México y Municipios</w:t>
      </w:r>
      <w:r>
        <w:rPr>
          <w:rFonts w:ascii="Palatino Linotype" w:hAnsi="Palatino Linotype" w:cs="Arial"/>
        </w:rPr>
        <w:t>; así como el día tres de febrero de dos mil veinte, por suspensión de labores en el Instituto, de conformidad con el Calendario Oficial en Materia de Transparencia, Acceso a la Información Pública y Protección de Datos Personales del Estado de México y Municipios, para el año dos mil veinte y enero de dos mil veintiuno, publicado en el Periódico Oficial “Gaceta del Gobierno”, el diecinueve de diciembre de dos mil diecinueve.</w:t>
      </w:r>
    </w:p>
    <w:p w:rsidR="001F4E7A" w:rsidRDefault="001F4E7A">
      <w:pPr>
        <w:spacing w:line="360" w:lineRule="auto"/>
        <w:jc w:val="both"/>
        <w:rPr>
          <w:rFonts w:ascii="Palatino Linotype" w:hAnsi="Palatino Linotype"/>
        </w:rPr>
      </w:pPr>
    </w:p>
    <w:p w:rsidR="001F4E7A" w:rsidRDefault="0032792E">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lastRenderedPageBreak/>
        <w:t>En ese tenor, si el recurso de revisión que nos ocupa, se interpuso el</w:t>
      </w:r>
      <w:r>
        <w:rPr>
          <w:rFonts w:ascii="Palatino Linotype" w:eastAsiaTheme="minorEastAsia" w:hAnsi="Palatino Linotype" w:cs="Arial"/>
          <w:b/>
          <w:lang w:val="es-ES_tradnl"/>
        </w:rPr>
        <w:t xml:space="preserve"> diecinueve de febrero de dos mil veinte,</w:t>
      </w:r>
      <w:r>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1F4E7A" w:rsidRDefault="001F4E7A">
      <w:pPr>
        <w:pStyle w:val="Prrafodelista"/>
        <w:widowControl w:val="0"/>
        <w:spacing w:line="360" w:lineRule="auto"/>
        <w:ind w:left="0"/>
        <w:jc w:val="both"/>
        <w:rPr>
          <w:rFonts w:ascii="Palatino Linotype" w:hAnsi="Palatino Linotype" w:cs="Arial"/>
          <w:b/>
          <w:u w:val="single"/>
        </w:rPr>
      </w:pPr>
    </w:p>
    <w:p w:rsidR="001F4E7A" w:rsidRDefault="0032792E">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cs="Arial"/>
          <w:b/>
        </w:rPr>
        <w:t>Procedibilidad.</w:t>
      </w:r>
      <w:r>
        <w:rPr>
          <w:rFonts w:ascii="Palatino Linotype" w:hAnsi="Palatino Linotype" w:cs="Arial"/>
        </w:rPr>
        <w:t xml:space="preserve"> Esta Ponencia considera importante abordar el análisis de los requisitos de procedibilidad del recurso de revisión, de esta forma, el artículo 180 de la Ley de Transparencia y Acceso a la Información Pública del Estado de México y Municipios, establece lo siguiente:</w:t>
      </w:r>
    </w:p>
    <w:p w:rsidR="001F4E7A" w:rsidRDefault="001F4E7A">
      <w:pPr>
        <w:spacing w:line="360" w:lineRule="auto"/>
        <w:jc w:val="both"/>
        <w:rPr>
          <w:rFonts w:ascii="Palatino Linotype" w:hAnsi="Palatino Linotype" w:cs="Arial"/>
        </w:rPr>
      </w:pPr>
    </w:p>
    <w:p w:rsidR="001F4E7A" w:rsidRDefault="0032792E">
      <w:pPr>
        <w:ind w:left="709" w:right="814"/>
        <w:jc w:val="both"/>
        <w:rPr>
          <w:lang w:eastAsia="es-MX"/>
        </w:rPr>
      </w:pPr>
      <w:r>
        <w:rPr>
          <w:rFonts w:ascii="Palatino Linotype" w:hAnsi="Palatino Linotype"/>
          <w:b/>
          <w:bCs/>
          <w:i/>
          <w:iCs/>
          <w:sz w:val="22"/>
          <w:szCs w:val="22"/>
          <w:lang w:eastAsia="es-MX"/>
        </w:rPr>
        <w:t>Artículo 180. </w:t>
      </w:r>
      <w:r>
        <w:rPr>
          <w:rFonts w:ascii="Palatino Linotype" w:hAnsi="Palatino Linotype"/>
          <w:i/>
          <w:iCs/>
          <w:sz w:val="22"/>
          <w:szCs w:val="22"/>
          <w:lang w:eastAsia="es-MX"/>
        </w:rPr>
        <w:t>El recurso de revisión contendrá:</w:t>
      </w:r>
    </w:p>
    <w:p w:rsidR="001F4E7A" w:rsidRDefault="0032792E">
      <w:pPr>
        <w:shd w:val="clear" w:color="auto" w:fill="FFFFFF"/>
        <w:ind w:left="709" w:right="814"/>
        <w:jc w:val="both"/>
        <w:rPr>
          <w:lang w:eastAsia="es-MX"/>
        </w:rPr>
      </w:pPr>
      <w:r>
        <w:rPr>
          <w:rFonts w:ascii="Palatino Linotype" w:hAnsi="Palatino Linotype"/>
          <w:b/>
          <w:bCs/>
          <w:i/>
          <w:iCs/>
          <w:sz w:val="22"/>
          <w:szCs w:val="22"/>
          <w:lang w:eastAsia="es-MX"/>
        </w:rPr>
        <w:t>I. </w:t>
      </w:r>
      <w:r>
        <w:rPr>
          <w:rFonts w:ascii="Palatino Linotype" w:hAnsi="Palatino Linotype"/>
          <w:i/>
          <w:iCs/>
          <w:sz w:val="22"/>
          <w:szCs w:val="22"/>
          <w:lang w:eastAsia="es-MX"/>
        </w:rPr>
        <w:t>El sujeto obligado ante la cual se presentó la solicitud;</w:t>
      </w:r>
    </w:p>
    <w:p w:rsidR="001F4E7A" w:rsidRDefault="0032792E">
      <w:pPr>
        <w:shd w:val="clear" w:color="auto" w:fill="FFFFFF"/>
        <w:ind w:left="709" w:right="814"/>
        <w:jc w:val="both"/>
        <w:rPr>
          <w:lang w:eastAsia="es-MX"/>
        </w:rPr>
      </w:pPr>
      <w:r>
        <w:rPr>
          <w:rFonts w:ascii="Palatino Linotype" w:hAnsi="Palatino Linotype"/>
          <w:b/>
          <w:bCs/>
          <w:i/>
          <w:iCs/>
          <w:sz w:val="22"/>
          <w:szCs w:val="22"/>
          <w:lang w:eastAsia="es-MX"/>
        </w:rPr>
        <w:t>II. El nombre del solicitante que recurre </w:t>
      </w:r>
      <w:r>
        <w:rPr>
          <w:rFonts w:ascii="Palatino Linotype" w:hAnsi="Palatino Linotype"/>
          <w:i/>
          <w:iCs/>
          <w:sz w:val="22"/>
          <w:szCs w:val="22"/>
          <w:lang w:eastAsia="es-MX"/>
        </w:rPr>
        <w:t>o de su representante y, en su caso, del tercero interesado, así como la dirección o medio que señale para recibir notificaciones;</w:t>
      </w:r>
    </w:p>
    <w:p w:rsidR="001F4E7A" w:rsidRDefault="0032792E">
      <w:pPr>
        <w:shd w:val="clear" w:color="auto" w:fill="FFFFFF"/>
        <w:ind w:left="709" w:right="814"/>
        <w:jc w:val="both"/>
        <w:rPr>
          <w:lang w:eastAsia="es-MX"/>
        </w:rPr>
      </w:pPr>
      <w:r>
        <w:rPr>
          <w:rFonts w:ascii="Palatino Linotype" w:hAnsi="Palatino Linotype"/>
          <w:b/>
          <w:bCs/>
          <w:i/>
          <w:iCs/>
          <w:sz w:val="22"/>
          <w:szCs w:val="22"/>
          <w:lang w:eastAsia="es-MX"/>
        </w:rPr>
        <w:t>III. </w:t>
      </w:r>
      <w:r>
        <w:rPr>
          <w:rFonts w:ascii="Palatino Linotype" w:hAnsi="Palatino Linotype"/>
          <w:i/>
          <w:iCs/>
          <w:sz w:val="22"/>
          <w:szCs w:val="22"/>
          <w:lang w:eastAsia="es-MX"/>
        </w:rPr>
        <w:t>El número de folio de respuesta de la solicitud de acceso;</w:t>
      </w:r>
    </w:p>
    <w:p w:rsidR="001F4E7A" w:rsidRDefault="0032792E">
      <w:pPr>
        <w:shd w:val="clear" w:color="auto" w:fill="FFFFFF"/>
        <w:ind w:left="709" w:right="814"/>
        <w:jc w:val="both"/>
        <w:rPr>
          <w:lang w:eastAsia="es-MX"/>
        </w:rPr>
      </w:pPr>
      <w:r>
        <w:rPr>
          <w:rFonts w:ascii="Palatino Linotype" w:hAnsi="Palatino Linotype"/>
          <w:b/>
          <w:bCs/>
          <w:i/>
          <w:iCs/>
          <w:sz w:val="22"/>
          <w:szCs w:val="22"/>
          <w:lang w:eastAsia="es-MX"/>
        </w:rPr>
        <w:t>IV. </w:t>
      </w:r>
      <w:r>
        <w:rPr>
          <w:rFonts w:ascii="Palatino Linotype" w:hAnsi="Palatino Linotype"/>
          <w:i/>
          <w:iCs/>
          <w:sz w:val="22"/>
          <w:szCs w:val="22"/>
          <w:lang w:eastAsia="es-MX"/>
        </w:rPr>
        <w:t>La fecha en que fue notificada la respuesta al solicitante o tuvo conocimiento del acto reclamado, o de presentación de la solicitud, en caso de falta de respuesta;</w:t>
      </w:r>
    </w:p>
    <w:p w:rsidR="001F4E7A" w:rsidRDefault="0032792E">
      <w:pPr>
        <w:shd w:val="clear" w:color="auto" w:fill="FFFFFF"/>
        <w:ind w:left="709" w:right="814"/>
        <w:jc w:val="both"/>
        <w:rPr>
          <w:lang w:eastAsia="es-MX"/>
        </w:rPr>
      </w:pPr>
      <w:r>
        <w:rPr>
          <w:rFonts w:ascii="Palatino Linotype" w:hAnsi="Palatino Linotype"/>
          <w:b/>
          <w:bCs/>
          <w:i/>
          <w:iCs/>
          <w:sz w:val="22"/>
          <w:szCs w:val="22"/>
          <w:lang w:eastAsia="es-MX"/>
        </w:rPr>
        <w:t>V. </w:t>
      </w:r>
      <w:r>
        <w:rPr>
          <w:rFonts w:ascii="Palatino Linotype" w:hAnsi="Palatino Linotype"/>
          <w:i/>
          <w:iCs/>
          <w:sz w:val="22"/>
          <w:szCs w:val="22"/>
          <w:lang w:eastAsia="es-MX"/>
        </w:rPr>
        <w:t>El acto que se recurre;</w:t>
      </w:r>
    </w:p>
    <w:p w:rsidR="001F4E7A" w:rsidRDefault="0032792E">
      <w:pPr>
        <w:shd w:val="clear" w:color="auto" w:fill="FFFFFF"/>
        <w:ind w:left="709" w:right="814"/>
        <w:jc w:val="both"/>
        <w:rPr>
          <w:lang w:eastAsia="es-MX"/>
        </w:rPr>
      </w:pPr>
      <w:r>
        <w:rPr>
          <w:rFonts w:ascii="Palatino Linotype" w:hAnsi="Palatino Linotype"/>
          <w:b/>
          <w:bCs/>
          <w:i/>
          <w:iCs/>
          <w:sz w:val="22"/>
          <w:szCs w:val="22"/>
          <w:lang w:eastAsia="es-MX"/>
        </w:rPr>
        <w:t>VI. </w:t>
      </w:r>
      <w:r>
        <w:rPr>
          <w:rFonts w:ascii="Palatino Linotype" w:hAnsi="Palatino Linotype"/>
          <w:i/>
          <w:iCs/>
          <w:sz w:val="22"/>
          <w:szCs w:val="22"/>
          <w:lang w:eastAsia="es-MX"/>
        </w:rPr>
        <w:t>Las razones o motivos de inconformidad;</w:t>
      </w:r>
    </w:p>
    <w:p w:rsidR="001F4E7A" w:rsidRDefault="0032792E">
      <w:pPr>
        <w:shd w:val="clear" w:color="auto" w:fill="FFFFFF"/>
        <w:ind w:left="709" w:right="814"/>
        <w:jc w:val="both"/>
        <w:rPr>
          <w:lang w:eastAsia="es-MX"/>
        </w:rPr>
      </w:pPr>
      <w:r>
        <w:rPr>
          <w:rFonts w:ascii="Palatino Linotype" w:hAnsi="Palatino Linotype"/>
          <w:b/>
          <w:bCs/>
          <w:i/>
          <w:iCs/>
          <w:sz w:val="22"/>
          <w:szCs w:val="22"/>
          <w:lang w:eastAsia="es-MX"/>
        </w:rPr>
        <w:t>VII. </w:t>
      </w:r>
      <w:r>
        <w:rPr>
          <w:rFonts w:ascii="Palatino Linotype" w:hAnsi="Palatino Linotype"/>
          <w:i/>
          <w:iCs/>
          <w:sz w:val="22"/>
          <w:szCs w:val="22"/>
          <w:lang w:eastAsia="es-MX"/>
        </w:rPr>
        <w:t>La copia de la respuesta que se impugna y, en su caso, de la notificación correspondiente, en el caso de respuesta de la solicitud; y</w:t>
      </w:r>
    </w:p>
    <w:p w:rsidR="001F4E7A" w:rsidRDefault="0032792E">
      <w:pPr>
        <w:shd w:val="clear" w:color="auto" w:fill="FFFFFF"/>
        <w:ind w:left="709" w:right="814"/>
        <w:jc w:val="both"/>
        <w:rPr>
          <w:lang w:eastAsia="es-MX"/>
        </w:rPr>
      </w:pPr>
      <w:r>
        <w:rPr>
          <w:rFonts w:ascii="Palatino Linotype" w:hAnsi="Palatino Linotype"/>
          <w:b/>
          <w:bCs/>
          <w:i/>
          <w:iCs/>
          <w:sz w:val="22"/>
          <w:szCs w:val="22"/>
          <w:lang w:eastAsia="es-MX"/>
        </w:rPr>
        <w:t>VIII. </w:t>
      </w:r>
      <w:r>
        <w:rPr>
          <w:rFonts w:ascii="Palatino Linotype" w:hAnsi="Palatino Linotype"/>
          <w:i/>
          <w:iCs/>
          <w:sz w:val="22"/>
          <w:szCs w:val="22"/>
          <w:lang w:eastAsia="es-MX"/>
        </w:rPr>
        <w:t>Firma del recurrente, en su caso, cuando se presente por escrito, requisito sin el cual se dará trámite al recurso.</w:t>
      </w:r>
    </w:p>
    <w:p w:rsidR="001F4E7A" w:rsidRDefault="0032792E">
      <w:pPr>
        <w:shd w:val="clear" w:color="auto" w:fill="FFFFFF"/>
        <w:ind w:left="709" w:right="814"/>
        <w:jc w:val="both"/>
        <w:rPr>
          <w:lang w:eastAsia="es-MX"/>
        </w:rPr>
      </w:pPr>
      <w:r>
        <w:rPr>
          <w:rFonts w:ascii="Palatino Linotype" w:hAnsi="Palatino Linotype"/>
          <w:i/>
          <w:iCs/>
          <w:sz w:val="22"/>
          <w:szCs w:val="22"/>
          <w:lang w:eastAsia="es-MX"/>
        </w:rPr>
        <w:t>Adicionalmente, se podrán anexar las pruebas y demás elementos que considere procedentes someter a juicio del Instituto.</w:t>
      </w:r>
    </w:p>
    <w:p w:rsidR="001F4E7A" w:rsidRDefault="0032792E">
      <w:pPr>
        <w:shd w:val="clear" w:color="auto" w:fill="FFFFFF"/>
        <w:ind w:left="709" w:right="814"/>
        <w:jc w:val="both"/>
        <w:rPr>
          <w:lang w:eastAsia="es-MX"/>
        </w:rPr>
      </w:pPr>
      <w:r>
        <w:rPr>
          <w:rFonts w:ascii="Palatino Linotype" w:hAnsi="Palatino Linotype"/>
          <w:i/>
          <w:iCs/>
          <w:sz w:val="22"/>
          <w:szCs w:val="22"/>
          <w:lang w:eastAsia="es-MX"/>
        </w:rPr>
        <w:t>En ningún caso será necesario que el particular ratifique el recurso de revisión interpuesto.</w:t>
      </w:r>
    </w:p>
    <w:p w:rsidR="001F4E7A" w:rsidRDefault="0032792E">
      <w:pPr>
        <w:shd w:val="clear" w:color="auto" w:fill="FFFFFF"/>
        <w:ind w:left="709" w:right="814"/>
        <w:jc w:val="both"/>
        <w:rPr>
          <w:lang w:eastAsia="es-MX"/>
        </w:rPr>
      </w:pPr>
      <w:r>
        <w:rPr>
          <w:rFonts w:ascii="Palatino Linotype" w:hAnsi="Palatino Linotype"/>
          <w:b/>
          <w:bCs/>
          <w:i/>
          <w:iCs/>
          <w:sz w:val="22"/>
          <w:szCs w:val="22"/>
          <w:lang w:eastAsia="es-MX"/>
        </w:rPr>
        <w:t>En caso de que el recurso se interponga de manera electrónica no será indispensable que contengan los requisitos establecidos en las fracciones II</w:t>
      </w:r>
      <w:r>
        <w:rPr>
          <w:rFonts w:ascii="Palatino Linotype" w:hAnsi="Palatino Linotype"/>
          <w:i/>
          <w:iCs/>
          <w:sz w:val="22"/>
          <w:szCs w:val="22"/>
          <w:lang w:eastAsia="es-MX"/>
        </w:rPr>
        <w:t>, IV, VII y VIII.</w:t>
      </w:r>
    </w:p>
    <w:p w:rsidR="001F4E7A" w:rsidRDefault="001F4E7A">
      <w:pPr>
        <w:shd w:val="clear" w:color="auto" w:fill="FFFFFF"/>
        <w:ind w:left="709" w:right="814"/>
        <w:jc w:val="both"/>
        <w:rPr>
          <w:rFonts w:ascii="Palatino Linotype" w:hAnsi="Palatino Linotype"/>
          <w:sz w:val="22"/>
          <w:szCs w:val="22"/>
          <w:lang w:eastAsia="es-MX"/>
        </w:rPr>
      </w:pPr>
    </w:p>
    <w:p w:rsidR="001F4E7A" w:rsidRDefault="0032792E">
      <w:pPr>
        <w:shd w:val="clear" w:color="auto" w:fill="FFFFFF"/>
        <w:ind w:left="709" w:right="814"/>
        <w:jc w:val="both"/>
        <w:rPr>
          <w:rFonts w:ascii="Palatino Linotype" w:hAnsi="Palatino Linotype"/>
          <w:sz w:val="22"/>
          <w:szCs w:val="22"/>
          <w:lang w:eastAsia="es-MX"/>
        </w:rPr>
      </w:pPr>
      <w:r>
        <w:rPr>
          <w:rFonts w:ascii="Palatino Linotype" w:hAnsi="Palatino Linotype"/>
          <w:sz w:val="22"/>
          <w:szCs w:val="22"/>
          <w:lang w:eastAsia="es-MX"/>
        </w:rPr>
        <w:t>(Énfasis añadido)</w:t>
      </w:r>
    </w:p>
    <w:p w:rsidR="001F4E7A" w:rsidRDefault="001F4E7A">
      <w:pPr>
        <w:shd w:val="clear" w:color="auto" w:fill="FFFFFF"/>
        <w:spacing w:line="360" w:lineRule="auto"/>
        <w:ind w:left="851" w:right="902"/>
        <w:jc w:val="both"/>
        <w:rPr>
          <w:lang w:eastAsia="es-MX"/>
        </w:rPr>
      </w:pPr>
    </w:p>
    <w:p w:rsidR="001F4E7A" w:rsidRDefault="0032792E">
      <w:pPr>
        <w:shd w:val="clear" w:color="auto" w:fill="FFFFFF"/>
        <w:spacing w:line="360" w:lineRule="auto"/>
        <w:jc w:val="both"/>
        <w:rPr>
          <w:rFonts w:ascii="Palatino Linotype" w:hAnsi="Palatino Linotype"/>
          <w:lang w:eastAsia="es-MX"/>
        </w:rPr>
      </w:pPr>
      <w:r>
        <w:rPr>
          <w:rFonts w:ascii="Palatino Linotype" w:hAnsi="Palatino Linotype"/>
          <w:lang w:eastAsia="es-MX"/>
        </w:rPr>
        <w:lastRenderedPageBreak/>
        <w:t>En principio, de una interpretación del artículo transcrito se observan los requisitos que deberán contener los recursos de revisión; sobre el particular, de la revisión</w:t>
      </w:r>
      <w:r>
        <w:rPr>
          <w:rFonts w:ascii="Palatino Linotype" w:hAnsi="Palatino Linotype"/>
          <w:lang w:eastAsia="es-MX"/>
        </w:rPr>
        <w:br/>
        <w:t>del expediente electrónico del </w:t>
      </w:r>
      <w:r>
        <w:rPr>
          <w:rFonts w:ascii="Palatino Linotype" w:hAnsi="Palatino Linotype"/>
          <w:b/>
          <w:bCs/>
          <w:lang w:eastAsia="es-MX"/>
        </w:rPr>
        <w:t xml:space="preserve">SAIMEX, </w:t>
      </w:r>
      <w:r>
        <w:rPr>
          <w:rFonts w:ascii="Palatino Linotype" w:hAnsi="Palatino Linotype"/>
          <w:lang w:eastAsia="es-MX"/>
        </w:rPr>
        <w:t>se desprende que la parte solicitante y ahora </w:t>
      </w:r>
      <w:r>
        <w:rPr>
          <w:rFonts w:ascii="Palatino Linotype" w:hAnsi="Palatino Linotype"/>
          <w:b/>
          <w:bCs/>
          <w:lang w:eastAsia="es-MX"/>
        </w:rPr>
        <w:t>RECURRENTE</w:t>
      </w:r>
      <w:r>
        <w:rPr>
          <w:rFonts w:ascii="Palatino Linotype" w:hAnsi="Palatino Linotype"/>
          <w:lang w:eastAsia="es-MX"/>
        </w:rPr>
        <w:t>, en ejercicio de su derecho de acceso a la información pública, se registró como persona física,  sin embargo utilizó un seudónimo, ya que indicó como nombre </w:t>
      </w:r>
      <w:r>
        <w:rPr>
          <w:rFonts w:ascii="Palatino Linotype" w:hAnsi="Palatino Linotype"/>
          <w:b/>
          <w:bCs/>
          <w:lang w:eastAsia="es-MX"/>
        </w:rPr>
        <w:t>“</w:t>
      </w:r>
      <w:r w:rsidR="000A1E7B" w:rsidRPr="000A1E7B">
        <w:rPr>
          <w:rFonts w:ascii="Palatino Linotype" w:hAnsi="Palatino Linotype"/>
          <w:b/>
          <w:bCs/>
          <w:lang w:eastAsia="es-MX"/>
        </w:rPr>
        <w:t>Xxxxxxxx Xxxxxxxxx Xxxxxxxx</w:t>
      </w:r>
      <w:bookmarkStart w:id="1" w:name="_GoBack"/>
      <w:bookmarkEnd w:id="1"/>
      <w:r>
        <w:rPr>
          <w:rFonts w:ascii="Palatino Linotype" w:hAnsi="Palatino Linotype"/>
          <w:lang w:eastAsia="es-MX"/>
        </w:rPr>
        <w:t>”; por lo que, no se tiene certeza sobre su identidad, lo que en estricto sentido, provoca que no se colmen los requisitos establecidos en el citado artículo 180 de la Ley de Transparencia.</w:t>
      </w:r>
    </w:p>
    <w:p w:rsidR="001F4E7A" w:rsidRDefault="001F4E7A">
      <w:pPr>
        <w:shd w:val="clear" w:color="auto" w:fill="FFFFFF"/>
        <w:spacing w:line="360" w:lineRule="auto"/>
        <w:jc w:val="both"/>
        <w:rPr>
          <w:lang w:eastAsia="es-MX"/>
        </w:rPr>
      </w:pPr>
    </w:p>
    <w:p w:rsidR="001F4E7A" w:rsidRDefault="0032792E">
      <w:pPr>
        <w:shd w:val="clear" w:color="auto" w:fill="FFFFFF"/>
        <w:spacing w:line="360" w:lineRule="auto"/>
        <w:jc w:val="both"/>
        <w:rPr>
          <w:rFonts w:ascii="Palatino Linotype" w:hAnsi="Palatino Linotype"/>
          <w:lang w:eastAsia="es-MX"/>
        </w:rPr>
      </w:pPr>
      <w:r>
        <w:rPr>
          <w:rFonts w:ascii="Palatino Linotype" w:hAnsi="Palatino Linotype"/>
          <w:lang w:eastAsia="es-MX"/>
        </w:rPr>
        <w:t>Empero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Pr>
          <w:rFonts w:ascii="Palatino Linotype" w:hAnsi="Palatino Linotype"/>
          <w:b/>
          <w:bCs/>
          <w:lang w:eastAsia="es-MX"/>
        </w:rPr>
        <w:t>el nombre no es un requisito </w:t>
      </w:r>
      <w:r>
        <w:rPr>
          <w:rFonts w:ascii="Palatino Linotype" w:hAnsi="Palatino Linotype"/>
          <w:b/>
          <w:bCs/>
          <w:i/>
          <w:iCs/>
          <w:lang w:eastAsia="es-MX"/>
        </w:rPr>
        <w:t>sine qua non</w:t>
      </w:r>
      <w:r>
        <w:rPr>
          <w:rFonts w:ascii="Palatino Linotype" w:hAnsi="Palatino Linotype"/>
          <w:lang w:eastAsia="es-MX"/>
        </w:rPr>
        <w:t>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1F4E7A" w:rsidRDefault="001F4E7A">
      <w:pPr>
        <w:shd w:val="clear" w:color="auto" w:fill="FFFFFF"/>
        <w:spacing w:line="360" w:lineRule="auto"/>
        <w:jc w:val="both"/>
        <w:rPr>
          <w:rFonts w:ascii="Palatino Linotype" w:hAnsi="Palatino Linotype"/>
          <w:lang w:eastAsia="es-MX"/>
        </w:rPr>
      </w:pPr>
    </w:p>
    <w:p w:rsidR="001F4E7A" w:rsidRDefault="0032792E">
      <w:pPr>
        <w:shd w:val="clear" w:color="auto" w:fill="FFFFFF"/>
        <w:spacing w:line="360" w:lineRule="auto"/>
        <w:jc w:val="both"/>
        <w:rPr>
          <w:rFonts w:ascii="Palatino Linotype" w:hAnsi="Palatino Linotype"/>
          <w:lang w:eastAsia="es-MX"/>
        </w:rPr>
      </w:pPr>
      <w:r>
        <w:rPr>
          <w:rFonts w:ascii="Palatino Linotype" w:hAnsi="Palatino Linotype"/>
          <w:lang w:eastAsia="es-MX"/>
        </w:rPr>
        <w:t xml:space="preserve">Correlativo a ello, cabe mencionar que los artículos 6, Apartado A, fracciones I, III, V y VI de la Constitución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w:t>
      </w:r>
      <w:r>
        <w:rPr>
          <w:rFonts w:ascii="Palatino Linotype" w:hAnsi="Palatino Linotype"/>
          <w:lang w:eastAsia="es-MX"/>
        </w:rPr>
        <w:lastRenderedPageBreak/>
        <w:t>de acreditar interés alguno o justificar su utilización, tendrá acceso gratuito a la información pública; preceptos cuyo texto y sentido literal es el siguiente:</w:t>
      </w:r>
    </w:p>
    <w:p w:rsidR="001F4E7A" w:rsidRDefault="001F4E7A">
      <w:pPr>
        <w:shd w:val="clear" w:color="auto" w:fill="FFFFFF"/>
        <w:spacing w:line="360" w:lineRule="auto"/>
        <w:jc w:val="both"/>
        <w:rPr>
          <w:rFonts w:ascii="Palatino Linotype" w:hAnsi="Palatino Linotype"/>
          <w:lang w:eastAsia="es-MX"/>
        </w:rPr>
      </w:pPr>
    </w:p>
    <w:p w:rsidR="001F4E7A" w:rsidRDefault="0032792E">
      <w:pPr>
        <w:shd w:val="clear" w:color="auto" w:fill="FFFFFF"/>
        <w:ind w:left="851" w:right="814"/>
        <w:jc w:val="center"/>
        <w:rPr>
          <w:rFonts w:ascii="Palatino Linotype" w:hAnsi="Palatino Linotype"/>
          <w:b/>
          <w:bCs/>
          <w:i/>
          <w:iCs/>
          <w:sz w:val="22"/>
          <w:szCs w:val="22"/>
          <w:lang w:eastAsia="es-MX"/>
        </w:rPr>
      </w:pPr>
      <w:r>
        <w:rPr>
          <w:rFonts w:ascii="Palatino Linotype" w:hAnsi="Palatino Linotype"/>
          <w:b/>
          <w:bCs/>
          <w:i/>
          <w:iCs/>
          <w:sz w:val="22"/>
          <w:szCs w:val="22"/>
          <w:lang w:eastAsia="es-MX"/>
        </w:rPr>
        <w:t>Constitución Política de los Estados Unidos Mexicanos</w:t>
      </w:r>
    </w:p>
    <w:p w:rsidR="001F4E7A" w:rsidRDefault="001F4E7A">
      <w:pPr>
        <w:shd w:val="clear" w:color="auto" w:fill="FFFFFF"/>
        <w:ind w:left="851" w:right="814"/>
        <w:jc w:val="center"/>
        <w:rPr>
          <w:lang w:eastAsia="es-MX"/>
        </w:rPr>
      </w:pPr>
    </w:p>
    <w:p w:rsidR="001F4E7A" w:rsidRDefault="0032792E">
      <w:pPr>
        <w:shd w:val="clear" w:color="auto" w:fill="FFFFFF"/>
        <w:ind w:left="851" w:right="814"/>
        <w:jc w:val="both"/>
        <w:rPr>
          <w:lang w:eastAsia="es-MX"/>
        </w:rPr>
      </w:pPr>
      <w:r>
        <w:rPr>
          <w:rFonts w:ascii="Palatino Linotype" w:hAnsi="Palatino Linotype"/>
          <w:i/>
          <w:iCs/>
          <w:sz w:val="22"/>
          <w:szCs w:val="22"/>
          <w:lang w:eastAsia="es-MX"/>
        </w:rPr>
        <w:t>“</w:t>
      </w:r>
      <w:r>
        <w:rPr>
          <w:rFonts w:ascii="Palatino Linotype" w:hAnsi="Palatino Linotype"/>
          <w:b/>
          <w:bCs/>
          <w:i/>
          <w:iCs/>
          <w:sz w:val="22"/>
          <w:szCs w:val="22"/>
          <w:lang w:eastAsia="es-MX"/>
        </w:rPr>
        <w:t>Artículo 6o.</w:t>
      </w:r>
      <w:r>
        <w:rPr>
          <w:rFonts w:ascii="Palatino Linotype" w:hAnsi="Palatino Linotype"/>
          <w:i/>
          <w:iCs/>
          <w:sz w:val="22"/>
          <w:szCs w:val="22"/>
          <w:lang w:eastAsia="es-MX"/>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hAnsi="Palatino Linotype"/>
          <w:b/>
          <w:bCs/>
          <w:i/>
          <w:iCs/>
          <w:sz w:val="22"/>
          <w:szCs w:val="22"/>
          <w:lang w:eastAsia="es-MX"/>
        </w:rPr>
        <w:t>El derecho a la información será garantizado por el Estado.</w:t>
      </w:r>
    </w:p>
    <w:p w:rsidR="001F4E7A" w:rsidRDefault="001F4E7A">
      <w:pPr>
        <w:shd w:val="clear" w:color="auto" w:fill="FFFFFF"/>
        <w:ind w:left="851" w:right="814"/>
        <w:jc w:val="both"/>
        <w:rPr>
          <w:rFonts w:ascii="Palatino Linotype" w:hAnsi="Palatino Linotype"/>
          <w:b/>
          <w:bCs/>
          <w:i/>
          <w:iCs/>
          <w:sz w:val="22"/>
          <w:szCs w:val="22"/>
          <w:lang w:eastAsia="es-MX"/>
        </w:rPr>
      </w:pPr>
    </w:p>
    <w:p w:rsidR="001F4E7A" w:rsidRDefault="0032792E">
      <w:pPr>
        <w:shd w:val="clear" w:color="auto" w:fill="FFFFFF"/>
        <w:ind w:left="851" w:right="814"/>
        <w:jc w:val="both"/>
        <w:rPr>
          <w:lang w:eastAsia="es-MX"/>
        </w:rPr>
      </w:pPr>
      <w:r>
        <w:rPr>
          <w:rFonts w:ascii="Palatino Linotype" w:hAnsi="Palatino Linotype"/>
          <w:b/>
          <w:bCs/>
          <w:i/>
          <w:iCs/>
          <w:sz w:val="22"/>
          <w:szCs w:val="22"/>
          <w:lang w:eastAsia="es-MX"/>
        </w:rPr>
        <w:t>Toda persona tiene derecho al libre acceso a información plural y oportuna, así como a buscar, recibir y difundir información e ideas de toda índole por cualquier medio de expresión</w:t>
      </w:r>
      <w:r>
        <w:rPr>
          <w:rFonts w:ascii="Palatino Linotype" w:hAnsi="Palatino Linotype"/>
          <w:i/>
          <w:iCs/>
          <w:sz w:val="22"/>
          <w:szCs w:val="22"/>
          <w:lang w:eastAsia="es-MX"/>
        </w:rPr>
        <w:t>.</w:t>
      </w:r>
    </w:p>
    <w:p w:rsidR="001F4E7A" w:rsidRDefault="0032792E">
      <w:pPr>
        <w:shd w:val="clear" w:color="auto" w:fill="FFFFFF"/>
        <w:ind w:left="851" w:right="814"/>
        <w:jc w:val="both"/>
        <w:rPr>
          <w:lang w:eastAsia="es-MX"/>
        </w:rPr>
      </w:pPr>
      <w:r>
        <w:rPr>
          <w:rFonts w:ascii="Palatino Linotype" w:hAnsi="Palatino Linotype"/>
          <w:i/>
          <w:iCs/>
          <w:sz w:val="22"/>
          <w:szCs w:val="22"/>
          <w:lang w:eastAsia="es-MX"/>
        </w:rPr>
        <w:t>Para efectos de lo dispuesto en el presente artículo se observará lo siguiente:</w:t>
      </w:r>
    </w:p>
    <w:p w:rsidR="001F4E7A" w:rsidRDefault="001F4E7A">
      <w:pPr>
        <w:shd w:val="clear" w:color="auto" w:fill="FFFFFF"/>
        <w:ind w:left="851" w:right="814"/>
        <w:jc w:val="both"/>
        <w:rPr>
          <w:rFonts w:ascii="Palatino Linotype" w:hAnsi="Palatino Linotype"/>
          <w:b/>
          <w:bCs/>
          <w:i/>
          <w:iCs/>
          <w:sz w:val="22"/>
          <w:szCs w:val="22"/>
          <w:lang w:eastAsia="es-MX"/>
        </w:rPr>
      </w:pPr>
    </w:p>
    <w:p w:rsidR="001F4E7A" w:rsidRDefault="0032792E">
      <w:pPr>
        <w:shd w:val="clear" w:color="auto" w:fill="FFFFFF"/>
        <w:ind w:left="851" w:right="814"/>
        <w:jc w:val="both"/>
        <w:rPr>
          <w:lang w:eastAsia="es-MX"/>
        </w:rPr>
      </w:pPr>
      <w:r>
        <w:rPr>
          <w:rFonts w:ascii="Palatino Linotype" w:hAnsi="Palatino Linotype"/>
          <w:b/>
          <w:bCs/>
          <w:i/>
          <w:iCs/>
          <w:sz w:val="22"/>
          <w:szCs w:val="22"/>
          <w:lang w:eastAsia="es-MX"/>
        </w:rPr>
        <w:t>A.</w:t>
      </w:r>
      <w:r>
        <w:rPr>
          <w:rFonts w:ascii="Palatino Linotype" w:hAnsi="Palatino Linotype"/>
          <w:i/>
          <w:iCs/>
          <w:sz w:val="22"/>
          <w:szCs w:val="22"/>
          <w:lang w:eastAsia="es-MX"/>
        </w:rPr>
        <w:t> Para el ejercicio del derecho de acceso a la información, la Federación, los Estados y el Distrito Federal, en el ámbito de sus respectivas competencias, se regirán por los siguientes principios y bases:</w:t>
      </w:r>
    </w:p>
    <w:p w:rsidR="001F4E7A" w:rsidRDefault="001F4E7A">
      <w:pPr>
        <w:shd w:val="clear" w:color="auto" w:fill="FFFFFF"/>
        <w:ind w:left="851" w:right="814"/>
        <w:jc w:val="both"/>
        <w:rPr>
          <w:rFonts w:ascii="Palatino Linotype" w:hAnsi="Palatino Linotype"/>
          <w:b/>
          <w:bCs/>
          <w:i/>
          <w:iCs/>
          <w:sz w:val="22"/>
          <w:szCs w:val="22"/>
          <w:lang w:eastAsia="es-MX"/>
        </w:rPr>
      </w:pPr>
    </w:p>
    <w:p w:rsidR="001F4E7A" w:rsidRDefault="0032792E">
      <w:pPr>
        <w:shd w:val="clear" w:color="auto" w:fill="FFFFFF"/>
        <w:ind w:left="851" w:right="814"/>
        <w:jc w:val="both"/>
        <w:rPr>
          <w:lang w:eastAsia="es-MX"/>
        </w:rPr>
      </w:pPr>
      <w:r>
        <w:rPr>
          <w:rFonts w:ascii="Palatino Linotype" w:hAnsi="Palatino Linotype"/>
          <w:b/>
          <w:bCs/>
          <w:i/>
          <w:iCs/>
          <w:sz w:val="22"/>
          <w:szCs w:val="22"/>
          <w:lang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F4E7A" w:rsidRDefault="0032792E">
      <w:pPr>
        <w:shd w:val="clear" w:color="auto" w:fill="FFFFFF"/>
        <w:ind w:left="851" w:right="814"/>
        <w:jc w:val="both"/>
        <w:rPr>
          <w:lang w:eastAsia="es-MX"/>
        </w:rPr>
      </w:pPr>
      <w:r>
        <w:rPr>
          <w:rFonts w:ascii="Palatino Linotype" w:hAnsi="Palatino Linotype"/>
          <w:i/>
          <w:iCs/>
          <w:sz w:val="22"/>
          <w:szCs w:val="22"/>
          <w:lang w:eastAsia="es-MX"/>
        </w:rPr>
        <w:t>…</w:t>
      </w:r>
    </w:p>
    <w:p w:rsidR="001F4E7A" w:rsidRDefault="001F4E7A">
      <w:pPr>
        <w:shd w:val="clear" w:color="auto" w:fill="FFFFFF"/>
        <w:ind w:left="851" w:right="814"/>
        <w:jc w:val="both"/>
        <w:rPr>
          <w:rFonts w:ascii="Palatino Linotype" w:hAnsi="Palatino Linotype"/>
          <w:b/>
          <w:bCs/>
          <w:i/>
          <w:iCs/>
          <w:sz w:val="22"/>
          <w:szCs w:val="22"/>
          <w:lang w:eastAsia="es-MX"/>
        </w:rPr>
      </w:pPr>
    </w:p>
    <w:p w:rsidR="001F4E7A" w:rsidRDefault="0032792E">
      <w:pPr>
        <w:shd w:val="clear" w:color="auto" w:fill="FFFFFF"/>
        <w:ind w:left="851" w:right="814"/>
        <w:jc w:val="both"/>
        <w:rPr>
          <w:lang w:eastAsia="es-MX"/>
        </w:rPr>
      </w:pPr>
      <w:r>
        <w:rPr>
          <w:rFonts w:ascii="Palatino Linotype" w:hAnsi="Palatino Linotype"/>
          <w:b/>
          <w:bCs/>
          <w:i/>
          <w:iCs/>
          <w:sz w:val="22"/>
          <w:szCs w:val="22"/>
          <w:lang w:eastAsia="es-MX"/>
        </w:rPr>
        <w:t>III. Toda persona, sin necesidad de acreditar interés alguno o justificar su utilización, tendrá acceso gratuito a la información pública, a sus datos personales o a la rectificación de éstos.</w:t>
      </w:r>
    </w:p>
    <w:p w:rsidR="001F4E7A" w:rsidRDefault="0032792E">
      <w:pPr>
        <w:shd w:val="clear" w:color="auto" w:fill="FFFFFF"/>
        <w:ind w:left="851" w:right="814"/>
        <w:jc w:val="both"/>
        <w:rPr>
          <w:lang w:eastAsia="es-MX"/>
        </w:rPr>
      </w:pPr>
      <w:r>
        <w:rPr>
          <w:rFonts w:ascii="Palatino Linotype" w:hAnsi="Palatino Linotype"/>
          <w:i/>
          <w:iCs/>
          <w:sz w:val="22"/>
          <w:szCs w:val="22"/>
          <w:lang w:eastAsia="es-MX"/>
        </w:rPr>
        <w:lastRenderedPageBreak/>
        <w:t>…</w:t>
      </w:r>
    </w:p>
    <w:p w:rsidR="001F4E7A" w:rsidRDefault="001F4E7A">
      <w:pPr>
        <w:shd w:val="clear" w:color="auto" w:fill="FFFFFF"/>
        <w:ind w:left="851" w:right="814"/>
        <w:jc w:val="both"/>
        <w:rPr>
          <w:rFonts w:ascii="Palatino Linotype" w:hAnsi="Palatino Linotype"/>
          <w:b/>
          <w:bCs/>
          <w:i/>
          <w:iCs/>
          <w:sz w:val="22"/>
          <w:szCs w:val="22"/>
          <w:lang w:eastAsia="es-MX"/>
        </w:rPr>
      </w:pPr>
    </w:p>
    <w:p w:rsidR="001F4E7A" w:rsidRDefault="0032792E">
      <w:pPr>
        <w:shd w:val="clear" w:color="auto" w:fill="FFFFFF"/>
        <w:ind w:left="851" w:right="814"/>
        <w:jc w:val="both"/>
        <w:rPr>
          <w:lang w:eastAsia="es-MX"/>
        </w:rPr>
      </w:pPr>
      <w:r>
        <w:rPr>
          <w:rFonts w:ascii="Palatino Linotype" w:hAnsi="Palatino Linotype"/>
          <w:b/>
          <w:bCs/>
          <w:i/>
          <w:iCs/>
          <w:sz w:val="22"/>
          <w:szCs w:val="22"/>
          <w:lang w:eastAsia="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F4E7A" w:rsidRDefault="001F4E7A">
      <w:pPr>
        <w:shd w:val="clear" w:color="auto" w:fill="FFFFFF"/>
        <w:ind w:left="851" w:right="814"/>
        <w:jc w:val="both"/>
        <w:rPr>
          <w:rFonts w:ascii="Palatino Linotype" w:hAnsi="Palatino Linotype"/>
          <w:b/>
          <w:bCs/>
          <w:i/>
          <w:iCs/>
          <w:sz w:val="22"/>
          <w:szCs w:val="22"/>
          <w:lang w:eastAsia="es-MX"/>
        </w:rPr>
      </w:pPr>
    </w:p>
    <w:p w:rsidR="001F4E7A" w:rsidRDefault="0032792E">
      <w:pPr>
        <w:shd w:val="clear" w:color="auto" w:fill="FFFFFF"/>
        <w:ind w:left="851" w:right="814"/>
        <w:jc w:val="both"/>
        <w:rPr>
          <w:lang w:eastAsia="es-MX"/>
        </w:rPr>
      </w:pPr>
      <w:r>
        <w:rPr>
          <w:rFonts w:ascii="Palatino Linotype" w:hAnsi="Palatino Linotype"/>
          <w:b/>
          <w:bCs/>
          <w:i/>
          <w:iCs/>
          <w:sz w:val="22"/>
          <w:szCs w:val="22"/>
          <w:lang w:eastAsia="es-MX"/>
        </w:rPr>
        <w:t>VI. Las leyes determinarán la manera en que los sujetos obligados deberán hacer pública la información relativa a los recursos públicos que entreguen a personas físicas o morales</w:t>
      </w:r>
      <w:r>
        <w:rPr>
          <w:rFonts w:ascii="Palatino Linotype" w:hAnsi="Palatino Linotype"/>
          <w:i/>
          <w:iCs/>
          <w:sz w:val="22"/>
          <w:szCs w:val="22"/>
          <w:lang w:eastAsia="es-MX"/>
        </w:rPr>
        <w:t>.”</w:t>
      </w:r>
    </w:p>
    <w:p w:rsidR="001F4E7A" w:rsidRDefault="0032792E">
      <w:pPr>
        <w:shd w:val="clear" w:color="auto" w:fill="FFFFFF"/>
        <w:ind w:left="851" w:right="814"/>
        <w:jc w:val="both"/>
        <w:rPr>
          <w:lang w:eastAsia="es-MX"/>
        </w:rPr>
      </w:pPr>
      <w:r>
        <w:rPr>
          <w:rFonts w:ascii="Palatino Linotype" w:hAnsi="Palatino Linotype"/>
          <w:i/>
          <w:iCs/>
          <w:sz w:val="22"/>
          <w:szCs w:val="22"/>
          <w:lang w:eastAsia="es-MX"/>
        </w:rPr>
        <w:t>…</w:t>
      </w:r>
    </w:p>
    <w:p w:rsidR="001F4E7A" w:rsidRDefault="001F4E7A">
      <w:pPr>
        <w:shd w:val="clear" w:color="auto" w:fill="FFFFFF"/>
        <w:ind w:left="851" w:right="814"/>
        <w:jc w:val="both"/>
        <w:rPr>
          <w:rFonts w:ascii="Palatino Linotype" w:hAnsi="Palatino Linotype"/>
          <w:b/>
          <w:bCs/>
          <w:i/>
          <w:iCs/>
          <w:sz w:val="22"/>
          <w:szCs w:val="22"/>
          <w:lang w:eastAsia="es-MX"/>
        </w:rPr>
      </w:pPr>
    </w:p>
    <w:p w:rsidR="001F4E7A" w:rsidRDefault="0032792E">
      <w:pPr>
        <w:shd w:val="clear" w:color="auto" w:fill="FFFFFF"/>
        <w:ind w:left="851" w:right="814"/>
        <w:jc w:val="both"/>
        <w:rPr>
          <w:lang w:eastAsia="es-MX"/>
        </w:rPr>
      </w:pPr>
      <w:r>
        <w:rPr>
          <w:rFonts w:ascii="Palatino Linotype" w:hAnsi="Palatino Linotype"/>
          <w:b/>
          <w:bCs/>
          <w:i/>
          <w:iCs/>
          <w:sz w:val="22"/>
          <w:szCs w:val="22"/>
          <w:lang w:eastAsia="es-MX"/>
        </w:rPr>
        <w:t>La ley establecerá aquella información que se considere reservada o confidencial.</w:t>
      </w:r>
    </w:p>
    <w:p w:rsidR="001F4E7A" w:rsidRDefault="001F4E7A">
      <w:pPr>
        <w:shd w:val="clear" w:color="auto" w:fill="FFFFFF"/>
        <w:ind w:left="851" w:right="814"/>
        <w:jc w:val="center"/>
        <w:rPr>
          <w:rFonts w:ascii="Palatino Linotype" w:hAnsi="Palatino Linotype"/>
          <w:b/>
          <w:bCs/>
          <w:i/>
          <w:iCs/>
          <w:sz w:val="22"/>
          <w:szCs w:val="22"/>
          <w:lang w:eastAsia="es-MX"/>
        </w:rPr>
      </w:pPr>
    </w:p>
    <w:p w:rsidR="001F4E7A" w:rsidRDefault="001F4E7A">
      <w:pPr>
        <w:shd w:val="clear" w:color="auto" w:fill="FFFFFF"/>
        <w:ind w:left="851" w:right="814"/>
        <w:jc w:val="center"/>
        <w:rPr>
          <w:rFonts w:ascii="Palatino Linotype" w:hAnsi="Palatino Linotype"/>
          <w:b/>
          <w:bCs/>
          <w:i/>
          <w:iCs/>
          <w:sz w:val="22"/>
          <w:szCs w:val="22"/>
          <w:lang w:eastAsia="es-MX"/>
        </w:rPr>
      </w:pPr>
    </w:p>
    <w:p w:rsidR="001F4E7A" w:rsidRDefault="0032792E">
      <w:pPr>
        <w:shd w:val="clear" w:color="auto" w:fill="FFFFFF"/>
        <w:ind w:left="851" w:right="814"/>
        <w:jc w:val="center"/>
        <w:rPr>
          <w:lang w:eastAsia="es-MX"/>
        </w:rPr>
      </w:pPr>
      <w:r>
        <w:rPr>
          <w:rFonts w:ascii="Palatino Linotype" w:hAnsi="Palatino Linotype"/>
          <w:b/>
          <w:bCs/>
          <w:i/>
          <w:iCs/>
          <w:sz w:val="22"/>
          <w:szCs w:val="22"/>
          <w:lang w:eastAsia="es-MX"/>
        </w:rPr>
        <w:t>Constitución Política del Estado Libre y Soberano de México</w:t>
      </w:r>
    </w:p>
    <w:p w:rsidR="001F4E7A" w:rsidRDefault="001F4E7A">
      <w:pPr>
        <w:shd w:val="clear" w:color="auto" w:fill="FFFFFF"/>
        <w:ind w:left="851" w:right="814"/>
        <w:jc w:val="both"/>
        <w:rPr>
          <w:rFonts w:ascii="Palatino Linotype" w:hAnsi="Palatino Linotype"/>
          <w:i/>
          <w:iCs/>
          <w:sz w:val="22"/>
          <w:szCs w:val="22"/>
          <w:lang w:eastAsia="es-MX"/>
        </w:rPr>
      </w:pPr>
    </w:p>
    <w:p w:rsidR="001F4E7A" w:rsidRDefault="0032792E">
      <w:pPr>
        <w:shd w:val="clear" w:color="auto" w:fill="FFFFFF"/>
        <w:ind w:left="851" w:right="814"/>
        <w:jc w:val="both"/>
        <w:rPr>
          <w:lang w:eastAsia="es-MX"/>
        </w:rPr>
      </w:pPr>
      <w:r>
        <w:rPr>
          <w:rFonts w:ascii="Palatino Linotype" w:hAnsi="Palatino Linotype"/>
          <w:i/>
          <w:iCs/>
          <w:sz w:val="22"/>
          <w:szCs w:val="22"/>
          <w:lang w:eastAsia="es-MX"/>
        </w:rPr>
        <w:t>“</w:t>
      </w:r>
      <w:r>
        <w:rPr>
          <w:rFonts w:ascii="Palatino Linotype" w:hAnsi="Palatino Linotype"/>
          <w:b/>
          <w:bCs/>
          <w:i/>
          <w:iCs/>
          <w:sz w:val="22"/>
          <w:szCs w:val="22"/>
          <w:lang w:eastAsia="es-MX"/>
        </w:rPr>
        <w:t>Artículo 5. </w:t>
      </w:r>
      <w:r>
        <w:rPr>
          <w:rFonts w:ascii="Palatino Linotype" w:hAnsi="Palatino Linotype"/>
          <w:i/>
          <w:iCs/>
          <w:sz w:val="22"/>
          <w:szCs w:val="22"/>
          <w:lang w:eastAsia="es-MX"/>
        </w:rPr>
        <w:t>…</w:t>
      </w:r>
    </w:p>
    <w:p w:rsidR="001F4E7A" w:rsidRDefault="0032792E">
      <w:pPr>
        <w:shd w:val="clear" w:color="auto" w:fill="FFFFFF"/>
        <w:ind w:left="851" w:right="814"/>
        <w:jc w:val="both"/>
        <w:rPr>
          <w:lang w:eastAsia="es-MX"/>
        </w:rPr>
      </w:pPr>
      <w:r>
        <w:rPr>
          <w:rFonts w:ascii="Palatino Linotype" w:hAnsi="Palatino Linotype"/>
          <w:i/>
          <w:iCs/>
          <w:sz w:val="22"/>
          <w:szCs w:val="22"/>
          <w:lang w:eastAsia="es-MX"/>
        </w:rPr>
        <w:t>…</w:t>
      </w:r>
    </w:p>
    <w:p w:rsidR="001F4E7A" w:rsidRDefault="0032792E">
      <w:pPr>
        <w:shd w:val="clear" w:color="auto" w:fill="FFFFFF"/>
        <w:ind w:left="851" w:right="814"/>
        <w:jc w:val="both"/>
        <w:rPr>
          <w:lang w:eastAsia="es-MX"/>
        </w:rPr>
      </w:pPr>
      <w:r>
        <w:rPr>
          <w:rFonts w:ascii="Palatino Linotype" w:hAnsi="Palatino Linotype"/>
          <w:b/>
          <w:bCs/>
          <w:i/>
          <w:iCs/>
          <w:sz w:val="22"/>
          <w:szCs w:val="22"/>
          <w:lang w:eastAsia="es-MX"/>
        </w:rPr>
        <w:t>El derecho a la información será garantizado por el Estado</w:t>
      </w:r>
      <w:r>
        <w:rPr>
          <w:rFonts w:ascii="Palatino Linotype" w:hAnsi="Palatino Linotype"/>
          <w:i/>
          <w:iCs/>
          <w:sz w:val="22"/>
          <w:szCs w:val="22"/>
          <w:lang w:eastAsia="es-MX"/>
        </w:rPr>
        <w:t>. La ley establecerá las previsiones que permitan asegurar la protección, el respeto y la difusión de este derecho.</w:t>
      </w:r>
    </w:p>
    <w:p w:rsidR="001F4E7A" w:rsidRDefault="001F4E7A">
      <w:pPr>
        <w:shd w:val="clear" w:color="auto" w:fill="FFFFFF"/>
        <w:ind w:left="851" w:right="814"/>
        <w:jc w:val="both"/>
        <w:rPr>
          <w:rFonts w:ascii="Palatino Linotype" w:hAnsi="Palatino Linotype"/>
          <w:i/>
          <w:iCs/>
          <w:sz w:val="22"/>
          <w:szCs w:val="22"/>
          <w:lang w:eastAsia="es-MX"/>
        </w:rPr>
      </w:pPr>
    </w:p>
    <w:p w:rsidR="001F4E7A" w:rsidRDefault="0032792E">
      <w:pPr>
        <w:shd w:val="clear" w:color="auto" w:fill="FFFFFF"/>
        <w:ind w:left="851" w:right="814"/>
        <w:jc w:val="both"/>
        <w:rPr>
          <w:lang w:eastAsia="es-MX"/>
        </w:rPr>
      </w:pPr>
      <w:r>
        <w:rPr>
          <w:rFonts w:ascii="Palatino Linotype" w:hAnsi="Palatino Linotype"/>
          <w:i/>
          <w:iCs/>
          <w:sz w:val="22"/>
          <w:szCs w:val="22"/>
          <w:lang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F4E7A" w:rsidRDefault="001F4E7A">
      <w:pPr>
        <w:shd w:val="clear" w:color="auto" w:fill="FFFFFF"/>
        <w:ind w:left="851" w:right="814"/>
        <w:jc w:val="both"/>
        <w:rPr>
          <w:rFonts w:ascii="Palatino Linotype" w:hAnsi="Palatino Linotype"/>
          <w:i/>
          <w:iCs/>
          <w:sz w:val="22"/>
          <w:szCs w:val="22"/>
          <w:lang w:eastAsia="es-MX"/>
        </w:rPr>
      </w:pPr>
    </w:p>
    <w:p w:rsidR="001F4E7A" w:rsidRDefault="0032792E">
      <w:pPr>
        <w:shd w:val="clear" w:color="auto" w:fill="FFFFFF"/>
        <w:ind w:left="851" w:right="814"/>
        <w:jc w:val="both"/>
        <w:rPr>
          <w:lang w:eastAsia="es-MX"/>
        </w:rPr>
      </w:pPr>
      <w:r>
        <w:rPr>
          <w:rFonts w:ascii="Palatino Linotype" w:hAnsi="Palatino Linotype"/>
          <w:i/>
          <w:iCs/>
          <w:sz w:val="22"/>
          <w:szCs w:val="22"/>
          <w:lang w:eastAsia="es-MX"/>
        </w:rPr>
        <w:t>Este derecho se regirá por los principios y bases siguientes:</w:t>
      </w:r>
    </w:p>
    <w:p w:rsidR="001F4E7A" w:rsidRDefault="001F4E7A">
      <w:pPr>
        <w:shd w:val="clear" w:color="auto" w:fill="FFFFFF"/>
        <w:ind w:left="851" w:right="814"/>
        <w:jc w:val="both"/>
        <w:rPr>
          <w:rFonts w:ascii="Palatino Linotype" w:hAnsi="Palatino Linotype"/>
          <w:b/>
          <w:bCs/>
          <w:i/>
          <w:iCs/>
          <w:sz w:val="22"/>
          <w:szCs w:val="22"/>
          <w:lang w:eastAsia="es-MX"/>
        </w:rPr>
      </w:pPr>
    </w:p>
    <w:p w:rsidR="001F4E7A" w:rsidRDefault="0032792E">
      <w:pPr>
        <w:shd w:val="clear" w:color="auto" w:fill="FFFFFF"/>
        <w:ind w:left="851" w:right="814"/>
        <w:jc w:val="both"/>
        <w:rPr>
          <w:lang w:eastAsia="es-MX"/>
        </w:rPr>
      </w:pPr>
      <w:r>
        <w:rPr>
          <w:rFonts w:ascii="Palatino Linotype" w:hAnsi="Palatino Linotype"/>
          <w:b/>
          <w:bCs/>
          <w:i/>
          <w:iCs/>
          <w:sz w:val="22"/>
          <w:szCs w:val="22"/>
          <w:lang w:eastAsia="es-MX"/>
        </w:rPr>
        <w:t>I. Toda la información en posesión de cualquier autoridad, entidad, órgano y organismos de los Poderes Ejecutivo, Legislativo y Judicial, órganos autónomos, partidos políticos, fideicomisos y fondos públicos estatales y municipales,</w:t>
      </w:r>
      <w:r>
        <w:rPr>
          <w:rFonts w:ascii="Palatino Linotype" w:hAnsi="Palatino Linotype"/>
          <w:i/>
          <w:iCs/>
          <w:sz w:val="22"/>
          <w:szCs w:val="22"/>
          <w:lang w:eastAsia="es-MX"/>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w:t>
      </w:r>
      <w:r>
        <w:rPr>
          <w:rFonts w:ascii="Palatino Linotype" w:hAnsi="Palatino Linotype"/>
          <w:i/>
          <w:iCs/>
          <w:sz w:val="22"/>
          <w:szCs w:val="22"/>
          <w:lang w:eastAsia="es-MX"/>
        </w:rPr>
        <w:lastRenderedPageBreak/>
        <w:t>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F4E7A" w:rsidRDefault="0032792E">
      <w:pPr>
        <w:shd w:val="clear" w:color="auto" w:fill="FFFFFF"/>
        <w:ind w:left="851" w:right="814"/>
        <w:jc w:val="both"/>
        <w:rPr>
          <w:lang w:eastAsia="es-MX"/>
        </w:rPr>
      </w:pPr>
      <w:r>
        <w:rPr>
          <w:rFonts w:ascii="Palatino Linotype" w:hAnsi="Palatino Linotype"/>
          <w:i/>
          <w:iCs/>
          <w:sz w:val="22"/>
          <w:szCs w:val="22"/>
          <w:lang w:eastAsia="es-MX"/>
        </w:rPr>
        <w:t>…</w:t>
      </w:r>
    </w:p>
    <w:p w:rsidR="001F4E7A" w:rsidRDefault="001F4E7A">
      <w:pPr>
        <w:shd w:val="clear" w:color="auto" w:fill="FFFFFF"/>
        <w:ind w:left="851" w:right="814"/>
        <w:jc w:val="both"/>
        <w:rPr>
          <w:rFonts w:ascii="Palatino Linotype" w:hAnsi="Palatino Linotype"/>
          <w:b/>
          <w:bCs/>
          <w:i/>
          <w:iCs/>
          <w:sz w:val="22"/>
          <w:szCs w:val="22"/>
          <w:lang w:eastAsia="es-MX"/>
        </w:rPr>
      </w:pPr>
    </w:p>
    <w:p w:rsidR="001F4E7A" w:rsidRDefault="0032792E">
      <w:pPr>
        <w:shd w:val="clear" w:color="auto" w:fill="FFFFFF"/>
        <w:ind w:left="851" w:right="814"/>
        <w:jc w:val="both"/>
        <w:rPr>
          <w:lang w:eastAsia="es-MX"/>
        </w:rPr>
      </w:pPr>
      <w:r>
        <w:rPr>
          <w:rFonts w:ascii="Palatino Linotype" w:hAnsi="Palatino Linotype"/>
          <w:b/>
          <w:bCs/>
          <w:i/>
          <w:iCs/>
          <w:sz w:val="22"/>
          <w:szCs w:val="22"/>
          <w:lang w:eastAsia="es-MX"/>
        </w:rPr>
        <w:t>III. Toda persona, sin necesidad de acreditar interés alguno o justificar su utilización, tendrá acceso gratuito a la información pública, a sus datos personales o a la rectificación de éstos.</w:t>
      </w:r>
      <w:r>
        <w:rPr>
          <w:rFonts w:ascii="Palatino Linotype" w:hAnsi="Palatino Linotype"/>
          <w:i/>
          <w:iCs/>
          <w:sz w:val="22"/>
          <w:szCs w:val="22"/>
          <w:lang w:eastAsia="es-MX"/>
        </w:rPr>
        <w:t>”</w:t>
      </w:r>
    </w:p>
    <w:p w:rsidR="001F4E7A" w:rsidRDefault="001F4E7A">
      <w:pPr>
        <w:shd w:val="clear" w:color="auto" w:fill="FFFFFF"/>
        <w:ind w:left="851" w:right="814"/>
        <w:jc w:val="both"/>
        <w:rPr>
          <w:rFonts w:ascii="Palatino Linotype" w:hAnsi="Palatino Linotype"/>
          <w:sz w:val="22"/>
          <w:szCs w:val="22"/>
          <w:lang w:eastAsia="es-MX"/>
        </w:rPr>
      </w:pPr>
    </w:p>
    <w:p w:rsidR="001F4E7A" w:rsidRDefault="0032792E">
      <w:pPr>
        <w:shd w:val="clear" w:color="auto" w:fill="FFFFFF"/>
        <w:ind w:left="851" w:right="814"/>
        <w:jc w:val="both"/>
        <w:rPr>
          <w:rFonts w:ascii="Palatino Linotype" w:hAnsi="Palatino Linotype"/>
          <w:sz w:val="22"/>
          <w:szCs w:val="22"/>
          <w:lang w:eastAsia="es-MX"/>
        </w:rPr>
      </w:pPr>
      <w:r>
        <w:rPr>
          <w:rFonts w:ascii="Palatino Linotype" w:hAnsi="Palatino Linotype"/>
          <w:sz w:val="22"/>
          <w:szCs w:val="22"/>
          <w:lang w:eastAsia="es-MX"/>
        </w:rPr>
        <w:t>(Énfasis añadido)</w:t>
      </w:r>
    </w:p>
    <w:p w:rsidR="001F4E7A" w:rsidRDefault="001F4E7A">
      <w:pPr>
        <w:shd w:val="clear" w:color="auto" w:fill="FFFFFF"/>
        <w:spacing w:line="360" w:lineRule="auto"/>
        <w:ind w:left="851" w:right="899"/>
        <w:jc w:val="both"/>
        <w:rPr>
          <w:lang w:eastAsia="es-MX"/>
        </w:rPr>
      </w:pPr>
    </w:p>
    <w:p w:rsidR="001F4E7A" w:rsidRDefault="0032792E">
      <w:pPr>
        <w:shd w:val="clear" w:color="auto" w:fill="FFFFFF"/>
        <w:spacing w:line="360" w:lineRule="auto"/>
        <w:jc w:val="both"/>
        <w:rPr>
          <w:rFonts w:ascii="Palatino Linotype" w:hAnsi="Palatino Linotype"/>
          <w:lang w:eastAsia="es-MX"/>
        </w:rPr>
      </w:pPr>
      <w:r>
        <w:rPr>
          <w:rFonts w:ascii="Palatino Linotype" w:hAnsi="Palatino Linotype"/>
          <w:lang w:eastAsia="es-MX"/>
        </w:rPr>
        <w:t>Por otra parte, del contenido del artículo 1 de la Constitución Política de los Estados Unidos Mexicanos, se destaca lo siguiente:</w:t>
      </w:r>
    </w:p>
    <w:p w:rsidR="001F4E7A" w:rsidRDefault="001F4E7A">
      <w:pPr>
        <w:shd w:val="clear" w:color="auto" w:fill="FFFFFF"/>
        <w:spacing w:line="360" w:lineRule="auto"/>
        <w:ind w:left="851" w:right="899"/>
        <w:jc w:val="both"/>
        <w:rPr>
          <w:rFonts w:ascii="Palatino Linotype" w:hAnsi="Palatino Linotype"/>
          <w:i/>
          <w:iCs/>
          <w:sz w:val="22"/>
          <w:szCs w:val="22"/>
          <w:lang w:eastAsia="es-MX"/>
        </w:rPr>
      </w:pPr>
    </w:p>
    <w:p w:rsidR="001F4E7A" w:rsidRDefault="0032792E">
      <w:pPr>
        <w:shd w:val="clear" w:color="auto" w:fill="FFFFFF"/>
        <w:ind w:left="851" w:right="814"/>
        <w:jc w:val="both"/>
        <w:rPr>
          <w:lang w:eastAsia="es-MX"/>
        </w:rPr>
      </w:pPr>
      <w:r>
        <w:rPr>
          <w:rFonts w:ascii="Palatino Linotype" w:hAnsi="Palatino Linotype"/>
          <w:i/>
          <w:iCs/>
          <w:sz w:val="22"/>
          <w:szCs w:val="22"/>
          <w:lang w:eastAsia="es-MX"/>
        </w:rPr>
        <w:t>“</w:t>
      </w:r>
      <w:r>
        <w:rPr>
          <w:rFonts w:ascii="Palatino Linotype" w:hAnsi="Palatino Linotype"/>
          <w:b/>
          <w:bCs/>
          <w:i/>
          <w:iCs/>
          <w:sz w:val="22"/>
          <w:szCs w:val="22"/>
          <w:lang w:eastAsia="es-MX"/>
        </w:rPr>
        <w:t>Artículo 1o</w:t>
      </w:r>
      <w:r>
        <w:rPr>
          <w:rFonts w:ascii="Palatino Linotype" w:hAnsi="Palatino Linotype"/>
          <w:i/>
          <w:iCs/>
          <w:sz w:val="22"/>
          <w:szCs w:val="22"/>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F4E7A" w:rsidRDefault="001F4E7A">
      <w:pPr>
        <w:shd w:val="clear" w:color="auto" w:fill="FFFFFF"/>
        <w:ind w:left="851" w:right="814"/>
        <w:jc w:val="both"/>
        <w:rPr>
          <w:rFonts w:ascii="Palatino Linotype" w:hAnsi="Palatino Linotype"/>
          <w:b/>
          <w:bCs/>
          <w:i/>
          <w:iCs/>
          <w:sz w:val="22"/>
          <w:szCs w:val="22"/>
          <w:lang w:eastAsia="es-MX"/>
        </w:rPr>
      </w:pPr>
    </w:p>
    <w:p w:rsidR="001F4E7A" w:rsidRDefault="0032792E">
      <w:pPr>
        <w:shd w:val="clear" w:color="auto" w:fill="FFFFFF"/>
        <w:ind w:left="851" w:right="814"/>
        <w:jc w:val="both"/>
        <w:rPr>
          <w:lang w:eastAsia="es-MX"/>
        </w:rPr>
      </w:pPr>
      <w:r>
        <w:rPr>
          <w:rFonts w:ascii="Palatino Linotype" w:hAnsi="Palatino Linotype"/>
          <w:b/>
          <w:bCs/>
          <w:i/>
          <w:iCs/>
          <w:sz w:val="22"/>
          <w:szCs w:val="22"/>
          <w:lang w:eastAsia="es-MX"/>
        </w:rPr>
        <w:t>Las normas relativas a los derechos humanos se interpretarán</w:t>
      </w:r>
      <w:r>
        <w:rPr>
          <w:rFonts w:ascii="Palatino Linotype" w:hAnsi="Palatino Linotype"/>
          <w:i/>
          <w:iCs/>
          <w:sz w:val="22"/>
          <w:szCs w:val="22"/>
          <w:lang w:eastAsia="es-MX"/>
        </w:rPr>
        <w:t> de conformidad con esta Constitución y con los tratados internacionales de la </w:t>
      </w:r>
      <w:r>
        <w:rPr>
          <w:rFonts w:ascii="Palatino Linotype" w:hAnsi="Palatino Linotype"/>
          <w:b/>
          <w:bCs/>
          <w:i/>
          <w:iCs/>
          <w:sz w:val="22"/>
          <w:szCs w:val="22"/>
          <w:lang w:eastAsia="es-MX"/>
        </w:rPr>
        <w:t>materia favoreciendo en todo tiempo a las personas la protección más amplia.</w:t>
      </w:r>
    </w:p>
    <w:p w:rsidR="001F4E7A" w:rsidRDefault="001F4E7A">
      <w:pPr>
        <w:shd w:val="clear" w:color="auto" w:fill="FFFFFF"/>
        <w:ind w:left="851" w:right="814"/>
        <w:jc w:val="both"/>
        <w:rPr>
          <w:rFonts w:ascii="Palatino Linotype" w:hAnsi="Palatino Linotype"/>
          <w:b/>
          <w:bCs/>
          <w:i/>
          <w:iCs/>
          <w:sz w:val="22"/>
          <w:szCs w:val="22"/>
          <w:lang w:eastAsia="es-MX"/>
        </w:rPr>
      </w:pPr>
    </w:p>
    <w:p w:rsidR="001F4E7A" w:rsidRDefault="0032792E">
      <w:pPr>
        <w:shd w:val="clear" w:color="auto" w:fill="FFFFFF"/>
        <w:ind w:left="851" w:right="814"/>
        <w:jc w:val="both"/>
        <w:rPr>
          <w:lang w:eastAsia="es-MX"/>
        </w:rPr>
      </w:pPr>
      <w:r>
        <w:rPr>
          <w:rFonts w:ascii="Palatino Linotype" w:hAnsi="Palatino Linotype"/>
          <w:b/>
          <w:bCs/>
          <w:i/>
          <w:iCs/>
          <w:sz w:val="22"/>
          <w:szCs w:val="22"/>
          <w:lang w:eastAsia="es-MX"/>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hAnsi="Palatino Linotype"/>
          <w:i/>
          <w:iCs/>
          <w:sz w:val="22"/>
          <w:szCs w:val="22"/>
          <w:lang w:eastAsia="es-MX"/>
        </w:rPr>
        <w:t>. En consecuencia, el Estado deberá prevenir, investigar, sancionar y reparar las violaciones a los derechos humanos, en los términos que establezca la ley.”</w:t>
      </w:r>
    </w:p>
    <w:p w:rsidR="001F4E7A" w:rsidRDefault="001F4E7A">
      <w:pPr>
        <w:shd w:val="clear" w:color="auto" w:fill="FFFFFF"/>
        <w:ind w:left="851" w:right="814"/>
        <w:jc w:val="both"/>
        <w:rPr>
          <w:rFonts w:ascii="Palatino Linotype" w:hAnsi="Palatino Linotype"/>
          <w:sz w:val="22"/>
          <w:szCs w:val="22"/>
          <w:lang w:eastAsia="es-MX"/>
        </w:rPr>
      </w:pPr>
    </w:p>
    <w:p w:rsidR="001F4E7A" w:rsidRDefault="0032792E">
      <w:pPr>
        <w:shd w:val="clear" w:color="auto" w:fill="FFFFFF"/>
        <w:ind w:left="851" w:right="814"/>
        <w:jc w:val="both"/>
        <w:rPr>
          <w:rFonts w:ascii="Palatino Linotype" w:hAnsi="Palatino Linotype"/>
          <w:sz w:val="22"/>
          <w:szCs w:val="22"/>
          <w:lang w:eastAsia="es-MX"/>
        </w:rPr>
      </w:pPr>
      <w:r>
        <w:rPr>
          <w:rFonts w:ascii="Palatino Linotype" w:hAnsi="Palatino Linotype"/>
          <w:sz w:val="22"/>
          <w:szCs w:val="22"/>
          <w:lang w:eastAsia="es-MX"/>
        </w:rPr>
        <w:t>(Énfasis añadido)</w:t>
      </w:r>
    </w:p>
    <w:p w:rsidR="001F4E7A" w:rsidRDefault="001F4E7A">
      <w:pPr>
        <w:shd w:val="clear" w:color="auto" w:fill="FFFFFF"/>
        <w:spacing w:line="360" w:lineRule="auto"/>
        <w:ind w:left="851" w:right="899"/>
        <w:jc w:val="both"/>
        <w:rPr>
          <w:lang w:eastAsia="es-MX"/>
        </w:rPr>
      </w:pPr>
    </w:p>
    <w:p w:rsidR="001F4E7A" w:rsidRDefault="0032792E">
      <w:pPr>
        <w:shd w:val="clear" w:color="auto" w:fill="FFFFFF"/>
        <w:spacing w:line="360" w:lineRule="auto"/>
        <w:jc w:val="both"/>
        <w:rPr>
          <w:lang w:eastAsia="es-MX"/>
        </w:rPr>
      </w:pPr>
      <w:r>
        <w:rPr>
          <w:rFonts w:ascii="Palatino Linotype" w:hAnsi="Palatino Linotype"/>
          <w:lang w:eastAsia="es-MX"/>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F4E7A" w:rsidRDefault="001F4E7A">
      <w:pPr>
        <w:shd w:val="clear" w:color="auto" w:fill="FFFFFF"/>
        <w:spacing w:line="360" w:lineRule="auto"/>
        <w:jc w:val="both"/>
        <w:rPr>
          <w:rFonts w:ascii="Palatino Linotype" w:hAnsi="Palatino Linotype"/>
          <w:lang w:eastAsia="es-MX"/>
        </w:rPr>
      </w:pPr>
    </w:p>
    <w:p w:rsidR="001F4E7A" w:rsidRDefault="0032792E">
      <w:pPr>
        <w:shd w:val="clear" w:color="auto" w:fill="FFFFFF"/>
        <w:spacing w:line="360" w:lineRule="auto"/>
        <w:jc w:val="both"/>
        <w:rPr>
          <w:rFonts w:ascii="Palatino Linotype" w:hAnsi="Palatino Linotype"/>
          <w:lang w:eastAsia="es-MX"/>
        </w:rPr>
      </w:pPr>
      <w:r>
        <w:rPr>
          <w:rFonts w:ascii="Palatino Linotype" w:hAnsi="Palatino Linotype"/>
          <w:lang w:eastAsia="es-MX"/>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1F4E7A" w:rsidRDefault="001F4E7A">
      <w:pPr>
        <w:shd w:val="clear" w:color="auto" w:fill="FFFFFF"/>
        <w:spacing w:line="360" w:lineRule="auto"/>
        <w:jc w:val="both"/>
        <w:rPr>
          <w:lang w:eastAsia="es-MX"/>
        </w:rPr>
      </w:pPr>
    </w:p>
    <w:p w:rsidR="001F4E7A" w:rsidRDefault="0032792E">
      <w:pPr>
        <w:shd w:val="clear" w:color="auto" w:fill="FFFFFF"/>
        <w:ind w:left="709" w:right="814"/>
        <w:jc w:val="both"/>
        <w:rPr>
          <w:lang w:eastAsia="es-MX"/>
        </w:rPr>
      </w:pPr>
      <w:r>
        <w:rPr>
          <w:rFonts w:ascii="Palatino Linotype" w:hAnsi="Palatino Linotype"/>
          <w:sz w:val="22"/>
          <w:szCs w:val="22"/>
          <w:lang w:eastAsia="es-MX"/>
        </w:rPr>
        <w:t>“</w:t>
      </w:r>
      <w:r>
        <w:rPr>
          <w:rFonts w:ascii="Palatino Linotype" w:hAnsi="Palatino Linotype"/>
          <w:b/>
          <w:bCs/>
          <w:i/>
          <w:iCs/>
          <w:sz w:val="22"/>
          <w:szCs w:val="22"/>
          <w:lang w:eastAsia="es-MX"/>
        </w:rPr>
        <w:t>Acceso a información gubernamental. No debe condicionarse a que el solicitante acredite su personalidad, demuestre interés alguno o justifique su utilización.</w:t>
      </w:r>
      <w:r>
        <w:rPr>
          <w:rFonts w:ascii="Palatino Linotype" w:hAnsi="Palatino Linotype"/>
          <w:i/>
          <w:iCs/>
          <w:sz w:val="22"/>
          <w:szCs w:val="22"/>
          <w:lang w:eastAsia="es-MX"/>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F4E7A" w:rsidRDefault="001F4E7A">
      <w:pPr>
        <w:shd w:val="clear" w:color="auto" w:fill="FFFFFF"/>
        <w:ind w:left="709" w:right="814"/>
        <w:jc w:val="both"/>
        <w:rPr>
          <w:rFonts w:ascii="Palatino Linotype" w:hAnsi="Palatino Linotype"/>
          <w:i/>
          <w:iCs/>
          <w:sz w:val="22"/>
          <w:szCs w:val="22"/>
          <w:lang w:eastAsia="es-MX"/>
        </w:rPr>
      </w:pPr>
    </w:p>
    <w:p w:rsidR="001F4E7A" w:rsidRDefault="0032792E">
      <w:pPr>
        <w:shd w:val="clear" w:color="auto" w:fill="FFFFFF"/>
        <w:ind w:left="709" w:right="814"/>
        <w:jc w:val="both"/>
        <w:rPr>
          <w:rFonts w:ascii="Palatino Linotype" w:hAnsi="Palatino Linotype"/>
          <w:i/>
          <w:iCs/>
          <w:sz w:val="22"/>
          <w:szCs w:val="22"/>
          <w:lang w:eastAsia="es-MX"/>
        </w:rPr>
      </w:pPr>
      <w:r>
        <w:rPr>
          <w:rFonts w:ascii="Palatino Linotype" w:hAnsi="Palatino Linotype"/>
          <w:i/>
          <w:iCs/>
          <w:sz w:val="22"/>
          <w:szCs w:val="22"/>
          <w:lang w:eastAsia="es-MX"/>
        </w:rPr>
        <w:t>Resoluciones</w:t>
      </w:r>
    </w:p>
    <w:p w:rsidR="001F4E7A" w:rsidRDefault="001F4E7A">
      <w:pPr>
        <w:shd w:val="clear" w:color="auto" w:fill="FFFFFF"/>
        <w:ind w:left="709" w:right="814"/>
        <w:jc w:val="both"/>
        <w:rPr>
          <w:lang w:eastAsia="es-MX"/>
        </w:rPr>
      </w:pPr>
    </w:p>
    <w:p w:rsidR="001F4E7A" w:rsidRDefault="0032792E">
      <w:pPr>
        <w:shd w:val="clear" w:color="auto" w:fill="FFFFFF"/>
        <w:ind w:left="851" w:right="814" w:hanging="142"/>
        <w:jc w:val="both"/>
        <w:rPr>
          <w:rFonts w:ascii="Palatino Linotype" w:hAnsi="Palatino Linotype"/>
          <w:i/>
          <w:iCs/>
          <w:sz w:val="22"/>
          <w:szCs w:val="22"/>
          <w:lang w:eastAsia="es-MX"/>
        </w:rPr>
      </w:pPr>
      <w:r>
        <w:rPr>
          <w:rFonts w:ascii="Palatino Linotype" w:hAnsi="Palatino Linotype"/>
          <w:b/>
          <w:bCs/>
          <w:i/>
          <w:iCs/>
          <w:sz w:val="22"/>
          <w:szCs w:val="22"/>
          <w:lang w:eastAsia="es-MX"/>
        </w:rPr>
        <w:lastRenderedPageBreak/>
        <w:t>• RDA 5275/13</w:t>
      </w:r>
      <w:r>
        <w:rPr>
          <w:rFonts w:ascii="Palatino Linotype" w:hAnsi="Palatino Linotype"/>
          <w:i/>
          <w:iCs/>
          <w:sz w:val="22"/>
          <w:szCs w:val="22"/>
          <w:lang w:eastAsia="es-MX"/>
        </w:rPr>
        <w:t>. Interpuesto en contra de la Secretaría de la Defensa Nacional. Comisionado Ponente Ángel Trinidad Zaldívar.</w:t>
      </w:r>
    </w:p>
    <w:p w:rsidR="001F4E7A" w:rsidRDefault="0032792E">
      <w:pPr>
        <w:shd w:val="clear" w:color="auto" w:fill="FFFFFF"/>
        <w:ind w:left="851" w:right="814" w:hanging="142"/>
        <w:jc w:val="both"/>
        <w:rPr>
          <w:lang w:eastAsia="es-MX"/>
        </w:rPr>
      </w:pPr>
      <w:r>
        <w:rPr>
          <w:rFonts w:ascii="Palatino Linotype" w:hAnsi="Palatino Linotype"/>
          <w:i/>
          <w:iCs/>
          <w:sz w:val="22"/>
          <w:szCs w:val="22"/>
          <w:lang w:eastAsia="es-MX"/>
        </w:rPr>
        <w:t>• </w:t>
      </w:r>
      <w:r>
        <w:rPr>
          <w:rFonts w:ascii="Palatino Linotype" w:hAnsi="Palatino Linotype"/>
          <w:b/>
          <w:bCs/>
          <w:i/>
          <w:iCs/>
          <w:sz w:val="22"/>
          <w:szCs w:val="22"/>
          <w:lang w:eastAsia="es-MX"/>
        </w:rPr>
        <w:t>RDA 2937/13</w:t>
      </w:r>
      <w:r>
        <w:rPr>
          <w:rFonts w:ascii="Palatino Linotype" w:hAnsi="Palatino Linotype"/>
          <w:i/>
          <w:iCs/>
          <w:sz w:val="22"/>
          <w:szCs w:val="22"/>
          <w:lang w:eastAsia="es-MX"/>
        </w:rPr>
        <w:t>. Interpuesto en contra de LICONSA, S.A. de C.V. Comisionado. Ponente Gerardo Laveaga Rendón.</w:t>
      </w:r>
    </w:p>
    <w:p w:rsidR="001F4E7A" w:rsidRDefault="0032792E">
      <w:pPr>
        <w:shd w:val="clear" w:color="auto" w:fill="FFFFFF"/>
        <w:ind w:left="851" w:right="814" w:hanging="142"/>
        <w:jc w:val="both"/>
        <w:rPr>
          <w:lang w:eastAsia="es-MX"/>
        </w:rPr>
      </w:pPr>
      <w:r>
        <w:rPr>
          <w:rFonts w:ascii="Palatino Linotype" w:hAnsi="Palatino Linotype"/>
          <w:i/>
          <w:iCs/>
          <w:sz w:val="22"/>
          <w:szCs w:val="22"/>
          <w:lang w:eastAsia="es-MX"/>
        </w:rPr>
        <w:t>• </w:t>
      </w:r>
      <w:r>
        <w:rPr>
          <w:rFonts w:ascii="Palatino Linotype" w:hAnsi="Palatino Linotype"/>
          <w:b/>
          <w:bCs/>
          <w:i/>
          <w:iCs/>
          <w:sz w:val="22"/>
          <w:szCs w:val="22"/>
          <w:lang w:eastAsia="es-MX"/>
        </w:rPr>
        <w:t>RDA 3609/12</w:t>
      </w:r>
      <w:r>
        <w:rPr>
          <w:rFonts w:ascii="Palatino Linotype" w:hAnsi="Palatino Linotype"/>
          <w:i/>
          <w:iCs/>
          <w:sz w:val="22"/>
          <w:szCs w:val="22"/>
          <w:lang w:eastAsia="es-MX"/>
        </w:rPr>
        <w:t>. Interpuesto en contra de la Secretaría de Educación Pública. Comisionada Ponente Sigrid Arzt Colunga.</w:t>
      </w:r>
    </w:p>
    <w:p w:rsidR="001F4E7A" w:rsidRDefault="0032792E">
      <w:pPr>
        <w:shd w:val="clear" w:color="auto" w:fill="FFFFFF"/>
        <w:ind w:left="851" w:right="814" w:hanging="142"/>
        <w:jc w:val="both"/>
        <w:rPr>
          <w:lang w:eastAsia="es-MX"/>
        </w:rPr>
      </w:pPr>
      <w:r>
        <w:rPr>
          <w:rFonts w:ascii="Palatino Linotype" w:hAnsi="Palatino Linotype"/>
          <w:i/>
          <w:iCs/>
          <w:sz w:val="22"/>
          <w:szCs w:val="22"/>
          <w:lang w:eastAsia="es-MX"/>
        </w:rPr>
        <w:t>• </w:t>
      </w:r>
      <w:r>
        <w:rPr>
          <w:rFonts w:ascii="Palatino Linotype" w:hAnsi="Palatino Linotype"/>
          <w:b/>
          <w:bCs/>
          <w:i/>
          <w:iCs/>
          <w:sz w:val="22"/>
          <w:szCs w:val="22"/>
          <w:lang w:eastAsia="es-MX"/>
        </w:rPr>
        <w:t>RDA 3361/12</w:t>
      </w:r>
      <w:r>
        <w:rPr>
          <w:rFonts w:ascii="Palatino Linotype" w:hAnsi="Palatino Linotype"/>
          <w:i/>
          <w:iCs/>
          <w:sz w:val="22"/>
          <w:szCs w:val="22"/>
          <w:lang w:eastAsia="es-MX"/>
        </w:rPr>
        <w:t>. Interpuesto en contra del Servicio de Administración Tributaria. Comisionada Ponente María Elena Pérez-Jaén Zermeño.</w:t>
      </w:r>
    </w:p>
    <w:p w:rsidR="001F4E7A" w:rsidRDefault="0032792E">
      <w:pPr>
        <w:shd w:val="clear" w:color="auto" w:fill="FFFFFF"/>
        <w:ind w:left="851" w:right="814" w:hanging="142"/>
        <w:jc w:val="both"/>
        <w:rPr>
          <w:rFonts w:ascii="Palatino Linotype" w:hAnsi="Palatino Linotype"/>
          <w:i/>
          <w:iCs/>
          <w:sz w:val="22"/>
          <w:szCs w:val="22"/>
          <w:lang w:eastAsia="es-MX"/>
        </w:rPr>
      </w:pPr>
      <w:r>
        <w:rPr>
          <w:rFonts w:ascii="Palatino Linotype" w:hAnsi="Palatino Linotype"/>
          <w:i/>
          <w:iCs/>
          <w:sz w:val="22"/>
          <w:szCs w:val="22"/>
          <w:lang w:eastAsia="es-MX"/>
        </w:rPr>
        <w:t>• </w:t>
      </w:r>
      <w:r>
        <w:rPr>
          <w:rFonts w:ascii="Palatino Linotype" w:hAnsi="Palatino Linotype"/>
          <w:b/>
          <w:bCs/>
          <w:i/>
          <w:iCs/>
          <w:sz w:val="22"/>
          <w:szCs w:val="22"/>
          <w:lang w:eastAsia="es-MX"/>
        </w:rPr>
        <w:t>RDA 0563/12</w:t>
      </w:r>
      <w:r>
        <w:rPr>
          <w:rFonts w:ascii="Palatino Linotype" w:hAnsi="Palatino Linotype"/>
          <w:i/>
          <w:iCs/>
          <w:sz w:val="22"/>
          <w:szCs w:val="22"/>
          <w:lang w:eastAsia="es-MX"/>
        </w:rPr>
        <w:t>. Interpuesto en contra de la Secretaría de la Función Pública. Comisionada Ponente Jacqueline Peschard Mariscal.” (SIC)</w:t>
      </w:r>
    </w:p>
    <w:p w:rsidR="001F4E7A" w:rsidRDefault="001F4E7A">
      <w:pPr>
        <w:shd w:val="clear" w:color="auto" w:fill="FFFFFF"/>
        <w:spacing w:line="360" w:lineRule="auto"/>
        <w:ind w:left="851" w:right="899"/>
        <w:jc w:val="both"/>
        <w:rPr>
          <w:lang w:eastAsia="es-MX"/>
        </w:rPr>
      </w:pPr>
    </w:p>
    <w:p w:rsidR="001F4E7A" w:rsidRDefault="0032792E">
      <w:pPr>
        <w:shd w:val="clear" w:color="auto" w:fill="FFFFFF"/>
        <w:spacing w:line="360" w:lineRule="auto"/>
        <w:jc w:val="both"/>
        <w:rPr>
          <w:rFonts w:ascii="Palatino Linotype" w:hAnsi="Palatino Linotype"/>
          <w:lang w:eastAsia="es-MX"/>
        </w:rPr>
      </w:pPr>
      <w:r>
        <w:rPr>
          <w:rFonts w:ascii="Palatino Linotype" w:hAnsi="Palatino Linotype"/>
          <w:lang w:eastAsia="es-MX"/>
        </w:rPr>
        <w:t>En ese orden de ideas, se estima que el requerimiento relativo al nombre como presupuesto de procedibilidad, podría limitar el ejercicio del derecho de acceso a la información pública, debido a que, el hecho de solicitar la identificación del hoy </w:t>
      </w:r>
      <w:r>
        <w:rPr>
          <w:rFonts w:ascii="Palatino Linotype" w:hAnsi="Palatino Linotype"/>
          <w:b/>
          <w:bCs/>
          <w:lang w:eastAsia="es-MX"/>
        </w:rPr>
        <w:t>RECURRENTE</w:t>
      </w:r>
      <w:r>
        <w:rPr>
          <w:rFonts w:ascii="Palatino Linotype" w:hAnsi="Palatino Linotype"/>
          <w:lang w:eastAsia="es-MX"/>
        </w:rPr>
        <w:t> a través de dicho dato personal, en ciertos extremos se equipara a una exigencia acerca de su interés o justificación de su utilización, lo que materialmente haría nugatorio un derecho fundamental.</w:t>
      </w:r>
    </w:p>
    <w:p w:rsidR="001F4E7A" w:rsidRDefault="001F4E7A">
      <w:pPr>
        <w:shd w:val="clear" w:color="auto" w:fill="FFFFFF"/>
        <w:spacing w:line="360" w:lineRule="auto"/>
        <w:jc w:val="both"/>
        <w:rPr>
          <w:lang w:eastAsia="es-MX"/>
        </w:rPr>
      </w:pPr>
    </w:p>
    <w:p w:rsidR="001F4E7A" w:rsidRDefault="0032792E">
      <w:pPr>
        <w:shd w:val="clear" w:color="auto" w:fill="FFFFFF"/>
        <w:spacing w:line="360" w:lineRule="auto"/>
        <w:jc w:val="both"/>
        <w:rPr>
          <w:rFonts w:ascii="Palatino Linotype" w:hAnsi="Palatino Linotype"/>
          <w:lang w:eastAsia="es-MX"/>
        </w:rPr>
      </w:pPr>
      <w:r>
        <w:rPr>
          <w:rFonts w:ascii="Palatino Linotype" w:hAnsi="Palatino Linotype"/>
          <w:lang w:eastAsia="es-MX"/>
        </w:rPr>
        <w:t>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rsidR="001F4E7A" w:rsidRDefault="001F4E7A">
      <w:pPr>
        <w:shd w:val="clear" w:color="auto" w:fill="FFFFFF"/>
        <w:spacing w:line="360" w:lineRule="auto"/>
        <w:jc w:val="both"/>
        <w:rPr>
          <w:lang w:eastAsia="es-MX"/>
        </w:rPr>
      </w:pPr>
    </w:p>
    <w:p w:rsidR="001F4E7A" w:rsidRDefault="0032792E">
      <w:pPr>
        <w:shd w:val="clear" w:color="auto" w:fill="FFFFFF"/>
        <w:spacing w:line="360" w:lineRule="auto"/>
        <w:jc w:val="both"/>
        <w:rPr>
          <w:rFonts w:ascii="Palatino Linotype" w:hAnsi="Palatino Linotype"/>
          <w:lang w:eastAsia="es-MX"/>
        </w:rPr>
      </w:pPr>
      <w:r>
        <w:rPr>
          <w:rFonts w:ascii="Palatino Linotype" w:hAnsi="Palatino Linotype"/>
          <w:lang w:eastAsia="es-MX"/>
        </w:rPr>
        <w:lastRenderedPageBreak/>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hAnsi="Palatino Linotype"/>
          <w:b/>
          <w:lang w:eastAsia="es-MX"/>
        </w:rPr>
        <w:t>EL</w:t>
      </w:r>
      <w:r>
        <w:rPr>
          <w:rFonts w:ascii="Palatino Linotype" w:hAnsi="Palatino Linotype"/>
          <w:b/>
          <w:bCs/>
          <w:lang w:eastAsia="es-MX"/>
        </w:rPr>
        <w:t xml:space="preserve"> RECURRENTE</w:t>
      </w:r>
      <w:r>
        <w:rPr>
          <w:rFonts w:ascii="Palatino Linotype" w:hAnsi="Palatino Linotype"/>
          <w:lang w:eastAsia="es-MX"/>
        </w:rPr>
        <w:t>, es la misma persona que realizó la solicitud de acceso a la información pública que ahora se impugna.</w:t>
      </w:r>
    </w:p>
    <w:p w:rsidR="001F4E7A" w:rsidRDefault="001F4E7A">
      <w:pPr>
        <w:shd w:val="clear" w:color="auto" w:fill="FFFFFF"/>
        <w:spacing w:line="360" w:lineRule="auto"/>
        <w:jc w:val="both"/>
        <w:rPr>
          <w:lang w:eastAsia="es-MX"/>
        </w:rPr>
      </w:pPr>
    </w:p>
    <w:p w:rsidR="001F4E7A" w:rsidRDefault="0032792E">
      <w:pPr>
        <w:pStyle w:val="Prrafodelista"/>
        <w:spacing w:line="360" w:lineRule="auto"/>
        <w:ind w:left="0"/>
        <w:jc w:val="both"/>
        <w:rPr>
          <w:rFonts w:ascii="Palatino Linotype" w:hAnsi="Palatino Linotype"/>
          <w:lang w:eastAsia="es-MX"/>
        </w:rPr>
      </w:pPr>
      <w:r>
        <w:rPr>
          <w:rFonts w:ascii="Palatino Linotype" w:hAnsi="Palatino Linotype"/>
          <w:lang w:eastAsia="es-MX"/>
        </w:rPr>
        <w:t>En adición a lo anterior, el propio artículo 180 en su último párrafo establece que cuando el recurso se interponga de manera electrónica no será indispensable que contenga determinados requisitos, entre ellos, el nombre del</w:t>
      </w:r>
      <w:r>
        <w:rPr>
          <w:rFonts w:ascii="Palatino Linotype" w:hAnsi="Palatino Linotype"/>
          <w:b/>
          <w:bCs/>
          <w:lang w:eastAsia="es-MX"/>
        </w:rPr>
        <w:t xml:space="preserve"> RECURRENTE</w:t>
      </w:r>
      <w:r>
        <w:rPr>
          <w:rFonts w:ascii="Palatino Linotype" w:hAnsi="Palatino Linotype"/>
          <w:lang w:eastAsia="es-MX"/>
        </w:rPr>
        <w:t>, por lo que en el presente caso, al haber sido presentado el recurso de revisión vía </w:t>
      </w:r>
      <w:r>
        <w:rPr>
          <w:rFonts w:ascii="Palatino Linotype" w:hAnsi="Palatino Linotype"/>
          <w:b/>
          <w:bCs/>
          <w:lang w:eastAsia="es-MX"/>
        </w:rPr>
        <w:t>SAIMEX</w:t>
      </w:r>
      <w:r>
        <w:rPr>
          <w:rFonts w:ascii="Palatino Linotype" w:hAnsi="Palatino Linotype"/>
          <w:lang w:eastAsia="es-MX"/>
        </w:rPr>
        <w:t>, dicho requisito resulta innecesario.</w:t>
      </w:r>
    </w:p>
    <w:p w:rsidR="001F4E7A" w:rsidRDefault="001F4E7A">
      <w:pPr>
        <w:pStyle w:val="Prrafodelista"/>
        <w:widowControl w:val="0"/>
        <w:spacing w:line="360" w:lineRule="auto"/>
        <w:ind w:left="0"/>
        <w:jc w:val="both"/>
        <w:rPr>
          <w:rFonts w:ascii="Palatino Linotype" w:hAnsi="Palatino Linotype"/>
        </w:rPr>
      </w:pPr>
    </w:p>
    <w:p w:rsidR="001F4E7A" w:rsidRDefault="0032792E">
      <w:pPr>
        <w:pStyle w:val="Prrafodelista"/>
        <w:numPr>
          <w:ilvl w:val="0"/>
          <w:numId w:val="2"/>
        </w:numPr>
        <w:spacing w:line="360" w:lineRule="auto"/>
        <w:ind w:left="0" w:firstLine="0"/>
        <w:jc w:val="both"/>
        <w:rPr>
          <w:rFonts w:ascii="Palatino Linotype" w:hAnsi="Palatino Linotype"/>
        </w:rPr>
      </w:pPr>
      <w:r>
        <w:rPr>
          <w:rFonts w:ascii="Palatino Linotype" w:hAnsi="Palatino Linotype" w:cs="Arial"/>
          <w:b/>
        </w:rPr>
        <w:t>Estudio y resolución del recurso</w:t>
      </w:r>
      <w:r>
        <w:rPr>
          <w:rFonts w:ascii="Palatino Linotype" w:hAnsi="Palatino Linotype" w:cs="Arial"/>
          <w:b/>
          <w:color w:val="000000" w:themeColor="text1"/>
        </w:rPr>
        <w:t xml:space="preserve">. </w:t>
      </w:r>
      <w:r>
        <w:rPr>
          <w:rFonts w:ascii="Palatino Linotype" w:hAnsi="Palatino Linotype" w:cs="Arial"/>
        </w:rPr>
        <w:t xml:space="preserve">Es así que, una vez determinada la vía sobre la que versará el presente recurso, y previa revisión del expediente </w:t>
      </w:r>
      <w:r>
        <w:rPr>
          <w:rFonts w:ascii="Palatino Linotype" w:hAnsi="Palatino Linotype"/>
        </w:rPr>
        <w:t>electrónico</w:t>
      </w:r>
      <w:r>
        <w:rPr>
          <w:rFonts w:ascii="Palatino Linotype" w:hAnsi="Palatino Linotype" w:cs="Arial"/>
        </w:rPr>
        <w:t xml:space="preserve"> formado en el</w:t>
      </w:r>
      <w:r>
        <w:rPr>
          <w:rFonts w:ascii="Palatino Linotype" w:hAnsi="Palatino Linotype" w:cs="Arial"/>
          <w:b/>
        </w:rPr>
        <w:t xml:space="preserve"> SAIMEX</w:t>
      </w:r>
      <w:r>
        <w:rPr>
          <w:rFonts w:ascii="Palatino Linotype" w:hAnsi="Palatino Linotype" w:cs="Arial"/>
        </w:rPr>
        <w:t xml:space="preserve"> por motivo de la solicitud de información y del recurso a que da origen,  </w:t>
      </w:r>
      <w:r>
        <w:rPr>
          <w:rFonts w:ascii="Palatino Linotype" w:eastAsia="Arial Unicode MS" w:hAnsi="Palatino Linotype" w:cs="Arial"/>
        </w:rPr>
        <w:t>se advierte que es procedente, toda vez que se actualiza la hipótesis prevista en la fracción V, del artículo 179 de la Ley de la materia, que a la letra dice:</w:t>
      </w:r>
    </w:p>
    <w:p w:rsidR="001F4E7A" w:rsidRDefault="001F4E7A">
      <w:pPr>
        <w:pStyle w:val="Prrafodelista"/>
        <w:widowControl w:val="0"/>
        <w:ind w:left="0"/>
        <w:jc w:val="both"/>
        <w:rPr>
          <w:rFonts w:ascii="Palatino Linotype" w:eastAsia="Arial Unicode MS" w:hAnsi="Palatino Linotype" w:cs="Arial"/>
        </w:rPr>
      </w:pPr>
    </w:p>
    <w:p w:rsidR="001F4E7A" w:rsidRDefault="0032792E">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lastRenderedPageBreak/>
        <w:t>“</w:t>
      </w:r>
      <w:r>
        <w:rPr>
          <w:rFonts w:ascii="Palatino Linotype" w:eastAsia="Arial Unicode MS" w:hAnsi="Palatino Linotype" w:cs="Arial"/>
          <w:b/>
          <w:i/>
          <w:sz w:val="22"/>
        </w:rPr>
        <w:t>Artículo 179</w:t>
      </w:r>
      <w:r>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rsidR="001F4E7A" w:rsidRDefault="001F4E7A">
      <w:pPr>
        <w:widowControl w:val="0"/>
        <w:ind w:left="709" w:right="757"/>
        <w:jc w:val="both"/>
        <w:rPr>
          <w:rFonts w:ascii="Palatino Linotype" w:eastAsia="Arial Unicode MS" w:hAnsi="Palatino Linotype" w:cs="Arial"/>
          <w:i/>
          <w:sz w:val="22"/>
        </w:rPr>
      </w:pPr>
    </w:p>
    <w:p w:rsidR="001F4E7A" w:rsidRDefault="0032792E">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b/>
          <w:i/>
          <w:sz w:val="22"/>
          <w:u w:val="single"/>
        </w:rPr>
        <w:t>V. La entrega de información incompleta;</w:t>
      </w:r>
      <w:r>
        <w:rPr>
          <w:rFonts w:ascii="Palatino Linotype" w:eastAsia="Arial Unicode MS" w:hAnsi="Palatino Linotype" w:cs="Arial"/>
          <w:i/>
          <w:sz w:val="22"/>
        </w:rPr>
        <w:t>…”</w:t>
      </w:r>
    </w:p>
    <w:p w:rsidR="001F4E7A" w:rsidRDefault="001F4E7A">
      <w:pPr>
        <w:widowControl w:val="0"/>
        <w:spacing w:line="360" w:lineRule="auto"/>
        <w:ind w:left="709" w:right="757"/>
        <w:jc w:val="both"/>
        <w:rPr>
          <w:rFonts w:ascii="Palatino Linotype" w:eastAsia="Arial Unicode MS" w:hAnsi="Palatino Linotype" w:cs="Arial"/>
          <w:i/>
          <w:sz w:val="22"/>
        </w:rPr>
      </w:pPr>
    </w:p>
    <w:p w:rsidR="001F4E7A" w:rsidRDefault="0032792E">
      <w:pPr>
        <w:widowControl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El precepto legal citado establece como supuesto de procedencia del recurso de revisión, cuando la información y/o documentación proporcionada por </w:t>
      </w:r>
      <w:r>
        <w:rPr>
          <w:rFonts w:ascii="Palatino Linotype" w:eastAsia="Arial Unicode MS" w:hAnsi="Palatino Linotype" w:cs="Arial"/>
          <w:b/>
        </w:rPr>
        <w:t xml:space="preserve">EL SUJETO OBLIGADO </w:t>
      </w:r>
      <w:r>
        <w:rPr>
          <w:rFonts w:ascii="Palatino Linotype" w:eastAsia="Arial Unicode MS" w:hAnsi="Palatino Linotype" w:cs="Arial"/>
        </w:rPr>
        <w:t>no colma en su totalidad el requerimiento formulado por el particular.</w:t>
      </w:r>
    </w:p>
    <w:p w:rsidR="001F4E7A" w:rsidRDefault="001F4E7A">
      <w:pPr>
        <w:widowControl w:val="0"/>
        <w:spacing w:line="360" w:lineRule="auto"/>
        <w:jc w:val="both"/>
        <w:rPr>
          <w:rFonts w:ascii="Palatino Linotype" w:eastAsia="Arial Unicode MS" w:hAnsi="Palatino Linotype" w:cs="Arial"/>
        </w:rPr>
      </w:pPr>
    </w:p>
    <w:p w:rsidR="001F4E7A" w:rsidRDefault="0032792E">
      <w:pPr>
        <w:widowControl w:val="0"/>
        <w:spacing w:line="360" w:lineRule="auto"/>
        <w:jc w:val="both"/>
        <w:rPr>
          <w:rFonts w:ascii="Palatino Linotype" w:hAnsi="Palatino Linotype"/>
        </w:rPr>
      </w:pPr>
      <w:r>
        <w:rPr>
          <w:rFonts w:ascii="Palatino Linotype" w:hAnsi="Palatino Linotype" w:cs="Arial"/>
        </w:rPr>
        <w:t xml:space="preserve">Es así que, una vez determinada la vía sobre la que versará el presente recurso, y previa revisión del expediente </w:t>
      </w:r>
      <w:r>
        <w:rPr>
          <w:rFonts w:ascii="Palatino Linotype" w:hAnsi="Palatino Linotype"/>
        </w:rPr>
        <w:t>electrónico</w:t>
      </w:r>
      <w:r>
        <w:rPr>
          <w:rFonts w:ascii="Palatino Linotype" w:hAnsi="Palatino Linotype" w:cs="Arial"/>
        </w:rPr>
        <w:t xml:space="preserve"> formado en el</w:t>
      </w:r>
      <w:r>
        <w:rPr>
          <w:rFonts w:ascii="Palatino Linotype" w:hAnsi="Palatino Linotype" w:cs="Arial"/>
          <w:b/>
        </w:rPr>
        <w:t xml:space="preserve"> SAIMEX,</w:t>
      </w:r>
      <w:r>
        <w:rPr>
          <w:rFonts w:ascii="Palatino Linotype" w:hAnsi="Palatino Linotype" w:cs="Arial"/>
        </w:rPr>
        <w:t xml:space="preserve"> por motivo de la solicitud de información y del recurso a que da origen, es conveniente analizar si la respuesta del </w:t>
      </w:r>
      <w:r>
        <w:rPr>
          <w:rFonts w:ascii="Palatino Linotype" w:hAnsi="Palatino Linotype" w:cs="Arial"/>
          <w:b/>
          <w:lang w:eastAsia="es-MX"/>
        </w:rPr>
        <w:t>SUJETO OBLIGADO</w:t>
      </w:r>
      <w:r>
        <w:rPr>
          <w:rFonts w:ascii="Palatino Linotype" w:hAnsi="Palatino Linotype" w:cs="Arial"/>
        </w:rPr>
        <w:t xml:space="preserve"> cumple con los requisitos y procedimientos del derecho de acceso a la información; por lo que, en primer término debemos recordar que </w:t>
      </w:r>
      <w:r>
        <w:rPr>
          <w:rFonts w:ascii="Palatino Linotype" w:hAnsi="Palatino Linotype" w:cs="Arial"/>
          <w:b/>
        </w:rPr>
        <w:t xml:space="preserve">EL RECURRENTE </w:t>
      </w:r>
      <w:r>
        <w:rPr>
          <w:rFonts w:ascii="Palatino Linotype" w:hAnsi="Palatino Linotype"/>
        </w:rPr>
        <w:t xml:space="preserve">solicitó al </w:t>
      </w:r>
      <w:r>
        <w:rPr>
          <w:rFonts w:ascii="Palatino Linotype" w:hAnsi="Palatino Linotype"/>
          <w:b/>
        </w:rPr>
        <w:t xml:space="preserve">SUJETO OBLIGADO </w:t>
      </w:r>
      <w:r>
        <w:rPr>
          <w:rFonts w:ascii="Palatino Linotype" w:hAnsi="Palatino Linotype"/>
        </w:rPr>
        <w:t>la información que a continuación se desagrega:</w:t>
      </w:r>
    </w:p>
    <w:p w:rsidR="001F4E7A" w:rsidRDefault="001F4E7A">
      <w:pPr>
        <w:widowControl w:val="0"/>
        <w:spacing w:line="360" w:lineRule="auto"/>
        <w:jc w:val="both"/>
        <w:rPr>
          <w:rFonts w:ascii="Palatino Linotype" w:hAnsi="Palatino Linotype"/>
        </w:rPr>
      </w:pPr>
    </w:p>
    <w:p w:rsidR="001F4E7A" w:rsidRDefault="0032792E">
      <w:pPr>
        <w:pStyle w:val="Prrafodelista"/>
        <w:widowControl w:val="0"/>
        <w:numPr>
          <w:ilvl w:val="0"/>
          <w:numId w:val="3"/>
        </w:numPr>
        <w:spacing w:line="360" w:lineRule="auto"/>
        <w:jc w:val="both"/>
        <w:rPr>
          <w:rFonts w:ascii="Palatino Linotype" w:hAnsi="Palatino Linotype"/>
        </w:rPr>
      </w:pPr>
      <w:r>
        <w:rPr>
          <w:rFonts w:ascii="Palatino Linotype" w:hAnsi="Palatino Linotype"/>
        </w:rPr>
        <w:t>El personal femenino que se desempeña como oficial de tránsito.</w:t>
      </w:r>
    </w:p>
    <w:p w:rsidR="001F4E7A" w:rsidRDefault="0032792E">
      <w:pPr>
        <w:pStyle w:val="Prrafodelista"/>
        <w:widowControl w:val="0"/>
        <w:numPr>
          <w:ilvl w:val="0"/>
          <w:numId w:val="3"/>
        </w:numPr>
        <w:spacing w:line="360" w:lineRule="auto"/>
        <w:jc w:val="both"/>
        <w:rPr>
          <w:rFonts w:ascii="Palatino Linotype" w:hAnsi="Palatino Linotype"/>
        </w:rPr>
      </w:pPr>
      <w:r>
        <w:rPr>
          <w:rFonts w:ascii="Palatino Linotype" w:hAnsi="Palatino Linotype"/>
        </w:rPr>
        <w:t>Sueldo base de dichas servidoras públicas, y;</w:t>
      </w:r>
    </w:p>
    <w:p w:rsidR="001F4E7A" w:rsidRDefault="0032792E">
      <w:pPr>
        <w:pStyle w:val="Prrafodelista"/>
        <w:widowControl w:val="0"/>
        <w:numPr>
          <w:ilvl w:val="0"/>
          <w:numId w:val="3"/>
        </w:numPr>
        <w:spacing w:line="360" w:lineRule="auto"/>
        <w:jc w:val="both"/>
        <w:rPr>
          <w:rFonts w:ascii="Palatino Linotype" w:hAnsi="Palatino Linotype"/>
        </w:rPr>
      </w:pPr>
      <w:r>
        <w:rPr>
          <w:rFonts w:ascii="Palatino Linotype" w:hAnsi="Palatino Linotype"/>
        </w:rPr>
        <w:t>Su rol de turnos</w:t>
      </w:r>
    </w:p>
    <w:p w:rsidR="001F4E7A" w:rsidRDefault="001F4E7A">
      <w:pPr>
        <w:widowControl w:val="0"/>
        <w:spacing w:line="360" w:lineRule="auto"/>
        <w:ind w:right="757"/>
        <w:jc w:val="both"/>
        <w:rPr>
          <w:rFonts w:ascii="Palatino Linotype" w:hAnsi="Palatino Linotype"/>
          <w:i/>
          <w:sz w:val="22"/>
        </w:rPr>
      </w:pPr>
    </w:p>
    <w:p w:rsidR="001F4E7A" w:rsidRDefault="0032792E">
      <w:pPr>
        <w:spacing w:line="360" w:lineRule="auto"/>
        <w:jc w:val="both"/>
        <w:rPr>
          <w:rFonts w:ascii="Palatino Linotype" w:hAnsi="Palatino Linotype" w:cs="Arial"/>
        </w:rPr>
      </w:pPr>
      <w:r>
        <w:rPr>
          <w:rFonts w:ascii="Palatino Linotype" w:hAnsi="Palatino Linotype" w:cs="Arial"/>
        </w:rPr>
        <w:t xml:space="preserve">Así, como se indicó en el Resultando II de la presente Resolución, </w:t>
      </w:r>
      <w:r>
        <w:rPr>
          <w:rFonts w:ascii="Palatino Linotype" w:hAnsi="Palatino Linotype" w:cs="Arial"/>
          <w:b/>
        </w:rPr>
        <w:t>EL SUJETO OBLIGADO</w:t>
      </w:r>
      <w:r>
        <w:rPr>
          <w:rFonts w:ascii="Palatino Linotype" w:hAnsi="Palatino Linotype" w:cs="Arial"/>
        </w:rPr>
        <w:t xml:space="preserve"> en su respuesta a la solicitud de información del hoy </w:t>
      </w:r>
      <w:r>
        <w:rPr>
          <w:rFonts w:ascii="Palatino Linotype" w:hAnsi="Palatino Linotype" w:cs="Arial"/>
          <w:b/>
        </w:rPr>
        <w:t>RECURRENTE</w:t>
      </w:r>
      <w:r>
        <w:rPr>
          <w:rFonts w:ascii="Palatino Linotype" w:hAnsi="Palatino Linotype" w:cs="Arial"/>
        </w:rPr>
        <w:t xml:space="preserve">, informó la cantidad de elementos que desempeñan funciones de tránsito, así como la categoría de dichos elementos; sin embargo, respecto a los ingresos de éstos remitió la </w:t>
      </w:r>
      <w:r>
        <w:rPr>
          <w:rFonts w:ascii="Palatino Linotype" w:hAnsi="Palatino Linotype" w:cs="Arial"/>
        </w:rPr>
        <w:lastRenderedPageBreak/>
        <w:t>liga electrónica mediante la cual podría consultar el tabulador de sueldos que le resulta aplicable a los citados y por cuanto hace al rol de turnos, señaló que este obedece a las necesidades propias del servicio en términos de la normatividad aplicable.</w:t>
      </w:r>
    </w:p>
    <w:p w:rsidR="001F4E7A" w:rsidRDefault="0032792E">
      <w:pPr>
        <w:spacing w:line="360" w:lineRule="auto"/>
        <w:jc w:val="both"/>
        <w:rPr>
          <w:rFonts w:ascii="Palatino Linotype" w:hAnsi="Palatino Linotype" w:cs="Arial"/>
        </w:rPr>
      </w:pPr>
      <w:r>
        <w:rPr>
          <w:rFonts w:ascii="Palatino Linotype" w:hAnsi="Palatino Linotype" w:cs="Arial"/>
        </w:rPr>
        <w:t>Información con la que pretendió colmar el derecho de acceso a la información pública accionado por el ciudadano.</w:t>
      </w:r>
    </w:p>
    <w:p w:rsidR="001F4E7A" w:rsidRDefault="001F4E7A">
      <w:pPr>
        <w:spacing w:line="360" w:lineRule="auto"/>
        <w:jc w:val="both"/>
        <w:rPr>
          <w:rFonts w:ascii="Palatino Linotype" w:hAnsi="Palatino Linotype" w:cs="Arial"/>
        </w:rPr>
      </w:pPr>
    </w:p>
    <w:p w:rsidR="001F4E7A" w:rsidRDefault="0032792E">
      <w:pPr>
        <w:spacing w:line="360" w:lineRule="auto"/>
        <w:jc w:val="both"/>
        <w:rPr>
          <w:rFonts w:ascii="Palatino Linotype" w:hAnsi="Palatino Linotype" w:cs="Arial"/>
        </w:rPr>
      </w:pPr>
      <w:r>
        <w:rPr>
          <w:rFonts w:ascii="Palatino Linotype" w:hAnsi="Palatino Linotype" w:cs="Arial"/>
        </w:rPr>
        <w:t xml:space="preserve">Asimismo, en el presente recurso el recurrente fue omiso en verter sus manifestaciones y presentar los alegatos que a su derecho convinieran, por su parte </w:t>
      </w:r>
      <w:r>
        <w:rPr>
          <w:rFonts w:ascii="Palatino Linotype" w:hAnsi="Palatino Linotype" w:cs="Arial"/>
          <w:b/>
        </w:rPr>
        <w:t>EL SUJETO OBLIGADO</w:t>
      </w:r>
      <w:r>
        <w:rPr>
          <w:rFonts w:ascii="Palatino Linotype" w:hAnsi="Palatino Linotype" w:cs="Arial"/>
        </w:rPr>
        <w:t xml:space="preserve"> mediante su Informe Justificado reiteró su respuesta argumentando que la inconformidad del particular carece de fundamento y motivación.</w:t>
      </w:r>
    </w:p>
    <w:p w:rsidR="001F4E7A" w:rsidRDefault="001F4E7A">
      <w:pPr>
        <w:spacing w:line="360" w:lineRule="auto"/>
        <w:jc w:val="both"/>
        <w:rPr>
          <w:rFonts w:ascii="Palatino Linotype" w:hAnsi="Palatino Linotype" w:cs="Arial"/>
        </w:rPr>
      </w:pPr>
    </w:p>
    <w:p w:rsidR="001F4E7A" w:rsidRDefault="0032792E">
      <w:pPr>
        <w:spacing w:line="360" w:lineRule="auto"/>
        <w:jc w:val="both"/>
        <w:rPr>
          <w:rFonts w:ascii="Palatino Linotype" w:hAnsi="Palatino Linotype" w:cs="Arial"/>
        </w:rPr>
      </w:pPr>
      <w:r>
        <w:rPr>
          <w:rFonts w:ascii="Palatino Linotype" w:hAnsi="Palatino Linotype" w:cs="Arial"/>
        </w:rPr>
        <w:t xml:space="preserve">Establecido lo anterior, resulta evidente que las razones o motivos de inconformidad hechos valer por </w:t>
      </w:r>
      <w:r>
        <w:rPr>
          <w:rFonts w:ascii="Palatino Linotype" w:hAnsi="Palatino Linotype" w:cs="Arial"/>
          <w:b/>
        </w:rPr>
        <w:t>EL RECURRENTE</w:t>
      </w:r>
      <w:r>
        <w:rPr>
          <w:rFonts w:ascii="Palatino Linotype" w:hAnsi="Palatino Linotype" w:cs="Arial"/>
        </w:rPr>
        <w:t xml:space="preserve"> resultan parcialmente fundadas, en virtud de que </w:t>
      </w:r>
      <w:r>
        <w:rPr>
          <w:rFonts w:ascii="Palatino Linotype" w:hAnsi="Palatino Linotype" w:cs="Arial"/>
          <w:b/>
        </w:rPr>
        <w:t>EL SUJETO OBLIGADO</w:t>
      </w:r>
      <w:r>
        <w:rPr>
          <w:rFonts w:ascii="Palatino Linotype" w:hAnsi="Palatino Linotype" w:cs="Arial"/>
        </w:rPr>
        <w:t xml:space="preserve"> sí bien se pronunció respecto de la solicitud, enviando información pretendiendo colmar el derecho del ciudadano, sin que con ello se haya cumplido dicho objeto, como se verá más adelante.</w:t>
      </w:r>
    </w:p>
    <w:p w:rsidR="001F4E7A" w:rsidRDefault="001F4E7A">
      <w:pPr>
        <w:spacing w:line="360" w:lineRule="auto"/>
        <w:jc w:val="both"/>
        <w:rPr>
          <w:rFonts w:ascii="Palatino Linotype" w:hAnsi="Palatino Linotype" w:cs="Arial"/>
        </w:rPr>
      </w:pPr>
    </w:p>
    <w:p w:rsidR="001F4E7A" w:rsidRDefault="0032792E">
      <w:pPr>
        <w:widowControl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De esta forma, cabe precisar que se obvia el análisis de la competencia por parte del </w:t>
      </w:r>
      <w:r>
        <w:rPr>
          <w:rFonts w:ascii="Palatino Linotype" w:eastAsia="Arial Unicode MS" w:hAnsi="Palatino Linotype" w:cs="Arial"/>
          <w:b/>
        </w:rPr>
        <w:t>SUJETO OBLIGADO,</w:t>
      </w:r>
      <w:r>
        <w:rPr>
          <w:rFonts w:ascii="Palatino Linotype" w:eastAsia="Arial Unicode MS" w:hAnsi="Palatino Linotype" w:cs="Arial"/>
        </w:rPr>
        <w:t xml:space="preserve"> para generar, administrar o poseer la información solicitada, dado que éste ha asumido la misma, en razón de lo manifestado en su respuesta, así como la información proporcionada, pues se advierte que es coincidente con la solicitada por el particular.</w:t>
      </w:r>
    </w:p>
    <w:p w:rsidR="001F4E7A" w:rsidRDefault="001F4E7A">
      <w:pPr>
        <w:widowControl w:val="0"/>
        <w:spacing w:line="360" w:lineRule="auto"/>
        <w:jc w:val="both"/>
        <w:rPr>
          <w:rFonts w:ascii="Palatino Linotype" w:eastAsia="Arial Unicode MS" w:hAnsi="Palatino Linotype" w:cs="Arial"/>
        </w:rPr>
      </w:pPr>
    </w:p>
    <w:p w:rsidR="001F4E7A" w:rsidRDefault="0032792E">
      <w:pPr>
        <w:widowControl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Es de señalar que el artículo 4, párrafo segundo de la Ley de Transparencia y Acceso a </w:t>
      </w:r>
      <w:r>
        <w:rPr>
          <w:rFonts w:ascii="Palatino Linotype" w:eastAsia="Arial Unicode MS" w:hAnsi="Palatino Linotype" w:cs="Arial"/>
        </w:rPr>
        <w:lastRenderedPageBreak/>
        <w:t>la Información Pública del Estado de México y Municipios, dispone:</w:t>
      </w:r>
    </w:p>
    <w:p w:rsidR="001F4E7A" w:rsidRDefault="001F4E7A">
      <w:pPr>
        <w:widowControl w:val="0"/>
        <w:spacing w:line="360" w:lineRule="auto"/>
        <w:jc w:val="both"/>
        <w:rPr>
          <w:rFonts w:ascii="Palatino Linotype" w:eastAsia="Arial Unicode MS" w:hAnsi="Palatino Linotype" w:cs="Arial"/>
        </w:rPr>
      </w:pPr>
    </w:p>
    <w:p w:rsidR="001F4E7A" w:rsidRDefault="0032792E">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b/>
          <w:i/>
          <w:sz w:val="22"/>
        </w:rPr>
        <w:t>Artículo 4.</w:t>
      </w:r>
      <w:r>
        <w:rPr>
          <w:rFonts w:ascii="Palatino Linotype" w:eastAsia="Arial Unicode MS" w:hAnsi="Palatino Linotype" w:cs="Arial"/>
          <w:i/>
          <w:sz w:val="22"/>
        </w:rPr>
        <w:t xml:space="preserve"> … </w:t>
      </w:r>
    </w:p>
    <w:p w:rsidR="001F4E7A" w:rsidRDefault="0032792E">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F4E7A" w:rsidRDefault="001F4E7A">
      <w:pPr>
        <w:widowControl w:val="0"/>
        <w:spacing w:line="360" w:lineRule="auto"/>
        <w:ind w:left="709" w:right="757"/>
        <w:jc w:val="both"/>
        <w:rPr>
          <w:rFonts w:ascii="Palatino Linotype" w:eastAsia="Arial Unicode MS" w:hAnsi="Palatino Linotype" w:cs="Arial"/>
          <w:i/>
          <w:sz w:val="22"/>
        </w:rPr>
      </w:pPr>
    </w:p>
    <w:p w:rsidR="001F4E7A" w:rsidRDefault="0032792E">
      <w:pPr>
        <w:widowControl w:val="0"/>
        <w:spacing w:line="360" w:lineRule="auto"/>
        <w:jc w:val="both"/>
        <w:rPr>
          <w:rFonts w:ascii="Palatino Linotype" w:eastAsia="Arial Unicode MS" w:hAnsi="Palatino Linotype" w:cs="Arial"/>
        </w:rPr>
      </w:pPr>
      <w:r>
        <w:rPr>
          <w:rFonts w:ascii="Palatino Linotype" w:eastAsia="Arial Unicode MS"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1F4E7A" w:rsidRDefault="001F4E7A">
      <w:pPr>
        <w:widowControl w:val="0"/>
        <w:spacing w:line="360" w:lineRule="auto"/>
        <w:jc w:val="both"/>
        <w:rPr>
          <w:rFonts w:ascii="Palatino Linotype" w:eastAsia="Arial Unicode MS" w:hAnsi="Palatino Linotype" w:cs="Arial"/>
        </w:rPr>
      </w:pPr>
    </w:p>
    <w:p w:rsidR="001F4E7A" w:rsidRDefault="0032792E">
      <w:pPr>
        <w:widowControl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rsidR="001F4E7A" w:rsidRDefault="001F4E7A">
      <w:pPr>
        <w:widowControl w:val="0"/>
        <w:ind w:left="709" w:right="757"/>
        <w:jc w:val="both"/>
        <w:rPr>
          <w:rFonts w:ascii="Palatino Linotype" w:eastAsia="Arial Unicode MS" w:hAnsi="Palatino Linotype" w:cs="Arial"/>
          <w:i/>
          <w:sz w:val="22"/>
        </w:rPr>
      </w:pPr>
    </w:p>
    <w:p w:rsidR="001F4E7A" w:rsidRDefault="0032792E">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w:t>
      </w:r>
      <w:r>
        <w:rPr>
          <w:rFonts w:ascii="Palatino Linotype" w:eastAsia="Arial Unicode MS" w:hAnsi="Palatino Linotype" w:cs="Arial"/>
          <w:b/>
          <w:i/>
          <w:sz w:val="22"/>
        </w:rPr>
        <w:t>Artículo 12</w:t>
      </w:r>
      <w:r>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1F4E7A" w:rsidRDefault="0032792E">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 xml:space="preserve"> </w:t>
      </w:r>
    </w:p>
    <w:p w:rsidR="001F4E7A" w:rsidRDefault="0032792E">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w:t>
      </w:r>
      <w:r>
        <w:rPr>
          <w:rFonts w:ascii="Palatino Linotype" w:eastAsia="Arial Unicode MS" w:hAnsi="Palatino Linotype" w:cs="Arial"/>
          <w:i/>
          <w:sz w:val="22"/>
        </w:rPr>
        <w:lastRenderedPageBreak/>
        <w:t>cálculos o practicar investigaciones.”</w:t>
      </w:r>
    </w:p>
    <w:p w:rsidR="001F4E7A" w:rsidRDefault="001F4E7A">
      <w:pPr>
        <w:widowControl w:val="0"/>
        <w:spacing w:line="360" w:lineRule="auto"/>
        <w:jc w:val="both"/>
        <w:rPr>
          <w:rFonts w:ascii="Palatino Linotype" w:eastAsia="Arial Unicode MS" w:hAnsi="Palatino Linotype" w:cs="Arial"/>
        </w:rPr>
      </w:pPr>
    </w:p>
    <w:p w:rsidR="001F4E7A" w:rsidRDefault="0032792E">
      <w:pPr>
        <w:widowControl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Pr>
          <w:rFonts w:ascii="Palatino Linotype" w:eastAsia="Arial Unicode MS" w:hAnsi="Palatino Linotype" w:cs="Arial"/>
          <w:i/>
        </w:rPr>
        <w:t>ad hoc</w:t>
      </w:r>
      <w:r>
        <w:rPr>
          <w:rFonts w:ascii="Palatino Linotype" w:eastAsia="Arial Unicode MS" w:hAnsi="Palatino Linotype" w:cs="Arial"/>
        </w:rPr>
        <w:t>, para satisfacer el derecho de acceso a la información pública.</w:t>
      </w:r>
    </w:p>
    <w:p w:rsidR="001F4E7A" w:rsidRDefault="001F4E7A">
      <w:pPr>
        <w:widowControl w:val="0"/>
        <w:spacing w:line="360" w:lineRule="auto"/>
        <w:jc w:val="both"/>
        <w:rPr>
          <w:rFonts w:ascii="Palatino Linotype" w:eastAsia="Arial Unicode MS" w:hAnsi="Palatino Linotype" w:cs="Arial"/>
        </w:rPr>
      </w:pPr>
    </w:p>
    <w:p w:rsidR="001F4E7A" w:rsidRDefault="0032792E">
      <w:pPr>
        <w:widowControl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rsidR="001F4E7A" w:rsidRDefault="001F4E7A">
      <w:pPr>
        <w:widowControl w:val="0"/>
        <w:spacing w:line="360" w:lineRule="auto"/>
        <w:jc w:val="both"/>
        <w:rPr>
          <w:rFonts w:ascii="Palatino Linotype" w:eastAsia="Arial Unicode MS" w:hAnsi="Palatino Linotype" w:cs="Arial"/>
        </w:rPr>
      </w:pPr>
    </w:p>
    <w:p w:rsidR="001F4E7A" w:rsidRDefault="0032792E">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w:t>
      </w:r>
      <w:r>
        <w:rPr>
          <w:rFonts w:ascii="Palatino Linotype" w:eastAsia="Arial Unicode MS" w:hAnsi="Palatino Linotype" w:cs="Arial"/>
          <w:b/>
          <w:i/>
          <w:sz w:val="22"/>
        </w:rPr>
        <w:t xml:space="preserve">No existe obligación de elaborar documentos ad hoc para atender las solicitudes de acceso a la información. </w:t>
      </w:r>
      <w:r>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F4E7A" w:rsidRDefault="001F4E7A">
      <w:pPr>
        <w:widowControl w:val="0"/>
        <w:ind w:left="709" w:right="757"/>
        <w:jc w:val="both"/>
        <w:rPr>
          <w:rFonts w:ascii="Palatino Linotype" w:eastAsia="Arial Unicode MS" w:hAnsi="Palatino Linotype" w:cs="Arial"/>
          <w:b/>
          <w:i/>
          <w:sz w:val="22"/>
        </w:rPr>
      </w:pPr>
    </w:p>
    <w:p w:rsidR="001F4E7A" w:rsidRDefault="0032792E">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Resoluciones:</w:t>
      </w:r>
    </w:p>
    <w:p w:rsidR="001F4E7A" w:rsidRDefault="001F4E7A">
      <w:pPr>
        <w:widowControl w:val="0"/>
        <w:ind w:left="709" w:right="757"/>
        <w:jc w:val="both"/>
        <w:rPr>
          <w:rFonts w:ascii="Palatino Linotype" w:eastAsia="Arial Unicode MS" w:hAnsi="Palatino Linotype" w:cs="Arial"/>
          <w:i/>
          <w:sz w:val="22"/>
        </w:rPr>
      </w:pPr>
    </w:p>
    <w:p w:rsidR="001F4E7A" w:rsidRDefault="0032792E">
      <w:pPr>
        <w:widowControl w:val="0"/>
        <w:ind w:left="1134" w:right="757" w:hanging="425"/>
        <w:jc w:val="both"/>
        <w:rPr>
          <w:rFonts w:ascii="Palatino Linotype" w:eastAsia="Arial Unicode MS" w:hAnsi="Palatino Linotype" w:cs="Arial"/>
          <w:i/>
          <w:sz w:val="22"/>
        </w:rPr>
      </w:pPr>
      <w:r>
        <w:rPr>
          <w:rFonts w:ascii="Palatino Linotype" w:eastAsia="Arial Unicode MS" w:hAnsi="Palatino Linotype" w:cs="Arial"/>
          <w:i/>
          <w:sz w:val="22"/>
        </w:rPr>
        <w:t>•</w:t>
      </w:r>
      <w:r>
        <w:rPr>
          <w:rFonts w:ascii="Palatino Linotype" w:eastAsia="Arial Unicode MS" w:hAnsi="Palatino Linotype" w:cs="Arial"/>
          <w:i/>
          <w:sz w:val="22"/>
        </w:rPr>
        <w:tab/>
        <w:t>RRA 0050/16. Instituto Nacional para la Evaluación de la Educación. 13 julio de 2016. Por unanimidad. Comisionado Ponente: Francisco Javier Acuña Llamas.</w:t>
      </w:r>
    </w:p>
    <w:p w:rsidR="001F4E7A" w:rsidRDefault="0032792E">
      <w:pPr>
        <w:widowControl w:val="0"/>
        <w:ind w:left="1134" w:right="757" w:hanging="425"/>
        <w:jc w:val="both"/>
        <w:rPr>
          <w:rFonts w:ascii="Palatino Linotype" w:eastAsia="Arial Unicode MS" w:hAnsi="Palatino Linotype" w:cs="Arial"/>
          <w:i/>
          <w:sz w:val="22"/>
        </w:rPr>
      </w:pPr>
      <w:r>
        <w:rPr>
          <w:rFonts w:ascii="Palatino Linotype" w:eastAsia="Arial Unicode MS" w:hAnsi="Palatino Linotype" w:cs="Arial"/>
          <w:i/>
          <w:sz w:val="22"/>
        </w:rPr>
        <w:t>•</w:t>
      </w:r>
      <w:r>
        <w:rPr>
          <w:rFonts w:ascii="Palatino Linotype" w:eastAsia="Arial Unicode MS" w:hAnsi="Palatino Linotype" w:cs="Arial"/>
          <w:i/>
          <w:sz w:val="22"/>
        </w:rPr>
        <w:tab/>
        <w:t xml:space="preserve">RRA 0310/16. Instituto Nacional de Transparencia, Acceso a la Información y Protección de Datos Personales. 10 de agosto de 2016. Por unanimidad. </w:t>
      </w:r>
      <w:r>
        <w:rPr>
          <w:rFonts w:ascii="Palatino Linotype" w:eastAsia="Arial Unicode MS" w:hAnsi="Palatino Linotype" w:cs="Arial"/>
          <w:i/>
          <w:sz w:val="22"/>
        </w:rPr>
        <w:lastRenderedPageBreak/>
        <w:t>Comisionada Ponente. Areli Cano Guadiana.</w:t>
      </w:r>
    </w:p>
    <w:p w:rsidR="001F4E7A" w:rsidRDefault="0032792E">
      <w:pPr>
        <w:widowControl w:val="0"/>
        <w:ind w:left="1134" w:right="757" w:hanging="425"/>
        <w:jc w:val="both"/>
        <w:rPr>
          <w:rFonts w:ascii="Palatino Linotype" w:eastAsia="Arial Unicode MS" w:hAnsi="Palatino Linotype" w:cs="Arial"/>
          <w:i/>
          <w:sz w:val="22"/>
        </w:rPr>
      </w:pPr>
      <w:r>
        <w:rPr>
          <w:rFonts w:ascii="Palatino Linotype" w:eastAsia="Arial Unicode MS" w:hAnsi="Palatino Linotype" w:cs="Arial"/>
          <w:i/>
          <w:sz w:val="22"/>
        </w:rPr>
        <w:t>•</w:t>
      </w:r>
      <w:r>
        <w:rPr>
          <w:rFonts w:ascii="Palatino Linotype" w:eastAsia="Arial Unicode MS" w:hAnsi="Palatino Linotype" w:cs="Arial"/>
          <w:i/>
          <w:sz w:val="22"/>
        </w:rPr>
        <w:tab/>
        <w:t>RRA 1889/16. Secretaría de Hacienda y Crédito Público. 05 de octubre de 2016. Por unanimidad. Comisionada Ponente. Ximena Puente de la Mora.”</w:t>
      </w:r>
    </w:p>
    <w:p w:rsidR="001F4E7A" w:rsidRDefault="001F4E7A">
      <w:pPr>
        <w:widowControl w:val="0"/>
        <w:spacing w:line="360" w:lineRule="auto"/>
        <w:jc w:val="both"/>
        <w:rPr>
          <w:rFonts w:ascii="Palatino Linotype" w:eastAsia="Arial Unicode MS" w:hAnsi="Palatino Linotype" w:cs="Arial"/>
        </w:rPr>
      </w:pPr>
    </w:p>
    <w:p w:rsidR="001F4E7A" w:rsidRDefault="0032792E">
      <w:pPr>
        <w:widowControl w:val="0"/>
        <w:spacing w:line="360" w:lineRule="auto"/>
        <w:jc w:val="both"/>
        <w:rPr>
          <w:rFonts w:ascii="Palatino Linotype" w:eastAsia="Arial Unicode MS" w:hAnsi="Palatino Linotype" w:cs="Arial"/>
        </w:rPr>
      </w:pPr>
      <w:r>
        <w:rPr>
          <w:rFonts w:ascii="Palatino Linotype" w:eastAsia="Arial Unicode MS" w:hAnsi="Palatino Linotype" w:cs="Arial"/>
        </w:rPr>
        <w:t>No obstante lo anterior, es de destacar que no constituye impedimento para los Sujetos Obligados procesar, sintetizar, efectuar investigaciones o cálculos en su intensión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a través de esta vía.</w:t>
      </w:r>
    </w:p>
    <w:p w:rsidR="001F4E7A" w:rsidRDefault="001F4E7A">
      <w:pPr>
        <w:widowControl w:val="0"/>
        <w:spacing w:line="360" w:lineRule="auto"/>
        <w:jc w:val="both"/>
        <w:rPr>
          <w:rFonts w:ascii="Palatino Linotype" w:eastAsia="Arial Unicode MS" w:hAnsi="Palatino Linotype" w:cs="Arial"/>
        </w:rPr>
      </w:pPr>
    </w:p>
    <w:p w:rsidR="001F4E7A" w:rsidRDefault="0032792E">
      <w:pPr>
        <w:widowControl w:val="0"/>
        <w:spacing w:line="360" w:lineRule="auto"/>
        <w:jc w:val="both"/>
        <w:rPr>
          <w:rFonts w:ascii="Palatino Linotype" w:eastAsia="Arial Unicode MS" w:hAnsi="Palatino Linotype" w:cs="Arial"/>
        </w:rPr>
      </w:pPr>
      <w:r>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1F4E7A" w:rsidRDefault="001F4E7A">
      <w:pPr>
        <w:widowControl w:val="0"/>
        <w:spacing w:line="360" w:lineRule="auto"/>
        <w:jc w:val="both"/>
        <w:rPr>
          <w:rFonts w:ascii="Palatino Linotype" w:eastAsia="Arial Unicode MS" w:hAnsi="Palatino Linotype" w:cs="Arial"/>
        </w:rPr>
      </w:pPr>
    </w:p>
    <w:p w:rsidR="001F4E7A" w:rsidRDefault="0032792E">
      <w:pPr>
        <w:widowControl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w:t>
      </w:r>
      <w:r>
        <w:rPr>
          <w:rFonts w:ascii="Palatino Linotype" w:eastAsia="Arial Unicode MS" w:hAnsi="Palatino Linotype" w:cs="Arial"/>
        </w:rPr>
        <w:lastRenderedPageBreak/>
        <w:t xml:space="preserve">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1F4E7A" w:rsidRDefault="001F4E7A">
      <w:pPr>
        <w:widowControl w:val="0"/>
        <w:spacing w:line="360" w:lineRule="auto"/>
        <w:jc w:val="both"/>
        <w:rPr>
          <w:rFonts w:ascii="Palatino Linotype" w:eastAsia="Arial Unicode MS" w:hAnsi="Palatino Linotype" w:cs="Arial"/>
        </w:rPr>
      </w:pPr>
    </w:p>
    <w:p w:rsidR="001F4E7A" w:rsidRDefault="0032792E">
      <w:pPr>
        <w:widowControl w:val="0"/>
        <w:spacing w:line="276" w:lineRule="auto"/>
        <w:ind w:left="709" w:right="757"/>
        <w:jc w:val="both"/>
        <w:rPr>
          <w:rFonts w:ascii="Palatino Linotype" w:eastAsia="Arial Unicode MS" w:hAnsi="Palatino Linotype" w:cs="Arial"/>
          <w:i/>
          <w:sz w:val="22"/>
        </w:rPr>
      </w:pPr>
      <w:r>
        <w:rPr>
          <w:rFonts w:ascii="Palatino Linotype" w:eastAsia="Arial Unicode MS" w:hAnsi="Palatino Linotype" w:cs="Arial"/>
          <w:i/>
          <w:sz w:val="22"/>
        </w:rPr>
        <w:t>“</w:t>
      </w:r>
      <w:r>
        <w:rPr>
          <w:rFonts w:ascii="Palatino Linotype" w:eastAsia="Arial Unicode MS" w:hAnsi="Palatino Linotype" w:cs="Arial"/>
          <w:b/>
          <w:i/>
          <w:sz w:val="22"/>
        </w:rPr>
        <w:t>Artículo 3</w:t>
      </w:r>
      <w:r>
        <w:rPr>
          <w:rFonts w:ascii="Palatino Linotype" w:eastAsia="Arial Unicode MS" w:hAnsi="Palatino Linotype" w:cs="Arial"/>
          <w:i/>
          <w:sz w:val="22"/>
        </w:rPr>
        <w:t>. Para los efectos de la presente Ley se entenderá por:</w:t>
      </w:r>
    </w:p>
    <w:p w:rsidR="001F4E7A" w:rsidRDefault="001F4E7A">
      <w:pPr>
        <w:widowControl w:val="0"/>
        <w:spacing w:line="276" w:lineRule="auto"/>
        <w:ind w:left="709" w:right="757"/>
        <w:jc w:val="both"/>
        <w:rPr>
          <w:rFonts w:ascii="Palatino Linotype" w:eastAsia="Arial Unicode MS" w:hAnsi="Palatino Linotype" w:cs="Arial"/>
          <w:i/>
          <w:sz w:val="22"/>
        </w:rPr>
      </w:pPr>
    </w:p>
    <w:p w:rsidR="001F4E7A" w:rsidRDefault="0032792E">
      <w:pPr>
        <w:widowControl w:val="0"/>
        <w:spacing w:line="276" w:lineRule="auto"/>
        <w:ind w:left="709" w:right="757"/>
        <w:jc w:val="both"/>
        <w:rPr>
          <w:rFonts w:ascii="Palatino Linotype" w:eastAsia="Arial Unicode MS" w:hAnsi="Palatino Linotype" w:cs="Arial"/>
          <w:i/>
          <w:sz w:val="22"/>
        </w:rPr>
      </w:pPr>
      <w:r>
        <w:rPr>
          <w:rFonts w:ascii="Palatino Linotype" w:eastAsia="Arial Unicode MS" w:hAnsi="Palatino Linotype" w:cs="Arial"/>
          <w:i/>
          <w:sz w:val="22"/>
        </w:rPr>
        <w:t xml:space="preserve">XI. </w:t>
      </w:r>
      <w:r>
        <w:rPr>
          <w:rFonts w:ascii="Palatino Linotype" w:eastAsia="Arial Unicode MS" w:hAnsi="Palatino Linotype" w:cs="Arial"/>
          <w:b/>
          <w:i/>
          <w:sz w:val="22"/>
        </w:rPr>
        <w:t>Documento</w:t>
      </w:r>
      <w:r>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F4E7A" w:rsidRDefault="001F4E7A">
      <w:pPr>
        <w:widowControl w:val="0"/>
        <w:spacing w:line="360" w:lineRule="auto"/>
        <w:ind w:left="709" w:right="757"/>
        <w:jc w:val="both"/>
        <w:rPr>
          <w:rFonts w:ascii="Palatino Linotype" w:eastAsia="Arial Unicode MS" w:hAnsi="Palatino Linotype" w:cs="Arial"/>
          <w:i/>
          <w:sz w:val="22"/>
        </w:rPr>
      </w:pPr>
    </w:p>
    <w:p w:rsidR="001F4E7A" w:rsidRDefault="0032792E">
      <w:pPr>
        <w:widowControl w:val="0"/>
        <w:spacing w:line="360" w:lineRule="auto"/>
        <w:jc w:val="both"/>
        <w:rPr>
          <w:rFonts w:ascii="Palatino Linotype" w:eastAsia="Arial Unicode MS" w:hAnsi="Palatino Linotype" w:cs="Arial"/>
        </w:rPr>
      </w:pPr>
      <w:r>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1F4E7A" w:rsidRDefault="001F4E7A">
      <w:pPr>
        <w:widowControl w:val="0"/>
        <w:spacing w:line="360" w:lineRule="auto"/>
        <w:jc w:val="both"/>
        <w:rPr>
          <w:rFonts w:ascii="Palatino Linotype" w:eastAsia="Arial Unicode MS" w:hAnsi="Palatino Linotype" w:cs="Arial"/>
        </w:rPr>
      </w:pPr>
    </w:p>
    <w:p w:rsidR="001F4E7A" w:rsidRDefault="0032792E">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 xml:space="preserve">“CRITERIO 0002-11 </w:t>
      </w:r>
    </w:p>
    <w:p w:rsidR="001F4E7A" w:rsidRDefault="001F4E7A">
      <w:pPr>
        <w:widowControl w:val="0"/>
        <w:ind w:left="709" w:right="757"/>
        <w:jc w:val="both"/>
        <w:rPr>
          <w:rFonts w:ascii="Palatino Linotype" w:eastAsia="Arial Unicode MS" w:hAnsi="Palatino Linotype" w:cs="Arial"/>
          <w:i/>
          <w:sz w:val="22"/>
        </w:rPr>
      </w:pPr>
    </w:p>
    <w:p w:rsidR="001F4E7A" w:rsidRDefault="0032792E">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b/>
          <w:i/>
          <w:sz w:val="22"/>
        </w:rPr>
        <w:t>INFORMACIÓN PÚBLICA, CONCEPTO DE, EN MATERIA DE TRANSPARENCIA. INTERPRETACIÓN SISTEMÁTICA DE LOS ARTÍCULOS 2°, FRACCIÓN V, XV, Y XVI, 3°, 4°, 11 Y 41</w:t>
      </w:r>
      <w:r>
        <w:rPr>
          <w:rFonts w:ascii="Palatino Linotype" w:eastAsia="Arial Unicode MS" w:hAnsi="Palatino Linotype" w:cs="Arial"/>
          <w:i/>
          <w:sz w:val="22"/>
        </w:rPr>
        <w:t xml:space="preserve">. De conformidad con los artículos antes referidos, el derecho de acceso a la información pública, se define en cuanto a su alcance y resultado material, el acceso a los archivos, registros y documentos </w:t>
      </w:r>
      <w:r>
        <w:rPr>
          <w:rFonts w:ascii="Palatino Linotype" w:eastAsia="Arial Unicode MS" w:hAnsi="Palatino Linotype" w:cs="Arial"/>
          <w:i/>
          <w:sz w:val="22"/>
        </w:rPr>
        <w:lastRenderedPageBreak/>
        <w:t>públicos, administrados, generados o en posesión de los órganos u organismos públicos, en virtud del ejercicio de sus funciones de derecho público, sin importar su fuente, soporte o fecha de elaboración.</w:t>
      </w:r>
    </w:p>
    <w:p w:rsidR="001F4E7A" w:rsidRDefault="001F4E7A">
      <w:pPr>
        <w:widowControl w:val="0"/>
        <w:ind w:left="709" w:right="757"/>
        <w:jc w:val="both"/>
        <w:rPr>
          <w:rFonts w:ascii="Palatino Linotype" w:eastAsia="Arial Unicode MS" w:hAnsi="Palatino Linotype" w:cs="Arial"/>
          <w:i/>
          <w:sz w:val="22"/>
        </w:rPr>
      </w:pPr>
    </w:p>
    <w:p w:rsidR="001F4E7A" w:rsidRDefault="0032792E">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En consecuencia el acceso a la información se refiere a que se cumplan cualquiera de los siguientes tres supuestos:</w:t>
      </w:r>
    </w:p>
    <w:p w:rsidR="001F4E7A" w:rsidRDefault="0032792E">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rsidR="001F4E7A" w:rsidRDefault="0032792E">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rsidR="001F4E7A" w:rsidRDefault="0032792E">
      <w:pPr>
        <w:widowControl w:val="0"/>
        <w:ind w:left="709" w:right="757"/>
        <w:jc w:val="both"/>
        <w:rPr>
          <w:rFonts w:ascii="Palatino Linotype" w:eastAsia="Arial Unicode MS" w:hAnsi="Palatino Linotype" w:cs="Arial"/>
          <w:i/>
          <w:sz w:val="22"/>
        </w:rPr>
      </w:pPr>
      <w:r>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Pr>
          <w:rFonts w:ascii="Palatino Linotype" w:eastAsia="Arial Unicode MS" w:hAnsi="Palatino Linotype" w:cs="Arial"/>
          <w:sz w:val="22"/>
        </w:rPr>
        <w:t>(Sic)</w:t>
      </w:r>
    </w:p>
    <w:p w:rsidR="001F4E7A" w:rsidRDefault="001F4E7A">
      <w:pPr>
        <w:widowControl w:val="0"/>
        <w:ind w:left="709" w:right="757"/>
        <w:jc w:val="both"/>
        <w:rPr>
          <w:rFonts w:ascii="Palatino Linotype" w:eastAsia="Arial Unicode MS" w:hAnsi="Palatino Linotype" w:cs="Arial"/>
          <w:sz w:val="22"/>
        </w:rPr>
      </w:pPr>
    </w:p>
    <w:p w:rsidR="001F4E7A" w:rsidRDefault="0032792E">
      <w:pPr>
        <w:widowControl w:val="0"/>
        <w:ind w:left="709" w:right="757"/>
        <w:jc w:val="both"/>
        <w:rPr>
          <w:rFonts w:ascii="Palatino Linotype" w:eastAsia="Arial Unicode MS" w:hAnsi="Palatino Linotype" w:cs="Arial"/>
          <w:sz w:val="22"/>
        </w:rPr>
      </w:pPr>
      <w:r>
        <w:rPr>
          <w:rFonts w:ascii="Palatino Linotype" w:eastAsia="Arial Unicode MS" w:hAnsi="Palatino Linotype" w:cs="Arial"/>
          <w:sz w:val="22"/>
        </w:rPr>
        <w:t>(Énfasis Añadido)</w:t>
      </w:r>
    </w:p>
    <w:p w:rsidR="001F4E7A" w:rsidRDefault="001F4E7A">
      <w:pPr>
        <w:widowControl w:val="0"/>
        <w:spacing w:line="360" w:lineRule="auto"/>
        <w:jc w:val="both"/>
        <w:rPr>
          <w:rFonts w:ascii="Palatino Linotype" w:eastAsia="Arial Unicode MS" w:hAnsi="Palatino Linotype" w:cs="Arial"/>
        </w:rPr>
      </w:pPr>
    </w:p>
    <w:p w:rsidR="001F4E7A" w:rsidRDefault="0032792E">
      <w:pPr>
        <w:spacing w:line="360" w:lineRule="auto"/>
        <w:jc w:val="both"/>
        <w:rPr>
          <w:rFonts w:ascii="Palatino Linotype" w:hAnsi="Palatino Linotype" w:cs="Arial"/>
        </w:rPr>
      </w:pPr>
      <w:r>
        <w:rPr>
          <w:rFonts w:ascii="Palatino Linotype" w:hAnsi="Palatino Linotype" w:cs="Arial"/>
        </w:rPr>
        <w:t xml:space="preserve">En este sentido, es menester señalar que respecto a los trece expedientes relacionados por </w:t>
      </w:r>
      <w:r>
        <w:rPr>
          <w:rFonts w:ascii="Palatino Linotype" w:hAnsi="Palatino Linotype" w:cs="Arial"/>
          <w:b/>
        </w:rPr>
        <w:t xml:space="preserve">EL SUJETO OBLIGADO </w:t>
      </w:r>
      <w:r>
        <w:rPr>
          <w:rFonts w:ascii="Palatino Linotype" w:hAnsi="Palatino Linotype" w:cs="Arial"/>
        </w:rPr>
        <w:t xml:space="preserve">corresponden efectivamente a los requeridos por el ciudadano, y de la redacción de su solicitud es evidente que requiere propiamente dichos expedientes; sin embargo, ante la falta de pronunciamiento por parte del </w:t>
      </w:r>
      <w:r>
        <w:rPr>
          <w:rFonts w:ascii="Palatino Linotype" w:hAnsi="Palatino Linotype" w:cs="Arial"/>
          <w:b/>
        </w:rPr>
        <w:t xml:space="preserve">SUJETO OBLIGADO </w:t>
      </w:r>
      <w:r>
        <w:rPr>
          <w:rFonts w:ascii="Palatino Linotype" w:hAnsi="Palatino Linotype" w:cs="Arial"/>
        </w:rPr>
        <w:t>en relación a los expedientes que han causado estado y aquellos que aún se encuentren en trámite, a fin de determinar la procedibilidad de su entrega es conveniente atender a los argumentos de hecho y derecho que a continuación se exponen.</w:t>
      </w:r>
    </w:p>
    <w:p w:rsidR="001F4E7A" w:rsidRDefault="001F4E7A">
      <w:pPr>
        <w:spacing w:line="360" w:lineRule="auto"/>
        <w:jc w:val="both"/>
        <w:rPr>
          <w:rFonts w:ascii="Palatino Linotype" w:hAnsi="Palatino Linotype" w:cs="Arial"/>
        </w:rPr>
      </w:pPr>
    </w:p>
    <w:p w:rsidR="001F4E7A" w:rsidRDefault="0032792E">
      <w:pPr>
        <w:spacing w:line="360" w:lineRule="auto"/>
        <w:jc w:val="both"/>
        <w:rPr>
          <w:rFonts w:ascii="Palatino Linotype" w:hAnsi="Palatino Linotype" w:cs="Arial"/>
        </w:rPr>
      </w:pPr>
      <w:r>
        <w:rPr>
          <w:rFonts w:ascii="Palatino Linotype" w:hAnsi="Palatino Linotype" w:cs="Arial"/>
        </w:rPr>
        <w:t xml:space="preserve">Primeramente, por cuanto hace al personal femenino que se desempeña como oficial de tránsito, es importante señalar que el ahora </w:t>
      </w:r>
      <w:r>
        <w:rPr>
          <w:rFonts w:ascii="Palatino Linotype" w:hAnsi="Palatino Linotype" w:cs="Arial"/>
          <w:b/>
        </w:rPr>
        <w:t xml:space="preserve">RECURRENTE </w:t>
      </w:r>
      <w:r>
        <w:rPr>
          <w:rFonts w:ascii="Palatino Linotype" w:hAnsi="Palatino Linotype" w:cs="Arial"/>
        </w:rPr>
        <w:t xml:space="preserve">señaló que requería información detalladas de estas, sin especificar el grado de detalle pretendido, por lo que se debe entender como aquella información suficiente para identificar a las servidoras públicas que realizan dichas funciones de tránsito, siendo para este Órgano </w:t>
      </w:r>
      <w:r>
        <w:rPr>
          <w:rFonts w:ascii="Palatino Linotype" w:hAnsi="Palatino Linotype" w:cs="Arial"/>
        </w:rPr>
        <w:lastRenderedPageBreak/>
        <w:t>Garante, suficiente con conocer el nombre, cargo que desempeñan y el área de adscripción a las que se encuentran asignadas.</w:t>
      </w:r>
    </w:p>
    <w:p w:rsidR="001F4E7A" w:rsidRDefault="001F4E7A">
      <w:pPr>
        <w:spacing w:line="360" w:lineRule="auto"/>
        <w:jc w:val="both"/>
        <w:rPr>
          <w:rFonts w:ascii="Palatino Linotype" w:hAnsi="Palatino Linotype" w:cs="Arial"/>
        </w:rPr>
      </w:pPr>
    </w:p>
    <w:p w:rsidR="001F4E7A" w:rsidRDefault="0032792E">
      <w:pPr>
        <w:spacing w:line="360" w:lineRule="auto"/>
        <w:jc w:val="both"/>
        <w:rPr>
          <w:rFonts w:ascii="Palatino Linotype" w:hAnsi="Palatino Linotype" w:cs="Arial"/>
        </w:rPr>
      </w:pPr>
      <w:r>
        <w:rPr>
          <w:rFonts w:ascii="Palatino Linotype" w:hAnsi="Palatino Linotype" w:cs="Arial"/>
        </w:rPr>
        <w:t xml:space="preserve">En este sentido, al verificar la respuesta proporcionada por </w:t>
      </w:r>
      <w:r>
        <w:rPr>
          <w:rFonts w:ascii="Palatino Linotype" w:hAnsi="Palatino Linotype" w:cs="Arial"/>
          <w:b/>
        </w:rPr>
        <w:t xml:space="preserve">EL SUJETO OBLIGADO </w:t>
      </w:r>
      <w:r>
        <w:rPr>
          <w:rFonts w:ascii="Palatino Linotype" w:hAnsi="Palatino Linotype" w:cs="Arial"/>
        </w:rPr>
        <w:t>se advierte que únicamente remitió la estadística del personal que realiza dichas funciones sin especificar el nombre y área a la que se encuentran adscritas las elementos; ello bajo el argumento reiterado mediante Informe Justificado, de que en razón de las funciones desempeñadas tanto de los elementos como de la Propia Secretaría de Seguridad, al revelar mayores datos de las servidoras públicas se estaría poniendo en riesgo la integridad física de ellas así como el estado de fuerza de dicha dependencia.</w:t>
      </w:r>
    </w:p>
    <w:p w:rsidR="001F4E7A" w:rsidRDefault="001F4E7A">
      <w:pPr>
        <w:spacing w:line="360" w:lineRule="auto"/>
        <w:jc w:val="both"/>
        <w:rPr>
          <w:rFonts w:ascii="Palatino Linotype" w:hAnsi="Palatino Linotype" w:cs="Arial"/>
        </w:rPr>
      </w:pPr>
    </w:p>
    <w:p w:rsidR="001F4E7A" w:rsidRDefault="0032792E">
      <w:pPr>
        <w:spacing w:line="360" w:lineRule="auto"/>
        <w:jc w:val="both"/>
        <w:rPr>
          <w:rFonts w:ascii="Palatino Linotype" w:hAnsi="Palatino Linotype" w:cs="Arial"/>
        </w:rPr>
      </w:pPr>
      <w:r>
        <w:rPr>
          <w:rFonts w:ascii="Palatino Linotype" w:hAnsi="Palatino Linotype" w:cs="Arial"/>
        </w:rPr>
        <w:t xml:space="preserve">Al respecto, es menester puntualizar que si bien la información requerida por </w:t>
      </w:r>
      <w:r>
        <w:rPr>
          <w:rFonts w:ascii="Palatino Linotype" w:hAnsi="Palatino Linotype" w:cs="Arial"/>
          <w:b/>
        </w:rPr>
        <w:t xml:space="preserve">EL RECURRENTE </w:t>
      </w:r>
      <w:r>
        <w:rPr>
          <w:rFonts w:ascii="Palatino Linotype" w:hAnsi="Palatino Linotype" w:cs="Arial"/>
        </w:rPr>
        <w:t>no encuadra en los supuestos de reserva de la información; de acuerdo con los diferentes ordenamientos jurídicos que rigen el actuar de los cuerpos de seguridad, el rol de la policía consiste en prevenir y combatir el delito, así como garantizar la seguridad pública para que los ciudadanos puedan realizar su vida tranquilamente, puesto que como responsabilidad asumida es la de “servir y proteger” a los ciudadanos.</w:t>
      </w:r>
    </w:p>
    <w:p w:rsidR="001F4E7A" w:rsidRDefault="001F4E7A">
      <w:pPr>
        <w:spacing w:line="360" w:lineRule="auto"/>
        <w:jc w:val="both"/>
        <w:rPr>
          <w:rFonts w:ascii="Palatino Linotype" w:hAnsi="Palatino Linotype" w:cs="Arial"/>
        </w:rPr>
      </w:pPr>
    </w:p>
    <w:p w:rsidR="001F4E7A" w:rsidRDefault="0032792E">
      <w:pPr>
        <w:spacing w:line="360" w:lineRule="auto"/>
        <w:jc w:val="both"/>
        <w:rPr>
          <w:rFonts w:ascii="Palatino Linotype" w:hAnsi="Palatino Linotype" w:cs="Arial"/>
        </w:rPr>
      </w:pPr>
      <w:r>
        <w:rPr>
          <w:rFonts w:ascii="Palatino Linotype" w:hAnsi="Palatino Linotype" w:cs="Arial"/>
        </w:rPr>
        <w:t xml:space="preserve">Para llevar a cabo esta función, los cuerpos policiales realizan actividades tales como la recuperación territorial de los espacios públicos para la comunidad y el restablecimiento de las condiciones mínimas de seguridad, el combate a la estructura criminal con el acotamiento de su logística operativa y la desarticulación de las </w:t>
      </w:r>
      <w:r>
        <w:rPr>
          <w:rFonts w:ascii="Palatino Linotype" w:hAnsi="Palatino Linotype" w:cs="Arial"/>
        </w:rPr>
        <w:lastRenderedPageBreak/>
        <w:t>organizaciones delictivas; esto, basado en esquemas territoriales y selección de ciudades con alta incidencia delictiva en las que se focaliza la concentración estratégica de fuerza, para maximizar los resultados; asimismo, realizan el control de las principales vías de comunicación en áreas de alta incidencia delictiva a través de puntos revisión que detecten la logística criminal.</w:t>
      </w:r>
    </w:p>
    <w:p w:rsidR="001F4E7A" w:rsidRDefault="001F4E7A">
      <w:pPr>
        <w:spacing w:line="360" w:lineRule="auto"/>
        <w:jc w:val="both"/>
        <w:rPr>
          <w:rFonts w:ascii="Palatino Linotype" w:hAnsi="Palatino Linotype" w:cs="Arial"/>
        </w:rPr>
      </w:pPr>
    </w:p>
    <w:p w:rsidR="001F4E7A" w:rsidRDefault="0032792E">
      <w:pPr>
        <w:spacing w:line="360" w:lineRule="auto"/>
        <w:jc w:val="both"/>
        <w:rPr>
          <w:rFonts w:ascii="Palatino Linotype" w:hAnsi="Palatino Linotype" w:cs="Arial"/>
        </w:rPr>
      </w:pPr>
      <w:r>
        <w:rPr>
          <w:rFonts w:ascii="Palatino Linotype" w:hAnsi="Palatino Linotype" w:cs="Arial"/>
        </w:rPr>
        <w:t>Sin embargo, esto conlleva a un riesgo inminente para los integrantes de los cuerpos policiales, en virtud de que al cumplir con estrategias encaminadas a la prevención y persecución del delito, al entregar sus nombres son susceptibles de que se ponga en riesgo a dichos servidores públicos, incluso peligrando su propia vida.</w:t>
      </w:r>
    </w:p>
    <w:p w:rsidR="001F4E7A" w:rsidRDefault="001F4E7A">
      <w:pPr>
        <w:spacing w:line="360" w:lineRule="auto"/>
        <w:jc w:val="both"/>
        <w:rPr>
          <w:rFonts w:ascii="Palatino Linotype" w:hAnsi="Palatino Linotype" w:cs="Arial"/>
        </w:rPr>
      </w:pPr>
    </w:p>
    <w:p w:rsidR="001F4E7A" w:rsidRDefault="0032792E">
      <w:pPr>
        <w:spacing w:line="360" w:lineRule="auto"/>
        <w:jc w:val="both"/>
        <w:rPr>
          <w:rFonts w:ascii="Palatino Linotype" w:hAnsi="Palatino Linotype" w:cs="Arial"/>
        </w:rPr>
      </w:pPr>
      <w:r>
        <w:rPr>
          <w:rFonts w:ascii="Palatino Linotype" w:hAnsi="Palatino Linotype" w:cs="Arial"/>
        </w:rPr>
        <w:t>Ello aun cuando las servidoras públicas de quien se requiere la información desempeñan funciones tendientes a ejecutar los estudios, normas y proyectos de ingeniería de tránsito, con el propósito de mejorar las condiciones de movilidad peatonal y vehicular en la Ciudad; no implica que se deslinden de las funciones primarias que adquieres al formar parte de los cuerpos policiacos del Estado de México, y por ende corran el mismo riesgo de vulnerabilidad de sus similares adscritos a otros agrupamientos de la policía.</w:t>
      </w:r>
    </w:p>
    <w:p w:rsidR="001F4E7A" w:rsidRDefault="001F4E7A">
      <w:pPr>
        <w:spacing w:line="360" w:lineRule="auto"/>
        <w:jc w:val="both"/>
        <w:rPr>
          <w:rFonts w:ascii="Palatino Linotype" w:hAnsi="Palatino Linotype" w:cs="Arial"/>
        </w:rPr>
      </w:pPr>
    </w:p>
    <w:p w:rsidR="001F4E7A" w:rsidRDefault="0032792E">
      <w:pPr>
        <w:spacing w:line="360" w:lineRule="auto"/>
        <w:jc w:val="both"/>
        <w:rPr>
          <w:rFonts w:ascii="Palatino Linotype" w:hAnsi="Palatino Linotype" w:cs="Arial"/>
        </w:rPr>
      </w:pPr>
      <w:r>
        <w:rPr>
          <w:rFonts w:ascii="Palatino Linotype" w:hAnsi="Palatino Linotype" w:cs="Arial"/>
        </w:rPr>
        <w:t xml:space="preserve">No obstante, el dar a conocer el número de elementos, la categoria que ostentan y el área de adscripción de estos, no implicaría revelar el estado de fuerza de la entidad en virtud de que únicamente se está solicitando aquel personal </w:t>
      </w:r>
      <w:r>
        <w:rPr>
          <w:rFonts w:ascii="Palatino Linotype" w:hAnsi="Palatino Linotype" w:cs="Arial"/>
          <w:b/>
        </w:rPr>
        <w:t>femenino</w:t>
      </w:r>
      <w:r>
        <w:rPr>
          <w:rFonts w:ascii="Palatino Linotype" w:hAnsi="Palatino Linotype" w:cs="Arial"/>
        </w:rPr>
        <w:t xml:space="preserve"> de desempeñe funciones de </w:t>
      </w:r>
      <w:r>
        <w:rPr>
          <w:rFonts w:ascii="Palatino Linotype" w:hAnsi="Palatino Linotype" w:cs="Arial"/>
          <w:b/>
        </w:rPr>
        <w:t xml:space="preserve">tránsito </w:t>
      </w:r>
      <w:r>
        <w:rPr>
          <w:rFonts w:ascii="Palatino Linotype" w:hAnsi="Palatino Linotype" w:cs="Arial"/>
        </w:rPr>
        <w:t xml:space="preserve">sin que se revelen el equipamiento con el que cuentan ni el demás personal que desempeñe otras funciones de inteligencia o combate a la delincuencia, </w:t>
      </w:r>
      <w:r>
        <w:rPr>
          <w:rFonts w:ascii="Palatino Linotype" w:hAnsi="Palatino Linotype" w:cs="Arial"/>
        </w:rPr>
        <w:lastRenderedPageBreak/>
        <w:t>por lo que dicho extracto que se requiere no permite dimensionar las capacidades de reacción de la Secretaría de Seguridad ante los distintos agentes delictivos.</w:t>
      </w:r>
    </w:p>
    <w:p w:rsidR="001F4E7A" w:rsidRDefault="001F4E7A">
      <w:pPr>
        <w:spacing w:line="360" w:lineRule="auto"/>
        <w:jc w:val="both"/>
        <w:rPr>
          <w:rFonts w:ascii="Palatino Linotype" w:hAnsi="Palatino Linotype" w:cs="Arial"/>
        </w:rPr>
      </w:pPr>
    </w:p>
    <w:p w:rsidR="001F4E7A" w:rsidRDefault="0032792E">
      <w:pPr>
        <w:spacing w:line="360" w:lineRule="auto"/>
        <w:jc w:val="both"/>
        <w:rPr>
          <w:rFonts w:ascii="Palatino Linotype" w:hAnsi="Palatino Linotype" w:cs="Arial"/>
        </w:rPr>
      </w:pPr>
      <w:r>
        <w:rPr>
          <w:rFonts w:ascii="Palatino Linotype" w:hAnsi="Palatino Linotype" w:cs="Arial"/>
        </w:rPr>
        <w:t>Ahora, si bien se determina que debe protegerse de los nombres de las multicitadas agentes de tránsito, en razón de que la difusión de estos  permitan identificar a elementos en específico, por la detención de personas o por el simple desempeño de sus funciones, conllevaría a que se ponga en riesgo su integridad al darse a conocer la información referente a quienes llevan a cabo la operación y desarrollo de funciones en materia de seguridad pública; y permitir posibles vulnerabilidades que pudiera utilizar la delincuencia o a obstaculizar sus funciones; también es cierto que dicha protección se logra al someter la información de que se trata, a un proceso de disociación; es decir, se realice un proceso en el que los datos personales no pueden asociarse al titular, ni permitir por su estructura, contenido o grado de desagregación, la identificación individual del mismo; aun y cuando por norma estos deban ser públicos, empero su difusión conlleve a un riesgo en la integridad física y moral de los titulares de los datos.</w:t>
      </w:r>
    </w:p>
    <w:p w:rsidR="001F4E7A" w:rsidRDefault="001F4E7A">
      <w:pPr>
        <w:spacing w:line="360" w:lineRule="auto"/>
        <w:jc w:val="both"/>
        <w:rPr>
          <w:rFonts w:ascii="Palatino Linotype" w:hAnsi="Palatino Linotype" w:cs="Arial"/>
        </w:rPr>
      </w:pPr>
    </w:p>
    <w:p w:rsidR="001F4E7A" w:rsidRDefault="0032792E">
      <w:pPr>
        <w:spacing w:line="360" w:lineRule="auto"/>
        <w:jc w:val="both"/>
        <w:rPr>
          <w:rFonts w:ascii="Palatino Linotype" w:hAnsi="Palatino Linotype" w:cs="Arial"/>
        </w:rPr>
      </w:pPr>
      <w:r>
        <w:rPr>
          <w:rFonts w:ascii="Palatino Linotype" w:hAnsi="Palatino Linotype" w:cs="Arial"/>
        </w:rPr>
        <w:t>Dicho procedimiento se contempla dentro de la Ley de Protección de Datos Personales en Posesión de Sujetos Obligados del Estado de México y Municipios en su fracción  XVI del artículo 4 y diverso 52 de la Ley de Transparencia y Acceso a la Información Pública del Estado de México y Municipios.</w:t>
      </w:r>
    </w:p>
    <w:p w:rsidR="001F4E7A" w:rsidRDefault="001F4E7A">
      <w:pPr>
        <w:spacing w:line="360" w:lineRule="auto"/>
        <w:jc w:val="both"/>
        <w:rPr>
          <w:rFonts w:ascii="Palatino Linotype" w:hAnsi="Palatino Linotype" w:cs="Arial"/>
        </w:rPr>
      </w:pPr>
    </w:p>
    <w:p w:rsidR="001F4E7A" w:rsidRDefault="0032792E">
      <w:pPr>
        <w:ind w:left="709" w:right="757"/>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4</w:t>
      </w:r>
      <w:r>
        <w:rPr>
          <w:rFonts w:ascii="Palatino Linotype" w:hAnsi="Palatino Linotype" w:cs="Arial"/>
          <w:i/>
          <w:sz w:val="22"/>
        </w:rPr>
        <w:t>. Para los efectos de esta Ley se entenderá por:</w:t>
      </w:r>
    </w:p>
    <w:p w:rsidR="001F4E7A" w:rsidRDefault="001F4E7A">
      <w:pPr>
        <w:widowControl w:val="0"/>
        <w:ind w:left="709" w:right="757"/>
        <w:jc w:val="both"/>
        <w:rPr>
          <w:rFonts w:ascii="Palatino Linotype" w:hAnsi="Palatino Linotype" w:cs="Arial"/>
          <w:i/>
          <w:sz w:val="22"/>
        </w:rPr>
      </w:pPr>
    </w:p>
    <w:p w:rsidR="001F4E7A" w:rsidRDefault="0032792E">
      <w:pPr>
        <w:widowControl w:val="0"/>
        <w:ind w:left="709" w:right="757"/>
        <w:jc w:val="both"/>
        <w:rPr>
          <w:rFonts w:ascii="Palatino Linotype" w:hAnsi="Palatino Linotype" w:cs="Arial"/>
          <w:i/>
          <w:sz w:val="22"/>
        </w:rPr>
      </w:pPr>
      <w:r>
        <w:rPr>
          <w:rFonts w:ascii="Palatino Linotype" w:hAnsi="Palatino Linotype" w:cs="Arial"/>
          <w:b/>
          <w:i/>
          <w:sz w:val="22"/>
        </w:rPr>
        <w:t>XVI. Disociación</w:t>
      </w:r>
      <w:r>
        <w:rPr>
          <w:rFonts w:ascii="Palatino Linotype" w:hAnsi="Palatino Linotype" w:cs="Arial"/>
          <w:i/>
          <w:sz w:val="22"/>
        </w:rPr>
        <w:t xml:space="preserve">: al procedimiento por el que los datos personales no pueden asociarse a la o el titular, ni permitir por su estructura, contenido o grado de desagregación, la </w:t>
      </w:r>
      <w:r>
        <w:rPr>
          <w:rFonts w:ascii="Palatino Linotype" w:hAnsi="Palatino Linotype" w:cs="Arial"/>
          <w:i/>
          <w:sz w:val="22"/>
        </w:rPr>
        <w:lastRenderedPageBreak/>
        <w:t>identificación individual del mismo.</w:t>
      </w:r>
    </w:p>
    <w:p w:rsidR="001F4E7A" w:rsidRDefault="001F4E7A">
      <w:pPr>
        <w:widowControl w:val="0"/>
        <w:ind w:left="709" w:right="757"/>
        <w:jc w:val="both"/>
        <w:rPr>
          <w:rFonts w:ascii="Palatino Linotype" w:hAnsi="Palatino Linotype" w:cs="Arial"/>
          <w:i/>
          <w:sz w:val="22"/>
        </w:rPr>
      </w:pPr>
    </w:p>
    <w:p w:rsidR="001F4E7A" w:rsidRDefault="0032792E">
      <w:pPr>
        <w:widowControl w:val="0"/>
        <w:ind w:left="709" w:right="757"/>
        <w:jc w:val="both"/>
        <w:rPr>
          <w:rFonts w:ascii="Palatino Linotype" w:hAnsi="Palatino Linotype" w:cs="Arial"/>
          <w:i/>
          <w:sz w:val="22"/>
        </w:rPr>
      </w:pPr>
      <w:r>
        <w:rPr>
          <w:rFonts w:ascii="Palatino Linotype" w:hAnsi="Palatino Linotype" w:cs="Arial"/>
          <w:b/>
          <w:i/>
          <w:sz w:val="22"/>
        </w:rPr>
        <w:t>Artículo 52</w:t>
      </w:r>
      <w:r>
        <w:rPr>
          <w:rFonts w:ascii="Palatino Linotype" w:hAnsi="Palatino Linotype" w:cs="Arial"/>
          <w:i/>
          <w:sz w:val="22"/>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1F4E7A" w:rsidRDefault="001F4E7A">
      <w:pPr>
        <w:pStyle w:val="Prrafodelista"/>
        <w:widowControl w:val="0"/>
        <w:spacing w:line="360" w:lineRule="auto"/>
        <w:ind w:left="0"/>
        <w:jc w:val="both"/>
        <w:rPr>
          <w:rFonts w:ascii="Palatino Linotype" w:hAnsi="Palatino Linotype" w:cs="Arial"/>
        </w:rPr>
      </w:pPr>
    </w:p>
    <w:p w:rsidR="001F4E7A" w:rsidRDefault="0032792E">
      <w:pPr>
        <w:pStyle w:val="Prrafodelista"/>
        <w:widowControl w:val="0"/>
        <w:spacing w:line="360" w:lineRule="auto"/>
        <w:ind w:left="0"/>
        <w:jc w:val="both"/>
        <w:rPr>
          <w:rFonts w:ascii="Palatino Linotype" w:hAnsi="Palatino Linotype" w:cs="Arial"/>
        </w:rPr>
      </w:pPr>
      <w:r>
        <w:rPr>
          <w:rFonts w:ascii="Palatino Linotype" w:hAnsi="Palatino Linotype" w:cs="Arial"/>
        </w:rPr>
        <w:t xml:space="preserve">Por tanto, se concluye que la disociación consiste en el procedimiento por el cual los datos personales no pueden asociarse al Titular de éstos, ni permitir por su estructura, contenido o grado de desagregación, la identificación individual del mismo; es decir, que para el caso en particular no se pueda asociar el nombre de los policías con el cargo que desempeñan, pudiendo remitir </w:t>
      </w:r>
      <w:r>
        <w:rPr>
          <w:rFonts w:ascii="Palatino Linotype" w:hAnsi="Palatino Linotype" w:cs="Arial"/>
          <w:b/>
        </w:rPr>
        <w:t>por un lado el listado con los nombres</w:t>
      </w:r>
      <w:r>
        <w:rPr>
          <w:rFonts w:ascii="Palatino Linotype" w:hAnsi="Palatino Linotype" w:cs="Arial"/>
        </w:rPr>
        <w:t xml:space="preserve"> de las oficiales de tránsito sin que se señalen mayores datos </w:t>
      </w:r>
      <w:r>
        <w:rPr>
          <w:rFonts w:ascii="Palatino Linotype" w:hAnsi="Palatino Linotype" w:cs="Arial"/>
          <w:b/>
        </w:rPr>
        <w:t>y por otro aquel donde se advierta únicamente los cargos o categoría que ostentan y áreas de adscripción</w:t>
      </w:r>
      <w:r>
        <w:rPr>
          <w:rFonts w:ascii="Palatino Linotype" w:hAnsi="Palatino Linotype" w:cs="Arial"/>
        </w:rPr>
        <w:t xml:space="preserve"> de estos, similar a la información remitida en respuesta de la que se puede verificar el número de elementos por cargo </w:t>
      </w:r>
      <w:r>
        <w:rPr>
          <w:rFonts w:ascii="Palatino Linotype" w:hAnsi="Palatino Linotype" w:cs="Arial"/>
          <w:b/>
        </w:rPr>
        <w:t>faltando únicamente la información por área de adscripción</w:t>
      </w:r>
      <w:r>
        <w:rPr>
          <w:rFonts w:ascii="Palatino Linotype" w:hAnsi="Palatino Linotype" w:cs="Arial"/>
        </w:rPr>
        <w:t>, por lo que se considera procedente su entrega.</w:t>
      </w:r>
    </w:p>
    <w:p w:rsidR="001F4E7A" w:rsidRDefault="001F4E7A">
      <w:pPr>
        <w:pStyle w:val="Prrafodelista"/>
        <w:widowControl w:val="0"/>
        <w:spacing w:line="360" w:lineRule="auto"/>
        <w:ind w:left="0"/>
        <w:jc w:val="both"/>
        <w:rPr>
          <w:rFonts w:ascii="Palatino Linotype" w:hAnsi="Palatino Linotype" w:cs="Arial"/>
        </w:rPr>
      </w:pPr>
    </w:p>
    <w:p w:rsidR="001F4E7A" w:rsidRDefault="0032792E">
      <w:pPr>
        <w:pStyle w:val="Prrafodelista"/>
        <w:widowControl w:val="0"/>
        <w:spacing w:line="360" w:lineRule="auto"/>
        <w:ind w:left="0"/>
        <w:jc w:val="both"/>
        <w:rPr>
          <w:rFonts w:ascii="Palatino Linotype" w:hAnsi="Palatino Linotype" w:cs="Arial"/>
        </w:rPr>
      </w:pPr>
      <w:r>
        <w:rPr>
          <w:rFonts w:ascii="Palatino Linotype" w:hAnsi="Palatino Linotype" w:cs="Arial"/>
        </w:rPr>
        <w:t xml:space="preserve">Por otra parte, respecto a el rol de turnos de las oficiales de tránsito, se advierte que el </w:t>
      </w:r>
      <w:r>
        <w:rPr>
          <w:rFonts w:ascii="Palatino Linotype" w:hAnsi="Palatino Linotype" w:cs="Arial"/>
          <w:b/>
        </w:rPr>
        <w:t xml:space="preserve">SUJETO OBLIGADO </w:t>
      </w:r>
      <w:r>
        <w:rPr>
          <w:rFonts w:ascii="Palatino Linotype" w:hAnsi="Palatino Linotype" w:cs="Arial"/>
        </w:rPr>
        <w:t xml:space="preserve">señaló que este obedece a las necesidades propias de la función que realizan y tanto como lo amerite el servicio; empero, aun cuando este sea el caso deberá existir un rol de turnos mismo que permanecerá o se modificará atendiendo a las circunstancias descritas, tan es así que de conformidad con el Manual General de Organización de la Secretaría de Seguridad Ciudadana, la Dirección de Policía de Tránsito, área administrativa encargada de coordinar los servicios de tránsito, </w:t>
      </w:r>
      <w:r>
        <w:rPr>
          <w:rFonts w:ascii="Palatino Linotype" w:hAnsi="Palatino Linotype" w:cs="Arial"/>
        </w:rPr>
        <w:lastRenderedPageBreak/>
        <w:t xml:space="preserve">seguridad, vigilancia y protección de vehículos y personas en caminos y carreteras estatales o, en su caso, vías primarias, zonas rurales, áreas de recreo y turísticas que sean de competencia estatal, a fin de garantizar y, en su caso, prevenir daños a las personas, a sus bienes, al medio ambiente, al orden público y a las instalaciones estratégicas en el Estado, tiene como función la de asignar los roles de servicio diario, para la ejecución adecuada de las acciones operativas instruidas, de esta forma es evidente que </w:t>
      </w:r>
      <w:r>
        <w:rPr>
          <w:rFonts w:ascii="Palatino Linotype" w:hAnsi="Palatino Linotype" w:cs="Arial"/>
          <w:b/>
        </w:rPr>
        <w:t xml:space="preserve">EL SUJETO OBLIGADO </w:t>
      </w:r>
      <w:r>
        <w:rPr>
          <w:rFonts w:ascii="Palatino Linotype" w:hAnsi="Palatino Linotype" w:cs="Arial"/>
        </w:rPr>
        <w:t>cuenta con la información requerida.</w:t>
      </w:r>
    </w:p>
    <w:p w:rsidR="001F4E7A" w:rsidRDefault="001F4E7A">
      <w:pPr>
        <w:pStyle w:val="Prrafodelista"/>
        <w:widowControl w:val="0"/>
        <w:spacing w:line="360" w:lineRule="auto"/>
        <w:ind w:left="0"/>
        <w:jc w:val="both"/>
        <w:rPr>
          <w:rFonts w:ascii="Palatino Linotype" w:hAnsi="Palatino Linotype" w:cs="Arial"/>
        </w:rPr>
      </w:pPr>
    </w:p>
    <w:p w:rsidR="001F4E7A" w:rsidRDefault="0032792E">
      <w:pPr>
        <w:spacing w:line="360" w:lineRule="auto"/>
        <w:jc w:val="both"/>
        <w:rPr>
          <w:rFonts w:ascii="Palatino Linotype" w:hAnsi="Palatino Linotype" w:cs="Arial"/>
        </w:rPr>
      </w:pPr>
      <w:r>
        <w:rPr>
          <w:rFonts w:ascii="Palatino Linotype" w:hAnsi="Palatino Linotype" w:cs="Arial"/>
        </w:rPr>
        <w:t xml:space="preserve">Sin embargo, toda vez que el particular en su solicitud no precisó temporalidad alguna sobre la información requerida supra, este Instituto en ejercicio de la facultad de suplir a los particulares en esta instancia, en términos de los artículos 13 y 181 cuarto párrafo, de la Ley de Transparencia y Acceso a la Información Pública del Estado de México y Municipios, y en aras de privilegiar el principio de máxima publicidad a que se refieren los artículos 4 y 8 del mismo ordenamiento legal, se pronuncia respecto a que el periodo requerido, correspondería al de un año inmediato anterior, contado a partir de la fecha en que se presentó la solicitud. </w:t>
      </w:r>
    </w:p>
    <w:p w:rsidR="001F4E7A" w:rsidRDefault="001F4E7A">
      <w:pPr>
        <w:spacing w:line="360" w:lineRule="auto"/>
        <w:jc w:val="both"/>
        <w:rPr>
          <w:rFonts w:ascii="Palatino Linotype" w:hAnsi="Palatino Linotype" w:cs="Arial"/>
        </w:rPr>
      </w:pPr>
    </w:p>
    <w:p w:rsidR="001F4E7A" w:rsidRDefault="0032792E">
      <w:pPr>
        <w:spacing w:line="360" w:lineRule="auto"/>
        <w:jc w:val="both"/>
        <w:rPr>
          <w:rFonts w:ascii="Palatino Linotype" w:hAnsi="Palatino Linotype" w:cs="Arial"/>
        </w:rPr>
      </w:pPr>
      <w:r>
        <w:rPr>
          <w:rFonts w:ascii="Palatino Linotype" w:hAnsi="Palatino Linotype" w:cs="Arial"/>
        </w:rPr>
        <w:t>Sirve de apoyo a lo anterior, el criterio 9-13 emitido por el entonces Instituto Federal de Acceso a la Información y Protección de Datos (IFAI) hoy Instituto Nacional de Transparencia, Acceso a la Información y Protección de Datos Personales (INAI), que a la letra dice:</w:t>
      </w:r>
    </w:p>
    <w:p w:rsidR="001F4E7A" w:rsidRDefault="001F4E7A">
      <w:pPr>
        <w:spacing w:line="360" w:lineRule="auto"/>
        <w:jc w:val="both"/>
        <w:rPr>
          <w:rFonts w:ascii="Palatino Linotype" w:hAnsi="Palatino Linotype" w:cs="Arial"/>
        </w:rPr>
      </w:pPr>
    </w:p>
    <w:p w:rsidR="001F4E7A" w:rsidRDefault="0032792E">
      <w:pPr>
        <w:ind w:left="709" w:right="757"/>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Periodo de búsqueda de la información, cuando no se precisa en la solicitud de información</w:t>
      </w:r>
      <w:r>
        <w:rPr>
          <w:rFonts w:ascii="Palatino Linotype" w:hAnsi="Palatino Linotype" w:cs="Arial"/>
          <w:i/>
          <w:sz w:val="22"/>
        </w:rPr>
        <w:t xml:space="preserve">. El artículo 40, fracción II de la Ley Federal de Transparencia y Acceso a la Información Pública Gubernamental, señala que los particulares deberán describir </w:t>
      </w:r>
      <w:r>
        <w:rPr>
          <w:rFonts w:ascii="Palatino Linotype" w:hAnsi="Palatino Linotype" w:cs="Arial"/>
          <w:i/>
          <w:sz w:val="22"/>
        </w:rPr>
        <w:lastRenderedPageBreak/>
        <w:t>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1F4E7A" w:rsidRDefault="001F4E7A">
      <w:pPr>
        <w:ind w:left="709" w:right="757"/>
        <w:jc w:val="both"/>
        <w:rPr>
          <w:rFonts w:ascii="Palatino Linotype" w:hAnsi="Palatino Linotype" w:cs="Arial"/>
          <w:i/>
          <w:sz w:val="22"/>
        </w:rPr>
      </w:pPr>
    </w:p>
    <w:p w:rsidR="001F4E7A" w:rsidRDefault="0032792E">
      <w:pPr>
        <w:ind w:left="709" w:right="757"/>
        <w:jc w:val="both"/>
        <w:rPr>
          <w:rFonts w:ascii="Palatino Linotype" w:hAnsi="Palatino Linotype" w:cs="Arial"/>
          <w:i/>
          <w:sz w:val="22"/>
        </w:rPr>
      </w:pPr>
      <w:r>
        <w:rPr>
          <w:rFonts w:ascii="Palatino Linotype" w:hAnsi="Palatino Linotype" w:cs="Arial"/>
          <w:i/>
          <w:sz w:val="22"/>
        </w:rPr>
        <w:t xml:space="preserve">Resoluciones </w:t>
      </w:r>
    </w:p>
    <w:p w:rsidR="001F4E7A" w:rsidRDefault="0032792E">
      <w:pPr>
        <w:ind w:left="709" w:right="757"/>
        <w:jc w:val="both"/>
        <w:rPr>
          <w:rFonts w:ascii="Palatino Linotype" w:hAnsi="Palatino Linotype" w:cs="Arial"/>
          <w:i/>
          <w:sz w:val="22"/>
        </w:rPr>
      </w:pPr>
      <w:r>
        <w:rPr>
          <w:rFonts w:ascii="Palatino Linotype" w:hAnsi="Palatino Linotype" w:cs="Arial"/>
          <w:i/>
          <w:sz w:val="22"/>
        </w:rPr>
        <w:t>• RDA 1683/12. Interpuesto en contra del Servicio de Administración Tributaria. Comisionado Ponente Ángel Trinidad Zaldívar.</w:t>
      </w:r>
    </w:p>
    <w:p w:rsidR="001F4E7A" w:rsidRDefault="0032792E">
      <w:pPr>
        <w:ind w:left="709" w:right="757"/>
        <w:jc w:val="both"/>
        <w:rPr>
          <w:rFonts w:ascii="Palatino Linotype" w:hAnsi="Palatino Linotype" w:cs="Arial"/>
          <w:i/>
          <w:sz w:val="22"/>
        </w:rPr>
      </w:pPr>
      <w:r>
        <w:rPr>
          <w:rFonts w:ascii="Palatino Linotype" w:hAnsi="Palatino Linotype" w:cs="Arial"/>
          <w:i/>
          <w:sz w:val="22"/>
        </w:rPr>
        <w:t xml:space="preserve">• RDA 1518/12. Interpuesto en contra de la Secretaría de Salud. Comisionado Ponente Ángel Trinidad Zaldívar. </w:t>
      </w:r>
    </w:p>
    <w:p w:rsidR="001F4E7A" w:rsidRDefault="0032792E">
      <w:pPr>
        <w:ind w:left="709" w:right="757"/>
        <w:jc w:val="both"/>
        <w:rPr>
          <w:rFonts w:ascii="Palatino Linotype" w:hAnsi="Palatino Linotype" w:cs="Arial"/>
          <w:i/>
          <w:sz w:val="22"/>
        </w:rPr>
      </w:pPr>
      <w:r>
        <w:rPr>
          <w:rFonts w:ascii="Palatino Linotype" w:hAnsi="Palatino Linotype" w:cs="Arial"/>
          <w:i/>
          <w:sz w:val="22"/>
        </w:rPr>
        <w:t>• RDA 1439/12. Interpuesto en contra de la Secretaría de Educación Pública. Comisionada Ponente Sigrid Arzt Colunga.</w:t>
      </w:r>
    </w:p>
    <w:p w:rsidR="001F4E7A" w:rsidRDefault="0032792E">
      <w:pPr>
        <w:ind w:left="709" w:right="757"/>
        <w:jc w:val="both"/>
        <w:rPr>
          <w:rFonts w:ascii="Palatino Linotype" w:hAnsi="Palatino Linotype" w:cs="Arial"/>
          <w:i/>
          <w:sz w:val="22"/>
        </w:rPr>
      </w:pPr>
      <w:r>
        <w:rPr>
          <w:rFonts w:ascii="Palatino Linotype" w:hAnsi="Palatino Linotype" w:cs="Arial"/>
          <w:i/>
          <w:sz w:val="22"/>
        </w:rPr>
        <w:t>• RDA 1308/12. Interpuesto en contra de la Secretaría de la Defensa Nacional. Comisionado Ponente Ángel Trinidad Zaldívar.</w:t>
      </w:r>
    </w:p>
    <w:p w:rsidR="001F4E7A" w:rsidRDefault="0032792E">
      <w:pPr>
        <w:ind w:left="709" w:right="757"/>
        <w:jc w:val="both"/>
        <w:rPr>
          <w:rFonts w:ascii="Palatino Linotype" w:hAnsi="Palatino Linotype" w:cs="Arial"/>
          <w:i/>
          <w:sz w:val="22"/>
        </w:rPr>
      </w:pPr>
      <w:r>
        <w:rPr>
          <w:rFonts w:ascii="Palatino Linotype" w:hAnsi="Palatino Linotype" w:cs="Arial"/>
          <w:i/>
          <w:sz w:val="22"/>
        </w:rPr>
        <w:t>• 2109/11. Interpuesto en contra del Instituto Mexicano del Seguro Social. Comisionada Ponente Jacqueline Peschard Mariscal.”</w:t>
      </w:r>
    </w:p>
    <w:p w:rsidR="001F4E7A" w:rsidRDefault="001F4E7A">
      <w:pPr>
        <w:ind w:left="709" w:right="757"/>
        <w:jc w:val="both"/>
        <w:rPr>
          <w:rFonts w:ascii="Palatino Linotype" w:hAnsi="Palatino Linotype" w:cs="Arial"/>
          <w:i/>
          <w:sz w:val="22"/>
        </w:rPr>
      </w:pPr>
    </w:p>
    <w:p w:rsidR="001F4E7A" w:rsidRDefault="0032792E">
      <w:pPr>
        <w:ind w:left="709" w:right="757"/>
        <w:jc w:val="both"/>
        <w:rPr>
          <w:rFonts w:ascii="Palatino Linotype" w:hAnsi="Palatino Linotype" w:cs="Arial"/>
          <w:i/>
          <w:sz w:val="22"/>
        </w:rPr>
      </w:pPr>
      <w:r>
        <w:rPr>
          <w:rFonts w:ascii="Palatino Linotype" w:hAnsi="Palatino Linotype" w:cs="Arial"/>
          <w:i/>
          <w:sz w:val="22"/>
        </w:rPr>
        <w:t>(Énfasis añadido)</w:t>
      </w:r>
    </w:p>
    <w:p w:rsidR="001F4E7A" w:rsidRDefault="001F4E7A">
      <w:pPr>
        <w:spacing w:line="360" w:lineRule="auto"/>
        <w:jc w:val="both"/>
        <w:rPr>
          <w:rFonts w:ascii="Palatino Linotype" w:hAnsi="Palatino Linotype" w:cs="Arial"/>
        </w:rPr>
      </w:pPr>
    </w:p>
    <w:p w:rsidR="001F4E7A" w:rsidRDefault="0032792E">
      <w:pPr>
        <w:spacing w:line="360" w:lineRule="auto"/>
        <w:jc w:val="both"/>
        <w:rPr>
          <w:rFonts w:ascii="Palatino Linotype" w:hAnsi="Palatino Linotype" w:cs="Arial"/>
        </w:rPr>
      </w:pPr>
      <w:r>
        <w:rPr>
          <w:rFonts w:ascii="Palatino Linotype" w:hAnsi="Palatino Linotype" w:cs="Arial"/>
        </w:rPr>
        <w:t>En ese orden de ideas, debió entenderse que el periodo por el que se requería la información relativa a los roles de turno o servicio de los elementos de tránsito requeridos, correspondería del 22 de enero de 2019 al 22 de enero de 2020, es decir, de un año inmediato anterior, contado a partir de la fecha en la que presentó la solicitud de información pública (22 de enero de 2020), a fin de colmar con ello el derecho de acceso a la información pública del ciudadano.</w:t>
      </w:r>
    </w:p>
    <w:p w:rsidR="001F4E7A" w:rsidRDefault="001F4E7A">
      <w:pPr>
        <w:pStyle w:val="Prrafodelista"/>
        <w:widowControl w:val="0"/>
        <w:spacing w:line="360" w:lineRule="auto"/>
        <w:ind w:left="0"/>
        <w:jc w:val="both"/>
        <w:rPr>
          <w:rFonts w:ascii="Palatino Linotype" w:hAnsi="Palatino Linotype" w:cs="Arial"/>
        </w:rPr>
      </w:pPr>
    </w:p>
    <w:p w:rsidR="001F4E7A" w:rsidRDefault="0032792E">
      <w:pPr>
        <w:pStyle w:val="Prrafodelista"/>
        <w:widowControl w:val="0"/>
        <w:spacing w:line="360" w:lineRule="auto"/>
        <w:ind w:left="0"/>
        <w:jc w:val="both"/>
        <w:rPr>
          <w:rFonts w:ascii="Palatino Linotype" w:hAnsi="Palatino Linotype" w:cs="Arial"/>
        </w:rPr>
      </w:pPr>
      <w:r>
        <w:rPr>
          <w:rFonts w:ascii="Palatino Linotype" w:hAnsi="Palatino Linotype" w:cs="Arial"/>
        </w:rPr>
        <w:t>No se omite señalar, que su entrega dependerá en todo momento de que dicha información no guarde relación directa o se pueda advertir de la misma un patrón constante o idéntico a los roles y estrategias que actualmente se utilizan para brindar el servicio de tránsito y seguridad pública.</w:t>
      </w:r>
    </w:p>
    <w:p w:rsidR="001F4E7A" w:rsidRDefault="0032792E">
      <w:pPr>
        <w:pStyle w:val="Prrafodelista"/>
        <w:widowControl w:val="0"/>
        <w:spacing w:line="360" w:lineRule="auto"/>
        <w:ind w:left="0"/>
        <w:jc w:val="both"/>
        <w:rPr>
          <w:rFonts w:ascii="Palatino Linotype" w:hAnsi="Palatino Linotype" w:cs="Arial"/>
        </w:rPr>
      </w:pPr>
      <w:r>
        <w:rPr>
          <w:rFonts w:ascii="Palatino Linotype" w:hAnsi="Palatino Linotype" w:cs="Arial"/>
        </w:rPr>
        <w:lastRenderedPageBreak/>
        <w:t xml:space="preserve">Esto es que si bien es cierto, el revelar el rol de servicio de las elementos de tránsito que corresponden a días pasados, no podría el riesgo la labor e integridad de las servidoras públicas en mención, empero, si los roles de servicio que actualmente y en días posteriores al momento en que se deba de dar a conocer la información fueran idénticos o permitan determinar un patrón constante de actuación de los elementos, las estrategias establecidas, las zonas de y capacidad cobertura entre otros factores que pudieran afectar el desarrollo de las funciones del servicio, que entorpezcan la efectividad de las estrategias establecidas, permitan la evasión de los controles de prevención que se ejecutan o incluso pongan en riesgo a los elementos en su integridad física como por ejemplo revelar su nombre, entonces </w:t>
      </w:r>
      <w:r>
        <w:rPr>
          <w:rFonts w:ascii="Palatino Linotype" w:hAnsi="Palatino Linotype" w:cs="Arial"/>
          <w:b/>
        </w:rPr>
        <w:t xml:space="preserve">EL SUJETO OBLIGADO </w:t>
      </w:r>
      <w:r>
        <w:rPr>
          <w:rFonts w:ascii="Palatino Linotype" w:hAnsi="Palatino Linotype" w:cs="Arial"/>
        </w:rPr>
        <w:t>deberá analizar y en su caso determinar si la difusión de dicha información lacera en mayor medida los intereses de la colectividad y en razón de ello pueda reservarse en términos de ley.</w:t>
      </w:r>
    </w:p>
    <w:p w:rsidR="001F4E7A" w:rsidRDefault="001F4E7A">
      <w:pPr>
        <w:pStyle w:val="Prrafodelista"/>
        <w:widowControl w:val="0"/>
        <w:spacing w:line="360" w:lineRule="auto"/>
        <w:ind w:left="0"/>
        <w:jc w:val="both"/>
        <w:rPr>
          <w:rFonts w:ascii="Palatino Linotype" w:hAnsi="Palatino Linotype" w:cs="Arial"/>
        </w:rPr>
      </w:pPr>
    </w:p>
    <w:p w:rsidR="001F4E7A" w:rsidRDefault="0032792E">
      <w:pPr>
        <w:spacing w:line="360" w:lineRule="auto"/>
        <w:ind w:right="-93"/>
        <w:jc w:val="both"/>
        <w:rPr>
          <w:rFonts w:ascii="Palatino Linotype" w:hAnsi="Palatino Linotype" w:cs="Tahoma"/>
          <w:lang w:val="es-ES"/>
        </w:rPr>
      </w:pPr>
      <w:r>
        <w:rPr>
          <w:rFonts w:ascii="Palatino Linotype" w:hAnsi="Palatino Linotype" w:cs="Arial"/>
        </w:rPr>
        <w:t xml:space="preserve">Esto resultaría procedente siempre que de los documentos que se trata, se encuentren  directamente relacionados con el armamento y equipo táctico de los policías y demás información que identifique las características del equipamiento policial, de radiocomunicación y patrullas que portan cada elemento así como aquellos que revelen estrategias de actuación y que puedan ser utilizadas precisamente para dificultar su ejecución haciendo que no se </w:t>
      </w:r>
      <w:r>
        <w:rPr>
          <w:rFonts w:ascii="Palatino Linotype" w:eastAsia="Calibri" w:hAnsi="Palatino Linotype" w:cs="Tahoma"/>
          <w:bCs/>
          <w:iCs/>
          <w:lang w:eastAsia="es-ES_tradnl"/>
        </w:rPr>
        <w:t>posible su entrega al tratarse de información susceptible de ser clasificada como reservada, en razón de que</w:t>
      </w:r>
      <w:r>
        <w:rPr>
          <w:rFonts w:ascii="Palatino Linotype" w:hAnsi="Palatino Linotype" w:cs="Tahoma"/>
          <w:lang w:val="es-ES"/>
        </w:rPr>
        <w:t xml:space="preserve"> puede causar un daño, pues al proporcionar información sobre </w:t>
      </w:r>
      <w:r>
        <w:rPr>
          <w:rFonts w:ascii="Palatino Linotype" w:hAnsi="Palatino Linotype" w:cs="Tahoma"/>
          <w:b/>
          <w:lang w:val="es-ES"/>
        </w:rPr>
        <w:t xml:space="preserve">los elementos activos por turno, su nombre, las áreas a que son dispuestos, los horarios y capacidad de atención del servicio, el número de </w:t>
      </w:r>
      <w:r>
        <w:rPr>
          <w:rFonts w:ascii="Palatino Linotype" w:hAnsi="Palatino Linotype" w:cs="Tahoma"/>
          <w:b/>
          <w:lang w:val="es-ES"/>
        </w:rPr>
        <w:lastRenderedPageBreak/>
        <w:t>patrulla, entre otros,</w:t>
      </w:r>
      <w:r>
        <w:rPr>
          <w:rFonts w:ascii="Palatino Linotype" w:hAnsi="Palatino Linotype" w:cs="Tahoma"/>
          <w:lang w:val="es-ES"/>
        </w:rPr>
        <w:t xml:space="preserve"> se estaría dando cuenta de la estrategia de actuación de los cuerpos policiales, en este caso de tránsito.</w:t>
      </w:r>
    </w:p>
    <w:p w:rsidR="001F4E7A" w:rsidRDefault="001F4E7A">
      <w:pPr>
        <w:spacing w:line="360" w:lineRule="auto"/>
        <w:ind w:right="-93"/>
        <w:jc w:val="both"/>
        <w:rPr>
          <w:rFonts w:ascii="Palatino Linotype" w:hAnsi="Palatino Linotype" w:cs="Tahoma"/>
          <w:lang w:val="es-ES"/>
        </w:rPr>
      </w:pPr>
    </w:p>
    <w:p w:rsidR="001F4E7A" w:rsidRDefault="0032792E">
      <w:pPr>
        <w:spacing w:line="360" w:lineRule="auto"/>
        <w:jc w:val="both"/>
        <w:rPr>
          <w:rFonts w:ascii="Palatino Linotype" w:eastAsia="Calibri" w:hAnsi="Palatino Linotype" w:cs="Tahoma"/>
          <w:bCs/>
          <w:lang w:eastAsia="en-US"/>
        </w:rPr>
      </w:pPr>
      <w:r>
        <w:rPr>
          <w:rFonts w:ascii="Palatino Linotype" w:eastAsia="Calibri" w:hAnsi="Palatino Linotype" w:cs="Tahoma"/>
          <w:bCs/>
          <w:lang w:eastAsia="en-US"/>
        </w:rPr>
        <w:t xml:space="preserve">Conforme a lo anterior, se puede colegir que proporcionar la información en análisis podría comprometer la seguridad pública, al poner en peligro las funciones a cargo de los elementos de tránsito, tendientes a garantizar un libre tránsito sin dejar de pertenecer a los cuerpos policiales cuya función principal es la de preservar y resguardar la vida, la salud, la integridad y el ejercicio de los derechos de las personas, así como para el mantenimiento del orden público, toda vez </w:t>
      </w:r>
      <w:r>
        <w:rPr>
          <w:rFonts w:ascii="Palatino Linotype" w:eastAsia="Calibri" w:hAnsi="Palatino Linotype" w:cs="Tahoma"/>
          <w:b/>
          <w:bCs/>
          <w:lang w:eastAsia="en-US"/>
        </w:rPr>
        <w:t xml:space="preserve">que podría dar cuenta de los planes y programas en materia de tránsito que coadyuven a agilizar la vialidad y garantizar la uniformidad de las disposiciones administrativas de observancia general que permiten dar seguridad y certeza a los destinatarios de la norma jurídica </w:t>
      </w:r>
      <w:r>
        <w:rPr>
          <w:rFonts w:ascii="Palatino Linotype" w:eastAsia="Calibri" w:hAnsi="Palatino Linotype" w:cs="Tahoma"/>
          <w:bCs/>
          <w:lang w:eastAsia="en-US"/>
        </w:rPr>
        <w:t>y por lo tanto, acredita la causal de clasificación prevista en el artículo 140, fracción I de la Ley de Transparencia y Acceso a la Información Pública del Estado de México</w:t>
      </w:r>
      <w:r>
        <w:rPr>
          <w:rFonts w:ascii="Palatino Linotype" w:eastAsia="Calibri" w:hAnsi="Palatino Linotype" w:cs="Tahoma"/>
          <w:b/>
          <w:bCs/>
          <w:lang w:eastAsia="en-US"/>
        </w:rPr>
        <w:t>.</w:t>
      </w:r>
    </w:p>
    <w:p w:rsidR="001F4E7A" w:rsidRDefault="001F4E7A">
      <w:pPr>
        <w:spacing w:line="360" w:lineRule="auto"/>
        <w:ind w:right="-93"/>
        <w:jc w:val="both"/>
        <w:rPr>
          <w:rFonts w:ascii="Palatino Linotype" w:hAnsi="Palatino Linotype" w:cs="Tahoma"/>
          <w:lang w:val="es-ES"/>
        </w:rPr>
      </w:pPr>
    </w:p>
    <w:p w:rsidR="001F4E7A" w:rsidRDefault="0032792E">
      <w:pPr>
        <w:tabs>
          <w:tab w:val="left" w:pos="4962"/>
        </w:tabs>
        <w:spacing w:line="360" w:lineRule="auto"/>
        <w:jc w:val="both"/>
        <w:rPr>
          <w:rFonts w:ascii="Palatino Linotype" w:eastAsia="Calibri" w:hAnsi="Palatino Linotype" w:cs="Tahoma"/>
          <w:iCs/>
          <w:lang w:val="es-ES" w:eastAsia="es-ES_tradnl"/>
        </w:rPr>
      </w:pPr>
      <w:r>
        <w:rPr>
          <w:rFonts w:ascii="Palatino Linotype" w:eastAsia="Calibri" w:hAnsi="Palatino Linotype" w:cs="Tahoma"/>
          <w:iCs/>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001F4E7A" w:rsidRDefault="001F4E7A">
      <w:pPr>
        <w:tabs>
          <w:tab w:val="left" w:pos="4962"/>
        </w:tabs>
        <w:spacing w:line="360" w:lineRule="auto"/>
        <w:jc w:val="both"/>
        <w:rPr>
          <w:rFonts w:ascii="Palatino Linotype" w:eastAsia="Calibri" w:hAnsi="Palatino Linotype" w:cs="Tahoma"/>
          <w:iCs/>
          <w:lang w:val="es-ES" w:eastAsia="es-ES_tradnl"/>
        </w:rPr>
      </w:pPr>
    </w:p>
    <w:p w:rsidR="001F4E7A" w:rsidRDefault="0032792E">
      <w:pPr>
        <w:numPr>
          <w:ilvl w:val="0"/>
          <w:numId w:val="4"/>
        </w:numPr>
        <w:tabs>
          <w:tab w:val="left" w:pos="4962"/>
        </w:tabs>
        <w:spacing w:line="360" w:lineRule="auto"/>
        <w:jc w:val="both"/>
        <w:rPr>
          <w:rFonts w:ascii="Palatino Linotype" w:eastAsia="Calibri" w:hAnsi="Palatino Linotype" w:cs="Tahoma"/>
          <w:iCs/>
          <w:lang w:val="es-ES_tradnl" w:eastAsia="es-ES_tradnl"/>
        </w:rPr>
      </w:pPr>
      <w:r>
        <w:rPr>
          <w:rFonts w:ascii="Palatino Linotype" w:eastAsia="Calibri" w:hAnsi="Palatino Linotype" w:cs="Tahoma"/>
          <w:iCs/>
          <w:lang w:val="es-ES_tradnl" w:eastAsia="es-ES_tradnl"/>
        </w:rPr>
        <w:t>La divulgación de la información representa un riesgo real, demostrable e identificable de perjuicio significativo al interés público o a la seguridad nacional.</w:t>
      </w:r>
    </w:p>
    <w:p w:rsidR="001F4E7A" w:rsidRDefault="001F4E7A">
      <w:pPr>
        <w:tabs>
          <w:tab w:val="left" w:pos="4962"/>
        </w:tabs>
        <w:spacing w:line="360" w:lineRule="auto"/>
        <w:jc w:val="both"/>
        <w:rPr>
          <w:rFonts w:ascii="Palatino Linotype" w:eastAsia="Calibri" w:hAnsi="Palatino Linotype" w:cs="Tahoma"/>
          <w:iCs/>
          <w:lang w:val="es-ES_tradnl" w:eastAsia="es-ES_tradnl"/>
        </w:rPr>
      </w:pPr>
    </w:p>
    <w:p w:rsidR="001F4E7A" w:rsidRDefault="0032792E">
      <w:pPr>
        <w:numPr>
          <w:ilvl w:val="0"/>
          <w:numId w:val="4"/>
        </w:numPr>
        <w:tabs>
          <w:tab w:val="left" w:pos="4962"/>
        </w:tabs>
        <w:spacing w:line="360" w:lineRule="auto"/>
        <w:jc w:val="both"/>
        <w:rPr>
          <w:rFonts w:ascii="Palatino Linotype" w:eastAsia="Calibri" w:hAnsi="Palatino Linotype" w:cs="Tahoma"/>
          <w:iCs/>
          <w:lang w:val="es-ES_tradnl" w:eastAsia="es-ES_tradnl"/>
        </w:rPr>
      </w:pPr>
      <w:r>
        <w:rPr>
          <w:rFonts w:ascii="Palatino Linotype" w:eastAsia="Calibri" w:hAnsi="Palatino Linotype" w:cs="Tahoma"/>
          <w:iCs/>
          <w:lang w:val="es-ES_tradnl" w:eastAsia="es-ES_tradnl"/>
        </w:rPr>
        <w:t>El riesgo de perjuicio supera el interés público general de que se difunda.</w:t>
      </w:r>
    </w:p>
    <w:p w:rsidR="001F4E7A" w:rsidRDefault="001F4E7A">
      <w:pPr>
        <w:tabs>
          <w:tab w:val="left" w:pos="4962"/>
        </w:tabs>
        <w:spacing w:line="360" w:lineRule="auto"/>
        <w:jc w:val="both"/>
        <w:rPr>
          <w:rFonts w:ascii="Palatino Linotype" w:eastAsia="Calibri" w:hAnsi="Palatino Linotype" w:cs="Tahoma"/>
          <w:iCs/>
          <w:lang w:val="es-ES_tradnl" w:eastAsia="es-ES_tradnl"/>
        </w:rPr>
      </w:pPr>
    </w:p>
    <w:p w:rsidR="001F4E7A" w:rsidRDefault="0032792E">
      <w:pPr>
        <w:numPr>
          <w:ilvl w:val="0"/>
          <w:numId w:val="4"/>
        </w:numPr>
        <w:tabs>
          <w:tab w:val="left" w:pos="4962"/>
        </w:tabs>
        <w:spacing w:line="360" w:lineRule="auto"/>
        <w:jc w:val="both"/>
        <w:rPr>
          <w:rFonts w:ascii="Palatino Linotype" w:eastAsia="Calibri" w:hAnsi="Palatino Linotype" w:cs="Tahoma"/>
          <w:iCs/>
          <w:lang w:val="es-ES_tradnl" w:eastAsia="es-ES_tradnl"/>
        </w:rPr>
      </w:pPr>
      <w:r>
        <w:rPr>
          <w:rFonts w:ascii="Palatino Linotype" w:eastAsia="Calibri" w:hAnsi="Palatino Linotype" w:cs="Tahoma"/>
          <w:iCs/>
          <w:lang w:val="es-ES_tradnl" w:eastAsia="es-ES_tradnl"/>
        </w:rPr>
        <w:t>Que la limitación se adecua al principio de proporcionalidad y representa el medio menos restrictivo disponible para evitar el perjuicio.</w:t>
      </w:r>
    </w:p>
    <w:p w:rsidR="001F4E7A" w:rsidRDefault="0032792E">
      <w:pPr>
        <w:spacing w:line="360" w:lineRule="auto"/>
        <w:jc w:val="both"/>
        <w:rPr>
          <w:rFonts w:ascii="Palatino Linotype" w:eastAsia="Calibri" w:hAnsi="Palatino Linotype" w:cs="Tahoma"/>
          <w:bCs/>
          <w:lang w:eastAsia="en-US"/>
        </w:rPr>
      </w:pPr>
      <w:r>
        <w:rPr>
          <w:rFonts w:ascii="Palatino Linotype" w:eastAsia="Calibri" w:hAnsi="Palatino Linotype" w:cs="Tahoma"/>
          <w:bCs/>
          <w:lang w:eastAsia="en-US"/>
        </w:rPr>
        <w:t>De tal forma que</w:t>
      </w:r>
      <w:r>
        <w:rPr>
          <w:rFonts w:ascii="Palatino Linotype" w:eastAsia="Calibri" w:hAnsi="Palatino Linotype" w:cs="Tahoma"/>
          <w:b/>
          <w:bCs/>
          <w:lang w:eastAsia="en-US"/>
        </w:rPr>
        <w:t xml:space="preserve"> EL SUJETO OBLIGADO </w:t>
      </w:r>
      <w:r>
        <w:rPr>
          <w:rFonts w:ascii="Palatino Linotype" w:eastAsia="Calibri" w:hAnsi="Palatino Linotype" w:cs="Tahoma"/>
          <w:bCs/>
          <w:lang w:eastAsia="en-US"/>
        </w:rPr>
        <w:t>deberá analizar que la reserva no se traduzca en un medio restrictivo al derecho de acceso a la información, en virtud de que la misma prevalece al proteger alguno de los derechos más importantes, como lo son la vida, la salud y la seguridad de las personas, además, que con la protección de la información ayude a mantener el orden y paz social, al no menoscabar los planes, estrategias, tecnologías, información o sistemas de comunicaciones de las áreas a cargo de las elementos de tránsito.</w:t>
      </w:r>
    </w:p>
    <w:p w:rsidR="001F4E7A" w:rsidRDefault="001F4E7A">
      <w:pPr>
        <w:spacing w:line="360" w:lineRule="auto"/>
        <w:jc w:val="both"/>
        <w:rPr>
          <w:rFonts w:ascii="Palatino Linotype" w:eastAsia="Calibri" w:hAnsi="Palatino Linotype" w:cs="Tahoma"/>
          <w:bCs/>
          <w:lang w:eastAsia="en-US"/>
        </w:rPr>
      </w:pPr>
    </w:p>
    <w:p w:rsidR="001F4E7A" w:rsidRDefault="0032792E">
      <w:pPr>
        <w:spacing w:line="360" w:lineRule="auto"/>
        <w:jc w:val="both"/>
        <w:rPr>
          <w:rFonts w:ascii="Palatino Linotype" w:hAnsi="Palatino Linotype" w:cs="Tahoma"/>
        </w:rPr>
      </w:pPr>
      <w:r>
        <w:rPr>
          <w:rFonts w:ascii="Palatino Linotype" w:eastAsia="Calibri" w:hAnsi="Palatino Linotype" w:cs="Tahoma"/>
          <w:bCs/>
          <w:lang w:eastAsia="en-US"/>
        </w:rPr>
        <w:t xml:space="preserve">Por tales consideraciones, para el caso de que resulte procedente la reserva, en términos del artículo 140, fracción I, de </w:t>
      </w:r>
      <w:r>
        <w:rPr>
          <w:rFonts w:ascii="Palatino Linotype" w:eastAsia="Calibri" w:hAnsi="Palatino Linotype" w:cs="Tahoma"/>
          <w:iCs/>
          <w:lang w:val="es-ES" w:eastAsia="es-ES_tradnl"/>
        </w:rPr>
        <w:t xml:space="preserve">de la Ley de Transparencia y Acceso a la Información Pública del Estado de México y Municipios, </w:t>
      </w:r>
      <w:r>
        <w:rPr>
          <w:rFonts w:ascii="Palatino Linotype" w:eastAsia="Calibri" w:hAnsi="Palatino Linotype" w:cs="Tahoma"/>
          <w:b/>
          <w:iCs/>
          <w:lang w:val="es-ES" w:eastAsia="es-ES_tradnl"/>
        </w:rPr>
        <w:t>EL SUJETO OBLIGADO</w:t>
      </w:r>
      <w:r>
        <w:rPr>
          <w:rFonts w:ascii="Palatino Linotype" w:hAnsi="Palatino Linotype" w:cs="Tahoma"/>
          <w:lang w:val="es-ES"/>
        </w:rPr>
        <w:t xml:space="preserve"> deberá entregar el acuerdo de clasificación emitido por el Comité de Transparencia, en donde de manera fundada y motivada, a través de una prueba de daño, confirme la clasificación como reservada, en términos del artículo 140, fracción I de la </w:t>
      </w:r>
      <w:r>
        <w:rPr>
          <w:rFonts w:ascii="Palatino Linotype" w:hAnsi="Palatino Linotype" w:cs="Tahoma"/>
        </w:rPr>
        <w:t>Ley de Transparencia y Acceso a la Información Pública del Estado de México y Municipios.</w:t>
      </w:r>
    </w:p>
    <w:p w:rsidR="001F4E7A" w:rsidRDefault="001F4E7A">
      <w:pPr>
        <w:spacing w:line="360" w:lineRule="auto"/>
        <w:jc w:val="both"/>
        <w:rPr>
          <w:rFonts w:ascii="Palatino Linotype" w:hAnsi="Palatino Linotype" w:cs="Tahoma"/>
        </w:rPr>
      </w:pPr>
    </w:p>
    <w:p w:rsidR="001F4E7A" w:rsidRDefault="0032792E">
      <w:pPr>
        <w:pStyle w:val="Prrafodelista"/>
        <w:widowControl w:val="0"/>
        <w:spacing w:line="360" w:lineRule="auto"/>
        <w:ind w:left="0"/>
        <w:jc w:val="both"/>
        <w:rPr>
          <w:rFonts w:ascii="Palatino Linotype" w:hAnsi="Palatino Linotype" w:cs="Arial"/>
          <w:lang w:val="es-ES_tradnl"/>
        </w:rPr>
      </w:pPr>
      <w:r>
        <w:rPr>
          <w:rFonts w:ascii="Palatino Linotype" w:hAnsi="Palatino Linotype" w:cs="Tahoma"/>
        </w:rPr>
        <w:t xml:space="preserve">De no ser así, entonces lo procedente será que realice una versión pública de la información atendiendo a lo expuesto en párrafos anteriores, tanto por cuanto hace a la identificación de los elementos policiales así como cualquier dato que ponga en </w:t>
      </w:r>
      <w:r>
        <w:rPr>
          <w:rFonts w:ascii="Palatino Linotype" w:hAnsi="Palatino Linotype" w:cs="Tahoma"/>
        </w:rPr>
        <w:lastRenderedPageBreak/>
        <w:t>riesgo la integridad de los servidores públicos de quien trata; d</w:t>
      </w:r>
      <w:r>
        <w:rPr>
          <w:rFonts w:ascii="Palatino Linotype" w:hAnsi="Palatino Linotype"/>
          <w:color w:val="000000"/>
        </w:rPr>
        <w:t xml:space="preserve">e tal forma que, en relación a la información de la que se ordena su entrega en versión pública, en términos del artículo 143 de la Ley de Transparencia y Acceso a la Información Pública del Estado de México y Municipios, se deberá </w:t>
      </w:r>
      <w:r>
        <w:rPr>
          <w:rFonts w:ascii="Palatino Linotype" w:eastAsia="Arial Unicode MS" w:hAnsi="Palatino Linotype" w:cs="Arial"/>
        </w:rPr>
        <w:t>omitir, eliminar o suprimir la</w:t>
      </w:r>
      <w:r>
        <w:rPr>
          <w:rFonts w:ascii="Palatino Linotype" w:hAnsi="Palatino Linotype"/>
          <w:color w:val="000000"/>
        </w:rPr>
        <w:t xml:space="preserve"> información </w:t>
      </w:r>
      <w:r>
        <w:rPr>
          <w:rFonts w:ascii="Palatino Linotype" w:hAnsi="Palatino Linotype"/>
          <w:b/>
          <w:color w:val="000000"/>
        </w:rPr>
        <w:t>confidencial</w:t>
      </w:r>
      <w:r>
        <w:rPr>
          <w:rFonts w:ascii="Palatino Linotype" w:eastAsia="Arial Unicode MS" w:hAnsi="Palatino Linotype" w:cs="Arial"/>
        </w:rPr>
        <w:t xml:space="preserve">. En ese sentido, </w:t>
      </w:r>
      <w:r>
        <w:rPr>
          <w:rFonts w:ascii="Palatino Linotype" w:hAnsi="Palatino Linotype" w:cs="Arial"/>
          <w:lang w:val="es-ES_tradnl"/>
        </w:rPr>
        <w:t xml:space="preserve">sólo podrán </w:t>
      </w:r>
      <w:r>
        <w:rPr>
          <w:rFonts w:ascii="Palatino Linotype" w:hAnsi="Palatino Linotype" w:cs="Arial"/>
        </w:rPr>
        <w:t>ser</w:t>
      </w:r>
      <w:r>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Pr>
          <w:rFonts w:ascii="Palatino Linotype" w:hAnsi="Palatino Linotype" w:cs="Arial"/>
        </w:rPr>
        <w:t xml:space="preserve"> que el Comité de Transparencia del </w:t>
      </w:r>
      <w:r>
        <w:rPr>
          <w:rFonts w:ascii="Palatino Linotype" w:hAnsi="Palatino Linotype" w:cs="Arial"/>
          <w:b/>
        </w:rPr>
        <w:t>SUJETO OBLIGADO</w:t>
      </w:r>
      <w:r>
        <w:rPr>
          <w:rFonts w:ascii="Palatino Linotype" w:hAnsi="Palatino Linotype" w:cs="Arial"/>
        </w:rPr>
        <w:t xml:space="preserve"> emita el Acuerdo de Clasificación correspondiente</w:t>
      </w:r>
      <w:r>
        <w:rPr>
          <w:rFonts w:ascii="Palatino Linotype" w:hAnsi="Palatino Linotype" w:cs="Arial"/>
          <w:lang w:val="es-ES_tradnl"/>
        </w:rPr>
        <w:t xml:space="preserve"> debidamente fundado y motivado, en el cual se</w:t>
      </w:r>
      <w:r>
        <w:rPr>
          <w:rFonts w:ascii="Palatino Linotype" w:hAnsi="Palatino Linotype" w:cs="Arial"/>
        </w:rPr>
        <w:t xml:space="preserve"> sustente la versión pública, </w:t>
      </w:r>
      <w:r>
        <w:rPr>
          <w:rFonts w:ascii="Palatino Linotype" w:hAnsi="Palatino Linotype" w:cs="Arial"/>
          <w:lang w:val="es-ES_tradnl"/>
        </w:rPr>
        <w:t xml:space="preserve">en </w:t>
      </w:r>
      <w:r>
        <w:rPr>
          <w:rFonts w:ascii="Palatino Linotype" w:hAnsi="Palatino Linotype" w:cs="Arial"/>
          <w:lang w:eastAsia="es-MX"/>
        </w:rPr>
        <w:t>términos</w:t>
      </w:r>
      <w:r>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F4E7A" w:rsidRDefault="001F4E7A">
      <w:pPr>
        <w:pStyle w:val="Prrafodelista"/>
        <w:widowControl w:val="0"/>
        <w:spacing w:line="360" w:lineRule="auto"/>
        <w:ind w:left="0"/>
        <w:jc w:val="both"/>
        <w:rPr>
          <w:rFonts w:ascii="Palatino Linotype" w:hAnsi="Palatino Linotype" w:cs="Arial"/>
          <w:lang w:val="es-ES_tradnl"/>
        </w:rPr>
      </w:pPr>
    </w:p>
    <w:p w:rsidR="001F4E7A" w:rsidRDefault="0032792E">
      <w:pPr>
        <w:ind w:left="709" w:right="757"/>
        <w:jc w:val="center"/>
        <w:rPr>
          <w:rFonts w:ascii="Palatino Linotype" w:hAnsi="Palatino Linotype" w:cs="Arial"/>
          <w:b/>
          <w:i/>
          <w:sz w:val="22"/>
        </w:rPr>
      </w:pPr>
      <w:r>
        <w:rPr>
          <w:rFonts w:ascii="Palatino Linotype" w:hAnsi="Palatino Linotype" w:cs="Arial"/>
          <w:b/>
          <w:i/>
          <w:sz w:val="22"/>
        </w:rPr>
        <w:t>Ley de Transparencia y Acceso a la Información Pública del Estado de México y Municipios</w:t>
      </w:r>
    </w:p>
    <w:p w:rsidR="001F4E7A" w:rsidRDefault="001F4E7A">
      <w:pPr>
        <w:ind w:left="709" w:right="757"/>
        <w:jc w:val="center"/>
        <w:rPr>
          <w:rFonts w:ascii="Palatino Linotype" w:hAnsi="Palatino Linotype" w:cs="Arial"/>
          <w:b/>
          <w:i/>
          <w:sz w:val="22"/>
        </w:rPr>
      </w:pP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 xml:space="preserve">Los </w:t>
      </w:r>
      <w:r>
        <w:rPr>
          <w:rFonts w:ascii="Palatino Linotype" w:hAnsi="Palatino Linotype" w:cs="Arial"/>
          <w:i/>
          <w:sz w:val="22"/>
        </w:rPr>
        <w:t>Comités</w:t>
      </w:r>
      <w:r>
        <w:rPr>
          <w:rFonts w:ascii="Palatino Linotype" w:hAnsi="Palatino Linotype" w:cs="Arial"/>
          <w:i/>
          <w:sz w:val="22"/>
          <w:szCs w:val="22"/>
          <w:lang w:eastAsia="es-MX"/>
        </w:rPr>
        <w:t xml:space="preserve"> de </w:t>
      </w:r>
      <w:r>
        <w:rPr>
          <w:rFonts w:ascii="Palatino Linotype" w:hAnsi="Palatino Linotype" w:cs="Arial"/>
          <w:i/>
          <w:sz w:val="22"/>
          <w:lang w:eastAsia="es-MX"/>
        </w:rPr>
        <w:t>Transparencia</w:t>
      </w:r>
      <w:r>
        <w:rPr>
          <w:rFonts w:ascii="Palatino Linotype" w:hAnsi="Palatino Linotype" w:cs="Arial"/>
          <w:i/>
          <w:sz w:val="22"/>
          <w:szCs w:val="22"/>
          <w:lang w:eastAsia="es-MX"/>
        </w:rPr>
        <w:t xml:space="preserve"> </w:t>
      </w:r>
      <w:r>
        <w:rPr>
          <w:rFonts w:ascii="Palatino Linotype" w:hAnsi="Palatino Linotype"/>
          <w:i/>
          <w:sz w:val="22"/>
          <w:szCs w:val="22"/>
        </w:rPr>
        <w:t>tendrán</w:t>
      </w:r>
      <w:r>
        <w:rPr>
          <w:rFonts w:ascii="Palatino Linotype" w:hAnsi="Palatino Linotype" w:cs="Arial"/>
          <w:i/>
          <w:sz w:val="22"/>
          <w:szCs w:val="22"/>
          <w:lang w:eastAsia="es-MX"/>
        </w:rPr>
        <w:t xml:space="preserve"> las siguientes atribuciones:</w:t>
      </w: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Aprobar, </w:t>
      </w:r>
      <w:r>
        <w:rPr>
          <w:rFonts w:ascii="Palatino Linotype" w:hAnsi="Palatino Linotype" w:cs="Arial"/>
          <w:i/>
          <w:sz w:val="22"/>
        </w:rPr>
        <w:t>modificar</w:t>
      </w:r>
      <w:r>
        <w:rPr>
          <w:rFonts w:ascii="Palatino Linotype" w:hAnsi="Palatino Linotype" w:cs="Arial"/>
          <w:i/>
          <w:sz w:val="22"/>
          <w:szCs w:val="22"/>
          <w:lang w:eastAsia="es-MX"/>
        </w:rPr>
        <w:t xml:space="preserve"> o revocar la clasificación de la información;</w:t>
      </w:r>
    </w:p>
    <w:p w:rsidR="001F4E7A" w:rsidRDefault="001F4E7A">
      <w:pPr>
        <w:ind w:left="709" w:right="757"/>
        <w:jc w:val="both"/>
        <w:rPr>
          <w:rFonts w:ascii="Palatino Linotype" w:hAnsi="Palatino Linotype" w:cs="Arial"/>
          <w:b/>
          <w:i/>
          <w:sz w:val="22"/>
          <w:szCs w:val="22"/>
          <w:lang w:eastAsia="es-MX"/>
        </w:rPr>
      </w:pP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Artículo 132.</w:t>
      </w:r>
      <w:r>
        <w:rPr>
          <w:rFonts w:ascii="Palatino Linotype" w:hAnsi="Palatino Linotype" w:cs="Arial"/>
          <w:i/>
          <w:sz w:val="22"/>
          <w:szCs w:val="22"/>
          <w:lang w:eastAsia="es-MX"/>
        </w:rPr>
        <w:t xml:space="preserve"> La </w:t>
      </w:r>
      <w:r>
        <w:rPr>
          <w:rFonts w:ascii="Palatino Linotype" w:hAnsi="Palatino Linotype" w:cs="Arial"/>
          <w:i/>
          <w:sz w:val="22"/>
          <w:lang w:eastAsia="es-MX"/>
        </w:rPr>
        <w:t>clasificación</w:t>
      </w:r>
      <w:r>
        <w:rPr>
          <w:rFonts w:ascii="Palatino Linotype" w:hAnsi="Palatino Linotype" w:cs="Arial"/>
          <w:i/>
          <w:sz w:val="22"/>
          <w:szCs w:val="22"/>
          <w:lang w:eastAsia="es-MX"/>
        </w:rPr>
        <w:t xml:space="preserve"> de la información se llevará a cabo en el momento en que:</w:t>
      </w: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i/>
          <w:sz w:val="22"/>
          <w:lang w:eastAsia="es-MX"/>
        </w:rPr>
        <w:t>mediante</w:t>
      </w:r>
      <w:r>
        <w:rPr>
          <w:rFonts w:ascii="Palatino Linotype" w:hAnsi="Palatino Linotype" w:cs="Arial"/>
          <w:i/>
          <w:sz w:val="22"/>
          <w:szCs w:val="22"/>
          <w:lang w:eastAsia="es-MX"/>
        </w:rPr>
        <w:t xml:space="preserve"> resolución de autoridad competente; o</w:t>
      </w: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i/>
          <w:sz w:val="22"/>
          <w:lang w:eastAsia="es-MX"/>
        </w:rPr>
        <w:t>versiones</w:t>
      </w:r>
      <w:r>
        <w:rPr>
          <w:rFonts w:ascii="Palatino Linotype" w:hAnsi="Palatino Linotype" w:cs="Arial"/>
          <w:i/>
          <w:sz w:val="22"/>
          <w:szCs w:val="22"/>
          <w:lang w:eastAsia="es-MX"/>
        </w:rPr>
        <w:t xml:space="preserve"> públicas para dar cumplimiento a las obligaciones de transparencia previstas en esta Ley.”</w:t>
      </w:r>
    </w:p>
    <w:p w:rsidR="001F4E7A" w:rsidRDefault="001F4E7A">
      <w:pPr>
        <w:ind w:left="709" w:right="757"/>
        <w:jc w:val="center"/>
        <w:rPr>
          <w:rFonts w:ascii="Palatino Linotype" w:hAnsi="Palatino Linotype" w:cs="Arial"/>
          <w:b/>
          <w:i/>
          <w:sz w:val="22"/>
          <w:szCs w:val="22"/>
          <w:lang w:eastAsia="es-MX"/>
        </w:rPr>
      </w:pPr>
    </w:p>
    <w:p w:rsidR="001F4E7A" w:rsidRDefault="0032792E">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lastRenderedPageBreak/>
        <w:t xml:space="preserve">Lineamientos Generales en materia de Clasificación y Desclasificación de la </w:t>
      </w:r>
      <w:r>
        <w:rPr>
          <w:rFonts w:ascii="Palatino Linotype" w:hAnsi="Palatino Linotype" w:cs="Arial"/>
          <w:b/>
          <w:i/>
          <w:sz w:val="22"/>
        </w:rPr>
        <w:t>Información, así como para la elaboración de Versiones Públicas</w:t>
      </w:r>
    </w:p>
    <w:p w:rsidR="001F4E7A" w:rsidRDefault="001F4E7A">
      <w:pPr>
        <w:ind w:left="709" w:right="757"/>
        <w:jc w:val="both"/>
        <w:rPr>
          <w:rFonts w:ascii="Palatino Linotype" w:hAnsi="Palatino Linotype" w:cs="Arial"/>
          <w:i/>
          <w:sz w:val="22"/>
          <w:szCs w:val="22"/>
          <w:lang w:eastAsia="es-MX"/>
        </w:rPr>
      </w:pP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w:t>
      </w:r>
      <w:r>
        <w:rPr>
          <w:rFonts w:ascii="Palatino Linotype" w:hAnsi="Palatino Linotype" w:cs="Arial"/>
          <w:i/>
          <w:sz w:val="22"/>
          <w:lang w:eastAsia="es-MX"/>
        </w:rPr>
        <w:t>efectos</w:t>
      </w:r>
      <w:r>
        <w:rPr>
          <w:rFonts w:ascii="Palatino Linotype" w:hAnsi="Palatino Linotype" w:cs="Arial"/>
          <w:i/>
          <w:sz w:val="22"/>
          <w:szCs w:val="22"/>
          <w:lang w:eastAsia="es-MX"/>
        </w:rPr>
        <w:t xml:space="preserve"> de los </w:t>
      </w:r>
      <w:r>
        <w:rPr>
          <w:rFonts w:ascii="Palatino Linotype" w:hAnsi="Palatino Linotype" w:cs="Arial"/>
          <w:i/>
          <w:sz w:val="22"/>
        </w:rPr>
        <w:t>presentes</w:t>
      </w:r>
      <w:r>
        <w:rPr>
          <w:rFonts w:ascii="Palatino Linotype" w:hAnsi="Palatino Linotype" w:cs="Arial"/>
          <w:i/>
          <w:sz w:val="22"/>
          <w:szCs w:val="22"/>
          <w:lang w:eastAsia="es-MX"/>
        </w:rPr>
        <w:t xml:space="preserve"> Lineamientos Generales, se entenderá por:</w:t>
      </w:r>
    </w:p>
    <w:p w:rsidR="001F4E7A" w:rsidRDefault="001F4E7A">
      <w:pPr>
        <w:ind w:left="709" w:right="757"/>
        <w:jc w:val="both"/>
        <w:rPr>
          <w:rFonts w:ascii="Palatino Linotype" w:hAnsi="Palatino Linotype" w:cs="Arial"/>
          <w:b/>
          <w:i/>
          <w:sz w:val="22"/>
          <w:szCs w:val="22"/>
          <w:lang w:eastAsia="es-MX"/>
        </w:rPr>
      </w:pP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w:t>
      </w:r>
      <w:r>
        <w:rPr>
          <w:rFonts w:ascii="Palatino Linotype" w:hAnsi="Palatino Linotype" w:cs="Arial"/>
          <w:bCs/>
          <w:i/>
          <w:sz w:val="22"/>
        </w:rPr>
        <w:t>documento</w:t>
      </w:r>
      <w:r>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sz w:val="22"/>
          <w:szCs w:val="22"/>
          <w:lang w:eastAsia="es-MX"/>
        </w:rPr>
        <w:t>fundando y motivando la</w:t>
      </w:r>
      <w:r>
        <w:rPr>
          <w:rFonts w:ascii="Palatino Linotype" w:hAnsi="Palatino Linotype" w:cs="Arial"/>
          <w:i/>
          <w:sz w:val="22"/>
          <w:szCs w:val="22"/>
          <w:lang w:eastAsia="es-MX"/>
        </w:rPr>
        <w:t xml:space="preserve"> reserva o </w:t>
      </w:r>
      <w:r>
        <w:rPr>
          <w:rFonts w:ascii="Palatino Linotype" w:hAnsi="Palatino Linotype" w:cs="Arial"/>
          <w:b/>
          <w:i/>
          <w:sz w:val="22"/>
          <w:szCs w:val="22"/>
          <w:lang w:eastAsia="es-MX"/>
        </w:rPr>
        <w:t>confidencialidad</w:t>
      </w:r>
      <w:r>
        <w:rPr>
          <w:rFonts w:ascii="Palatino Linotype" w:hAnsi="Palatino Linotype" w:cs="Arial"/>
          <w:i/>
          <w:sz w:val="22"/>
          <w:szCs w:val="22"/>
          <w:lang w:eastAsia="es-MX"/>
        </w:rPr>
        <w:t xml:space="preserve">, a través de la resolución que para tal efecto emita el </w:t>
      </w:r>
      <w:r>
        <w:rPr>
          <w:rFonts w:ascii="Palatino Linotype" w:hAnsi="Palatino Linotype" w:cs="Arial"/>
          <w:bCs/>
          <w:i/>
          <w:sz w:val="22"/>
        </w:rPr>
        <w:t>Comité</w:t>
      </w:r>
      <w:r>
        <w:rPr>
          <w:rFonts w:ascii="Palatino Linotype" w:hAnsi="Palatino Linotype" w:cs="Arial"/>
          <w:i/>
          <w:sz w:val="22"/>
          <w:szCs w:val="22"/>
          <w:lang w:eastAsia="es-MX"/>
        </w:rPr>
        <w:t xml:space="preserve"> de Transparencia.</w:t>
      </w:r>
    </w:p>
    <w:p w:rsidR="001F4E7A" w:rsidRDefault="001F4E7A">
      <w:pPr>
        <w:ind w:left="709" w:right="757"/>
        <w:jc w:val="both"/>
        <w:rPr>
          <w:rFonts w:ascii="Palatino Linotype" w:hAnsi="Palatino Linotype" w:cs="Arial"/>
          <w:b/>
          <w:i/>
          <w:sz w:val="22"/>
          <w:szCs w:val="22"/>
          <w:lang w:eastAsia="es-MX"/>
        </w:rPr>
      </w:pP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w:t>
      </w:r>
      <w:r>
        <w:rPr>
          <w:rFonts w:ascii="Palatino Linotype" w:hAnsi="Palatino Linotype" w:cs="Arial"/>
          <w:i/>
          <w:sz w:val="22"/>
          <w:lang w:eastAsia="es-MX"/>
        </w:rPr>
        <w:t>titular</w:t>
      </w:r>
      <w:r>
        <w:rPr>
          <w:rFonts w:ascii="Palatino Linotype" w:hAnsi="Palatino Linotype" w:cs="Arial"/>
          <w:i/>
          <w:sz w:val="22"/>
          <w:szCs w:val="22"/>
          <w:lang w:eastAsia="es-MX"/>
        </w:rPr>
        <w:t xml:space="preserve"> del </w:t>
      </w:r>
      <w:r>
        <w:rPr>
          <w:rFonts w:ascii="Palatino Linotype" w:hAnsi="Palatino Linotype" w:cs="Arial"/>
          <w:bCs/>
          <w:i/>
          <w:sz w:val="22"/>
        </w:rPr>
        <w:t>área</w:t>
      </w:r>
      <w:r>
        <w:rPr>
          <w:rFonts w:ascii="Palatino Linotype" w:hAnsi="Palatino Linotype" w:cs="Arial"/>
          <w:i/>
          <w:sz w:val="22"/>
          <w:szCs w:val="22"/>
          <w:lang w:eastAsia="es-MX"/>
        </w:rPr>
        <w:t xml:space="preserve"> del sujeto </w:t>
      </w:r>
      <w:r>
        <w:rPr>
          <w:rFonts w:ascii="Palatino Linotype" w:hAnsi="Palatino Linotype" w:cs="Arial"/>
          <w:i/>
          <w:sz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F4E7A" w:rsidRDefault="001F4E7A">
      <w:pPr>
        <w:ind w:left="709" w:right="757"/>
        <w:jc w:val="both"/>
        <w:rPr>
          <w:rFonts w:ascii="Palatino Linotype" w:hAnsi="Palatino Linotype" w:cs="Arial"/>
          <w:i/>
          <w:sz w:val="22"/>
          <w:szCs w:val="22"/>
          <w:lang w:eastAsia="es-MX"/>
        </w:rPr>
      </w:pP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sz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rPr>
        <w:t>podrán</w:t>
      </w:r>
      <w:r>
        <w:rPr>
          <w:rFonts w:ascii="Palatino Linotype" w:hAnsi="Palatino Linotype" w:cs="Arial"/>
          <w:i/>
          <w:sz w:val="22"/>
          <w:szCs w:val="22"/>
          <w:lang w:eastAsia="es-MX"/>
        </w:rPr>
        <w:t xml:space="preserve"> invocarlas cuando acrediten su procedencia.</w:t>
      </w:r>
    </w:p>
    <w:p w:rsidR="001F4E7A" w:rsidRDefault="001F4E7A">
      <w:pPr>
        <w:ind w:left="709" w:right="757"/>
        <w:jc w:val="both"/>
        <w:rPr>
          <w:rFonts w:ascii="Palatino Linotype" w:hAnsi="Palatino Linotype" w:cs="Arial"/>
          <w:b/>
          <w:i/>
          <w:sz w:val="22"/>
          <w:szCs w:val="22"/>
          <w:lang w:eastAsia="es-MX"/>
        </w:rPr>
      </w:pP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w:t>
      </w:r>
      <w:r>
        <w:rPr>
          <w:rFonts w:ascii="Palatino Linotype" w:hAnsi="Palatino Linotype" w:cs="Arial"/>
          <w:i/>
          <w:sz w:val="22"/>
          <w:lang w:eastAsia="es-MX"/>
        </w:rPr>
        <w:t>la</w:t>
      </w:r>
      <w:r>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F4E7A" w:rsidRDefault="001F4E7A">
      <w:pPr>
        <w:ind w:left="709" w:right="757"/>
        <w:jc w:val="both"/>
        <w:rPr>
          <w:rFonts w:ascii="Palatino Linotype" w:hAnsi="Palatino Linotype" w:cs="Arial"/>
          <w:b/>
          <w:i/>
          <w:sz w:val="22"/>
          <w:szCs w:val="22"/>
          <w:lang w:eastAsia="es-MX"/>
        </w:rPr>
      </w:pP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w:t>
      </w:r>
      <w:r>
        <w:rPr>
          <w:rFonts w:ascii="Palatino Linotype" w:hAnsi="Palatino Linotype" w:cs="Arial"/>
          <w:bCs/>
          <w:i/>
          <w:sz w:val="22"/>
        </w:rPr>
        <w:t>documentos</w:t>
      </w:r>
      <w:r>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La clasificación de </w:t>
      </w:r>
      <w:r>
        <w:rPr>
          <w:rFonts w:ascii="Palatino Linotype" w:hAnsi="Palatino Linotype" w:cs="Arial"/>
          <w:i/>
          <w:sz w:val="22"/>
        </w:rPr>
        <w:t>información</w:t>
      </w:r>
      <w:r>
        <w:rPr>
          <w:rFonts w:ascii="Palatino Linotype" w:hAnsi="Palatino Linotype" w:cs="Arial"/>
          <w:i/>
          <w:sz w:val="22"/>
          <w:szCs w:val="22"/>
          <w:lang w:eastAsia="es-MX"/>
        </w:rPr>
        <w:t xml:space="preserve"> se realizará conforme a un análisis caso por caso, mediante la aplicación </w:t>
      </w:r>
      <w:r>
        <w:rPr>
          <w:rFonts w:ascii="Palatino Linotype" w:hAnsi="Palatino Linotype" w:cs="Arial"/>
          <w:bCs/>
          <w:i/>
          <w:sz w:val="22"/>
        </w:rPr>
        <w:t>de</w:t>
      </w:r>
      <w:r>
        <w:rPr>
          <w:rFonts w:ascii="Palatino Linotype" w:hAnsi="Palatino Linotype" w:cs="Arial"/>
          <w:i/>
          <w:sz w:val="22"/>
          <w:szCs w:val="22"/>
          <w:lang w:eastAsia="es-MX"/>
        </w:rPr>
        <w:t xml:space="preserve"> la prueba de daño y de interés público.</w:t>
      </w:r>
    </w:p>
    <w:p w:rsidR="001F4E7A" w:rsidRDefault="001F4E7A">
      <w:pPr>
        <w:ind w:left="709" w:right="757"/>
        <w:jc w:val="both"/>
        <w:rPr>
          <w:rFonts w:ascii="Palatino Linotype" w:hAnsi="Palatino Linotype" w:cs="Arial"/>
          <w:b/>
          <w:i/>
          <w:sz w:val="22"/>
          <w:szCs w:val="22"/>
          <w:lang w:eastAsia="es-MX"/>
        </w:rPr>
      </w:pP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w:t>
      </w:r>
      <w:r>
        <w:rPr>
          <w:rFonts w:ascii="Palatino Linotype" w:hAnsi="Palatino Linotype" w:cs="Arial"/>
          <w:i/>
          <w:sz w:val="22"/>
          <w:lang w:eastAsia="es-MX"/>
        </w:rPr>
        <w:t>clasificación</w:t>
      </w:r>
      <w:r>
        <w:rPr>
          <w:rFonts w:ascii="Palatino Linotype" w:hAnsi="Palatino Linotype" w:cs="Arial"/>
          <w:i/>
          <w:sz w:val="22"/>
          <w:szCs w:val="22"/>
          <w:lang w:eastAsia="es-MX"/>
        </w:rPr>
        <w:t xml:space="preserve"> </w:t>
      </w:r>
      <w:r>
        <w:rPr>
          <w:rFonts w:ascii="Palatino Linotype" w:hAnsi="Palatino Linotype" w:cs="Arial"/>
          <w:bCs/>
          <w:i/>
          <w:sz w:val="22"/>
        </w:rPr>
        <w:t>de</w:t>
      </w:r>
      <w:r>
        <w:rPr>
          <w:rFonts w:ascii="Palatino Linotype" w:hAnsi="Palatino Linotype" w:cs="Arial"/>
          <w:i/>
          <w:sz w:val="22"/>
          <w:szCs w:val="22"/>
          <w:lang w:eastAsia="es-MX"/>
        </w:rPr>
        <w:t xml:space="preserve"> la </w:t>
      </w:r>
      <w:r>
        <w:rPr>
          <w:rFonts w:ascii="Palatino Linotype" w:hAnsi="Palatino Linotype" w:cs="Arial"/>
          <w:i/>
          <w:sz w:val="22"/>
        </w:rPr>
        <w:t>información</w:t>
      </w:r>
      <w:r>
        <w:rPr>
          <w:rFonts w:ascii="Palatino Linotype" w:hAnsi="Palatino Linotype" w:cs="Arial"/>
          <w:i/>
          <w:sz w:val="22"/>
          <w:szCs w:val="22"/>
          <w:lang w:eastAsia="es-MX"/>
        </w:rPr>
        <w:t xml:space="preserve"> se llevará a cabo en el momento en que:</w:t>
      </w:r>
    </w:p>
    <w:p w:rsidR="001F4E7A" w:rsidRDefault="001F4E7A">
      <w:pPr>
        <w:ind w:left="709" w:right="757"/>
        <w:jc w:val="both"/>
        <w:rPr>
          <w:rFonts w:ascii="Palatino Linotype" w:hAnsi="Palatino Linotype" w:cs="Arial"/>
          <w:b/>
          <w:i/>
          <w:sz w:val="22"/>
          <w:szCs w:val="22"/>
          <w:lang w:eastAsia="es-MX"/>
        </w:rPr>
      </w:pP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w:t>
      </w:r>
      <w:r>
        <w:rPr>
          <w:rFonts w:ascii="Palatino Linotype" w:hAnsi="Palatino Linotype" w:cs="Arial"/>
          <w:i/>
          <w:sz w:val="22"/>
          <w:lang w:eastAsia="es-MX"/>
        </w:rPr>
        <w:t>solicitud</w:t>
      </w:r>
      <w:r>
        <w:rPr>
          <w:rFonts w:ascii="Palatino Linotype" w:hAnsi="Palatino Linotype" w:cs="Arial"/>
          <w:i/>
          <w:sz w:val="22"/>
          <w:szCs w:val="22"/>
          <w:lang w:eastAsia="es-MX"/>
        </w:rPr>
        <w:t xml:space="preserve"> de acceso a la información;</w:t>
      </w: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sz w:val="22"/>
        </w:rPr>
        <w:t>mediante</w:t>
      </w:r>
      <w:r>
        <w:rPr>
          <w:rFonts w:ascii="Palatino Linotype" w:hAnsi="Palatino Linotype" w:cs="Arial"/>
          <w:i/>
          <w:sz w:val="22"/>
          <w:szCs w:val="22"/>
          <w:lang w:eastAsia="es-MX"/>
        </w:rPr>
        <w:t xml:space="preserve"> resolución de autoridad competente, o</w:t>
      </w: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lastRenderedPageBreak/>
        <w:t>III.</w:t>
      </w:r>
      <w:r>
        <w:rPr>
          <w:rFonts w:ascii="Palatino Linotype" w:hAnsi="Palatino Linotype" w:cs="Arial"/>
          <w:i/>
          <w:sz w:val="22"/>
          <w:szCs w:val="22"/>
          <w:lang w:eastAsia="es-MX"/>
        </w:rPr>
        <w:t xml:space="preserve"> Se generen </w:t>
      </w:r>
      <w:r>
        <w:rPr>
          <w:rFonts w:ascii="Palatino Linotype" w:hAnsi="Palatino Linotype" w:cs="Arial"/>
          <w:bCs/>
          <w:i/>
          <w:sz w:val="22"/>
        </w:rPr>
        <w:t>versiones</w:t>
      </w:r>
      <w:r>
        <w:rPr>
          <w:rFonts w:ascii="Palatino Linotype" w:hAnsi="Palatino Linotype" w:cs="Arial"/>
          <w:i/>
          <w:sz w:val="22"/>
          <w:szCs w:val="22"/>
          <w:lang w:eastAsia="es-MX"/>
        </w:rPr>
        <w:t xml:space="preserve"> públicas para dar cumplimiento a las obligaciones de transparencia </w:t>
      </w:r>
      <w:r>
        <w:rPr>
          <w:rFonts w:ascii="Palatino Linotype" w:hAnsi="Palatino Linotype" w:cs="Arial"/>
          <w:i/>
          <w:sz w:val="22"/>
          <w:lang w:eastAsia="es-MX"/>
        </w:rPr>
        <w:t>previstas</w:t>
      </w:r>
      <w:r>
        <w:rPr>
          <w:rFonts w:ascii="Palatino Linotype" w:hAnsi="Palatino Linotype" w:cs="Arial"/>
          <w:i/>
          <w:sz w:val="22"/>
          <w:szCs w:val="22"/>
          <w:lang w:eastAsia="es-MX"/>
        </w:rPr>
        <w:t xml:space="preserve"> en la Ley General, la Ley Federal y las correspondientes de las entidades federativas.</w:t>
      </w:r>
    </w:p>
    <w:p w:rsidR="001F4E7A" w:rsidRDefault="001F4E7A">
      <w:pPr>
        <w:ind w:left="709" w:right="757"/>
        <w:jc w:val="both"/>
        <w:rPr>
          <w:rFonts w:ascii="Palatino Linotype" w:hAnsi="Palatino Linotype" w:cs="Arial"/>
          <w:i/>
          <w:sz w:val="22"/>
          <w:szCs w:val="22"/>
          <w:lang w:eastAsia="es-MX"/>
        </w:rPr>
      </w:pP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sz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1F4E7A" w:rsidRDefault="001F4E7A">
      <w:pPr>
        <w:ind w:left="709" w:right="757"/>
        <w:jc w:val="both"/>
        <w:rPr>
          <w:rFonts w:ascii="Palatino Linotype" w:hAnsi="Palatino Linotype" w:cs="Arial"/>
          <w:b/>
          <w:i/>
          <w:sz w:val="22"/>
          <w:szCs w:val="22"/>
          <w:lang w:eastAsia="es-MX"/>
        </w:rPr>
      </w:pP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w:t>
      </w:r>
      <w:r>
        <w:rPr>
          <w:rFonts w:ascii="Palatino Linotype" w:hAnsi="Palatino Linotype" w:cs="Arial"/>
          <w:i/>
          <w:sz w:val="22"/>
          <w:lang w:eastAsia="es-MX"/>
        </w:rPr>
        <w:t>párrafo</w:t>
      </w:r>
      <w:r>
        <w:rPr>
          <w:rFonts w:ascii="Palatino Linotype" w:hAnsi="Palatino Linotype" w:cs="Arial"/>
          <w:i/>
          <w:sz w:val="22"/>
          <w:szCs w:val="22"/>
          <w:lang w:eastAsia="es-MX"/>
        </w:rPr>
        <w:t xml:space="preserve"> o numeral de la ley o tratado internacional suscrito por el Estado mexicano que </w:t>
      </w:r>
      <w:r>
        <w:rPr>
          <w:rFonts w:ascii="Palatino Linotype" w:hAnsi="Palatino Linotype" w:cs="Arial"/>
          <w:bCs/>
          <w:i/>
          <w:sz w:val="22"/>
        </w:rPr>
        <w:t>expresamente</w:t>
      </w:r>
      <w:r>
        <w:rPr>
          <w:rFonts w:ascii="Palatino Linotype" w:hAnsi="Palatino Linotype" w:cs="Arial"/>
          <w:i/>
          <w:sz w:val="22"/>
          <w:szCs w:val="22"/>
          <w:lang w:eastAsia="es-MX"/>
        </w:rPr>
        <w:t xml:space="preserve"> le otorga el carácter de reservada o confidencial.</w:t>
      </w:r>
    </w:p>
    <w:p w:rsidR="001F4E7A" w:rsidRDefault="0032792E">
      <w:pPr>
        <w:ind w:left="709" w:right="757"/>
        <w:jc w:val="both"/>
        <w:rPr>
          <w:rFonts w:ascii="Palatino Linotype" w:hAnsi="Palatino Linotype" w:cs="Arial"/>
          <w:bCs/>
          <w:i/>
          <w:sz w:val="22"/>
        </w:rPr>
      </w:pPr>
      <w:r>
        <w:rPr>
          <w:rFonts w:ascii="Palatino Linotype" w:hAnsi="Palatino Linotype" w:cs="Arial"/>
          <w:i/>
          <w:sz w:val="22"/>
          <w:szCs w:val="22"/>
          <w:lang w:eastAsia="es-MX"/>
        </w:rPr>
        <w:t xml:space="preserve">Para </w:t>
      </w:r>
      <w:r>
        <w:rPr>
          <w:rFonts w:ascii="Palatino Linotype" w:hAnsi="Palatino Linotype" w:cs="Arial"/>
          <w:bCs/>
          <w:i/>
          <w:sz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sz w:val="22"/>
        </w:rPr>
        <w:t xml:space="preserve"> a concluir que el caso particular se ajusta al supuesto previsto por la norma legal invocada como fundamento.</w:t>
      </w:r>
    </w:p>
    <w:p w:rsidR="001F4E7A" w:rsidRDefault="001F4E7A">
      <w:pPr>
        <w:ind w:left="709" w:right="757"/>
        <w:jc w:val="both"/>
        <w:rPr>
          <w:rFonts w:ascii="Palatino Linotype" w:hAnsi="Palatino Linotype" w:cs="Arial"/>
          <w:bCs/>
          <w:i/>
          <w:sz w:val="22"/>
        </w:rPr>
      </w:pPr>
    </w:p>
    <w:p w:rsidR="001F4E7A" w:rsidRDefault="0032792E">
      <w:pPr>
        <w:ind w:left="709" w:right="757"/>
        <w:jc w:val="both"/>
        <w:rPr>
          <w:rFonts w:ascii="Palatino Linotype" w:hAnsi="Palatino Linotype" w:cs="Arial"/>
          <w:bCs/>
          <w:i/>
          <w:sz w:val="22"/>
        </w:rPr>
      </w:pPr>
      <w:r>
        <w:rPr>
          <w:rFonts w:ascii="Palatino Linotype" w:hAnsi="Palatino Linotype" w:cs="Arial"/>
          <w:bCs/>
          <w:i/>
          <w:sz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sz w:val="22"/>
        </w:rPr>
        <w:t xml:space="preserve"> </w:t>
      </w:r>
      <w:r>
        <w:rPr>
          <w:rFonts w:ascii="Palatino Linotype" w:hAnsi="Palatino Linotype" w:cs="Arial"/>
          <w:i/>
          <w:sz w:val="22"/>
          <w:szCs w:val="22"/>
          <w:lang w:eastAsia="es-MX"/>
        </w:rPr>
        <w:t>reserva</w:t>
      </w:r>
      <w:r>
        <w:rPr>
          <w:rFonts w:ascii="Palatino Linotype" w:hAnsi="Palatino Linotype" w:cs="Arial"/>
          <w:bCs/>
          <w:i/>
          <w:sz w:val="22"/>
        </w:rPr>
        <w:t>.</w:t>
      </w:r>
    </w:p>
    <w:p w:rsidR="001F4E7A" w:rsidRDefault="001F4E7A">
      <w:pPr>
        <w:ind w:left="709" w:right="757"/>
        <w:jc w:val="both"/>
        <w:rPr>
          <w:rFonts w:ascii="Palatino Linotype" w:hAnsi="Palatino Linotype" w:cs="Arial"/>
          <w:i/>
          <w:sz w:val="22"/>
          <w:szCs w:val="22"/>
          <w:lang w:eastAsia="es-MX"/>
        </w:rPr>
      </w:pPr>
    </w:p>
    <w:p w:rsidR="001F4E7A" w:rsidRDefault="0032792E">
      <w:pPr>
        <w:ind w:left="709" w:right="757"/>
        <w:jc w:val="both"/>
        <w:rPr>
          <w:rFonts w:ascii="Palatino Linotype" w:hAnsi="Palatino Linotype" w:cs="Arial"/>
          <w:bCs/>
          <w:i/>
          <w:sz w:val="22"/>
        </w:rPr>
      </w:pPr>
      <w:r>
        <w:rPr>
          <w:rFonts w:ascii="Palatino Linotype" w:hAnsi="Palatino Linotype" w:cs="Arial"/>
          <w:i/>
          <w:sz w:val="22"/>
          <w:szCs w:val="22"/>
          <w:lang w:eastAsia="es-MX"/>
        </w:rPr>
        <w:t>Tratándose</w:t>
      </w:r>
      <w:r>
        <w:rPr>
          <w:rFonts w:ascii="Palatino Linotype" w:hAnsi="Palatino Linotype" w:cs="Arial"/>
          <w:bCs/>
          <w:i/>
          <w:sz w:val="22"/>
        </w:rPr>
        <w:t xml:space="preserve"> de información clasificada como confidencial respecto de la cual se haya </w:t>
      </w:r>
      <w:r>
        <w:rPr>
          <w:rFonts w:ascii="Palatino Linotype" w:hAnsi="Palatino Linotype" w:cs="Arial"/>
          <w:i/>
          <w:sz w:val="22"/>
          <w:lang w:eastAsia="es-MX"/>
        </w:rPr>
        <w:t>determinado</w:t>
      </w:r>
      <w:r>
        <w:rPr>
          <w:rFonts w:ascii="Palatino Linotype" w:hAnsi="Palatino Linotype" w:cs="Arial"/>
          <w:bCs/>
          <w:i/>
          <w:sz w:val="22"/>
        </w:rPr>
        <w:t xml:space="preserve"> </w:t>
      </w:r>
      <w:r>
        <w:rPr>
          <w:rFonts w:ascii="Palatino Linotype" w:hAnsi="Palatino Linotype" w:cs="Arial"/>
          <w:i/>
          <w:sz w:val="22"/>
          <w:szCs w:val="22"/>
          <w:lang w:eastAsia="es-MX"/>
        </w:rPr>
        <w:t>su</w:t>
      </w:r>
      <w:r>
        <w:rPr>
          <w:rFonts w:ascii="Palatino Linotype" w:hAnsi="Palatino Linotype" w:cs="Arial"/>
          <w:bCs/>
          <w:i/>
          <w:sz w:val="22"/>
        </w:rPr>
        <w:t xml:space="preserve"> conservación permanente por tener valor histórico, ésta conservará tal carácter de conformidad con la normativa aplicable en materia de archivos.</w:t>
      </w:r>
    </w:p>
    <w:p w:rsidR="001F4E7A" w:rsidRDefault="001F4E7A">
      <w:pPr>
        <w:ind w:left="709" w:right="757"/>
        <w:jc w:val="both"/>
        <w:rPr>
          <w:rFonts w:ascii="Palatino Linotype" w:hAnsi="Palatino Linotype" w:cs="Arial"/>
          <w:bCs/>
          <w:i/>
          <w:sz w:val="22"/>
        </w:rPr>
      </w:pP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bCs/>
          <w:i/>
          <w:sz w:val="22"/>
        </w:rPr>
        <w:t>Los documentos contenidos</w:t>
      </w:r>
      <w:r>
        <w:rPr>
          <w:rFonts w:ascii="Palatino Linotype" w:hAnsi="Palatino Linotype" w:cs="Arial"/>
          <w:i/>
          <w:sz w:val="22"/>
          <w:szCs w:val="22"/>
          <w:lang w:eastAsia="es-MX"/>
        </w:rPr>
        <w:t xml:space="preserve"> en los archivos históricos y los identificados como históricos confidenciales no </w:t>
      </w:r>
      <w:r>
        <w:rPr>
          <w:rFonts w:ascii="Palatino Linotype" w:hAnsi="Palatino Linotype" w:cs="Arial"/>
          <w:i/>
          <w:sz w:val="22"/>
          <w:lang w:eastAsia="es-MX"/>
        </w:rPr>
        <w:t>serán</w:t>
      </w:r>
      <w:r>
        <w:rPr>
          <w:rFonts w:ascii="Palatino Linotype" w:hAnsi="Palatino Linotype" w:cs="Arial"/>
          <w:i/>
          <w:sz w:val="22"/>
          <w:szCs w:val="22"/>
          <w:lang w:eastAsia="es-MX"/>
        </w:rPr>
        <w:t xml:space="preserve"> susceptibles de clasificación como reservados.</w:t>
      </w:r>
    </w:p>
    <w:p w:rsidR="001F4E7A" w:rsidRDefault="001F4E7A">
      <w:pPr>
        <w:ind w:left="709" w:right="757"/>
        <w:jc w:val="both"/>
        <w:rPr>
          <w:rFonts w:ascii="Palatino Linotype" w:hAnsi="Palatino Linotype" w:cs="Arial"/>
          <w:b/>
          <w:i/>
          <w:sz w:val="22"/>
          <w:szCs w:val="22"/>
          <w:lang w:eastAsia="es-MX"/>
        </w:rPr>
      </w:pP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F4E7A" w:rsidRDefault="001F4E7A">
      <w:pPr>
        <w:ind w:left="709" w:right="757"/>
        <w:jc w:val="both"/>
        <w:rPr>
          <w:rFonts w:ascii="Palatino Linotype" w:hAnsi="Palatino Linotype" w:cs="Arial"/>
          <w:b/>
          <w:i/>
          <w:sz w:val="22"/>
          <w:szCs w:val="22"/>
          <w:lang w:eastAsia="es-MX"/>
        </w:rPr>
      </w:pP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w:t>
      </w:r>
      <w:r>
        <w:rPr>
          <w:rFonts w:ascii="Palatino Linotype" w:hAnsi="Palatino Linotype" w:cs="Arial"/>
          <w:i/>
          <w:sz w:val="22"/>
          <w:lang w:eastAsia="es-MX"/>
        </w:rPr>
        <w:t>naturaleza</w:t>
      </w:r>
      <w:r>
        <w:rPr>
          <w:rFonts w:ascii="Palatino Linotype" w:hAnsi="Palatino Linotype" w:cs="Arial"/>
          <w:i/>
          <w:sz w:val="22"/>
          <w:szCs w:val="22"/>
          <w:lang w:eastAsia="es-MX"/>
        </w:rPr>
        <w:t xml:space="preserve"> de sus atribuciones, tenga acceso a los </w:t>
      </w:r>
      <w:r>
        <w:rPr>
          <w:rFonts w:ascii="Palatino Linotype" w:hAnsi="Palatino Linotype" w:cs="Arial"/>
          <w:i/>
          <w:sz w:val="22"/>
        </w:rPr>
        <w:t>documentos</w:t>
      </w:r>
      <w:r>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Pr>
          <w:rFonts w:ascii="Palatino Linotype" w:hAnsi="Palatino Linotype" w:cs="Arial"/>
          <w:i/>
          <w:sz w:val="22"/>
        </w:rPr>
        <w:t>que</w:t>
      </w:r>
      <w:r>
        <w:rPr>
          <w:rFonts w:ascii="Palatino Linotype" w:hAnsi="Palatino Linotype" w:cs="Arial"/>
          <w:i/>
          <w:sz w:val="22"/>
          <w:szCs w:val="22"/>
          <w:lang w:eastAsia="es-MX"/>
        </w:rPr>
        <w:t xml:space="preserve"> rija la actuación del sujeto obligado.</w:t>
      </w:r>
    </w:p>
    <w:p w:rsidR="001F4E7A" w:rsidRDefault="001F4E7A">
      <w:pPr>
        <w:ind w:left="709" w:right="757"/>
        <w:jc w:val="both"/>
        <w:rPr>
          <w:rFonts w:ascii="Palatino Linotype" w:hAnsi="Palatino Linotype" w:cs="Arial"/>
          <w:b/>
          <w:i/>
          <w:sz w:val="22"/>
          <w:szCs w:val="22"/>
          <w:lang w:eastAsia="es-MX"/>
        </w:rPr>
      </w:pP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1F4E7A" w:rsidRDefault="001F4E7A">
      <w:pPr>
        <w:ind w:left="709" w:right="757"/>
        <w:jc w:val="center"/>
        <w:rPr>
          <w:rFonts w:ascii="Palatino Linotype" w:hAnsi="Palatino Linotype" w:cs="Arial"/>
          <w:b/>
          <w:i/>
          <w:sz w:val="22"/>
          <w:szCs w:val="22"/>
          <w:lang w:eastAsia="es-MX"/>
        </w:rPr>
      </w:pPr>
    </w:p>
    <w:p w:rsidR="001F4E7A" w:rsidRDefault="0032792E">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CAPÍTULO VIII</w:t>
      </w:r>
    </w:p>
    <w:p w:rsidR="001F4E7A" w:rsidRDefault="0032792E">
      <w:pPr>
        <w:ind w:left="709"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DE LA LEYENDA DE CLASIFICACIÓN</w:t>
      </w:r>
    </w:p>
    <w:p w:rsidR="001F4E7A" w:rsidRDefault="001F4E7A">
      <w:pPr>
        <w:ind w:left="709" w:right="757"/>
        <w:jc w:val="both"/>
        <w:rPr>
          <w:rFonts w:ascii="Palatino Linotype" w:hAnsi="Palatino Linotype" w:cs="Arial"/>
          <w:b/>
          <w:i/>
          <w:sz w:val="22"/>
          <w:szCs w:val="22"/>
          <w:lang w:eastAsia="es-MX"/>
        </w:rPr>
      </w:pP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Quincuagésimo. Los titulares de las áreas de los sujetos obligados podrán utilizar los formatos contenidos en el presente Capítulo como modelo</w:t>
      </w:r>
      <w:r>
        <w:rPr>
          <w:rFonts w:ascii="Palatino Linotype" w:hAnsi="Palatino Linotype" w:cs="Arial"/>
          <w:i/>
          <w:sz w:val="22"/>
          <w:szCs w:val="22"/>
          <w:lang w:eastAsia="es-MX"/>
        </w:rPr>
        <w:t xml:space="preserve"> para señalar la clasificación de documentos o expedientes, sin perjuicio de que establezcan los propios.</w:t>
      </w: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1F4E7A" w:rsidRDefault="001F4E7A">
      <w:pPr>
        <w:ind w:left="709" w:right="757"/>
        <w:jc w:val="both"/>
        <w:rPr>
          <w:rFonts w:ascii="Palatino Linotype" w:hAnsi="Palatino Linotype" w:cs="Arial"/>
          <w:b/>
          <w:i/>
          <w:sz w:val="22"/>
          <w:szCs w:val="22"/>
          <w:lang w:eastAsia="es-MX"/>
        </w:rPr>
      </w:pPr>
    </w:p>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b/>
          <w:i/>
          <w:sz w:val="22"/>
          <w:szCs w:val="22"/>
          <w:lang w:eastAsia="es-MX"/>
        </w:rPr>
        <w:t>Quincuagésimo tercero. El formato para señalar la clasificación parcial de un documento</w:t>
      </w:r>
      <w:r>
        <w:rPr>
          <w:rFonts w:ascii="Palatino Linotype" w:hAnsi="Palatino Linotype" w:cs="Arial"/>
          <w:i/>
          <w:sz w:val="22"/>
          <w:szCs w:val="22"/>
          <w:lang w:eastAsia="es-MX"/>
        </w:rPr>
        <w:t>, es el siguiente:</w:t>
      </w:r>
    </w:p>
    <w:p w:rsidR="001F4E7A" w:rsidRDefault="001F4E7A">
      <w:pPr>
        <w:ind w:left="709" w:right="757"/>
        <w:jc w:val="both"/>
        <w:rPr>
          <w:rFonts w:ascii="Palatino Linotype" w:hAnsi="Palatino Linotype" w:cs="Arial"/>
          <w:i/>
          <w:sz w:val="22"/>
          <w:szCs w:val="22"/>
          <w:lang w:eastAsia="es-MX"/>
        </w:rPr>
      </w:pPr>
    </w:p>
    <w:tbl>
      <w:tblPr>
        <w:tblW w:w="8407" w:type="dxa"/>
        <w:tblInd w:w="709" w:type="dxa"/>
        <w:tblLook w:val="04A0" w:firstRow="1" w:lastRow="0" w:firstColumn="1" w:lastColumn="0" w:noHBand="0" w:noVBand="1"/>
      </w:tblPr>
      <w:tblGrid>
        <w:gridCol w:w="1838"/>
        <w:gridCol w:w="2332"/>
        <w:gridCol w:w="4237"/>
      </w:tblGrid>
      <w:tr w:rsidR="001F4E7A">
        <w:tc>
          <w:tcPr>
            <w:tcW w:w="1836" w:type="dxa"/>
            <w:tcBorders>
              <w:bottom w:val="single" w:sz="4" w:space="0" w:color="000000"/>
              <w:right w:val="single" w:sz="4" w:space="0" w:color="000000"/>
            </w:tcBorders>
          </w:tcPr>
          <w:p w:rsidR="001F4E7A" w:rsidRDefault="001F4E7A">
            <w:pPr>
              <w:spacing w:line="252" w:lineRule="auto"/>
              <w:ind w:right="757"/>
              <w:jc w:val="both"/>
              <w:rPr>
                <w:rFonts w:ascii="Palatino Linotype" w:hAnsi="Palatino Linotype" w:cs="Arial"/>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center"/>
              <w:rPr>
                <w:rFonts w:ascii="Palatino Linotype" w:hAnsi="Palatino Linotype"/>
                <w:b/>
                <w:i/>
                <w:sz w:val="22"/>
                <w:szCs w:val="22"/>
              </w:rPr>
            </w:pPr>
            <w:r>
              <w:rPr>
                <w:rFonts w:ascii="Palatino Linotype" w:hAnsi="Palatino Linotype"/>
                <w:b/>
                <w:i/>
                <w:sz w:val="22"/>
                <w:szCs w:val="22"/>
              </w:rPr>
              <w:t>Concepto</w:t>
            </w:r>
          </w:p>
        </w:tc>
        <w:tc>
          <w:tcPr>
            <w:tcW w:w="4239"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center"/>
              <w:rPr>
                <w:rFonts w:ascii="Palatino Linotype" w:hAnsi="Palatino Linotype"/>
                <w:b/>
                <w:i/>
                <w:sz w:val="22"/>
                <w:szCs w:val="22"/>
              </w:rPr>
            </w:pPr>
            <w:r>
              <w:rPr>
                <w:rFonts w:ascii="Palatino Linotype" w:hAnsi="Palatino Linotype"/>
                <w:b/>
                <w:i/>
                <w:sz w:val="22"/>
                <w:szCs w:val="22"/>
              </w:rPr>
              <w:t>Dónde:</w:t>
            </w:r>
          </w:p>
        </w:tc>
      </w:tr>
      <w:tr w:rsidR="001F4E7A">
        <w:tc>
          <w:tcPr>
            <w:tcW w:w="1836" w:type="dxa"/>
            <w:vMerge w:val="restart"/>
            <w:tcBorders>
              <w:top w:val="single" w:sz="4" w:space="0" w:color="000000"/>
              <w:left w:val="single" w:sz="4" w:space="0" w:color="000000"/>
              <w:bottom w:val="single" w:sz="4" w:space="0" w:color="000000"/>
              <w:right w:val="single" w:sz="4" w:space="0" w:color="000000"/>
            </w:tcBorders>
            <w:vAlign w:val="center"/>
          </w:tcPr>
          <w:p w:rsidR="001F4E7A" w:rsidRDefault="0032792E">
            <w:pPr>
              <w:spacing w:line="252" w:lineRule="auto"/>
              <w:ind w:right="757"/>
              <w:jc w:val="center"/>
              <w:rPr>
                <w:rFonts w:ascii="Palatino Linotype" w:hAnsi="Palatino Linotype" w:cs="Arial"/>
                <w:b/>
                <w:i/>
                <w:sz w:val="22"/>
                <w:szCs w:val="22"/>
                <w:lang w:eastAsia="es-MX"/>
              </w:rPr>
            </w:pPr>
            <w:r>
              <w:rPr>
                <w:rFonts w:ascii="Palatino Linotype" w:hAnsi="Palatino Linotype" w:cs="Arial"/>
                <w:b/>
                <w:i/>
                <w:sz w:val="22"/>
                <w:szCs w:val="22"/>
                <w:lang w:eastAsia="es-MX"/>
              </w:rPr>
              <w:t>Sello oficial o logotipo del sujeto obligado</w:t>
            </w:r>
          </w:p>
        </w:tc>
        <w:tc>
          <w:tcPr>
            <w:tcW w:w="2332"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Fecha de clasificación</w:t>
            </w:r>
          </w:p>
        </w:tc>
        <w:tc>
          <w:tcPr>
            <w:tcW w:w="4239"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anotará la fecha en la que el Comité de Transparencia confirmó la clasificación del documento, en su caso.</w:t>
            </w:r>
          </w:p>
        </w:tc>
      </w:tr>
      <w:tr w:rsidR="001F4E7A">
        <w:tc>
          <w:tcPr>
            <w:tcW w:w="1836" w:type="dxa"/>
            <w:vMerge/>
            <w:tcBorders>
              <w:top w:val="single" w:sz="4" w:space="0" w:color="000000"/>
              <w:left w:val="single" w:sz="4" w:space="0" w:color="000000"/>
              <w:bottom w:val="single" w:sz="4" w:space="0" w:color="000000"/>
              <w:right w:val="single" w:sz="4" w:space="0" w:color="000000"/>
            </w:tcBorders>
            <w:vAlign w:val="center"/>
          </w:tcPr>
          <w:p w:rsidR="001F4E7A" w:rsidRDefault="001F4E7A">
            <w:pPr>
              <w:spacing w:line="252" w:lineRule="auto"/>
              <w:rPr>
                <w:rFonts w:ascii="Palatino Linotype" w:hAnsi="Palatino Linotype" w:cs="Arial"/>
                <w:b/>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Área</w:t>
            </w:r>
          </w:p>
        </w:tc>
        <w:tc>
          <w:tcPr>
            <w:tcW w:w="4239"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señalará el nombre del área del cual es titular quien clasifica.</w:t>
            </w:r>
          </w:p>
        </w:tc>
      </w:tr>
      <w:tr w:rsidR="001F4E7A">
        <w:tc>
          <w:tcPr>
            <w:tcW w:w="1836" w:type="dxa"/>
            <w:vMerge/>
            <w:tcBorders>
              <w:top w:val="single" w:sz="4" w:space="0" w:color="000000"/>
              <w:left w:val="single" w:sz="4" w:space="0" w:color="000000"/>
              <w:bottom w:val="single" w:sz="4" w:space="0" w:color="000000"/>
              <w:right w:val="single" w:sz="4" w:space="0" w:color="000000"/>
            </w:tcBorders>
            <w:vAlign w:val="center"/>
          </w:tcPr>
          <w:p w:rsidR="001F4E7A" w:rsidRDefault="001F4E7A">
            <w:pPr>
              <w:spacing w:line="252" w:lineRule="auto"/>
              <w:rPr>
                <w:rFonts w:ascii="Palatino Linotype" w:hAnsi="Palatino Linotype" w:cs="Arial"/>
                <w:b/>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Información reservada</w:t>
            </w:r>
          </w:p>
        </w:tc>
        <w:tc>
          <w:tcPr>
            <w:tcW w:w="4239"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F4E7A">
        <w:tc>
          <w:tcPr>
            <w:tcW w:w="1836" w:type="dxa"/>
            <w:vMerge/>
            <w:tcBorders>
              <w:top w:val="single" w:sz="4" w:space="0" w:color="000000"/>
              <w:left w:val="single" w:sz="4" w:space="0" w:color="000000"/>
              <w:bottom w:val="single" w:sz="4" w:space="0" w:color="000000"/>
              <w:right w:val="single" w:sz="4" w:space="0" w:color="000000"/>
            </w:tcBorders>
            <w:vAlign w:val="center"/>
          </w:tcPr>
          <w:p w:rsidR="001F4E7A" w:rsidRDefault="001F4E7A">
            <w:pPr>
              <w:spacing w:line="252" w:lineRule="auto"/>
              <w:rPr>
                <w:rFonts w:ascii="Palatino Linotype" w:hAnsi="Palatino Linotype" w:cs="Arial"/>
                <w:b/>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Periodo de reserva</w:t>
            </w:r>
          </w:p>
        </w:tc>
        <w:tc>
          <w:tcPr>
            <w:tcW w:w="4239"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anotará el número de años o meses por los que se mantendrá el documento o las partes del mismo como reservado.</w:t>
            </w:r>
          </w:p>
        </w:tc>
      </w:tr>
      <w:tr w:rsidR="001F4E7A">
        <w:tc>
          <w:tcPr>
            <w:tcW w:w="1836" w:type="dxa"/>
            <w:vMerge/>
            <w:tcBorders>
              <w:top w:val="single" w:sz="4" w:space="0" w:color="000000"/>
              <w:left w:val="single" w:sz="4" w:space="0" w:color="000000"/>
              <w:bottom w:val="single" w:sz="4" w:space="0" w:color="000000"/>
              <w:right w:val="single" w:sz="4" w:space="0" w:color="000000"/>
            </w:tcBorders>
            <w:vAlign w:val="center"/>
          </w:tcPr>
          <w:p w:rsidR="001F4E7A" w:rsidRDefault="001F4E7A">
            <w:pPr>
              <w:spacing w:line="252" w:lineRule="auto"/>
              <w:rPr>
                <w:rFonts w:ascii="Palatino Linotype" w:hAnsi="Palatino Linotype" w:cs="Arial"/>
                <w:b/>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Fundamento legal</w:t>
            </w:r>
          </w:p>
        </w:tc>
        <w:tc>
          <w:tcPr>
            <w:tcW w:w="4239"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1F4E7A">
        <w:tc>
          <w:tcPr>
            <w:tcW w:w="1836" w:type="dxa"/>
            <w:vMerge/>
            <w:tcBorders>
              <w:top w:val="single" w:sz="4" w:space="0" w:color="000000"/>
              <w:left w:val="single" w:sz="4" w:space="0" w:color="000000"/>
              <w:bottom w:val="single" w:sz="4" w:space="0" w:color="000000"/>
              <w:right w:val="single" w:sz="4" w:space="0" w:color="000000"/>
            </w:tcBorders>
            <w:vAlign w:val="center"/>
          </w:tcPr>
          <w:p w:rsidR="001F4E7A" w:rsidRDefault="001F4E7A">
            <w:pPr>
              <w:spacing w:line="252" w:lineRule="auto"/>
              <w:rPr>
                <w:rFonts w:ascii="Palatino Linotype" w:hAnsi="Palatino Linotype" w:cs="Arial"/>
                <w:b/>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Ampliación del periodo de reserva</w:t>
            </w:r>
          </w:p>
        </w:tc>
        <w:tc>
          <w:tcPr>
            <w:tcW w:w="4239"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1F4E7A">
        <w:tc>
          <w:tcPr>
            <w:tcW w:w="1836" w:type="dxa"/>
            <w:vMerge/>
            <w:tcBorders>
              <w:top w:val="single" w:sz="4" w:space="0" w:color="000000"/>
              <w:left w:val="single" w:sz="4" w:space="0" w:color="000000"/>
              <w:bottom w:val="single" w:sz="4" w:space="0" w:color="000000"/>
              <w:right w:val="single" w:sz="4" w:space="0" w:color="000000"/>
            </w:tcBorders>
            <w:vAlign w:val="center"/>
          </w:tcPr>
          <w:p w:rsidR="001F4E7A" w:rsidRDefault="001F4E7A">
            <w:pPr>
              <w:spacing w:line="252" w:lineRule="auto"/>
              <w:rPr>
                <w:rFonts w:ascii="Palatino Linotype" w:hAnsi="Palatino Linotype" w:cs="Arial"/>
                <w:b/>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Confidencial</w:t>
            </w:r>
          </w:p>
        </w:tc>
        <w:tc>
          <w:tcPr>
            <w:tcW w:w="4239"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F4E7A">
        <w:tc>
          <w:tcPr>
            <w:tcW w:w="1836" w:type="dxa"/>
            <w:vMerge/>
            <w:tcBorders>
              <w:top w:val="single" w:sz="4" w:space="0" w:color="000000"/>
              <w:left w:val="single" w:sz="4" w:space="0" w:color="000000"/>
              <w:bottom w:val="single" w:sz="4" w:space="0" w:color="000000"/>
              <w:right w:val="single" w:sz="4" w:space="0" w:color="000000"/>
            </w:tcBorders>
            <w:vAlign w:val="center"/>
          </w:tcPr>
          <w:p w:rsidR="001F4E7A" w:rsidRDefault="001F4E7A">
            <w:pPr>
              <w:spacing w:line="252" w:lineRule="auto"/>
              <w:rPr>
                <w:rFonts w:ascii="Palatino Linotype" w:hAnsi="Palatino Linotype" w:cs="Arial"/>
                <w:b/>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Fundamento legal</w:t>
            </w:r>
          </w:p>
        </w:tc>
        <w:tc>
          <w:tcPr>
            <w:tcW w:w="4239"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1F4E7A">
        <w:tc>
          <w:tcPr>
            <w:tcW w:w="1836" w:type="dxa"/>
            <w:vMerge/>
            <w:tcBorders>
              <w:top w:val="single" w:sz="4" w:space="0" w:color="000000"/>
              <w:left w:val="single" w:sz="4" w:space="0" w:color="000000"/>
              <w:bottom w:val="single" w:sz="4" w:space="0" w:color="000000"/>
              <w:right w:val="single" w:sz="4" w:space="0" w:color="000000"/>
            </w:tcBorders>
            <w:vAlign w:val="center"/>
          </w:tcPr>
          <w:p w:rsidR="001F4E7A" w:rsidRDefault="001F4E7A">
            <w:pPr>
              <w:spacing w:line="252" w:lineRule="auto"/>
              <w:rPr>
                <w:rFonts w:ascii="Palatino Linotype" w:hAnsi="Palatino Linotype" w:cs="Arial"/>
                <w:b/>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Rúbrica del titular del área</w:t>
            </w:r>
          </w:p>
        </w:tc>
        <w:tc>
          <w:tcPr>
            <w:tcW w:w="4239"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Rúbrica autógrafa de quien clasifica.</w:t>
            </w:r>
          </w:p>
        </w:tc>
      </w:tr>
      <w:tr w:rsidR="001F4E7A">
        <w:tc>
          <w:tcPr>
            <w:tcW w:w="1836" w:type="dxa"/>
            <w:vMerge/>
            <w:tcBorders>
              <w:top w:val="single" w:sz="4" w:space="0" w:color="000000"/>
              <w:left w:val="single" w:sz="4" w:space="0" w:color="000000"/>
              <w:bottom w:val="single" w:sz="4" w:space="0" w:color="000000"/>
              <w:right w:val="single" w:sz="4" w:space="0" w:color="000000"/>
            </w:tcBorders>
            <w:vAlign w:val="center"/>
          </w:tcPr>
          <w:p w:rsidR="001F4E7A" w:rsidRDefault="001F4E7A">
            <w:pPr>
              <w:spacing w:line="252" w:lineRule="auto"/>
              <w:rPr>
                <w:rFonts w:ascii="Palatino Linotype" w:hAnsi="Palatino Linotype" w:cs="Arial"/>
                <w:b/>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Fecha de desclasificación</w:t>
            </w:r>
          </w:p>
        </w:tc>
        <w:tc>
          <w:tcPr>
            <w:tcW w:w="4239"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both"/>
              <w:rPr>
                <w:rFonts w:ascii="Palatino Linotype" w:hAnsi="Palatino Linotype" w:cs="Arial"/>
                <w:i/>
                <w:sz w:val="22"/>
                <w:szCs w:val="22"/>
                <w:lang w:eastAsia="es-MX"/>
              </w:rPr>
            </w:pPr>
            <w:r>
              <w:rPr>
                <w:rFonts w:ascii="Palatino Linotype" w:hAnsi="Palatino Linotype" w:cs="Arial"/>
                <w:i/>
                <w:sz w:val="22"/>
                <w:szCs w:val="22"/>
                <w:lang w:eastAsia="es-MX"/>
              </w:rPr>
              <w:t>Se anotará la fecha en que se desclasifica el documento.</w:t>
            </w:r>
          </w:p>
        </w:tc>
      </w:tr>
      <w:tr w:rsidR="001F4E7A">
        <w:tc>
          <w:tcPr>
            <w:tcW w:w="1836" w:type="dxa"/>
            <w:vMerge/>
            <w:tcBorders>
              <w:top w:val="single" w:sz="4" w:space="0" w:color="000000"/>
              <w:left w:val="single" w:sz="4" w:space="0" w:color="000000"/>
              <w:bottom w:val="single" w:sz="4" w:space="0" w:color="000000"/>
              <w:right w:val="single" w:sz="4" w:space="0" w:color="000000"/>
            </w:tcBorders>
            <w:vAlign w:val="center"/>
          </w:tcPr>
          <w:p w:rsidR="001F4E7A" w:rsidRDefault="001F4E7A">
            <w:pPr>
              <w:spacing w:line="252" w:lineRule="auto"/>
              <w:rPr>
                <w:rFonts w:ascii="Palatino Linotype" w:hAnsi="Palatino Linotype" w:cs="Arial"/>
                <w:b/>
                <w:i/>
                <w:sz w:val="22"/>
                <w:szCs w:val="22"/>
                <w:lang w:eastAsia="es-MX"/>
              </w:rPr>
            </w:pPr>
          </w:p>
        </w:tc>
        <w:tc>
          <w:tcPr>
            <w:tcW w:w="2332" w:type="dxa"/>
            <w:tcBorders>
              <w:top w:val="single" w:sz="4" w:space="0" w:color="000000"/>
              <w:left w:val="single" w:sz="4" w:space="0" w:color="000000"/>
              <w:bottom w:val="single" w:sz="4" w:space="0" w:color="000000"/>
              <w:right w:val="single" w:sz="4" w:space="0" w:color="000000"/>
            </w:tcBorders>
          </w:tcPr>
          <w:p w:rsidR="001F4E7A" w:rsidRDefault="0032792E">
            <w:pPr>
              <w:spacing w:line="252" w:lineRule="auto"/>
              <w:ind w:right="757"/>
              <w:jc w:val="center"/>
              <w:rPr>
                <w:rFonts w:ascii="Palatino Linotype" w:hAnsi="Palatino Linotype" w:cs="Arial"/>
                <w:i/>
                <w:sz w:val="22"/>
                <w:szCs w:val="22"/>
                <w:lang w:eastAsia="es-MX"/>
              </w:rPr>
            </w:pPr>
            <w:r>
              <w:rPr>
                <w:rFonts w:ascii="Palatino Linotype" w:hAnsi="Palatino Linotype" w:cs="Arial"/>
                <w:i/>
                <w:sz w:val="22"/>
                <w:szCs w:val="22"/>
                <w:lang w:eastAsia="es-MX"/>
              </w:rPr>
              <w:t>Rúbrica y cargo del servidor público</w:t>
            </w:r>
          </w:p>
        </w:tc>
        <w:tc>
          <w:tcPr>
            <w:tcW w:w="4239" w:type="dxa"/>
            <w:tcBorders>
              <w:top w:val="single" w:sz="4" w:space="0" w:color="000000"/>
              <w:left w:val="single" w:sz="4" w:space="0" w:color="000000"/>
              <w:bottom w:val="single" w:sz="4" w:space="0" w:color="000000"/>
              <w:right w:val="single" w:sz="4" w:space="0" w:color="000000"/>
            </w:tcBorders>
            <w:vAlign w:val="center"/>
          </w:tcPr>
          <w:p w:rsidR="001F4E7A" w:rsidRDefault="0032792E">
            <w:pPr>
              <w:spacing w:line="252" w:lineRule="auto"/>
              <w:ind w:right="757"/>
              <w:rPr>
                <w:rFonts w:ascii="Palatino Linotype" w:hAnsi="Palatino Linotype" w:cs="Arial"/>
                <w:i/>
                <w:sz w:val="22"/>
                <w:szCs w:val="22"/>
                <w:lang w:eastAsia="es-MX"/>
              </w:rPr>
            </w:pPr>
            <w:r>
              <w:rPr>
                <w:rFonts w:ascii="Palatino Linotype" w:hAnsi="Palatino Linotype" w:cs="Arial"/>
                <w:i/>
                <w:sz w:val="22"/>
                <w:szCs w:val="22"/>
                <w:lang w:eastAsia="es-MX"/>
              </w:rPr>
              <w:t>Rúbrica autógrafa de quien desclasifica.</w:t>
            </w:r>
          </w:p>
        </w:tc>
      </w:tr>
    </w:tbl>
    <w:p w:rsidR="001F4E7A" w:rsidRDefault="0032792E">
      <w:pPr>
        <w:ind w:left="709" w:right="757"/>
        <w:jc w:val="both"/>
        <w:rPr>
          <w:rFonts w:ascii="Palatino Linotype" w:hAnsi="Palatino Linotype" w:cs="Arial"/>
          <w:i/>
          <w:sz w:val="22"/>
          <w:szCs w:val="22"/>
          <w:lang w:eastAsia="es-MX"/>
        </w:rPr>
      </w:pPr>
      <w:r>
        <w:rPr>
          <w:rFonts w:ascii="Palatino Linotype" w:hAnsi="Palatino Linotype" w:cs="Arial"/>
          <w:i/>
          <w:sz w:val="22"/>
          <w:szCs w:val="22"/>
          <w:lang w:eastAsia="es-MX"/>
        </w:rPr>
        <w:t>…”</w:t>
      </w:r>
    </w:p>
    <w:p w:rsidR="001F4E7A" w:rsidRDefault="001F4E7A">
      <w:pPr>
        <w:ind w:left="709" w:right="757"/>
        <w:jc w:val="both"/>
        <w:rPr>
          <w:rFonts w:ascii="Palatino Linotype" w:hAnsi="Palatino Linotype" w:cs="Arial"/>
          <w:i/>
          <w:sz w:val="22"/>
          <w:szCs w:val="22"/>
          <w:lang w:eastAsia="es-MX"/>
        </w:rPr>
      </w:pPr>
    </w:p>
    <w:p w:rsidR="001F4E7A" w:rsidRDefault="0032792E">
      <w:pPr>
        <w:ind w:left="709" w:right="757"/>
        <w:jc w:val="both"/>
        <w:rPr>
          <w:rFonts w:ascii="Palatino Linotype" w:hAnsi="Palatino Linotype" w:cs="Arial"/>
          <w:sz w:val="22"/>
          <w:szCs w:val="22"/>
          <w:lang w:eastAsia="es-MX"/>
        </w:rPr>
      </w:pPr>
      <w:r>
        <w:rPr>
          <w:rFonts w:ascii="Palatino Linotype" w:hAnsi="Palatino Linotype" w:cs="Arial"/>
          <w:sz w:val="22"/>
          <w:szCs w:val="22"/>
          <w:lang w:eastAsia="es-MX"/>
        </w:rPr>
        <w:t>(Énfasis Añadido)</w:t>
      </w:r>
    </w:p>
    <w:p w:rsidR="001F4E7A" w:rsidRDefault="001F4E7A">
      <w:pPr>
        <w:spacing w:line="360" w:lineRule="auto"/>
        <w:ind w:left="709" w:right="757"/>
        <w:jc w:val="both"/>
        <w:rPr>
          <w:rFonts w:ascii="Palatino Linotype" w:hAnsi="Palatino Linotype" w:cs="Arial"/>
          <w:sz w:val="22"/>
          <w:szCs w:val="22"/>
          <w:lang w:eastAsia="es-MX"/>
        </w:rPr>
      </w:pPr>
    </w:p>
    <w:p w:rsidR="001F4E7A" w:rsidRDefault="0032792E">
      <w:pPr>
        <w:pStyle w:val="Prrafodelista"/>
        <w:widowControl w:val="0"/>
        <w:spacing w:line="360" w:lineRule="auto"/>
        <w:ind w:left="0"/>
        <w:jc w:val="both"/>
        <w:rPr>
          <w:rFonts w:ascii="Palatino Linotype" w:hAnsi="Palatino Linotype" w:cs="Arial"/>
        </w:rPr>
      </w:pPr>
      <w:r>
        <w:rPr>
          <w:rFonts w:ascii="Palatino Linotype" w:hAnsi="Palatino Linotype" w:cs="Arial"/>
        </w:rPr>
        <w:t>Por lo tanto,</w:t>
      </w:r>
      <w:r>
        <w:rPr>
          <w:rFonts w:ascii="Palatino Linotype" w:hAnsi="Palatino Linotype"/>
        </w:rPr>
        <w:t xml:space="preserve"> es importante referir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w:t>
      </w:r>
      <w:r>
        <w:rPr>
          <w:rFonts w:ascii="Palatino Linotype" w:hAnsi="Palatino Linotype" w:cs="Arial"/>
          <w:lang w:val="es-ES_tradnl"/>
        </w:rPr>
        <w:t>un</w:t>
      </w:r>
      <w:r>
        <w:rPr>
          <w:rFonts w:ascii="Palatino Linotype" w:hAnsi="Palatino Linotype" w:cs="Arial"/>
        </w:rPr>
        <w:t xml:space="preserve"> Acuerdo de Clasificación que cumpla con las formalidades previstas, antes citadas</w:t>
      </w:r>
      <w:r>
        <w:rPr>
          <w:rFonts w:ascii="Palatino Linotype" w:hAnsi="Palatino Linotype" w:cs="Arial"/>
          <w:b/>
        </w:rPr>
        <w:t xml:space="preserve"> </w:t>
      </w:r>
      <w:r>
        <w:rPr>
          <w:rFonts w:ascii="Palatino Linotype" w:hAnsi="Palatino Linotype" w:cs="Arial"/>
        </w:rPr>
        <w:t xml:space="preserve">que la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F4E7A" w:rsidRDefault="001F4E7A">
      <w:pPr>
        <w:spacing w:line="360" w:lineRule="auto"/>
        <w:jc w:val="both"/>
        <w:rPr>
          <w:rFonts w:ascii="Palatino Linotype" w:eastAsia="Arial Unicode MS" w:hAnsi="Palatino Linotype" w:cs="Arial"/>
        </w:rPr>
      </w:pPr>
    </w:p>
    <w:p w:rsidR="001F4E7A" w:rsidRDefault="0032792E">
      <w:pPr>
        <w:spacing w:line="360" w:lineRule="auto"/>
        <w:jc w:val="both"/>
        <w:rPr>
          <w:rFonts w:ascii="Palatino Linotype" w:hAnsi="Palatino Linotype" w:cs="Arial"/>
        </w:rPr>
      </w:pPr>
      <w:r>
        <w:rPr>
          <w:rFonts w:ascii="Palatino Linotype" w:hAnsi="Palatino Linotype"/>
        </w:rPr>
        <w:t xml:space="preserve">Así, para el caso de que obren datos susceptibles de ser clasificados como información confidencial, cuyo acceso </w:t>
      </w:r>
      <w:r>
        <w:rPr>
          <w:rFonts w:ascii="Palatino Linotype" w:hAnsi="Palatino Linotype" w:cs="Arial"/>
        </w:rPr>
        <w:t>debe</w:t>
      </w:r>
      <w:r>
        <w:rPr>
          <w:rFonts w:ascii="Palatino Linotype" w:hAnsi="Palatino Linotype"/>
        </w:rPr>
        <w:t xml:space="preserve"> ser restringido, los cuales </w:t>
      </w:r>
      <w:r>
        <w:rPr>
          <w:rFonts w:ascii="Palatino Linotype" w:hAnsi="Palatino Linotype" w:cs="Arial"/>
        </w:rPr>
        <w:t xml:space="preserve">deben testarse al momento de la elaboración de versiones públicas, como es el caso del </w:t>
      </w:r>
      <w:r>
        <w:rPr>
          <w:rFonts w:ascii="Palatino Linotype" w:hAnsi="Palatino Linotype" w:cs="Arial"/>
          <w:b/>
        </w:rPr>
        <w:t>Registro Federal de Contribuyentes</w:t>
      </w:r>
      <w:r>
        <w:rPr>
          <w:rFonts w:ascii="Palatino Linotype" w:hAnsi="Palatino Linotype" w:cs="Arial"/>
        </w:rPr>
        <w:t xml:space="preserve"> (RFC), la </w:t>
      </w:r>
      <w:r>
        <w:rPr>
          <w:rFonts w:ascii="Palatino Linotype" w:hAnsi="Palatino Linotype" w:cs="Arial"/>
          <w:b/>
        </w:rPr>
        <w:t>Clave Única de Registro de Población</w:t>
      </w:r>
      <w:r>
        <w:rPr>
          <w:rFonts w:ascii="Palatino Linotype" w:hAnsi="Palatino Linotype" w:cs="Arial"/>
        </w:rPr>
        <w:t xml:space="preserve"> (CURP), la </w:t>
      </w:r>
      <w:r>
        <w:rPr>
          <w:rFonts w:ascii="Palatino Linotype" w:hAnsi="Palatino Linotype" w:cs="Arial"/>
          <w:b/>
        </w:rPr>
        <w:t>Clave de cualquier tipo de seguridad social</w:t>
      </w:r>
      <w:r>
        <w:rPr>
          <w:rFonts w:ascii="Palatino Linotype" w:hAnsi="Palatino Linotype" w:cs="Arial"/>
        </w:rPr>
        <w:t xml:space="preserve"> (ISSEMYM, u otros), entre otros.</w:t>
      </w:r>
    </w:p>
    <w:p w:rsidR="001F4E7A" w:rsidRDefault="001F4E7A">
      <w:pPr>
        <w:spacing w:line="360" w:lineRule="auto"/>
        <w:jc w:val="both"/>
        <w:rPr>
          <w:rFonts w:ascii="Palatino Linotype" w:hAnsi="Palatino Linotype" w:cs="Arial"/>
          <w:lang w:eastAsia="en-US"/>
        </w:rPr>
      </w:pPr>
    </w:p>
    <w:p w:rsidR="001F4E7A" w:rsidRDefault="0032792E">
      <w:pPr>
        <w:spacing w:line="360" w:lineRule="auto"/>
        <w:jc w:val="both"/>
        <w:rPr>
          <w:rFonts w:ascii="Palatino Linotype" w:hAnsi="Palatino Linotype"/>
        </w:rPr>
      </w:pPr>
      <w:r>
        <w:rPr>
          <w:rFonts w:ascii="Palatino Linotype" w:hAnsi="Palatino Linotype" w:cs="Arial"/>
          <w:lang w:eastAsia="es-MX"/>
        </w:rPr>
        <w:t xml:space="preserve">Por cuanto hace al </w:t>
      </w:r>
      <w:r>
        <w:rPr>
          <w:rFonts w:ascii="Palatino Linotype" w:hAnsi="Palatino Linotype" w:cs="Arial"/>
          <w:b/>
          <w:lang w:eastAsia="es-MX"/>
        </w:rPr>
        <w:t>Registro Federal de Contribuyentes</w:t>
      </w:r>
      <w:r>
        <w:rPr>
          <w:rFonts w:ascii="Palatino Linotype" w:hAnsi="Palatino Linotype" w:cs="Arial"/>
          <w:lang w:eastAsia="es-MX"/>
        </w:rPr>
        <w:t xml:space="preserve"> </w:t>
      </w:r>
      <w:r>
        <w:rPr>
          <w:rFonts w:ascii="Palatino Linotype" w:hAnsi="Palatino Linotype" w:cs="Arial"/>
          <w:b/>
          <w:lang w:eastAsia="es-MX"/>
        </w:rPr>
        <w:t>de las personas físicas</w:t>
      </w:r>
      <w:r>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Pr>
          <w:rFonts w:ascii="Palatino Linotype" w:hAnsi="Palatino Linotype" w:cs="Arial"/>
        </w:rPr>
        <w:t>del</w:t>
      </w:r>
      <w:r>
        <w:rPr>
          <w:rFonts w:ascii="Palatino Linotype" w:hAnsi="Palatino Linotype" w:cs="Arial"/>
          <w:lang w:eastAsia="es-MX"/>
        </w:rPr>
        <w:t xml:space="preserve"> apellido paterno; seguida de la primera letra </w:t>
      </w:r>
      <w:r>
        <w:rPr>
          <w:rFonts w:ascii="Palatino Linotype" w:hAnsi="Palatino Linotype" w:cs="Arial"/>
          <w:lang w:eastAsia="es-MX"/>
        </w:rPr>
        <w:lastRenderedPageBreak/>
        <w:t>Vocal del primer apellido; seguida de la primera letra del segundo apellido y por último la primera letra del nombre, posterior la fecha de nacimiento año/mes/día</w:t>
      </w:r>
      <w:r>
        <w:rPr>
          <w:rFonts w:ascii="Palatino Linotype" w:hAnsi="Palatino Linotype"/>
        </w:rPr>
        <w:t xml:space="preserve"> y finalmente la homoclave; la cual, para su obtención es necesario acreditar personalidad, fecha de nacimiento entre otros con documentos oficiales.</w:t>
      </w:r>
    </w:p>
    <w:p w:rsidR="001F4E7A" w:rsidRDefault="001F4E7A">
      <w:pPr>
        <w:spacing w:line="360" w:lineRule="auto"/>
        <w:jc w:val="both"/>
        <w:rPr>
          <w:rFonts w:ascii="Palatino Linotype" w:hAnsi="Palatino Linotype"/>
        </w:rPr>
      </w:pPr>
    </w:p>
    <w:p w:rsidR="001F4E7A" w:rsidRDefault="0032792E">
      <w:pPr>
        <w:spacing w:line="360" w:lineRule="auto"/>
        <w:jc w:val="both"/>
        <w:rPr>
          <w:rFonts w:ascii="Palatino Linotype" w:hAnsi="Palatino Linotype"/>
          <w:b/>
          <w:bCs/>
          <w:color w:val="000000"/>
        </w:rPr>
      </w:pPr>
      <w:r>
        <w:rPr>
          <w:rFonts w:ascii="Palatino Linotype" w:hAnsi="Palatino Linotype" w:cs="Arial"/>
          <w:lang w:eastAsia="es-MX"/>
        </w:rPr>
        <w:t xml:space="preserve">Al respecto, </w:t>
      </w:r>
      <w:r>
        <w:rPr>
          <w:rFonts w:ascii="Palatino Linotype" w:hAnsi="Palatino Linotype" w:cs="Arial"/>
          <w:color w:val="000000"/>
        </w:rPr>
        <w:t xml:space="preserve">es aplicable el Criterio 19/17 de la Segunda Época, emitido por </w:t>
      </w:r>
      <w:r>
        <w:rPr>
          <w:rFonts w:ascii="Palatino Linotype" w:eastAsia="Arial Unicode MS" w:hAnsi="Palatino Linotype" w:cs="Arial"/>
          <w:color w:val="000000"/>
        </w:rPr>
        <w:t xml:space="preserve">el Instituto Nacional de </w:t>
      </w:r>
      <w:r>
        <w:rPr>
          <w:rFonts w:ascii="Palatino Linotype" w:hAnsi="Palatino Linotype"/>
          <w:bCs/>
        </w:rPr>
        <w:t>Transparencia</w:t>
      </w:r>
      <w:r>
        <w:rPr>
          <w:rFonts w:ascii="Palatino Linotype" w:eastAsia="Arial Unicode MS" w:hAnsi="Palatino Linotype" w:cs="Arial"/>
          <w:color w:val="000000"/>
        </w:rPr>
        <w:t xml:space="preserve">, Acceso a la </w:t>
      </w:r>
      <w:r>
        <w:rPr>
          <w:rFonts w:ascii="Palatino Linotype" w:hAnsi="Palatino Linotype" w:cs="Arial"/>
        </w:rPr>
        <w:t>Información</w:t>
      </w:r>
      <w:r>
        <w:rPr>
          <w:rFonts w:ascii="Palatino Linotype" w:eastAsia="Arial Unicode MS" w:hAnsi="Palatino Linotype" w:cs="Arial"/>
          <w:color w:val="000000"/>
        </w:rPr>
        <w:t xml:space="preserve">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1F4E7A" w:rsidRDefault="001F4E7A">
      <w:pPr>
        <w:spacing w:line="360" w:lineRule="auto"/>
        <w:jc w:val="both"/>
        <w:rPr>
          <w:rFonts w:ascii="Palatino Linotype" w:hAnsi="Palatino Linotype"/>
          <w:b/>
          <w:bCs/>
          <w:color w:val="000000"/>
        </w:rPr>
      </w:pPr>
    </w:p>
    <w:p w:rsidR="001F4E7A" w:rsidRDefault="0032792E">
      <w:pPr>
        <w:ind w:left="709" w:right="814"/>
        <w:jc w:val="both"/>
        <w:rPr>
          <w:rFonts w:ascii="Palatino Linotype" w:hAnsi="Palatino Linotype" w:cs="Arial"/>
          <w:bCs/>
          <w:i/>
          <w:sz w:val="22"/>
          <w:lang w:eastAsia="en-US"/>
        </w:rPr>
      </w:pPr>
      <w:r>
        <w:rPr>
          <w:rFonts w:ascii="Palatino Linotype" w:hAnsi="Palatino Linotype" w:cs="Arial"/>
          <w:bCs/>
          <w:i/>
          <w:sz w:val="22"/>
        </w:rPr>
        <w:t>“</w:t>
      </w:r>
      <w:r>
        <w:rPr>
          <w:rFonts w:ascii="Palatino Linotype" w:hAnsi="Palatino Linotype" w:cs="Arial"/>
          <w:b/>
          <w:bCs/>
          <w:i/>
          <w:sz w:val="22"/>
        </w:rPr>
        <w:t>Registro Federal de Contribuyentes (RFC) de personas físicas. El RFC es una clave</w:t>
      </w:r>
      <w:r>
        <w:rPr>
          <w:rFonts w:ascii="Palatino Linotype" w:hAnsi="Palatino Linotype" w:cs="Arial"/>
          <w:bCs/>
          <w:i/>
          <w:sz w:val="22"/>
        </w:rPr>
        <w:t xml:space="preserve"> de carácter fiscal, única e irrepetible, </w:t>
      </w:r>
      <w:r>
        <w:rPr>
          <w:rFonts w:ascii="Palatino Linotype" w:hAnsi="Palatino Linotype" w:cs="Arial"/>
          <w:b/>
          <w:bCs/>
          <w:i/>
          <w:sz w:val="22"/>
        </w:rPr>
        <w:t>que permite identificar al titular, su edad y fecha de nacimiento</w:t>
      </w:r>
      <w:r>
        <w:rPr>
          <w:rFonts w:ascii="Palatino Linotype" w:hAnsi="Palatino Linotype" w:cs="Arial"/>
          <w:bCs/>
          <w:i/>
          <w:sz w:val="22"/>
        </w:rPr>
        <w:t xml:space="preserve">, </w:t>
      </w:r>
      <w:r>
        <w:rPr>
          <w:rFonts w:ascii="Palatino Linotype" w:hAnsi="Palatino Linotype" w:cs="Arial"/>
          <w:i/>
          <w:sz w:val="22"/>
          <w:lang w:eastAsia="es-MX"/>
        </w:rPr>
        <w:t>por</w:t>
      </w:r>
      <w:r>
        <w:rPr>
          <w:rFonts w:ascii="Palatino Linotype" w:hAnsi="Palatino Linotype" w:cs="Arial"/>
          <w:bCs/>
          <w:i/>
          <w:sz w:val="22"/>
        </w:rPr>
        <w:t xml:space="preserve"> lo que </w:t>
      </w:r>
      <w:r>
        <w:rPr>
          <w:rFonts w:ascii="Palatino Linotype" w:hAnsi="Palatino Linotype" w:cs="Arial"/>
          <w:b/>
          <w:bCs/>
          <w:i/>
          <w:sz w:val="22"/>
        </w:rPr>
        <w:t>es un dato personal de carácter confidencial</w:t>
      </w:r>
      <w:r>
        <w:rPr>
          <w:rFonts w:ascii="Palatino Linotype" w:hAnsi="Palatino Linotype" w:cs="Arial"/>
          <w:i/>
          <w:sz w:val="22"/>
        </w:rPr>
        <w:t>.</w:t>
      </w:r>
    </w:p>
    <w:p w:rsidR="001F4E7A" w:rsidRDefault="001F4E7A">
      <w:pPr>
        <w:ind w:left="709" w:right="814"/>
        <w:jc w:val="both"/>
        <w:rPr>
          <w:rFonts w:ascii="Palatino Linotype" w:hAnsi="Palatino Linotype" w:cs="Arial"/>
          <w:bCs/>
          <w:i/>
          <w:sz w:val="22"/>
        </w:rPr>
      </w:pPr>
    </w:p>
    <w:p w:rsidR="001F4E7A" w:rsidRDefault="0032792E">
      <w:pPr>
        <w:ind w:left="709" w:right="814"/>
        <w:jc w:val="both"/>
        <w:rPr>
          <w:rFonts w:ascii="Palatino Linotype" w:hAnsi="Palatino Linotype" w:cs="Arial"/>
          <w:bCs/>
          <w:i/>
          <w:sz w:val="22"/>
        </w:rPr>
      </w:pPr>
      <w:r>
        <w:rPr>
          <w:rFonts w:ascii="Palatino Linotype" w:hAnsi="Palatino Linotype" w:cs="Arial"/>
          <w:bCs/>
          <w:i/>
          <w:sz w:val="22"/>
        </w:rPr>
        <w:t>Resoluciones:</w:t>
      </w:r>
    </w:p>
    <w:p w:rsidR="001F4E7A" w:rsidRDefault="0032792E">
      <w:pPr>
        <w:ind w:left="709" w:right="814"/>
        <w:jc w:val="both"/>
        <w:rPr>
          <w:rFonts w:ascii="Palatino Linotype" w:hAnsi="Palatino Linotype" w:cs="Arial"/>
          <w:bCs/>
          <w:i/>
          <w:sz w:val="22"/>
        </w:rPr>
      </w:pPr>
      <w:r>
        <w:rPr>
          <w:rFonts w:ascii="Palatino Linotype" w:hAnsi="Palatino Linotype" w:cs="Arial"/>
          <w:bCs/>
          <w:i/>
          <w:sz w:val="22"/>
        </w:rPr>
        <w:t>• RRA 0189/</w:t>
      </w:r>
      <w:r>
        <w:rPr>
          <w:rFonts w:ascii="Palatino Linotype" w:hAnsi="Palatino Linotype" w:cs="Arial"/>
          <w:i/>
          <w:sz w:val="22"/>
          <w:lang w:eastAsia="es-MX"/>
        </w:rPr>
        <w:t>17</w:t>
      </w:r>
      <w:r>
        <w:rPr>
          <w:rFonts w:ascii="Palatino Linotype" w:hAnsi="Palatino Linotype" w:cs="Arial"/>
          <w:bCs/>
          <w:i/>
          <w:sz w:val="22"/>
        </w:rPr>
        <w:t>. Morena. 08 de febrero de 2017. Por unanimidad. Comisionado Ponente Joel Salas Suárez.</w:t>
      </w:r>
    </w:p>
    <w:p w:rsidR="001F4E7A" w:rsidRDefault="0032792E">
      <w:pPr>
        <w:ind w:left="709" w:right="814"/>
        <w:jc w:val="both"/>
        <w:rPr>
          <w:rFonts w:ascii="Palatino Linotype" w:hAnsi="Palatino Linotype" w:cs="Arial"/>
          <w:bCs/>
          <w:i/>
          <w:sz w:val="22"/>
        </w:rPr>
      </w:pPr>
      <w:r>
        <w:rPr>
          <w:rFonts w:ascii="Palatino Linotype" w:hAnsi="Palatino Linotype" w:cs="Arial"/>
          <w:bCs/>
          <w:i/>
          <w:sz w:val="22"/>
        </w:rPr>
        <w:t xml:space="preserve">• RRA 0677/17. Universidad Nacional Autónoma de México. 08 de marzo de 2017. Por unanimidad. Comisionado Ponente Rosendoevgueni Monterrey Chepov. </w:t>
      </w:r>
    </w:p>
    <w:p w:rsidR="001F4E7A" w:rsidRDefault="0032792E">
      <w:pPr>
        <w:ind w:left="709" w:right="814"/>
        <w:jc w:val="both"/>
        <w:rPr>
          <w:rFonts w:ascii="Palatino Linotype" w:hAnsi="Palatino Linotype" w:cs="Arial"/>
          <w:i/>
          <w:sz w:val="22"/>
        </w:rPr>
      </w:pPr>
      <w:r>
        <w:rPr>
          <w:rFonts w:ascii="Palatino Linotype" w:hAnsi="Palatino Linotype" w:cs="Arial"/>
          <w:bCs/>
          <w:i/>
          <w:sz w:val="22"/>
        </w:rPr>
        <w:t xml:space="preserve">• RRA 1564/17. Tribunal Electoral del Poder Judicial de la Federación. 26 de abril de 2017. Por </w:t>
      </w:r>
      <w:r>
        <w:rPr>
          <w:rFonts w:ascii="Palatino Linotype" w:hAnsi="Palatino Linotype" w:cs="Arial"/>
          <w:i/>
          <w:sz w:val="22"/>
          <w:lang w:eastAsia="es-MX"/>
        </w:rPr>
        <w:t>unanimidad</w:t>
      </w:r>
      <w:r>
        <w:rPr>
          <w:rFonts w:ascii="Palatino Linotype" w:hAnsi="Palatino Linotype" w:cs="Arial"/>
          <w:bCs/>
          <w:i/>
          <w:sz w:val="22"/>
        </w:rPr>
        <w:t>. Comisionado Ponente Oscar Mauricio Guerra Ford.</w:t>
      </w:r>
      <w:r>
        <w:rPr>
          <w:rFonts w:ascii="Palatino Linotype" w:hAnsi="Palatino Linotype" w:cs="Arial"/>
          <w:i/>
          <w:sz w:val="22"/>
        </w:rPr>
        <w:t>” (Sic)</w:t>
      </w:r>
    </w:p>
    <w:p w:rsidR="001F4E7A" w:rsidRDefault="001F4E7A">
      <w:pPr>
        <w:spacing w:line="360" w:lineRule="auto"/>
        <w:ind w:left="709" w:right="814"/>
        <w:jc w:val="both"/>
        <w:rPr>
          <w:rFonts w:ascii="Palatino Linotype" w:hAnsi="Palatino Linotype" w:cs="Arial"/>
          <w:i/>
          <w:sz w:val="22"/>
        </w:rPr>
      </w:pPr>
    </w:p>
    <w:p w:rsidR="001F4E7A" w:rsidRDefault="0032792E">
      <w:pPr>
        <w:spacing w:line="360" w:lineRule="auto"/>
        <w:jc w:val="both"/>
        <w:rPr>
          <w:rFonts w:ascii="Palatino Linotype" w:hAnsi="Palatino Linotype" w:cs="Arial"/>
        </w:rPr>
      </w:pPr>
      <w:r>
        <w:rPr>
          <w:rFonts w:ascii="Palatino Linotype" w:hAnsi="Palatino Linotype" w:cs="Arial"/>
          <w:lang w:eastAsia="es-MX"/>
        </w:rPr>
        <w:t xml:space="preserve">De lo anterior, se desprende que el Registro Federal de Contribuyentes se vincula al nombre de su </w:t>
      </w:r>
      <w:r>
        <w:rPr>
          <w:rFonts w:ascii="Palatino Linotype" w:hAnsi="Palatino Linotype"/>
          <w:bCs/>
        </w:rPr>
        <w:t>titular</w:t>
      </w:r>
      <w:r>
        <w:rPr>
          <w:rFonts w:ascii="Palatino Linotype" w:hAnsi="Palatino Linotype" w:cs="Arial"/>
          <w:lang w:eastAsia="es-MX"/>
        </w:rPr>
        <w:t xml:space="preserve">, permitiendo identificar la edad de la persona y fecha de nacimiento, determinando </w:t>
      </w:r>
      <w:r>
        <w:rPr>
          <w:rFonts w:ascii="Palatino Linotype" w:hAnsi="Palatino Linotype" w:cs="Arial"/>
        </w:rPr>
        <w:t>la</w:t>
      </w:r>
      <w:r>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Pr>
          <w:rFonts w:ascii="Palatino Linotype" w:hAnsi="Palatino Linotype"/>
          <w:lang w:eastAsia="es-MX"/>
        </w:rPr>
        <w:t>Municipios</w:t>
      </w:r>
      <w:r>
        <w:rPr>
          <w:rFonts w:ascii="Palatino Linotype" w:hAnsi="Palatino Linotype" w:cs="Arial"/>
          <w:lang w:eastAsia="es-MX"/>
        </w:rPr>
        <w:t xml:space="preserve">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 xml:space="preserve">de </w:t>
      </w:r>
      <w:r>
        <w:rPr>
          <w:rFonts w:ascii="Palatino Linotype" w:hAnsi="Palatino Linotype" w:cs="Arial"/>
        </w:rPr>
        <w:lastRenderedPageBreak/>
        <w:t>la Ley de Protección de Datos Personales en Posesión de Sujetos Obligados del Estado de México y Municipios.</w:t>
      </w:r>
    </w:p>
    <w:p w:rsidR="001F4E7A" w:rsidRDefault="001F4E7A">
      <w:pPr>
        <w:spacing w:line="360" w:lineRule="auto"/>
        <w:jc w:val="both"/>
        <w:rPr>
          <w:rFonts w:ascii="Palatino Linotype" w:hAnsi="Palatino Linotype" w:cs="Arial"/>
          <w:lang w:eastAsia="es-MX"/>
        </w:rPr>
      </w:pPr>
    </w:p>
    <w:p w:rsidR="001F4E7A" w:rsidRDefault="0032792E">
      <w:pPr>
        <w:spacing w:line="360" w:lineRule="auto"/>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b/>
        </w:rPr>
        <w:t xml:space="preserve">Clave Única de Registro de Población, </w:t>
      </w:r>
      <w:r>
        <w:rPr>
          <w:rFonts w:ascii="Palatino Linotype" w:hAnsi="Palatino Linotype" w:cs="Arial"/>
          <w:lang w:eastAsia="es-MX"/>
        </w:rPr>
        <w:t xml:space="preserve">constituye un dato personal, ya que </w:t>
      </w:r>
      <w:r>
        <w:rPr>
          <w:rFonts w:ascii="Palatino Linotype" w:hAnsi="Palatino Linotype"/>
          <w:lang w:eastAsia="es-MX"/>
        </w:rPr>
        <w:t>tiene</w:t>
      </w:r>
      <w:r>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1F4E7A" w:rsidRDefault="001F4E7A">
      <w:pPr>
        <w:spacing w:line="360" w:lineRule="auto"/>
        <w:jc w:val="both"/>
        <w:rPr>
          <w:rFonts w:ascii="Palatino Linotype" w:hAnsi="Palatino Linotype" w:cs="Arial"/>
          <w:lang w:eastAsia="es-MX"/>
        </w:rPr>
      </w:pPr>
    </w:p>
    <w:p w:rsidR="001F4E7A" w:rsidRDefault="0032792E">
      <w:pPr>
        <w:spacing w:line="360" w:lineRule="auto"/>
        <w:jc w:val="both"/>
        <w:rPr>
          <w:rFonts w:ascii="Palatino Linotype" w:hAnsi="Palatino Linotype" w:cs="Arial"/>
          <w:lang w:eastAsia="es-MX"/>
        </w:rPr>
      </w:pPr>
      <w:r>
        <w:rPr>
          <w:rFonts w:ascii="Palatino Linotype" w:hAnsi="Palatino Linotype" w:cs="Arial"/>
          <w:lang w:eastAsia="es-MX"/>
        </w:rPr>
        <w:t xml:space="preserve">Lo </w:t>
      </w:r>
      <w:r>
        <w:rPr>
          <w:rFonts w:ascii="Palatino Linotype" w:hAnsi="Palatino Linotype"/>
          <w:lang w:eastAsia="es-MX"/>
        </w:rPr>
        <w:t>anterior</w:t>
      </w:r>
      <w:r>
        <w:rPr>
          <w:rFonts w:ascii="Palatino Linotype" w:hAnsi="Palatino Linotype" w:cs="Arial"/>
          <w:lang w:eastAsia="es-MX"/>
        </w:rPr>
        <w:t xml:space="preserve">, </w:t>
      </w:r>
      <w:r>
        <w:rPr>
          <w:rFonts w:ascii="Palatino Linotype" w:hAnsi="Palatino Linotype" w:cs="Arial"/>
        </w:rPr>
        <w:t>tiene</w:t>
      </w:r>
      <w:r>
        <w:rPr>
          <w:rFonts w:ascii="Palatino Linotype" w:hAnsi="Palatino Linotype" w:cs="Arial"/>
          <w:lang w:eastAsia="es-MX"/>
        </w:rPr>
        <w:t xml:space="preserve"> sustento en los artículos 86 y 91 de la Ley General de Población, la cual señala lo siguiente:</w:t>
      </w:r>
    </w:p>
    <w:p w:rsidR="001F4E7A" w:rsidRDefault="001F4E7A">
      <w:pPr>
        <w:spacing w:line="360" w:lineRule="auto"/>
        <w:jc w:val="both"/>
        <w:rPr>
          <w:rFonts w:ascii="Palatino Linotype" w:hAnsi="Palatino Linotype" w:cs="Arial"/>
          <w:lang w:eastAsia="es-MX"/>
        </w:rPr>
      </w:pPr>
    </w:p>
    <w:p w:rsidR="001F4E7A" w:rsidRDefault="0032792E">
      <w:pPr>
        <w:ind w:left="851" w:right="902"/>
        <w:jc w:val="both"/>
        <w:rPr>
          <w:rFonts w:ascii="Palatino Linotype" w:hAnsi="Palatino Linotype" w:cs="Arial"/>
          <w:i/>
          <w:sz w:val="22"/>
          <w:szCs w:val="22"/>
          <w:lang w:eastAsia="es-MX"/>
        </w:rPr>
      </w:pPr>
      <w:r>
        <w:rPr>
          <w:rFonts w:ascii="Palatino Linotype" w:hAnsi="Palatino Linotype" w:cs="Arial,Bold"/>
          <w:bCs/>
          <w:i/>
          <w:sz w:val="22"/>
          <w:szCs w:val="22"/>
          <w:lang w:eastAsia="es-MX"/>
        </w:rPr>
        <w:t>“</w:t>
      </w:r>
      <w:r>
        <w:rPr>
          <w:rFonts w:ascii="Palatino Linotype" w:hAnsi="Palatino Linotype" w:cs="Arial,Bold"/>
          <w:b/>
          <w:bCs/>
          <w:i/>
          <w:sz w:val="22"/>
          <w:szCs w:val="22"/>
          <w:lang w:eastAsia="es-MX"/>
        </w:rPr>
        <w:t xml:space="preserve">Artículo 86. </w:t>
      </w:r>
      <w:r>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1F4E7A" w:rsidRDefault="001F4E7A">
      <w:pPr>
        <w:ind w:left="851" w:right="902"/>
        <w:jc w:val="both"/>
        <w:rPr>
          <w:rFonts w:ascii="Palatino Linotype" w:hAnsi="Palatino Linotype" w:cs="Arial"/>
          <w:i/>
          <w:sz w:val="22"/>
          <w:szCs w:val="22"/>
          <w:lang w:eastAsia="es-MX"/>
        </w:rPr>
      </w:pPr>
    </w:p>
    <w:p w:rsidR="001F4E7A" w:rsidRDefault="0032792E">
      <w:pPr>
        <w:ind w:left="851" w:right="902"/>
        <w:jc w:val="both"/>
        <w:rPr>
          <w:rFonts w:ascii="Palatino Linotype" w:hAnsi="Palatino Linotype" w:cs="Arial"/>
          <w:i/>
          <w:sz w:val="22"/>
          <w:szCs w:val="22"/>
          <w:lang w:eastAsia="es-MX"/>
        </w:rPr>
      </w:pPr>
      <w:r>
        <w:rPr>
          <w:rFonts w:ascii="Palatino Linotype" w:hAnsi="Palatino Linotype" w:cs="Arial,Bold"/>
          <w:b/>
          <w:bCs/>
          <w:i/>
          <w:sz w:val="22"/>
          <w:szCs w:val="22"/>
          <w:lang w:eastAsia="es-MX"/>
        </w:rPr>
        <w:t xml:space="preserve">Artículo 91. </w:t>
      </w:r>
      <w:r>
        <w:rPr>
          <w:rFonts w:ascii="Palatino Linotype" w:hAnsi="Palatino Linotype" w:cs="Arial"/>
          <w:b/>
          <w:i/>
          <w:sz w:val="22"/>
          <w:szCs w:val="22"/>
          <w:lang w:eastAsia="es-MX"/>
        </w:rPr>
        <w:t>Al incorporar a una persona en el Registro Nacional de Población</w:t>
      </w:r>
      <w:r>
        <w:rPr>
          <w:rFonts w:ascii="Palatino Linotype" w:hAnsi="Palatino Linotype" w:cs="Arial"/>
          <w:i/>
          <w:sz w:val="22"/>
          <w:szCs w:val="22"/>
          <w:lang w:eastAsia="es-MX"/>
        </w:rPr>
        <w:t xml:space="preserve">, se le asignará una clave </w:t>
      </w:r>
      <w:r>
        <w:rPr>
          <w:rFonts w:ascii="Palatino Linotype" w:hAnsi="Palatino Linotype" w:cs="Arial"/>
          <w:b/>
          <w:i/>
          <w:sz w:val="22"/>
          <w:szCs w:val="22"/>
          <w:lang w:eastAsia="es-MX"/>
        </w:rPr>
        <w:t>que se denominará Clave Única de Registro de Población</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Esta servirá para</w:t>
      </w:r>
      <w:r>
        <w:rPr>
          <w:rFonts w:ascii="Palatino Linotype" w:hAnsi="Palatino Linotype" w:cs="Arial"/>
          <w:i/>
          <w:sz w:val="22"/>
          <w:szCs w:val="22"/>
          <w:lang w:eastAsia="es-MX"/>
        </w:rPr>
        <w:t xml:space="preserve"> registrarla e </w:t>
      </w:r>
      <w:r>
        <w:rPr>
          <w:rFonts w:ascii="Palatino Linotype" w:hAnsi="Palatino Linotype" w:cs="Arial"/>
          <w:b/>
          <w:i/>
          <w:sz w:val="22"/>
          <w:szCs w:val="22"/>
          <w:lang w:eastAsia="es-MX"/>
        </w:rPr>
        <w:t>identificarla en forma individual</w:t>
      </w:r>
      <w:r>
        <w:rPr>
          <w:rFonts w:ascii="Palatino Linotype" w:hAnsi="Palatino Linotype" w:cs="Arial"/>
          <w:i/>
          <w:sz w:val="22"/>
          <w:szCs w:val="22"/>
          <w:lang w:eastAsia="es-MX"/>
        </w:rPr>
        <w:t>.” (Sic)</w:t>
      </w:r>
    </w:p>
    <w:p w:rsidR="001F4E7A" w:rsidRDefault="001F4E7A">
      <w:pPr>
        <w:spacing w:line="360" w:lineRule="auto"/>
        <w:ind w:left="851" w:right="902"/>
        <w:jc w:val="both"/>
        <w:rPr>
          <w:rFonts w:ascii="Palatino Linotype" w:hAnsi="Palatino Linotype" w:cs="Arial"/>
          <w:i/>
          <w:sz w:val="22"/>
          <w:szCs w:val="22"/>
          <w:lang w:eastAsia="es-MX"/>
        </w:rPr>
      </w:pPr>
    </w:p>
    <w:p w:rsidR="001F4E7A" w:rsidRDefault="0032792E">
      <w:pPr>
        <w:spacing w:line="360" w:lineRule="auto"/>
        <w:ind w:left="851" w:right="902"/>
        <w:jc w:val="both"/>
        <w:rPr>
          <w:rFonts w:ascii="Palatino Linotype" w:hAnsi="Palatino Linotype" w:cs="Arial"/>
          <w:sz w:val="22"/>
          <w:szCs w:val="22"/>
        </w:rPr>
      </w:pPr>
      <w:r>
        <w:rPr>
          <w:rFonts w:ascii="Palatino Linotype" w:hAnsi="Palatino Linotype" w:cs="Arial"/>
          <w:sz w:val="22"/>
          <w:szCs w:val="22"/>
        </w:rPr>
        <w:t>(Énfasis añadido)</w:t>
      </w:r>
    </w:p>
    <w:p w:rsidR="001F4E7A" w:rsidRDefault="001F4E7A">
      <w:pPr>
        <w:spacing w:line="360" w:lineRule="auto"/>
        <w:ind w:left="851" w:right="902"/>
        <w:jc w:val="both"/>
        <w:rPr>
          <w:rFonts w:ascii="Palatino Linotype" w:hAnsi="Palatino Linotype" w:cs="Arial"/>
        </w:rPr>
      </w:pPr>
    </w:p>
    <w:p w:rsidR="001F4E7A" w:rsidRDefault="0032792E">
      <w:pPr>
        <w:spacing w:line="360" w:lineRule="auto"/>
        <w:jc w:val="both"/>
        <w:rPr>
          <w:rFonts w:ascii="Palatino Linotype" w:hAnsi="Palatino Linotype"/>
          <w:lang w:eastAsia="es-MX"/>
        </w:rPr>
      </w:pPr>
      <w:r>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Pr>
          <w:rFonts w:ascii="Palatino Linotype" w:hAnsi="Palatino Linotype"/>
          <w:bCs/>
        </w:rPr>
        <w:t>identidad</w:t>
      </w:r>
      <w:r>
        <w:rPr>
          <w:rFonts w:ascii="Palatino Linotype" w:hAnsi="Palatino Linotype"/>
          <w:lang w:eastAsia="es-MX"/>
        </w:rPr>
        <w:t xml:space="preserve"> (acta de nacimiento, carta de naturalización o documento migratorio), la </w:t>
      </w:r>
      <w:r>
        <w:rPr>
          <w:rFonts w:ascii="Palatino Linotype" w:hAnsi="Palatino Linotype" w:cs="Arial"/>
        </w:rPr>
        <w:t>cual</w:t>
      </w:r>
      <w:r>
        <w:rPr>
          <w:rFonts w:ascii="Palatino Linotype" w:hAnsi="Palatino Linotype"/>
          <w:lang w:eastAsia="es-MX"/>
        </w:rPr>
        <w:t xml:space="preserve"> se integra de</w:t>
      </w:r>
      <w:r>
        <w:rPr>
          <w:rFonts w:ascii="Palatino Linotype" w:hAnsi="Palatino Linotype" w:cs="Arial"/>
          <w:lang w:eastAsia="es-MX"/>
        </w:rPr>
        <w:t xml:space="preserve"> la primera letra del apellido paterno; seguida de la primera letra Vocal del primer apellido; seguida de la primera letra del </w:t>
      </w:r>
      <w:r>
        <w:rPr>
          <w:rFonts w:ascii="Palatino Linotype" w:hAnsi="Palatino Linotype" w:cs="Arial"/>
          <w:lang w:eastAsia="es-MX"/>
        </w:rPr>
        <w:lastRenderedPageBreak/>
        <w:t>segundo apellido y por último la primera letra del nombre; fecha de nacimiento año/mes/día</w:t>
      </w:r>
      <w:r>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1F4E7A" w:rsidRDefault="001F4E7A">
      <w:pPr>
        <w:spacing w:line="360" w:lineRule="auto"/>
        <w:jc w:val="both"/>
        <w:rPr>
          <w:rFonts w:ascii="Palatino Linotype" w:hAnsi="Palatino Linotype"/>
          <w:lang w:eastAsia="es-MX"/>
        </w:rPr>
      </w:pPr>
    </w:p>
    <w:p w:rsidR="001F4E7A" w:rsidRDefault="0032792E">
      <w:pPr>
        <w:spacing w:line="360" w:lineRule="auto"/>
        <w:jc w:val="both"/>
        <w:rPr>
          <w:rFonts w:ascii="Palatino Linotype" w:hAnsi="Palatino Linotype" w:cs="Arial"/>
          <w:lang w:eastAsia="es-MX"/>
        </w:rPr>
      </w:pPr>
      <w:r>
        <w:rPr>
          <w:rFonts w:ascii="Palatino Linotype" w:hAnsi="Palatino Linotype" w:cs="Arial"/>
          <w:lang w:eastAsia="es-MX"/>
        </w:rPr>
        <w:t xml:space="preserve">Al respecto, el </w:t>
      </w:r>
      <w:r>
        <w:rPr>
          <w:rFonts w:ascii="Palatino Linotype" w:eastAsia="Arial Unicode MS" w:hAnsi="Palatino Linotype" w:cs="Arial"/>
        </w:rPr>
        <w:t>Instituto Nacional de Transparencia, Acceso a la Información y Protección de Datos Personales (INAI),</w:t>
      </w:r>
      <w:r>
        <w:rPr>
          <w:rFonts w:ascii="Palatino Linotype" w:hAnsi="Palatino Linotype" w:cs="Arial"/>
          <w:lang w:eastAsia="es-MX"/>
        </w:rPr>
        <w:t xml:space="preserve"> a través del Criterio 18/17 de la Segunda Época, señala literalmente lo siguiente:</w:t>
      </w:r>
    </w:p>
    <w:p w:rsidR="001F4E7A" w:rsidRDefault="001F4E7A">
      <w:pPr>
        <w:spacing w:line="360" w:lineRule="auto"/>
        <w:jc w:val="both"/>
        <w:rPr>
          <w:rFonts w:ascii="Palatino Linotype" w:hAnsi="Palatino Linotype" w:cs="Arial"/>
          <w:lang w:eastAsia="es-MX"/>
        </w:rPr>
      </w:pPr>
    </w:p>
    <w:p w:rsidR="001F4E7A" w:rsidRDefault="0032792E">
      <w:pPr>
        <w:ind w:left="709" w:right="814"/>
        <w:jc w:val="both"/>
        <w:rPr>
          <w:rFonts w:ascii="Palatino Linotype" w:hAnsi="Palatino Linotype" w:cs="Arial"/>
          <w:i/>
          <w:sz w:val="22"/>
          <w:lang w:eastAsia="es-MX"/>
        </w:rPr>
      </w:pPr>
      <w:r>
        <w:rPr>
          <w:rFonts w:ascii="Palatino Linotype" w:hAnsi="Palatino Linotype" w:cs="Arial"/>
          <w:i/>
          <w:sz w:val="22"/>
          <w:lang w:eastAsia="es-MX"/>
        </w:rPr>
        <w:t>“</w:t>
      </w:r>
      <w:r>
        <w:rPr>
          <w:rFonts w:ascii="Palatino Linotype" w:hAnsi="Palatino Linotype" w:cs="Arial"/>
          <w:b/>
          <w:i/>
          <w:sz w:val="22"/>
          <w:lang w:eastAsia="es-MX"/>
        </w:rPr>
        <w:t>Clave Única de Registro de Población (CURP).</w:t>
      </w:r>
      <w:r>
        <w:rPr>
          <w:rFonts w:ascii="Palatino Linotype" w:hAnsi="Palatino Linotype" w:cs="Arial"/>
          <w:i/>
          <w:sz w:val="22"/>
          <w:lang w:eastAsia="es-MX"/>
        </w:rPr>
        <w:t xml:space="preserve"> </w:t>
      </w:r>
      <w:r>
        <w:rPr>
          <w:rFonts w:ascii="Palatino Linotype" w:hAnsi="Palatino Linotype" w:cs="Arial"/>
          <w:b/>
          <w:i/>
          <w:sz w:val="22"/>
          <w:lang w:eastAsia="es-MX"/>
        </w:rPr>
        <w:t>La Clave Única de Registro de Población se integra por datos personales que sólo conciernen al particular titular</w:t>
      </w:r>
      <w:r>
        <w:rPr>
          <w:rFonts w:ascii="Palatino Linotype" w:hAnsi="Palatino Linotype" w:cs="Arial"/>
          <w:i/>
          <w:sz w:val="22"/>
          <w:lang w:eastAsia="es-MX"/>
        </w:rPr>
        <w:t xml:space="preserve"> de la misma, </w:t>
      </w:r>
      <w:r>
        <w:rPr>
          <w:rFonts w:ascii="Palatino Linotype" w:hAnsi="Palatino Linotype" w:cs="Arial"/>
          <w:b/>
          <w:i/>
          <w:sz w:val="22"/>
          <w:lang w:eastAsia="es-MX"/>
        </w:rPr>
        <w:t>como lo son su nombre, apellidos, fecha de nacimiento, lugar de nacimiento y sexo</w:t>
      </w:r>
      <w:r>
        <w:rPr>
          <w:rFonts w:ascii="Palatino Linotype" w:hAnsi="Palatino Linotype" w:cs="Arial"/>
          <w:i/>
          <w:sz w:val="22"/>
          <w:lang w:eastAsia="es-MX"/>
        </w:rPr>
        <w:t xml:space="preserve">. Dichos datos, constituyen información que distingue plenamente a una persona física del resto de los habitantes del país, </w:t>
      </w:r>
      <w:r>
        <w:rPr>
          <w:rFonts w:ascii="Palatino Linotype" w:hAnsi="Palatino Linotype" w:cs="Arial"/>
          <w:b/>
          <w:i/>
          <w:sz w:val="22"/>
          <w:lang w:eastAsia="es-MX"/>
        </w:rPr>
        <w:t>por lo que la CURP está considerada como información confidencial</w:t>
      </w:r>
      <w:r>
        <w:rPr>
          <w:rFonts w:ascii="Palatino Linotype" w:hAnsi="Palatino Linotype" w:cs="Arial"/>
          <w:i/>
          <w:sz w:val="22"/>
          <w:lang w:eastAsia="es-MX"/>
        </w:rPr>
        <w:t xml:space="preserve">. </w:t>
      </w:r>
    </w:p>
    <w:p w:rsidR="001F4E7A" w:rsidRDefault="001F4E7A">
      <w:pPr>
        <w:ind w:left="709" w:right="814"/>
        <w:jc w:val="both"/>
        <w:rPr>
          <w:rFonts w:ascii="Palatino Linotype" w:hAnsi="Palatino Linotype" w:cs="Arial"/>
          <w:i/>
          <w:sz w:val="22"/>
          <w:lang w:eastAsia="es-MX"/>
        </w:rPr>
      </w:pPr>
    </w:p>
    <w:p w:rsidR="001F4E7A" w:rsidRDefault="0032792E">
      <w:pPr>
        <w:ind w:left="709" w:right="814"/>
        <w:jc w:val="both"/>
        <w:rPr>
          <w:rFonts w:ascii="Palatino Linotype" w:hAnsi="Palatino Linotype" w:cs="Arial"/>
          <w:bCs/>
          <w:i/>
          <w:sz w:val="22"/>
          <w:lang w:eastAsia="es-MX"/>
        </w:rPr>
      </w:pPr>
      <w:r>
        <w:rPr>
          <w:rFonts w:ascii="Palatino Linotype" w:hAnsi="Palatino Linotype" w:cs="Arial"/>
          <w:bCs/>
          <w:i/>
          <w:sz w:val="22"/>
          <w:lang w:eastAsia="es-MX"/>
        </w:rPr>
        <w:t>Resoluciones:</w:t>
      </w:r>
    </w:p>
    <w:p w:rsidR="001F4E7A" w:rsidRDefault="0032792E">
      <w:pPr>
        <w:ind w:left="709" w:right="814"/>
        <w:jc w:val="both"/>
        <w:rPr>
          <w:rFonts w:ascii="Palatino Linotype" w:hAnsi="Palatino Linotype" w:cs="Arial"/>
          <w:bCs/>
          <w:i/>
          <w:sz w:val="22"/>
          <w:lang w:eastAsia="es-MX"/>
        </w:rPr>
      </w:pPr>
      <w:r>
        <w:rPr>
          <w:rFonts w:ascii="Palatino Linotype" w:hAnsi="Palatino Linotype" w:cs="Arial"/>
          <w:bCs/>
          <w:i/>
          <w:sz w:val="22"/>
          <w:lang w:eastAsia="es-MX"/>
        </w:rPr>
        <w:t>• RRA 3995/16. Secretaría de la Defensa Nacional. 1 de febrero de 2017. Por unanimidad. Comisionado Ponente Rosendoevgueni Monterrey Chepov.</w:t>
      </w:r>
    </w:p>
    <w:p w:rsidR="001F4E7A" w:rsidRDefault="0032792E">
      <w:pPr>
        <w:ind w:left="709" w:right="814"/>
        <w:jc w:val="both"/>
        <w:rPr>
          <w:rFonts w:ascii="Palatino Linotype" w:hAnsi="Palatino Linotype" w:cs="Arial"/>
          <w:bCs/>
          <w:i/>
          <w:sz w:val="22"/>
          <w:lang w:eastAsia="es-MX"/>
        </w:rPr>
      </w:pPr>
      <w:r>
        <w:rPr>
          <w:rFonts w:ascii="Palatino Linotype" w:hAnsi="Palatino Linotype" w:cs="Arial"/>
          <w:bCs/>
          <w:i/>
          <w:sz w:val="22"/>
          <w:lang w:eastAsia="es-MX"/>
        </w:rPr>
        <w:t xml:space="preserve">• RRA 0937/17. Senado de la República. 15 de marzo de 2017. Por unanimidad. Comisionada Ponente </w:t>
      </w:r>
      <w:r>
        <w:rPr>
          <w:rFonts w:ascii="Palatino Linotype" w:hAnsi="Palatino Linotype" w:cs="Arial"/>
          <w:i/>
          <w:sz w:val="22"/>
          <w:lang w:eastAsia="es-MX"/>
        </w:rPr>
        <w:t>Ximena</w:t>
      </w:r>
      <w:r>
        <w:rPr>
          <w:rFonts w:ascii="Palatino Linotype" w:hAnsi="Palatino Linotype" w:cs="Arial"/>
          <w:bCs/>
          <w:i/>
          <w:sz w:val="22"/>
          <w:lang w:eastAsia="es-MX"/>
        </w:rPr>
        <w:t xml:space="preserve"> Puente de la Mora. </w:t>
      </w:r>
    </w:p>
    <w:p w:rsidR="001F4E7A" w:rsidRDefault="0032792E">
      <w:pPr>
        <w:ind w:left="709" w:right="814"/>
        <w:jc w:val="both"/>
        <w:rPr>
          <w:rFonts w:ascii="Palatino Linotype" w:hAnsi="Palatino Linotype" w:cs="Arial"/>
          <w:i/>
          <w:sz w:val="22"/>
          <w:lang w:eastAsia="es-MX"/>
        </w:rPr>
      </w:pPr>
      <w:r>
        <w:rPr>
          <w:rFonts w:ascii="Palatino Linotype" w:hAnsi="Palatino Linotype" w:cs="Arial"/>
          <w:bCs/>
          <w:i/>
          <w:sz w:val="22"/>
          <w:lang w:eastAsia="es-MX"/>
        </w:rPr>
        <w:t xml:space="preserve">• RRA 0478/17. Secretaría de Relaciones Exteriores. 26 de abril de 2017. Por unanimidad. </w:t>
      </w:r>
      <w:r>
        <w:rPr>
          <w:rFonts w:ascii="Palatino Linotype" w:hAnsi="Palatino Linotype" w:cs="Arial"/>
          <w:i/>
          <w:sz w:val="22"/>
          <w:lang w:eastAsia="es-MX"/>
        </w:rPr>
        <w:t>Comisionada</w:t>
      </w:r>
      <w:r>
        <w:rPr>
          <w:rFonts w:ascii="Palatino Linotype" w:hAnsi="Palatino Linotype" w:cs="Arial"/>
          <w:bCs/>
          <w:i/>
          <w:sz w:val="22"/>
          <w:lang w:eastAsia="es-MX"/>
        </w:rPr>
        <w:t xml:space="preserve"> Ponente Areli Cano Guadiana.</w:t>
      </w:r>
      <w:r>
        <w:rPr>
          <w:rFonts w:ascii="Palatino Linotype" w:hAnsi="Palatino Linotype" w:cs="Arial"/>
          <w:i/>
          <w:sz w:val="22"/>
          <w:lang w:eastAsia="es-MX"/>
        </w:rPr>
        <w:t xml:space="preserve">” </w:t>
      </w:r>
      <w:r>
        <w:rPr>
          <w:rFonts w:ascii="Palatino Linotype" w:hAnsi="Palatino Linotype" w:cs="Arial"/>
          <w:i/>
          <w:sz w:val="22"/>
        </w:rPr>
        <w:t>(Sic)</w:t>
      </w:r>
    </w:p>
    <w:p w:rsidR="001F4E7A" w:rsidRDefault="001F4E7A">
      <w:pPr>
        <w:ind w:left="709" w:right="814"/>
        <w:jc w:val="both"/>
        <w:rPr>
          <w:rFonts w:ascii="Palatino Linotype" w:hAnsi="Palatino Linotype" w:cs="Arial"/>
          <w:sz w:val="22"/>
        </w:rPr>
      </w:pPr>
    </w:p>
    <w:p w:rsidR="001F4E7A" w:rsidRDefault="0032792E">
      <w:pPr>
        <w:ind w:left="709" w:right="814"/>
        <w:jc w:val="both"/>
        <w:rPr>
          <w:rFonts w:ascii="Palatino Linotype" w:hAnsi="Palatino Linotype" w:cs="Arial"/>
          <w:sz w:val="22"/>
        </w:rPr>
      </w:pPr>
      <w:r>
        <w:rPr>
          <w:rFonts w:ascii="Palatino Linotype" w:hAnsi="Palatino Linotype" w:cs="Arial"/>
          <w:sz w:val="22"/>
        </w:rPr>
        <w:t>(Énfasis añadido)</w:t>
      </w:r>
    </w:p>
    <w:p w:rsidR="001F4E7A" w:rsidRDefault="001F4E7A">
      <w:pPr>
        <w:spacing w:line="360" w:lineRule="auto"/>
        <w:ind w:left="709" w:right="814"/>
        <w:jc w:val="both"/>
        <w:rPr>
          <w:rFonts w:ascii="Palatino Linotype" w:hAnsi="Palatino Linotype" w:cs="Arial"/>
          <w:sz w:val="22"/>
        </w:rPr>
      </w:pPr>
    </w:p>
    <w:p w:rsidR="001F4E7A" w:rsidRDefault="0032792E">
      <w:pPr>
        <w:spacing w:line="360" w:lineRule="auto"/>
        <w:jc w:val="both"/>
        <w:rPr>
          <w:rFonts w:ascii="Palatino Linotype" w:hAnsi="Palatino Linotype" w:cs="Arial"/>
          <w:lang w:eastAsia="es-MX"/>
        </w:rPr>
      </w:pPr>
      <w:r>
        <w:rPr>
          <w:rFonts w:ascii="Palatino Linotype" w:hAnsi="Palatino Linotype" w:cs="Arial"/>
          <w:lang w:eastAsia="es-MX"/>
        </w:rPr>
        <w:t xml:space="preserve">De lo anterior, se desprende que la </w:t>
      </w:r>
      <w:r>
        <w:rPr>
          <w:rFonts w:ascii="Palatino Linotype" w:hAnsi="Palatino Linotype"/>
          <w:lang w:eastAsia="es-MX"/>
        </w:rPr>
        <w:t xml:space="preserve">Clave Única de Registro de Población, </w:t>
      </w:r>
      <w:r>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Pr>
          <w:rFonts w:ascii="Palatino Linotype" w:hAnsi="Palatino Linotype"/>
          <w:bCs/>
        </w:rPr>
        <w:t>personal</w:t>
      </w:r>
      <w:r>
        <w:rPr>
          <w:rFonts w:ascii="Palatino Linotype" w:hAnsi="Palatino Linotype" w:cs="Arial"/>
          <w:lang w:eastAsia="es-MX"/>
        </w:rPr>
        <w:t xml:space="preserve"> que concierne a una persona física identificada e </w:t>
      </w:r>
      <w:r>
        <w:rPr>
          <w:rFonts w:ascii="Palatino Linotype" w:hAnsi="Palatino Linotype" w:cs="Arial"/>
          <w:lang w:eastAsia="es-MX"/>
        </w:rPr>
        <w:lastRenderedPageBreak/>
        <w:t xml:space="preserve">identificable en términos de los artículos 2, fracción II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1F4E7A" w:rsidRDefault="001F4E7A">
      <w:pPr>
        <w:spacing w:line="360" w:lineRule="auto"/>
        <w:jc w:val="both"/>
        <w:rPr>
          <w:rFonts w:ascii="Palatino Linotype" w:hAnsi="Palatino Linotype" w:cs="Arial"/>
          <w:lang w:eastAsia="es-MX"/>
        </w:rPr>
      </w:pPr>
    </w:p>
    <w:p w:rsidR="001F4E7A" w:rsidRDefault="0032792E">
      <w:pPr>
        <w:spacing w:line="360" w:lineRule="auto"/>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b/>
        </w:rPr>
        <w:t>Clave de cualquier tipo de seguridad social</w:t>
      </w:r>
      <w:r>
        <w:rPr>
          <w:rFonts w:ascii="Palatino Linotype" w:hAnsi="Palatino Linotype" w:cs="Arial"/>
        </w:rPr>
        <w:t xml:space="preserve"> (ISSEMYM, u otros), está integrado por una </w:t>
      </w:r>
      <w:r>
        <w:rPr>
          <w:rFonts w:ascii="Palatino Linotype" w:hAnsi="Palatino Linotype" w:cs="Arial"/>
          <w:bCs/>
          <w:lang w:eastAsia="es-MX"/>
        </w:rPr>
        <w:t xml:space="preserve">secuencia de números con los que se identifica a los trabajadores que </w:t>
      </w:r>
      <w:r>
        <w:rPr>
          <w:rFonts w:ascii="Palatino Linotype" w:hAnsi="Palatino Linotype"/>
          <w:lang w:eastAsia="es-MX"/>
        </w:rPr>
        <w:t>cubren</w:t>
      </w:r>
      <w:r>
        <w:rPr>
          <w:rFonts w:ascii="Palatino Linotype" w:hAnsi="Palatino Linotype" w:cs="Arial"/>
          <w:bCs/>
          <w:lang w:eastAsia="es-MX"/>
        </w:rPr>
        <w:t xml:space="preserve"> las cuotas respectivas, asimismo, lo identifica con la fuente de trabajo; por lo que al ser una clave de </w:t>
      </w:r>
      <w:r>
        <w:rPr>
          <w:rFonts w:ascii="Palatino Linotype" w:hAnsi="Palatino Linotype" w:cs="Arial"/>
        </w:rPr>
        <w:t>identificación</w:t>
      </w:r>
      <w:r>
        <w:rPr>
          <w:rFonts w:ascii="Palatino Linotype" w:hAnsi="Palatino Linotype" w:cs="Arial"/>
          <w:bCs/>
          <w:lang w:eastAsia="es-MX"/>
        </w:rPr>
        <w:t xml:space="preserve"> de los trabajadores, constituye información confidencial, </w:t>
      </w:r>
      <w:r>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1F4E7A" w:rsidRDefault="001F4E7A">
      <w:pPr>
        <w:spacing w:line="360" w:lineRule="auto"/>
        <w:jc w:val="both"/>
        <w:rPr>
          <w:rFonts w:ascii="Palatino Linotype" w:hAnsi="Palatino Linotype" w:cs="Arial"/>
          <w:lang w:eastAsia="es-MX"/>
        </w:rPr>
      </w:pPr>
    </w:p>
    <w:p w:rsidR="001F4E7A" w:rsidRDefault="0032792E">
      <w:pPr>
        <w:spacing w:line="360" w:lineRule="auto"/>
        <w:jc w:val="both"/>
        <w:rPr>
          <w:rFonts w:ascii="Palatino Linotype" w:hAnsi="Palatino Linotype" w:cs="Arial"/>
          <w:lang w:val="es-ES_tradnl"/>
        </w:rPr>
      </w:pPr>
      <w:r>
        <w:rPr>
          <w:rFonts w:ascii="Palatino Linotype" w:hAnsi="Palatino Linotype" w:cs="Arial"/>
          <w:lang w:val="es-ES_tradnl"/>
        </w:rPr>
        <w:t xml:space="preserve">Por </w:t>
      </w:r>
      <w:r>
        <w:rPr>
          <w:rFonts w:ascii="Palatino Linotype" w:hAnsi="Palatino Linotype" w:cs="Arial"/>
          <w:lang w:eastAsia="es-MX"/>
        </w:rPr>
        <w:t>ende</w:t>
      </w:r>
      <w:r>
        <w:rPr>
          <w:rFonts w:ascii="Palatino Linotype" w:hAnsi="Palatino Linotype" w:cs="Arial"/>
          <w:lang w:val="es-ES_tradnl"/>
        </w:rPr>
        <w:t xml:space="preserve">, </w:t>
      </w:r>
      <w:r>
        <w:rPr>
          <w:rFonts w:ascii="Palatino Linotype" w:hAnsi="Palatino Linotype" w:cs="Arial"/>
          <w:b/>
          <w:lang w:val="es-ES_tradnl"/>
        </w:rPr>
        <w:t>EL SUJETO OBLIGADO</w:t>
      </w:r>
      <w:r>
        <w:rPr>
          <w:rFonts w:ascii="Palatino Linotype" w:hAnsi="Palatino Linotype" w:cs="Arial"/>
          <w:lang w:val="es-ES_tradnl"/>
        </w:rPr>
        <w:t xml:space="preserve"> debe testar los datos confidenciales, sin pasar por alto que la clasificación respectiva tiene </w:t>
      </w:r>
      <w:r>
        <w:rPr>
          <w:rFonts w:ascii="Palatino Linotype" w:hAnsi="Palatino Linotype" w:cs="Arial"/>
        </w:rPr>
        <w:t>que</w:t>
      </w:r>
      <w:r>
        <w:rPr>
          <w:rFonts w:ascii="Palatino Linotype" w:hAnsi="Palatino Linotype" w:cs="Arial"/>
          <w:lang w:val="es-ES_tradnl"/>
        </w:rPr>
        <w:t xml:space="preserve"> cumplirse a través de la forma y formalidades que la Ley impone; </w:t>
      </w:r>
      <w:r>
        <w:rPr>
          <w:rFonts w:ascii="Palatino Linotype" w:hAnsi="Palatino Linotype" w:cs="Arial"/>
        </w:rPr>
        <w:t>es</w:t>
      </w:r>
      <w:r>
        <w:rPr>
          <w:rFonts w:ascii="Palatino Linotype" w:hAnsi="Palatino Linotype" w:cs="Arial"/>
          <w:lang w:val="es-ES_tradnl"/>
        </w:rPr>
        <w:t xml:space="preserve"> decir, mediante Acuerdo debidamente fundado y motivado, en </w:t>
      </w:r>
      <w:r>
        <w:rPr>
          <w:rFonts w:ascii="Palatino Linotype" w:hAnsi="Palatino Linotype" w:cs="Arial"/>
          <w:lang w:eastAsia="es-MX"/>
        </w:rPr>
        <w:t>términos</w:t>
      </w:r>
      <w:r>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Pr>
          <w:rFonts w:ascii="Palatino Linotype" w:hAnsi="Palatino Linotype" w:cs="Arial"/>
          <w:lang w:val="es-ES_tradnl"/>
        </w:rPr>
        <w:lastRenderedPageBreak/>
        <w:t xml:space="preserve">de la Información, así como para la elaboración de Versiones Públicas, antes insertos y que se tiene por reproducidos. </w:t>
      </w:r>
    </w:p>
    <w:p w:rsidR="001F4E7A" w:rsidRDefault="001F4E7A">
      <w:pPr>
        <w:spacing w:line="360" w:lineRule="auto"/>
        <w:jc w:val="both"/>
        <w:rPr>
          <w:rFonts w:ascii="Palatino Linotype" w:hAnsi="Palatino Linotype" w:cs="Arial"/>
          <w:lang w:eastAsia="es-MX"/>
        </w:rPr>
      </w:pPr>
    </w:p>
    <w:p w:rsidR="001F4E7A" w:rsidRDefault="0032792E">
      <w:pPr>
        <w:widowControl w:val="0"/>
        <w:spacing w:line="360" w:lineRule="auto"/>
        <w:jc w:val="both"/>
        <w:rPr>
          <w:rFonts w:ascii="Palatino Linotype" w:eastAsia="Calibri" w:hAnsi="Palatino Linotype" w:cs="Arial"/>
        </w:rPr>
      </w:pPr>
      <w:r>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Pr>
          <w:rFonts w:ascii="Palatino Linotype" w:eastAsia="Calibri" w:hAnsi="Palatino Linotype" w:cs="Arial"/>
          <w:b/>
        </w:rPr>
        <w:t>MODIFICAR</w:t>
      </w:r>
      <w:r>
        <w:rPr>
          <w:rFonts w:ascii="Palatino Linotype" w:eastAsia="Calibri" w:hAnsi="Palatino Linotype" w:cs="Arial"/>
        </w:rPr>
        <w:t xml:space="preserve"> la respuesta del </w:t>
      </w:r>
      <w:r>
        <w:rPr>
          <w:rFonts w:ascii="Palatino Linotype" w:eastAsia="Calibri" w:hAnsi="Palatino Linotype" w:cs="Arial"/>
          <w:b/>
        </w:rPr>
        <w:t>SUJETO OBLIGADO</w:t>
      </w:r>
      <w:r>
        <w:rPr>
          <w:rFonts w:ascii="Palatino Linotype" w:eastAsia="Calibri" w:hAnsi="Palatino Linotype" w:cs="Arial"/>
        </w:rPr>
        <w:t xml:space="preserve"> y ordenar la entrega de la información en los términos descritos en el cuerpo de la resolución del recurso de revisión que nos ocupa.</w:t>
      </w:r>
    </w:p>
    <w:p w:rsidR="001F4E7A" w:rsidRDefault="001F4E7A">
      <w:pPr>
        <w:widowControl w:val="0"/>
        <w:spacing w:line="360" w:lineRule="auto"/>
        <w:jc w:val="both"/>
        <w:rPr>
          <w:rFonts w:ascii="Palatino Linotype" w:eastAsia="Calibri" w:hAnsi="Palatino Linotype" w:cs="Arial"/>
        </w:rPr>
      </w:pPr>
    </w:p>
    <w:p w:rsidR="001F4E7A" w:rsidRDefault="0032792E">
      <w:pPr>
        <w:spacing w:line="360" w:lineRule="auto"/>
        <w:jc w:val="both"/>
        <w:rPr>
          <w:rFonts w:ascii="Palatino Linotype" w:eastAsia="Calibri" w:hAnsi="Palatino Linotype" w:cs="Arial"/>
        </w:rPr>
      </w:pPr>
      <w:r>
        <w:rPr>
          <w:rFonts w:ascii="Palatino Linotype" w:eastAsia="Calibri" w:hAnsi="Palatino Linotype" w:cs="Arial"/>
        </w:rPr>
        <w:t>Así, con fundamento en lo prescrito en los artículos 5, párrafos vigésimo segundo, vigésimo tercero y vigésimo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rsidR="001F4E7A" w:rsidRDefault="001F4E7A">
      <w:pPr>
        <w:spacing w:line="360" w:lineRule="auto"/>
        <w:jc w:val="center"/>
        <w:rPr>
          <w:rFonts w:ascii="Palatino Linotype" w:eastAsia="Calibri" w:hAnsi="Palatino Linotype" w:cs="Arial"/>
          <w:b/>
          <w:sz w:val="28"/>
        </w:rPr>
      </w:pPr>
    </w:p>
    <w:p w:rsidR="001F4E7A" w:rsidRPr="002B745C" w:rsidRDefault="0032792E">
      <w:pPr>
        <w:spacing w:line="360" w:lineRule="auto"/>
        <w:jc w:val="center"/>
        <w:rPr>
          <w:rFonts w:ascii="Palatino Linotype" w:eastAsia="Calibri" w:hAnsi="Palatino Linotype" w:cs="Arial"/>
          <w:b/>
          <w:sz w:val="28"/>
          <w:lang w:val="pt-BR"/>
        </w:rPr>
      </w:pPr>
      <w:r w:rsidRPr="002B745C">
        <w:rPr>
          <w:rFonts w:ascii="Palatino Linotype" w:eastAsia="Calibri" w:hAnsi="Palatino Linotype" w:cs="Arial"/>
          <w:b/>
          <w:sz w:val="28"/>
          <w:lang w:val="pt-BR"/>
        </w:rPr>
        <w:t>R E S U E L V E</w:t>
      </w:r>
    </w:p>
    <w:p w:rsidR="001F4E7A" w:rsidRPr="002B745C" w:rsidRDefault="001F4E7A">
      <w:pPr>
        <w:spacing w:line="360" w:lineRule="auto"/>
        <w:jc w:val="center"/>
        <w:rPr>
          <w:rFonts w:ascii="Palatino Linotype" w:eastAsia="Calibri" w:hAnsi="Palatino Linotype" w:cs="Arial"/>
          <w:b/>
          <w:sz w:val="28"/>
          <w:lang w:val="pt-BR"/>
        </w:rPr>
      </w:pPr>
    </w:p>
    <w:p w:rsidR="001F4E7A" w:rsidRDefault="0032792E">
      <w:pPr>
        <w:spacing w:line="360" w:lineRule="auto"/>
        <w:jc w:val="both"/>
        <w:rPr>
          <w:rFonts w:ascii="Palatino Linotype" w:eastAsia="Calibri" w:hAnsi="Palatino Linotype" w:cs="Arial"/>
        </w:rPr>
      </w:pPr>
      <w:r w:rsidRPr="002B745C">
        <w:rPr>
          <w:rFonts w:ascii="Palatino Linotype" w:eastAsia="Calibri" w:hAnsi="Palatino Linotype" w:cs="Arial"/>
          <w:b/>
          <w:sz w:val="28"/>
          <w:lang w:val="pt-BR"/>
        </w:rPr>
        <w:t>PRIMERO</w:t>
      </w:r>
      <w:r w:rsidRPr="002B745C">
        <w:rPr>
          <w:rFonts w:ascii="Palatino Linotype" w:eastAsia="Calibri" w:hAnsi="Palatino Linotype" w:cs="Arial"/>
          <w:lang w:val="pt-BR"/>
        </w:rPr>
        <w:t xml:space="preserve">. </w:t>
      </w:r>
      <w:r>
        <w:rPr>
          <w:rFonts w:ascii="Palatino Linotype" w:eastAsia="Calibri" w:hAnsi="Palatino Linotype" w:cs="Arial"/>
        </w:rPr>
        <w:t xml:space="preserve">Resultan </w:t>
      </w:r>
      <w:r>
        <w:rPr>
          <w:rFonts w:ascii="Palatino Linotype" w:eastAsia="Calibri" w:hAnsi="Palatino Linotype" w:cs="Arial"/>
          <w:b/>
        </w:rPr>
        <w:t>parcialmente fundadas</w:t>
      </w:r>
      <w:r>
        <w:rPr>
          <w:rFonts w:ascii="Palatino Linotype" w:eastAsia="Calibri" w:hAnsi="Palatino Linotype" w:cs="Arial"/>
        </w:rPr>
        <w:t xml:space="preserve"> las razones o motivos de inconformidad planteadas por </w:t>
      </w:r>
      <w:r>
        <w:rPr>
          <w:rFonts w:ascii="Palatino Linotype" w:eastAsia="Calibri" w:hAnsi="Palatino Linotype" w:cs="Arial"/>
          <w:b/>
        </w:rPr>
        <w:t>EL RECURRENTE</w:t>
      </w:r>
      <w:r>
        <w:rPr>
          <w:rFonts w:ascii="Palatino Linotype" w:eastAsia="Calibri" w:hAnsi="Palatino Linotype" w:cs="Arial"/>
        </w:rPr>
        <w:t xml:space="preserve">,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w:t>
      </w:r>
    </w:p>
    <w:p w:rsidR="001F4E7A" w:rsidRDefault="001F4E7A">
      <w:pPr>
        <w:spacing w:line="360" w:lineRule="auto"/>
        <w:jc w:val="both"/>
        <w:rPr>
          <w:rFonts w:ascii="Palatino Linotype" w:eastAsia="Calibri" w:hAnsi="Palatino Linotype" w:cs="Arial"/>
        </w:rPr>
      </w:pPr>
    </w:p>
    <w:p w:rsidR="001F4E7A" w:rsidRDefault="0032792E">
      <w:pPr>
        <w:spacing w:line="360" w:lineRule="auto"/>
        <w:jc w:val="both"/>
        <w:rPr>
          <w:rFonts w:ascii="Palatino Linotype" w:eastAsia="Calibri" w:hAnsi="Palatino Linotype" w:cs="Arial"/>
        </w:rPr>
      </w:pPr>
      <w:r>
        <w:rPr>
          <w:rFonts w:ascii="Palatino Linotype" w:eastAsia="Calibri" w:hAnsi="Palatino Linotype" w:cs="Arial"/>
          <w:b/>
          <w:sz w:val="28"/>
        </w:rPr>
        <w:t>SEGUNDO</w:t>
      </w:r>
      <w:r>
        <w:rPr>
          <w:rFonts w:ascii="Palatino Linotype" w:eastAsia="Calibri" w:hAnsi="Palatino Linotype" w:cs="Arial"/>
        </w:rPr>
        <w:t xml:space="preserve">. Se </w:t>
      </w:r>
      <w:r>
        <w:rPr>
          <w:rFonts w:ascii="Palatino Linotype" w:eastAsia="Calibri" w:hAnsi="Palatino Linotype" w:cs="Arial"/>
          <w:b/>
        </w:rPr>
        <w:t>MODIFICA</w:t>
      </w:r>
      <w:r>
        <w:rPr>
          <w:rFonts w:ascii="Palatino Linotype" w:eastAsia="Calibri" w:hAnsi="Palatino Linotype" w:cs="Arial"/>
        </w:rPr>
        <w:t xml:space="preserve"> la respuesta otorgada por </w:t>
      </w:r>
      <w:r>
        <w:rPr>
          <w:rFonts w:ascii="Palatino Linotype" w:eastAsia="Calibri" w:hAnsi="Palatino Linotype" w:cs="Arial"/>
          <w:b/>
        </w:rPr>
        <w:t>EL SUJETO OBLIGADO</w:t>
      </w:r>
      <w:r>
        <w:rPr>
          <w:rFonts w:ascii="Palatino Linotype" w:eastAsia="Calibri" w:hAnsi="Palatino Linotype" w:cs="Arial"/>
        </w:rPr>
        <w:t xml:space="preserve"> a la solicitud de información </w:t>
      </w:r>
      <w:r>
        <w:rPr>
          <w:rFonts w:ascii="Palatino Linotype" w:eastAsia="Calibri" w:hAnsi="Palatino Linotype" w:cs="Arial"/>
          <w:b/>
          <w:bCs/>
        </w:rPr>
        <w:t xml:space="preserve">00051/SSEM/IP/2020 </w:t>
      </w:r>
      <w:r>
        <w:rPr>
          <w:rFonts w:ascii="Palatino Linotype" w:eastAsia="Calibri" w:hAnsi="Palatino Linotype" w:cs="Arial"/>
        </w:rPr>
        <w:t xml:space="preserve">y se le ordena en términos del </w:t>
      </w:r>
      <w:r>
        <w:rPr>
          <w:rFonts w:ascii="Palatino Linotype" w:eastAsia="Calibri" w:hAnsi="Palatino Linotype" w:cs="Arial"/>
        </w:rPr>
        <w:lastRenderedPageBreak/>
        <w:t xml:space="preserve">Considerando </w:t>
      </w:r>
      <w:r>
        <w:rPr>
          <w:rFonts w:ascii="Palatino Linotype" w:eastAsia="Calibri" w:hAnsi="Palatino Linotype" w:cs="Arial"/>
          <w:b/>
        </w:rPr>
        <w:t>QUINTO</w:t>
      </w:r>
      <w:r>
        <w:rPr>
          <w:rFonts w:ascii="Palatino Linotype" w:eastAsia="Calibri" w:hAnsi="Palatino Linotype" w:cs="Arial"/>
        </w:rPr>
        <w:t xml:space="preserve"> de la presente resolución, entregue al</w:t>
      </w:r>
      <w:r>
        <w:rPr>
          <w:rFonts w:ascii="Palatino Linotype" w:eastAsia="Calibri" w:hAnsi="Palatino Linotype" w:cs="Arial"/>
          <w:b/>
        </w:rPr>
        <w:t xml:space="preserve"> RECURRENTE</w:t>
      </w:r>
      <w:r>
        <w:rPr>
          <w:rFonts w:ascii="Palatino Linotype" w:eastAsia="Calibri" w:hAnsi="Palatino Linotype" w:cs="Arial"/>
        </w:rPr>
        <w:t xml:space="preserve"> vía </w:t>
      </w:r>
      <w:r>
        <w:rPr>
          <w:rFonts w:ascii="Palatino Linotype" w:eastAsia="Calibri" w:hAnsi="Palatino Linotype" w:cs="Arial"/>
          <w:b/>
        </w:rPr>
        <w:t>SAIMEX</w:t>
      </w:r>
      <w:r>
        <w:rPr>
          <w:rFonts w:ascii="Palatino Linotype" w:eastAsia="Calibri" w:hAnsi="Palatino Linotype" w:cs="Arial"/>
        </w:rPr>
        <w:t xml:space="preserve">, en </w:t>
      </w:r>
      <w:r>
        <w:rPr>
          <w:rFonts w:ascii="Palatino Linotype" w:eastAsia="Calibri" w:hAnsi="Palatino Linotype" w:cs="Arial"/>
          <w:b/>
        </w:rPr>
        <w:t xml:space="preserve">versión pública, </w:t>
      </w:r>
      <w:r>
        <w:rPr>
          <w:rFonts w:ascii="Palatino Linotype" w:eastAsia="Calibri" w:hAnsi="Palatino Linotype" w:cs="Arial"/>
        </w:rPr>
        <w:t>lo siguiente:</w:t>
      </w:r>
    </w:p>
    <w:p w:rsidR="001F4E7A" w:rsidRDefault="001F4E7A">
      <w:pPr>
        <w:spacing w:line="360" w:lineRule="auto"/>
        <w:jc w:val="both"/>
        <w:rPr>
          <w:rFonts w:ascii="Palatino Linotype" w:eastAsia="Calibri" w:hAnsi="Palatino Linotype" w:cs="Arial"/>
        </w:rPr>
      </w:pPr>
    </w:p>
    <w:p w:rsidR="001F4E7A" w:rsidRDefault="0032792E">
      <w:pPr>
        <w:ind w:left="709" w:right="757"/>
        <w:jc w:val="both"/>
        <w:rPr>
          <w:rFonts w:ascii="Palatino Linotype" w:eastAsia="Calibri" w:hAnsi="Palatino Linotype" w:cs="Arial"/>
          <w:i/>
          <w:sz w:val="22"/>
          <w:szCs w:val="22"/>
        </w:rPr>
      </w:pPr>
      <w:r>
        <w:rPr>
          <w:rFonts w:ascii="Palatino Linotype" w:eastAsia="Calibri" w:hAnsi="Palatino Linotype" w:cs="Arial"/>
          <w:i/>
          <w:sz w:val="22"/>
          <w:szCs w:val="22"/>
        </w:rPr>
        <w:t>“a) El documento o documentos donde conste o se pueda advertir el nombre de las oficiales de tránsito referidas en respuesta, sin que se relacione con la categoría del cargo que ostentan.</w:t>
      </w:r>
    </w:p>
    <w:p w:rsidR="001F4E7A" w:rsidRDefault="001F4E7A">
      <w:pPr>
        <w:ind w:left="709" w:right="757"/>
        <w:jc w:val="both"/>
        <w:rPr>
          <w:rFonts w:ascii="Palatino Linotype" w:eastAsia="Calibri" w:hAnsi="Palatino Linotype" w:cs="Arial"/>
          <w:i/>
          <w:sz w:val="22"/>
          <w:szCs w:val="22"/>
        </w:rPr>
      </w:pPr>
    </w:p>
    <w:p w:rsidR="001F4E7A" w:rsidRDefault="0032792E">
      <w:pPr>
        <w:ind w:left="709" w:right="757"/>
        <w:jc w:val="both"/>
        <w:rPr>
          <w:rFonts w:ascii="Palatino Linotype" w:eastAsia="Calibri" w:hAnsi="Palatino Linotype" w:cs="Arial"/>
          <w:i/>
          <w:sz w:val="22"/>
          <w:szCs w:val="22"/>
        </w:rPr>
      </w:pPr>
      <w:r>
        <w:rPr>
          <w:rFonts w:ascii="Palatino Linotype" w:eastAsia="Calibri" w:hAnsi="Palatino Linotype" w:cs="Arial"/>
          <w:i/>
          <w:sz w:val="22"/>
          <w:szCs w:val="22"/>
        </w:rPr>
        <w:t>b) El documento o documentos donde conste el área de adscripción de los elementos señalados en respuesta, al 22 de enero de 2020.</w:t>
      </w:r>
    </w:p>
    <w:p w:rsidR="001F4E7A" w:rsidRDefault="001F4E7A">
      <w:pPr>
        <w:ind w:left="709" w:right="757"/>
        <w:jc w:val="both"/>
        <w:rPr>
          <w:rFonts w:ascii="Palatino Linotype" w:eastAsia="Calibri" w:hAnsi="Palatino Linotype" w:cs="Arial"/>
          <w:i/>
          <w:sz w:val="22"/>
          <w:szCs w:val="22"/>
        </w:rPr>
      </w:pPr>
    </w:p>
    <w:p w:rsidR="001F4E7A" w:rsidRDefault="0032792E">
      <w:pPr>
        <w:ind w:left="709" w:right="757"/>
        <w:jc w:val="both"/>
        <w:rPr>
          <w:rFonts w:ascii="Palatino Linotype" w:eastAsia="Calibri" w:hAnsi="Palatino Linotype" w:cs="Arial"/>
          <w:i/>
          <w:sz w:val="22"/>
          <w:szCs w:val="22"/>
        </w:rPr>
      </w:pPr>
      <w:r>
        <w:rPr>
          <w:rFonts w:ascii="Palatino Linotype" w:eastAsia="Calibri" w:hAnsi="Palatino Linotype" w:cs="Arial"/>
          <w:i/>
          <w:sz w:val="22"/>
          <w:szCs w:val="22"/>
        </w:rPr>
        <w:t>c) El rol de servicio asignado al personal femenino que se desempeñó o realizó funciones de oficial de tránsito, por el periodo del 22 de enero de 2019 al 22 de enero de 2020.</w:t>
      </w:r>
    </w:p>
    <w:p w:rsidR="001F4E7A" w:rsidRDefault="001F4E7A">
      <w:pPr>
        <w:ind w:left="709" w:right="757"/>
        <w:jc w:val="both"/>
        <w:rPr>
          <w:rFonts w:ascii="Palatino Linotype" w:eastAsia="Calibri" w:hAnsi="Palatino Linotype" w:cs="Arial"/>
          <w:i/>
          <w:sz w:val="22"/>
          <w:szCs w:val="22"/>
        </w:rPr>
      </w:pPr>
    </w:p>
    <w:p w:rsidR="001F4E7A" w:rsidRDefault="0032792E">
      <w:pPr>
        <w:ind w:left="709" w:right="757"/>
        <w:jc w:val="both"/>
        <w:rPr>
          <w:rFonts w:ascii="Palatino Linotype" w:eastAsia="Calibri" w:hAnsi="Palatino Linotype" w:cs="Arial"/>
          <w:b/>
          <w:i/>
          <w:sz w:val="22"/>
          <w:szCs w:val="22"/>
        </w:rPr>
      </w:pPr>
      <w:r>
        <w:rPr>
          <w:rFonts w:ascii="Palatino Linotype" w:eastAsia="Calibri" w:hAnsi="Palatino Linotype" w:cs="Arial"/>
          <w:i/>
          <w:sz w:val="22"/>
          <w:szCs w:val="22"/>
        </w:rPr>
        <w:t>Debiendo notificar al</w:t>
      </w:r>
      <w:r>
        <w:rPr>
          <w:rFonts w:ascii="Palatino Linotype" w:eastAsia="Calibri" w:hAnsi="Palatino Linotype" w:cs="Arial"/>
          <w:b/>
          <w:i/>
          <w:sz w:val="22"/>
          <w:szCs w:val="22"/>
        </w:rPr>
        <w:t xml:space="preserve"> RECURRENTE</w:t>
      </w:r>
      <w:r>
        <w:rPr>
          <w:rFonts w:ascii="Palatino Linotype" w:eastAsia="Calibri" w:hAnsi="Palatino Linotype" w:cs="Arial"/>
          <w:i/>
          <w:sz w:val="22"/>
          <w:szCs w:val="22"/>
        </w:rPr>
        <w:t xml:space="preserve"> el Acuerdo de Clasificación de la información que emita el Comité de Transparencia con motivo de la versión pública</w:t>
      </w:r>
      <w:r>
        <w:rPr>
          <w:rFonts w:ascii="Palatino Linotype" w:eastAsia="Calibri" w:hAnsi="Palatino Linotype" w:cs="Arial"/>
          <w:b/>
          <w:i/>
          <w:sz w:val="22"/>
          <w:szCs w:val="22"/>
        </w:rPr>
        <w:t>.</w:t>
      </w:r>
    </w:p>
    <w:p w:rsidR="001F4E7A" w:rsidRDefault="001F4E7A">
      <w:pPr>
        <w:ind w:left="709" w:right="757"/>
        <w:jc w:val="both"/>
        <w:rPr>
          <w:rFonts w:ascii="Palatino Linotype" w:eastAsia="Calibri" w:hAnsi="Palatino Linotype" w:cs="Arial"/>
          <w:i/>
          <w:sz w:val="22"/>
          <w:szCs w:val="22"/>
        </w:rPr>
      </w:pPr>
    </w:p>
    <w:p w:rsidR="001F4E7A" w:rsidRDefault="0032792E">
      <w:pPr>
        <w:ind w:left="709" w:right="757"/>
        <w:jc w:val="both"/>
        <w:rPr>
          <w:rFonts w:ascii="Palatino Linotype" w:hAnsi="Palatino Linotype"/>
          <w:bCs/>
          <w:i/>
          <w:sz w:val="22"/>
          <w:szCs w:val="22"/>
        </w:rPr>
      </w:pPr>
      <w:r>
        <w:rPr>
          <w:rFonts w:ascii="Palatino Linotype" w:eastAsia="Calibri" w:hAnsi="Palatino Linotype" w:cs="Arial"/>
          <w:i/>
          <w:sz w:val="22"/>
          <w:szCs w:val="22"/>
        </w:rPr>
        <w:t xml:space="preserve">Para el caso de que la información que se ordena en el inciso c) encuadre en los supuestos de clasificación de la información como reservada, </w:t>
      </w:r>
      <w:r>
        <w:rPr>
          <w:rFonts w:ascii="Palatino Linotype" w:eastAsia="Calibri" w:hAnsi="Palatino Linotype" w:cs="Arial"/>
          <w:b/>
          <w:i/>
          <w:sz w:val="22"/>
          <w:szCs w:val="22"/>
        </w:rPr>
        <w:t xml:space="preserve">EL SUJETO OBLIGADO </w:t>
      </w:r>
      <w:r>
        <w:rPr>
          <w:rFonts w:ascii="Palatino Linotype" w:eastAsia="Calibri" w:hAnsi="Palatino Linotype" w:cs="Arial"/>
          <w:i/>
          <w:sz w:val="22"/>
          <w:szCs w:val="22"/>
        </w:rPr>
        <w:t xml:space="preserve">deberá notificar al </w:t>
      </w:r>
      <w:r>
        <w:rPr>
          <w:rFonts w:ascii="Palatino Linotype" w:eastAsia="Calibri" w:hAnsi="Palatino Linotype" w:cs="Arial"/>
          <w:b/>
          <w:i/>
          <w:sz w:val="22"/>
          <w:szCs w:val="22"/>
        </w:rPr>
        <w:t>RECURRENTE</w:t>
      </w:r>
      <w:r>
        <w:rPr>
          <w:rFonts w:ascii="Palatino Linotype" w:eastAsia="Calibri" w:hAnsi="Palatino Linotype" w:cs="Arial"/>
          <w:i/>
          <w:sz w:val="22"/>
          <w:szCs w:val="22"/>
        </w:rPr>
        <w:t xml:space="preserve"> el Acuerdo de Clasificación de la información que emita el Comité de Transparencia conforme a los artículos 49 fracción VIII, 129, 140 y 141 de la Ley de Transparencia y Acceso a la Información Pública del Estado de México y Municipios.”</w:t>
      </w:r>
    </w:p>
    <w:p w:rsidR="001F4E7A" w:rsidRDefault="001F4E7A">
      <w:pPr>
        <w:spacing w:line="360" w:lineRule="auto"/>
        <w:jc w:val="both"/>
        <w:rPr>
          <w:rFonts w:ascii="Palatino Linotype" w:eastAsia="Calibri" w:hAnsi="Palatino Linotype" w:cs="Arial"/>
        </w:rPr>
      </w:pPr>
    </w:p>
    <w:p w:rsidR="001F4E7A" w:rsidRDefault="0032792E">
      <w:pPr>
        <w:spacing w:line="360" w:lineRule="auto"/>
        <w:jc w:val="both"/>
        <w:rPr>
          <w:rFonts w:ascii="Palatino Linotype" w:eastAsia="Calibri" w:hAnsi="Palatino Linotype" w:cs="Arial"/>
        </w:rPr>
      </w:pPr>
      <w:r>
        <w:rPr>
          <w:rFonts w:ascii="Palatino Linotype" w:eastAsia="Calibri" w:hAnsi="Palatino Linotype" w:cs="Arial"/>
          <w:b/>
          <w:sz w:val="28"/>
        </w:rPr>
        <w:t>TERCERO</w:t>
      </w:r>
      <w:r>
        <w:rPr>
          <w:rFonts w:ascii="Palatino Linotype" w:eastAsia="Calibri" w:hAnsi="Palatino Linotype" w:cs="Arial"/>
        </w:rPr>
        <w:t xml:space="preserve">. Notifíquese al Titular de la Unidad de Transparencia del </w:t>
      </w:r>
      <w:r>
        <w:rPr>
          <w:rFonts w:ascii="Palatino Linotype" w:eastAsia="Calibri" w:hAnsi="Palatino Linotype" w:cs="Arial"/>
          <w:b/>
        </w:rPr>
        <w:t>SUJETO OBLIGADO</w:t>
      </w:r>
      <w:r>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1F4E7A" w:rsidRDefault="001F4E7A">
      <w:pPr>
        <w:spacing w:line="360" w:lineRule="auto"/>
        <w:jc w:val="both"/>
        <w:rPr>
          <w:rFonts w:ascii="Palatino Linotype" w:eastAsia="Calibri" w:hAnsi="Palatino Linotype" w:cs="Arial"/>
        </w:rPr>
      </w:pPr>
    </w:p>
    <w:p w:rsidR="001F4E7A" w:rsidRDefault="0032792E">
      <w:pPr>
        <w:spacing w:line="360" w:lineRule="auto"/>
        <w:jc w:val="both"/>
        <w:rPr>
          <w:rFonts w:ascii="Palatino Linotype" w:eastAsia="Calibri" w:hAnsi="Palatino Linotype" w:cs="Arial"/>
        </w:rPr>
      </w:pPr>
      <w:r>
        <w:rPr>
          <w:rFonts w:ascii="Palatino Linotype" w:eastAsia="Calibri" w:hAnsi="Palatino Linotype" w:cs="Arial"/>
          <w:b/>
          <w:sz w:val="28"/>
        </w:rPr>
        <w:t>CUARTO</w:t>
      </w:r>
      <w:r>
        <w:rPr>
          <w:rFonts w:ascii="Palatino Linotype" w:eastAsia="Calibri" w:hAnsi="Palatino Linotype" w:cs="Arial"/>
        </w:rPr>
        <w:t>. Notifíquese al</w:t>
      </w:r>
      <w:r>
        <w:rPr>
          <w:rFonts w:ascii="Palatino Linotype" w:eastAsia="Calibri" w:hAnsi="Palatino Linotype" w:cs="Arial"/>
          <w:b/>
        </w:rPr>
        <w:t xml:space="preserve"> RECURRENTE</w:t>
      </w:r>
      <w:r>
        <w:rPr>
          <w:rFonts w:ascii="Palatino Linotype" w:eastAsia="Calibri" w:hAnsi="Palatino Linotype" w:cs="Arial"/>
        </w:rPr>
        <w:t xml:space="preserve"> la presente resolución.</w:t>
      </w:r>
    </w:p>
    <w:p w:rsidR="001F4E7A" w:rsidRDefault="001F4E7A">
      <w:pPr>
        <w:spacing w:line="360" w:lineRule="auto"/>
        <w:jc w:val="both"/>
        <w:rPr>
          <w:rFonts w:ascii="Palatino Linotype" w:eastAsia="Calibri" w:hAnsi="Palatino Linotype" w:cs="Arial"/>
        </w:rPr>
      </w:pPr>
    </w:p>
    <w:p w:rsidR="001F4E7A" w:rsidRDefault="0032792E">
      <w:pPr>
        <w:spacing w:line="360" w:lineRule="auto"/>
        <w:jc w:val="both"/>
        <w:rPr>
          <w:rFonts w:ascii="Palatino Linotype" w:eastAsia="Calibri" w:hAnsi="Palatino Linotype" w:cs="Arial"/>
        </w:rPr>
      </w:pPr>
      <w:r>
        <w:rPr>
          <w:rFonts w:ascii="Palatino Linotype" w:eastAsia="Calibri" w:hAnsi="Palatino Linotype" w:cs="Arial"/>
          <w:b/>
          <w:sz w:val="28"/>
        </w:rPr>
        <w:t>QUINTO</w:t>
      </w:r>
      <w:r>
        <w:rPr>
          <w:rFonts w:ascii="Palatino Linotype" w:eastAsia="Calibri" w:hAnsi="Palatino Linotype" w:cs="Arial"/>
        </w:rPr>
        <w:t>. Hágase del conocimiento del</w:t>
      </w:r>
      <w:r>
        <w:rPr>
          <w:rFonts w:ascii="Palatino Linotype" w:eastAsia="Calibri" w:hAnsi="Palatino Linotype" w:cs="Arial"/>
          <w:b/>
        </w:rPr>
        <w:t xml:space="preserve"> RECURRENTE</w:t>
      </w:r>
      <w:r>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1F4E7A" w:rsidRDefault="001F4E7A">
      <w:pPr>
        <w:spacing w:line="360" w:lineRule="auto"/>
        <w:jc w:val="both"/>
        <w:rPr>
          <w:rFonts w:ascii="Palatino Linotype" w:eastAsia="Calibri" w:hAnsi="Palatino Linotype" w:cs="Arial"/>
        </w:rPr>
      </w:pPr>
    </w:p>
    <w:p w:rsidR="001F4E7A" w:rsidRDefault="0032792E">
      <w:pPr>
        <w:spacing w:line="360" w:lineRule="auto"/>
        <w:jc w:val="both"/>
        <w:rPr>
          <w:rFonts w:ascii="Palatino Linotype" w:hAnsi="Palatino Linotype"/>
          <w:lang w:eastAsia="es-ES_tradnl"/>
        </w:rPr>
      </w:pPr>
      <w:r>
        <w:rPr>
          <w:rFonts w:ascii="Palatino Linotype" w:eastAsia="Calibri" w:hAnsi="Palatino Linotype" w:cs="Arial"/>
          <w:b/>
          <w:sz w:val="28"/>
        </w:rPr>
        <w:t>SEXTO</w:t>
      </w:r>
      <w:r>
        <w:rPr>
          <w:rFonts w:ascii="Palatino Linotype" w:eastAsia="Calibri" w:hAnsi="Palatino Linotype" w:cs="Arial"/>
        </w:rPr>
        <w:t xml:space="preserve">. </w:t>
      </w:r>
      <w:r>
        <w:rPr>
          <w:rFonts w:ascii="Palatino Linotype" w:hAnsi="Palatino Linotype"/>
          <w:lang w:eastAsia="es-ES_tradnl"/>
        </w:rPr>
        <w:t xml:space="preserve">Con fundamento en el artículo 198 de la Ley de Transparencia y Acceso a la Información Pública del Estado de México y Municipios, se apercibe al </w:t>
      </w:r>
      <w:r>
        <w:rPr>
          <w:rFonts w:ascii="Palatino Linotype" w:hAnsi="Palatino Linotype"/>
          <w:b/>
          <w:lang w:eastAsia="es-ES_tradnl"/>
        </w:rPr>
        <w:t>SUJETO OBLIGADO</w:t>
      </w:r>
      <w:r>
        <w:rPr>
          <w:rFonts w:ascii="Palatino Linotype" w:hAnsi="Palatino Linotype"/>
          <w:lang w:eastAsia="es-ES_tradnl"/>
        </w:rPr>
        <w:t xml:space="preserve"> que, en caso de negarse a cumplir la presente resolución o hacerlo de manera parcial se actuará de conformidad con lo previsto en los artículos 213, 214, 216 y 217 de dicha Ley.</w:t>
      </w:r>
    </w:p>
    <w:p w:rsidR="001F4E7A" w:rsidRDefault="001F4E7A">
      <w:pPr>
        <w:spacing w:line="360" w:lineRule="auto"/>
        <w:jc w:val="both"/>
        <w:rPr>
          <w:rFonts w:ascii="Palatino Linotype" w:eastAsia="Calibri" w:hAnsi="Palatino Linotype" w:cs="Arial"/>
        </w:rPr>
      </w:pPr>
    </w:p>
    <w:p w:rsidR="001F4E7A" w:rsidRDefault="0032792E">
      <w:pPr>
        <w:spacing w:line="360" w:lineRule="auto"/>
        <w:jc w:val="both"/>
        <w:rPr>
          <w:rFonts w:ascii="Palatino Linotype" w:eastAsia="Calibri" w:hAnsi="Palatino Linotype" w:cs="Arial"/>
        </w:rPr>
      </w:pPr>
      <w:r>
        <w:rPr>
          <w:rFonts w:ascii="Palatino Linotype" w:eastAsia="Calibri" w:hAnsi="Palatino Linotype" w:cs="Arial"/>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EMITIENDO VOTO PARTICULAR; JAVIER MARTÍNEZ CRUZ EMITIENDO VOTO PARTICULAR Y LUIS GUSTAVO PARRA NORIEGA EMITIENDO VOTO PARTICULAR; EN LA </w:t>
      </w:r>
      <w:r>
        <w:rPr>
          <w:rFonts w:ascii="Palatino Linotype" w:eastAsia="Calibri" w:hAnsi="Palatino Linotype" w:cs="Arial"/>
          <w:color w:val="000000"/>
        </w:rPr>
        <w:t>DÉCIMA CUARTA</w:t>
      </w:r>
      <w:r>
        <w:rPr>
          <w:rFonts w:ascii="Palatino Linotype" w:eastAsia="Calibri" w:hAnsi="Palatino Linotype" w:cs="Arial"/>
        </w:rPr>
        <w:t xml:space="preserve"> SESIÓN ORDINARIA CELEBRADA EL </w:t>
      </w:r>
      <w:r>
        <w:rPr>
          <w:rFonts w:ascii="Palatino Linotype" w:eastAsia="Calibri" w:hAnsi="Palatino Linotype" w:cs="Arial"/>
          <w:color w:val="000000"/>
        </w:rPr>
        <w:t>DIECINUEVE</w:t>
      </w:r>
      <w:r>
        <w:rPr>
          <w:rFonts w:ascii="Palatino Linotype" w:eastAsia="Calibri" w:hAnsi="Palatino Linotype" w:cs="Arial"/>
        </w:rPr>
        <w:t xml:space="preserve"> DE AGOSTO DE DOS MIL VEINTE, ANTE EL SECRETARIO TÉCNICO DEL PLENO, ALEXIS TAPIA RAMÍREZ.</w:t>
      </w:r>
    </w:p>
    <w:p w:rsidR="002B745C" w:rsidRDefault="002B745C">
      <w:pPr>
        <w:spacing w:line="360" w:lineRule="auto"/>
        <w:jc w:val="both"/>
        <w:rPr>
          <w:rFonts w:ascii="Palatino Linotype" w:eastAsia="Calibri" w:hAnsi="Palatino Linotype" w:cs="Arial"/>
        </w:rPr>
      </w:pPr>
    </w:p>
    <w:tbl>
      <w:tblPr>
        <w:tblW w:w="10365" w:type="dxa"/>
        <w:jc w:val="center"/>
        <w:tblLook w:val="04A0" w:firstRow="1" w:lastRow="0" w:firstColumn="1" w:lastColumn="0" w:noHBand="0" w:noVBand="1"/>
      </w:tblPr>
      <w:tblGrid>
        <w:gridCol w:w="5182"/>
        <w:gridCol w:w="5183"/>
      </w:tblGrid>
      <w:tr w:rsidR="001F4E7A">
        <w:trPr>
          <w:jc w:val="center"/>
        </w:trPr>
        <w:tc>
          <w:tcPr>
            <w:tcW w:w="10364" w:type="dxa"/>
            <w:gridSpan w:val="2"/>
          </w:tcPr>
          <w:p w:rsidR="001F4E7A" w:rsidRDefault="001F4E7A" w:rsidP="002B745C">
            <w:pPr>
              <w:spacing w:line="276" w:lineRule="auto"/>
              <w:jc w:val="center"/>
              <w:rPr>
                <w:rFonts w:ascii="Palatino Linotype" w:hAnsi="Palatino Linotype" w:cs="Arial"/>
                <w:b/>
              </w:rPr>
            </w:pPr>
          </w:p>
          <w:p w:rsidR="001F4E7A" w:rsidRDefault="001F4E7A" w:rsidP="002B745C">
            <w:pPr>
              <w:spacing w:line="276" w:lineRule="auto"/>
              <w:jc w:val="center"/>
              <w:rPr>
                <w:rFonts w:ascii="Palatino Linotype" w:hAnsi="Palatino Linotype" w:cs="Arial"/>
                <w:b/>
              </w:rPr>
            </w:pPr>
          </w:p>
          <w:p w:rsidR="001F4E7A" w:rsidRDefault="001F4E7A" w:rsidP="002B745C">
            <w:pPr>
              <w:spacing w:line="276" w:lineRule="auto"/>
              <w:jc w:val="center"/>
              <w:rPr>
                <w:rFonts w:ascii="Palatino Linotype" w:hAnsi="Palatino Linotype" w:cs="Arial"/>
                <w:b/>
              </w:rPr>
            </w:pPr>
          </w:p>
          <w:p w:rsidR="001F4E7A" w:rsidRDefault="0032792E">
            <w:pPr>
              <w:spacing w:line="276" w:lineRule="auto"/>
              <w:jc w:val="center"/>
              <w:rPr>
                <w:rFonts w:ascii="Palatino Linotype" w:hAnsi="Palatino Linotype" w:cs="Arial"/>
                <w:b/>
              </w:rPr>
            </w:pPr>
            <w:r>
              <w:rPr>
                <w:rFonts w:ascii="Palatino Linotype" w:hAnsi="Palatino Linotype" w:cs="Arial"/>
                <w:b/>
              </w:rPr>
              <w:t>Zulema Martínez Sánchez</w:t>
            </w:r>
          </w:p>
          <w:p w:rsidR="001F4E7A" w:rsidRDefault="0032792E">
            <w:pPr>
              <w:spacing w:line="276" w:lineRule="auto"/>
              <w:jc w:val="center"/>
              <w:rPr>
                <w:rFonts w:ascii="Palatino Linotype" w:hAnsi="Palatino Linotype" w:cs="Arial"/>
                <w:b/>
              </w:rPr>
            </w:pPr>
            <w:r>
              <w:rPr>
                <w:rFonts w:ascii="Palatino Linotype" w:hAnsi="Palatino Linotype" w:cs="Arial"/>
              </w:rPr>
              <w:t>Comisionada Presidenta</w:t>
            </w:r>
          </w:p>
          <w:p w:rsidR="001F4E7A" w:rsidRDefault="0032792E">
            <w:pPr>
              <w:spacing w:line="276" w:lineRule="auto"/>
              <w:jc w:val="center"/>
              <w:rPr>
                <w:rFonts w:ascii="Palatino Linotype" w:hAnsi="Palatino Linotype" w:cs="Arial"/>
                <w:b/>
              </w:rPr>
            </w:pPr>
            <w:r>
              <w:rPr>
                <w:rFonts w:ascii="Palatino Linotype" w:hAnsi="Palatino Linotype" w:cs="Arial"/>
                <w:b/>
              </w:rPr>
              <w:t xml:space="preserve">(RÚBRICA) </w:t>
            </w:r>
          </w:p>
        </w:tc>
      </w:tr>
      <w:tr w:rsidR="001F4E7A">
        <w:trPr>
          <w:jc w:val="center"/>
        </w:trPr>
        <w:tc>
          <w:tcPr>
            <w:tcW w:w="5182" w:type="dxa"/>
          </w:tcPr>
          <w:p w:rsidR="001F4E7A" w:rsidRDefault="001F4E7A">
            <w:pPr>
              <w:spacing w:line="276" w:lineRule="auto"/>
              <w:jc w:val="center"/>
              <w:rPr>
                <w:rFonts w:ascii="Palatino Linotype" w:hAnsi="Palatino Linotype" w:cs="Arial"/>
                <w:b/>
              </w:rPr>
            </w:pPr>
          </w:p>
          <w:p w:rsidR="001F4E7A" w:rsidRDefault="001F4E7A">
            <w:pPr>
              <w:spacing w:line="276" w:lineRule="auto"/>
              <w:jc w:val="center"/>
              <w:rPr>
                <w:rFonts w:ascii="Palatino Linotype" w:hAnsi="Palatino Linotype" w:cs="Arial"/>
                <w:b/>
              </w:rPr>
            </w:pPr>
          </w:p>
          <w:p w:rsidR="001F4E7A" w:rsidRDefault="001F4E7A">
            <w:pPr>
              <w:spacing w:line="276" w:lineRule="auto"/>
              <w:jc w:val="center"/>
              <w:rPr>
                <w:rFonts w:ascii="Palatino Linotype" w:hAnsi="Palatino Linotype" w:cs="Arial"/>
                <w:b/>
              </w:rPr>
            </w:pPr>
          </w:p>
          <w:p w:rsidR="001F4E7A" w:rsidRDefault="001F4E7A">
            <w:pPr>
              <w:spacing w:line="276" w:lineRule="auto"/>
              <w:jc w:val="center"/>
              <w:rPr>
                <w:rFonts w:ascii="Palatino Linotype" w:hAnsi="Palatino Linotype" w:cs="Arial"/>
                <w:b/>
              </w:rPr>
            </w:pPr>
          </w:p>
          <w:p w:rsidR="001F4E7A" w:rsidRDefault="0032792E">
            <w:pPr>
              <w:spacing w:line="276" w:lineRule="auto"/>
              <w:jc w:val="center"/>
              <w:rPr>
                <w:rFonts w:ascii="Palatino Linotype" w:hAnsi="Palatino Linotype" w:cs="Arial"/>
                <w:b/>
              </w:rPr>
            </w:pPr>
            <w:r>
              <w:rPr>
                <w:rFonts w:ascii="Palatino Linotype" w:hAnsi="Palatino Linotype" w:cs="Arial"/>
                <w:b/>
              </w:rPr>
              <w:t>Eva Abaid Yapur</w:t>
            </w:r>
          </w:p>
          <w:p w:rsidR="001F4E7A" w:rsidRDefault="0032792E">
            <w:pPr>
              <w:spacing w:line="276" w:lineRule="auto"/>
              <w:jc w:val="center"/>
              <w:rPr>
                <w:rFonts w:ascii="Palatino Linotype" w:hAnsi="Palatino Linotype" w:cs="Arial"/>
              </w:rPr>
            </w:pPr>
            <w:r>
              <w:rPr>
                <w:rFonts w:ascii="Palatino Linotype" w:hAnsi="Palatino Linotype" w:cs="Arial"/>
              </w:rPr>
              <w:t>Comisionada</w:t>
            </w:r>
          </w:p>
          <w:p w:rsidR="001F4E7A" w:rsidRDefault="0032792E">
            <w:pPr>
              <w:spacing w:line="276" w:lineRule="auto"/>
              <w:jc w:val="center"/>
              <w:rPr>
                <w:rFonts w:ascii="Palatino Linotype" w:hAnsi="Palatino Linotype" w:cs="Arial"/>
                <w:b/>
              </w:rPr>
            </w:pPr>
            <w:r>
              <w:rPr>
                <w:rFonts w:ascii="Palatino Linotype" w:hAnsi="Palatino Linotype" w:cs="Arial"/>
                <w:b/>
              </w:rPr>
              <w:t>(RÚBRICA)</w:t>
            </w:r>
          </w:p>
        </w:tc>
        <w:tc>
          <w:tcPr>
            <w:tcW w:w="5182" w:type="dxa"/>
          </w:tcPr>
          <w:p w:rsidR="001F4E7A" w:rsidRDefault="001F4E7A">
            <w:pPr>
              <w:spacing w:line="276" w:lineRule="auto"/>
              <w:jc w:val="center"/>
              <w:rPr>
                <w:rFonts w:ascii="Palatino Linotype" w:hAnsi="Palatino Linotype" w:cs="Arial"/>
                <w:b/>
              </w:rPr>
            </w:pPr>
          </w:p>
          <w:p w:rsidR="001F4E7A" w:rsidRDefault="001F4E7A">
            <w:pPr>
              <w:spacing w:line="276" w:lineRule="auto"/>
              <w:jc w:val="center"/>
              <w:rPr>
                <w:rFonts w:ascii="Palatino Linotype" w:hAnsi="Palatino Linotype" w:cs="Arial"/>
                <w:b/>
              </w:rPr>
            </w:pPr>
          </w:p>
          <w:p w:rsidR="001F4E7A" w:rsidRDefault="001F4E7A">
            <w:pPr>
              <w:spacing w:line="276" w:lineRule="auto"/>
              <w:jc w:val="center"/>
              <w:rPr>
                <w:rFonts w:ascii="Palatino Linotype" w:hAnsi="Palatino Linotype" w:cs="Arial"/>
                <w:b/>
              </w:rPr>
            </w:pPr>
          </w:p>
          <w:p w:rsidR="001F4E7A" w:rsidRDefault="001F4E7A">
            <w:pPr>
              <w:spacing w:line="276" w:lineRule="auto"/>
              <w:jc w:val="center"/>
              <w:rPr>
                <w:rFonts w:ascii="Palatino Linotype" w:hAnsi="Palatino Linotype" w:cs="Arial"/>
                <w:b/>
              </w:rPr>
            </w:pPr>
          </w:p>
          <w:p w:rsidR="001F4E7A" w:rsidRDefault="0032792E">
            <w:pPr>
              <w:spacing w:line="276" w:lineRule="auto"/>
              <w:jc w:val="center"/>
              <w:rPr>
                <w:rFonts w:ascii="Palatino Linotype" w:hAnsi="Palatino Linotype" w:cs="Arial"/>
                <w:b/>
              </w:rPr>
            </w:pPr>
            <w:r>
              <w:rPr>
                <w:rFonts w:ascii="Palatino Linotype" w:hAnsi="Palatino Linotype" w:cs="Arial"/>
                <w:b/>
              </w:rPr>
              <w:t>José Guadalupe Luna Hernández</w:t>
            </w:r>
          </w:p>
          <w:p w:rsidR="001F4E7A" w:rsidRDefault="0032792E">
            <w:pPr>
              <w:spacing w:line="276" w:lineRule="auto"/>
              <w:jc w:val="center"/>
              <w:rPr>
                <w:rFonts w:ascii="Palatino Linotype" w:hAnsi="Palatino Linotype" w:cs="Arial"/>
              </w:rPr>
            </w:pPr>
            <w:r>
              <w:rPr>
                <w:rFonts w:ascii="Palatino Linotype" w:hAnsi="Palatino Linotype" w:cs="Arial"/>
              </w:rPr>
              <w:t>Comisionado</w:t>
            </w:r>
          </w:p>
          <w:p w:rsidR="001F4E7A" w:rsidRDefault="0032792E">
            <w:pPr>
              <w:spacing w:line="276" w:lineRule="auto"/>
              <w:jc w:val="center"/>
              <w:rPr>
                <w:rFonts w:ascii="Palatino Linotype" w:hAnsi="Palatino Linotype" w:cs="Arial"/>
                <w:b/>
              </w:rPr>
            </w:pPr>
            <w:r>
              <w:rPr>
                <w:rFonts w:ascii="Palatino Linotype" w:hAnsi="Palatino Linotype" w:cs="Arial"/>
                <w:b/>
              </w:rPr>
              <w:t>(RÚBRICA)</w:t>
            </w:r>
          </w:p>
        </w:tc>
      </w:tr>
      <w:tr w:rsidR="001F4E7A">
        <w:trPr>
          <w:jc w:val="center"/>
        </w:trPr>
        <w:tc>
          <w:tcPr>
            <w:tcW w:w="5182" w:type="dxa"/>
          </w:tcPr>
          <w:p w:rsidR="001F4E7A" w:rsidRDefault="001F4E7A">
            <w:pPr>
              <w:spacing w:line="276" w:lineRule="auto"/>
              <w:jc w:val="center"/>
              <w:rPr>
                <w:rFonts w:ascii="Palatino Linotype" w:hAnsi="Palatino Linotype" w:cs="Arial"/>
                <w:b/>
              </w:rPr>
            </w:pPr>
          </w:p>
          <w:p w:rsidR="001F4E7A" w:rsidRDefault="001F4E7A">
            <w:pPr>
              <w:spacing w:line="276" w:lineRule="auto"/>
              <w:jc w:val="center"/>
              <w:rPr>
                <w:rFonts w:ascii="Palatino Linotype" w:hAnsi="Palatino Linotype" w:cs="Arial"/>
                <w:b/>
              </w:rPr>
            </w:pPr>
          </w:p>
          <w:p w:rsidR="001F4E7A" w:rsidRDefault="001F4E7A">
            <w:pPr>
              <w:spacing w:line="276" w:lineRule="auto"/>
              <w:jc w:val="center"/>
              <w:rPr>
                <w:rFonts w:ascii="Palatino Linotype" w:hAnsi="Palatino Linotype" w:cs="Arial"/>
                <w:b/>
              </w:rPr>
            </w:pPr>
          </w:p>
          <w:p w:rsidR="001F4E7A" w:rsidRDefault="001F4E7A">
            <w:pPr>
              <w:spacing w:line="276" w:lineRule="auto"/>
              <w:jc w:val="center"/>
              <w:rPr>
                <w:rFonts w:ascii="Palatino Linotype" w:hAnsi="Palatino Linotype" w:cs="Arial"/>
                <w:b/>
              </w:rPr>
            </w:pPr>
          </w:p>
          <w:p w:rsidR="001F4E7A" w:rsidRDefault="0032792E">
            <w:pPr>
              <w:spacing w:line="276" w:lineRule="auto"/>
              <w:jc w:val="center"/>
              <w:rPr>
                <w:rFonts w:ascii="Palatino Linotype" w:hAnsi="Palatino Linotype" w:cs="Arial"/>
                <w:b/>
              </w:rPr>
            </w:pPr>
            <w:r>
              <w:rPr>
                <w:rFonts w:ascii="Palatino Linotype" w:hAnsi="Palatino Linotype" w:cs="Arial"/>
                <w:b/>
              </w:rPr>
              <w:t>Javier Martínez Cruz</w:t>
            </w:r>
          </w:p>
          <w:p w:rsidR="001F4E7A" w:rsidRDefault="0032792E">
            <w:pPr>
              <w:spacing w:line="276" w:lineRule="auto"/>
              <w:jc w:val="center"/>
              <w:rPr>
                <w:rFonts w:ascii="Palatino Linotype" w:hAnsi="Palatino Linotype" w:cs="Arial"/>
              </w:rPr>
            </w:pPr>
            <w:r>
              <w:rPr>
                <w:rFonts w:ascii="Palatino Linotype" w:hAnsi="Palatino Linotype" w:cs="Arial"/>
              </w:rPr>
              <w:t>Comisionado</w:t>
            </w:r>
          </w:p>
          <w:p w:rsidR="001F4E7A" w:rsidRDefault="0032792E" w:rsidP="002B745C">
            <w:pPr>
              <w:spacing w:line="276" w:lineRule="auto"/>
              <w:jc w:val="center"/>
              <w:rPr>
                <w:rFonts w:ascii="Palatino Linotype" w:hAnsi="Palatino Linotype" w:cs="Arial"/>
                <w:b/>
              </w:rPr>
            </w:pPr>
            <w:r>
              <w:rPr>
                <w:rFonts w:ascii="Palatino Linotype" w:hAnsi="Palatino Linotype" w:cs="Arial"/>
                <w:b/>
              </w:rPr>
              <w:t>(RÚBRICA)</w:t>
            </w:r>
          </w:p>
        </w:tc>
        <w:tc>
          <w:tcPr>
            <w:tcW w:w="5182" w:type="dxa"/>
          </w:tcPr>
          <w:p w:rsidR="001F4E7A" w:rsidRDefault="001F4E7A" w:rsidP="002B745C">
            <w:pPr>
              <w:spacing w:line="276" w:lineRule="auto"/>
              <w:jc w:val="center"/>
              <w:rPr>
                <w:rFonts w:ascii="Palatino Linotype" w:hAnsi="Palatino Linotype" w:cs="Arial"/>
                <w:b/>
              </w:rPr>
            </w:pPr>
          </w:p>
          <w:p w:rsidR="001F4E7A" w:rsidRDefault="001F4E7A" w:rsidP="002B745C">
            <w:pPr>
              <w:spacing w:line="276" w:lineRule="auto"/>
              <w:jc w:val="center"/>
              <w:rPr>
                <w:rFonts w:ascii="Palatino Linotype" w:hAnsi="Palatino Linotype" w:cs="Arial"/>
                <w:b/>
              </w:rPr>
            </w:pPr>
          </w:p>
          <w:p w:rsidR="001F4E7A" w:rsidRDefault="001F4E7A" w:rsidP="002B745C">
            <w:pPr>
              <w:spacing w:line="276" w:lineRule="auto"/>
              <w:jc w:val="center"/>
              <w:rPr>
                <w:rFonts w:ascii="Palatino Linotype" w:hAnsi="Palatino Linotype" w:cs="Arial"/>
                <w:b/>
              </w:rPr>
            </w:pPr>
          </w:p>
          <w:p w:rsidR="001F4E7A" w:rsidRDefault="001F4E7A" w:rsidP="002B745C">
            <w:pPr>
              <w:spacing w:line="276" w:lineRule="auto"/>
              <w:jc w:val="center"/>
              <w:rPr>
                <w:rFonts w:ascii="Palatino Linotype" w:hAnsi="Palatino Linotype" w:cs="Arial"/>
                <w:b/>
              </w:rPr>
            </w:pPr>
          </w:p>
          <w:p w:rsidR="001F4E7A" w:rsidRDefault="0032792E">
            <w:pPr>
              <w:spacing w:line="276" w:lineRule="auto"/>
              <w:jc w:val="center"/>
              <w:rPr>
                <w:rFonts w:ascii="Palatino Linotype" w:hAnsi="Palatino Linotype" w:cs="Arial"/>
                <w:b/>
              </w:rPr>
            </w:pPr>
            <w:r>
              <w:rPr>
                <w:rFonts w:ascii="Palatino Linotype" w:hAnsi="Palatino Linotype" w:cs="Arial"/>
                <w:b/>
              </w:rPr>
              <w:t xml:space="preserve">Luis Gustavo Parra Noriega </w:t>
            </w:r>
          </w:p>
          <w:p w:rsidR="001F4E7A" w:rsidRDefault="0032792E">
            <w:pPr>
              <w:spacing w:line="276" w:lineRule="auto"/>
              <w:jc w:val="center"/>
              <w:rPr>
                <w:rFonts w:ascii="Palatino Linotype" w:hAnsi="Palatino Linotype" w:cs="Arial"/>
              </w:rPr>
            </w:pPr>
            <w:r>
              <w:rPr>
                <w:rFonts w:ascii="Palatino Linotype" w:hAnsi="Palatino Linotype" w:cs="Arial"/>
              </w:rPr>
              <w:t>Comisionado</w:t>
            </w:r>
          </w:p>
          <w:p w:rsidR="001F4E7A" w:rsidRDefault="0032792E" w:rsidP="002B745C">
            <w:pPr>
              <w:spacing w:line="276" w:lineRule="auto"/>
              <w:jc w:val="center"/>
              <w:rPr>
                <w:rFonts w:ascii="Palatino Linotype" w:hAnsi="Palatino Linotype" w:cs="Arial"/>
                <w:b/>
              </w:rPr>
            </w:pPr>
            <w:r>
              <w:rPr>
                <w:rFonts w:ascii="Palatino Linotype" w:hAnsi="Palatino Linotype" w:cs="Arial"/>
                <w:b/>
              </w:rPr>
              <w:t>(RÚBRICA)</w:t>
            </w:r>
          </w:p>
        </w:tc>
      </w:tr>
      <w:tr w:rsidR="001F4E7A">
        <w:trPr>
          <w:jc w:val="center"/>
        </w:trPr>
        <w:tc>
          <w:tcPr>
            <w:tcW w:w="10364" w:type="dxa"/>
            <w:gridSpan w:val="2"/>
          </w:tcPr>
          <w:p w:rsidR="002B745C" w:rsidRDefault="002B745C">
            <w:pPr>
              <w:spacing w:line="276" w:lineRule="auto"/>
              <w:jc w:val="center"/>
              <w:rPr>
                <w:rFonts w:ascii="Palatino Linotype" w:hAnsi="Palatino Linotype" w:cs="Arial"/>
                <w:b/>
              </w:rPr>
            </w:pPr>
          </w:p>
          <w:p w:rsidR="002B745C" w:rsidRDefault="002B745C">
            <w:pPr>
              <w:spacing w:line="276" w:lineRule="auto"/>
              <w:jc w:val="center"/>
              <w:rPr>
                <w:rFonts w:ascii="Palatino Linotype" w:hAnsi="Palatino Linotype" w:cs="Arial"/>
                <w:b/>
              </w:rPr>
            </w:pPr>
          </w:p>
          <w:p w:rsidR="002B745C" w:rsidRDefault="002B745C">
            <w:pPr>
              <w:spacing w:line="276" w:lineRule="auto"/>
              <w:jc w:val="center"/>
              <w:rPr>
                <w:rFonts w:ascii="Palatino Linotype" w:hAnsi="Palatino Linotype" w:cs="Arial"/>
                <w:b/>
              </w:rPr>
            </w:pPr>
          </w:p>
          <w:p w:rsidR="002B745C" w:rsidRDefault="002B745C">
            <w:pPr>
              <w:spacing w:line="276" w:lineRule="auto"/>
              <w:jc w:val="center"/>
              <w:rPr>
                <w:rFonts w:ascii="Palatino Linotype" w:hAnsi="Palatino Linotype" w:cs="Arial"/>
                <w:b/>
              </w:rPr>
            </w:pPr>
          </w:p>
          <w:p w:rsidR="002B745C" w:rsidRDefault="002B745C">
            <w:pPr>
              <w:spacing w:line="276" w:lineRule="auto"/>
              <w:jc w:val="center"/>
              <w:rPr>
                <w:rFonts w:ascii="Palatino Linotype" w:hAnsi="Palatino Linotype" w:cs="Arial"/>
                <w:b/>
              </w:rPr>
            </w:pPr>
          </w:p>
          <w:p w:rsidR="001F4E7A" w:rsidRDefault="0032792E">
            <w:pPr>
              <w:spacing w:line="276" w:lineRule="auto"/>
              <w:jc w:val="center"/>
              <w:rPr>
                <w:rFonts w:ascii="Palatino Linotype" w:hAnsi="Palatino Linotype" w:cs="Arial"/>
                <w:b/>
              </w:rPr>
            </w:pPr>
            <w:r>
              <w:rPr>
                <w:rFonts w:ascii="Palatino Linotype" w:hAnsi="Palatino Linotype" w:cs="Arial"/>
                <w:b/>
              </w:rPr>
              <w:t>Alexis Tapia Ramírez</w:t>
            </w:r>
          </w:p>
          <w:p w:rsidR="001F4E7A" w:rsidRDefault="0032792E">
            <w:pPr>
              <w:spacing w:line="276" w:lineRule="auto"/>
              <w:jc w:val="center"/>
              <w:rPr>
                <w:rFonts w:ascii="Palatino Linotype" w:hAnsi="Palatino Linotype" w:cs="Arial"/>
              </w:rPr>
            </w:pPr>
            <w:r>
              <w:rPr>
                <w:rFonts w:ascii="Palatino Linotype" w:hAnsi="Palatino Linotype" w:cs="Arial"/>
              </w:rPr>
              <w:t>Secretario Técnico del Pleno</w:t>
            </w:r>
          </w:p>
          <w:p w:rsidR="001F4E7A" w:rsidRDefault="0032792E" w:rsidP="002B745C">
            <w:pPr>
              <w:spacing w:line="276" w:lineRule="auto"/>
              <w:jc w:val="center"/>
              <w:rPr>
                <w:rFonts w:ascii="Palatino Linotype" w:hAnsi="Palatino Linotype" w:cs="Arial"/>
              </w:rPr>
            </w:pPr>
            <w:r>
              <w:rPr>
                <w:rFonts w:ascii="Palatino Linotype" w:hAnsi="Palatino Linotype" w:cs="Arial"/>
                <w:b/>
              </w:rPr>
              <w:t>(RÚBRICA)</w:t>
            </w:r>
          </w:p>
        </w:tc>
      </w:tr>
    </w:tbl>
    <w:p w:rsidR="002B745C" w:rsidRDefault="002B745C">
      <w:pPr>
        <w:jc w:val="both"/>
        <w:rPr>
          <w:rFonts w:ascii="Palatino Linotype" w:hAnsi="Palatino Linotype" w:cs="Arial"/>
          <w:sz w:val="22"/>
        </w:rPr>
      </w:pPr>
    </w:p>
    <w:p w:rsidR="001F4E7A" w:rsidRDefault="0032792E">
      <w:pPr>
        <w:jc w:val="both"/>
        <w:rPr>
          <w:rFonts w:ascii="Palatino Linotype" w:hAnsi="Palatino Linotype" w:cs="Arial"/>
          <w:sz w:val="22"/>
        </w:rPr>
      </w:pPr>
      <w:r>
        <w:rPr>
          <w:rFonts w:ascii="Palatino Linotype" w:hAnsi="Palatino Linotype" w:cs="Arial"/>
          <w:sz w:val="22"/>
        </w:rPr>
        <w:t xml:space="preserve">Esta hoja corresponde a la resolución de fecha diecinueve de agosto de dos mil veinte, emitida en el recurso de revisión número 01112/INFOEM/IP/RR/2020.  </w:t>
      </w:r>
    </w:p>
    <w:p w:rsidR="001F4E7A" w:rsidRDefault="0032792E">
      <w:pPr>
        <w:jc w:val="both"/>
      </w:pPr>
      <w:r>
        <w:rPr>
          <w:rFonts w:ascii="Palatino Linotype" w:hAnsi="Palatino Linotype" w:cs="Arial"/>
          <w:sz w:val="22"/>
        </w:rPr>
        <w:t>YSM/ATU</w:t>
      </w:r>
    </w:p>
    <w:sectPr w:rsidR="001F4E7A">
      <w:headerReference w:type="default" r:id="rId15"/>
      <w:footerReference w:type="default" r:id="rId16"/>
      <w:headerReference w:type="first" r:id="rId17"/>
      <w:footerReference w:type="first" r:id="rId18"/>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9D9" w:rsidRDefault="001119D9">
      <w:r>
        <w:separator/>
      </w:r>
    </w:p>
  </w:endnote>
  <w:endnote w:type="continuationSeparator" w:id="0">
    <w:p w:rsidR="001119D9" w:rsidRDefault="00111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serif">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E7A" w:rsidRDefault="0032792E">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0A1E7B">
      <w:rPr>
        <w:rFonts w:ascii="Palatino Linotype" w:hAnsi="Palatino Linotype" w:cs="Arial"/>
        <w:bCs/>
        <w:noProof/>
        <w:sz w:val="22"/>
        <w:szCs w:val="22"/>
      </w:rPr>
      <w:t>29</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0A1E7B">
      <w:rPr>
        <w:rFonts w:ascii="Palatino Linotype" w:hAnsi="Palatino Linotype" w:cs="Arial"/>
        <w:bCs/>
        <w:noProof/>
        <w:sz w:val="22"/>
        <w:szCs w:val="22"/>
      </w:rPr>
      <w:t>51</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E7A" w:rsidRDefault="0032792E">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0A1E7B">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0A1E7B">
      <w:rPr>
        <w:rFonts w:ascii="Palatino Linotype" w:hAnsi="Palatino Linotype" w:cs="Arial"/>
        <w:bCs/>
        <w:noProof/>
        <w:sz w:val="22"/>
        <w:szCs w:val="22"/>
      </w:rPr>
      <w:t>51</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9D9" w:rsidRDefault="001119D9">
      <w:r>
        <w:separator/>
      </w:r>
    </w:p>
  </w:footnote>
  <w:footnote w:type="continuationSeparator" w:id="0">
    <w:p w:rsidR="001119D9" w:rsidRDefault="001119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E7A" w:rsidRDefault="001F4E7A">
    <w:pPr>
      <w:pStyle w:val="Encabezado"/>
      <w:tabs>
        <w:tab w:val="clear" w:pos="4252"/>
        <w:tab w:val="clear" w:pos="8504"/>
        <w:tab w:val="left" w:pos="2326"/>
      </w:tabs>
      <w:rPr>
        <w:rFonts w:ascii="Palatino Linotype" w:hAnsi="Palatino Linotype"/>
        <w:sz w:val="28"/>
        <w:szCs w:val="28"/>
      </w:rPr>
    </w:pPr>
  </w:p>
  <w:tbl>
    <w:tblPr>
      <w:tblW w:w="9534" w:type="dxa"/>
      <w:tblInd w:w="-142" w:type="dxa"/>
      <w:tblLook w:val="04A0" w:firstRow="1" w:lastRow="0" w:firstColumn="1" w:lastColumn="0" w:noHBand="0" w:noVBand="1"/>
    </w:tblPr>
    <w:tblGrid>
      <w:gridCol w:w="3253"/>
      <w:gridCol w:w="2557"/>
      <w:gridCol w:w="3724"/>
    </w:tblGrid>
    <w:tr w:rsidR="001F4E7A">
      <w:tc>
        <w:tcPr>
          <w:tcW w:w="3253" w:type="dxa"/>
          <w:vMerge w:val="restart"/>
        </w:tcPr>
        <w:p w:rsidR="001F4E7A" w:rsidRDefault="0032792E">
          <w:pPr>
            <w:rPr>
              <w:rFonts w:ascii="Palatino Linotype" w:hAnsi="Palatino Linotype"/>
              <w:b/>
              <w:sz w:val="22"/>
              <w:szCs w:val="22"/>
              <w:lang w:val="es-ES_tradnl"/>
            </w:rPr>
          </w:pPr>
          <w:r>
            <w:rPr>
              <w:noProof/>
              <w:lang w:eastAsia="es-MX"/>
            </w:rPr>
            <w:drawing>
              <wp:inline distT="0" distB="0" distL="0" distR="0">
                <wp:extent cx="1663700" cy="838200"/>
                <wp:effectExtent l="0" t="0" r="0" b="0"/>
                <wp:docPr id="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1"/>
                        <pic:cNvPicPr>
                          <a:picLocks noChangeAspect="1" noChangeArrowheads="1"/>
                        </pic:cNvPicPr>
                      </pic:nvPicPr>
                      <pic:blipFill>
                        <a:blip r:embed="rId1"/>
                        <a:stretch>
                          <a:fillRect/>
                        </a:stretch>
                      </pic:blipFill>
                      <pic:spPr bwMode="auto">
                        <a:xfrm>
                          <a:off x="0" y="0"/>
                          <a:ext cx="1663700" cy="838200"/>
                        </a:xfrm>
                        <a:prstGeom prst="rect">
                          <a:avLst/>
                        </a:prstGeom>
                      </pic:spPr>
                    </pic:pic>
                  </a:graphicData>
                </a:graphic>
              </wp:inline>
            </w:drawing>
          </w:r>
          <w:r>
            <w:rPr>
              <w:noProof/>
              <w:lang w:eastAsia="es-MX"/>
            </w:rPr>
            <w:drawing>
              <wp:anchor distT="0" distB="0" distL="0" distR="0" simplePos="0" relativeHeight="52" behindDoc="1" locked="0" layoutInCell="1" allowOverlap="1">
                <wp:simplePos x="0" y="0"/>
                <wp:positionH relativeFrom="column">
                  <wp:posOffset>-144780</wp:posOffset>
                </wp:positionH>
                <wp:positionV relativeFrom="paragraph">
                  <wp:posOffset>200660</wp:posOffset>
                </wp:positionV>
                <wp:extent cx="6858635" cy="9144635"/>
                <wp:effectExtent l="0" t="0" r="0" b="0"/>
                <wp:wrapNone/>
                <wp:docPr id="9"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2095932798"/>
                        <pic:cNvPicPr>
                          <a:picLocks noChangeAspect="1" noChangeArrowheads="1"/>
                        </pic:cNvPicPr>
                      </pic:nvPicPr>
                      <pic:blipFill>
                        <a:blip r:embed="rId2"/>
                        <a:stretch>
                          <a:fillRect/>
                        </a:stretch>
                      </pic:blipFill>
                      <pic:spPr bwMode="auto">
                        <a:xfrm>
                          <a:off x="0" y="0"/>
                          <a:ext cx="6858635" cy="9144635"/>
                        </a:xfrm>
                        <a:prstGeom prst="rect">
                          <a:avLst/>
                        </a:prstGeom>
                      </pic:spPr>
                    </pic:pic>
                  </a:graphicData>
                </a:graphic>
              </wp:anchor>
            </w:drawing>
          </w:r>
        </w:p>
      </w:tc>
      <w:tc>
        <w:tcPr>
          <w:tcW w:w="2557" w:type="dxa"/>
          <w:shd w:val="clear" w:color="auto" w:fill="auto"/>
        </w:tcPr>
        <w:p w:rsidR="001F4E7A" w:rsidRDefault="0032792E">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1F4E7A" w:rsidRDefault="0032792E">
          <w:pPr>
            <w:ind w:left="34" w:right="-107"/>
            <w:jc w:val="both"/>
            <w:rPr>
              <w:rFonts w:ascii="Palatino Linotype" w:hAnsi="Palatino Linotype"/>
              <w:b/>
              <w:sz w:val="22"/>
              <w:szCs w:val="22"/>
              <w:lang w:val="es-ES_tradnl"/>
            </w:rPr>
          </w:pPr>
          <w:r>
            <w:rPr>
              <w:rFonts w:ascii="Palatino Linotype" w:hAnsi="Palatino Linotype"/>
              <w:b/>
              <w:sz w:val="22"/>
              <w:szCs w:val="22"/>
              <w:lang w:val="es-ES_tradnl"/>
            </w:rPr>
            <w:t>01112/INFOEM/IP/RR/2020</w:t>
          </w:r>
        </w:p>
      </w:tc>
    </w:tr>
    <w:tr w:rsidR="001F4E7A">
      <w:tc>
        <w:tcPr>
          <w:tcW w:w="3253" w:type="dxa"/>
          <w:vMerge/>
        </w:tcPr>
        <w:p w:rsidR="001F4E7A" w:rsidRDefault="001F4E7A">
          <w:pPr>
            <w:rPr>
              <w:rFonts w:ascii="Palatino Linotype" w:hAnsi="Palatino Linotype"/>
              <w:b/>
              <w:sz w:val="22"/>
              <w:szCs w:val="22"/>
              <w:lang w:val="es-ES_tradnl"/>
            </w:rPr>
          </w:pPr>
        </w:p>
      </w:tc>
      <w:tc>
        <w:tcPr>
          <w:tcW w:w="2557" w:type="dxa"/>
          <w:shd w:val="clear" w:color="auto" w:fill="auto"/>
        </w:tcPr>
        <w:p w:rsidR="001F4E7A" w:rsidRDefault="0032792E">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1F4E7A" w:rsidRDefault="0032792E">
          <w:pPr>
            <w:ind w:left="34" w:right="-107"/>
            <w:jc w:val="both"/>
            <w:rPr>
              <w:rFonts w:ascii="Palatino Linotype" w:hAnsi="Palatino Linotype"/>
              <w:b/>
              <w:sz w:val="22"/>
              <w:szCs w:val="22"/>
            </w:rPr>
          </w:pPr>
          <w:r>
            <w:rPr>
              <w:rFonts w:ascii="Palatino Linotype" w:hAnsi="Palatino Linotype"/>
              <w:b/>
              <w:sz w:val="22"/>
              <w:szCs w:val="22"/>
            </w:rPr>
            <w:t>Secretaría de Seguridad</w:t>
          </w:r>
        </w:p>
      </w:tc>
    </w:tr>
    <w:tr w:rsidR="001F4E7A">
      <w:trPr>
        <w:trHeight w:val="228"/>
      </w:trPr>
      <w:tc>
        <w:tcPr>
          <w:tcW w:w="3253" w:type="dxa"/>
          <w:vMerge/>
        </w:tcPr>
        <w:p w:rsidR="001F4E7A" w:rsidRDefault="001F4E7A">
          <w:pPr>
            <w:rPr>
              <w:rFonts w:ascii="Palatino Linotype" w:hAnsi="Palatino Linotype"/>
              <w:b/>
              <w:sz w:val="22"/>
              <w:szCs w:val="22"/>
              <w:lang w:val="es-ES_tradnl"/>
            </w:rPr>
          </w:pPr>
        </w:p>
      </w:tc>
      <w:tc>
        <w:tcPr>
          <w:tcW w:w="2557" w:type="dxa"/>
          <w:shd w:val="clear" w:color="auto" w:fill="auto"/>
        </w:tcPr>
        <w:p w:rsidR="001F4E7A" w:rsidRDefault="0032792E">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1F4E7A" w:rsidRDefault="0032792E">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1F4E7A" w:rsidRDefault="001F4E7A">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E7A" w:rsidRDefault="0032792E">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60" behindDoc="1" locked="0" layoutInCell="1" allowOverlap="1">
          <wp:simplePos x="0" y="0"/>
          <wp:positionH relativeFrom="column">
            <wp:align>center</wp:align>
          </wp:positionH>
          <wp:positionV relativeFrom="margin">
            <wp:align>center</wp:align>
          </wp:positionV>
          <wp:extent cx="6858635" cy="9144635"/>
          <wp:effectExtent l="0" t="0" r="0" b="0"/>
          <wp:wrapNone/>
          <wp:docPr id="10"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8"/>
      <w:gridCol w:w="3692"/>
    </w:tblGrid>
    <w:tr w:rsidR="001F4E7A">
      <w:tc>
        <w:tcPr>
          <w:tcW w:w="4250" w:type="dxa"/>
          <w:vMerge w:val="restart"/>
          <w:shd w:val="clear" w:color="auto" w:fill="auto"/>
        </w:tcPr>
        <w:p w:rsidR="001F4E7A" w:rsidRDefault="0032792E">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8" w:type="dxa"/>
          <w:shd w:val="clear" w:color="auto" w:fill="auto"/>
        </w:tcPr>
        <w:p w:rsidR="001F4E7A" w:rsidRDefault="0032792E">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2" w:type="dxa"/>
          <w:shd w:val="clear" w:color="auto" w:fill="auto"/>
          <w:vAlign w:val="center"/>
        </w:tcPr>
        <w:p w:rsidR="001F4E7A" w:rsidRDefault="0032792E">
          <w:pPr>
            <w:ind w:left="34" w:right="-107"/>
            <w:jc w:val="both"/>
            <w:rPr>
              <w:rFonts w:ascii="Palatino Linotype" w:hAnsi="Palatino Linotype"/>
              <w:b/>
              <w:sz w:val="22"/>
              <w:szCs w:val="22"/>
              <w:lang w:val="es-ES_tradnl"/>
            </w:rPr>
          </w:pPr>
          <w:r>
            <w:rPr>
              <w:rFonts w:ascii="Palatino Linotype" w:hAnsi="Palatino Linotype"/>
              <w:b/>
              <w:sz w:val="22"/>
              <w:szCs w:val="22"/>
              <w:lang w:val="es-ES_tradnl"/>
            </w:rPr>
            <w:t>01112/INFOEM/IP/RR/2020</w:t>
          </w:r>
        </w:p>
      </w:tc>
    </w:tr>
    <w:tr w:rsidR="001F4E7A">
      <w:tc>
        <w:tcPr>
          <w:tcW w:w="4250" w:type="dxa"/>
          <w:vMerge/>
          <w:shd w:val="clear" w:color="auto" w:fill="auto"/>
        </w:tcPr>
        <w:p w:rsidR="001F4E7A" w:rsidRDefault="001F4E7A">
          <w:pPr>
            <w:rPr>
              <w:rFonts w:ascii="Palatino Linotype" w:hAnsi="Palatino Linotype"/>
              <w:b/>
              <w:sz w:val="22"/>
              <w:szCs w:val="22"/>
              <w:lang w:val="es-ES_tradnl"/>
            </w:rPr>
          </w:pPr>
        </w:p>
      </w:tc>
      <w:tc>
        <w:tcPr>
          <w:tcW w:w="2548" w:type="dxa"/>
          <w:shd w:val="clear" w:color="auto" w:fill="auto"/>
        </w:tcPr>
        <w:p w:rsidR="001F4E7A" w:rsidRDefault="0032792E">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2" w:type="dxa"/>
          <w:shd w:val="clear" w:color="auto" w:fill="auto"/>
          <w:vAlign w:val="center"/>
        </w:tcPr>
        <w:p w:rsidR="001F4E7A" w:rsidRDefault="000A1E7B" w:rsidP="000A1E7B">
          <w:pPr>
            <w:ind w:left="34" w:right="-107"/>
            <w:jc w:val="both"/>
            <w:rPr>
              <w:rFonts w:ascii="Palatino Linotype" w:hAnsi="Palatino Linotype"/>
              <w:b/>
              <w:sz w:val="22"/>
              <w:szCs w:val="22"/>
            </w:rPr>
          </w:pPr>
          <w:r>
            <w:rPr>
              <w:rFonts w:ascii="Palatino Linotype" w:hAnsi="Palatino Linotype"/>
              <w:b/>
              <w:sz w:val="22"/>
              <w:szCs w:val="22"/>
            </w:rPr>
            <w:t>Xxxxxxxx</w:t>
          </w:r>
          <w:r w:rsidR="0032792E">
            <w:rPr>
              <w:rFonts w:ascii="Palatino Linotype" w:hAnsi="Palatino Linotype"/>
              <w:b/>
              <w:sz w:val="22"/>
              <w:szCs w:val="22"/>
            </w:rPr>
            <w:t xml:space="preserve"> </w:t>
          </w:r>
          <w:r>
            <w:rPr>
              <w:rFonts w:ascii="Palatino Linotype" w:hAnsi="Palatino Linotype"/>
              <w:b/>
              <w:sz w:val="22"/>
              <w:szCs w:val="22"/>
            </w:rPr>
            <w:t>Xxxxxxxxx</w:t>
          </w:r>
          <w:r w:rsidR="0032792E">
            <w:rPr>
              <w:rFonts w:ascii="Palatino Linotype" w:hAnsi="Palatino Linotype"/>
              <w:b/>
              <w:sz w:val="22"/>
              <w:szCs w:val="22"/>
            </w:rPr>
            <w:t xml:space="preserve"> </w:t>
          </w:r>
          <w:r>
            <w:rPr>
              <w:rFonts w:ascii="Palatino Linotype" w:hAnsi="Palatino Linotype"/>
              <w:b/>
              <w:sz w:val="22"/>
              <w:szCs w:val="22"/>
            </w:rPr>
            <w:t>Xxxxxxxx</w:t>
          </w:r>
        </w:p>
      </w:tc>
    </w:tr>
    <w:tr w:rsidR="001F4E7A">
      <w:trPr>
        <w:trHeight w:val="228"/>
      </w:trPr>
      <w:tc>
        <w:tcPr>
          <w:tcW w:w="4250" w:type="dxa"/>
          <w:vMerge/>
          <w:shd w:val="clear" w:color="auto" w:fill="auto"/>
        </w:tcPr>
        <w:p w:rsidR="001F4E7A" w:rsidRDefault="001F4E7A">
          <w:pPr>
            <w:rPr>
              <w:rFonts w:ascii="Palatino Linotype" w:hAnsi="Palatino Linotype"/>
              <w:b/>
              <w:sz w:val="22"/>
              <w:szCs w:val="22"/>
              <w:lang w:val="es-ES_tradnl"/>
            </w:rPr>
          </w:pPr>
        </w:p>
      </w:tc>
      <w:tc>
        <w:tcPr>
          <w:tcW w:w="2548" w:type="dxa"/>
          <w:shd w:val="clear" w:color="auto" w:fill="auto"/>
        </w:tcPr>
        <w:p w:rsidR="001F4E7A" w:rsidRDefault="0032792E">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2" w:type="dxa"/>
          <w:shd w:val="clear" w:color="auto" w:fill="auto"/>
          <w:vAlign w:val="center"/>
        </w:tcPr>
        <w:p w:rsidR="001F4E7A" w:rsidRDefault="0032792E">
          <w:pPr>
            <w:ind w:right="-107"/>
            <w:jc w:val="both"/>
            <w:rPr>
              <w:rFonts w:ascii="Palatino Linotype" w:hAnsi="Palatino Linotype"/>
              <w:b/>
              <w:sz w:val="22"/>
              <w:szCs w:val="22"/>
            </w:rPr>
          </w:pPr>
          <w:r>
            <w:rPr>
              <w:rFonts w:ascii="Palatino Linotype" w:hAnsi="Palatino Linotype"/>
              <w:b/>
              <w:sz w:val="22"/>
              <w:szCs w:val="22"/>
            </w:rPr>
            <w:t>Secretaría de Seguridad</w:t>
          </w:r>
        </w:p>
      </w:tc>
    </w:tr>
    <w:tr w:rsidR="001F4E7A">
      <w:tc>
        <w:tcPr>
          <w:tcW w:w="4250" w:type="dxa"/>
          <w:vMerge/>
          <w:shd w:val="clear" w:color="auto" w:fill="auto"/>
        </w:tcPr>
        <w:p w:rsidR="001F4E7A" w:rsidRDefault="001F4E7A">
          <w:pPr>
            <w:rPr>
              <w:rFonts w:ascii="Palatino Linotype" w:hAnsi="Palatino Linotype"/>
              <w:b/>
              <w:sz w:val="22"/>
              <w:szCs w:val="22"/>
              <w:lang w:val="es-ES_tradnl"/>
            </w:rPr>
          </w:pPr>
        </w:p>
      </w:tc>
      <w:tc>
        <w:tcPr>
          <w:tcW w:w="2548" w:type="dxa"/>
          <w:shd w:val="clear" w:color="auto" w:fill="auto"/>
        </w:tcPr>
        <w:p w:rsidR="001F4E7A" w:rsidRDefault="0032792E">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2" w:type="dxa"/>
          <w:shd w:val="clear" w:color="auto" w:fill="auto"/>
        </w:tcPr>
        <w:p w:rsidR="001F4E7A" w:rsidRDefault="0032792E">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1F4E7A" w:rsidRDefault="001F4E7A">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604236"/>
    <w:multiLevelType w:val="multilevel"/>
    <w:tmpl w:val="81DC5EBA"/>
    <w:lvl w:ilvl="0">
      <w:start w:val="1"/>
      <w:numFmt w:val="upperRoman"/>
      <w:lvlText w:val="%1."/>
      <w:lvlJc w:val="left"/>
      <w:pPr>
        <w:ind w:left="720" w:hanging="360"/>
      </w:pPr>
      <w:rPr>
        <w:b/>
        <w:bC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BF57204"/>
    <w:multiLevelType w:val="multilevel"/>
    <w:tmpl w:val="848C6854"/>
    <w:lvl w:ilvl="0">
      <w:start w:val="1"/>
      <w:numFmt w:val="decimal"/>
      <w:lvlText w:val="%1."/>
      <w:lvlJc w:val="left"/>
      <w:pPr>
        <w:ind w:left="644"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8B03ACF"/>
    <w:multiLevelType w:val="multilevel"/>
    <w:tmpl w:val="C4324F1C"/>
    <w:lvl w:ilvl="0">
      <w:start w:val="1"/>
      <w:numFmt w:val="ordinalText"/>
      <w:lvlText w:val="%1."/>
      <w:lvlJc w:val="left"/>
      <w:pPr>
        <w:ind w:left="644"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FE32D22"/>
    <w:multiLevelType w:val="multilevel"/>
    <w:tmpl w:val="4ECEA38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7B8D16FE"/>
    <w:multiLevelType w:val="multilevel"/>
    <w:tmpl w:val="6F54895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E7A"/>
    <w:rsid w:val="000A1E7B"/>
    <w:rsid w:val="001119D9"/>
    <w:rsid w:val="001F4E7A"/>
    <w:rsid w:val="002B745C"/>
    <w:rsid w:val="0032792E"/>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991AEE-DBF3-470A-8A89-35D065FB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Smbolosdenumeracin">
    <w:name w:val="Símbolos de numeración"/>
    <w:qFormat/>
    <w:rPr>
      <w:b/>
      <w:bCs/>
      <w:sz w:val="28"/>
      <w:szCs w:val="28"/>
    </w:rPr>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59"/>
    <w:rsid w:val="00555C12"/>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177F5F"/>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05F7C-6F69-4B72-9FA5-08614495F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11117</Words>
  <Characters>61149</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72122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USUARIO</cp:lastModifiedBy>
  <cp:revision>2</cp:revision>
  <cp:lastPrinted>2020-01-22T19:55:00Z</cp:lastPrinted>
  <dcterms:created xsi:type="dcterms:W3CDTF">2020-08-31T20:30:00Z</dcterms:created>
  <dcterms:modified xsi:type="dcterms:W3CDTF">2020-08-31T20:30:00Z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