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A6DF8">
        <w:rPr>
          <w:rFonts w:ascii="Palatino Linotype" w:eastAsia="Times New Roman" w:hAnsi="Palatino Linotype" w:cs="Arial"/>
          <w:color w:val="000000"/>
          <w:sz w:val="24"/>
          <w:szCs w:val="24"/>
          <w:lang w:eastAsia="es-MX"/>
        </w:rPr>
        <w:t>diecisiete</w:t>
      </w:r>
      <w:r w:rsidR="00DC63DA">
        <w:rPr>
          <w:rFonts w:ascii="Palatino Linotype" w:eastAsia="Times New Roman" w:hAnsi="Palatino Linotype" w:cs="Arial"/>
          <w:color w:val="000000"/>
          <w:sz w:val="24"/>
          <w:szCs w:val="24"/>
          <w:lang w:eastAsia="es-MX"/>
        </w:rPr>
        <w:t xml:space="preserve"> de septiembre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390B6D">
        <w:rPr>
          <w:rFonts w:ascii="Palatino Linotype" w:hAnsi="Palatino Linotype" w:cs="Arial"/>
          <w:b/>
          <w:bCs/>
          <w:sz w:val="24"/>
          <w:lang w:eastAsia="es-MX"/>
        </w:rPr>
        <w:t>01175</w:t>
      </w:r>
      <w:r w:rsidR="009257B1" w:rsidRPr="009257B1">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9257B1">
        <w:rPr>
          <w:rFonts w:ascii="Palatino Linotype" w:hAnsi="Palatino Linotype" w:cs="Arial"/>
          <w:sz w:val="24"/>
          <w:szCs w:val="24"/>
        </w:rPr>
        <w:t xml:space="preserve">interpuesto por la </w:t>
      </w:r>
      <w:r w:rsidR="009257B1" w:rsidRPr="009257B1">
        <w:rPr>
          <w:rFonts w:ascii="Palatino Linotype" w:hAnsi="Palatino Linotype" w:cs="Arial"/>
          <w:b/>
          <w:sz w:val="24"/>
          <w:szCs w:val="24"/>
        </w:rPr>
        <w:t xml:space="preserve">C. </w:t>
      </w:r>
      <w:r w:rsidR="00AC7AC1">
        <w:rPr>
          <w:rFonts w:ascii="Palatino Linotype" w:hAnsi="Palatino Linotype" w:cs="Arial"/>
          <w:b/>
          <w:sz w:val="24"/>
          <w:szCs w:val="24"/>
        </w:rPr>
        <w:t>xxxxxxxxxxxxxxxxxxxx</w:t>
      </w:r>
      <w:bookmarkStart w:id="0" w:name="_GoBack"/>
      <w:bookmarkEnd w:id="0"/>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0089347E">
        <w:rPr>
          <w:rFonts w:ascii="Palatino Linotype" w:hAnsi="Palatino Linotype" w:cs="Arial"/>
          <w:b/>
          <w:sz w:val="24"/>
          <w:szCs w:val="24"/>
        </w:rPr>
        <w:t>La Recurren</w:t>
      </w:r>
      <w:r w:rsidR="0089347E" w:rsidRPr="00EC5688">
        <w:rPr>
          <w:rFonts w:ascii="Palatino Linotype" w:hAnsi="Palatino Linotype" w:cs="Arial"/>
          <w:b/>
          <w:sz w:val="24"/>
          <w:szCs w:val="24"/>
        </w:rPr>
        <w:t>te</w:t>
      </w:r>
      <w:r w:rsidRPr="00EC5688">
        <w:rPr>
          <w:rFonts w:ascii="Palatino Linotype" w:hAnsi="Palatino Linotype" w:cs="Arial"/>
          <w:b/>
          <w:sz w:val="24"/>
          <w:szCs w:val="24"/>
        </w:rPr>
        <w:t xml:space="preserve">, </w:t>
      </w:r>
      <w:r w:rsidR="00390B6D" w:rsidRPr="00EC5688">
        <w:rPr>
          <w:rFonts w:ascii="Palatino Linotype" w:hAnsi="Palatino Linotype" w:cs="Arial"/>
          <w:sz w:val="24"/>
          <w:szCs w:val="24"/>
        </w:rPr>
        <w:t>en contra de la respuesta de</w:t>
      </w:r>
      <w:r w:rsidR="00EC5688" w:rsidRPr="00EC5688">
        <w:rPr>
          <w:rFonts w:ascii="Palatino Linotype" w:hAnsi="Palatino Linotype" w:cs="Arial"/>
          <w:sz w:val="24"/>
          <w:szCs w:val="24"/>
        </w:rPr>
        <w:t>l</w:t>
      </w:r>
      <w:r w:rsidR="00390B6D" w:rsidRPr="00EC5688">
        <w:rPr>
          <w:rFonts w:ascii="Palatino Linotype" w:hAnsi="Palatino Linotype" w:cs="Arial"/>
          <w:sz w:val="24"/>
          <w:szCs w:val="24"/>
        </w:rPr>
        <w:t xml:space="preserve"> </w:t>
      </w:r>
      <w:r w:rsidR="00EC5688" w:rsidRPr="00EC5688">
        <w:rPr>
          <w:rFonts w:ascii="Palatino Linotype" w:hAnsi="Palatino Linotype" w:cs="Arial"/>
          <w:sz w:val="24"/>
          <w:szCs w:val="24"/>
        </w:rPr>
        <w:t>Tribunal de Justicia Administrativa del Estado de México</w:t>
      </w:r>
      <w:r w:rsidRPr="00EC5688">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390B6D">
        <w:rPr>
          <w:rFonts w:ascii="Palatino Linotype" w:hAnsi="Palatino Linotype" w:cs="Arial"/>
          <w:sz w:val="24"/>
        </w:rPr>
        <w:t>veinte</w:t>
      </w:r>
      <w:r w:rsidR="001C2191">
        <w:rPr>
          <w:rFonts w:ascii="Palatino Linotype" w:hAnsi="Palatino Linotype" w:cs="Arial"/>
          <w:sz w:val="24"/>
        </w:rPr>
        <w:t xml:space="preserve"> de enero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89347E">
        <w:rPr>
          <w:rFonts w:ascii="Palatino Linotype" w:hAnsi="Palatino Linotype" w:cs="Arial"/>
          <w:b/>
          <w:sz w:val="24"/>
        </w:rPr>
        <w:t>La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D86B0B" w:rsidRPr="00D86B0B">
        <w:rPr>
          <w:rFonts w:ascii="Palatino Linotype" w:hAnsi="Palatino Linotype" w:cs="Arial"/>
          <w:b/>
          <w:sz w:val="24"/>
        </w:rPr>
        <w:t>00015/TRIJAEM/IP/2020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D86B0B" w:rsidRPr="00D86B0B">
        <w:rPr>
          <w:rFonts w:ascii="Palatino Linotype" w:hAnsi="Palatino Linotype"/>
          <w:i/>
          <w:color w:val="000000"/>
          <w:sz w:val="24"/>
        </w:rPr>
        <w:t xml:space="preserve">Buenas tardes, podría ayudarme con la siguiente información: En lo que concierne al Código Financiero del Estado de México y Municipios en su artículo 147 fracción III que indica que “certificaciones de pago realizadas por concepto de impuestos, derechos y aportaciones de mejoras, por cada una” se pagarán 2.5 UMA: 1) ¿Un Organismo Público Descentralizado Municipal de Agua Potable (O.P.D.M.) puede cobrar más de lo que indica el artículo anterior cuando se le solicita una certificación </w:t>
      </w:r>
      <w:r w:rsidR="00D86B0B" w:rsidRPr="00D86B0B">
        <w:rPr>
          <w:rFonts w:ascii="Palatino Linotype" w:hAnsi="Palatino Linotype"/>
          <w:i/>
          <w:color w:val="000000"/>
          <w:sz w:val="24"/>
        </w:rPr>
        <w:lastRenderedPageBreak/>
        <w:t>de no adeudo de pagos de servicios de agua potable y/o drenaje? 2) ¿Puede este O.P.D.M. sustentar un cobro mayor al de este artículo, en lo dispuesto por el artículo 115 fracciones I y II de la Constitución Política de los Estados Unidos Mexicanos; 122 de la Constitución Política del Estado Libre y Soberano de México; 2 y 3 de la Ley Orgánica Municipal del Estado de México; 108 dl Código de Procedimientos Administrativos del Estado de México; aun cuando los ordenamientos nombrados estipulan que debe considerar las leyes existentes, como un ordenamiento jerárquicamente superior como es el caso el Código Financiero del Estado de México y Municipios? 3) ¿El O.P.D.M. puede estipular que el costo de la certificación de no adeudo pueda cobrarse de acuerdo al tipo de inmueble, por ejemplo: predio de uso doméstico popular, predio de uso doméstico medo o residencial y predio de uso no doméstico o comercial; aun cuando este artículo establece un costo único independientemente del predio de que se trate? 4) ¿Esta certificación de pagos expresada en este artículo debe ser gravada con el I.V.A.? Si es así, cuál es el fundamento jurídico específico para sustentar esto. II. De acuerdo al Código Financiero del Estado de México y Municipios, artículo 48 fracción I, “las autoridades fiscales, para … cerciorarse del cumplimiento a las disposiciones de este Código, estarán facultadas para: I. Ordenar y practicar visitas domiciliarias…” Visita que también se menciona en el artículo 128 del Código de Procedimientos Administrativos del Estado de México: 5) El O.P.D.M. para expedir una certificación de no adeudo, al solicitar una visita domiciliaria nombrándola como inspección, ¿está facultado para cobrar por esta inspección? 6) ¿El O.P.D.M. puede estipular que el costo de la visita domiciliaria (inspección) en función al tipo de inmueble, por ejemplo: predio de uso doméstico popular, predio de uso doméstico medo o residencial y predio de uso no doméstico o comercial?</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1C4DE8" w:rsidRDefault="001C4DE8" w:rsidP="00EF4493">
      <w:pPr>
        <w:spacing w:before="240" w:line="360" w:lineRule="auto"/>
        <w:jc w:val="both"/>
        <w:rPr>
          <w:rFonts w:ascii="Palatino Linotype" w:hAnsi="Palatino Linotype" w:cs="Arial"/>
          <w:b/>
          <w:sz w:val="28"/>
        </w:rPr>
      </w:pP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AE3572"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Metepec, México a 2</w:t>
            </w:r>
            <w:r w:rsidR="003F3FEE">
              <w:rPr>
                <w:rFonts w:ascii="Verdana" w:hAnsi="Verdana"/>
                <w:color w:val="000000"/>
                <w:sz w:val="18"/>
                <w:szCs w:val="18"/>
              </w:rPr>
              <w:t>1 de Febrero de 2020</w:t>
            </w:r>
          </w:p>
        </w:tc>
      </w:tr>
      <w:tr w:rsidR="00EC3B3A" w:rsidRPr="00EC3B3A" w:rsidTr="00EC3B3A">
        <w:trPr>
          <w:trHeight w:val="150"/>
          <w:tblCellSpacing w:w="0" w:type="dxa"/>
          <w:jc w:val="center"/>
        </w:trPr>
        <w:tc>
          <w:tcPr>
            <w:tcW w:w="0" w:type="auto"/>
            <w:vAlign w:val="center"/>
            <w:hideMark/>
          </w:tcPr>
          <w:p w:rsidR="00EC3B3A" w:rsidRPr="00EC3B3A" w:rsidRDefault="00EC3B3A" w:rsidP="003F3FEE">
            <w:pPr>
              <w:spacing w:after="0" w:line="240" w:lineRule="auto"/>
              <w:ind w:right="861"/>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 xml:space="preserve">Folio de la solicitud: </w:t>
            </w:r>
            <w:r w:rsidR="00AE3572">
              <w:rPr>
                <w:rFonts w:ascii="Verdana" w:hAnsi="Verdana"/>
                <w:color w:val="000000"/>
                <w:sz w:val="18"/>
                <w:szCs w:val="18"/>
              </w:rPr>
              <w:t>00015/TRIJAEM/IP/2020</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3F3FEE" w:rsidRPr="00EC3B3A" w:rsidTr="00EC3B3A">
        <w:trPr>
          <w:trHeight w:val="150"/>
          <w:tblCellSpacing w:w="0" w:type="dxa"/>
          <w:jc w:val="center"/>
        </w:trPr>
        <w:tc>
          <w:tcPr>
            <w:tcW w:w="0" w:type="auto"/>
            <w:vAlign w:val="center"/>
            <w:hideMark/>
          </w:tcPr>
          <w:p w:rsidR="003F3FEE" w:rsidRDefault="003F3FEE" w:rsidP="003F3FEE">
            <w:pPr>
              <w:ind w:left="709" w:right="577"/>
              <w:jc w:val="both"/>
              <w:rPr>
                <w:rFonts w:ascii="Verdana" w:hAnsi="Verdana"/>
                <w:sz w:val="18"/>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40EF5" w:rsidRPr="00A40EF5" w:rsidTr="00A40EF5">
              <w:trPr>
                <w:trHeight w:val="150"/>
                <w:tblCellSpacing w:w="0" w:type="dxa"/>
                <w:jc w:val="center"/>
              </w:trPr>
              <w:tc>
                <w:tcPr>
                  <w:tcW w:w="0" w:type="auto"/>
                  <w:vAlign w:val="center"/>
                  <w:hideMark/>
                </w:tcPr>
                <w:p w:rsidR="00A40EF5" w:rsidRPr="00A40EF5" w:rsidRDefault="00A40EF5" w:rsidP="00A40EF5">
                  <w:pPr>
                    <w:spacing w:after="0" w:line="240" w:lineRule="auto"/>
                    <w:ind w:left="709" w:right="861"/>
                    <w:jc w:val="both"/>
                    <w:rPr>
                      <w:rFonts w:ascii="Times New Roman" w:eastAsia="Times New Roman" w:hAnsi="Times New Roman" w:cs="Times New Roman"/>
                      <w:sz w:val="24"/>
                      <w:szCs w:val="24"/>
                      <w:lang w:eastAsia="es-MX"/>
                    </w:rPr>
                  </w:pPr>
                  <w:r w:rsidRPr="00A40EF5">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40EF5" w:rsidRPr="00A40EF5" w:rsidTr="00A40EF5">
              <w:trPr>
                <w:trHeight w:val="375"/>
                <w:tblCellSpacing w:w="0" w:type="dxa"/>
                <w:jc w:val="center"/>
              </w:trPr>
              <w:tc>
                <w:tcPr>
                  <w:tcW w:w="0" w:type="auto"/>
                  <w:vAlign w:val="center"/>
                  <w:hideMark/>
                </w:tcPr>
                <w:p w:rsidR="00A40EF5" w:rsidRPr="00A40EF5" w:rsidRDefault="00A40EF5" w:rsidP="00A40EF5">
                  <w:pPr>
                    <w:spacing w:after="0" w:line="240" w:lineRule="auto"/>
                    <w:rPr>
                      <w:rFonts w:ascii="Times New Roman" w:eastAsia="Times New Roman" w:hAnsi="Times New Roman" w:cs="Times New Roman"/>
                      <w:sz w:val="24"/>
                      <w:szCs w:val="24"/>
                      <w:lang w:eastAsia="es-MX"/>
                    </w:rPr>
                  </w:pPr>
                </w:p>
              </w:tc>
            </w:tr>
            <w:tr w:rsidR="00A40EF5" w:rsidRPr="00A40EF5" w:rsidTr="00A40EF5">
              <w:trPr>
                <w:trHeight w:val="150"/>
                <w:tblCellSpacing w:w="0" w:type="dxa"/>
                <w:jc w:val="center"/>
              </w:trPr>
              <w:tc>
                <w:tcPr>
                  <w:tcW w:w="0" w:type="auto"/>
                  <w:vAlign w:val="center"/>
                  <w:hideMark/>
                </w:tcPr>
                <w:p w:rsidR="00A40EF5" w:rsidRPr="00A40EF5" w:rsidRDefault="00A40EF5" w:rsidP="00A40EF5">
                  <w:pPr>
                    <w:spacing w:after="0" w:line="240" w:lineRule="auto"/>
                    <w:ind w:left="851" w:hanging="142"/>
                    <w:rPr>
                      <w:rFonts w:ascii="Times New Roman" w:eastAsia="Times New Roman" w:hAnsi="Times New Roman" w:cs="Times New Roman"/>
                      <w:sz w:val="24"/>
                      <w:szCs w:val="24"/>
                      <w:lang w:eastAsia="es-MX"/>
                    </w:rPr>
                  </w:pPr>
                  <w:r w:rsidRPr="00A40EF5">
                    <w:rPr>
                      <w:rFonts w:ascii="Verdana" w:eastAsia="Times New Roman" w:hAnsi="Verdana" w:cs="Times New Roman"/>
                      <w:sz w:val="18"/>
                      <w:szCs w:val="18"/>
                      <w:lang w:eastAsia="es-MX"/>
                    </w:rPr>
                    <w:t>En el archivo adjunto se da respuesta a la presente solicitud.</w:t>
                  </w:r>
                </w:p>
              </w:tc>
            </w:tr>
          </w:tbl>
          <w:p w:rsidR="003F3FEE" w:rsidRDefault="003F3FEE" w:rsidP="00A40EF5">
            <w:pPr>
              <w:ind w:left="851" w:right="577" w:hanging="142"/>
              <w:jc w:val="both"/>
            </w:pPr>
          </w:p>
        </w:tc>
      </w:tr>
      <w:tr w:rsidR="003F3FEE" w:rsidRPr="00EC3B3A" w:rsidTr="00EC3B3A">
        <w:trPr>
          <w:trHeight w:val="150"/>
          <w:tblCellSpacing w:w="0" w:type="dxa"/>
          <w:jc w:val="center"/>
        </w:trPr>
        <w:tc>
          <w:tcPr>
            <w:tcW w:w="0" w:type="auto"/>
            <w:vAlign w:val="center"/>
            <w:hideMark/>
          </w:tcPr>
          <w:p w:rsidR="003F3FEE" w:rsidRDefault="003F3FEE" w:rsidP="003F3FEE">
            <w:pPr>
              <w:ind w:right="577"/>
            </w:pPr>
          </w:p>
        </w:tc>
      </w:tr>
      <w:tr w:rsidR="003F3FEE" w:rsidRPr="00EC3B3A" w:rsidTr="00EC3B3A">
        <w:trPr>
          <w:trHeight w:val="150"/>
          <w:tblCellSpacing w:w="0" w:type="dxa"/>
          <w:jc w:val="center"/>
        </w:trPr>
        <w:tc>
          <w:tcPr>
            <w:tcW w:w="0" w:type="auto"/>
            <w:vAlign w:val="center"/>
            <w:hideMark/>
          </w:tcPr>
          <w:p w:rsidR="003F3FEE" w:rsidRDefault="003F3FEE" w:rsidP="003F3FEE">
            <w:pPr>
              <w:ind w:left="709" w:right="577"/>
              <w:jc w:val="both"/>
              <w:rPr>
                <w:sz w:val="24"/>
                <w:szCs w:val="24"/>
              </w:rPr>
            </w:pPr>
          </w:p>
        </w:tc>
      </w:tr>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A40EF5"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L.A.E. ERIKA YOLANDA FUNES VELÁZQUEZ</w:t>
            </w:r>
          </w:p>
        </w:tc>
      </w:tr>
    </w:tbl>
    <w:p w:rsidR="008D26B9" w:rsidRDefault="008D26B9" w:rsidP="008D26B9">
      <w:pPr>
        <w:pStyle w:val="Sinespaciado"/>
      </w:pPr>
    </w:p>
    <w:p w:rsidR="00410477" w:rsidRPr="00B800D6" w:rsidRDefault="00743681" w:rsidP="00B053B3">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A40EF5">
        <w:rPr>
          <w:rFonts w:ascii="Palatino Linotype" w:hAnsi="Palatino Linotype" w:cs="Arial"/>
          <w:sz w:val="24"/>
        </w:rPr>
        <w:t>un</w:t>
      </w:r>
      <w:r w:rsidR="0029144A">
        <w:rPr>
          <w:rFonts w:ascii="Palatino Linotype" w:hAnsi="Palatino Linotype" w:cs="Arial"/>
          <w:sz w:val="24"/>
        </w:rPr>
        <w:t xml:space="preserve"> archivo electrónico</w:t>
      </w:r>
      <w:r w:rsidR="00B800D6">
        <w:rPr>
          <w:rFonts w:ascii="Palatino Linotype" w:hAnsi="Palatino Linotype" w:cs="Arial"/>
          <w:sz w:val="24"/>
        </w:rPr>
        <w:t xml:space="preserve"> en formato </w:t>
      </w:r>
      <w:r w:rsidR="008A7F6E">
        <w:rPr>
          <w:rFonts w:ascii="Palatino Linotype" w:hAnsi="Palatino Linotype" w:cs="Arial"/>
          <w:sz w:val="24"/>
        </w:rPr>
        <w:t>pdf</w:t>
      </w:r>
      <w:r w:rsidR="00EC49F7">
        <w:rPr>
          <w:rFonts w:ascii="Palatino Linotype" w:hAnsi="Palatino Linotype" w:cs="Arial"/>
          <w:i/>
          <w:sz w:val="24"/>
        </w:rPr>
        <w:t xml:space="preserve"> </w:t>
      </w:r>
      <w:r w:rsidR="00DB7D43">
        <w:rPr>
          <w:rFonts w:ascii="Palatino Linotype" w:hAnsi="Palatino Linotype" w:cs="Arial"/>
          <w:sz w:val="24"/>
        </w:rPr>
        <w:t>denominado</w:t>
      </w:r>
      <w:r w:rsidR="00B800D6">
        <w:rPr>
          <w:rFonts w:ascii="Palatino Linotype" w:hAnsi="Palatino Linotype" w:cs="Arial"/>
          <w:i/>
          <w:sz w:val="24"/>
        </w:rPr>
        <w:t xml:space="preserve"> </w:t>
      </w:r>
      <w:r w:rsidR="00B800D6" w:rsidRPr="00B053B3">
        <w:rPr>
          <w:rFonts w:ascii="Palatino Linotype" w:hAnsi="Palatino Linotype" w:cs="Arial"/>
        </w:rPr>
        <w:t>“</w:t>
      </w:r>
      <w:r w:rsidR="00A40EF5" w:rsidRPr="00A40EF5">
        <w:rPr>
          <w:rFonts w:ascii="Palatino Linotype" w:hAnsi="Palatino Linotype" w:cs="Arial"/>
        </w:rPr>
        <w:t>ACUERDO SOL 015- 2020.pdf</w:t>
      </w:r>
      <w:r w:rsidR="00A40EF5">
        <w:rPr>
          <w:rFonts w:ascii="Palatino Linotype" w:hAnsi="Palatino Linotype" w:cs="Arial"/>
        </w:rPr>
        <w:t>”</w:t>
      </w:r>
      <w:r w:rsidR="00251626">
        <w:rPr>
          <w:rFonts w:ascii="Palatino Linotype" w:hAnsi="Palatino Linotype" w:cs="Arial"/>
          <w:sz w:val="24"/>
        </w:rPr>
        <w:t>, mismo</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89347E">
        <w:rPr>
          <w:rFonts w:ascii="Palatino Linotype" w:hAnsi="Palatino Linotype" w:cs="Arial"/>
          <w:b/>
          <w:sz w:val="24"/>
          <w:szCs w:val="24"/>
        </w:rPr>
        <w:t>La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F2291D">
        <w:rPr>
          <w:rFonts w:ascii="Palatino Linotype" w:hAnsi="Palatino Linotype" w:cs="Arial"/>
          <w:sz w:val="24"/>
          <w:szCs w:val="24"/>
        </w:rPr>
        <w:t>veintitrés</w:t>
      </w:r>
      <w:r w:rsidR="007C2B1C">
        <w:rPr>
          <w:rFonts w:ascii="Palatino Linotype" w:hAnsi="Palatino Linotype" w:cs="Arial"/>
          <w:sz w:val="24"/>
          <w:szCs w:val="24"/>
        </w:rPr>
        <w:t xml:space="preserve"> de febrero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w:t>
      </w:r>
      <w:r w:rsidRPr="003E6C60">
        <w:rPr>
          <w:rFonts w:ascii="Palatino Linotype" w:hAnsi="Palatino Linotype" w:cs="Arial"/>
          <w:sz w:val="24"/>
          <w:szCs w:val="24"/>
        </w:rPr>
        <w:lastRenderedPageBreak/>
        <w:t xml:space="preserve">fue registrado en el sistema electrónico con el expediente número </w:t>
      </w:r>
      <w:r w:rsidR="00493068">
        <w:rPr>
          <w:rFonts w:ascii="Palatino Linotype" w:hAnsi="Palatino Linotype" w:cs="Arial"/>
          <w:b/>
          <w:sz w:val="24"/>
          <w:szCs w:val="24"/>
        </w:rPr>
        <w:t>01460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C16707" w:rsidRPr="00C16707">
        <w:rPr>
          <w:rFonts w:ascii="Palatino Linotype" w:hAnsi="Palatino Linotype"/>
          <w:i/>
          <w:color w:val="000000"/>
        </w:rPr>
        <w:t xml:space="preserve">Respuesta a las preguntas 1 y 2 de la solicitud: 00015/TRIJAEM/IP/2020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C16707" w:rsidRPr="00C16707">
        <w:rPr>
          <w:rFonts w:ascii="Palatino Linotype" w:hAnsi="Palatino Linotype"/>
          <w:i/>
          <w:color w:val="000000"/>
        </w:rPr>
        <w:t xml:space="preserve">Buenas tardes, disculpe, no me es clara la respuesta recibida a la pregunta 1 y 2. Es por ello que quisiera solicitar información más detallada al respecto: Considerando que: De acuerdo al artículo 8 del Código Financiero del Estado de México y Municipios, “ninguna contribución podrá recaudarse si no está prevista en la Ley de Ingresos correspondiente. Sólo podrá destinarse un ingreso a un fin específico, cuando así lo disponga expresamente este Código, la Ley de Ingresos o el Presupuesto de Egresos”. Y asimismo, considerando que otros ordenamientos muestran que se requiere de un proceso legislativo para el establecimiento de una ley u ordenamiento, en donde es la Legislatura del Estado quien las expide y Municipio puede hacer la propuesta, tales como: la fracción II y el inciso c) de la fracción IV ambos del art. 115 de la Constitución Política de los Estados Unidos Mexicanos; la fracción IV del art. 51, art. 56, art. 57, la fracción XXVII del art. 61 de la Constitución Política del Estado Libre y Soberano de México; art. 18 y fracción III del art. 61 de la Ley del Agua para el Estado de México y Municipios; art. 121 del Reglamento de la Ley del Agua para el Estado de México y Municipios. Y teniendo en cuenta que en la Ley de Ingresos del Estado de México para el ejercicio fiscal 2020 señala en su artículo 17 que: “durante los meses de enero, febrero y marzo del Ejercicio Fiscal del año 2020, las Entidades Públicas deberán informar a la Secretaría de Finanzas los montos de los precios y tarifas por los bienes y servicios a proporcionar durante dicho ejercicio, conforme a los lineamientos que para tal efecto emita la propia Secretaría. Los </w:t>
      </w:r>
      <w:r w:rsidR="00C16707" w:rsidRPr="00C16707">
        <w:rPr>
          <w:rFonts w:ascii="Palatino Linotype" w:hAnsi="Palatino Linotype"/>
          <w:i/>
          <w:color w:val="000000"/>
        </w:rPr>
        <w:lastRenderedPageBreak/>
        <w:t xml:space="preserve">montos que no se informen a la Secretaría de Finanzas conforme a lo solicitado, no podrán ser cobrados a partir del 1º de abril de dicho año y hasta la fecha en que sean informados”. Y en su segundo párrafo: “Tratándose de precios y tarifas de nueva creación, así como las modificaciones a los mismos, se deberá informar a la Secretaría de Finanzas conforme a los lineamientos referidos en el párrafo anterior. La Secretaría de Finanzas podrá, mediante resoluciones de carácter particular, modificar los montos de los precios y tarifas que sean informados.” En la Ley de Ingresos de los Municipios del Estado de México para el ejercicio fiscal 2020, en el párrafo quinto de la Exposición de Motivos señala que "los ajustes generales que aquí se proponen, permitirán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Y, en su artículo tercero transitorio se señala que: “Las entidades públicas podrán cobrar los precios y tarifas a que se refiere el artículo 17 de la presente Ley durante los meses de enero, febrero y marzo de 2020, aplicando los últimos que se hubieren informado en 2019.” Mientras que en el Decreto número 124 publicado en la Gaceta Oficial el 26 de diciembre de 2019 “Por el que se Aprueban las Tarifas Aplicables al Pago de los Derechos por los Servicios Públicos Municipales de Agua Potable, Drenaje, Alcantarillado y Recepción de los Caudales de Aguas Residuales para su Tratamiento y Disposición de Aguas Residuales, diferentes a las establecidas en el Código Financiero del Estado de México y Municipios de los Municipios de Acolman, Amecameca, Atizapán de Zaragoza, Atlacomulco, Coacalco de Berriozábal, Cuautitlán Izcalli, Cuautitlán, El Oro, Huixquilucan, Jilotepec, Lerma, Metepec, Naucalpan de Juárez, Tecámac, Tepotzotlán, Tlalnepantla de Baz, Toluca, Tultitlán, Valle de Bravo y Zinacantepec, México, para el Ejercicio Fiscal 2020”. Cabe señalar que las tarifas a que se refieren este Decreto número 124 corresponden exclusivamente a la modificación de tarifas de los artículos 130 (derechos por el suministro de agua potable), 103 Bis (por servicio de </w:t>
      </w:r>
      <w:r w:rsidR="00C16707" w:rsidRPr="00C16707">
        <w:rPr>
          <w:rFonts w:ascii="Palatino Linotype" w:hAnsi="Palatino Linotype"/>
          <w:i/>
          <w:color w:val="000000"/>
        </w:rPr>
        <w:lastRenderedPageBreak/>
        <w:t xml:space="preserve">drenaje y alcantarillado), 130 Bis A (por usuarios que se abastezcan de agua de fuentes diversas a la red), 131 (por suministro de agua en bloque), 134 (por derivaciones de toma de agua), 135 (por prestación de servicios de conexión de agua y drenaje), 136 (por la recepción de los caudales de aguas residuales),137(por expedición del dictamen de factibilidad de servicios), 137 Bis (por el control para el establecimiento del sistema de agua potable y alcantarillado), y 138 (por la conexión de la toma para suministro de agua en bloque) del Código Financiero del Estado de México y Municipios. Ni en este Decreto 124; ni en la Ley de Ingresos del Estado de México de 2019 y la del 2020; ni en la Ley de Ingresos de los Municipios del Estado de México 2019 y la del 2020; se menciona la modificación al artículo 147 del Código Financiero del Estado de México y Municipios, ni se hace mención de otras tarifas o cuotas que cobran los Municipios y O.P.D.M (Organismo Público Descentralizado Municipal) por derechos de servicios prestados; ni de un aumento de los ya existentes. 1. ¿Cuál es el fundamento jurídico para la respuesta afirmativa a la pregunta 1 y 2? 2. Toda tarifa o cuota, ya sea que sea nueva o modifique otra existente, propuesta por un Municipio o un O.P.D.M., ¿para poder ser cobrada, requiere sujetarse al proceso legislativo ante la Legislatura del Estado y ser aprobada? 3. ¿Cualquier tarifa autorizada, para que surta efecto, debe ser publicada en la Gaceta de Gobierno? Tomando en consideración que el artículo 5 del Código Financiero del Estado de México, que señala que “las leyes, reglamentos y demás disposiciones financieras de observancia general, obligan y surten sus efectos al día siguiente de su publicación en el Periódico Oficial, salvo que en las mismas se señale una fecha diferente”. 4. ¿Una tarifa o cuota puede ser cobrada si sólo sea aprobada por el Ayuntamiento u O.P.D.M. y es publicada en la Gaceta Municipal, sin haber sido autorizada por la Legislatura Estatal? Si es así, ¿cuál es el fundamento jurídico para ello? 5. ¿El Municipio o un O.P.D.M. tiene facultad legislativa? 6. ¿El Municipio o un O.P.D.M, sólo está facultado para expedir ordenamientos de carácter administrativo, como el bando municipal, reglamentos? 7. Si el Municipio o un O.P.D.M. no informan de sus tarifas u cuotas a la </w:t>
      </w:r>
      <w:r w:rsidR="00C16707" w:rsidRPr="00C16707">
        <w:rPr>
          <w:rFonts w:ascii="Palatino Linotype" w:hAnsi="Palatino Linotype"/>
          <w:i/>
          <w:color w:val="000000"/>
        </w:rPr>
        <w:lastRenderedPageBreak/>
        <w:t>Secretaría de Finanzas en los tiempos y formas que establece la Ley de Ingresos ¿no podrán ser cobradas por estas entidades públicas?</w:t>
      </w:r>
      <w:r w:rsidRPr="003E6C60">
        <w:rPr>
          <w:rFonts w:ascii="Palatino Linotype" w:hAnsi="Palatino Linotype" w:cs="Arial"/>
          <w:i/>
        </w:rPr>
        <w:t xml:space="preserve">” </w:t>
      </w:r>
      <w:r w:rsidRPr="00F13F6A">
        <w:rPr>
          <w:rFonts w:ascii="Palatino Linotype" w:hAnsi="Palatino Linotype" w:cs="Arial"/>
          <w:i/>
        </w:rPr>
        <w:t>[Sic]</w:t>
      </w:r>
    </w:p>
    <w:p w:rsidR="00C16707" w:rsidRDefault="00C16707" w:rsidP="00EF4493">
      <w:pPr>
        <w:spacing w:before="240" w:line="360" w:lineRule="auto"/>
        <w:jc w:val="both"/>
        <w:rPr>
          <w:rFonts w:ascii="Palatino Linotype" w:hAnsi="Palatino Linotype" w:cs="Arial"/>
          <w:b/>
          <w:sz w:val="28"/>
        </w:rPr>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16707">
        <w:rPr>
          <w:rFonts w:ascii="Palatino Linotype" w:hAnsi="Palatino Linotype" w:cs="Arial"/>
          <w:sz w:val="24"/>
          <w:szCs w:val="24"/>
        </w:rPr>
        <w:t>siete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rPr>
          <w:sz w:val="18"/>
        </w:rPr>
      </w:pPr>
    </w:p>
    <w:p w:rsidR="002F2886" w:rsidRPr="00497B50" w:rsidRDefault="002F2886"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D00C62">
        <w:rPr>
          <w:rFonts w:ascii="Palatino Linotype" w:hAnsi="Palatino Linotype" w:cs="Arial"/>
          <w:sz w:val="24"/>
          <w:szCs w:val="24"/>
        </w:rPr>
        <w:t xml:space="preserve"> presento</w:t>
      </w:r>
      <w:r w:rsidR="002F2886">
        <w:rPr>
          <w:rFonts w:ascii="Palatino Linotype" w:hAnsi="Palatino Linotype" w:cs="Arial"/>
          <w:sz w:val="24"/>
          <w:szCs w:val="24"/>
        </w:rPr>
        <w:t xml:space="preserve"> su informe justificado</w:t>
      </w:r>
      <w:r w:rsidR="00C16707">
        <w:rPr>
          <w:rFonts w:ascii="Palatino Linotype" w:hAnsi="Palatino Linotype" w:cs="Arial"/>
          <w:sz w:val="24"/>
          <w:szCs w:val="24"/>
        </w:rPr>
        <w:t xml:space="preserve"> en fecha veintitrés de </w:t>
      </w:r>
      <w:r w:rsidR="00D00C62">
        <w:rPr>
          <w:rFonts w:ascii="Palatino Linotype" w:hAnsi="Palatino Linotype" w:cs="Arial"/>
          <w:sz w:val="24"/>
          <w:szCs w:val="24"/>
        </w:rPr>
        <w:t>marzo, mismo que fue puesto a la vista en aras de privilegiar el principio de máxima publicidad</w:t>
      </w:r>
      <w:r w:rsidR="002F2886">
        <w:rPr>
          <w:rFonts w:ascii="Palatino Linotype" w:hAnsi="Palatino Linotype" w:cs="Arial"/>
          <w:sz w:val="24"/>
          <w:szCs w:val="24"/>
        </w:rPr>
        <w:t xml:space="preserve">. </w:t>
      </w:r>
      <w:r w:rsidR="00BE1411">
        <w:rPr>
          <w:rFonts w:ascii="Palatino Linotype" w:hAnsi="Palatino Linotype" w:cs="Arial"/>
          <w:sz w:val="24"/>
          <w:szCs w:val="24"/>
        </w:rPr>
        <w:t xml:space="preserve">Por su parte </w:t>
      </w:r>
      <w:r w:rsidR="00F13F6A">
        <w:rPr>
          <w:rFonts w:ascii="Palatino Linotype" w:hAnsi="Palatino Linotype" w:cs="Arial"/>
          <w:sz w:val="24"/>
          <w:szCs w:val="24"/>
        </w:rPr>
        <w:t xml:space="preserve"> </w:t>
      </w:r>
      <w:r w:rsidR="0089347E">
        <w:rPr>
          <w:rFonts w:ascii="Palatino Linotype" w:hAnsi="Palatino Linotype" w:cs="Arial"/>
          <w:sz w:val="24"/>
          <w:szCs w:val="24"/>
        </w:rPr>
        <w:t>La Recurrente</w:t>
      </w:r>
      <w:r w:rsidR="002F2886">
        <w:rPr>
          <w:rFonts w:ascii="Palatino Linotype" w:hAnsi="Palatino Linotype" w:cs="Arial"/>
          <w:sz w:val="24"/>
          <w:szCs w:val="24"/>
        </w:rPr>
        <w:t xml:space="preserve"> fue omisa</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8E29D3">
        <w:rPr>
          <w:rFonts w:ascii="Palatino Linotype" w:hAnsi="Palatino Linotype" w:cs="Arial"/>
          <w:sz w:val="24"/>
          <w:szCs w:val="24"/>
        </w:rPr>
        <w:t>tres</w:t>
      </w:r>
      <w:r w:rsidR="00EE0E93">
        <w:rPr>
          <w:rFonts w:ascii="Palatino Linotype" w:hAnsi="Palatino Linotype" w:cs="Arial"/>
          <w:sz w:val="24"/>
          <w:szCs w:val="24"/>
        </w:rPr>
        <w:t xml:space="preserve"> de </w:t>
      </w:r>
      <w:r w:rsidR="00C811A3">
        <w:rPr>
          <w:rFonts w:ascii="Palatino Linotype" w:hAnsi="Palatino Linotype" w:cs="Arial"/>
          <w:sz w:val="24"/>
          <w:szCs w:val="24"/>
        </w:rPr>
        <w:t>septiembre</w:t>
      </w:r>
      <w:r w:rsidR="00EF4493">
        <w:rPr>
          <w:rFonts w:ascii="Palatino Linotype" w:hAnsi="Palatino Linotype" w:cs="Arial"/>
          <w:sz w:val="24"/>
          <w:szCs w:val="24"/>
        </w:rPr>
        <w:t xml:space="preserve"> del presente, en términos del artículo 185 Fracción VI de la Ley de </w:t>
      </w:r>
      <w:r w:rsidR="00EF4493">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A977C0">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72B5C" w:rsidRDefault="00972B5C" w:rsidP="00714515">
      <w:pPr>
        <w:spacing w:line="360" w:lineRule="auto"/>
        <w:jc w:val="both"/>
        <w:rPr>
          <w:rFonts w:ascii="Palatino Linotype" w:hAnsi="Palatino Linotype" w:cs="Arial"/>
          <w:b/>
          <w:sz w:val="28"/>
          <w:szCs w:val="28"/>
        </w:rPr>
      </w:pPr>
    </w:p>
    <w:p w:rsidR="00972B5C" w:rsidRPr="0014447C" w:rsidRDefault="00972B5C" w:rsidP="00972B5C">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972B5C" w:rsidRPr="0014447C" w:rsidRDefault="00972B5C" w:rsidP="00972B5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72B5C" w:rsidRDefault="00972B5C" w:rsidP="00972B5C">
      <w:pPr>
        <w:pStyle w:val="Sinespaciado"/>
        <w:spacing w:line="360" w:lineRule="auto"/>
        <w:jc w:val="both"/>
        <w:rPr>
          <w:rFonts w:ascii="Palatino Linotype" w:hAnsi="Palatino Linotype"/>
        </w:rPr>
      </w:pPr>
    </w:p>
    <w:p w:rsidR="00972B5C" w:rsidRPr="00407282" w:rsidRDefault="00972B5C" w:rsidP="00972B5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rPr>
        <w:lastRenderedPageBreak/>
        <w:t>se aprecia en el Artículo 6, apartado A, numeral I de la Constitución Política de los Estados Unidos Mex</w:t>
      </w:r>
      <w:r>
        <w:rPr>
          <w:rFonts w:ascii="Palatino Linotype" w:hAnsi="Palatino Linotype"/>
          <w:color w:val="000000"/>
        </w:rPr>
        <w:t xml:space="preserve">icanos que a la letra establece </w:t>
      </w:r>
    </w:p>
    <w:p w:rsidR="00972B5C" w:rsidRPr="00407282" w:rsidRDefault="00972B5C" w:rsidP="00972B5C">
      <w:pPr>
        <w:pStyle w:val="Sinespaciado"/>
        <w:spacing w:line="360" w:lineRule="auto"/>
        <w:jc w:val="both"/>
        <w:rPr>
          <w:rFonts w:ascii="Palatino Linotype" w:hAnsi="Palatino Linotype"/>
          <w:color w:val="000000"/>
        </w:rPr>
      </w:pPr>
    </w:p>
    <w:p w:rsidR="00972B5C" w:rsidRPr="004E6B5B" w:rsidRDefault="00972B5C" w:rsidP="00972B5C">
      <w:pPr>
        <w:pStyle w:val="Sinespaciado"/>
        <w:ind w:left="567" w:right="567"/>
        <w:jc w:val="both"/>
        <w:rPr>
          <w:rFonts w:ascii="Palatino Linotype" w:hAnsi="Palatino Linotype"/>
          <w:b/>
          <w:i/>
        </w:rPr>
      </w:pPr>
      <w:r w:rsidRPr="004E6B5B">
        <w:rPr>
          <w:rFonts w:ascii="Palatino Linotype" w:hAnsi="Palatino Linotype"/>
          <w:b/>
          <w:i/>
        </w:rPr>
        <w:t>Artículo 6</w:t>
      </w:r>
    </w:p>
    <w:p w:rsidR="00972B5C" w:rsidRPr="004E6B5B" w:rsidRDefault="00972B5C" w:rsidP="00972B5C">
      <w:pPr>
        <w:pStyle w:val="Sinespaciado"/>
        <w:ind w:left="567" w:right="567"/>
        <w:jc w:val="both"/>
        <w:rPr>
          <w:rFonts w:ascii="Palatino Linotype" w:hAnsi="Palatino Linotype"/>
          <w:i/>
        </w:rPr>
      </w:pPr>
      <w:r w:rsidRPr="004E6B5B">
        <w:rPr>
          <w:rFonts w:ascii="Palatino Linotype" w:hAnsi="Palatino Linotype"/>
          <w:i/>
        </w:rPr>
        <w:t>…</w:t>
      </w:r>
    </w:p>
    <w:p w:rsidR="00972B5C" w:rsidRPr="004E6B5B" w:rsidRDefault="00972B5C" w:rsidP="00972B5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972B5C" w:rsidRPr="004E6B5B" w:rsidRDefault="00972B5C" w:rsidP="00972B5C">
      <w:pPr>
        <w:pStyle w:val="Sinespaciado"/>
        <w:ind w:left="567" w:right="567"/>
        <w:jc w:val="both"/>
        <w:rPr>
          <w:rFonts w:ascii="Palatino Linotype" w:hAnsi="Palatino Linotype"/>
          <w:i/>
        </w:rPr>
      </w:pPr>
    </w:p>
    <w:p w:rsidR="00972B5C" w:rsidRDefault="00972B5C" w:rsidP="00972B5C">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972B5C" w:rsidRDefault="00972B5C" w:rsidP="00972B5C">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2B5C" w:rsidRDefault="00972B5C" w:rsidP="00972B5C">
      <w:pPr>
        <w:pStyle w:val="Sinespaciado"/>
        <w:spacing w:line="360" w:lineRule="auto"/>
        <w:jc w:val="both"/>
        <w:rPr>
          <w:rFonts w:ascii="Palatino Linotype" w:hAnsi="Palatino Linotype" w:cs="Arial"/>
        </w:rPr>
      </w:pPr>
    </w:p>
    <w:p w:rsidR="00972B5C" w:rsidRPr="00407282" w:rsidRDefault="00972B5C" w:rsidP="00972B5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972B5C" w:rsidRPr="00407282" w:rsidRDefault="00972B5C" w:rsidP="00972B5C">
      <w:pPr>
        <w:pStyle w:val="Sinespaciado"/>
        <w:ind w:left="567" w:right="567"/>
        <w:jc w:val="both"/>
        <w:rPr>
          <w:rFonts w:ascii="Palatino Linotype" w:hAnsi="Palatino Linotype"/>
        </w:rPr>
      </w:pPr>
    </w:p>
    <w:p w:rsidR="00972B5C" w:rsidRPr="006376FA" w:rsidRDefault="00972B5C" w:rsidP="00972B5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972B5C" w:rsidRPr="006376FA" w:rsidRDefault="00972B5C" w:rsidP="00972B5C">
      <w:pPr>
        <w:pStyle w:val="Sinespaciado"/>
        <w:ind w:left="567" w:right="567"/>
        <w:jc w:val="both"/>
        <w:rPr>
          <w:rFonts w:ascii="Palatino Linotype" w:hAnsi="Palatino Linotype"/>
          <w:i/>
        </w:rPr>
      </w:pPr>
      <w:r w:rsidRPr="006376FA">
        <w:rPr>
          <w:rFonts w:ascii="Palatino Linotype" w:hAnsi="Palatino Linotype"/>
          <w:i/>
        </w:rPr>
        <w:t>…</w:t>
      </w:r>
    </w:p>
    <w:p w:rsidR="00972B5C" w:rsidRPr="006376FA" w:rsidRDefault="00972B5C" w:rsidP="00972B5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el ejercicio de las facultades, funciones y competencias de los sujetos </w:t>
      </w:r>
      <w:r w:rsidRPr="00993DE1">
        <w:rPr>
          <w:rFonts w:ascii="Palatino Linotype" w:hAnsi="Palatino Linotype"/>
          <w:i/>
        </w:rPr>
        <w:lastRenderedPageBreak/>
        <w:t>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972B5C" w:rsidRPr="006376FA" w:rsidRDefault="00972B5C" w:rsidP="00972B5C">
      <w:pPr>
        <w:pStyle w:val="Sinespaciado"/>
        <w:ind w:left="567" w:right="567"/>
        <w:jc w:val="both"/>
        <w:rPr>
          <w:rFonts w:ascii="Palatino Linotype" w:hAnsi="Palatino Linotype"/>
          <w:i/>
        </w:rPr>
      </w:pPr>
    </w:p>
    <w:p w:rsidR="00972B5C" w:rsidRPr="006376FA" w:rsidRDefault="00972B5C" w:rsidP="00972B5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2B5C" w:rsidRPr="006376FA" w:rsidRDefault="00972B5C" w:rsidP="00972B5C">
      <w:pPr>
        <w:pStyle w:val="Sinespaciado"/>
        <w:ind w:left="567" w:right="567"/>
        <w:jc w:val="both"/>
        <w:rPr>
          <w:rFonts w:ascii="Palatino Linotype" w:hAnsi="Palatino Linotype"/>
          <w:bCs/>
          <w:i/>
        </w:rPr>
      </w:pPr>
    </w:p>
    <w:p w:rsidR="00972B5C" w:rsidRPr="006376FA" w:rsidRDefault="00972B5C" w:rsidP="00972B5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2B5C" w:rsidRPr="006376FA" w:rsidRDefault="00972B5C" w:rsidP="00972B5C">
      <w:pPr>
        <w:pStyle w:val="Sinespaciado"/>
        <w:ind w:left="567" w:right="567"/>
        <w:jc w:val="both"/>
        <w:rPr>
          <w:rFonts w:ascii="Palatino Linotype" w:hAnsi="Palatino Linotype"/>
          <w:bCs/>
          <w:i/>
        </w:rPr>
      </w:pPr>
    </w:p>
    <w:p w:rsidR="00972B5C" w:rsidRPr="006376FA" w:rsidRDefault="00972B5C" w:rsidP="00972B5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72B5C" w:rsidRPr="006376FA" w:rsidRDefault="00972B5C" w:rsidP="00972B5C">
      <w:pPr>
        <w:pStyle w:val="Sinespaciado"/>
        <w:ind w:left="567" w:right="567"/>
        <w:jc w:val="both"/>
        <w:rPr>
          <w:rFonts w:ascii="Palatino Linotype" w:hAnsi="Palatino Linotype"/>
          <w:i/>
        </w:rPr>
      </w:pPr>
    </w:p>
    <w:p w:rsidR="00972B5C" w:rsidRPr="006376FA" w:rsidRDefault="00972B5C" w:rsidP="00972B5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72B5C" w:rsidRPr="006376FA" w:rsidRDefault="00972B5C" w:rsidP="00972B5C">
      <w:pPr>
        <w:pStyle w:val="Sinespaciado"/>
        <w:ind w:left="567" w:right="567"/>
        <w:jc w:val="both"/>
        <w:rPr>
          <w:rFonts w:ascii="Palatino Linotype" w:hAnsi="Palatino Linotype"/>
          <w:i/>
        </w:rPr>
      </w:pPr>
    </w:p>
    <w:p w:rsidR="00972B5C" w:rsidRPr="004E6B5B" w:rsidRDefault="00972B5C" w:rsidP="00972B5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972B5C" w:rsidRPr="00407282" w:rsidRDefault="00972B5C" w:rsidP="00972B5C">
      <w:pPr>
        <w:pStyle w:val="Sinespaciado"/>
        <w:spacing w:line="360" w:lineRule="auto"/>
        <w:jc w:val="both"/>
        <w:rPr>
          <w:rFonts w:ascii="Palatino Linotype" w:hAnsi="Palatino Linotype"/>
        </w:rPr>
      </w:pPr>
    </w:p>
    <w:p w:rsidR="00972B5C" w:rsidRDefault="00972B5C" w:rsidP="00972B5C">
      <w:pPr>
        <w:pStyle w:val="Sinespaciado"/>
        <w:spacing w:line="360" w:lineRule="auto"/>
        <w:jc w:val="both"/>
        <w:rPr>
          <w:rFonts w:ascii="Palatino Linotype" w:hAnsi="Palatino Linotype" w:cs="Arial"/>
        </w:rPr>
      </w:pPr>
      <w:r w:rsidRPr="00407282">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407282">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972B5C" w:rsidRDefault="00972B5C" w:rsidP="00D70FFC">
      <w:pPr>
        <w:pStyle w:val="Prrafodelista"/>
        <w:autoSpaceDE w:val="0"/>
        <w:autoSpaceDN w:val="0"/>
        <w:adjustRightInd w:val="0"/>
        <w:spacing w:line="360" w:lineRule="auto"/>
        <w:ind w:left="0"/>
        <w:jc w:val="both"/>
        <w:rPr>
          <w:rFonts w:ascii="Palatino Linotype" w:hAnsi="Palatino Linotype" w:cs="Arial"/>
        </w:rPr>
      </w:pPr>
    </w:p>
    <w:p w:rsidR="00D70FFC" w:rsidRDefault="00D70FFC" w:rsidP="00D70F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w:t>
      </w:r>
      <w:r w:rsidRPr="0024200F">
        <w:rPr>
          <w:rFonts w:ascii="Palatino Linotype" w:hAnsi="Palatino Linotype" w:cs="Arial"/>
        </w:rPr>
        <w:t xml:space="preserve"> lo que es ne</w:t>
      </w:r>
      <w:r>
        <w:rPr>
          <w:rFonts w:ascii="Palatino Linotype" w:hAnsi="Palatino Linotype" w:cs="Arial"/>
        </w:rPr>
        <w:t>cesario establecer y delimitar</w:t>
      </w:r>
      <w:r w:rsidRPr="0024200F">
        <w:rPr>
          <w:rFonts w:ascii="Palatino Linotype" w:hAnsi="Palatino Linotype" w:cs="Arial"/>
        </w:rPr>
        <w:t xml:space="preserve"> la materia de la solicitud, </w:t>
      </w:r>
      <w:r>
        <w:rPr>
          <w:rFonts w:ascii="Palatino Linotype" w:hAnsi="Palatino Linotype" w:cs="Arial"/>
        </w:rPr>
        <w:t>que</w:t>
      </w:r>
      <w:r w:rsidRPr="0024200F">
        <w:rPr>
          <w:rFonts w:ascii="Palatino Linotype" w:hAnsi="Palatino Linotype" w:cs="Arial"/>
        </w:rPr>
        <w:t xml:space="preserve"> objetivamente consiste</w:t>
      </w:r>
      <w:r w:rsidR="001452CB">
        <w:rPr>
          <w:rFonts w:ascii="Palatino Linotype" w:hAnsi="Palatino Linotype" w:cs="Arial"/>
        </w:rPr>
        <w:t>n en la entrega de los</w:t>
      </w:r>
      <w:r>
        <w:rPr>
          <w:rFonts w:ascii="Palatino Linotype" w:hAnsi="Palatino Linotype" w:cs="Arial"/>
        </w:rPr>
        <w:t xml:space="preserve"> siguiente</w:t>
      </w:r>
      <w:r w:rsidR="001452CB">
        <w:rPr>
          <w:rFonts w:ascii="Palatino Linotype" w:hAnsi="Palatino Linotype" w:cs="Arial"/>
        </w:rPr>
        <w:t>s cuestionamiento</w:t>
      </w:r>
      <w:r>
        <w:rPr>
          <w:rFonts w:ascii="Palatino Linotype" w:hAnsi="Palatino Linotype" w:cs="Arial"/>
        </w:rPr>
        <w:t>:</w:t>
      </w:r>
    </w:p>
    <w:p w:rsidR="00D70FFC" w:rsidRDefault="00D70FFC" w:rsidP="00D70FFC">
      <w:pPr>
        <w:tabs>
          <w:tab w:val="left" w:pos="709"/>
        </w:tabs>
        <w:spacing w:after="0" w:line="360" w:lineRule="auto"/>
        <w:jc w:val="both"/>
        <w:rPr>
          <w:rFonts w:ascii="Palatino Linotype" w:hAnsi="Palatino Linotype"/>
          <w:sz w:val="24"/>
          <w:szCs w:val="24"/>
        </w:rPr>
      </w:pPr>
    </w:p>
    <w:p w:rsidR="00D70FFC" w:rsidRPr="001452CB" w:rsidRDefault="00DE7EFD" w:rsidP="001452CB">
      <w:pPr>
        <w:pStyle w:val="Prrafodelista"/>
        <w:numPr>
          <w:ilvl w:val="0"/>
          <w:numId w:val="7"/>
        </w:numPr>
        <w:autoSpaceDE w:val="0"/>
        <w:autoSpaceDN w:val="0"/>
        <w:adjustRightInd w:val="0"/>
        <w:spacing w:line="360" w:lineRule="auto"/>
        <w:jc w:val="both"/>
        <w:rPr>
          <w:rFonts w:ascii="Palatino Linotype" w:hAnsi="Palatino Linotype"/>
        </w:rPr>
      </w:pPr>
      <w:r w:rsidRPr="001452CB">
        <w:rPr>
          <w:rFonts w:ascii="Palatino Linotype" w:hAnsi="Palatino Linotype"/>
        </w:rPr>
        <w:t>¿Un organismo público descentralizado municipal de agua potable (o.P.D.M), puede cobrar más de lo que indica el artículo anterior cuando se le solicito una certificación de no adeudo de pagos de servicios de agua potable y/o drenaje?</w:t>
      </w:r>
    </w:p>
    <w:p w:rsidR="00DE7EFD" w:rsidRPr="001452CB" w:rsidRDefault="00DE7EFD" w:rsidP="001452CB">
      <w:pPr>
        <w:pStyle w:val="Prrafodelista"/>
        <w:numPr>
          <w:ilvl w:val="0"/>
          <w:numId w:val="7"/>
        </w:numPr>
        <w:autoSpaceDE w:val="0"/>
        <w:autoSpaceDN w:val="0"/>
        <w:adjustRightInd w:val="0"/>
        <w:spacing w:line="360" w:lineRule="auto"/>
        <w:jc w:val="both"/>
        <w:rPr>
          <w:rFonts w:ascii="Palatino Linotype" w:hAnsi="Palatino Linotype" w:cs="Arial"/>
        </w:rPr>
      </w:pPr>
      <w:r w:rsidRPr="001452CB">
        <w:rPr>
          <w:rFonts w:ascii="Palatino Linotype" w:hAnsi="Palatino Linotype" w:cs="Arial"/>
        </w:rPr>
        <w:t>¿Puede este O.P.D.M. sustentar un cobro mayor al de este artículo, en lo dispuesto por el artículo 115 fracciones I y II de la Constitución Política de los Estados Unidos Mexicanos; 122 de la Constitución Política del Estado Libre y Soberano de México; 2 y 3 de la Ley Orgánica Municipal del Estado de México; 108 dl Código de Procedimientos Administrativos del Estado de México; aun cuando los ordenamientos nombrados estipulan que debe considerar las leyes existentes, como un ordenamiento jerárquicamente superior como es el caso el Código Financiero del Estado de México y Municipios?</w:t>
      </w:r>
    </w:p>
    <w:p w:rsidR="00DE7EFD" w:rsidRPr="001452CB" w:rsidRDefault="00DE7EFD" w:rsidP="001452CB">
      <w:pPr>
        <w:pStyle w:val="Prrafodelista"/>
        <w:numPr>
          <w:ilvl w:val="0"/>
          <w:numId w:val="7"/>
        </w:numPr>
        <w:autoSpaceDE w:val="0"/>
        <w:autoSpaceDN w:val="0"/>
        <w:adjustRightInd w:val="0"/>
        <w:spacing w:line="360" w:lineRule="auto"/>
        <w:jc w:val="both"/>
        <w:rPr>
          <w:rFonts w:ascii="Palatino Linotype" w:hAnsi="Palatino Linotype" w:cs="Arial"/>
        </w:rPr>
      </w:pPr>
      <w:r w:rsidRPr="001452CB">
        <w:rPr>
          <w:rFonts w:ascii="Palatino Linotype" w:hAnsi="Palatino Linotype" w:cs="Arial"/>
        </w:rPr>
        <w:t>¿El O.P.D.M. puede estipular que el costo de la certificación de no adeudo pueda cobrarse de acuerdo al tipo de inmueble, por ejemplo: predio de uso doméstico popular, predio de uso doméstico medo o residencial y predio de uso no doméstico o comercial; aun cuando este artículo establece un costo único independientemente del predio de que se trate?</w:t>
      </w:r>
    </w:p>
    <w:p w:rsidR="00DE7EFD" w:rsidRPr="001452CB" w:rsidRDefault="00DE7EFD" w:rsidP="001452CB">
      <w:pPr>
        <w:pStyle w:val="Prrafodelista"/>
        <w:numPr>
          <w:ilvl w:val="0"/>
          <w:numId w:val="7"/>
        </w:numPr>
        <w:autoSpaceDE w:val="0"/>
        <w:autoSpaceDN w:val="0"/>
        <w:adjustRightInd w:val="0"/>
        <w:spacing w:line="360" w:lineRule="auto"/>
        <w:jc w:val="both"/>
        <w:rPr>
          <w:rFonts w:ascii="Palatino Linotype" w:hAnsi="Palatino Linotype" w:cs="Arial"/>
        </w:rPr>
      </w:pPr>
      <w:r w:rsidRPr="001452CB">
        <w:rPr>
          <w:rFonts w:ascii="Palatino Linotype" w:hAnsi="Palatino Linotype" w:cs="Arial"/>
        </w:rPr>
        <w:lastRenderedPageBreak/>
        <w:t>¿Esta certificación de pagos expresada en este artículo debe ser gravada con el I.V.A.? Si es así, cuál es el fundamento jurídico específico para sustentar esto. II. De acuerdo al Código Financiero del Estado de México y Municipios, artículo 48 fracción I, “las autoridades fiscales, para cerciorarse del cumplimiento a las disposiciones de este Código, estarán facultadas para: I. Ordenar y practicar visitas domiciliarias…” Visita que también se menciona en el artículo 128 del Código de Procedimientos Administrativos del Estado de México</w:t>
      </w:r>
      <w:r w:rsidR="001452CB" w:rsidRPr="001452CB">
        <w:rPr>
          <w:rFonts w:ascii="Palatino Linotype" w:hAnsi="Palatino Linotype" w:cs="Arial"/>
        </w:rPr>
        <w:t>.</w:t>
      </w:r>
    </w:p>
    <w:p w:rsidR="001452CB" w:rsidRPr="001452CB" w:rsidRDefault="00D538DD" w:rsidP="001452CB">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w:t>
      </w:r>
      <w:r w:rsidR="001452CB" w:rsidRPr="001452CB">
        <w:rPr>
          <w:rFonts w:ascii="Palatino Linotype" w:hAnsi="Palatino Linotype" w:cs="Arial"/>
        </w:rPr>
        <w:t>El O.P.D.M. para expedir una certificación de no adeudo, al solicitar una visita domiciliaria nombrándola como inspección, ¿está facultado para cobrar por esta inspección?</w:t>
      </w:r>
    </w:p>
    <w:p w:rsidR="001452CB" w:rsidRPr="001452CB" w:rsidRDefault="001452CB" w:rsidP="001452CB">
      <w:pPr>
        <w:pStyle w:val="Prrafodelista"/>
        <w:numPr>
          <w:ilvl w:val="0"/>
          <w:numId w:val="7"/>
        </w:numPr>
        <w:autoSpaceDE w:val="0"/>
        <w:autoSpaceDN w:val="0"/>
        <w:adjustRightInd w:val="0"/>
        <w:spacing w:line="360" w:lineRule="auto"/>
        <w:jc w:val="both"/>
        <w:rPr>
          <w:rFonts w:ascii="Palatino Linotype" w:hAnsi="Palatino Linotype" w:cs="Arial"/>
        </w:rPr>
      </w:pPr>
      <w:r w:rsidRPr="001452CB">
        <w:rPr>
          <w:rFonts w:ascii="Palatino Linotype" w:hAnsi="Palatino Linotype" w:cs="Arial"/>
        </w:rPr>
        <w:t>¿El O.P.D.M. puede estipular que el costo de la visita domiciliaria (inspección) en función al tipo de inmueble, por ejemplo: predio de uso doméstico popular, predio de uso doméstico medo o residencial y predio de uso no doméstico o comercial?</w:t>
      </w:r>
    </w:p>
    <w:p w:rsidR="00D70FFC" w:rsidRDefault="00D70FFC" w:rsidP="00714515">
      <w:pPr>
        <w:autoSpaceDE w:val="0"/>
        <w:autoSpaceDN w:val="0"/>
        <w:adjustRightInd w:val="0"/>
        <w:spacing w:line="360" w:lineRule="auto"/>
        <w:jc w:val="both"/>
        <w:rPr>
          <w:rFonts w:ascii="Palatino Linotype" w:hAnsi="Palatino Linotype" w:cs="Arial"/>
          <w:sz w:val="24"/>
          <w:szCs w:val="24"/>
        </w:rPr>
      </w:pPr>
    </w:p>
    <w:p w:rsidR="00714515" w:rsidRPr="00650D35" w:rsidRDefault="00714515" w:rsidP="00714515">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El Sujeto Obligado</w:t>
      </w:r>
      <w:r w:rsidRPr="00650D35">
        <w:rPr>
          <w:rFonts w:ascii="Palatino Linotype" w:hAnsi="Palatino Linotype" w:cs="Arial"/>
        </w:rPr>
        <w:t xml:space="preserve"> y del marco normativo que rige el actuar del ente público.</w:t>
      </w:r>
    </w:p>
    <w:p w:rsidR="00714515" w:rsidRPr="00650D35" w:rsidRDefault="00714515" w:rsidP="00714515">
      <w:pPr>
        <w:pStyle w:val="Prrafodelista"/>
        <w:autoSpaceDE w:val="0"/>
        <w:autoSpaceDN w:val="0"/>
        <w:adjustRightInd w:val="0"/>
        <w:spacing w:line="360" w:lineRule="auto"/>
        <w:ind w:left="0"/>
        <w:jc w:val="both"/>
        <w:rPr>
          <w:rFonts w:ascii="Palatino Linotype" w:hAnsi="Palatino Linotype" w:cs="Arial"/>
        </w:rPr>
      </w:pPr>
    </w:p>
    <w:p w:rsidR="007A28BF" w:rsidRDefault="007A28BF" w:rsidP="007A28BF">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w:t>
      </w:r>
      <w:r w:rsidR="00F02665">
        <w:rPr>
          <w:rFonts w:ascii="Palatino Linotype" w:hAnsi="Palatino Linotype" w:cs="Arial"/>
        </w:rPr>
        <w:t>lo requerido</w:t>
      </w:r>
      <w:r w:rsidRPr="00625C3D">
        <w:rPr>
          <w:rFonts w:ascii="Palatino Linotype" w:hAnsi="Palatino Linotype" w:cs="Arial"/>
        </w:rPr>
        <w:t xml:space="preserve">,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en ejercicio de sus funciones de derecho público, es decir, no niega la existencia de la </w:t>
      </w:r>
      <w:r w:rsidRPr="00625C3D">
        <w:rPr>
          <w:rFonts w:ascii="Palatino Linotype" w:hAnsi="Palatino Linotype" w:cs="Arial"/>
        </w:rPr>
        <w:lastRenderedPageBreak/>
        <w:t>información solicitada, por el contrario, se pronuncia respecto de la información requerida,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00F02665">
        <w:rPr>
          <w:rFonts w:ascii="Palatino Linotype" w:hAnsi="Palatino Linotype"/>
        </w:rPr>
        <w:t>la información</w:t>
      </w:r>
      <w:r w:rsidRPr="00625C3D">
        <w:rPr>
          <w:rFonts w:ascii="Palatino Linotype" w:hAnsi="Palatino Linotype"/>
        </w:rPr>
        <w:t xml:space="preserve">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D538DD" w:rsidRDefault="00D538DD" w:rsidP="007A28BF">
      <w:pPr>
        <w:pStyle w:val="Sinespaciado"/>
        <w:spacing w:line="360" w:lineRule="auto"/>
        <w:jc w:val="both"/>
        <w:rPr>
          <w:rFonts w:ascii="Palatino Linotype" w:hAnsi="Palatino Linotype"/>
        </w:rPr>
      </w:pPr>
    </w:p>
    <w:p w:rsidR="006F72EC" w:rsidRDefault="007A28BF" w:rsidP="007A28BF">
      <w:pPr>
        <w:pStyle w:val="Sinespaciado"/>
        <w:spacing w:line="360" w:lineRule="auto"/>
        <w:jc w:val="both"/>
        <w:rPr>
          <w:rFonts w:ascii="Palatino Linotype" w:hAnsi="Palatino Linotype"/>
        </w:rPr>
      </w:pPr>
      <w:r>
        <w:rPr>
          <w:rFonts w:ascii="Palatino Linotype" w:hAnsi="Palatino Linotype"/>
        </w:rPr>
        <w:t>Así pues, de lo peticionado por La Recurrente, el Sujeto Obligado a</w:t>
      </w:r>
      <w:r>
        <w:rPr>
          <w:rFonts w:ascii="Palatino Linotype" w:hAnsi="Palatino Linotype" w:cs="Arial"/>
        </w:rPr>
        <w:t>djuntó un archivo electrónico en formato</w:t>
      </w:r>
      <w:r w:rsidR="00D538DD">
        <w:rPr>
          <w:rFonts w:ascii="Palatino Linotype" w:hAnsi="Palatino Linotype" w:cs="Arial"/>
        </w:rPr>
        <w:t xml:space="preserve"> PDF</w:t>
      </w:r>
      <w:r>
        <w:rPr>
          <w:rFonts w:ascii="Palatino Linotype" w:hAnsi="Palatino Linotype" w:cs="Arial"/>
        </w:rPr>
        <w:t xml:space="preserve"> denominado</w:t>
      </w:r>
      <w:r>
        <w:rPr>
          <w:rFonts w:ascii="Palatino Linotype" w:hAnsi="Palatino Linotype" w:cs="Arial"/>
          <w:i/>
        </w:rPr>
        <w:t xml:space="preserve"> </w:t>
      </w:r>
      <w:r w:rsidRPr="00B800D6">
        <w:rPr>
          <w:rFonts w:ascii="Palatino Linotype" w:hAnsi="Palatino Linotype" w:cs="Arial"/>
        </w:rPr>
        <w:t>“</w:t>
      </w:r>
      <w:r w:rsidR="00D538DD" w:rsidRPr="00D538DD">
        <w:rPr>
          <w:rFonts w:ascii="Palatino Linotype" w:hAnsi="Palatino Linotype" w:cs="Arial"/>
        </w:rPr>
        <w:t>ACUERDO SOL 015- 2020.pdf</w:t>
      </w:r>
      <w:r>
        <w:rPr>
          <w:rFonts w:ascii="Palatino Linotype" w:hAnsi="Palatino Linotype" w:cs="Arial"/>
        </w:rPr>
        <w:t>”</w:t>
      </w:r>
      <w:r>
        <w:rPr>
          <w:rFonts w:ascii="Palatino Linotype" w:hAnsi="Palatino Linotype"/>
        </w:rPr>
        <w:t>, el cual</w:t>
      </w:r>
      <w:r w:rsidR="006409FA">
        <w:rPr>
          <w:rFonts w:ascii="Palatino Linotype" w:hAnsi="Palatino Linotype"/>
        </w:rPr>
        <w:t xml:space="preserve"> medularmente contiene el acuerdo número TJA/00015/TRIJAEM/IP/2020</w:t>
      </w:r>
      <w:r>
        <w:rPr>
          <w:rFonts w:ascii="Palatino Linotype" w:hAnsi="Palatino Linotype"/>
        </w:rPr>
        <w:t>, donde se advierte da contestación a</w:t>
      </w:r>
      <w:r w:rsidR="006409FA">
        <w:rPr>
          <w:rFonts w:ascii="Palatino Linotype" w:hAnsi="Palatino Linotype"/>
        </w:rPr>
        <w:t xml:space="preserve"> cada uno de</w:t>
      </w:r>
      <w:r>
        <w:rPr>
          <w:rFonts w:ascii="Palatino Linotype" w:hAnsi="Palatino Linotype"/>
        </w:rPr>
        <w:t xml:space="preserve"> los </w:t>
      </w:r>
      <w:r w:rsidR="006409FA">
        <w:rPr>
          <w:rFonts w:ascii="Palatino Linotype" w:hAnsi="Palatino Linotype"/>
        </w:rPr>
        <w:t>cuestionamientos vertidos por la</w:t>
      </w:r>
      <w:r>
        <w:rPr>
          <w:rFonts w:ascii="Palatino Linotype" w:hAnsi="Palatino Linotype"/>
        </w:rPr>
        <w:t xml:space="preserve"> particular, apreciándose</w:t>
      </w:r>
      <w:r w:rsidR="006409FA">
        <w:rPr>
          <w:rFonts w:ascii="Palatino Linotype" w:hAnsi="Palatino Linotype"/>
        </w:rPr>
        <w:t xml:space="preserve">, el </w:t>
      </w:r>
      <w:r w:rsidR="00F02665">
        <w:rPr>
          <w:rFonts w:ascii="Palatino Linotype" w:hAnsi="Palatino Linotype"/>
        </w:rPr>
        <w:t>desglose</w:t>
      </w:r>
      <w:r w:rsidR="006409FA">
        <w:rPr>
          <w:rFonts w:ascii="Palatino Linotype" w:hAnsi="Palatino Linotype"/>
        </w:rPr>
        <w:t xml:space="preserve"> punto por punto del derecho de petición realizado </w:t>
      </w:r>
      <w:r w:rsidR="006F72EC">
        <w:rPr>
          <w:rFonts w:ascii="Palatino Linotype" w:hAnsi="Palatino Linotype"/>
        </w:rPr>
        <w:t xml:space="preserve">por la recurrente. </w:t>
      </w:r>
    </w:p>
    <w:p w:rsidR="006F72EC" w:rsidRPr="000934A3" w:rsidRDefault="006F72EC" w:rsidP="006F72EC">
      <w:pPr>
        <w:pStyle w:val="Prrafodelista"/>
        <w:autoSpaceDE w:val="0"/>
        <w:autoSpaceDN w:val="0"/>
        <w:adjustRightInd w:val="0"/>
        <w:spacing w:before="240" w:after="160" w:line="360" w:lineRule="auto"/>
        <w:ind w:left="0"/>
        <w:jc w:val="both"/>
        <w:rPr>
          <w:rFonts w:ascii="Palatino Linotype" w:hAnsi="Palatino Linotype" w:cs="Arial"/>
        </w:rPr>
      </w:pPr>
      <w:r w:rsidRPr="00453B12">
        <w:rPr>
          <w:rFonts w:ascii="Palatino Linotype" w:hAnsi="Palatino Linotype" w:cs="Arial"/>
        </w:rPr>
        <w:t xml:space="preserve">Toda vez que </w:t>
      </w:r>
      <w:r>
        <w:rPr>
          <w:rFonts w:ascii="Palatino Linotype" w:hAnsi="Palatino Linotype" w:cs="Arial"/>
        </w:rPr>
        <w:t xml:space="preserve">La Recurrente solicitó saber diversa información concerniente al Código Financiero referente a impuestos, derechos y aportaciones de mejoras, lo solicitado fue a manera de cuestionamiento por lo cual, </w:t>
      </w:r>
      <w:r w:rsidRPr="000934A3">
        <w:rPr>
          <w:rFonts w:ascii="Palatino Linotype" w:hAnsi="Palatino Linotype" w:cs="Arial"/>
        </w:rPr>
        <w:t>es dable indicar que respect</w:t>
      </w:r>
      <w:r w:rsidR="003E5696">
        <w:rPr>
          <w:rFonts w:ascii="Palatino Linotype" w:hAnsi="Palatino Linotype" w:cs="Arial"/>
        </w:rPr>
        <w:t>o de aquello que ha solicitado la</w:t>
      </w:r>
      <w:r w:rsidRPr="000934A3">
        <w:rPr>
          <w:rFonts w:ascii="Palatino Linotype" w:hAnsi="Palatino Linotype" w:cs="Arial"/>
        </w:rPr>
        <w:t xml:space="preserve"> particular, dichas manifestaciones no constituyen un derecho de acceso a la información pública y por lo tanto no son atendibles mediante una solicitud de Acceso a la Información, toda vez que se tratan de manifesta</w:t>
      </w:r>
      <w:r>
        <w:rPr>
          <w:rFonts w:ascii="Palatino Linotype" w:hAnsi="Palatino Linotype" w:cs="Arial"/>
        </w:rPr>
        <w:t>ciones subjetivas vertidas por E</w:t>
      </w:r>
      <w:r w:rsidRPr="000934A3">
        <w:rPr>
          <w:rFonts w:ascii="Palatino Linotype" w:hAnsi="Palatino Linotype" w:cs="Arial"/>
        </w:rPr>
        <w:t xml:space="preserve">l </w:t>
      </w:r>
      <w:r>
        <w:rPr>
          <w:rFonts w:ascii="Palatino Linotype" w:hAnsi="Palatino Linotype" w:cs="Arial"/>
        </w:rPr>
        <w:t>R</w:t>
      </w:r>
      <w:r w:rsidRPr="000934A3">
        <w:rPr>
          <w:rFonts w:ascii="Palatino Linotype" w:hAnsi="Palatino Linotype" w:cs="Arial"/>
        </w:rPr>
        <w:t>ecurrente, interrogantes y declaraciones que no se colman con la entrega de documentos, situación que conlleva a afirmar que se está en presencia del ejercicio del derecho de petición o de la libertad de expresión.</w:t>
      </w:r>
    </w:p>
    <w:p w:rsidR="006F72EC" w:rsidRPr="000934A3" w:rsidRDefault="006F72EC" w:rsidP="006F72EC">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w:t>
      </w:r>
      <w:r w:rsidRPr="000934A3">
        <w:rPr>
          <w:rFonts w:ascii="Palatino Linotype" w:hAnsi="Palatino Linotype" w:cs="Arial"/>
          <w:sz w:val="24"/>
          <w:szCs w:val="24"/>
        </w:rPr>
        <w:lastRenderedPageBreak/>
        <w:t xml:space="preserve">al constituir interrogantes, inquietudes y manifestaciones se satisfacen vía derecho de petición. </w:t>
      </w:r>
    </w:p>
    <w:p w:rsidR="006F72EC" w:rsidRPr="000934A3" w:rsidRDefault="006F72EC" w:rsidP="006F72EC">
      <w:pPr>
        <w:spacing w:before="240" w:after="360" w:line="360" w:lineRule="auto"/>
        <w:contextualSpacing/>
        <w:jc w:val="both"/>
        <w:rPr>
          <w:rFonts w:ascii="Palatino Linotype" w:hAnsi="Palatino Linotype" w:cs="Arial"/>
          <w:sz w:val="24"/>
          <w:szCs w:val="24"/>
        </w:rPr>
      </w:pPr>
    </w:p>
    <w:p w:rsidR="006F72EC" w:rsidRPr="000934A3" w:rsidRDefault="006F72EC" w:rsidP="006F72EC">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Así, es importante dejar en claro lo que debe entenderse por </w:t>
      </w:r>
      <w:r w:rsidRPr="00DF3448">
        <w:rPr>
          <w:rFonts w:ascii="Palatino Linotype" w:hAnsi="Palatino Linotype" w:cs="Arial"/>
          <w:sz w:val="24"/>
          <w:szCs w:val="24"/>
          <w:u w:val="single"/>
        </w:rPr>
        <w:t>derecho de petición</w:t>
      </w:r>
      <w:r w:rsidRPr="000934A3">
        <w:rPr>
          <w:rFonts w:ascii="Palatino Linotype" w:hAnsi="Palatino Linotype" w:cs="Arial"/>
          <w:sz w:val="24"/>
          <w:szCs w:val="24"/>
        </w:rPr>
        <w:t xml:space="preserve"> y por derecho de acceso a la información pública, por lo que respecta a la definición de derecho de petición, el Maestro Ignacio Burgoa Orihuela refiere: “…</w:t>
      </w:r>
      <w:r w:rsidRPr="000934A3">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1"/>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cs="Arial"/>
          <w:i/>
          <w:sz w:val="24"/>
          <w:szCs w:val="24"/>
        </w:rPr>
        <w:t>” .</w:t>
      </w:r>
    </w:p>
    <w:p w:rsidR="006F72EC" w:rsidRPr="000934A3" w:rsidRDefault="006F72EC" w:rsidP="006F72EC">
      <w:pPr>
        <w:spacing w:before="240" w:after="360" w:line="360" w:lineRule="auto"/>
        <w:contextualSpacing/>
        <w:jc w:val="both"/>
        <w:rPr>
          <w:rFonts w:ascii="Palatino Linotype" w:hAnsi="Palatino Linotype" w:cs="Arial"/>
          <w:sz w:val="24"/>
          <w:szCs w:val="24"/>
          <w:lang w:val="es-ES" w:eastAsia="es-ES"/>
        </w:rPr>
      </w:pPr>
    </w:p>
    <w:p w:rsidR="006F72EC" w:rsidRPr="000934A3" w:rsidRDefault="006F72EC" w:rsidP="006F72EC">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w:t>
      </w:r>
    </w:p>
    <w:p w:rsidR="006F72EC" w:rsidRDefault="006F72EC" w:rsidP="006F72EC">
      <w:pPr>
        <w:spacing w:before="240" w:after="360" w:line="360" w:lineRule="auto"/>
        <w:contextualSpacing/>
        <w:jc w:val="both"/>
        <w:rPr>
          <w:rFonts w:ascii="Palatino Linotype" w:hAnsi="Palatino Linotype" w:cs="Arial"/>
          <w:i/>
          <w:sz w:val="24"/>
          <w:szCs w:val="24"/>
          <w:lang w:eastAsia="es-MX"/>
        </w:rPr>
      </w:pPr>
      <w:r w:rsidRPr="000934A3">
        <w:rPr>
          <w:rFonts w:ascii="Palatino Linotype" w:hAnsi="Palatino Linotype" w:cs="Arial"/>
          <w:sz w:val="24"/>
          <w:szCs w:val="24"/>
          <w:lang w:eastAsia="es-MX"/>
        </w:rPr>
        <w:lastRenderedPageBreak/>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4"/>
      </w:r>
    </w:p>
    <w:p w:rsidR="00DF3448" w:rsidRPr="00DF3448" w:rsidRDefault="00DF3448" w:rsidP="006F72EC">
      <w:pPr>
        <w:spacing w:before="240" w:after="360" w:line="360" w:lineRule="auto"/>
        <w:contextualSpacing/>
        <w:jc w:val="both"/>
        <w:rPr>
          <w:rFonts w:ascii="Palatino Linotype" w:hAnsi="Palatino Linotype" w:cs="Arial"/>
          <w:sz w:val="24"/>
          <w:szCs w:val="24"/>
        </w:rPr>
      </w:pPr>
    </w:p>
    <w:p w:rsidR="007A28BF" w:rsidRDefault="006F72EC" w:rsidP="003E5696">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Pr>
          <w:rFonts w:ascii="Palatino Linotype" w:hAnsi="Palatino Linotype" w:cs="Arial"/>
          <w:sz w:val="24"/>
          <w:szCs w:val="24"/>
        </w:rPr>
        <w:t>el punto</w:t>
      </w:r>
      <w:r w:rsidRPr="000934A3">
        <w:rPr>
          <w:rFonts w:ascii="Palatino Linotype" w:hAnsi="Palatino Linotype" w:cs="Arial"/>
          <w:sz w:val="24"/>
          <w:szCs w:val="24"/>
        </w:rPr>
        <w:t xml:space="preserve"> que nos ocupa, se está ante la presencia del derecho de petición y no así, del derecho de acceso a</w:t>
      </w:r>
      <w:r w:rsidR="003E5696">
        <w:rPr>
          <w:rFonts w:ascii="Palatino Linotype" w:hAnsi="Palatino Linotype" w:cs="Arial"/>
          <w:sz w:val="24"/>
          <w:szCs w:val="24"/>
        </w:rPr>
        <w:t xml:space="preserve"> la información, toda vez que los</w:t>
      </w:r>
      <w:r w:rsidRPr="000934A3">
        <w:rPr>
          <w:rFonts w:ascii="Palatino Linotype" w:hAnsi="Palatino Linotype" w:cs="Arial"/>
          <w:sz w:val="24"/>
          <w:szCs w:val="24"/>
        </w:rPr>
        <w:t xml:space="preserve"> cuestionamiento</w:t>
      </w:r>
      <w:r w:rsidR="003E5696">
        <w:rPr>
          <w:rFonts w:ascii="Palatino Linotype" w:hAnsi="Palatino Linotype" w:cs="Arial"/>
          <w:sz w:val="24"/>
          <w:szCs w:val="24"/>
        </w:rPr>
        <w:t>s</w:t>
      </w:r>
      <w:r w:rsidRPr="000934A3">
        <w:rPr>
          <w:rFonts w:ascii="Palatino Linotype" w:hAnsi="Palatino Linotype" w:cs="Arial"/>
          <w:sz w:val="24"/>
          <w:szCs w:val="24"/>
        </w:rPr>
        <w:t xml:space="preserve"> vertido</w:t>
      </w:r>
      <w:r w:rsidR="003E5696">
        <w:rPr>
          <w:rFonts w:ascii="Palatino Linotype" w:hAnsi="Palatino Linotype" w:cs="Arial"/>
          <w:sz w:val="24"/>
          <w:szCs w:val="24"/>
        </w:rPr>
        <w:t>s</w:t>
      </w:r>
      <w:r w:rsidRPr="000934A3">
        <w:rPr>
          <w:rFonts w:ascii="Palatino Linotype" w:hAnsi="Palatino Linotype" w:cs="Arial"/>
          <w:sz w:val="24"/>
          <w:szCs w:val="24"/>
        </w:rPr>
        <w:t xml:space="preserve"> en la solicitud primigenia no se colmaría</w:t>
      </w:r>
      <w:r w:rsidR="003E5696">
        <w:rPr>
          <w:rFonts w:ascii="Palatino Linotype" w:hAnsi="Palatino Linotype" w:cs="Arial"/>
          <w:sz w:val="24"/>
          <w:szCs w:val="24"/>
        </w:rPr>
        <w:t>n</w:t>
      </w:r>
      <w:r w:rsidRPr="000934A3">
        <w:rPr>
          <w:rFonts w:ascii="Palatino Linotype" w:hAnsi="Palatino Linotype" w:cs="Arial"/>
          <w:sz w:val="24"/>
          <w:szCs w:val="24"/>
        </w:rPr>
        <w:t xml:space="preserve"> mediante la entrega de algún soporte documental, sino, mediante el pron</w:t>
      </w:r>
      <w:r>
        <w:rPr>
          <w:rFonts w:ascii="Palatino Linotype" w:hAnsi="Palatino Linotype" w:cs="Arial"/>
          <w:sz w:val="24"/>
          <w:szCs w:val="24"/>
        </w:rPr>
        <w:t>unciamiento del sujeto obligado.</w:t>
      </w:r>
      <w:r w:rsidR="003E5696">
        <w:rPr>
          <w:rFonts w:ascii="Palatino Linotype" w:hAnsi="Palatino Linotype" w:cs="Arial"/>
          <w:sz w:val="24"/>
          <w:szCs w:val="24"/>
        </w:rPr>
        <w:t xml:space="preserve"> Sin embargo no existe prerrogativa alguna que impida al Sujeto Obligado a realizar un documento </w:t>
      </w:r>
      <w:r w:rsidR="003E5696" w:rsidRPr="003E5696">
        <w:rPr>
          <w:rFonts w:ascii="Palatino Linotype" w:hAnsi="Palatino Linotype" w:cs="Arial"/>
          <w:i/>
          <w:sz w:val="24"/>
          <w:szCs w:val="24"/>
        </w:rPr>
        <w:t>Ad Hoc</w:t>
      </w:r>
      <w:r w:rsidR="003E5696">
        <w:rPr>
          <w:rFonts w:ascii="Palatino Linotype" w:hAnsi="Palatino Linotype" w:cs="Arial"/>
          <w:i/>
          <w:sz w:val="24"/>
          <w:szCs w:val="24"/>
        </w:rPr>
        <w:t xml:space="preserve">, </w:t>
      </w:r>
      <w:r w:rsidR="003E5696" w:rsidRPr="003E5696">
        <w:rPr>
          <w:rFonts w:ascii="Palatino Linotype" w:hAnsi="Palatino Linotype" w:cs="Arial"/>
          <w:sz w:val="24"/>
          <w:szCs w:val="24"/>
        </w:rPr>
        <w:t>con el cual se de contestación a lo peticionado por la recurrente.</w:t>
      </w:r>
    </w:p>
    <w:p w:rsidR="007A28BF" w:rsidRDefault="0015365E" w:rsidP="007A28BF">
      <w:pPr>
        <w:pStyle w:val="Sinespaciado"/>
        <w:spacing w:line="360" w:lineRule="auto"/>
        <w:jc w:val="both"/>
        <w:rPr>
          <w:rFonts w:ascii="Palatino Linotype" w:hAnsi="Palatino Linotype"/>
        </w:rPr>
      </w:pPr>
      <w:r>
        <w:rPr>
          <w:rFonts w:ascii="Palatino Linotype" w:hAnsi="Palatino Linotype" w:cs="Arial"/>
          <w:lang w:val="es-ES"/>
        </w:rPr>
        <w:lastRenderedPageBreak/>
        <w:t>Precisado lo anterior</w:t>
      </w:r>
      <w:r w:rsidR="007A28BF" w:rsidRPr="00EC1D83">
        <w:rPr>
          <w:rFonts w:ascii="Palatino Linotype" w:hAnsi="Palatino Linotype" w:cs="Arial"/>
          <w:lang w:val="es-ES"/>
        </w:rPr>
        <w:t xml:space="preserve">, inconforme con la respuesta emitida por </w:t>
      </w:r>
      <w:r w:rsidR="007A28BF" w:rsidRPr="00EC1D83">
        <w:rPr>
          <w:rFonts w:ascii="Palatino Linotype" w:hAnsi="Palatino Linotype" w:cs="Arial"/>
          <w:b/>
          <w:lang w:val="es-ES"/>
        </w:rPr>
        <w:t>El Sujeto Obligado</w:t>
      </w:r>
      <w:r w:rsidR="007A28BF" w:rsidRPr="00EC1D83">
        <w:rPr>
          <w:rFonts w:ascii="Palatino Linotype" w:hAnsi="Palatino Linotype" w:cs="Arial"/>
          <w:lang w:val="es-ES"/>
        </w:rPr>
        <w:t xml:space="preserve">, </w:t>
      </w:r>
      <w:r w:rsidR="007A28BF">
        <w:rPr>
          <w:rFonts w:ascii="Palatino Linotype" w:hAnsi="Palatino Linotype" w:cs="Arial"/>
          <w:b/>
          <w:lang w:val="es-ES"/>
        </w:rPr>
        <w:t>La Recurrente</w:t>
      </w:r>
      <w:r w:rsidR="007A28BF" w:rsidRPr="00EC1D83">
        <w:rPr>
          <w:rFonts w:ascii="Palatino Linotype" w:hAnsi="Palatino Linotype" w:cs="Arial"/>
          <w:b/>
          <w:lang w:val="es-ES"/>
        </w:rPr>
        <w:t xml:space="preserve"> </w:t>
      </w:r>
      <w:r w:rsidR="007A28BF" w:rsidRPr="00EC1D83">
        <w:rPr>
          <w:rFonts w:ascii="Palatino Linotype" w:hAnsi="Palatino Linotype" w:cs="Arial"/>
          <w:lang w:val="es-ES"/>
        </w:rPr>
        <w:t xml:space="preserve">interpuso el presente recurso de revisión, señalando como </w:t>
      </w:r>
      <w:r w:rsidR="007A28BF">
        <w:rPr>
          <w:rFonts w:ascii="Palatino Linotype" w:hAnsi="Palatino Linotype" w:cs="Arial"/>
          <w:lang w:val="es-ES"/>
        </w:rPr>
        <w:t>motivos de inconformidad</w:t>
      </w:r>
      <w:r w:rsidR="007A28BF" w:rsidRPr="00EC1D83">
        <w:rPr>
          <w:rFonts w:ascii="Palatino Linotype" w:hAnsi="Palatino Linotype" w:cs="Arial"/>
          <w:lang w:val="es-ES"/>
        </w:rPr>
        <w:t xml:space="preserve">, </w:t>
      </w:r>
      <w:r w:rsidR="007A28BF" w:rsidRPr="00EC1D83">
        <w:rPr>
          <w:rFonts w:ascii="Palatino Linotype" w:hAnsi="Palatino Linotype" w:cs="Arial"/>
          <w:i/>
          <w:lang w:val="es-ES"/>
        </w:rPr>
        <w:t>“</w:t>
      </w:r>
      <w:r w:rsidRPr="0015365E">
        <w:rPr>
          <w:rFonts w:ascii="Palatino Linotype" w:hAnsi="Palatino Linotype" w:cs="Arial"/>
          <w:i/>
          <w:lang w:val="es-ES"/>
        </w:rPr>
        <w:t xml:space="preserve">Buenas tardes, disculpe, </w:t>
      </w:r>
      <w:r w:rsidRPr="0015365E">
        <w:rPr>
          <w:rFonts w:ascii="Palatino Linotype" w:hAnsi="Palatino Linotype" w:cs="Arial"/>
          <w:b/>
          <w:i/>
          <w:u w:val="single"/>
          <w:lang w:val="es-ES"/>
        </w:rPr>
        <w:t>no me es clara la respuesta recibida a la pregunta 1 y 2.</w:t>
      </w:r>
      <w:r w:rsidRPr="0015365E">
        <w:rPr>
          <w:rFonts w:ascii="Palatino Linotype" w:hAnsi="Palatino Linotype" w:cs="Arial"/>
          <w:i/>
          <w:lang w:val="es-ES"/>
        </w:rPr>
        <w:t xml:space="preserve"> Es por ello que </w:t>
      </w:r>
      <w:r w:rsidRPr="0015365E">
        <w:rPr>
          <w:rFonts w:ascii="Palatino Linotype" w:hAnsi="Palatino Linotype" w:cs="Arial"/>
          <w:b/>
          <w:i/>
          <w:u w:val="single"/>
          <w:lang w:val="es-ES"/>
        </w:rPr>
        <w:t>quisiera solicitar información más detallada al respecto</w:t>
      </w:r>
      <w:r w:rsidRPr="0015365E">
        <w:rPr>
          <w:rFonts w:ascii="Palatino Linotype" w:hAnsi="Palatino Linotype" w:cs="Arial"/>
          <w:i/>
          <w:lang w:val="es-ES"/>
        </w:rPr>
        <w:t xml:space="preserve">: Considerando que: De acuerdo al artículo 8 del Código Financiero del Estado de México y Municipios, “ninguna contribución podrá recaudarse si no está prevista en la Ley de Ingresos correspondiente. Sólo podrá destinarse un ingreso a un fin específico, cuando así lo disponga expresamente este Código, la Ley de Ingresos o el Presupuesto de Egresos”. Y asimismo, considerando que otros ordenamientos muestran que se requiere de un proceso legislativo para el establecimiento de una ley u ordenamiento, en donde es la Legislatura del Estado quien las expide y Municipio puede hacer la propuesta, tales como: la fracción II y el inciso c) de la fracción IV ambos del art. 115 de la Constitución Política de los Estados Unidos Mexicanos; la fracción IV del art. 51, art. 56, art. 57, la fracción XXVII del art. 61 de la Constitución Política del Estado Libre y Soberano de México; art. 18 y fracción III del art. 61 de la Ley del Agua para el Estado de México y Municipios; art. 121 del Reglamento de la Ley del Agua para el Estado de México y Municipios. Y teniendo en cuenta que en la Ley de Ingresos del Estado de México para el ejercicio fiscal 2020 señala en su artículo 17 que: “durante los meses de enero, febrero y marzo del Ejercicio Fiscal del año 2020, las Entidades Públicas deberán informar a la Secretaría de Finanzas los montos de los precios y tarifas por los bienes y servicios a proporcionar durante dicho ejercicio, conforme a los lineamientos que para tal efecto emita la propia Secretaría. Los montos que no se informen a la Secretaría de Finanzas conforme a lo solicitado, no podrán ser cobrados a partir del 1º de abril de dicho año y hasta la fecha en que sean informados”. Y en su segundo párrafo: “Tratándose de precios y tarifas de nueva creación, así como las modificaciones a los mismos, se deberá informar a la Secretaría de Finanzas conforme a los lineamientos </w:t>
      </w:r>
      <w:r w:rsidRPr="0015365E">
        <w:rPr>
          <w:rFonts w:ascii="Palatino Linotype" w:hAnsi="Palatino Linotype" w:cs="Arial"/>
          <w:i/>
          <w:lang w:val="es-ES"/>
        </w:rPr>
        <w:lastRenderedPageBreak/>
        <w:t xml:space="preserve">referidos en el párrafo anterior. La Secretaría de Finanzas podrá, mediante resoluciones de carácter particular, modificar los montos de los precios y tarifas que sean informados.” En la Ley de Ingresos de los Municipios del Estado de México para el ejercicio fiscal 2020, en el párrafo quinto de la Exposición de Motivos señala que "los ajustes generales que aquí se proponen, permitirán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Y, en su artículo tercero transitorio se señala que: “Las entidades públicas podrán cobrar los precios y tarifas a que se refiere el artículo 17 de la presente Ley durante los meses de enero, febrero y marzo de 2020, aplicando los últimos que se hubieren informado en 2019.” Mientras que en el Decreto número 124 publicado en la Gaceta Oficial el 26 de diciembre de 2019 “Por el que se Aprueban las Tarifas Aplicables al Pago de los Derechos por los Servicios Públicos Municipales de Agua Potable, Drenaje, Alcantarillado y Recepción de los Caudales de Aguas Residuales para su Tratamiento y Disposición de Aguas Residuales, diferentes a las establecidas en el Código Financiero del Estado de México y Municipios de los Municipios de Acolman, Amecameca, Atizapán de Zaragoza, Atlacomulco, Coacalco de Berriozábal, Cuautitlán Izcalli, Cuautitlán, El Oro, Huixquilucan, Jilotepec, Lerma, Metepec, Naucalpan de Juárez, Tecámac, Tepotzotlán, Tlalnepantla de Baz, Toluca, Tultitlán, Valle de Bravo y Zinacantepec, México, para el Ejercicio Fiscal 2020”. Cabe señalar que las tarifas a que se refieren este Decreto número 124 corresponden exclusivamente a la modificación de tarifas de los artículos 130 (derechos por el suministro de agua potable), 103 Bis (por servicio de drenaje y alcantarillado), 130 Bis A (por usuarios que se abastezcan de agua de fuentes diversas a la red), 131 (por suministro de agua en bloque), 134 (por derivaciones de toma de agua), 135 (por prestación de servicios de conexión </w:t>
      </w:r>
      <w:r w:rsidRPr="0015365E">
        <w:rPr>
          <w:rFonts w:ascii="Palatino Linotype" w:hAnsi="Palatino Linotype" w:cs="Arial"/>
          <w:i/>
          <w:lang w:val="es-ES"/>
        </w:rPr>
        <w:lastRenderedPageBreak/>
        <w:t xml:space="preserve">de agua y drenaje), 136 (por la recepción de los caudales de aguas residuales),137(por expedición del dictamen de factibilidad de servicios), 137 Bis (por el control para el establecimiento del sistema de agua potable y alcantarillado), y 138 (por la conexión de la toma para suministro de agua en bloque) del Código Financiero del Estado de México y Municipios. Ni en este Decreto 124; ni en la Ley de Ingresos del Estado de México de 2019 y la del 2020; ni en la Ley de Ingresos de los Municipios del Estado de México 2019 y la del 2020; se menciona la modificación al artículo 147 del Código Financiero del Estado de México y Municipios, ni se hace mención de otras tarifas o cuotas que cobran los Municipios y O.P.D.M (Organismo Público Descentralizado Municipal) por derechos de servicios prestados; ni de un aumento de los ya existentes. 1. </w:t>
      </w:r>
      <w:r w:rsidRPr="00327823">
        <w:rPr>
          <w:rFonts w:ascii="Palatino Linotype" w:hAnsi="Palatino Linotype" w:cs="Arial"/>
          <w:b/>
          <w:i/>
          <w:u w:val="single"/>
          <w:lang w:val="es-ES"/>
        </w:rPr>
        <w:t>¿Cuál es el fundamento jurídico para la respuesta afirmativa a la pregunta 1 y 2?</w:t>
      </w:r>
      <w:r w:rsidRPr="00327823">
        <w:rPr>
          <w:rFonts w:ascii="Palatino Linotype" w:hAnsi="Palatino Linotype" w:cs="Arial"/>
          <w:i/>
          <w:u w:val="single"/>
          <w:lang w:val="es-ES"/>
        </w:rPr>
        <w:t xml:space="preserve"> 2. </w:t>
      </w:r>
      <w:r w:rsidRPr="00327823">
        <w:rPr>
          <w:rFonts w:ascii="Palatino Linotype" w:hAnsi="Palatino Linotype" w:cs="Arial"/>
          <w:b/>
          <w:i/>
          <w:u w:val="single"/>
          <w:lang w:val="es-ES"/>
        </w:rPr>
        <w:t xml:space="preserve">Toda tarifa o cuota, ya sea que sea nueva o modifique otra existente, propuesta por un Municipio o un O.P.D.M., ¿para poder ser cobrada, requiere sujetarse al proceso legislativo ante la Legislatura del Estado y ser aprobada? 3. ¿Cualquier tarifa autorizada, para que surta efecto, debe ser publicada en la Gaceta de Gobierno? Tomando en consideración que el artículo 5 del Código Financiero del Estado de México, que señala que “las leyes, reglamentos y demás disposiciones financieras de observancia general, obligan y surten sus efectos al día siguiente de su publicación en el Periódico Oficial, salvo que en las mismas se señale una fecha diferente”. 4. ¿Una tarifa o cuota puede ser cobrada si sólo sea aprobada por el Ayuntamiento u O.P.D.M. y es publicada en la Gaceta Municipal, sin haber sido autorizada por la Legislatura Estatal? Si es así, ¿cuál es el fundamento jurídico para ello? 5. ¿El Municipio o un O.P.D.M. tiene facultad legislativa? 6. ¿El Municipio o un O.P.D.M, sólo está facultado para expedir ordenamientos de carácter administrativo, como el bando municipal, reglamentos? 7. Si el Municipio o un O.P.D.M. no informan de sus tarifas </w:t>
      </w:r>
      <w:r w:rsidRPr="00327823">
        <w:rPr>
          <w:rFonts w:ascii="Palatino Linotype" w:hAnsi="Palatino Linotype" w:cs="Arial"/>
          <w:b/>
          <w:i/>
          <w:u w:val="single"/>
          <w:lang w:val="es-ES"/>
        </w:rPr>
        <w:lastRenderedPageBreak/>
        <w:t>u cuotas a la Secretaría de Finanzas en los tiempos y formas que establece la Ley de Ingresos ¿no podrán ser cobradas por estas entidades públicas?</w:t>
      </w:r>
      <w:r w:rsidR="007A28BF" w:rsidRPr="00EC1D83">
        <w:rPr>
          <w:rFonts w:ascii="Palatino Linotype" w:hAnsi="Palatino Linotype" w:cs="Arial"/>
          <w:i/>
          <w:lang w:val="es-ES"/>
        </w:rPr>
        <w:t>” (Sic)</w:t>
      </w:r>
      <w:r w:rsidR="007A28BF" w:rsidRPr="00EC1D83">
        <w:rPr>
          <w:rFonts w:ascii="Palatino Linotype" w:hAnsi="Palatino Linotype" w:cs="Arial"/>
          <w:lang w:val="es-ES"/>
        </w:rPr>
        <w:t>.</w:t>
      </w:r>
    </w:p>
    <w:p w:rsidR="007A28BF" w:rsidRDefault="007A28BF" w:rsidP="007A28BF">
      <w:pPr>
        <w:pStyle w:val="Sinespaciado"/>
        <w:spacing w:line="360" w:lineRule="auto"/>
        <w:jc w:val="both"/>
        <w:rPr>
          <w:rFonts w:ascii="Palatino Linotype" w:hAnsi="Palatino Linotype"/>
        </w:rPr>
      </w:pPr>
    </w:p>
    <w:p w:rsidR="007A28BF" w:rsidRDefault="007A28BF" w:rsidP="007A28BF">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w:t>
      </w:r>
      <w:r w:rsidR="004D07A5">
        <w:rPr>
          <w:rFonts w:ascii="Palatino Linotype" w:hAnsi="Palatino Linotype" w:cs="Arial"/>
          <w:sz w:val="24"/>
          <w:szCs w:val="24"/>
        </w:rPr>
        <w:t xml:space="preserve">rrafos, se cae en cuenta que la </w:t>
      </w:r>
      <w:r>
        <w:rPr>
          <w:rFonts w:ascii="Palatino Linotype" w:hAnsi="Palatino Linotype" w:cs="Arial"/>
          <w:sz w:val="24"/>
          <w:szCs w:val="24"/>
        </w:rPr>
        <w:t xml:space="preserve">recurrente sólo hace alusión </w:t>
      </w:r>
      <w:r w:rsidR="004D07A5" w:rsidRPr="004D07A5">
        <w:rPr>
          <w:rFonts w:ascii="Palatino Linotype" w:hAnsi="Palatino Linotype" w:cs="Arial"/>
          <w:sz w:val="24"/>
          <w:lang w:val="es-ES"/>
        </w:rPr>
        <w:t>la respuesta recibida a la pregunta 1 y 2. Es por ello qu</w:t>
      </w:r>
      <w:r w:rsidR="004D07A5">
        <w:rPr>
          <w:rFonts w:ascii="Palatino Linotype" w:hAnsi="Palatino Linotype" w:cs="Arial"/>
          <w:sz w:val="24"/>
          <w:lang w:val="es-ES"/>
        </w:rPr>
        <w:t>e requiere</w:t>
      </w:r>
      <w:r w:rsidR="004D07A5" w:rsidRPr="004D07A5">
        <w:rPr>
          <w:rFonts w:ascii="Palatino Linotype" w:hAnsi="Palatino Linotype" w:cs="Arial"/>
          <w:sz w:val="24"/>
          <w:lang w:val="es-ES"/>
        </w:rPr>
        <w:t xml:space="preserve"> información más detallada al respecto</w:t>
      </w:r>
      <w:r w:rsidRPr="004D07A5">
        <w:rPr>
          <w:rFonts w:ascii="Palatino Linotype" w:hAnsi="Palatino Linotype" w:cs="Arial"/>
          <w:sz w:val="28"/>
          <w:szCs w:val="24"/>
        </w:rPr>
        <w:t xml:space="preserve">. </w:t>
      </w:r>
    </w:p>
    <w:p w:rsidR="007A28BF" w:rsidRPr="009D65D2" w:rsidRDefault="007A28BF" w:rsidP="007A28BF">
      <w:pPr>
        <w:pStyle w:val="Sinespaciado"/>
      </w:pPr>
    </w:p>
    <w:p w:rsidR="007A28BF" w:rsidRPr="005B45EA" w:rsidRDefault="007A28BF" w:rsidP="007A28BF">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Luego entonces, se advierte la existencia de un acto consentido en la falta de impugnación de la</w:t>
      </w:r>
      <w:r>
        <w:rPr>
          <w:rFonts w:ascii="Palatino Linotype" w:hAnsi="Palatino Linotype" w:cs="Arial"/>
          <w:sz w:val="24"/>
          <w:szCs w:val="24"/>
        </w:rPr>
        <w:t xml:space="preserve"> totalidad de la</w:t>
      </w:r>
      <w:r w:rsidRPr="005B45EA">
        <w:rPr>
          <w:rFonts w:ascii="Palatino Linotype" w:hAnsi="Palatino Linotype" w:cs="Arial"/>
          <w:sz w:val="24"/>
          <w:szCs w:val="24"/>
        </w:rPr>
        <w:t xml:space="preserve"> información contenida en respuesta respecto</w:t>
      </w:r>
      <w:r w:rsidR="00673D1C">
        <w:rPr>
          <w:rFonts w:ascii="Palatino Linotype" w:hAnsi="Palatino Linotype" w:cs="Arial"/>
          <w:sz w:val="24"/>
          <w:szCs w:val="24"/>
        </w:rPr>
        <w:t xml:space="preserve"> de las peticiones marcadas en la solicitud de información con los numerales 3, 4, 5, 6. La</w:t>
      </w:r>
      <w:r w:rsidRPr="005B45EA">
        <w:rPr>
          <w:rFonts w:ascii="Palatino Linotype" w:hAnsi="Palatino Linotype" w:cs="Arial"/>
          <w:sz w:val="24"/>
          <w:szCs w:val="24"/>
        </w:rPr>
        <w:t xml:space="preserve">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7A28BF" w:rsidRPr="005B45EA" w:rsidRDefault="007A28BF" w:rsidP="007A28BF">
      <w:pPr>
        <w:spacing w:after="0" w:line="360" w:lineRule="auto"/>
        <w:jc w:val="both"/>
        <w:rPr>
          <w:rFonts w:ascii="Palatino Linotype" w:hAnsi="Palatino Linotype" w:cs="Arial"/>
          <w:sz w:val="24"/>
          <w:szCs w:val="24"/>
        </w:rPr>
      </w:pPr>
    </w:p>
    <w:p w:rsidR="007A28BF" w:rsidRPr="003B3F28" w:rsidRDefault="007A28BF" w:rsidP="007A28BF">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w:t>
      </w:r>
      <w:r w:rsidR="00F61C91">
        <w:rPr>
          <w:rFonts w:ascii="Palatino Linotype" w:hAnsi="Palatino Linotype" w:cs="Arial"/>
          <w:sz w:val="24"/>
          <w:szCs w:val="24"/>
        </w:rPr>
        <w:t xml:space="preserve"> le explico de manera clara y precisa la respuesta a los puntos 1 y 2</w:t>
      </w:r>
      <w:r w:rsidRPr="003B3F28">
        <w:rPr>
          <w:rFonts w:ascii="Palatino Linotype" w:hAnsi="Palatino Linotype" w:cs="Arial"/>
          <w:sz w:val="24"/>
          <w:szCs w:val="24"/>
        </w:rPr>
        <w:t xml:space="preserve">,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w:t>
      </w:r>
      <w:r w:rsidRPr="003B3F28">
        <w:rPr>
          <w:rFonts w:ascii="Palatino Linotype" w:hAnsi="Palatino Linotype" w:cs="Arial"/>
          <w:sz w:val="24"/>
          <w:szCs w:val="24"/>
        </w:rPr>
        <w:lastRenderedPageBreak/>
        <w:t>circunstancias tangibles u observables han de hacer notar la existencia ya sea de una consciencia volitiva (concreta) o de una cosa cierta.</w:t>
      </w:r>
    </w:p>
    <w:p w:rsidR="007A28BF" w:rsidRDefault="007A28BF" w:rsidP="007A28BF">
      <w:pPr>
        <w:spacing w:after="0" w:line="360" w:lineRule="auto"/>
        <w:jc w:val="both"/>
        <w:rPr>
          <w:rFonts w:ascii="Palatino Linotype" w:hAnsi="Palatino Linotype" w:cs="Arial"/>
          <w:sz w:val="24"/>
          <w:szCs w:val="24"/>
        </w:rPr>
      </w:pPr>
    </w:p>
    <w:p w:rsidR="007A28BF" w:rsidRPr="003B3F28" w:rsidRDefault="007A28BF" w:rsidP="007A28BF">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7A28BF" w:rsidRPr="003B3F28" w:rsidRDefault="007A28BF" w:rsidP="007A28BF">
      <w:pPr>
        <w:spacing w:after="0" w:line="360" w:lineRule="auto"/>
        <w:jc w:val="both"/>
        <w:rPr>
          <w:rFonts w:ascii="Palatino Linotype" w:hAnsi="Palatino Linotype" w:cs="Arial"/>
          <w:sz w:val="24"/>
          <w:szCs w:val="24"/>
        </w:rPr>
      </w:pPr>
    </w:p>
    <w:p w:rsidR="007A28BF" w:rsidRPr="003B3F28" w:rsidRDefault="007A28BF" w:rsidP="007A28BF">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D74850">
        <w:rPr>
          <w:rFonts w:ascii="Palatino Linotype" w:hAnsi="Palatino Linotype" w:cs="Arial"/>
          <w:sz w:val="24"/>
          <w:szCs w:val="24"/>
        </w:rPr>
        <w:t>uno al seiz</w:t>
      </w:r>
      <w:r>
        <w:rPr>
          <w:rFonts w:ascii="Palatino Linotype" w:hAnsi="Palatino Linotype" w:cs="Arial"/>
          <w:sz w:val="24"/>
          <w:szCs w:val="24"/>
        </w:rPr>
        <w:t xml:space="preserve"> </w:t>
      </w:r>
      <w:r w:rsidRPr="003B3F28">
        <w:rPr>
          <w:rFonts w:ascii="Palatino Linotype" w:hAnsi="Palatino Linotype" w:cs="Arial"/>
          <w:sz w:val="24"/>
          <w:szCs w:val="24"/>
        </w:rPr>
        <w:t>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7A28BF" w:rsidRPr="005A3F83" w:rsidRDefault="007A28BF" w:rsidP="007A28BF">
      <w:pPr>
        <w:autoSpaceDE w:val="0"/>
        <w:autoSpaceDN w:val="0"/>
        <w:adjustRightInd w:val="0"/>
        <w:spacing w:after="0" w:line="360" w:lineRule="auto"/>
        <w:jc w:val="both"/>
        <w:rPr>
          <w:rFonts w:ascii="Palatino Linotype" w:hAnsi="Palatino Linotype"/>
          <w:color w:val="000000"/>
          <w:sz w:val="24"/>
          <w:szCs w:val="24"/>
        </w:rPr>
      </w:pPr>
    </w:p>
    <w:p w:rsidR="007A28BF" w:rsidRDefault="007A28BF" w:rsidP="007A28BF">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5A3F83">
        <w:rPr>
          <w:rFonts w:ascii="Palatino Linotype" w:hAnsi="Palatino Linotype"/>
          <w:color w:val="000000"/>
          <w:sz w:val="24"/>
          <w:szCs w:val="24"/>
        </w:rPr>
        <w:lastRenderedPageBreak/>
        <w:t>anterior, por analogía, la Tesis Jurisprudencial Número 3ª./J.7/91, publicada en el Semanario Judicial de la Federación y su Gaceta bajo el número de registro 174,177, que establece lo siguiente:</w:t>
      </w:r>
    </w:p>
    <w:p w:rsidR="007A28BF" w:rsidRPr="005A3F83" w:rsidRDefault="007A28BF" w:rsidP="007A28BF">
      <w:pPr>
        <w:autoSpaceDE w:val="0"/>
        <w:autoSpaceDN w:val="0"/>
        <w:adjustRightInd w:val="0"/>
        <w:spacing w:after="0" w:line="360" w:lineRule="auto"/>
        <w:jc w:val="both"/>
        <w:rPr>
          <w:rFonts w:ascii="Palatino Linotype" w:hAnsi="Palatino Linotype"/>
          <w:color w:val="000000"/>
          <w:sz w:val="24"/>
          <w:szCs w:val="24"/>
        </w:rPr>
      </w:pPr>
    </w:p>
    <w:p w:rsidR="007A28BF" w:rsidRPr="00915086" w:rsidRDefault="007A28BF" w:rsidP="007A28BF">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A28BF" w:rsidRDefault="007A28BF" w:rsidP="007A28BF">
      <w:pPr>
        <w:pStyle w:val="Sinespaciado"/>
      </w:pPr>
    </w:p>
    <w:p w:rsidR="007A28BF" w:rsidRPr="00076DC0" w:rsidRDefault="007A28BF" w:rsidP="007A28BF">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7A28BF" w:rsidRPr="00915086" w:rsidRDefault="007A28BF" w:rsidP="007A28BF">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915086">
        <w:rPr>
          <w:rFonts w:ascii="Palatino Linotype" w:hAnsi="Palatino Linotype"/>
          <w:i/>
        </w:rPr>
        <w:lastRenderedPageBreak/>
        <w:t>tendientes a revocar, confirmar o modificar el acto reclamado en amparo, lo que significa consentimiento del mismo por falta de impugnación eficaz.</w:t>
      </w:r>
    </w:p>
    <w:p w:rsidR="007A28BF" w:rsidRDefault="007A28BF" w:rsidP="007A28BF">
      <w:pPr>
        <w:pStyle w:val="Sinespaciado"/>
        <w:spacing w:line="360" w:lineRule="auto"/>
        <w:jc w:val="both"/>
        <w:rPr>
          <w:rFonts w:ascii="Palatino Linotype" w:hAnsi="Palatino Linotype"/>
        </w:rPr>
      </w:pPr>
    </w:p>
    <w:p w:rsidR="007A28BF" w:rsidRPr="00611BCB" w:rsidRDefault="007A28BF" w:rsidP="007A28BF">
      <w:pPr>
        <w:spacing w:line="360" w:lineRule="auto"/>
        <w:jc w:val="both"/>
        <w:rPr>
          <w:rFonts w:ascii="Palatino Linotype" w:hAnsi="Palatino Linotype" w:cs="Arial"/>
          <w:sz w:val="24"/>
          <w:szCs w:val="24"/>
        </w:rPr>
      </w:pPr>
      <w:r w:rsidRPr="00611BCB">
        <w:rPr>
          <w:rFonts w:ascii="Palatino Linotype" w:hAnsi="Palatino Linotype"/>
          <w:sz w:val="24"/>
          <w:szCs w:val="24"/>
        </w:rPr>
        <w:t>No pasa desapercibido por esta</w:t>
      </w:r>
      <w:r w:rsidRPr="00611BCB">
        <w:rPr>
          <w:rFonts w:ascii="Palatino Linotype" w:hAnsi="Palatino Linotype" w:cs="Arial"/>
          <w:sz w:val="24"/>
          <w:szCs w:val="24"/>
        </w:rPr>
        <w:t xml:space="preserve"> ponencia resolutora que El Recurrente en sus motivos de inconformidad manifiesta; </w:t>
      </w:r>
      <w:r w:rsidRPr="00756B61">
        <w:rPr>
          <w:rFonts w:ascii="Palatino Linotype" w:hAnsi="Palatino Linotype" w:cs="Arial"/>
          <w:sz w:val="24"/>
          <w:szCs w:val="24"/>
        </w:rPr>
        <w:t>“</w:t>
      </w:r>
      <w:r w:rsidR="00673D1C" w:rsidRPr="00756B61">
        <w:rPr>
          <w:rFonts w:ascii="Palatino Linotype" w:hAnsi="Palatino Linotype" w:cs="Arial"/>
          <w:i/>
          <w:u w:val="single"/>
          <w:lang w:val="es-ES"/>
        </w:rPr>
        <w:t>¿Cuál es el fundamento jurídico para la respuesta afirmativa a la pregunta 1 y 2? ¿para poder ser cobrada, requiere sujetarse al proceso legislativo ante la Legislatura del Estado y ser aprobada? 3. ¿Cualquier tarifa autorizada, para que surta efecto, debe ser publicada en la Gaceta de Gobierno</w:t>
      </w:r>
      <w:r w:rsidR="00756B61" w:rsidRPr="00756B61">
        <w:rPr>
          <w:rFonts w:ascii="Palatino Linotype" w:hAnsi="Palatino Linotype" w:cs="Arial"/>
          <w:i/>
          <w:u w:val="single"/>
          <w:lang w:val="es-ES"/>
        </w:rPr>
        <w:t xml:space="preserve"> </w:t>
      </w:r>
      <w:r w:rsidR="00673D1C" w:rsidRPr="00756B61">
        <w:rPr>
          <w:rFonts w:ascii="Palatino Linotype" w:hAnsi="Palatino Linotype" w:cs="Arial"/>
          <w:i/>
          <w:u w:val="single"/>
          <w:lang w:val="es-ES"/>
        </w:rPr>
        <w:t>4. ¿Una tarifa o cuota puede ser cobrada si sólo sea aprobada por el Ayuntamiento u O.P.D.M. y es publicada en la Gaceta Municipal, sin haber sido autorizada por la Legislatura Estatal? Si es así, ¿cuál es el fundamento jurídico para ello? 5. ¿El Municipio o un O.P.D.M. tiene facultad legislativa? 6. ¿El Municipio o un O.P.D.M, sólo está facultado para expedir ordenamientos de carácter administrativo, como el bando municipal, reglamentos? 7. Si el Municipio o un O.P.D.M. no informan de sus tarifas u cuotas a la Secretaría de Finanzas en los tiempos y formas que establece la Ley de Ingresos ¿no podrán ser cobradas por estas entidades públicas?</w:t>
      </w:r>
      <w:r w:rsidRPr="00756B61">
        <w:rPr>
          <w:rFonts w:ascii="Palatino Linotype" w:hAnsi="Palatino Linotype" w:cs="Arial"/>
          <w:sz w:val="24"/>
          <w:szCs w:val="24"/>
        </w:rPr>
        <w:t>”</w:t>
      </w:r>
      <w:r w:rsidRPr="000C2696">
        <w:rPr>
          <w:rFonts w:ascii="Palatino Linotype" w:hAnsi="Palatino Linotype" w:cs="Arial"/>
          <w:sz w:val="24"/>
          <w:szCs w:val="24"/>
        </w:rPr>
        <w:t xml:space="preserve"> </w:t>
      </w:r>
      <w:r w:rsidRPr="00611BCB">
        <w:rPr>
          <w:rFonts w:ascii="Palatino Linotype" w:hAnsi="Palatino Linotype" w:cs="Arial"/>
          <w:sz w:val="24"/>
          <w:szCs w:val="24"/>
        </w:rPr>
        <w:t xml:space="preserve">argumentos que no son susceptibles de tomarse en cuenta en este momento procesal, ya que se considera como </w:t>
      </w:r>
      <w:r w:rsidRPr="00611BCB">
        <w:rPr>
          <w:rFonts w:ascii="Palatino Linotype" w:hAnsi="Palatino Linotype" w:cs="Arial"/>
          <w:i/>
          <w:sz w:val="24"/>
          <w:szCs w:val="24"/>
        </w:rPr>
        <w:t xml:space="preserve">plus petitio, </w:t>
      </w:r>
      <w:r w:rsidRPr="00611BCB">
        <w:rPr>
          <w:rFonts w:ascii="Palatino Linotype" w:hAnsi="Palatino Linotype" w:cs="Arial"/>
          <w:sz w:val="24"/>
          <w:szCs w:val="24"/>
        </w:rPr>
        <w:t>circunstancia sobre la cual se abordará a continuación.</w:t>
      </w:r>
    </w:p>
    <w:p w:rsidR="007A28BF" w:rsidRPr="007F2B5D" w:rsidRDefault="007A28BF" w:rsidP="007A28BF">
      <w:pPr>
        <w:pStyle w:val="Sinespaciado"/>
        <w:rPr>
          <w:sz w:val="6"/>
        </w:rPr>
      </w:pPr>
    </w:p>
    <w:p w:rsidR="007A28BF" w:rsidRPr="007F2B5D" w:rsidRDefault="007A28BF" w:rsidP="007A28BF">
      <w:pPr>
        <w:autoSpaceDE w:val="0"/>
        <w:autoSpaceDN w:val="0"/>
        <w:adjustRightInd w:val="0"/>
        <w:spacing w:before="240" w:after="240" w:line="360" w:lineRule="auto"/>
        <w:jc w:val="both"/>
        <w:rPr>
          <w:rFonts w:ascii="Palatino Linotype" w:hAnsi="Palatino Linotype" w:cs="Arial"/>
          <w:sz w:val="24"/>
          <w:szCs w:val="24"/>
        </w:rPr>
      </w:pPr>
      <w:r w:rsidRPr="007F2B5D">
        <w:rPr>
          <w:rFonts w:ascii="Palatino Linotype" w:hAnsi="Palatino Linotype" w:cs="Arial"/>
          <w:sz w:val="24"/>
          <w:szCs w:val="24"/>
        </w:rPr>
        <w:t xml:space="preserve">En términos de la fracción VII del artículo 191 de la ley de la materia, se considera </w:t>
      </w:r>
      <w:r w:rsidRPr="007F2B5D">
        <w:rPr>
          <w:rFonts w:ascii="Palatino Linotype" w:hAnsi="Palatino Linotype" w:cs="Arial"/>
          <w:i/>
          <w:sz w:val="24"/>
          <w:szCs w:val="24"/>
        </w:rPr>
        <w:t xml:space="preserve">plus petitio </w:t>
      </w:r>
      <w:r w:rsidRPr="007F2B5D">
        <w:rPr>
          <w:rFonts w:ascii="Palatino Linotype" w:hAnsi="Palatino Linotype" w:cs="Arial"/>
          <w:sz w:val="24"/>
          <w:szCs w:val="24"/>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w:t>
      </w:r>
      <w:r w:rsidR="00756B61">
        <w:rPr>
          <w:rFonts w:ascii="Palatino Linotype" w:hAnsi="Palatino Linotype" w:cs="Arial"/>
          <w:sz w:val="24"/>
          <w:szCs w:val="24"/>
        </w:rPr>
        <w:t>derse en este momento procesal.</w:t>
      </w:r>
    </w:p>
    <w:p w:rsidR="007A28BF" w:rsidRPr="007F2B5D" w:rsidRDefault="007A28BF" w:rsidP="007A28BF">
      <w:pPr>
        <w:pStyle w:val="Sinespaciado"/>
        <w:rPr>
          <w:sz w:val="6"/>
        </w:rPr>
      </w:pPr>
    </w:p>
    <w:p w:rsidR="007A28BF" w:rsidRPr="007F2B5D" w:rsidRDefault="007A28BF" w:rsidP="007A28BF">
      <w:pPr>
        <w:spacing w:before="240" w:after="240" w:line="360" w:lineRule="auto"/>
        <w:jc w:val="both"/>
        <w:rPr>
          <w:rFonts w:ascii="Palatino Linotype" w:hAnsi="Palatino Linotype" w:cs="Arial"/>
          <w:color w:val="000000"/>
          <w:sz w:val="24"/>
          <w:szCs w:val="24"/>
        </w:rPr>
      </w:pPr>
      <w:r w:rsidRPr="007F2B5D">
        <w:rPr>
          <w:rFonts w:ascii="Palatino Linotype" w:hAnsi="Palatino Linotype"/>
          <w:sz w:val="24"/>
          <w:szCs w:val="24"/>
        </w:rPr>
        <w:lastRenderedPageBreak/>
        <w:t>Por lo anterior</w:t>
      </w:r>
      <w:r>
        <w:rPr>
          <w:rFonts w:ascii="Palatino Linotype" w:hAnsi="Palatino Linotype" w:cs="Arial"/>
          <w:color w:val="000000"/>
          <w:sz w:val="24"/>
          <w:szCs w:val="24"/>
        </w:rPr>
        <w:t xml:space="preserve">, resulta claro que La </w:t>
      </w:r>
      <w:r w:rsidRPr="007F2B5D">
        <w:rPr>
          <w:rFonts w:ascii="Palatino Linotype" w:hAnsi="Palatino Linotype" w:cs="Arial"/>
          <w:color w:val="000000"/>
          <w:sz w:val="24"/>
          <w:szCs w:val="24"/>
        </w:rPr>
        <w:t>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7A28BF" w:rsidRPr="007F2B5D" w:rsidRDefault="007A28BF" w:rsidP="007A28BF">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7A28BF" w:rsidRPr="007F2B5D" w:rsidRDefault="007A28BF" w:rsidP="007A28BF">
      <w:pPr>
        <w:spacing w:before="240" w:after="240" w:line="360" w:lineRule="auto"/>
        <w:ind w:left="851"/>
        <w:jc w:val="both"/>
        <w:rPr>
          <w:rFonts w:ascii="Palatino Linotype" w:hAnsi="Palatino Linotype" w:cs="Arial"/>
          <w:color w:val="000000"/>
          <w:szCs w:val="24"/>
        </w:rPr>
      </w:pPr>
      <w:r w:rsidRPr="007F2B5D">
        <w:rPr>
          <w:rFonts w:ascii="Palatino Linotype" w:hAnsi="Palatino Linotype" w:cs="Arial"/>
          <w:b/>
          <w:color w:val="000000"/>
          <w:szCs w:val="24"/>
        </w:rPr>
        <w:t>"</w:t>
      </w:r>
      <w:r w:rsidRPr="007F2B5D">
        <w:rPr>
          <w:rFonts w:ascii="Palatino Linotype" w:hAnsi="Palatino Linotype" w:cs="Arial"/>
          <w:b/>
          <w:i/>
          <w:color w:val="000000"/>
          <w:szCs w:val="24"/>
        </w:rPr>
        <w:t>AGRAVIOS EN LA REVISION. DEBEN ESTAR EN RELACION DIRECTA CON LOS FUNDAMENTOS Y CONSIDERACIONES DE LA SENTENCIA</w:t>
      </w:r>
      <w:r w:rsidRPr="007F2B5D">
        <w:rPr>
          <w:rFonts w:ascii="Palatino Linotype" w:hAnsi="Palatino Linotype" w:cs="Arial"/>
          <w:i/>
          <w:color w:val="000000"/>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F2B5D">
        <w:rPr>
          <w:rFonts w:ascii="Palatino Linotype" w:hAnsi="Palatino Linotype" w:cs="Arial"/>
          <w:b/>
          <w:color w:val="000000"/>
          <w:szCs w:val="24"/>
        </w:rPr>
        <w:t>"</w:t>
      </w:r>
    </w:p>
    <w:p w:rsidR="007A28BF" w:rsidRPr="007F2B5D" w:rsidRDefault="007A28BF" w:rsidP="007A28BF">
      <w:pPr>
        <w:spacing w:before="240" w:after="240" w:line="360" w:lineRule="auto"/>
        <w:jc w:val="both"/>
        <w:rPr>
          <w:rFonts w:ascii="Palatino Linotype" w:hAnsi="Palatino Linotype" w:cs="Arial"/>
          <w:color w:val="000000"/>
          <w:sz w:val="2"/>
          <w:szCs w:val="24"/>
        </w:rPr>
      </w:pPr>
    </w:p>
    <w:p w:rsidR="007A28BF" w:rsidRPr="007F2B5D" w:rsidRDefault="007A28BF" w:rsidP="007A28BF">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 xml:space="preserve">Por lo anterior, se establece que dentro del recurso de revisión presentado por El Recurrente no debe variar el fondo de la litis, de tal manera que la manifestación a que se ha hecho referencia y que fue vertida en sus motivos de inconformidad, resulta </w:t>
      </w:r>
      <w:r w:rsidRPr="007F2B5D">
        <w:rPr>
          <w:rFonts w:ascii="Palatino Linotype" w:hAnsi="Palatino Linotype" w:cs="Arial"/>
          <w:color w:val="000000"/>
          <w:sz w:val="24"/>
          <w:szCs w:val="24"/>
        </w:rPr>
        <w:lastRenderedPageBreak/>
        <w:t>notoriamente improcedente, pues este Órgano Garante se encuentra imposibilitado para satisfacer requerimientos que no fueron formulados en tiempo y forma.</w:t>
      </w:r>
    </w:p>
    <w:p w:rsidR="007A28BF" w:rsidRPr="007F2B5D" w:rsidRDefault="007A28BF" w:rsidP="007A28BF">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7A28BF" w:rsidRPr="007F2B5D" w:rsidRDefault="007A28BF" w:rsidP="007A28BF">
      <w:pPr>
        <w:shd w:val="clear" w:color="auto" w:fill="FFFFFF"/>
        <w:spacing w:line="360" w:lineRule="auto"/>
        <w:ind w:left="851" w:right="1417"/>
        <w:jc w:val="both"/>
        <w:rPr>
          <w:rFonts w:ascii="Palatino Linotype" w:hAnsi="Palatino Linotype" w:cs="Arial"/>
          <w:color w:val="000000" w:themeColor="text1"/>
          <w:szCs w:val="24"/>
        </w:rPr>
      </w:pPr>
      <w:r w:rsidRPr="007F2B5D">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7A28BF" w:rsidRPr="007F2B5D" w:rsidRDefault="007A28BF" w:rsidP="007A28BF">
      <w:pPr>
        <w:shd w:val="clear" w:color="auto" w:fill="FFFFFF"/>
        <w:spacing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w:t>
      </w:r>
      <w:r w:rsidRPr="007F2B5D">
        <w:rPr>
          <w:rFonts w:ascii="Palatino Linotype" w:hAnsi="Palatino Linotype" w:cs="Arial"/>
          <w:i/>
          <w:iCs/>
          <w:color w:val="000000" w:themeColor="text1"/>
          <w:sz w:val="24"/>
          <w:szCs w:val="24"/>
        </w:rPr>
        <w:lastRenderedPageBreak/>
        <w:t>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F2B5D">
        <w:rPr>
          <w:rFonts w:ascii="Palatino Linotype" w:hAnsi="Palatino Linotype" w:cs="Arial"/>
          <w:i/>
          <w:iCs/>
          <w:color w:val="000000" w:themeColor="text1"/>
          <w:sz w:val="24"/>
          <w:szCs w:val="24"/>
        </w:rPr>
        <w:br/>
        <w:t>OCTAVO TRIBUNAL COLEGIADO EN MATERIA ADMINISTRATIVA DEL PRIMER CIRCUITO.</w:t>
      </w:r>
      <w:r w:rsidRPr="007F2B5D">
        <w:rPr>
          <w:rFonts w:ascii="Palatino Linotype" w:hAnsi="Palatino Linotype" w:cs="Arial"/>
          <w:b/>
          <w:i/>
          <w:iCs/>
          <w:color w:val="000000" w:themeColor="text1"/>
          <w:sz w:val="24"/>
          <w:szCs w:val="24"/>
        </w:rPr>
        <w:t>”</w:t>
      </w:r>
    </w:p>
    <w:p w:rsidR="007A28BF" w:rsidRPr="007F2B5D" w:rsidRDefault="007A28BF" w:rsidP="007A28BF">
      <w:pPr>
        <w:shd w:val="clear" w:color="auto" w:fill="FFFFFF"/>
        <w:spacing w:before="240" w:after="240" w:line="360" w:lineRule="auto"/>
        <w:jc w:val="both"/>
        <w:rPr>
          <w:rFonts w:ascii="Palatino Linotype" w:hAnsi="Palatino Linotype" w:cs="Arial"/>
          <w:color w:val="000000" w:themeColor="text1"/>
          <w:sz w:val="4"/>
          <w:szCs w:val="24"/>
        </w:rPr>
      </w:pPr>
    </w:p>
    <w:p w:rsidR="007A28BF" w:rsidRPr="007F2B5D" w:rsidRDefault="007A28BF" w:rsidP="007A28BF">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7F2B5D">
        <w:rPr>
          <w:rFonts w:ascii="Palatino Linotype" w:hAnsi="Palatino Linotype" w:cs="Arial"/>
          <w:b/>
          <w:color w:val="000000" w:themeColor="text1"/>
          <w:sz w:val="24"/>
          <w:szCs w:val="24"/>
        </w:rPr>
        <w:t>27/10</w:t>
      </w:r>
      <w:r w:rsidRPr="007F2B5D">
        <w:rPr>
          <w:rFonts w:ascii="Palatino Linotype" w:hAnsi="Palatino Linotype" w:cs="Arial"/>
          <w:color w:val="000000" w:themeColor="text1"/>
          <w:sz w:val="24"/>
          <w:szCs w:val="24"/>
        </w:rPr>
        <w:t xml:space="preserve">, que </w:t>
      </w:r>
      <w:r w:rsidRPr="007F2B5D">
        <w:rPr>
          <w:rFonts w:ascii="Palatino Linotype" w:hAnsi="Palatino Linotype" w:cs="Arial"/>
          <w:bCs/>
          <w:color w:val="000000" w:themeColor="text1"/>
          <w:sz w:val="24"/>
          <w:szCs w:val="24"/>
          <w:u w:val="single"/>
        </w:rPr>
        <w:t>resulta improcedente ampliar las solicitudes de información pública</w:t>
      </w:r>
      <w:r w:rsidRPr="007F2B5D">
        <w:rPr>
          <w:rFonts w:ascii="Palatino Linotype" w:hAnsi="Palatino Linotype" w:cs="Arial"/>
          <w:color w:val="000000" w:themeColor="text1"/>
          <w:sz w:val="24"/>
          <w:szCs w:val="24"/>
          <w:u w:val="single"/>
        </w:rPr>
        <w:t xml:space="preserve"> o de datos personales a través de la interposición del recurso de revisión</w:t>
      </w:r>
      <w:r w:rsidRPr="007F2B5D">
        <w:rPr>
          <w:rFonts w:ascii="Palatino Linotype" w:hAnsi="Palatino Linotype" w:cs="Arial"/>
          <w:color w:val="000000" w:themeColor="text1"/>
          <w:sz w:val="24"/>
          <w:szCs w:val="24"/>
        </w:rPr>
        <w:t xml:space="preserve">, como se estima acontece en el presente asunto, al aumentar datos a la solicitud inicial, </w:t>
      </w:r>
      <w:r w:rsidRPr="007F2B5D">
        <w:rPr>
          <w:rFonts w:ascii="Palatino Linotype" w:hAnsi="Palatino Linotype" w:cs="Arial"/>
          <w:bCs/>
          <w:color w:val="000000" w:themeColor="text1"/>
          <w:sz w:val="24"/>
          <w:szCs w:val="24"/>
        </w:rPr>
        <w:t>por lo que se insiste no se puede entrar al estudio de la información novedosa</w:t>
      </w:r>
      <w:r w:rsidRPr="007F2B5D">
        <w:rPr>
          <w:rFonts w:ascii="Palatino Linotype" w:hAnsi="Palatino Linotype" w:cs="Arial"/>
          <w:color w:val="000000" w:themeColor="text1"/>
          <w:sz w:val="24"/>
          <w:szCs w:val="24"/>
        </w:rPr>
        <w:t>, criterio que es de la literalidad siguiente:</w:t>
      </w:r>
    </w:p>
    <w:p w:rsidR="007A28BF" w:rsidRPr="007F2B5D" w:rsidRDefault="007A28BF" w:rsidP="007A28BF">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F2B5D">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F2B5D">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7A28BF" w:rsidRDefault="007A28BF" w:rsidP="007A28BF">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Expedientes: 5871/08 Secretaría de Educación Pública – Alonso Gómez-Robledo Verduzco 3468/09 Instituto de Seguridad y Servicios </w:t>
      </w:r>
      <w:r w:rsidRPr="007F2B5D">
        <w:rPr>
          <w:rFonts w:ascii="Palatino Linotype" w:hAnsi="Palatino Linotype" w:cs="Arial"/>
          <w:i/>
          <w:iCs/>
          <w:color w:val="000000" w:themeColor="text1"/>
          <w:sz w:val="24"/>
          <w:szCs w:val="24"/>
        </w:rPr>
        <w:lastRenderedPageBreak/>
        <w:t>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7F2B5D">
        <w:rPr>
          <w:rFonts w:ascii="Palatino Linotype" w:hAnsi="Palatino Linotype" w:cs="Arial"/>
          <w:b/>
          <w:i/>
          <w:iCs/>
          <w:color w:val="000000" w:themeColor="text1"/>
          <w:sz w:val="24"/>
          <w:szCs w:val="24"/>
        </w:rPr>
        <w:t>”</w:t>
      </w:r>
    </w:p>
    <w:p w:rsidR="00714515" w:rsidRDefault="00714515" w:rsidP="00714515">
      <w:pPr>
        <w:pStyle w:val="Sinespaciado"/>
      </w:pPr>
    </w:p>
    <w:p w:rsidR="00714515" w:rsidRDefault="00714515" w:rsidP="0071451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Ahora bien, El Sujeto Obligado al rendir su informe justificado, se precisó en realizar diversas manifestaciones,</w:t>
      </w:r>
      <w:r w:rsidR="00756B61">
        <w:rPr>
          <w:rFonts w:ascii="Palatino Linotype" w:hAnsi="Palatino Linotype"/>
          <w:sz w:val="24"/>
          <w:szCs w:val="24"/>
        </w:rPr>
        <w:t xml:space="preserve"> tales como informar y dar atención a cada una de las peticiones vertidas por la recurrente como se vislumbra a continuación: </w:t>
      </w:r>
    </w:p>
    <w:p w:rsidR="00722789" w:rsidRDefault="0034386A" w:rsidP="006C5A17">
      <w:pPr>
        <w:tabs>
          <w:tab w:val="left" w:pos="709"/>
        </w:tabs>
        <w:spacing w:after="0" w:line="360" w:lineRule="auto"/>
        <w:jc w:val="center"/>
        <w:rPr>
          <w:rFonts w:ascii="Palatino Linotype" w:hAnsi="Palatino Linotype"/>
          <w:sz w:val="24"/>
          <w:szCs w:val="24"/>
        </w:rPr>
      </w:pPr>
      <w:r>
        <w:rPr>
          <w:noProof/>
          <w:lang w:eastAsia="es-MX"/>
        </w:rPr>
        <w:drawing>
          <wp:anchor distT="0" distB="0" distL="114300" distR="114300" simplePos="0" relativeHeight="251658240" behindDoc="0" locked="0" layoutInCell="1" allowOverlap="1">
            <wp:simplePos x="0" y="0"/>
            <wp:positionH relativeFrom="column">
              <wp:posOffset>453390</wp:posOffset>
            </wp:positionH>
            <wp:positionV relativeFrom="paragraph">
              <wp:posOffset>713105</wp:posOffset>
            </wp:positionV>
            <wp:extent cx="4800600" cy="3314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8117"/>
                    <a:stretch/>
                  </pic:blipFill>
                  <pic:spPr bwMode="auto">
                    <a:xfrm>
                      <a:off x="0" y="0"/>
                      <a:ext cx="4800600" cy="331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5A17">
        <w:rPr>
          <w:noProof/>
          <w:lang w:eastAsia="es-MX"/>
        </w:rPr>
        <w:drawing>
          <wp:inline distT="0" distB="0" distL="0" distR="0" wp14:anchorId="5E416DD8" wp14:editId="0F1FD9EE">
            <wp:extent cx="4848225" cy="7695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1176"/>
                    <a:stretch/>
                  </pic:blipFill>
                  <pic:spPr bwMode="auto">
                    <a:xfrm>
                      <a:off x="0" y="0"/>
                      <a:ext cx="4855475" cy="770711"/>
                    </a:xfrm>
                    <a:prstGeom prst="rect">
                      <a:avLst/>
                    </a:prstGeom>
                    <a:ln>
                      <a:noFill/>
                    </a:ln>
                    <a:extLst>
                      <a:ext uri="{53640926-AAD7-44D8-BBD7-CCE9431645EC}">
                        <a14:shadowObscured xmlns:a14="http://schemas.microsoft.com/office/drawing/2010/main"/>
                      </a:ext>
                    </a:extLst>
                  </pic:spPr>
                </pic:pic>
              </a:graphicData>
            </a:graphic>
          </wp:inline>
        </w:drawing>
      </w:r>
    </w:p>
    <w:p w:rsidR="00722789" w:rsidRDefault="00722789"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34386A" w:rsidRDefault="0034386A" w:rsidP="00722789">
      <w:pPr>
        <w:tabs>
          <w:tab w:val="left" w:pos="709"/>
        </w:tabs>
        <w:spacing w:after="0" w:line="360" w:lineRule="auto"/>
        <w:jc w:val="center"/>
        <w:rPr>
          <w:rFonts w:ascii="Palatino Linotype" w:hAnsi="Palatino Linotype"/>
          <w:sz w:val="24"/>
          <w:szCs w:val="24"/>
        </w:rPr>
      </w:pPr>
    </w:p>
    <w:p w:rsidR="00E13F06" w:rsidRDefault="00E13F06" w:rsidP="00722789">
      <w:pPr>
        <w:tabs>
          <w:tab w:val="left" w:pos="709"/>
        </w:tabs>
        <w:spacing w:after="0" w:line="360" w:lineRule="auto"/>
        <w:jc w:val="center"/>
        <w:rPr>
          <w:rFonts w:ascii="Palatino Linotype" w:hAnsi="Palatino Linotype"/>
          <w:sz w:val="24"/>
          <w:szCs w:val="24"/>
        </w:rPr>
      </w:pPr>
    </w:p>
    <w:p w:rsidR="00714515" w:rsidRDefault="00B67A24" w:rsidP="00B67A24">
      <w:pPr>
        <w:tabs>
          <w:tab w:val="left" w:pos="709"/>
        </w:tabs>
        <w:spacing w:after="0" w:line="360" w:lineRule="auto"/>
        <w:jc w:val="center"/>
        <w:rPr>
          <w:rFonts w:ascii="Palatino Linotype" w:hAnsi="Palatino Linotype"/>
          <w:sz w:val="24"/>
          <w:szCs w:val="24"/>
        </w:rPr>
      </w:pPr>
      <w:r>
        <w:rPr>
          <w:noProof/>
          <w:lang w:eastAsia="es-MX"/>
        </w:rPr>
        <w:lastRenderedPageBreak/>
        <w:drawing>
          <wp:inline distT="0" distB="0" distL="0" distR="0" wp14:anchorId="006B3581" wp14:editId="622885D8">
            <wp:extent cx="4781550" cy="12763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0156"/>
                    <a:stretch/>
                  </pic:blipFill>
                  <pic:spPr bwMode="auto">
                    <a:xfrm>
                      <a:off x="0" y="0"/>
                      <a:ext cx="4781550" cy="1276350"/>
                    </a:xfrm>
                    <a:prstGeom prst="rect">
                      <a:avLst/>
                    </a:prstGeom>
                    <a:ln>
                      <a:noFill/>
                    </a:ln>
                    <a:extLst>
                      <a:ext uri="{53640926-AAD7-44D8-BBD7-CCE9431645EC}">
                        <a14:shadowObscured xmlns:a14="http://schemas.microsoft.com/office/drawing/2010/main"/>
                      </a:ext>
                    </a:extLst>
                  </pic:spPr>
                </pic:pic>
              </a:graphicData>
            </a:graphic>
          </wp:inline>
        </w:drawing>
      </w:r>
    </w:p>
    <w:p w:rsidR="00714515" w:rsidRDefault="00B67A24" w:rsidP="00B67A24">
      <w:pPr>
        <w:tabs>
          <w:tab w:val="left" w:pos="709"/>
        </w:tabs>
        <w:spacing w:after="0" w:line="360" w:lineRule="auto"/>
        <w:jc w:val="center"/>
        <w:rPr>
          <w:rFonts w:ascii="Palatino Linotype" w:hAnsi="Palatino Linotype"/>
          <w:sz w:val="24"/>
          <w:szCs w:val="24"/>
        </w:rPr>
      </w:pPr>
      <w:r>
        <w:rPr>
          <w:noProof/>
          <w:lang w:eastAsia="es-MX"/>
        </w:rPr>
        <w:drawing>
          <wp:inline distT="0" distB="0" distL="0" distR="0" wp14:anchorId="51C4F0C3" wp14:editId="6DA3F848">
            <wp:extent cx="4714875" cy="22764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1381"/>
                    <a:stretch/>
                  </pic:blipFill>
                  <pic:spPr bwMode="auto">
                    <a:xfrm>
                      <a:off x="0" y="0"/>
                      <a:ext cx="4714875" cy="2276475"/>
                    </a:xfrm>
                    <a:prstGeom prst="rect">
                      <a:avLst/>
                    </a:prstGeom>
                    <a:ln>
                      <a:noFill/>
                    </a:ln>
                    <a:extLst>
                      <a:ext uri="{53640926-AAD7-44D8-BBD7-CCE9431645EC}">
                        <a14:shadowObscured xmlns:a14="http://schemas.microsoft.com/office/drawing/2010/main"/>
                      </a:ext>
                    </a:extLst>
                  </pic:spPr>
                </pic:pic>
              </a:graphicData>
            </a:graphic>
          </wp:inline>
        </w:drawing>
      </w:r>
    </w:p>
    <w:p w:rsidR="00714515" w:rsidRDefault="00B67A24" w:rsidP="00427AD2">
      <w:pPr>
        <w:tabs>
          <w:tab w:val="left" w:pos="709"/>
        </w:tabs>
        <w:spacing w:after="0" w:line="360" w:lineRule="auto"/>
        <w:jc w:val="center"/>
        <w:rPr>
          <w:rFonts w:ascii="Palatino Linotype" w:hAnsi="Palatino Linotype"/>
          <w:sz w:val="24"/>
          <w:szCs w:val="24"/>
        </w:rPr>
      </w:pPr>
      <w:r>
        <w:rPr>
          <w:noProof/>
          <w:lang w:eastAsia="es-MX"/>
        </w:rPr>
        <w:drawing>
          <wp:inline distT="0" distB="0" distL="0" distR="0" wp14:anchorId="61CCC3E8" wp14:editId="07848310">
            <wp:extent cx="4714875" cy="5905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9605"/>
                    <a:stretch/>
                  </pic:blipFill>
                  <pic:spPr bwMode="auto">
                    <a:xfrm>
                      <a:off x="0" y="0"/>
                      <a:ext cx="4714875" cy="590550"/>
                    </a:xfrm>
                    <a:prstGeom prst="rect">
                      <a:avLst/>
                    </a:prstGeom>
                    <a:ln>
                      <a:noFill/>
                    </a:ln>
                    <a:extLst>
                      <a:ext uri="{53640926-AAD7-44D8-BBD7-CCE9431645EC}">
                        <a14:shadowObscured xmlns:a14="http://schemas.microsoft.com/office/drawing/2010/main"/>
                      </a:ext>
                    </a:extLst>
                  </pic:spPr>
                </pic:pic>
              </a:graphicData>
            </a:graphic>
          </wp:inline>
        </w:drawing>
      </w:r>
    </w:p>
    <w:p w:rsidR="008D6CC4" w:rsidRDefault="00427AD2" w:rsidP="00427AD2">
      <w:pPr>
        <w:tabs>
          <w:tab w:val="left" w:pos="709"/>
        </w:tabs>
        <w:spacing w:after="0" w:line="360" w:lineRule="auto"/>
        <w:jc w:val="center"/>
        <w:rPr>
          <w:rFonts w:ascii="Palatino Linotype" w:hAnsi="Palatino Linotype"/>
          <w:sz w:val="24"/>
          <w:szCs w:val="24"/>
        </w:rPr>
      </w:pPr>
      <w:r>
        <w:rPr>
          <w:noProof/>
          <w:lang w:eastAsia="es-MX"/>
        </w:rPr>
        <w:drawing>
          <wp:inline distT="0" distB="0" distL="0" distR="0" wp14:anchorId="5287D68F" wp14:editId="4CFEC5DB">
            <wp:extent cx="4724400" cy="1638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4400" cy="1638300"/>
                    </a:xfrm>
                    <a:prstGeom prst="rect">
                      <a:avLst/>
                    </a:prstGeom>
                  </pic:spPr>
                </pic:pic>
              </a:graphicData>
            </a:graphic>
          </wp:inline>
        </w:drawing>
      </w:r>
    </w:p>
    <w:p w:rsidR="008D6CC4" w:rsidRDefault="00427AD2" w:rsidP="00427AD2">
      <w:pPr>
        <w:tabs>
          <w:tab w:val="left" w:pos="709"/>
        </w:tabs>
        <w:spacing w:after="0" w:line="360" w:lineRule="auto"/>
        <w:jc w:val="center"/>
        <w:rPr>
          <w:rFonts w:ascii="Palatino Linotype" w:hAnsi="Palatino Linotype"/>
          <w:sz w:val="24"/>
          <w:szCs w:val="24"/>
        </w:rPr>
      </w:pPr>
      <w:r>
        <w:rPr>
          <w:noProof/>
          <w:lang w:eastAsia="es-MX"/>
        </w:rPr>
        <w:drawing>
          <wp:inline distT="0" distB="0" distL="0" distR="0" wp14:anchorId="280B1A6C" wp14:editId="4CF2588A">
            <wp:extent cx="4743450" cy="571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3450" cy="571500"/>
                    </a:xfrm>
                    <a:prstGeom prst="rect">
                      <a:avLst/>
                    </a:prstGeom>
                  </pic:spPr>
                </pic:pic>
              </a:graphicData>
            </a:graphic>
          </wp:inline>
        </w:drawing>
      </w:r>
    </w:p>
    <w:p w:rsidR="008D6CC4" w:rsidRDefault="008D6CC4" w:rsidP="00714515">
      <w:pPr>
        <w:tabs>
          <w:tab w:val="left" w:pos="709"/>
        </w:tabs>
        <w:spacing w:after="0" w:line="360" w:lineRule="auto"/>
        <w:jc w:val="both"/>
        <w:rPr>
          <w:rFonts w:ascii="Palatino Linotype" w:hAnsi="Palatino Linotype"/>
          <w:sz w:val="24"/>
          <w:szCs w:val="24"/>
        </w:rPr>
      </w:pPr>
    </w:p>
    <w:p w:rsidR="00C87039" w:rsidRDefault="00714515" w:rsidP="0071451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Ahora bien, continuando con lo remitido en su informe justificado, </w:t>
      </w:r>
      <w:r w:rsidR="00E8130D">
        <w:rPr>
          <w:rFonts w:ascii="Palatino Linotype" w:hAnsi="Palatino Linotype"/>
          <w:sz w:val="24"/>
          <w:szCs w:val="24"/>
        </w:rPr>
        <w:t xml:space="preserve">se observa en </w:t>
      </w:r>
      <w:r w:rsidR="00C87039">
        <w:rPr>
          <w:rFonts w:ascii="Palatino Linotype" w:hAnsi="Palatino Linotype"/>
          <w:sz w:val="24"/>
          <w:szCs w:val="24"/>
        </w:rPr>
        <w:t xml:space="preserve">las  </w:t>
      </w:r>
      <w:r>
        <w:rPr>
          <w:rFonts w:ascii="Palatino Linotype" w:hAnsi="Palatino Linotype"/>
          <w:sz w:val="24"/>
          <w:szCs w:val="24"/>
        </w:rPr>
        <w:t xml:space="preserve">capturas de </w:t>
      </w:r>
      <w:r w:rsidR="00C87039">
        <w:rPr>
          <w:rFonts w:ascii="Palatino Linotype" w:hAnsi="Palatino Linotype"/>
          <w:sz w:val="24"/>
          <w:szCs w:val="24"/>
        </w:rPr>
        <w:t>pantalla anterior, consistente</w:t>
      </w:r>
      <w:r w:rsidR="00E8130D">
        <w:rPr>
          <w:rFonts w:ascii="Palatino Linotype" w:hAnsi="Palatino Linotype"/>
          <w:sz w:val="24"/>
          <w:szCs w:val="24"/>
        </w:rPr>
        <w:t xml:space="preserve"> en el oficio </w:t>
      </w:r>
      <w:r w:rsidR="00E8130D" w:rsidRPr="00E8130D">
        <w:rPr>
          <w:rFonts w:ascii="Palatino Linotype" w:hAnsi="Palatino Linotype"/>
          <w:sz w:val="24"/>
          <w:szCs w:val="24"/>
        </w:rPr>
        <w:t xml:space="preserve">TJA/UIPPE/052/2020 </w:t>
      </w:r>
      <w:r w:rsidR="00E8130D">
        <w:rPr>
          <w:rFonts w:ascii="Palatino Linotype" w:hAnsi="Palatino Linotype"/>
          <w:sz w:val="24"/>
          <w:szCs w:val="24"/>
        </w:rPr>
        <w:t>remitido por la Titular de la Unidad de Información, Planeación, Programación y Evaluación</w:t>
      </w:r>
      <w:r w:rsidR="00C87039">
        <w:rPr>
          <w:rFonts w:ascii="Palatino Linotype" w:hAnsi="Palatino Linotype"/>
          <w:sz w:val="24"/>
          <w:szCs w:val="24"/>
        </w:rPr>
        <w:t>, que dicho servidor público contesta de manera toral a los planteamientos vertidos por la recurrente, lo cual nos lleva a la siguiente decisión;</w:t>
      </w:r>
    </w:p>
    <w:p w:rsidR="00714515" w:rsidRPr="00691FC7" w:rsidRDefault="00714515" w:rsidP="00714515">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714515" w:rsidRPr="00691FC7" w:rsidRDefault="00714515" w:rsidP="00714515">
      <w:pPr>
        <w:spacing w:after="0" w:line="360" w:lineRule="auto"/>
        <w:jc w:val="both"/>
        <w:rPr>
          <w:rFonts w:ascii="Palatino Linotype" w:eastAsia="Calibri" w:hAnsi="Palatino Linotype" w:cs="Arial"/>
          <w:bCs/>
          <w:sz w:val="24"/>
          <w:szCs w:val="24"/>
        </w:rPr>
      </w:pPr>
    </w:p>
    <w:p w:rsidR="00714515" w:rsidRPr="00691FC7" w:rsidRDefault="00714515" w:rsidP="0071451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714515" w:rsidRPr="00691FC7" w:rsidRDefault="00714515" w:rsidP="00714515">
      <w:pPr>
        <w:spacing w:after="0" w:line="360" w:lineRule="auto"/>
        <w:jc w:val="both"/>
        <w:rPr>
          <w:rFonts w:ascii="Palatino Linotype" w:eastAsia="Calibri" w:hAnsi="Palatino Linotype" w:cs="Times New Roman"/>
          <w:color w:val="000000"/>
          <w:sz w:val="24"/>
          <w:szCs w:val="24"/>
        </w:rPr>
      </w:pPr>
    </w:p>
    <w:p w:rsidR="00714515" w:rsidRPr="00691FC7" w:rsidRDefault="00714515" w:rsidP="0071451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14515" w:rsidRDefault="00714515" w:rsidP="00714515">
      <w:pPr>
        <w:tabs>
          <w:tab w:val="left" w:pos="709"/>
        </w:tabs>
        <w:spacing w:after="0" w:line="360" w:lineRule="auto"/>
        <w:jc w:val="both"/>
        <w:rPr>
          <w:rFonts w:ascii="Palatino Linotype" w:hAnsi="Palatino Linotype"/>
          <w:sz w:val="24"/>
          <w:szCs w:val="24"/>
        </w:rPr>
      </w:pPr>
    </w:p>
    <w:p w:rsidR="00714515" w:rsidRDefault="00714515" w:rsidP="00714515">
      <w:pPr>
        <w:pStyle w:val="Sinespaciado"/>
      </w:pPr>
    </w:p>
    <w:p w:rsidR="00714515" w:rsidRPr="00104188" w:rsidRDefault="00714515" w:rsidP="00714515">
      <w:pPr>
        <w:spacing w:after="0" w:line="360" w:lineRule="auto"/>
        <w:jc w:val="both"/>
        <w:rPr>
          <w:rFonts w:ascii="Palatino Linotype" w:eastAsia="Calibri" w:hAnsi="Palatino Linotype" w:cs="Times New Roman"/>
          <w:sz w:val="24"/>
          <w:szCs w:val="24"/>
          <w:lang w:val="es-ES" w:eastAsia="es-ES"/>
        </w:rPr>
      </w:pPr>
      <w:r w:rsidRPr="00104188">
        <w:rPr>
          <w:rFonts w:ascii="Palatino Linotype" w:eastAsia="Times New Roman" w:hAnsi="Palatino Linotype" w:cs="Arial"/>
          <w:sz w:val="24"/>
          <w:szCs w:val="24"/>
          <w:lang w:val="es-ES" w:eastAsia="es-ES"/>
        </w:rPr>
        <w:t>Derivado de lo anterior, es d</w:t>
      </w:r>
      <w:r>
        <w:rPr>
          <w:rFonts w:ascii="Palatino Linotype" w:eastAsia="Times New Roman" w:hAnsi="Palatino Linotype" w:cs="Arial"/>
          <w:sz w:val="24"/>
          <w:szCs w:val="24"/>
          <w:lang w:val="es-ES" w:eastAsia="es-ES"/>
        </w:rPr>
        <w:t xml:space="preserve">e </w:t>
      </w:r>
      <w:r w:rsidRPr="00104188">
        <w:rPr>
          <w:rFonts w:ascii="Palatino Linotype" w:eastAsia="Times New Roman" w:hAnsi="Palatino Linotype" w:cs="Arial"/>
          <w:sz w:val="24"/>
          <w:szCs w:val="24"/>
          <w:lang w:val="es-ES" w:eastAsia="es-ES"/>
        </w:rPr>
        <w:t xml:space="preserve">advertir que </w:t>
      </w:r>
      <w:r>
        <w:rPr>
          <w:rFonts w:ascii="Palatino Linotype" w:eastAsia="Times New Roman" w:hAnsi="Palatino Linotype" w:cs="Arial"/>
          <w:sz w:val="24"/>
          <w:szCs w:val="24"/>
          <w:lang w:val="es-ES" w:eastAsia="es-ES"/>
        </w:rPr>
        <w:t>El Sujeto Obligado</w:t>
      </w:r>
      <w:r w:rsidRPr="00104188">
        <w:rPr>
          <w:rFonts w:ascii="Palatino Linotype" w:eastAsia="Times New Roman" w:hAnsi="Palatino Linotype" w:cs="Arial"/>
          <w:sz w:val="24"/>
          <w:szCs w:val="24"/>
          <w:lang w:val="es-ES" w:eastAsia="es-ES"/>
        </w:rPr>
        <w:t xml:space="preserve"> </w:t>
      </w:r>
      <w:r w:rsidR="00455D1B">
        <w:rPr>
          <w:rFonts w:ascii="Palatino Linotype" w:eastAsia="Times New Roman" w:hAnsi="Palatino Linotype" w:cs="Arial"/>
          <w:sz w:val="24"/>
          <w:szCs w:val="24"/>
          <w:lang w:val="es-ES" w:eastAsia="es-ES"/>
        </w:rPr>
        <w:t>en</w:t>
      </w:r>
      <w:r w:rsidRPr="00104188">
        <w:rPr>
          <w:rFonts w:ascii="Palatino Linotype" w:eastAsia="Times New Roman" w:hAnsi="Palatino Linotype" w:cs="Arial"/>
          <w:sz w:val="24"/>
          <w:szCs w:val="24"/>
          <w:lang w:val="es-ES" w:eastAsia="es-ES"/>
        </w:rPr>
        <w:t xml:space="preserve"> su respuesta primigenia, </w:t>
      </w:r>
      <w:r w:rsidR="00455D1B">
        <w:rPr>
          <w:rFonts w:ascii="Palatino Linotype" w:eastAsia="Times New Roman" w:hAnsi="Palatino Linotype" w:cs="Arial"/>
          <w:sz w:val="24"/>
          <w:szCs w:val="24"/>
          <w:lang w:val="es-ES" w:eastAsia="es-ES"/>
        </w:rPr>
        <w:t xml:space="preserve">da contestación de manera puntual a cada cuestionamiento vertido por el recurrente, </w:t>
      </w:r>
      <w:r w:rsidRPr="00104188">
        <w:rPr>
          <w:rFonts w:ascii="Palatino Linotype" w:eastAsia="Times New Roman" w:hAnsi="Palatino Linotype" w:cs="Arial"/>
          <w:sz w:val="24"/>
          <w:szCs w:val="24"/>
          <w:lang w:val="es-ES" w:eastAsia="es-ES"/>
        </w:rPr>
        <w:t>por cuanto hace</w:t>
      </w:r>
      <w:r w:rsidR="009A13A6">
        <w:rPr>
          <w:rFonts w:ascii="Palatino Linotype" w:eastAsia="Times New Roman" w:hAnsi="Palatino Linotype" w:cs="Arial"/>
          <w:sz w:val="24"/>
          <w:szCs w:val="24"/>
          <w:lang w:val="es-ES" w:eastAsia="es-ES"/>
        </w:rPr>
        <w:t xml:space="preserve"> a la respuesta a los cuestionamientos 1 y 2</w:t>
      </w:r>
      <w:r>
        <w:rPr>
          <w:rFonts w:ascii="Palatino Linotype" w:eastAsia="Times New Roman" w:hAnsi="Palatino Linotype" w:cs="Arial"/>
          <w:sz w:val="24"/>
          <w:szCs w:val="24"/>
          <w:lang w:val="es-ES" w:eastAsia="es-ES"/>
        </w:rPr>
        <w:t>,</w:t>
      </w:r>
      <w:r w:rsidR="00455D1B">
        <w:rPr>
          <w:rFonts w:ascii="Palatino Linotype" w:eastAsia="Times New Roman" w:hAnsi="Palatino Linotype" w:cs="Arial"/>
          <w:sz w:val="24"/>
          <w:szCs w:val="24"/>
          <w:lang w:val="es-ES" w:eastAsia="es-ES"/>
        </w:rPr>
        <w:t xml:space="preserve"> se advierte que en su informe justificado </w:t>
      </w:r>
      <w:r w:rsidR="003D15E2">
        <w:rPr>
          <w:rFonts w:ascii="Palatino Linotype" w:eastAsia="Times New Roman" w:hAnsi="Palatino Linotype" w:cs="Arial"/>
          <w:sz w:val="24"/>
          <w:szCs w:val="24"/>
          <w:lang w:val="es-ES" w:eastAsia="es-ES"/>
        </w:rPr>
        <w:t>amplia su respuesta,</w:t>
      </w:r>
      <w:r>
        <w:rPr>
          <w:rFonts w:ascii="Palatino Linotype" w:eastAsia="Times New Roman" w:hAnsi="Palatino Linotype" w:cs="Arial"/>
          <w:sz w:val="24"/>
          <w:szCs w:val="24"/>
          <w:lang w:val="es-ES" w:eastAsia="es-ES"/>
        </w:rPr>
        <w:t xml:space="preserve"> por </w:t>
      </w:r>
      <w:r w:rsidRPr="00104188">
        <w:rPr>
          <w:rFonts w:ascii="Palatino Linotype" w:eastAsia="Times New Roman" w:hAnsi="Palatino Linotype" w:cs="Arial"/>
          <w:sz w:val="24"/>
          <w:szCs w:val="24"/>
          <w:lang w:val="es-ES" w:eastAsia="es-ES"/>
        </w:rPr>
        <w:t>lo anterior, resulta de observancia lo establecido en la fracción III del artículo 192, de la Ley de Transparencia y Acceso a la Información Pública del Estado de México y Municipios</w:t>
      </w:r>
      <w:r w:rsidRPr="00104188">
        <w:rPr>
          <w:rFonts w:ascii="Palatino Linotype" w:eastAsia="Times New Roman" w:hAnsi="Palatino Linotype" w:cs="Arial"/>
          <w:b/>
          <w:sz w:val="24"/>
          <w:szCs w:val="24"/>
          <w:lang w:val="es-ES" w:eastAsia="es-ES"/>
        </w:rPr>
        <w:t xml:space="preserve"> </w:t>
      </w:r>
      <w:r w:rsidRPr="00104188">
        <w:rPr>
          <w:rFonts w:ascii="Palatino Linotype" w:eastAsia="Times New Roman" w:hAnsi="Palatino Linotype" w:cs="Arial"/>
          <w:sz w:val="24"/>
          <w:szCs w:val="24"/>
          <w:lang w:val="es-ES" w:eastAsia="es-ES"/>
        </w:rPr>
        <w:t>vigente, que a la letra señala:</w:t>
      </w:r>
    </w:p>
    <w:p w:rsidR="00714515" w:rsidRPr="00104188" w:rsidRDefault="00714515" w:rsidP="00714515">
      <w:pPr>
        <w:spacing w:after="0" w:line="360" w:lineRule="auto"/>
        <w:ind w:left="426"/>
        <w:jc w:val="both"/>
        <w:rPr>
          <w:rFonts w:ascii="Palatino Linotype" w:eastAsia="Calibri" w:hAnsi="Palatino Linotype" w:cs="Times New Roman"/>
          <w:sz w:val="24"/>
          <w:szCs w:val="24"/>
          <w:lang w:val="es-ES" w:eastAsia="es-ES"/>
        </w:rPr>
      </w:pPr>
    </w:p>
    <w:p w:rsidR="00714515" w:rsidRPr="00104188" w:rsidRDefault="00714515" w:rsidP="0071451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4188">
        <w:rPr>
          <w:rFonts w:ascii="Palatino Linotype" w:eastAsia="Times New Roman" w:hAnsi="Palatino Linotype" w:cs="Arial"/>
          <w:b/>
          <w:bCs/>
          <w:i/>
          <w:lang w:val="es-ES" w:eastAsia="es-ES"/>
        </w:rPr>
        <w:t xml:space="preserve">“Artículo 192. </w:t>
      </w:r>
      <w:r w:rsidRPr="00104188">
        <w:rPr>
          <w:rFonts w:ascii="Palatino Linotype" w:eastAsia="Times New Roman" w:hAnsi="Palatino Linotype" w:cs="Arial"/>
          <w:i/>
          <w:lang w:val="es-ES" w:eastAsia="es-ES"/>
        </w:rPr>
        <w:t>El recurso será sobreseído, en todo o en parte, cuando una vez admitido, se actualicen alguno de los siguientes supuestos:</w:t>
      </w:r>
    </w:p>
    <w:p w:rsidR="00714515" w:rsidRPr="00104188" w:rsidRDefault="00714515" w:rsidP="00714515">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 </w:t>
      </w:r>
      <w:r>
        <w:rPr>
          <w:rFonts w:ascii="Palatino Linotype" w:eastAsia="Times New Roman" w:hAnsi="Palatino Linotype" w:cs="Arial"/>
          <w:i/>
          <w:lang w:eastAsia="es-ES"/>
        </w:rPr>
        <w:t>El Recurrente</w:t>
      </w:r>
      <w:r w:rsidRPr="00104188">
        <w:rPr>
          <w:rFonts w:ascii="Palatino Linotype" w:eastAsia="Times New Roman" w:hAnsi="Palatino Linotype" w:cs="Arial"/>
          <w:i/>
          <w:lang w:eastAsia="es-ES"/>
        </w:rPr>
        <w:t xml:space="preserve"> se desista expresamente del recurso;</w:t>
      </w:r>
    </w:p>
    <w:p w:rsidR="00714515" w:rsidRPr="00104188" w:rsidRDefault="00714515" w:rsidP="00714515">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II. </w:t>
      </w:r>
      <w:r>
        <w:rPr>
          <w:rFonts w:ascii="Palatino Linotype" w:eastAsia="Times New Roman" w:hAnsi="Palatino Linotype" w:cs="Arial"/>
          <w:i/>
          <w:lang w:eastAsia="es-ES"/>
        </w:rPr>
        <w:t>El Recurrente</w:t>
      </w:r>
      <w:r w:rsidRPr="00104188">
        <w:rPr>
          <w:rFonts w:ascii="Palatino Linotype" w:eastAsia="Times New Roman" w:hAnsi="Palatino Linotype" w:cs="Arial"/>
          <w:i/>
          <w:lang w:eastAsia="es-ES"/>
        </w:rPr>
        <w:t xml:space="preserve"> fallezca o, tratándose de personas jurídicas colectivas, se disuelva;</w:t>
      </w:r>
    </w:p>
    <w:p w:rsidR="00714515" w:rsidRPr="00104188" w:rsidRDefault="00714515" w:rsidP="00714515">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III. </w:t>
      </w:r>
      <w:r>
        <w:rPr>
          <w:rFonts w:ascii="Palatino Linotype" w:eastAsia="Times New Roman" w:hAnsi="Palatino Linotype" w:cs="Arial"/>
          <w:i/>
          <w:u w:val="single"/>
          <w:lang w:eastAsia="es-ES"/>
        </w:rPr>
        <w:t>El Sujeto Obligado</w:t>
      </w:r>
      <w:r w:rsidRPr="00104188">
        <w:rPr>
          <w:rFonts w:ascii="Palatino Linotype" w:eastAsia="Times New Roman" w:hAnsi="Palatino Linotype" w:cs="Arial"/>
          <w:i/>
          <w:u w:val="single"/>
          <w:lang w:eastAsia="es-ES"/>
        </w:rPr>
        <w:t xml:space="preserve"> responsable del acto lo </w:t>
      </w:r>
      <w:r w:rsidRPr="00104188">
        <w:rPr>
          <w:rFonts w:ascii="Palatino Linotype" w:eastAsia="Times New Roman" w:hAnsi="Palatino Linotype" w:cs="Arial"/>
          <w:b/>
          <w:i/>
          <w:u w:val="single"/>
          <w:lang w:eastAsia="es-ES"/>
        </w:rPr>
        <w:t>modifique</w:t>
      </w:r>
      <w:r w:rsidRPr="00104188">
        <w:rPr>
          <w:rFonts w:ascii="Palatino Linotype" w:eastAsia="Times New Roman" w:hAnsi="Palatino Linotype" w:cs="Arial"/>
          <w:i/>
          <w:u w:val="single"/>
          <w:lang w:eastAsia="es-ES"/>
        </w:rPr>
        <w:t xml:space="preserve"> o revoque de tal manera que el recurso de revisión quede sin materia;</w:t>
      </w:r>
    </w:p>
    <w:p w:rsidR="00714515" w:rsidRPr="00104188" w:rsidRDefault="00714515" w:rsidP="00714515">
      <w:pPr>
        <w:autoSpaceDE w:val="0"/>
        <w:autoSpaceDN w:val="0"/>
        <w:adjustRightInd w:val="0"/>
        <w:spacing w:after="0" w:line="240" w:lineRule="auto"/>
        <w:ind w:left="567" w:right="567"/>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 xml:space="preserve">IV. </w:t>
      </w:r>
      <w:r w:rsidRPr="00104188">
        <w:rPr>
          <w:rFonts w:ascii="Palatino Linotype" w:eastAsia="Times New Roman" w:hAnsi="Palatino Linotype" w:cs="Arial"/>
          <w:i/>
          <w:lang w:eastAsia="es-ES"/>
        </w:rPr>
        <w:t>Admitido el recurso de revisión, aparezca alguna causal de improcedencia en los términos de la presente Ley; y</w:t>
      </w:r>
    </w:p>
    <w:p w:rsidR="00714515" w:rsidRPr="00104188" w:rsidRDefault="00714515" w:rsidP="00714515">
      <w:pPr>
        <w:autoSpaceDE w:val="0"/>
        <w:autoSpaceDN w:val="0"/>
        <w:adjustRightInd w:val="0"/>
        <w:spacing w:after="0" w:line="240" w:lineRule="auto"/>
        <w:ind w:left="567" w:right="567"/>
        <w:jc w:val="both"/>
        <w:rPr>
          <w:rFonts w:ascii="Palatino Linotype" w:eastAsia="Times New Roman" w:hAnsi="Palatino Linotype" w:cs="Arial"/>
          <w:i/>
          <w:lang w:eastAsia="es-ES"/>
        </w:rPr>
      </w:pPr>
      <w:r w:rsidRPr="00104188">
        <w:rPr>
          <w:rFonts w:ascii="Palatino Linotype" w:eastAsia="Times New Roman" w:hAnsi="Palatino Linotype" w:cs="Arial"/>
          <w:b/>
          <w:bCs/>
          <w:i/>
          <w:lang w:eastAsia="es-ES"/>
        </w:rPr>
        <w:t>V</w:t>
      </w:r>
      <w:r w:rsidRPr="00104188">
        <w:rPr>
          <w:rFonts w:ascii="Palatino Linotype" w:eastAsia="Times New Roman" w:hAnsi="Palatino Linotype" w:cs="Arial"/>
          <w:bCs/>
          <w:i/>
          <w:lang w:eastAsia="es-ES"/>
        </w:rPr>
        <w:t xml:space="preserve">. </w:t>
      </w:r>
      <w:r w:rsidRPr="00104188">
        <w:rPr>
          <w:rFonts w:ascii="Palatino Linotype" w:eastAsia="Times New Roman" w:hAnsi="Palatino Linotype" w:cs="Arial"/>
          <w:i/>
          <w:lang w:eastAsia="es-ES"/>
        </w:rPr>
        <w:t>Cuando por cualquier motivo quede sin materia el recurso.</w:t>
      </w:r>
    </w:p>
    <w:p w:rsidR="00714515" w:rsidRPr="00104188" w:rsidRDefault="00714515" w:rsidP="00714515">
      <w:pPr>
        <w:autoSpaceDE w:val="0"/>
        <w:autoSpaceDN w:val="0"/>
        <w:adjustRightInd w:val="0"/>
        <w:spacing w:after="0" w:line="240" w:lineRule="auto"/>
        <w:ind w:left="567" w:right="567"/>
        <w:jc w:val="both"/>
        <w:rPr>
          <w:rFonts w:ascii="Palatino Linotype" w:eastAsia="Times New Roman" w:hAnsi="Palatino Linotype" w:cs="Arial"/>
          <w:lang w:eastAsia="es-ES"/>
        </w:rPr>
      </w:pPr>
    </w:p>
    <w:p w:rsidR="00714515" w:rsidRPr="00104188" w:rsidRDefault="00714515" w:rsidP="00714515">
      <w:pPr>
        <w:autoSpaceDE w:val="0"/>
        <w:autoSpaceDN w:val="0"/>
        <w:adjustRightInd w:val="0"/>
        <w:spacing w:after="0" w:line="240" w:lineRule="auto"/>
        <w:ind w:left="567" w:right="567"/>
        <w:jc w:val="right"/>
        <w:rPr>
          <w:rFonts w:ascii="Palatino Linotype" w:eastAsia="Times New Roman" w:hAnsi="Palatino Linotype" w:cs="Arial"/>
          <w:lang w:eastAsia="es-ES"/>
        </w:rPr>
      </w:pPr>
      <w:r w:rsidRPr="00104188">
        <w:rPr>
          <w:rFonts w:ascii="Palatino Linotype" w:eastAsia="Times New Roman" w:hAnsi="Palatino Linotype" w:cs="Arial"/>
          <w:lang w:eastAsia="es-ES"/>
        </w:rPr>
        <w:t>(Énfasis añadido)</w:t>
      </w:r>
    </w:p>
    <w:p w:rsidR="00714515" w:rsidRPr="00104188" w:rsidRDefault="00714515" w:rsidP="00714515">
      <w:pPr>
        <w:autoSpaceDE w:val="0"/>
        <w:autoSpaceDN w:val="0"/>
        <w:adjustRightInd w:val="0"/>
        <w:spacing w:after="0" w:line="360" w:lineRule="auto"/>
        <w:ind w:left="708" w:right="616"/>
        <w:jc w:val="both"/>
        <w:rPr>
          <w:rFonts w:ascii="Palatino Linotype" w:eastAsia="Times New Roman" w:hAnsi="Palatino Linotype" w:cs="Arial"/>
          <w:b/>
          <w:i/>
          <w:sz w:val="24"/>
          <w:szCs w:val="24"/>
          <w:lang w:val="es-ES" w:eastAsia="es-ES"/>
        </w:rPr>
      </w:pPr>
    </w:p>
    <w:p w:rsidR="00714515" w:rsidRPr="00104188" w:rsidRDefault="00714515" w:rsidP="00714515">
      <w:pPr>
        <w:spacing w:after="0" w:line="360" w:lineRule="auto"/>
        <w:jc w:val="both"/>
        <w:rPr>
          <w:rFonts w:ascii="Palatino Linotype" w:eastAsia="Times New Roman" w:hAnsi="Palatino Linotype" w:cs="Times New Roman"/>
          <w:sz w:val="24"/>
          <w:szCs w:val="24"/>
          <w:lang w:val="es-ES" w:eastAsia="es-ES"/>
        </w:rPr>
      </w:pPr>
      <w:r w:rsidRPr="00104188">
        <w:rPr>
          <w:rFonts w:ascii="Palatino Linotype" w:eastAsia="Times New Roman" w:hAnsi="Palatino Linotype" w:cs="Times New Roman"/>
          <w:sz w:val="24"/>
          <w:szCs w:val="24"/>
          <w:lang w:val="es-ES" w:eastAsia="es-ES"/>
        </w:rPr>
        <w:t xml:space="preserve">Lo que se materializo en el presente recurso, toda vez que </w:t>
      </w:r>
      <w:r>
        <w:rPr>
          <w:rFonts w:ascii="Palatino Linotype" w:eastAsia="Times New Roman" w:hAnsi="Palatino Linotype" w:cs="Times New Roman"/>
          <w:sz w:val="24"/>
          <w:szCs w:val="24"/>
          <w:lang w:val="es-ES" w:eastAsia="es-ES"/>
        </w:rPr>
        <w:t>El Sujeto Obligado</w:t>
      </w:r>
      <w:r w:rsidRPr="00104188">
        <w:rPr>
          <w:rFonts w:ascii="Palatino Linotype" w:eastAsia="Times New Roman" w:hAnsi="Palatino Linotype" w:cs="Times New Roman"/>
          <w:sz w:val="24"/>
          <w:szCs w:val="24"/>
          <w:lang w:val="es-ES" w:eastAsia="es-ES"/>
        </w:rPr>
        <w:t xml:space="preserve"> al dar respuesta a la solicitud de información</w:t>
      </w:r>
      <w:r w:rsidRPr="00343ABC">
        <w:rPr>
          <w:rFonts w:ascii="Palatino Linotype" w:eastAsia="Times New Roman" w:hAnsi="Palatino Linotype" w:cs="Times New Roman"/>
          <w:sz w:val="24"/>
          <w:szCs w:val="24"/>
          <w:lang w:val="es-ES" w:eastAsia="es-ES"/>
        </w:rPr>
        <w:t xml:space="preserve"> </w:t>
      </w:r>
      <w:r w:rsidR="00B50EF0" w:rsidRPr="00D86B0B">
        <w:rPr>
          <w:rFonts w:ascii="Palatino Linotype" w:hAnsi="Palatino Linotype" w:cs="Arial"/>
          <w:b/>
          <w:sz w:val="24"/>
        </w:rPr>
        <w:t>00015/TRIJAEM/IP/2020</w:t>
      </w:r>
      <w:r w:rsidRPr="00104188">
        <w:rPr>
          <w:rFonts w:ascii="Palatino Linotype" w:eastAsia="Times New Roman" w:hAnsi="Palatino Linotype" w:cs="Times New Roman"/>
          <w:sz w:val="24"/>
          <w:szCs w:val="24"/>
          <w:lang w:val="es-ES" w:eastAsia="es-ES"/>
        </w:rPr>
        <w:t xml:space="preserve">, </w:t>
      </w:r>
      <w:r w:rsidR="004E1B56">
        <w:rPr>
          <w:rFonts w:ascii="Palatino Linotype" w:eastAsia="Times New Roman" w:hAnsi="Palatino Linotype" w:cs="Times New Roman"/>
          <w:sz w:val="24"/>
          <w:szCs w:val="24"/>
          <w:lang w:val="es-ES" w:eastAsia="es-ES"/>
        </w:rPr>
        <w:t xml:space="preserve">mediante su informe justificado </w:t>
      </w:r>
      <w:r>
        <w:rPr>
          <w:rFonts w:ascii="Palatino Linotype" w:eastAsia="Times New Roman" w:hAnsi="Palatino Linotype" w:cs="Times New Roman"/>
          <w:sz w:val="24"/>
          <w:szCs w:val="24"/>
          <w:lang w:val="es-ES" w:eastAsia="es-ES"/>
        </w:rPr>
        <w:t xml:space="preserve">comunicó que </w:t>
      </w:r>
      <w:r w:rsidR="004E1B56">
        <w:rPr>
          <w:rFonts w:ascii="Palatino Linotype" w:eastAsia="Times New Roman" w:hAnsi="Palatino Linotype" w:cs="Times New Roman"/>
          <w:sz w:val="24"/>
          <w:szCs w:val="24"/>
          <w:lang w:val="es-ES" w:eastAsia="es-ES"/>
        </w:rPr>
        <w:t>“</w:t>
      </w:r>
      <w:r w:rsidR="004E1B56">
        <w:rPr>
          <w:rFonts w:ascii="Palatino Linotype" w:eastAsia="Times New Roman" w:hAnsi="Palatino Linotype" w:cs="Times New Roman"/>
          <w:sz w:val="24"/>
          <w:szCs w:val="24"/>
          <w:lang w:eastAsia="es-ES"/>
        </w:rPr>
        <w:t xml:space="preserve">La </w:t>
      </w:r>
      <w:r w:rsidR="004E1B56" w:rsidRPr="004E1B56">
        <w:rPr>
          <w:rFonts w:ascii="Palatino Linotype" w:eastAsia="Times New Roman" w:hAnsi="Palatino Linotype" w:cs="Times New Roman"/>
          <w:sz w:val="24"/>
          <w:szCs w:val="24"/>
          <w:lang w:eastAsia="es-ES"/>
        </w:rPr>
        <w:t xml:space="preserve">Unidad de Transparencia, realizó la investigación de información, con el propósito de atender la presente solicitud, sin dejar de observar que la información que solicita no se trata de un derecho al acceso de información, puesto que la misma se encuentra a disposición de la ciudadanía dentro de los preceptos legales mencionados en la propia solicitud de información, lo a que a su vez </w:t>
      </w:r>
      <w:r w:rsidR="004E1B56" w:rsidRPr="004E1B56">
        <w:rPr>
          <w:rFonts w:ascii="Palatino Linotype" w:eastAsia="Times New Roman" w:hAnsi="Palatino Linotype" w:cs="Times New Roman"/>
          <w:sz w:val="24"/>
          <w:szCs w:val="24"/>
          <w:lang w:eastAsia="es-ES"/>
        </w:rPr>
        <w:lastRenderedPageBreak/>
        <w:t>a consideración de este Sujeto Obligado, no implica como tal un acceso a información pública, aunado a ello, que la información que solicita la particular no es información que obre dentro de los archivos de este órgano jurisdiccional, pues se reitera es información que es materia de investigación, no obstante, este Tribunal es un eje reactor de la administración pública que está comprometido con la transparencia, por lo tanto, en el ejercicio de transparencia</w:t>
      </w:r>
      <w:r w:rsidR="004E1B56">
        <w:rPr>
          <w:rFonts w:ascii="Palatino Linotype" w:eastAsia="Times New Roman" w:hAnsi="Palatino Linotype" w:cs="Times New Roman"/>
          <w:sz w:val="24"/>
          <w:szCs w:val="24"/>
          <w:lang w:eastAsia="es-ES"/>
        </w:rPr>
        <w:t xml:space="preserve">”, </w:t>
      </w:r>
      <w:r w:rsidR="004E1B56" w:rsidRPr="004E1B56">
        <w:rPr>
          <w:rFonts w:ascii="Palatino Linotype" w:eastAsia="Times New Roman" w:hAnsi="Palatino Linotype" w:cs="Times New Roman"/>
          <w:sz w:val="24"/>
          <w:szCs w:val="24"/>
          <w:lang w:eastAsia="es-ES"/>
        </w:rPr>
        <w:t>informa</w:t>
      </w:r>
      <w:r w:rsidR="004E1B56">
        <w:rPr>
          <w:rFonts w:ascii="Palatino Linotype" w:eastAsia="Times New Roman" w:hAnsi="Palatino Linotype" w:cs="Times New Roman"/>
          <w:sz w:val="24"/>
          <w:szCs w:val="24"/>
          <w:lang w:eastAsia="es-ES"/>
        </w:rPr>
        <w:t xml:space="preserve">ndo a la particular el fundamento y justificación de sus peticiones respecto a los numerales 1 y 2 de la solicitud </w:t>
      </w:r>
      <w:r w:rsidR="00295902">
        <w:rPr>
          <w:rFonts w:ascii="Palatino Linotype" w:eastAsia="Times New Roman" w:hAnsi="Palatino Linotype" w:cs="Times New Roman"/>
          <w:sz w:val="24"/>
          <w:szCs w:val="24"/>
          <w:lang w:eastAsia="es-ES"/>
        </w:rPr>
        <w:t>primigenia</w:t>
      </w:r>
      <w:r>
        <w:rPr>
          <w:rFonts w:ascii="Palatino Linotype" w:eastAsia="Times New Roman" w:hAnsi="Palatino Linotype" w:cs="Times New Roman"/>
          <w:sz w:val="24"/>
          <w:szCs w:val="24"/>
          <w:lang w:val="es-ES" w:eastAsia="es-ES"/>
        </w:rPr>
        <w:t xml:space="preserve"> no obstante, me</w:t>
      </w:r>
      <w:r w:rsidRPr="00104188">
        <w:rPr>
          <w:rFonts w:ascii="Palatino Linotype" w:eastAsia="Times New Roman" w:hAnsi="Palatino Linotype" w:cs="Times New Roman"/>
          <w:sz w:val="24"/>
          <w:szCs w:val="24"/>
          <w:lang w:val="es-ES" w:eastAsia="es-ES"/>
        </w:rPr>
        <w:t xml:space="preserve">diante un acto posterior </w:t>
      </w:r>
      <w:r w:rsidR="003D15E2">
        <w:rPr>
          <w:rFonts w:ascii="Palatino Linotype" w:eastAsia="Times New Roman" w:hAnsi="Palatino Linotype" w:cs="Times New Roman"/>
          <w:sz w:val="24"/>
          <w:szCs w:val="24"/>
          <w:lang w:val="es-ES" w:eastAsia="es-ES"/>
        </w:rPr>
        <w:t>amplio</w:t>
      </w:r>
      <w:r>
        <w:rPr>
          <w:rFonts w:ascii="Palatino Linotype" w:eastAsia="Times New Roman" w:hAnsi="Palatino Linotype" w:cs="Times New Roman"/>
          <w:sz w:val="24"/>
          <w:szCs w:val="24"/>
          <w:lang w:val="es-ES" w:eastAsia="es-ES"/>
        </w:rPr>
        <w:t xml:space="preserve"> su respuesta</w:t>
      </w:r>
      <w:r w:rsidRPr="00104188">
        <w:rPr>
          <w:rFonts w:ascii="Palatino Linotype" w:eastAsia="Times New Roman" w:hAnsi="Palatino Linotype" w:cs="Times New Roman"/>
          <w:sz w:val="24"/>
          <w:szCs w:val="24"/>
          <w:lang w:val="es-ES" w:eastAsia="es-ES"/>
        </w:rPr>
        <w:t xml:space="preserve">, remitiendo </w:t>
      </w:r>
      <w:r>
        <w:rPr>
          <w:rFonts w:ascii="Palatino Linotype" w:eastAsia="Times New Roman" w:hAnsi="Palatino Linotype" w:cs="Times New Roman"/>
          <w:sz w:val="24"/>
          <w:szCs w:val="24"/>
          <w:lang w:val="es-ES" w:eastAsia="es-ES"/>
        </w:rPr>
        <w:t>a través de informe justificado</w:t>
      </w:r>
      <w:r>
        <w:rPr>
          <w:rFonts w:ascii="Palatino Linotype" w:eastAsia="Times New Roman" w:hAnsi="Palatino Linotype" w:cs="Arial"/>
          <w:sz w:val="24"/>
          <w:szCs w:val="24"/>
          <w:lang w:val="es-ES" w:eastAsia="es-ES"/>
        </w:rPr>
        <w:t>,</w:t>
      </w:r>
      <w:r w:rsidRPr="00104188">
        <w:rPr>
          <w:rFonts w:ascii="Palatino Linotype" w:eastAsia="Times New Roman" w:hAnsi="Palatino Linotype" w:cs="Times New Roman"/>
          <w:sz w:val="24"/>
          <w:szCs w:val="24"/>
          <w:lang w:val="es-ES" w:eastAsia="es-ES"/>
        </w:rPr>
        <w:t xml:space="preserve"> acreditá</w:t>
      </w:r>
      <w:r>
        <w:rPr>
          <w:rFonts w:ascii="Palatino Linotype" w:eastAsia="Times New Roman" w:hAnsi="Palatino Linotype" w:cs="Times New Roman"/>
          <w:sz w:val="24"/>
          <w:szCs w:val="24"/>
          <w:lang w:val="es-ES" w:eastAsia="es-ES"/>
        </w:rPr>
        <w:t>ndose</w:t>
      </w:r>
      <w:r w:rsidRPr="00104188">
        <w:rPr>
          <w:rFonts w:ascii="Palatino Linotype" w:eastAsia="Times New Roman" w:hAnsi="Palatino Linotype" w:cs="Times New Roman"/>
          <w:sz w:val="24"/>
          <w:szCs w:val="24"/>
          <w:lang w:val="es-ES" w:eastAsia="es-ES"/>
        </w:rPr>
        <w:t xml:space="preserve"> la modificación de su acto de origen, teniéndose por colmados todos los puntos de la solicitud de inform</w:t>
      </w:r>
      <w:r w:rsidR="003D15E2">
        <w:rPr>
          <w:rFonts w:ascii="Palatino Linotype" w:eastAsia="Times New Roman" w:hAnsi="Palatino Linotype" w:cs="Times New Roman"/>
          <w:sz w:val="24"/>
          <w:szCs w:val="24"/>
          <w:lang w:val="es-ES" w:eastAsia="es-ES"/>
        </w:rPr>
        <w:t>ación, resultando procedente confirmar la respuesta entregada por el Sujeto Obligado.</w:t>
      </w:r>
    </w:p>
    <w:p w:rsidR="00714515" w:rsidRPr="00104188" w:rsidRDefault="00714515" w:rsidP="00714515">
      <w:pPr>
        <w:spacing w:after="0" w:line="360" w:lineRule="auto"/>
        <w:rPr>
          <w:rFonts w:ascii="Palatino Linotype" w:eastAsia="Calibri" w:hAnsi="Palatino Linotype" w:cs="Arial"/>
          <w:sz w:val="24"/>
          <w:szCs w:val="24"/>
          <w:lang w:val="es-ES" w:eastAsia="es-ES"/>
        </w:rPr>
      </w:pPr>
    </w:p>
    <w:p w:rsidR="000005F4" w:rsidRPr="00EC1D83" w:rsidRDefault="000005F4" w:rsidP="000005F4">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Pr>
          <w:rFonts w:ascii="Palatino Linotype" w:hAnsi="Palatino Linotype"/>
          <w:b/>
          <w:noProof/>
          <w:sz w:val="24"/>
          <w:szCs w:val="24"/>
          <w:lang w:eastAsia="es-MX"/>
        </w:rPr>
        <w:t>La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B96764" w:rsidRPr="00B96764">
        <w:rPr>
          <w:rFonts w:ascii="Palatino Linotype" w:hAnsi="Palatino Linotype" w:cs="Arial"/>
          <w:b/>
          <w:sz w:val="24"/>
          <w:szCs w:val="24"/>
        </w:rPr>
        <w:t>00015/TRIJAEM/IP/2020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0005F4" w:rsidRPr="00EC1D83" w:rsidRDefault="000005F4" w:rsidP="000005F4">
      <w:pPr>
        <w:autoSpaceDE w:val="0"/>
        <w:autoSpaceDN w:val="0"/>
        <w:adjustRightInd w:val="0"/>
        <w:spacing w:after="0" w:line="360" w:lineRule="auto"/>
        <w:ind w:right="-234"/>
        <w:jc w:val="both"/>
        <w:rPr>
          <w:rFonts w:ascii="Palatino Linotype" w:hAnsi="Palatino Linotype" w:cs="Arial"/>
          <w:sz w:val="24"/>
          <w:szCs w:val="24"/>
          <w:lang w:eastAsia="es-MX"/>
        </w:rPr>
      </w:pPr>
    </w:p>
    <w:p w:rsidR="000005F4" w:rsidRPr="00EC1D83" w:rsidRDefault="000005F4" w:rsidP="000005F4">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714515" w:rsidRDefault="00714515" w:rsidP="00714515">
      <w:pPr>
        <w:spacing w:after="0" w:line="360" w:lineRule="auto"/>
        <w:jc w:val="both"/>
        <w:rPr>
          <w:rFonts w:ascii="Palatino Linotype" w:eastAsia="Times New Roman" w:hAnsi="Palatino Linotype" w:cs="Arial"/>
          <w:sz w:val="24"/>
          <w:szCs w:val="24"/>
          <w:lang w:val="es-CO" w:eastAsia="es-ES"/>
        </w:rPr>
      </w:pPr>
    </w:p>
    <w:p w:rsidR="00714515" w:rsidRPr="00104188" w:rsidRDefault="00714515" w:rsidP="00714515">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104188">
        <w:rPr>
          <w:rFonts w:ascii="Palatino Linotype" w:eastAsia="Calibri" w:hAnsi="Palatino Linotype" w:cstheme="majorBidi"/>
          <w:b/>
          <w:sz w:val="28"/>
          <w:szCs w:val="24"/>
          <w:lang w:val="es-ES" w:eastAsia="es-ES"/>
        </w:rPr>
        <w:t>R E S O L U T I V O S</w:t>
      </w:r>
      <w:bookmarkEnd w:id="1"/>
      <w:bookmarkEnd w:id="2"/>
      <w:r w:rsidRPr="00104188">
        <w:rPr>
          <w:rFonts w:ascii="Palatino Linotype" w:eastAsia="Calibri" w:hAnsi="Palatino Linotype" w:cstheme="majorBidi"/>
          <w:b/>
          <w:sz w:val="28"/>
          <w:szCs w:val="24"/>
          <w:lang w:val="es-ES" w:eastAsia="es-ES"/>
        </w:rPr>
        <w:t xml:space="preserve"> </w:t>
      </w:r>
    </w:p>
    <w:p w:rsidR="00714515" w:rsidRPr="00104188" w:rsidRDefault="00714515" w:rsidP="00714515">
      <w:pPr>
        <w:pStyle w:val="Sinespaciado"/>
        <w:rPr>
          <w:lang w:val="es-ES"/>
        </w:rPr>
      </w:pPr>
    </w:p>
    <w:p w:rsidR="000005F4" w:rsidRDefault="000005F4" w:rsidP="000005F4">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B96764" w:rsidRPr="00B96764">
        <w:rPr>
          <w:rFonts w:ascii="Palatino Linotype" w:hAnsi="Palatino Linotype" w:cs="Arial"/>
          <w:b/>
          <w:sz w:val="24"/>
          <w:szCs w:val="24"/>
        </w:rPr>
        <w:t>00015/TRIJAEM/IP/2020</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w:t>
      </w:r>
      <w:r w:rsidRPr="00EC1D83">
        <w:rPr>
          <w:rFonts w:ascii="Palatino Linotype" w:hAnsi="Palatino Linotype" w:cs="Arial"/>
          <w:sz w:val="24"/>
          <w:szCs w:val="24"/>
        </w:rPr>
        <w:lastRenderedPageBreak/>
        <w:t xml:space="preserve">de inconformidad hechos valer por </w:t>
      </w:r>
      <w:r>
        <w:rPr>
          <w:rFonts w:ascii="Palatino Linotype" w:hAnsi="Palatino Linotype" w:cs="Arial"/>
          <w:b/>
          <w:sz w:val="24"/>
          <w:szCs w:val="24"/>
        </w:rPr>
        <w:t>La Recurrente</w:t>
      </w:r>
      <w:r w:rsidRPr="00EC1D83">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0005F4" w:rsidRPr="00EC1D83" w:rsidRDefault="000005F4" w:rsidP="000005F4">
      <w:pPr>
        <w:tabs>
          <w:tab w:val="left" w:pos="8647"/>
        </w:tabs>
        <w:spacing w:after="0" w:line="360" w:lineRule="auto"/>
        <w:jc w:val="both"/>
        <w:rPr>
          <w:rFonts w:ascii="Palatino Linotype" w:hAnsi="Palatino Linotype" w:cs="Arial"/>
          <w:sz w:val="24"/>
          <w:szCs w:val="24"/>
        </w:rPr>
      </w:pPr>
    </w:p>
    <w:p w:rsidR="000005F4" w:rsidRPr="00EC1D83" w:rsidRDefault="000005F4" w:rsidP="000005F4">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0005F4" w:rsidRPr="00EC1D83" w:rsidRDefault="000005F4" w:rsidP="000005F4">
      <w:pPr>
        <w:spacing w:after="0" w:line="360" w:lineRule="auto"/>
        <w:jc w:val="both"/>
        <w:rPr>
          <w:rFonts w:ascii="Palatino Linotype" w:hAnsi="Palatino Linotype" w:cs="Arial"/>
          <w:b/>
          <w:sz w:val="28"/>
          <w:szCs w:val="24"/>
        </w:rPr>
      </w:pPr>
    </w:p>
    <w:p w:rsidR="000005F4" w:rsidRPr="00EC1D83" w:rsidRDefault="000005F4" w:rsidP="000005F4">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a </w:t>
      </w:r>
      <w:r>
        <w:rPr>
          <w:rFonts w:ascii="Palatino Linotype" w:hAnsi="Palatino Linotype" w:cs="Arial"/>
          <w:b/>
          <w:sz w:val="24"/>
          <w:szCs w:val="24"/>
        </w:rPr>
        <w:t>La Recurrente</w:t>
      </w:r>
      <w:r w:rsidRPr="00EC1D83">
        <w:rPr>
          <w:rFonts w:ascii="Palatino Linotype" w:hAnsi="Palatino Linotype" w:cs="Arial"/>
          <w:b/>
          <w:sz w:val="24"/>
          <w:szCs w:val="24"/>
        </w:rPr>
        <w:t xml:space="preserve"> </w:t>
      </w:r>
      <w:r w:rsidRPr="00EC1D83">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3564CF" w:rsidRPr="00E96DB0" w:rsidRDefault="003564CF" w:rsidP="003564CF">
      <w:pPr>
        <w:pStyle w:val="Textonotapie"/>
        <w:rPr>
          <w:lang w:eastAsia="es-MX"/>
        </w:rPr>
      </w:pP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34386A">
        <w:rPr>
          <w:rFonts w:ascii="Palatino Linotype" w:hAnsi="Palatino Linotype" w:cs="Arial"/>
          <w:sz w:val="24"/>
        </w:rPr>
        <w:t xml:space="preserve"> EMITIENDO VOTO PARTICULAR</w:t>
      </w:r>
      <w:r w:rsidR="00025E59" w:rsidRPr="00B70902">
        <w:rPr>
          <w:rFonts w:ascii="Palatino Linotype" w:hAnsi="Palatino Linotype" w:cs="Arial"/>
          <w:sz w:val="24"/>
        </w:rPr>
        <w:t xml:space="preserve">, </w:t>
      </w:r>
      <w:r w:rsidRPr="00B70902">
        <w:rPr>
          <w:rFonts w:ascii="Palatino Linotype" w:hAnsi="Palatino Linotype" w:cs="Arial"/>
          <w:sz w:val="24"/>
        </w:rPr>
        <w:t>JAVIER MARTÍNEZ CRUZ Y LUIS GUSTAVO PARRA NORIEGA</w:t>
      </w:r>
      <w:r w:rsidR="00E1276D">
        <w:rPr>
          <w:rFonts w:ascii="Palatino Linotype" w:hAnsi="Palatino Linotype" w:cs="Arial"/>
          <w:sz w:val="24"/>
        </w:rPr>
        <w:t xml:space="preserve"> CON AUSENCIA JUSTIFICADA</w:t>
      </w:r>
      <w:r w:rsidRPr="00B70902">
        <w:rPr>
          <w:rFonts w:ascii="Palatino Linotype" w:hAnsi="Palatino Linotype" w:cs="Arial"/>
          <w:sz w:val="24"/>
        </w:rPr>
        <w:t xml:space="preserve">; EN LA </w:t>
      </w:r>
      <w:r w:rsidR="00B35018">
        <w:rPr>
          <w:rFonts w:ascii="Palatino Linotype" w:hAnsi="Palatino Linotype" w:cs="Arial"/>
          <w:sz w:val="24"/>
        </w:rPr>
        <w:t>DÉCIMA OCTAVA</w:t>
      </w:r>
      <w:r w:rsidR="00E1276D">
        <w:rPr>
          <w:rFonts w:ascii="Palatino Linotype" w:hAnsi="Palatino Linotype" w:cs="Arial"/>
          <w:sz w:val="24"/>
        </w:rPr>
        <w:t xml:space="preserve">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B35018">
        <w:rPr>
          <w:rFonts w:ascii="Palatino Linotype" w:hAnsi="Palatino Linotype" w:cs="Arial"/>
          <w:sz w:val="24"/>
        </w:rPr>
        <w:t>DIECISIETE</w:t>
      </w:r>
      <w:r w:rsidR="00DC63DA">
        <w:rPr>
          <w:rFonts w:ascii="Palatino Linotype" w:hAnsi="Palatino Linotype" w:cs="Arial"/>
          <w:sz w:val="24"/>
        </w:rPr>
        <w:t xml:space="preserve"> DE SEPTIEMBRE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34386A">
        <w:rPr>
          <w:rFonts w:ascii="Palatino Linotype" w:hAnsi="Palatino Linotype" w:cs="Arial"/>
        </w:rPr>
        <w:t>.---------------------------------------------------------------------------------------------------------------------------------------------------------------------------------------------------------------------------------------------------------------------</w:t>
      </w:r>
      <w:r w:rsidR="005A6DF8">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B50EF0">
        <w:trPr>
          <w:jc w:val="center"/>
        </w:trPr>
        <w:tc>
          <w:tcPr>
            <w:tcW w:w="9062" w:type="dxa"/>
            <w:gridSpan w:val="2"/>
          </w:tcPr>
          <w:p w:rsidR="0034386A" w:rsidRDefault="0034386A" w:rsidP="00B50EF0">
            <w:pPr>
              <w:pStyle w:val="Sinespaciado"/>
              <w:rPr>
                <w:rFonts w:ascii="Palatino Linotype" w:hAnsi="Palatino Linotype"/>
                <w:b/>
              </w:rPr>
            </w:pPr>
          </w:p>
          <w:p w:rsidR="0034386A" w:rsidRDefault="0034386A" w:rsidP="00B50EF0">
            <w:pPr>
              <w:pStyle w:val="Sinespaciado"/>
              <w:rPr>
                <w:rFonts w:ascii="Palatino Linotype" w:hAnsi="Palatino Linotype"/>
                <w:b/>
              </w:rPr>
            </w:pPr>
          </w:p>
          <w:p w:rsidR="0054678D" w:rsidRDefault="0054678D"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r>
              <w:rPr>
                <w:rFonts w:ascii="Palatino Linotype" w:hAnsi="Palatino Linotype"/>
                <w:b/>
              </w:rPr>
              <w:t>Zulema Martínez Sánchez</w:t>
            </w:r>
          </w:p>
          <w:p w:rsidR="009C4945" w:rsidRDefault="009C4945" w:rsidP="00B50EF0">
            <w:pPr>
              <w:pStyle w:val="Sinespaciado"/>
              <w:jc w:val="center"/>
              <w:rPr>
                <w:rFonts w:ascii="Palatino Linotype" w:hAnsi="Palatino Linotype"/>
              </w:rPr>
            </w:pPr>
            <w:r>
              <w:rPr>
                <w:rFonts w:ascii="Palatino Linotype" w:hAnsi="Palatino Linotype"/>
              </w:rPr>
              <w:t>Comisionada Presidenta</w:t>
            </w:r>
          </w:p>
          <w:p w:rsidR="009C4945" w:rsidRDefault="00CE4DDC" w:rsidP="00B50EF0">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B50EF0">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B50EF0">
        <w:trPr>
          <w:jc w:val="center"/>
        </w:trPr>
        <w:tc>
          <w:tcPr>
            <w:tcW w:w="4531" w:type="dxa"/>
          </w:tcPr>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r>
              <w:rPr>
                <w:rFonts w:ascii="Palatino Linotype" w:hAnsi="Palatino Linotype"/>
                <w:b/>
              </w:rPr>
              <w:t>Eva Abaid Yapur</w:t>
            </w:r>
          </w:p>
          <w:p w:rsidR="009C4945" w:rsidRDefault="009C4945" w:rsidP="00B50EF0">
            <w:pPr>
              <w:pStyle w:val="Sinespaciado"/>
              <w:jc w:val="center"/>
              <w:rPr>
                <w:rFonts w:ascii="Palatino Linotype" w:hAnsi="Palatino Linotype"/>
              </w:rPr>
            </w:pPr>
            <w:r>
              <w:rPr>
                <w:rFonts w:ascii="Palatino Linotype" w:hAnsi="Palatino Linotype"/>
              </w:rPr>
              <w:t>Comisionada</w:t>
            </w:r>
          </w:p>
          <w:p w:rsidR="009C4945" w:rsidRDefault="009C4945" w:rsidP="00B50EF0">
            <w:pPr>
              <w:pStyle w:val="Sinespaciado"/>
              <w:jc w:val="center"/>
              <w:rPr>
                <w:rFonts w:ascii="Palatino Linotype" w:hAnsi="Palatino Linotype"/>
              </w:rPr>
            </w:pPr>
            <w:r>
              <w:rPr>
                <w:rFonts w:ascii="Palatino Linotype" w:hAnsi="Palatino Linotype"/>
              </w:rPr>
              <w:t>(Rúbrica)</w:t>
            </w:r>
          </w:p>
          <w:p w:rsidR="009C4945" w:rsidRDefault="009C4945" w:rsidP="00B50EF0">
            <w:pPr>
              <w:pStyle w:val="Sinespaciado"/>
              <w:spacing w:line="276" w:lineRule="aut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B50EF0">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B50EF0">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B50EF0">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B50EF0">
            <w:pPr>
              <w:pStyle w:val="Sinespaciado"/>
              <w:jc w:val="center"/>
              <w:rPr>
                <w:rFonts w:ascii="Palatino Linotype" w:hAnsi="Palatino Linotype"/>
              </w:rPr>
            </w:pPr>
            <w:r>
              <w:rPr>
                <w:rFonts w:ascii="Palatino Linotype" w:hAnsi="Palatino Linotype"/>
              </w:rPr>
              <w:t>Comisionado</w:t>
            </w:r>
          </w:p>
          <w:p w:rsidR="009C4945" w:rsidRDefault="009C4945" w:rsidP="00B50EF0">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B50EF0">
            <w:pPr>
              <w:pStyle w:val="Sinespaciado"/>
              <w:jc w:val="center"/>
              <w:rPr>
                <w:rFonts w:ascii="Palatino Linotype" w:hAnsi="Palatino Linotype"/>
              </w:rPr>
            </w:pPr>
          </w:p>
          <w:p w:rsidR="009C4945" w:rsidRDefault="009C4945" w:rsidP="00B50EF0">
            <w:pPr>
              <w:pStyle w:val="Sinespaciado"/>
              <w:jc w:val="center"/>
              <w:rPr>
                <w:rFonts w:ascii="Palatino Linotype" w:hAnsi="Palatino Linotype"/>
              </w:rPr>
            </w:pPr>
          </w:p>
          <w:p w:rsidR="009C4945" w:rsidRDefault="009C4945" w:rsidP="00B50EF0">
            <w:pPr>
              <w:pStyle w:val="Sinespaciado"/>
              <w:jc w:val="center"/>
              <w:rPr>
                <w:rFonts w:ascii="Palatino Linotype" w:hAnsi="Palatino Linotype"/>
              </w:rPr>
            </w:pPr>
          </w:p>
          <w:p w:rsidR="009C4945" w:rsidRDefault="009C4945" w:rsidP="00B50EF0">
            <w:pPr>
              <w:pStyle w:val="Sinespaciado"/>
              <w:jc w:val="center"/>
              <w:rPr>
                <w:rFonts w:ascii="Palatino Linotype" w:hAnsi="Palatino Linotype"/>
              </w:rPr>
            </w:pPr>
          </w:p>
          <w:p w:rsidR="009C4945" w:rsidRDefault="009C4945" w:rsidP="00B50EF0">
            <w:pPr>
              <w:pStyle w:val="Sinespaciado"/>
              <w:jc w:val="center"/>
              <w:rPr>
                <w:rFonts w:ascii="Palatino Linotype" w:hAnsi="Palatino Linotype"/>
              </w:rPr>
            </w:pPr>
          </w:p>
          <w:p w:rsidR="009C4945" w:rsidRDefault="009C4945" w:rsidP="00B50EF0">
            <w:pPr>
              <w:pStyle w:val="Sinespaciado"/>
              <w:jc w:val="center"/>
              <w:rPr>
                <w:rFonts w:ascii="Palatino Linotype" w:hAnsi="Palatino Linotype"/>
              </w:rPr>
            </w:pPr>
          </w:p>
          <w:p w:rsidR="009C4945" w:rsidRDefault="009C4945" w:rsidP="00B50EF0">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B50EF0">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34386A" w:rsidP="00B50EF0">
            <w:pPr>
              <w:pStyle w:val="Sinespaciado"/>
              <w:spacing w:line="276" w:lineRule="aut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B50EF0">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B50EF0">
        <w:trPr>
          <w:jc w:val="center"/>
        </w:trPr>
        <w:tc>
          <w:tcPr>
            <w:tcW w:w="9062" w:type="dxa"/>
            <w:gridSpan w:val="2"/>
          </w:tcPr>
          <w:p w:rsidR="009C4945" w:rsidRDefault="009C4945" w:rsidP="00B50EF0">
            <w:pPr>
              <w:pStyle w:val="Sinespaciado"/>
              <w:rPr>
                <w:rFonts w:ascii="Palatino Linotype" w:hAnsi="Palatino Linotype"/>
              </w:rPr>
            </w:pPr>
          </w:p>
        </w:tc>
      </w:tr>
      <w:tr w:rsidR="009C4945" w:rsidTr="00B50EF0">
        <w:trPr>
          <w:jc w:val="center"/>
        </w:trPr>
        <w:tc>
          <w:tcPr>
            <w:tcW w:w="9062" w:type="dxa"/>
            <w:gridSpan w:val="2"/>
          </w:tcPr>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p>
          <w:p w:rsidR="009C4945" w:rsidRDefault="009C4945" w:rsidP="00B50EF0">
            <w:pPr>
              <w:pStyle w:val="Sinespaciado"/>
              <w:jc w:val="center"/>
              <w:rPr>
                <w:rFonts w:ascii="Palatino Linotype" w:hAnsi="Palatino Linotype"/>
                <w:b/>
              </w:rPr>
            </w:pPr>
            <w:r>
              <w:rPr>
                <w:rFonts w:ascii="Palatino Linotype" w:hAnsi="Palatino Linotype"/>
                <w:b/>
              </w:rPr>
              <w:t>Alexis Tapia Ramírez</w:t>
            </w:r>
          </w:p>
          <w:p w:rsidR="009C4945" w:rsidRDefault="009C4945" w:rsidP="00B50EF0">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B50EF0">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5A6DF8">
        <w:rPr>
          <w:rFonts w:ascii="Palatino Linotype" w:hAnsi="Palatino Linotype" w:cs="Arial"/>
          <w:sz w:val="18"/>
          <w:szCs w:val="20"/>
        </w:rPr>
        <w:t>diecisiete</w:t>
      </w:r>
      <w:r w:rsidR="00DC63DA">
        <w:rPr>
          <w:rFonts w:ascii="Palatino Linotype" w:hAnsi="Palatino Linotype" w:cs="Arial"/>
          <w:sz w:val="18"/>
          <w:szCs w:val="20"/>
        </w:rPr>
        <w:t xml:space="preserve"> de septiembre</w:t>
      </w:r>
      <w:r w:rsidRPr="00601C70">
        <w:rPr>
          <w:rFonts w:ascii="Palatino Linotype" w:hAnsi="Palatino Linotype" w:cs="Arial"/>
          <w:sz w:val="18"/>
          <w:szCs w:val="20"/>
        </w:rPr>
        <w:t xml:space="preserve"> 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34386A">
        <w:rPr>
          <w:rFonts w:ascii="Palatino Linotype" w:hAnsi="Palatino Linotype" w:cs="Arial"/>
          <w:bCs/>
          <w:sz w:val="18"/>
          <w:szCs w:val="20"/>
          <w:lang w:eastAsia="es-MX"/>
        </w:rPr>
        <w:t>1460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727" w:rsidRDefault="00EF3727" w:rsidP="00EF4493">
      <w:pPr>
        <w:spacing w:after="0" w:line="240" w:lineRule="auto"/>
      </w:pPr>
      <w:r>
        <w:separator/>
      </w:r>
    </w:p>
  </w:endnote>
  <w:endnote w:type="continuationSeparator" w:id="0">
    <w:p w:rsidR="00EF3727" w:rsidRDefault="00EF3727"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F0" w:rsidRPr="000B69FA" w:rsidRDefault="00B50EF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7AC1">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7AC1">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F0" w:rsidRPr="000B69FA" w:rsidRDefault="00B50EF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7A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7AC1">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727" w:rsidRDefault="00EF3727" w:rsidP="00EF4493">
      <w:pPr>
        <w:spacing w:after="0" w:line="240" w:lineRule="auto"/>
      </w:pPr>
      <w:r>
        <w:separator/>
      </w:r>
    </w:p>
  </w:footnote>
  <w:footnote w:type="continuationSeparator" w:id="0">
    <w:p w:rsidR="00EF3727" w:rsidRDefault="00EF3727" w:rsidP="00EF4493">
      <w:pPr>
        <w:spacing w:after="0" w:line="240" w:lineRule="auto"/>
      </w:pPr>
      <w:r>
        <w:continuationSeparator/>
      </w:r>
    </w:p>
  </w:footnote>
  <w:footnote w:id="1">
    <w:p w:rsidR="00B50EF0" w:rsidRPr="00E70844" w:rsidRDefault="00B50EF0" w:rsidP="006F72EC">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2">
    <w:p w:rsidR="00B50EF0" w:rsidRPr="009064F6" w:rsidRDefault="00B50EF0" w:rsidP="006F72E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B50EF0" w:rsidRPr="00E70844" w:rsidRDefault="00B50EF0" w:rsidP="006F72E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B50EF0" w:rsidRPr="00E70844" w:rsidRDefault="00B50EF0" w:rsidP="006F72EC">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B50EF0" w:rsidRPr="00CE236E" w:rsidRDefault="00B50EF0" w:rsidP="006F72EC">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F8" w:rsidRDefault="00EF37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F0" w:rsidRDefault="00EF37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7.1pt;margin-top:-145.9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50EF0" w:rsidTr="006F251D">
      <w:trPr>
        <w:trHeight w:val="227"/>
      </w:trPr>
      <w:tc>
        <w:tcPr>
          <w:tcW w:w="5529" w:type="dxa"/>
          <w:hideMark/>
        </w:tcPr>
        <w:p w:rsidR="00B50EF0" w:rsidRDefault="00B50EF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50EF0" w:rsidRPr="00B4142F" w:rsidRDefault="00CC29C8" w:rsidP="00CC29C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01460</w:t>
          </w:r>
          <w:r w:rsidR="00B50EF0" w:rsidRPr="006651E0">
            <w:rPr>
              <w:rFonts w:ascii="Palatino Linotype" w:hAnsi="Palatino Linotype" w:cs="Arial"/>
              <w:bCs/>
              <w:sz w:val="24"/>
              <w:lang w:eastAsia="es-MX"/>
            </w:rPr>
            <w:t>/INFOEM/IP/RR/2020</w:t>
          </w:r>
        </w:p>
      </w:tc>
    </w:tr>
    <w:tr w:rsidR="00B50EF0" w:rsidTr="006F251D">
      <w:trPr>
        <w:trHeight w:val="242"/>
      </w:trPr>
      <w:tc>
        <w:tcPr>
          <w:tcW w:w="5529" w:type="dxa"/>
          <w:hideMark/>
        </w:tcPr>
        <w:p w:rsidR="00B50EF0" w:rsidRDefault="00B50EF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50EF0" w:rsidRPr="00F06FED" w:rsidRDefault="0034386A" w:rsidP="00491469">
          <w:pPr>
            <w:spacing w:after="120" w:line="256" w:lineRule="auto"/>
            <w:ind w:left="639" w:right="214"/>
            <w:jc w:val="both"/>
            <w:rPr>
              <w:rFonts w:ascii="Palatino Linotype" w:hAnsi="Palatino Linotype" w:cs="Arial"/>
            </w:rPr>
          </w:pPr>
          <w:r w:rsidRPr="00EC5688">
            <w:rPr>
              <w:rFonts w:ascii="Palatino Linotype" w:hAnsi="Palatino Linotype" w:cs="Arial"/>
              <w:szCs w:val="20"/>
            </w:rPr>
            <w:t>Tribunal de Justicia Administrativa del Estado de México</w:t>
          </w:r>
        </w:p>
      </w:tc>
    </w:tr>
    <w:tr w:rsidR="00B50EF0" w:rsidTr="006F251D">
      <w:trPr>
        <w:trHeight w:val="342"/>
      </w:trPr>
      <w:tc>
        <w:tcPr>
          <w:tcW w:w="5529" w:type="dxa"/>
          <w:hideMark/>
        </w:tcPr>
        <w:p w:rsidR="00B50EF0" w:rsidRDefault="00B50EF0"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50EF0" w:rsidRDefault="00B50EF0"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B50EF0" w:rsidRDefault="00B50E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50EF0" w:rsidTr="006F251D">
      <w:trPr>
        <w:trHeight w:val="227"/>
      </w:trPr>
      <w:tc>
        <w:tcPr>
          <w:tcW w:w="5529" w:type="dxa"/>
          <w:hideMark/>
        </w:tcPr>
        <w:p w:rsidR="00B50EF0" w:rsidRDefault="00B50EF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50EF0" w:rsidRPr="00B4142F" w:rsidRDefault="00B50EF0" w:rsidP="00EC568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01460</w:t>
          </w:r>
          <w:r w:rsidRPr="006651E0">
            <w:rPr>
              <w:rFonts w:ascii="Palatino Linotype" w:hAnsi="Palatino Linotype" w:cs="Arial"/>
              <w:bCs/>
              <w:sz w:val="24"/>
              <w:lang w:eastAsia="es-MX"/>
            </w:rPr>
            <w:t>/INFOEM/IP/RR/2020</w:t>
          </w:r>
        </w:p>
      </w:tc>
    </w:tr>
    <w:tr w:rsidR="00B50EF0" w:rsidTr="006F251D">
      <w:trPr>
        <w:trHeight w:val="196"/>
      </w:trPr>
      <w:tc>
        <w:tcPr>
          <w:tcW w:w="5529" w:type="dxa"/>
          <w:hideMark/>
        </w:tcPr>
        <w:p w:rsidR="00B50EF0" w:rsidRDefault="00B50EF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50EF0" w:rsidRPr="00F06FED" w:rsidRDefault="00AC7AC1" w:rsidP="00EC5688">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B50EF0" w:rsidTr="006F251D">
      <w:trPr>
        <w:trHeight w:val="242"/>
      </w:trPr>
      <w:tc>
        <w:tcPr>
          <w:tcW w:w="5529" w:type="dxa"/>
          <w:hideMark/>
        </w:tcPr>
        <w:p w:rsidR="00B50EF0" w:rsidRDefault="00B50EF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50EF0" w:rsidRDefault="00B50EF0" w:rsidP="00EC5688">
          <w:pPr>
            <w:spacing w:after="120" w:line="256" w:lineRule="auto"/>
            <w:ind w:left="639" w:right="214"/>
            <w:jc w:val="both"/>
            <w:rPr>
              <w:rFonts w:ascii="Palatino Linotype" w:hAnsi="Palatino Linotype" w:cs="Arial"/>
              <w:szCs w:val="20"/>
            </w:rPr>
          </w:pPr>
          <w:r w:rsidRPr="00EC5688">
            <w:rPr>
              <w:rFonts w:ascii="Palatino Linotype" w:hAnsi="Palatino Linotype" w:cs="Arial"/>
              <w:szCs w:val="20"/>
            </w:rPr>
            <w:t>Tribunal de Justicia Administrativa del Estado de México</w:t>
          </w:r>
        </w:p>
      </w:tc>
    </w:tr>
    <w:tr w:rsidR="00B50EF0" w:rsidTr="006F251D">
      <w:trPr>
        <w:trHeight w:val="342"/>
      </w:trPr>
      <w:tc>
        <w:tcPr>
          <w:tcW w:w="5529" w:type="dxa"/>
          <w:hideMark/>
        </w:tcPr>
        <w:p w:rsidR="00B50EF0" w:rsidRDefault="00B50EF0"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50EF0" w:rsidRDefault="00B50EF0"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50EF0" w:rsidRDefault="00EF37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8.6pt;margin-top:-153.7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D3AE7"/>
    <w:multiLevelType w:val="hybridMultilevel"/>
    <w:tmpl w:val="59FEC9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014E99"/>
    <w:multiLevelType w:val="hybridMultilevel"/>
    <w:tmpl w:val="32461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5F4"/>
    <w:rsid w:val="00002ED6"/>
    <w:rsid w:val="00003687"/>
    <w:rsid w:val="00005C16"/>
    <w:rsid w:val="000154EC"/>
    <w:rsid w:val="00020D57"/>
    <w:rsid w:val="000223B8"/>
    <w:rsid w:val="00025E59"/>
    <w:rsid w:val="000272E9"/>
    <w:rsid w:val="000323C7"/>
    <w:rsid w:val="0003514B"/>
    <w:rsid w:val="00035C45"/>
    <w:rsid w:val="00043A95"/>
    <w:rsid w:val="000455D7"/>
    <w:rsid w:val="00046B26"/>
    <w:rsid w:val="0005633E"/>
    <w:rsid w:val="00061AAF"/>
    <w:rsid w:val="000668B4"/>
    <w:rsid w:val="00067070"/>
    <w:rsid w:val="000702DB"/>
    <w:rsid w:val="00072FBF"/>
    <w:rsid w:val="00073303"/>
    <w:rsid w:val="00074FB2"/>
    <w:rsid w:val="000750D2"/>
    <w:rsid w:val="00084FFE"/>
    <w:rsid w:val="000851CB"/>
    <w:rsid w:val="00087BFB"/>
    <w:rsid w:val="0009116D"/>
    <w:rsid w:val="000A6046"/>
    <w:rsid w:val="000A7734"/>
    <w:rsid w:val="000B25C6"/>
    <w:rsid w:val="000B39D1"/>
    <w:rsid w:val="000C2696"/>
    <w:rsid w:val="000D44C3"/>
    <w:rsid w:val="000E1C5C"/>
    <w:rsid w:val="000E525F"/>
    <w:rsid w:val="000E610B"/>
    <w:rsid w:val="000E7FFE"/>
    <w:rsid w:val="000F1092"/>
    <w:rsid w:val="000F17F6"/>
    <w:rsid w:val="000F62E6"/>
    <w:rsid w:val="001027FD"/>
    <w:rsid w:val="001140E5"/>
    <w:rsid w:val="00114686"/>
    <w:rsid w:val="00123B18"/>
    <w:rsid w:val="00123FCF"/>
    <w:rsid w:val="00124E05"/>
    <w:rsid w:val="001278E0"/>
    <w:rsid w:val="00141D93"/>
    <w:rsid w:val="00143FF1"/>
    <w:rsid w:val="001452CB"/>
    <w:rsid w:val="001459F4"/>
    <w:rsid w:val="00146C74"/>
    <w:rsid w:val="00147AC4"/>
    <w:rsid w:val="001501CA"/>
    <w:rsid w:val="0015365E"/>
    <w:rsid w:val="001559F6"/>
    <w:rsid w:val="001567D0"/>
    <w:rsid w:val="00160690"/>
    <w:rsid w:val="00161CFA"/>
    <w:rsid w:val="001628AE"/>
    <w:rsid w:val="00166192"/>
    <w:rsid w:val="001674AD"/>
    <w:rsid w:val="0017021F"/>
    <w:rsid w:val="00172CF8"/>
    <w:rsid w:val="00177ACD"/>
    <w:rsid w:val="00181EB4"/>
    <w:rsid w:val="00183C78"/>
    <w:rsid w:val="00185C3A"/>
    <w:rsid w:val="001863A0"/>
    <w:rsid w:val="00187FF4"/>
    <w:rsid w:val="00190B39"/>
    <w:rsid w:val="001A4E38"/>
    <w:rsid w:val="001A77A5"/>
    <w:rsid w:val="001C1456"/>
    <w:rsid w:val="001C2191"/>
    <w:rsid w:val="001C40AA"/>
    <w:rsid w:val="001C4DE8"/>
    <w:rsid w:val="001C52D9"/>
    <w:rsid w:val="001D038E"/>
    <w:rsid w:val="001D3BC1"/>
    <w:rsid w:val="001D4B3C"/>
    <w:rsid w:val="001D7469"/>
    <w:rsid w:val="001F42BD"/>
    <w:rsid w:val="001F60A6"/>
    <w:rsid w:val="0020497D"/>
    <w:rsid w:val="00207EE0"/>
    <w:rsid w:val="002120CE"/>
    <w:rsid w:val="00220B82"/>
    <w:rsid w:val="00227832"/>
    <w:rsid w:val="00231C6B"/>
    <w:rsid w:val="002404BE"/>
    <w:rsid w:val="00250B56"/>
    <w:rsid w:val="00251626"/>
    <w:rsid w:val="00255CDF"/>
    <w:rsid w:val="00260B88"/>
    <w:rsid w:val="00262B58"/>
    <w:rsid w:val="002743A3"/>
    <w:rsid w:val="00277E83"/>
    <w:rsid w:val="002845F3"/>
    <w:rsid w:val="002856C9"/>
    <w:rsid w:val="00286846"/>
    <w:rsid w:val="00287411"/>
    <w:rsid w:val="0029144A"/>
    <w:rsid w:val="002938B0"/>
    <w:rsid w:val="00295902"/>
    <w:rsid w:val="002960B6"/>
    <w:rsid w:val="002A447E"/>
    <w:rsid w:val="002A4EF5"/>
    <w:rsid w:val="002A51E6"/>
    <w:rsid w:val="002A5714"/>
    <w:rsid w:val="002B3A66"/>
    <w:rsid w:val="002B4954"/>
    <w:rsid w:val="002B77C7"/>
    <w:rsid w:val="002C65A8"/>
    <w:rsid w:val="002C7DA2"/>
    <w:rsid w:val="002C7E15"/>
    <w:rsid w:val="002D04E8"/>
    <w:rsid w:val="002E1B68"/>
    <w:rsid w:val="002E28EA"/>
    <w:rsid w:val="002E6FB3"/>
    <w:rsid w:val="002F09DA"/>
    <w:rsid w:val="002F2886"/>
    <w:rsid w:val="002F7951"/>
    <w:rsid w:val="002F7FF2"/>
    <w:rsid w:val="00304F9F"/>
    <w:rsid w:val="0030776E"/>
    <w:rsid w:val="0031012E"/>
    <w:rsid w:val="003103B6"/>
    <w:rsid w:val="00310E7D"/>
    <w:rsid w:val="00316104"/>
    <w:rsid w:val="0032330B"/>
    <w:rsid w:val="00327823"/>
    <w:rsid w:val="00327E40"/>
    <w:rsid w:val="0033681C"/>
    <w:rsid w:val="0034386A"/>
    <w:rsid w:val="00344264"/>
    <w:rsid w:val="00353C65"/>
    <w:rsid w:val="003564CF"/>
    <w:rsid w:val="003609FD"/>
    <w:rsid w:val="00365561"/>
    <w:rsid w:val="0036658A"/>
    <w:rsid w:val="00370AF0"/>
    <w:rsid w:val="003722E8"/>
    <w:rsid w:val="00376EF6"/>
    <w:rsid w:val="00377A48"/>
    <w:rsid w:val="00380242"/>
    <w:rsid w:val="003879E1"/>
    <w:rsid w:val="00390B6D"/>
    <w:rsid w:val="00394FDB"/>
    <w:rsid w:val="003A137F"/>
    <w:rsid w:val="003A1B28"/>
    <w:rsid w:val="003A2954"/>
    <w:rsid w:val="003A3820"/>
    <w:rsid w:val="003A3C75"/>
    <w:rsid w:val="003A787D"/>
    <w:rsid w:val="003B00FD"/>
    <w:rsid w:val="003B443C"/>
    <w:rsid w:val="003B4D1B"/>
    <w:rsid w:val="003C1ED9"/>
    <w:rsid w:val="003D01F1"/>
    <w:rsid w:val="003D15E2"/>
    <w:rsid w:val="003D4671"/>
    <w:rsid w:val="003E233B"/>
    <w:rsid w:val="003E32F9"/>
    <w:rsid w:val="003E33B1"/>
    <w:rsid w:val="003E5696"/>
    <w:rsid w:val="003E6C60"/>
    <w:rsid w:val="003E6C68"/>
    <w:rsid w:val="003F1E4A"/>
    <w:rsid w:val="003F3FEE"/>
    <w:rsid w:val="003F43A3"/>
    <w:rsid w:val="00404137"/>
    <w:rsid w:val="00410477"/>
    <w:rsid w:val="004114F3"/>
    <w:rsid w:val="00411C6F"/>
    <w:rsid w:val="004128A4"/>
    <w:rsid w:val="0041680B"/>
    <w:rsid w:val="00427AA8"/>
    <w:rsid w:val="00427AD2"/>
    <w:rsid w:val="00430DD3"/>
    <w:rsid w:val="00434E57"/>
    <w:rsid w:val="00435E0E"/>
    <w:rsid w:val="004426F6"/>
    <w:rsid w:val="004448B0"/>
    <w:rsid w:val="0044634A"/>
    <w:rsid w:val="00455D1B"/>
    <w:rsid w:val="00473DDA"/>
    <w:rsid w:val="00485556"/>
    <w:rsid w:val="004901C7"/>
    <w:rsid w:val="004902C5"/>
    <w:rsid w:val="00491469"/>
    <w:rsid w:val="00493068"/>
    <w:rsid w:val="0049488A"/>
    <w:rsid w:val="00496327"/>
    <w:rsid w:val="00497B50"/>
    <w:rsid w:val="004A0C7A"/>
    <w:rsid w:val="004A2D40"/>
    <w:rsid w:val="004A33D8"/>
    <w:rsid w:val="004B2188"/>
    <w:rsid w:val="004B24C4"/>
    <w:rsid w:val="004B38C2"/>
    <w:rsid w:val="004C23E1"/>
    <w:rsid w:val="004C4741"/>
    <w:rsid w:val="004C565B"/>
    <w:rsid w:val="004D07A5"/>
    <w:rsid w:val="004D2A4B"/>
    <w:rsid w:val="004E1B56"/>
    <w:rsid w:val="004F3C66"/>
    <w:rsid w:val="0050008F"/>
    <w:rsid w:val="005058EE"/>
    <w:rsid w:val="005106BB"/>
    <w:rsid w:val="00523984"/>
    <w:rsid w:val="005372F2"/>
    <w:rsid w:val="0054587B"/>
    <w:rsid w:val="0054678D"/>
    <w:rsid w:val="00551AF7"/>
    <w:rsid w:val="00557339"/>
    <w:rsid w:val="005620C3"/>
    <w:rsid w:val="005655C9"/>
    <w:rsid w:val="00566F05"/>
    <w:rsid w:val="00571386"/>
    <w:rsid w:val="00572B23"/>
    <w:rsid w:val="00575210"/>
    <w:rsid w:val="00592170"/>
    <w:rsid w:val="005926B3"/>
    <w:rsid w:val="00597B1C"/>
    <w:rsid w:val="005A30DA"/>
    <w:rsid w:val="005A6DF8"/>
    <w:rsid w:val="005A7CA3"/>
    <w:rsid w:val="005B30AE"/>
    <w:rsid w:val="005B3EB0"/>
    <w:rsid w:val="005B4B11"/>
    <w:rsid w:val="005B511D"/>
    <w:rsid w:val="005C330C"/>
    <w:rsid w:val="005D40BD"/>
    <w:rsid w:val="005D4C1B"/>
    <w:rsid w:val="005E0C62"/>
    <w:rsid w:val="005E56B2"/>
    <w:rsid w:val="005F234A"/>
    <w:rsid w:val="005F72A3"/>
    <w:rsid w:val="00604565"/>
    <w:rsid w:val="006046ED"/>
    <w:rsid w:val="00604CF8"/>
    <w:rsid w:val="00606457"/>
    <w:rsid w:val="006066E9"/>
    <w:rsid w:val="00611BCB"/>
    <w:rsid w:val="00614156"/>
    <w:rsid w:val="00623949"/>
    <w:rsid w:val="00625EDA"/>
    <w:rsid w:val="006266C5"/>
    <w:rsid w:val="006409FA"/>
    <w:rsid w:val="00641E00"/>
    <w:rsid w:val="00646405"/>
    <w:rsid w:val="00656748"/>
    <w:rsid w:val="00656EAC"/>
    <w:rsid w:val="00663771"/>
    <w:rsid w:val="006651E0"/>
    <w:rsid w:val="006707C7"/>
    <w:rsid w:val="006714EC"/>
    <w:rsid w:val="00673D1C"/>
    <w:rsid w:val="006833C4"/>
    <w:rsid w:val="00690854"/>
    <w:rsid w:val="006923B5"/>
    <w:rsid w:val="00693F76"/>
    <w:rsid w:val="006959D8"/>
    <w:rsid w:val="00696AC0"/>
    <w:rsid w:val="00696FBF"/>
    <w:rsid w:val="006A2C5A"/>
    <w:rsid w:val="006B69DA"/>
    <w:rsid w:val="006C5A17"/>
    <w:rsid w:val="006C6DE3"/>
    <w:rsid w:val="006D5F3C"/>
    <w:rsid w:val="006D6D37"/>
    <w:rsid w:val="006E085D"/>
    <w:rsid w:val="006E2B78"/>
    <w:rsid w:val="006E6F07"/>
    <w:rsid w:val="006E7D79"/>
    <w:rsid w:val="006F0BB2"/>
    <w:rsid w:val="006F1643"/>
    <w:rsid w:val="006F1A6E"/>
    <w:rsid w:val="006F251D"/>
    <w:rsid w:val="006F35F8"/>
    <w:rsid w:val="006F4E68"/>
    <w:rsid w:val="006F63D2"/>
    <w:rsid w:val="006F72EC"/>
    <w:rsid w:val="006F7670"/>
    <w:rsid w:val="00700FB0"/>
    <w:rsid w:val="00703988"/>
    <w:rsid w:val="00704A9A"/>
    <w:rsid w:val="007053F3"/>
    <w:rsid w:val="00706EBB"/>
    <w:rsid w:val="00710CEC"/>
    <w:rsid w:val="00714515"/>
    <w:rsid w:val="00720773"/>
    <w:rsid w:val="00722789"/>
    <w:rsid w:val="0072323C"/>
    <w:rsid w:val="00742497"/>
    <w:rsid w:val="00743681"/>
    <w:rsid w:val="007475F2"/>
    <w:rsid w:val="00750698"/>
    <w:rsid w:val="0075439D"/>
    <w:rsid w:val="00756B61"/>
    <w:rsid w:val="007648DC"/>
    <w:rsid w:val="00770A89"/>
    <w:rsid w:val="00774ECB"/>
    <w:rsid w:val="00781632"/>
    <w:rsid w:val="00784619"/>
    <w:rsid w:val="00790136"/>
    <w:rsid w:val="007939F7"/>
    <w:rsid w:val="00795FE8"/>
    <w:rsid w:val="007A28BF"/>
    <w:rsid w:val="007A63AF"/>
    <w:rsid w:val="007B1430"/>
    <w:rsid w:val="007B46FB"/>
    <w:rsid w:val="007B6E82"/>
    <w:rsid w:val="007C2B1C"/>
    <w:rsid w:val="007C4488"/>
    <w:rsid w:val="007C566E"/>
    <w:rsid w:val="007C5F74"/>
    <w:rsid w:val="007C789A"/>
    <w:rsid w:val="007D0F08"/>
    <w:rsid w:val="007D1254"/>
    <w:rsid w:val="007D1A37"/>
    <w:rsid w:val="007D4F94"/>
    <w:rsid w:val="007D6A0F"/>
    <w:rsid w:val="007D7767"/>
    <w:rsid w:val="007D7980"/>
    <w:rsid w:val="007E33EF"/>
    <w:rsid w:val="007E45D5"/>
    <w:rsid w:val="007F1776"/>
    <w:rsid w:val="007F3552"/>
    <w:rsid w:val="0080077B"/>
    <w:rsid w:val="00803465"/>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66F"/>
    <w:rsid w:val="00891708"/>
    <w:rsid w:val="0089347E"/>
    <w:rsid w:val="00897427"/>
    <w:rsid w:val="008A7F6E"/>
    <w:rsid w:val="008B2339"/>
    <w:rsid w:val="008B51AE"/>
    <w:rsid w:val="008C4D12"/>
    <w:rsid w:val="008C78E7"/>
    <w:rsid w:val="008C7F9C"/>
    <w:rsid w:val="008D0D13"/>
    <w:rsid w:val="008D16FA"/>
    <w:rsid w:val="008D26B9"/>
    <w:rsid w:val="008D6CC4"/>
    <w:rsid w:val="008E29D3"/>
    <w:rsid w:val="008E4E35"/>
    <w:rsid w:val="008E56F5"/>
    <w:rsid w:val="008F606B"/>
    <w:rsid w:val="009017C6"/>
    <w:rsid w:val="00903DAE"/>
    <w:rsid w:val="0091196D"/>
    <w:rsid w:val="00914170"/>
    <w:rsid w:val="00924B4B"/>
    <w:rsid w:val="0092546C"/>
    <w:rsid w:val="009257B1"/>
    <w:rsid w:val="00935CF4"/>
    <w:rsid w:val="00936E9D"/>
    <w:rsid w:val="009414EB"/>
    <w:rsid w:val="00941D4A"/>
    <w:rsid w:val="0094208C"/>
    <w:rsid w:val="00967F96"/>
    <w:rsid w:val="00972B5C"/>
    <w:rsid w:val="009815D9"/>
    <w:rsid w:val="009900EC"/>
    <w:rsid w:val="00996301"/>
    <w:rsid w:val="009A13A6"/>
    <w:rsid w:val="009A2E90"/>
    <w:rsid w:val="009A3635"/>
    <w:rsid w:val="009A59A6"/>
    <w:rsid w:val="009A6F0B"/>
    <w:rsid w:val="009C4945"/>
    <w:rsid w:val="009C51DF"/>
    <w:rsid w:val="009D0D51"/>
    <w:rsid w:val="009D41B1"/>
    <w:rsid w:val="009D55B4"/>
    <w:rsid w:val="009D6C57"/>
    <w:rsid w:val="009D7191"/>
    <w:rsid w:val="009E2AA3"/>
    <w:rsid w:val="009E56E2"/>
    <w:rsid w:val="009F67EC"/>
    <w:rsid w:val="00A00C70"/>
    <w:rsid w:val="00A03835"/>
    <w:rsid w:val="00A03B58"/>
    <w:rsid w:val="00A03E4D"/>
    <w:rsid w:val="00A057BB"/>
    <w:rsid w:val="00A20415"/>
    <w:rsid w:val="00A21EE4"/>
    <w:rsid w:val="00A306FD"/>
    <w:rsid w:val="00A40EF5"/>
    <w:rsid w:val="00A41366"/>
    <w:rsid w:val="00A419B5"/>
    <w:rsid w:val="00A441B5"/>
    <w:rsid w:val="00A53A68"/>
    <w:rsid w:val="00A604AA"/>
    <w:rsid w:val="00A62BC0"/>
    <w:rsid w:val="00A630F6"/>
    <w:rsid w:val="00A73CDB"/>
    <w:rsid w:val="00A748E1"/>
    <w:rsid w:val="00A74C4D"/>
    <w:rsid w:val="00A814BA"/>
    <w:rsid w:val="00A8531C"/>
    <w:rsid w:val="00A9036E"/>
    <w:rsid w:val="00A92C7B"/>
    <w:rsid w:val="00A932F8"/>
    <w:rsid w:val="00A955FC"/>
    <w:rsid w:val="00A963E8"/>
    <w:rsid w:val="00AA02EF"/>
    <w:rsid w:val="00AA4865"/>
    <w:rsid w:val="00AC0CA2"/>
    <w:rsid w:val="00AC350F"/>
    <w:rsid w:val="00AC35D6"/>
    <w:rsid w:val="00AC4ABC"/>
    <w:rsid w:val="00AC594B"/>
    <w:rsid w:val="00AC6197"/>
    <w:rsid w:val="00AC7AC1"/>
    <w:rsid w:val="00AD2582"/>
    <w:rsid w:val="00AD4321"/>
    <w:rsid w:val="00AD57F0"/>
    <w:rsid w:val="00AE3572"/>
    <w:rsid w:val="00AF21DC"/>
    <w:rsid w:val="00B03374"/>
    <w:rsid w:val="00B04B51"/>
    <w:rsid w:val="00B053B3"/>
    <w:rsid w:val="00B07099"/>
    <w:rsid w:val="00B07A5A"/>
    <w:rsid w:val="00B1526E"/>
    <w:rsid w:val="00B26705"/>
    <w:rsid w:val="00B34EFB"/>
    <w:rsid w:val="00B35018"/>
    <w:rsid w:val="00B35E03"/>
    <w:rsid w:val="00B37493"/>
    <w:rsid w:val="00B457AB"/>
    <w:rsid w:val="00B45AE1"/>
    <w:rsid w:val="00B45E2E"/>
    <w:rsid w:val="00B46895"/>
    <w:rsid w:val="00B469C1"/>
    <w:rsid w:val="00B500F7"/>
    <w:rsid w:val="00B50EF0"/>
    <w:rsid w:val="00B621FA"/>
    <w:rsid w:val="00B63291"/>
    <w:rsid w:val="00B67A24"/>
    <w:rsid w:val="00B70902"/>
    <w:rsid w:val="00B73366"/>
    <w:rsid w:val="00B75328"/>
    <w:rsid w:val="00B76544"/>
    <w:rsid w:val="00B800D6"/>
    <w:rsid w:val="00B82722"/>
    <w:rsid w:val="00B83D4D"/>
    <w:rsid w:val="00B8424D"/>
    <w:rsid w:val="00B86F58"/>
    <w:rsid w:val="00B90738"/>
    <w:rsid w:val="00B92681"/>
    <w:rsid w:val="00B96764"/>
    <w:rsid w:val="00BA0923"/>
    <w:rsid w:val="00BA584E"/>
    <w:rsid w:val="00BB1037"/>
    <w:rsid w:val="00BB17DE"/>
    <w:rsid w:val="00BB502B"/>
    <w:rsid w:val="00BB6A73"/>
    <w:rsid w:val="00BC0760"/>
    <w:rsid w:val="00BC4F22"/>
    <w:rsid w:val="00BC692E"/>
    <w:rsid w:val="00BC6B7C"/>
    <w:rsid w:val="00BC7FA3"/>
    <w:rsid w:val="00BD1A2E"/>
    <w:rsid w:val="00BD2EC9"/>
    <w:rsid w:val="00BD4F31"/>
    <w:rsid w:val="00BD7419"/>
    <w:rsid w:val="00BE1411"/>
    <w:rsid w:val="00BE4CAD"/>
    <w:rsid w:val="00BF4A39"/>
    <w:rsid w:val="00BF533D"/>
    <w:rsid w:val="00BF61E3"/>
    <w:rsid w:val="00BF658C"/>
    <w:rsid w:val="00C11C06"/>
    <w:rsid w:val="00C16707"/>
    <w:rsid w:val="00C211C6"/>
    <w:rsid w:val="00C24F86"/>
    <w:rsid w:val="00C2663F"/>
    <w:rsid w:val="00C401D1"/>
    <w:rsid w:val="00C41730"/>
    <w:rsid w:val="00C47430"/>
    <w:rsid w:val="00C525C5"/>
    <w:rsid w:val="00C64549"/>
    <w:rsid w:val="00C67CCC"/>
    <w:rsid w:val="00C74C20"/>
    <w:rsid w:val="00C75866"/>
    <w:rsid w:val="00C811A3"/>
    <w:rsid w:val="00C83B14"/>
    <w:rsid w:val="00C87039"/>
    <w:rsid w:val="00C905EF"/>
    <w:rsid w:val="00CA26EC"/>
    <w:rsid w:val="00CA40B2"/>
    <w:rsid w:val="00CA48E7"/>
    <w:rsid w:val="00CA61E2"/>
    <w:rsid w:val="00CA72EE"/>
    <w:rsid w:val="00CB0E4A"/>
    <w:rsid w:val="00CB5F5D"/>
    <w:rsid w:val="00CC00E2"/>
    <w:rsid w:val="00CC29C8"/>
    <w:rsid w:val="00CC77BA"/>
    <w:rsid w:val="00CC7D67"/>
    <w:rsid w:val="00CE0859"/>
    <w:rsid w:val="00CE36D4"/>
    <w:rsid w:val="00CE4DDC"/>
    <w:rsid w:val="00CF0277"/>
    <w:rsid w:val="00CF0763"/>
    <w:rsid w:val="00CF7094"/>
    <w:rsid w:val="00D00C62"/>
    <w:rsid w:val="00D022D7"/>
    <w:rsid w:val="00D023B8"/>
    <w:rsid w:val="00D05398"/>
    <w:rsid w:val="00D11A4A"/>
    <w:rsid w:val="00D12BE5"/>
    <w:rsid w:val="00D142A0"/>
    <w:rsid w:val="00D14420"/>
    <w:rsid w:val="00D15DF8"/>
    <w:rsid w:val="00D312C4"/>
    <w:rsid w:val="00D34DD4"/>
    <w:rsid w:val="00D415E4"/>
    <w:rsid w:val="00D43C37"/>
    <w:rsid w:val="00D45D1C"/>
    <w:rsid w:val="00D475DC"/>
    <w:rsid w:val="00D50574"/>
    <w:rsid w:val="00D510AE"/>
    <w:rsid w:val="00D538DD"/>
    <w:rsid w:val="00D56955"/>
    <w:rsid w:val="00D57C71"/>
    <w:rsid w:val="00D57E38"/>
    <w:rsid w:val="00D605A4"/>
    <w:rsid w:val="00D632D6"/>
    <w:rsid w:val="00D70328"/>
    <w:rsid w:val="00D70452"/>
    <w:rsid w:val="00D70B1F"/>
    <w:rsid w:val="00D70FFC"/>
    <w:rsid w:val="00D713F2"/>
    <w:rsid w:val="00D7439E"/>
    <w:rsid w:val="00D74850"/>
    <w:rsid w:val="00D763B1"/>
    <w:rsid w:val="00D833EA"/>
    <w:rsid w:val="00D83830"/>
    <w:rsid w:val="00D843F6"/>
    <w:rsid w:val="00D86B0B"/>
    <w:rsid w:val="00DA31DC"/>
    <w:rsid w:val="00DA3EAC"/>
    <w:rsid w:val="00DB7D43"/>
    <w:rsid w:val="00DC2D36"/>
    <w:rsid w:val="00DC3D41"/>
    <w:rsid w:val="00DC63DA"/>
    <w:rsid w:val="00DC700E"/>
    <w:rsid w:val="00DD295B"/>
    <w:rsid w:val="00DE3168"/>
    <w:rsid w:val="00DE329E"/>
    <w:rsid w:val="00DE7EFD"/>
    <w:rsid w:val="00DF3448"/>
    <w:rsid w:val="00DF4D3E"/>
    <w:rsid w:val="00E0012E"/>
    <w:rsid w:val="00E1276D"/>
    <w:rsid w:val="00E13F06"/>
    <w:rsid w:val="00E250DA"/>
    <w:rsid w:val="00E2701D"/>
    <w:rsid w:val="00E368A4"/>
    <w:rsid w:val="00E40234"/>
    <w:rsid w:val="00E414EB"/>
    <w:rsid w:val="00E438B1"/>
    <w:rsid w:val="00E468F9"/>
    <w:rsid w:val="00E47CDD"/>
    <w:rsid w:val="00E564B5"/>
    <w:rsid w:val="00E56A3A"/>
    <w:rsid w:val="00E6246D"/>
    <w:rsid w:val="00E6268F"/>
    <w:rsid w:val="00E6561C"/>
    <w:rsid w:val="00E662A6"/>
    <w:rsid w:val="00E66CA0"/>
    <w:rsid w:val="00E75604"/>
    <w:rsid w:val="00E7581E"/>
    <w:rsid w:val="00E806AE"/>
    <w:rsid w:val="00E80D73"/>
    <w:rsid w:val="00E8130D"/>
    <w:rsid w:val="00E939D8"/>
    <w:rsid w:val="00E93CBF"/>
    <w:rsid w:val="00EA4594"/>
    <w:rsid w:val="00EB293A"/>
    <w:rsid w:val="00EB6941"/>
    <w:rsid w:val="00EC20FC"/>
    <w:rsid w:val="00EC3618"/>
    <w:rsid w:val="00EC3B3A"/>
    <w:rsid w:val="00EC49F7"/>
    <w:rsid w:val="00EC51E2"/>
    <w:rsid w:val="00EC5688"/>
    <w:rsid w:val="00ED311D"/>
    <w:rsid w:val="00ED35E7"/>
    <w:rsid w:val="00ED5F15"/>
    <w:rsid w:val="00ED6536"/>
    <w:rsid w:val="00EE09AD"/>
    <w:rsid w:val="00EE0E93"/>
    <w:rsid w:val="00EE4E36"/>
    <w:rsid w:val="00EE4EB1"/>
    <w:rsid w:val="00EE5BF8"/>
    <w:rsid w:val="00EE77A8"/>
    <w:rsid w:val="00EE7D47"/>
    <w:rsid w:val="00EF0523"/>
    <w:rsid w:val="00EF289A"/>
    <w:rsid w:val="00EF3727"/>
    <w:rsid w:val="00EF3B8F"/>
    <w:rsid w:val="00EF4493"/>
    <w:rsid w:val="00F02665"/>
    <w:rsid w:val="00F02CF6"/>
    <w:rsid w:val="00F0597A"/>
    <w:rsid w:val="00F1132A"/>
    <w:rsid w:val="00F12645"/>
    <w:rsid w:val="00F13F6A"/>
    <w:rsid w:val="00F2291D"/>
    <w:rsid w:val="00F24B1E"/>
    <w:rsid w:val="00F37D99"/>
    <w:rsid w:val="00F400BE"/>
    <w:rsid w:val="00F41C33"/>
    <w:rsid w:val="00F47B37"/>
    <w:rsid w:val="00F506E2"/>
    <w:rsid w:val="00F51821"/>
    <w:rsid w:val="00F54E75"/>
    <w:rsid w:val="00F61C91"/>
    <w:rsid w:val="00F643D3"/>
    <w:rsid w:val="00F77144"/>
    <w:rsid w:val="00F83D6E"/>
    <w:rsid w:val="00F93546"/>
    <w:rsid w:val="00FA19E1"/>
    <w:rsid w:val="00FB41DB"/>
    <w:rsid w:val="00FB5ABC"/>
    <w:rsid w:val="00FB6E08"/>
    <w:rsid w:val="00FC75FB"/>
    <w:rsid w:val="00FD2179"/>
    <w:rsid w:val="00FD2516"/>
    <w:rsid w:val="00FD4831"/>
    <w:rsid w:val="00FD4C8B"/>
    <w:rsid w:val="00FD7F57"/>
    <w:rsid w:val="00FE4434"/>
    <w:rsid w:val="00FE7565"/>
    <w:rsid w:val="00FF1F6E"/>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219556871">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920021544">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6265-2E41-4266-ADA0-050C9EDB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8316</Words>
  <Characters>45740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2019-09-05T17:37:00Z</cp:lastPrinted>
  <dcterms:created xsi:type="dcterms:W3CDTF">2020-10-25T22:43:00Z</dcterms:created>
  <dcterms:modified xsi:type="dcterms:W3CDTF">2020-10-25T22:43:00Z</dcterms:modified>
</cp:coreProperties>
</file>