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7BB8" w:rsidRPr="007A646F" w:rsidRDefault="00457BB8" w:rsidP="00B9215F">
      <w:pPr>
        <w:spacing w:line="360" w:lineRule="auto"/>
        <w:jc w:val="both"/>
        <w:rPr>
          <w:rFonts w:ascii="Palatino Linotype" w:hAnsi="Palatino Linotype"/>
        </w:rPr>
      </w:pPr>
      <w:r w:rsidRPr="007A646F">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9E333F" w:rsidRPr="007A646F">
        <w:rPr>
          <w:rFonts w:ascii="Palatino Linotype" w:hAnsi="Palatino Linotype"/>
        </w:rPr>
        <w:t xml:space="preserve">diecisiete </w:t>
      </w:r>
      <w:r w:rsidR="00F621F3" w:rsidRPr="007A646F">
        <w:rPr>
          <w:rFonts w:ascii="Palatino Linotype" w:hAnsi="Palatino Linotype"/>
        </w:rPr>
        <w:t xml:space="preserve">de septiembre </w:t>
      </w:r>
      <w:r w:rsidRPr="007A646F">
        <w:rPr>
          <w:rFonts w:ascii="Palatino Linotype" w:hAnsi="Palatino Linotype"/>
        </w:rPr>
        <w:t>de dos mil veinte.</w:t>
      </w:r>
    </w:p>
    <w:p w:rsidR="00457BB8" w:rsidRPr="007A646F" w:rsidRDefault="00457BB8" w:rsidP="00B9215F">
      <w:pPr>
        <w:spacing w:line="360" w:lineRule="auto"/>
        <w:jc w:val="both"/>
        <w:rPr>
          <w:rFonts w:ascii="Palatino Linotype" w:hAnsi="Palatino Linotype"/>
        </w:rPr>
      </w:pPr>
    </w:p>
    <w:p w:rsidR="00457BB8" w:rsidRPr="007A646F" w:rsidRDefault="00457BB8" w:rsidP="00B9215F">
      <w:pPr>
        <w:spacing w:line="360" w:lineRule="auto"/>
        <w:jc w:val="both"/>
        <w:rPr>
          <w:rFonts w:ascii="Palatino Linotype" w:hAnsi="Palatino Linotype"/>
          <w:b/>
        </w:rPr>
      </w:pPr>
      <w:r w:rsidRPr="007A646F">
        <w:rPr>
          <w:rFonts w:ascii="Palatino Linotype" w:hAnsi="Palatino Linotype"/>
          <w:b/>
        </w:rPr>
        <w:t>VISTO</w:t>
      </w:r>
      <w:r w:rsidRPr="007A646F">
        <w:rPr>
          <w:rFonts w:ascii="Palatino Linotype" w:hAnsi="Palatino Linotype"/>
        </w:rPr>
        <w:t xml:space="preserve"> el expediente formado con motivo del recurso de revisión </w:t>
      </w:r>
      <w:r w:rsidR="00F621F3" w:rsidRPr="007A646F">
        <w:rPr>
          <w:rFonts w:ascii="Palatino Linotype" w:hAnsi="Palatino Linotype"/>
          <w:b/>
        </w:rPr>
        <w:t>0</w:t>
      </w:r>
      <w:r w:rsidR="00312D47" w:rsidRPr="007A646F">
        <w:rPr>
          <w:rFonts w:ascii="Palatino Linotype" w:hAnsi="Palatino Linotype"/>
          <w:b/>
        </w:rPr>
        <w:t>1602</w:t>
      </w:r>
      <w:r w:rsidRPr="007A646F">
        <w:rPr>
          <w:rFonts w:ascii="Palatino Linotype" w:hAnsi="Palatino Linotype"/>
          <w:b/>
        </w:rPr>
        <w:t>/INFOEM/IP/RR/2020</w:t>
      </w:r>
      <w:r w:rsidRPr="007A646F">
        <w:rPr>
          <w:rFonts w:ascii="Palatino Linotype" w:hAnsi="Palatino Linotype"/>
        </w:rPr>
        <w:t xml:space="preserve">, promovido por </w:t>
      </w:r>
      <w:r w:rsidR="002E5083" w:rsidRPr="007A646F">
        <w:rPr>
          <w:rFonts w:ascii="Palatino Linotype" w:hAnsi="Palatino Linotype"/>
        </w:rPr>
        <w:t>el</w:t>
      </w:r>
      <w:r w:rsidRPr="007A646F">
        <w:rPr>
          <w:rFonts w:ascii="Palatino Linotype" w:hAnsi="Palatino Linotype"/>
        </w:rPr>
        <w:t xml:space="preserve"> </w:t>
      </w:r>
      <w:r w:rsidR="00F621F3" w:rsidRPr="007A646F">
        <w:rPr>
          <w:rFonts w:ascii="Palatino Linotype" w:hAnsi="Palatino Linotype"/>
        </w:rPr>
        <w:t xml:space="preserve">C. </w:t>
      </w:r>
      <w:bookmarkStart w:id="0" w:name="_GoBack"/>
      <w:proofErr w:type="spellStart"/>
      <w:r w:rsidR="00BA79E9" w:rsidRPr="00BA79E9">
        <w:rPr>
          <w:rFonts w:ascii="Palatino Linotype" w:hAnsi="Palatino Linotype"/>
          <w:b/>
        </w:rPr>
        <w:t>Xxx</w:t>
      </w:r>
      <w:proofErr w:type="spellEnd"/>
      <w:r w:rsidR="00BA79E9" w:rsidRPr="00BA79E9">
        <w:rPr>
          <w:rFonts w:ascii="Palatino Linotype" w:hAnsi="Palatino Linotype"/>
          <w:b/>
        </w:rPr>
        <w:t xml:space="preserve"> </w:t>
      </w:r>
      <w:proofErr w:type="spellStart"/>
      <w:r w:rsidR="00BA79E9" w:rsidRPr="00BA79E9">
        <w:rPr>
          <w:rFonts w:ascii="Palatino Linotype" w:hAnsi="Palatino Linotype"/>
          <w:b/>
        </w:rPr>
        <w:t>Xxxxxxxx</w:t>
      </w:r>
      <w:proofErr w:type="spellEnd"/>
      <w:r w:rsidR="00BA79E9" w:rsidRPr="00BA79E9">
        <w:rPr>
          <w:rFonts w:ascii="Palatino Linotype" w:hAnsi="Palatino Linotype"/>
          <w:b/>
        </w:rPr>
        <w:t xml:space="preserve"> </w:t>
      </w:r>
      <w:proofErr w:type="spellStart"/>
      <w:r w:rsidR="00BA79E9" w:rsidRPr="00BA79E9">
        <w:rPr>
          <w:rFonts w:ascii="Palatino Linotype" w:hAnsi="Palatino Linotype"/>
          <w:b/>
        </w:rPr>
        <w:t>Xxxxxx</w:t>
      </w:r>
      <w:bookmarkEnd w:id="0"/>
      <w:proofErr w:type="spellEnd"/>
      <w:r w:rsidRPr="007A646F">
        <w:rPr>
          <w:rFonts w:ascii="Palatino Linotype" w:hAnsi="Palatino Linotype" w:cs="Arial"/>
          <w:b/>
        </w:rPr>
        <w:t xml:space="preserve">, </w:t>
      </w:r>
      <w:r w:rsidRPr="007A646F">
        <w:rPr>
          <w:rFonts w:ascii="Palatino Linotype" w:hAnsi="Palatino Linotype" w:cs="Arial"/>
        </w:rPr>
        <w:t>en lo sucesivo</w:t>
      </w:r>
      <w:r w:rsidRPr="007A646F">
        <w:rPr>
          <w:rFonts w:ascii="Palatino Linotype" w:hAnsi="Palatino Linotype" w:cs="Arial"/>
          <w:b/>
        </w:rPr>
        <w:t xml:space="preserve"> </w:t>
      </w:r>
      <w:r w:rsidR="002E5083" w:rsidRPr="007A646F">
        <w:rPr>
          <w:rFonts w:ascii="Palatino Linotype" w:hAnsi="Palatino Linotype" w:cs="Arial"/>
          <w:b/>
        </w:rPr>
        <w:t>EL</w:t>
      </w:r>
      <w:r w:rsidRPr="007A646F">
        <w:rPr>
          <w:rFonts w:ascii="Palatino Linotype" w:hAnsi="Palatino Linotype" w:cs="Arial"/>
          <w:b/>
        </w:rPr>
        <w:t xml:space="preserve"> RECURRENTE,</w:t>
      </w:r>
      <w:r w:rsidRPr="007A646F">
        <w:rPr>
          <w:rFonts w:ascii="Palatino Linotype" w:hAnsi="Palatino Linotype"/>
        </w:rPr>
        <w:t xml:space="preserve"> en contra de la respuesta emitida por el </w:t>
      </w:r>
      <w:r w:rsidRPr="007A646F">
        <w:rPr>
          <w:rFonts w:ascii="Palatino Linotype" w:hAnsi="Palatino Linotype"/>
          <w:b/>
        </w:rPr>
        <w:t xml:space="preserve">Ayuntamiento de </w:t>
      </w:r>
      <w:r w:rsidR="00F621F3" w:rsidRPr="007A646F">
        <w:rPr>
          <w:rFonts w:ascii="Palatino Linotype" w:hAnsi="Palatino Linotype"/>
          <w:b/>
        </w:rPr>
        <w:t>C</w:t>
      </w:r>
      <w:r w:rsidR="00312D47" w:rsidRPr="007A646F">
        <w:rPr>
          <w:rFonts w:ascii="Palatino Linotype" w:hAnsi="Palatino Linotype"/>
          <w:b/>
        </w:rPr>
        <w:t>uautitlán Izcalli</w:t>
      </w:r>
      <w:r w:rsidRPr="007A646F">
        <w:rPr>
          <w:rFonts w:ascii="Palatino Linotype" w:hAnsi="Palatino Linotype"/>
          <w:b/>
        </w:rPr>
        <w:t xml:space="preserve">, </w:t>
      </w:r>
      <w:r w:rsidRPr="007A646F">
        <w:rPr>
          <w:rFonts w:ascii="Palatino Linotype" w:hAnsi="Palatino Linotype"/>
        </w:rPr>
        <w:t xml:space="preserve">en lo sucesivo </w:t>
      </w:r>
      <w:r w:rsidRPr="007A646F">
        <w:rPr>
          <w:rFonts w:ascii="Palatino Linotype" w:hAnsi="Palatino Linotype"/>
          <w:b/>
        </w:rPr>
        <w:t>EL SUJETO OBLIGADO</w:t>
      </w:r>
      <w:r w:rsidRPr="007A646F">
        <w:rPr>
          <w:rFonts w:ascii="Palatino Linotype" w:hAnsi="Palatino Linotype"/>
        </w:rPr>
        <w:t xml:space="preserve">, se procede a dictar la presente resolución con base en lo siguiente: </w:t>
      </w:r>
    </w:p>
    <w:p w:rsidR="00457BB8" w:rsidRPr="007A646F" w:rsidRDefault="00457BB8" w:rsidP="00B9215F">
      <w:pPr>
        <w:jc w:val="center"/>
        <w:rPr>
          <w:rFonts w:ascii="Palatino Linotype" w:hAnsi="Palatino Linotype"/>
        </w:rPr>
      </w:pPr>
    </w:p>
    <w:p w:rsidR="00457BB8" w:rsidRPr="007A646F" w:rsidRDefault="00457BB8" w:rsidP="00B9215F">
      <w:pPr>
        <w:jc w:val="center"/>
        <w:rPr>
          <w:rFonts w:ascii="Palatino Linotype" w:hAnsi="Palatino Linotype"/>
          <w:b/>
          <w:bCs/>
          <w:spacing w:val="40"/>
          <w:sz w:val="28"/>
        </w:rPr>
      </w:pPr>
      <w:r w:rsidRPr="007A646F">
        <w:rPr>
          <w:rFonts w:ascii="Palatino Linotype" w:hAnsi="Palatino Linotype"/>
          <w:b/>
          <w:bCs/>
          <w:spacing w:val="40"/>
          <w:sz w:val="28"/>
        </w:rPr>
        <w:t>RESULTANDO</w:t>
      </w:r>
    </w:p>
    <w:p w:rsidR="00457BB8" w:rsidRPr="007A646F" w:rsidRDefault="00457BB8" w:rsidP="00B9215F">
      <w:pPr>
        <w:jc w:val="center"/>
        <w:rPr>
          <w:rFonts w:ascii="Palatino Linotype" w:hAnsi="Palatino Linotype"/>
          <w:b/>
          <w:bCs/>
          <w:spacing w:val="40"/>
        </w:rPr>
      </w:pPr>
    </w:p>
    <w:p w:rsidR="00457BB8" w:rsidRPr="007A646F" w:rsidRDefault="00457BB8" w:rsidP="00B9215F">
      <w:pPr>
        <w:spacing w:line="360" w:lineRule="auto"/>
        <w:jc w:val="both"/>
        <w:rPr>
          <w:rFonts w:ascii="Palatino Linotype" w:hAnsi="Palatino Linotype" w:cs="Arial"/>
          <w:b/>
          <w:bCs/>
          <w:lang w:val="es-ES"/>
        </w:rPr>
      </w:pPr>
      <w:r w:rsidRPr="007A646F">
        <w:rPr>
          <w:rFonts w:ascii="Palatino Linotype" w:hAnsi="Palatino Linotype"/>
          <w:b/>
          <w:sz w:val="28"/>
          <w:szCs w:val="28"/>
        </w:rPr>
        <w:t xml:space="preserve">I. </w:t>
      </w:r>
      <w:r w:rsidRPr="007A646F">
        <w:rPr>
          <w:rFonts w:ascii="Palatino Linotype" w:hAnsi="Palatino Linotype" w:cs="Arial"/>
        </w:rPr>
        <w:t xml:space="preserve">En </w:t>
      </w:r>
      <w:r w:rsidRPr="007A646F">
        <w:rPr>
          <w:rFonts w:ascii="Palatino Linotype" w:hAnsi="Palatino Linotype" w:cs="Arial"/>
          <w:lang w:val="es-ES"/>
        </w:rPr>
        <w:t>fecha</w:t>
      </w:r>
      <w:r w:rsidRPr="007A646F">
        <w:rPr>
          <w:rFonts w:ascii="Palatino Linotype" w:hAnsi="Palatino Linotype"/>
          <w:lang w:val="es-ES"/>
        </w:rPr>
        <w:t xml:space="preserve"> </w:t>
      </w:r>
      <w:r w:rsidR="00312D47" w:rsidRPr="007A646F">
        <w:rPr>
          <w:rFonts w:ascii="Palatino Linotype" w:hAnsi="Palatino Linotype" w:cs="Arial"/>
          <w:lang w:val="es-ES"/>
        </w:rPr>
        <w:t xml:space="preserve">dieciocho </w:t>
      </w:r>
      <w:r w:rsidR="00F621F3" w:rsidRPr="007A646F">
        <w:rPr>
          <w:rFonts w:ascii="Palatino Linotype" w:hAnsi="Palatino Linotype" w:cs="Arial"/>
          <w:lang w:val="es-ES"/>
        </w:rPr>
        <w:t xml:space="preserve">de </w:t>
      </w:r>
      <w:r w:rsidR="00312D47" w:rsidRPr="007A646F">
        <w:rPr>
          <w:rFonts w:ascii="Palatino Linotype" w:hAnsi="Palatino Linotype" w:cs="Arial"/>
          <w:lang w:val="es-ES"/>
        </w:rPr>
        <w:t xml:space="preserve">febrero </w:t>
      </w:r>
      <w:r w:rsidRPr="007A646F">
        <w:rPr>
          <w:rFonts w:ascii="Palatino Linotype" w:hAnsi="Palatino Linotype" w:cs="Arial"/>
          <w:lang w:val="es-ES"/>
        </w:rPr>
        <w:t>de dos mil veinte</w:t>
      </w:r>
      <w:r w:rsidRPr="007A646F">
        <w:rPr>
          <w:rFonts w:ascii="Palatino Linotype" w:hAnsi="Palatino Linotype"/>
          <w:lang w:val="es-ES"/>
        </w:rPr>
        <w:t xml:space="preserve">, </w:t>
      </w:r>
      <w:r w:rsidR="002E5083" w:rsidRPr="007A646F">
        <w:rPr>
          <w:rFonts w:ascii="Palatino Linotype" w:hAnsi="Palatino Linotype"/>
          <w:b/>
          <w:lang w:val="es-ES"/>
        </w:rPr>
        <w:t>EL</w:t>
      </w:r>
      <w:r w:rsidRPr="007A646F">
        <w:rPr>
          <w:rFonts w:ascii="Palatino Linotype" w:hAnsi="Palatino Linotype"/>
          <w:b/>
          <w:lang w:val="es-ES"/>
        </w:rPr>
        <w:t xml:space="preserve"> RECURRENTE</w:t>
      </w:r>
      <w:r w:rsidRPr="007A646F">
        <w:rPr>
          <w:rFonts w:ascii="Palatino Linotype" w:hAnsi="Palatino Linotype" w:cs="Arial"/>
          <w:lang w:val="es-ES"/>
        </w:rPr>
        <w:t xml:space="preserve"> </w:t>
      </w:r>
      <w:r w:rsidRPr="007A646F">
        <w:rPr>
          <w:rFonts w:ascii="Palatino Linotype" w:hAnsi="Palatino Linotype" w:cs="Arial"/>
        </w:rPr>
        <w:t xml:space="preserve">presentó a través del Sistema de Acceso a la Información Mexiquense, en lo subsecuente </w:t>
      </w:r>
      <w:r w:rsidRPr="007A646F">
        <w:rPr>
          <w:rFonts w:ascii="Palatino Linotype" w:hAnsi="Palatino Linotype" w:cs="Arial"/>
          <w:b/>
        </w:rPr>
        <w:t>EL SAIMEX</w:t>
      </w:r>
      <w:r w:rsidRPr="007A646F">
        <w:rPr>
          <w:rFonts w:ascii="Palatino Linotype" w:hAnsi="Palatino Linotype" w:cs="Arial"/>
        </w:rPr>
        <w:t xml:space="preserve"> ante </w:t>
      </w:r>
      <w:r w:rsidRPr="007A646F">
        <w:rPr>
          <w:rFonts w:ascii="Palatino Linotype" w:hAnsi="Palatino Linotype" w:cs="Arial"/>
          <w:b/>
        </w:rPr>
        <w:t>EL SUJETO OBLIGADO</w:t>
      </w:r>
      <w:r w:rsidRPr="007A646F">
        <w:rPr>
          <w:rFonts w:ascii="Palatino Linotype" w:hAnsi="Palatino Linotype" w:cs="Arial"/>
          <w:lang w:val="es-ES"/>
        </w:rPr>
        <w:t xml:space="preserve">, la solicitud de acceso a la información pública, a la que se le asignó el número de expediente </w:t>
      </w:r>
      <w:r w:rsidRPr="007A646F">
        <w:rPr>
          <w:rFonts w:ascii="Palatino Linotype" w:hAnsi="Palatino Linotype" w:cs="Arial"/>
          <w:b/>
        </w:rPr>
        <w:t>00</w:t>
      </w:r>
      <w:r w:rsidR="00312D47" w:rsidRPr="007A646F">
        <w:rPr>
          <w:rFonts w:ascii="Palatino Linotype" w:hAnsi="Palatino Linotype" w:cs="Arial"/>
          <w:b/>
        </w:rPr>
        <w:t>078</w:t>
      </w:r>
      <w:r w:rsidRPr="007A646F">
        <w:rPr>
          <w:rFonts w:ascii="Palatino Linotype" w:hAnsi="Palatino Linotype" w:cs="Arial"/>
          <w:b/>
        </w:rPr>
        <w:t>/</w:t>
      </w:r>
      <w:r w:rsidR="00F621F3" w:rsidRPr="007A646F">
        <w:rPr>
          <w:rFonts w:ascii="Palatino Linotype" w:hAnsi="Palatino Linotype" w:cs="Arial"/>
          <w:b/>
        </w:rPr>
        <w:t>C</w:t>
      </w:r>
      <w:r w:rsidR="00312D47" w:rsidRPr="007A646F">
        <w:rPr>
          <w:rFonts w:ascii="Palatino Linotype" w:hAnsi="Palatino Linotype" w:cs="Arial"/>
          <w:b/>
        </w:rPr>
        <w:t>UAUTIZC</w:t>
      </w:r>
      <w:r w:rsidRPr="007A646F">
        <w:rPr>
          <w:rFonts w:ascii="Palatino Linotype" w:hAnsi="Palatino Linotype" w:cs="Arial"/>
          <w:b/>
        </w:rPr>
        <w:t>/IP/2020</w:t>
      </w:r>
      <w:r w:rsidRPr="007A646F">
        <w:rPr>
          <w:rFonts w:ascii="Palatino Linotype" w:hAnsi="Palatino Linotype" w:cs="Arial"/>
          <w:lang w:val="es-ES"/>
        </w:rPr>
        <w:t>, mediante la cual solicitó:</w:t>
      </w:r>
    </w:p>
    <w:p w:rsidR="00457BB8" w:rsidRPr="007A646F" w:rsidRDefault="00457BB8" w:rsidP="00B9215F">
      <w:pPr>
        <w:tabs>
          <w:tab w:val="left" w:pos="851"/>
        </w:tabs>
        <w:ind w:left="851" w:right="901"/>
        <w:jc w:val="both"/>
        <w:rPr>
          <w:rFonts w:ascii="Palatino Linotype" w:hAnsi="Palatino Linotype" w:cs="Arial"/>
          <w:i/>
          <w:sz w:val="22"/>
          <w:szCs w:val="22"/>
        </w:rPr>
      </w:pPr>
    </w:p>
    <w:p w:rsidR="00457BB8" w:rsidRPr="007A646F" w:rsidRDefault="00457BB8" w:rsidP="00B9215F">
      <w:pPr>
        <w:tabs>
          <w:tab w:val="left" w:pos="851"/>
        </w:tabs>
        <w:ind w:left="851" w:right="901"/>
        <w:jc w:val="both"/>
        <w:rPr>
          <w:rFonts w:ascii="Palatino Linotype" w:hAnsi="Palatino Linotype" w:cs="Arial"/>
          <w:i/>
          <w:sz w:val="22"/>
          <w:szCs w:val="22"/>
        </w:rPr>
      </w:pPr>
      <w:r w:rsidRPr="007A646F">
        <w:rPr>
          <w:rFonts w:ascii="Palatino Linotype" w:hAnsi="Palatino Linotype" w:cs="Arial"/>
          <w:i/>
          <w:sz w:val="22"/>
          <w:szCs w:val="22"/>
        </w:rPr>
        <w:t>“</w:t>
      </w:r>
      <w:r w:rsidR="005A0A15" w:rsidRPr="007A646F">
        <w:rPr>
          <w:rFonts w:ascii="Palatino Linotype" w:hAnsi="Palatino Linotype" w:cs="Arial"/>
          <w:i/>
          <w:sz w:val="22"/>
          <w:szCs w:val="22"/>
        </w:rPr>
        <w:t>Información sobre acciones de atención y seguimiento de la alerta de violencia de género del año 2019 a la fecha, se detalla con una guía de preguntas que solicito responda.</w:t>
      </w:r>
      <w:r w:rsidRPr="007A646F">
        <w:rPr>
          <w:rFonts w:ascii="Palatino Linotype" w:hAnsi="Palatino Linotype" w:cs="Arial"/>
          <w:i/>
          <w:sz w:val="22"/>
          <w:szCs w:val="22"/>
        </w:rPr>
        <w:t>” (Sic)</w:t>
      </w:r>
    </w:p>
    <w:p w:rsidR="00457BB8" w:rsidRPr="007A646F" w:rsidRDefault="00457BB8" w:rsidP="00B9215F">
      <w:pPr>
        <w:tabs>
          <w:tab w:val="left" w:pos="851"/>
        </w:tabs>
        <w:ind w:right="901"/>
        <w:jc w:val="both"/>
        <w:rPr>
          <w:rFonts w:ascii="Palatino Linotype" w:hAnsi="Palatino Linotype" w:cs="Arial"/>
          <w:i/>
          <w:sz w:val="22"/>
          <w:szCs w:val="22"/>
        </w:rPr>
      </w:pPr>
    </w:p>
    <w:p w:rsidR="005A0A15" w:rsidRPr="007A646F" w:rsidRDefault="005A0A15" w:rsidP="00B9215F">
      <w:pPr>
        <w:spacing w:line="360" w:lineRule="auto"/>
        <w:jc w:val="both"/>
        <w:rPr>
          <w:rFonts w:ascii="Palatino Linotype" w:hAnsi="Palatino Linotype"/>
          <w:noProof/>
          <w:color w:val="000000" w:themeColor="text1"/>
          <w:lang w:eastAsia="es-MX"/>
        </w:rPr>
      </w:pPr>
      <w:r w:rsidRPr="007A646F">
        <w:rPr>
          <w:rFonts w:ascii="Palatino Linotype" w:hAnsi="Palatino Linotype" w:cs="Arial"/>
          <w:color w:val="000000" w:themeColor="text1"/>
        </w:rPr>
        <w:t>Advirtiendo</w:t>
      </w:r>
      <w:r w:rsidRPr="007A646F">
        <w:rPr>
          <w:rFonts w:ascii="Palatino Linotype" w:hAnsi="Palatino Linotype"/>
          <w:color w:val="000000" w:themeColor="text1"/>
        </w:rPr>
        <w:t xml:space="preserve"> de dicha </w:t>
      </w:r>
      <w:r w:rsidRPr="007A646F">
        <w:rPr>
          <w:rFonts w:ascii="Palatino Linotype" w:hAnsi="Palatino Linotype" w:cs="Arial"/>
          <w:lang w:val="es-ES"/>
        </w:rPr>
        <w:t>solicitud</w:t>
      </w:r>
      <w:r w:rsidRPr="007A646F">
        <w:rPr>
          <w:rFonts w:ascii="Palatino Linotype" w:hAnsi="Palatino Linotype"/>
          <w:color w:val="000000" w:themeColor="text1"/>
        </w:rPr>
        <w:t xml:space="preserve">, que </w:t>
      </w:r>
      <w:r w:rsidRPr="007A646F">
        <w:rPr>
          <w:rFonts w:ascii="Palatino Linotype" w:hAnsi="Palatino Linotype" w:cs="Arial"/>
          <w:b/>
          <w:color w:val="000000" w:themeColor="text1"/>
        </w:rPr>
        <w:t>LA RECURRENTE</w:t>
      </w:r>
      <w:r w:rsidRPr="007A646F">
        <w:rPr>
          <w:rFonts w:ascii="Palatino Linotype" w:hAnsi="Palatino Linotype"/>
          <w:color w:val="000000" w:themeColor="text1"/>
        </w:rPr>
        <w:t xml:space="preserve"> acompañó el archivo </w:t>
      </w:r>
      <w:hyperlink r:id="rId8" w:tgtFrame="_blank" w:history="1">
        <w:proofErr w:type="spellStart"/>
        <w:r w:rsidRPr="007A646F">
          <w:rPr>
            <w:rFonts w:ascii="Palatino Linotype" w:hAnsi="Palatino Linotype" w:cs="Arial"/>
            <w:b/>
          </w:rPr>
          <w:t>Guión</w:t>
        </w:r>
        <w:proofErr w:type="spellEnd"/>
        <w:r w:rsidRPr="007A646F">
          <w:rPr>
            <w:rFonts w:ascii="Palatino Linotype" w:hAnsi="Palatino Linotype" w:cs="Arial"/>
            <w:b/>
          </w:rPr>
          <w:t xml:space="preserve"> de solicitudes de información municipal.docx, </w:t>
        </w:r>
      </w:hyperlink>
      <w:r w:rsidRPr="007A646F">
        <w:rPr>
          <w:rFonts w:ascii="Palatino Linotype" w:hAnsi="Palatino Linotype"/>
          <w:noProof/>
          <w:color w:val="000000" w:themeColor="text1"/>
          <w:lang w:eastAsia="es-MX"/>
        </w:rPr>
        <w:t xml:space="preserve">el cual de su contenido se advierte lo siguiente: </w:t>
      </w:r>
    </w:p>
    <w:p w:rsidR="005A0A15" w:rsidRPr="007A646F" w:rsidRDefault="005A0A15" w:rsidP="00B9215F">
      <w:pPr>
        <w:spacing w:line="360" w:lineRule="auto"/>
        <w:jc w:val="both"/>
        <w:rPr>
          <w:rFonts w:ascii="Palatino Linotype" w:hAnsi="Palatino Linotype" w:cs="Arial"/>
          <w:i/>
          <w:sz w:val="22"/>
          <w:szCs w:val="22"/>
        </w:rPr>
      </w:pPr>
    </w:p>
    <w:p w:rsidR="005A0A15" w:rsidRPr="007A646F" w:rsidRDefault="005A0A15" w:rsidP="00B9215F">
      <w:pPr>
        <w:jc w:val="center"/>
        <w:rPr>
          <w:rFonts w:ascii="Palatino Linotype" w:hAnsi="Palatino Linotype"/>
          <w:b/>
          <w:bCs/>
          <w:sz w:val="20"/>
          <w:szCs w:val="22"/>
        </w:rPr>
      </w:pPr>
      <w:r w:rsidRPr="007A646F">
        <w:rPr>
          <w:rFonts w:ascii="Palatino Linotype" w:hAnsi="Palatino Linotype"/>
          <w:b/>
          <w:bCs/>
          <w:sz w:val="20"/>
          <w:szCs w:val="22"/>
        </w:rPr>
        <w:lastRenderedPageBreak/>
        <w:t xml:space="preserve"> </w:t>
      </w:r>
      <w:r w:rsidRPr="007A646F">
        <w:rPr>
          <w:rFonts w:ascii="Palatino Linotype" w:hAnsi="Palatino Linotype"/>
          <w:bCs/>
          <w:sz w:val="20"/>
          <w:szCs w:val="22"/>
        </w:rPr>
        <w:t>“</w:t>
      </w:r>
      <w:proofErr w:type="spellStart"/>
      <w:r w:rsidRPr="007A646F">
        <w:rPr>
          <w:rFonts w:ascii="Palatino Linotype" w:hAnsi="Palatino Linotype"/>
          <w:b/>
          <w:bCs/>
          <w:sz w:val="20"/>
          <w:szCs w:val="22"/>
        </w:rPr>
        <w:t>Guión</w:t>
      </w:r>
      <w:proofErr w:type="spellEnd"/>
      <w:r w:rsidRPr="007A646F">
        <w:rPr>
          <w:rFonts w:ascii="Palatino Linotype" w:hAnsi="Palatino Linotype"/>
          <w:b/>
          <w:bCs/>
          <w:sz w:val="20"/>
          <w:szCs w:val="22"/>
        </w:rPr>
        <w:t xml:space="preserve"> de solicitudes de información municipal</w:t>
      </w:r>
    </w:p>
    <w:p w:rsidR="005A0A15" w:rsidRPr="007A646F" w:rsidRDefault="005A0A15" w:rsidP="00B9215F">
      <w:pPr>
        <w:jc w:val="center"/>
        <w:rPr>
          <w:rFonts w:ascii="Palatino Linotype" w:hAnsi="Palatino Linotype"/>
          <w:sz w:val="20"/>
          <w:szCs w:val="22"/>
        </w:rPr>
      </w:pPr>
      <w:r w:rsidRPr="007A646F">
        <w:rPr>
          <w:rFonts w:ascii="Palatino Linotype" w:hAnsi="Palatino Linotype"/>
          <w:sz w:val="20"/>
          <w:szCs w:val="22"/>
        </w:rPr>
        <w:t>Seguimiento a las medidas de prevención, seguridad y Justicia en el marco de la Declaratoria de Alerta de Violencia de Género contra las mujeres 2019-2020</w:t>
      </w:r>
    </w:p>
    <w:p w:rsidR="005A0A15" w:rsidRPr="007A646F" w:rsidRDefault="005A0A15" w:rsidP="00B9215F">
      <w:pPr>
        <w:jc w:val="center"/>
        <w:rPr>
          <w:rFonts w:ascii="Palatino Linotype" w:hAnsi="Palatino Linotype"/>
          <w:b/>
          <w:bCs/>
          <w:sz w:val="20"/>
          <w:szCs w:val="22"/>
        </w:rPr>
      </w:pPr>
    </w:p>
    <w:p w:rsidR="005A0A15" w:rsidRPr="007A646F" w:rsidRDefault="005A0A15" w:rsidP="00B9215F">
      <w:pPr>
        <w:pStyle w:val="Prrafodelista"/>
        <w:numPr>
          <w:ilvl w:val="0"/>
          <w:numId w:val="32"/>
        </w:numPr>
        <w:contextualSpacing/>
        <w:rPr>
          <w:rFonts w:ascii="Palatino Linotype" w:hAnsi="Palatino Linotype"/>
          <w:b/>
          <w:bCs/>
          <w:sz w:val="20"/>
          <w:szCs w:val="22"/>
        </w:rPr>
      </w:pPr>
      <w:r w:rsidRPr="007A646F">
        <w:rPr>
          <w:rFonts w:ascii="Palatino Linotype" w:hAnsi="Palatino Linotype"/>
          <w:b/>
          <w:bCs/>
          <w:sz w:val="20"/>
          <w:szCs w:val="22"/>
        </w:rPr>
        <w:t>Unidad (es), área (s) responsable(s) de la implementación de las acciones de la AVGEM</w:t>
      </w:r>
    </w:p>
    <w:tbl>
      <w:tblPr>
        <w:tblStyle w:val="Tablaconcuadrcula"/>
        <w:tblW w:w="0" w:type="auto"/>
        <w:tblInd w:w="360" w:type="dxa"/>
        <w:tblLook w:val="04A0" w:firstRow="1" w:lastRow="0" w:firstColumn="1" w:lastColumn="0" w:noHBand="0" w:noVBand="1"/>
      </w:tblPr>
      <w:tblGrid>
        <w:gridCol w:w="2942"/>
        <w:gridCol w:w="2943"/>
        <w:gridCol w:w="2943"/>
      </w:tblGrid>
      <w:tr w:rsidR="005A0A15" w:rsidRPr="007A646F">
        <w:tc>
          <w:tcPr>
            <w:tcW w:w="2942" w:type="dxa"/>
          </w:tcPr>
          <w:p w:rsidR="005A0A15" w:rsidRPr="007A646F" w:rsidRDefault="005A0A15" w:rsidP="00B9215F">
            <w:pPr>
              <w:rPr>
                <w:rFonts w:ascii="Palatino Linotype" w:hAnsi="Palatino Linotype"/>
                <w:sz w:val="20"/>
              </w:rPr>
            </w:pPr>
            <w:r w:rsidRPr="007A646F">
              <w:rPr>
                <w:rFonts w:ascii="Palatino Linotype" w:hAnsi="Palatino Linotype"/>
                <w:sz w:val="20"/>
              </w:rPr>
              <w:t>Solicitud</w:t>
            </w:r>
          </w:p>
        </w:tc>
        <w:tc>
          <w:tcPr>
            <w:tcW w:w="2943" w:type="dxa"/>
          </w:tcPr>
          <w:p w:rsidR="005A0A15" w:rsidRPr="007A646F" w:rsidRDefault="005A0A15" w:rsidP="00B9215F">
            <w:pPr>
              <w:rPr>
                <w:rFonts w:ascii="Palatino Linotype" w:hAnsi="Palatino Linotype"/>
                <w:sz w:val="20"/>
              </w:rPr>
            </w:pPr>
            <w:r w:rsidRPr="007A646F">
              <w:rPr>
                <w:rFonts w:ascii="Palatino Linotype" w:hAnsi="Palatino Linotype"/>
                <w:sz w:val="20"/>
              </w:rPr>
              <w:t>A quien va dirigido</w:t>
            </w:r>
          </w:p>
        </w:tc>
        <w:tc>
          <w:tcPr>
            <w:tcW w:w="2943" w:type="dxa"/>
          </w:tcPr>
          <w:p w:rsidR="005A0A15" w:rsidRPr="007A646F" w:rsidRDefault="005A0A15" w:rsidP="00B9215F">
            <w:pPr>
              <w:rPr>
                <w:rFonts w:ascii="Palatino Linotype" w:hAnsi="Palatino Linotype"/>
                <w:sz w:val="20"/>
              </w:rPr>
            </w:pPr>
            <w:r w:rsidRPr="007A646F">
              <w:rPr>
                <w:rFonts w:ascii="Palatino Linotype" w:hAnsi="Palatino Linotype"/>
                <w:sz w:val="20"/>
              </w:rPr>
              <w:t>Observaciones</w:t>
            </w:r>
          </w:p>
        </w:tc>
      </w:tr>
      <w:tr w:rsidR="005A0A15" w:rsidRPr="007A646F">
        <w:tc>
          <w:tcPr>
            <w:tcW w:w="2942" w:type="dxa"/>
          </w:tcPr>
          <w:p w:rsidR="005A0A15" w:rsidRPr="007A646F" w:rsidRDefault="005A0A15" w:rsidP="00B9215F">
            <w:pPr>
              <w:ind w:left="-46" w:firstLine="46"/>
              <w:jc w:val="both"/>
              <w:rPr>
                <w:rFonts w:ascii="Palatino Linotype" w:hAnsi="Palatino Linotype"/>
                <w:sz w:val="20"/>
              </w:rPr>
            </w:pPr>
            <w:r w:rsidRPr="007A646F">
              <w:rPr>
                <w:rFonts w:ascii="Palatino Linotype" w:hAnsi="Palatino Linotype"/>
                <w:sz w:val="20"/>
              </w:rPr>
              <w:t xml:space="preserve">Se solicita información de la persona encargada de dar seguimiento a la Declaratoria de Alerta de Violencia contra las Mujeres, en representación del o presidenta municipal. Se pide desagregar la información por nombre, edad, escolaridad, cargo, área o dependencia, perfil y experiencia en temas de violencia contra las mujeres. </w:t>
            </w:r>
          </w:p>
        </w:tc>
        <w:tc>
          <w:tcPr>
            <w:tcW w:w="2943" w:type="dxa"/>
          </w:tcPr>
          <w:p w:rsidR="005A0A15" w:rsidRPr="007A646F" w:rsidRDefault="005A0A15" w:rsidP="00B9215F">
            <w:pPr>
              <w:rPr>
                <w:rFonts w:ascii="Palatino Linotype" w:hAnsi="Palatino Linotype"/>
                <w:sz w:val="20"/>
              </w:rPr>
            </w:pPr>
          </w:p>
        </w:tc>
        <w:tc>
          <w:tcPr>
            <w:tcW w:w="2943" w:type="dxa"/>
          </w:tcPr>
          <w:p w:rsidR="005A0A15" w:rsidRPr="007A646F" w:rsidRDefault="005A0A15" w:rsidP="00B9215F">
            <w:pPr>
              <w:rPr>
                <w:rFonts w:ascii="Palatino Linotype" w:hAnsi="Palatino Linotype"/>
                <w:sz w:val="20"/>
              </w:rPr>
            </w:pPr>
          </w:p>
        </w:tc>
      </w:tr>
      <w:tr w:rsidR="005A0A15" w:rsidRPr="007A646F">
        <w:tc>
          <w:tcPr>
            <w:tcW w:w="2942" w:type="dxa"/>
          </w:tcPr>
          <w:p w:rsidR="005A0A15" w:rsidRPr="007A646F" w:rsidRDefault="005A0A15" w:rsidP="00B9215F">
            <w:pPr>
              <w:rPr>
                <w:rFonts w:ascii="Palatino Linotype" w:hAnsi="Palatino Linotype"/>
                <w:sz w:val="20"/>
              </w:rPr>
            </w:pPr>
            <w:r w:rsidRPr="007A646F">
              <w:rPr>
                <w:rFonts w:ascii="Palatino Linotype" w:hAnsi="Palatino Linotype"/>
                <w:sz w:val="20"/>
              </w:rPr>
              <w:t>Se solicita información de los programas para prevenir y atender la violencia contra las mujeres del Instituto Municipal de la Mujer</w:t>
            </w:r>
          </w:p>
        </w:tc>
        <w:tc>
          <w:tcPr>
            <w:tcW w:w="2943" w:type="dxa"/>
          </w:tcPr>
          <w:p w:rsidR="005A0A15" w:rsidRPr="007A646F" w:rsidRDefault="005A0A15" w:rsidP="00B9215F">
            <w:pPr>
              <w:rPr>
                <w:rFonts w:ascii="Palatino Linotype" w:hAnsi="Palatino Linotype"/>
                <w:sz w:val="20"/>
              </w:rPr>
            </w:pPr>
          </w:p>
        </w:tc>
        <w:tc>
          <w:tcPr>
            <w:tcW w:w="2943" w:type="dxa"/>
          </w:tcPr>
          <w:p w:rsidR="005A0A15" w:rsidRPr="007A646F" w:rsidRDefault="005A0A15" w:rsidP="00B9215F">
            <w:pPr>
              <w:rPr>
                <w:rFonts w:ascii="Palatino Linotype" w:hAnsi="Palatino Linotype"/>
                <w:sz w:val="20"/>
              </w:rPr>
            </w:pPr>
            <w:r w:rsidRPr="007A646F">
              <w:rPr>
                <w:rFonts w:ascii="Palatino Linotype" w:hAnsi="Palatino Linotype"/>
                <w:sz w:val="20"/>
              </w:rPr>
              <w:t xml:space="preserve">En caso de ser el MAM quien </w:t>
            </w:r>
            <w:proofErr w:type="spellStart"/>
            <w:r w:rsidRPr="007A646F">
              <w:rPr>
                <w:rFonts w:ascii="Palatino Linotype" w:hAnsi="Palatino Linotype"/>
                <w:sz w:val="20"/>
              </w:rPr>
              <w:t>de</w:t>
            </w:r>
            <w:proofErr w:type="spellEnd"/>
            <w:r w:rsidRPr="007A646F">
              <w:rPr>
                <w:rFonts w:ascii="Palatino Linotype" w:hAnsi="Palatino Linotype"/>
                <w:sz w:val="20"/>
              </w:rPr>
              <w:t xml:space="preserve"> seguimiento a la AVEGEM, si es otra área, anotar en la solicitud el nombre de la dependencia. </w:t>
            </w:r>
          </w:p>
        </w:tc>
      </w:tr>
      <w:tr w:rsidR="005A0A15" w:rsidRPr="007A646F">
        <w:tc>
          <w:tcPr>
            <w:tcW w:w="2942" w:type="dxa"/>
          </w:tcPr>
          <w:p w:rsidR="005A0A15" w:rsidRPr="007A646F" w:rsidRDefault="005A0A15" w:rsidP="00B9215F">
            <w:pPr>
              <w:rPr>
                <w:rFonts w:ascii="Palatino Linotype" w:hAnsi="Palatino Linotype"/>
                <w:sz w:val="20"/>
              </w:rPr>
            </w:pPr>
            <w:r w:rsidRPr="007A646F">
              <w:rPr>
                <w:rFonts w:ascii="Palatino Linotype" w:hAnsi="Palatino Linotype"/>
                <w:sz w:val="20"/>
              </w:rPr>
              <w:t xml:space="preserve">Se solicita información del organigrama de la MAM, cargo, perfil y experiencia de las personas que atienden mujeres en situación de violencia. </w:t>
            </w:r>
          </w:p>
        </w:tc>
        <w:tc>
          <w:tcPr>
            <w:tcW w:w="2943" w:type="dxa"/>
          </w:tcPr>
          <w:p w:rsidR="005A0A15" w:rsidRPr="007A646F" w:rsidRDefault="005A0A15" w:rsidP="00B9215F">
            <w:pPr>
              <w:rPr>
                <w:rFonts w:ascii="Palatino Linotype" w:hAnsi="Palatino Linotype"/>
                <w:sz w:val="20"/>
              </w:rPr>
            </w:pPr>
          </w:p>
        </w:tc>
        <w:tc>
          <w:tcPr>
            <w:tcW w:w="2943" w:type="dxa"/>
          </w:tcPr>
          <w:p w:rsidR="005A0A15" w:rsidRPr="007A646F" w:rsidRDefault="005A0A15" w:rsidP="00B9215F">
            <w:pPr>
              <w:rPr>
                <w:rFonts w:ascii="Palatino Linotype" w:hAnsi="Palatino Linotype"/>
                <w:sz w:val="20"/>
              </w:rPr>
            </w:pPr>
          </w:p>
        </w:tc>
      </w:tr>
    </w:tbl>
    <w:p w:rsidR="005A0A15" w:rsidRPr="007A646F" w:rsidRDefault="005A0A15" w:rsidP="00B9215F">
      <w:pPr>
        <w:ind w:left="360"/>
        <w:rPr>
          <w:rFonts w:ascii="Palatino Linotype" w:hAnsi="Palatino Linotype"/>
          <w:sz w:val="20"/>
          <w:szCs w:val="22"/>
        </w:rPr>
      </w:pPr>
    </w:p>
    <w:p w:rsidR="005A0A15" w:rsidRPr="007A646F" w:rsidRDefault="005A0A15" w:rsidP="00B9215F">
      <w:pPr>
        <w:ind w:left="360"/>
        <w:rPr>
          <w:rFonts w:ascii="Palatino Linotype" w:hAnsi="Palatino Linotype"/>
          <w:sz w:val="20"/>
          <w:szCs w:val="22"/>
        </w:rPr>
      </w:pPr>
    </w:p>
    <w:p w:rsidR="005A0A15" w:rsidRPr="007A646F" w:rsidRDefault="005A0A15" w:rsidP="00B9215F">
      <w:pPr>
        <w:pStyle w:val="Prrafodelista"/>
        <w:numPr>
          <w:ilvl w:val="0"/>
          <w:numId w:val="32"/>
        </w:numPr>
        <w:contextualSpacing/>
        <w:rPr>
          <w:rFonts w:ascii="Palatino Linotype" w:hAnsi="Palatino Linotype"/>
          <w:b/>
          <w:bCs/>
          <w:sz w:val="20"/>
          <w:szCs w:val="22"/>
        </w:rPr>
      </w:pPr>
      <w:r w:rsidRPr="007A646F">
        <w:rPr>
          <w:rFonts w:ascii="Palatino Linotype" w:hAnsi="Palatino Linotype"/>
          <w:b/>
          <w:bCs/>
          <w:sz w:val="20"/>
          <w:szCs w:val="22"/>
        </w:rPr>
        <w:t>Acciones implementadas en el municipio con AVGEM 2019-2020 (febrero)</w:t>
      </w:r>
    </w:p>
    <w:tbl>
      <w:tblPr>
        <w:tblStyle w:val="Tablaconcuadrcula"/>
        <w:tblW w:w="0" w:type="auto"/>
        <w:tblLook w:val="04A0" w:firstRow="1" w:lastRow="0" w:firstColumn="1" w:lastColumn="0" w:noHBand="0" w:noVBand="1"/>
      </w:tblPr>
      <w:tblGrid>
        <w:gridCol w:w="2941"/>
        <w:gridCol w:w="2941"/>
        <w:gridCol w:w="2946"/>
      </w:tblGrid>
      <w:tr w:rsidR="005A0A15" w:rsidRPr="007A646F">
        <w:tc>
          <w:tcPr>
            <w:tcW w:w="2941"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Solicitud </w:t>
            </w:r>
          </w:p>
        </w:tc>
        <w:tc>
          <w:tcPr>
            <w:tcW w:w="2941"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A quien va dirigida (instancia) </w:t>
            </w:r>
          </w:p>
        </w:tc>
        <w:tc>
          <w:tcPr>
            <w:tcW w:w="2946"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Observaciones </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Informe o diagnóstico sobre tipos y modalidades de violencia contra las mujeres </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Instituto Municipal de la Mujer</w:t>
            </w: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Secretaría de Seguridad Ciudadana</w:t>
            </w:r>
          </w:p>
        </w:tc>
        <w:tc>
          <w:tcPr>
            <w:tcW w:w="2946" w:type="dxa"/>
          </w:tcPr>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color w:val="000000" w:themeColor="text1"/>
                <w:sz w:val="20"/>
              </w:rPr>
              <w:t xml:space="preserve">Se requieren informes que el municipio tenga respecto a la situación de violencia contra las mujeres en el municipio que brinden datos cuantitativos y preferentemente cualitativos.   </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Informe de actividades del Sistema Municipal para la </w:t>
            </w:r>
            <w:r w:rsidRPr="007A646F">
              <w:rPr>
                <w:rFonts w:ascii="Palatino Linotype" w:hAnsi="Palatino Linotype"/>
                <w:color w:val="000000" w:themeColor="text1"/>
                <w:sz w:val="20"/>
              </w:rPr>
              <w:lastRenderedPageBreak/>
              <w:t>Igualdad de Trato y Oportunidades entre Hombres y Mujeres y para Prevenir, Atender, Sancionar y Erradicar la Violencia contra las Mujeres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lastRenderedPageBreak/>
              <w:t>Ayuntamiento</w:t>
            </w:r>
          </w:p>
        </w:tc>
        <w:tc>
          <w:tcPr>
            <w:tcW w:w="2946" w:type="dxa"/>
          </w:tcPr>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color w:val="000000" w:themeColor="text1"/>
                <w:sz w:val="20"/>
              </w:rPr>
              <w:t xml:space="preserve">Cuando se tomó protesta a las y los integrantes del sistema; </w:t>
            </w:r>
            <w:r w:rsidRPr="007A646F">
              <w:rPr>
                <w:rFonts w:ascii="Palatino Linotype" w:hAnsi="Palatino Linotype"/>
                <w:color w:val="000000" w:themeColor="text1"/>
                <w:sz w:val="20"/>
              </w:rPr>
              <w:lastRenderedPageBreak/>
              <w:t>quienes lo conforman; cuáles son los programas y actividades que lleva a cabo el Sistema Municipal, qué resultados han obtenido durante el 2019.</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lastRenderedPageBreak/>
              <w:t>Fecha de conformación de la (s) comisiones de igualdad y violencia contra las mujeres</w:t>
            </w: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Informe de actividades que realizan las comisiones </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color w:val="000000" w:themeColor="text1"/>
                <w:sz w:val="20"/>
              </w:rPr>
              <w:t>Indagar en las actividades, informes, programas que realiza la comisión de violencia de género contra las mujeres e igualdad de género o en su caso, conocer si existe o no dicha comisión.</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 solicita información sobre las reformas al Bando Municipal y Buen Gobierno que ha realizado la presente administración para dar seguimiento a la Declaratoria de Alerta de Violencia de Género contra las Mujeres.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sz w:val="20"/>
              </w:rPr>
              <w:t>Se solicita información respecto a la implementación y evaluación de políticas municipales en materia de igualdad de trato y oportunidades entre mujeres y hombres, en concordancia con la Política Estatal y Nacional durante el 2019.</w:t>
            </w:r>
          </w:p>
        </w:tc>
        <w:tc>
          <w:tcPr>
            <w:tcW w:w="2941" w:type="dxa"/>
          </w:tcPr>
          <w:p w:rsidR="005A0A15" w:rsidRPr="007A646F" w:rsidRDefault="005A0A15" w:rsidP="00B9215F">
            <w:pPr>
              <w:rPr>
                <w:rFonts w:ascii="Palatino Linotype" w:hAnsi="Palatino Linotype"/>
                <w:color w:val="000000" w:themeColor="text1"/>
                <w:sz w:val="20"/>
              </w:rPr>
            </w:pP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rPr>
                <w:rFonts w:ascii="Palatino Linotype" w:hAnsi="Palatino Linotype"/>
                <w:sz w:val="20"/>
              </w:rPr>
            </w:pPr>
            <w:r w:rsidRPr="007A646F">
              <w:rPr>
                <w:rFonts w:ascii="Palatino Linotype" w:hAnsi="Palatino Linotype"/>
                <w:b/>
                <w:bCs/>
                <w:sz w:val="20"/>
              </w:rPr>
              <w:t>Se solicita información sobre la creación, operación</w:t>
            </w:r>
            <w:r w:rsidRPr="007A646F">
              <w:rPr>
                <w:rFonts w:ascii="Palatino Linotype" w:hAnsi="Palatino Linotype"/>
                <w:sz w:val="20"/>
              </w:rPr>
              <w:t xml:space="preserve"> y actualización de la </w:t>
            </w:r>
            <w:r w:rsidRPr="007A646F">
              <w:rPr>
                <w:rFonts w:ascii="Palatino Linotype" w:hAnsi="Palatino Linotype"/>
                <w:b/>
                <w:sz w:val="20"/>
              </w:rPr>
              <w:t>página web</w:t>
            </w:r>
            <w:r w:rsidRPr="007A646F">
              <w:rPr>
                <w:rFonts w:ascii="Palatino Linotype" w:hAnsi="Palatino Linotype"/>
                <w:sz w:val="20"/>
              </w:rPr>
              <w:t xml:space="preserve"> de acceso público, donde se brinde información sobre los servicios que se ofrecen por parte del municipio en materia de violencia de género y atención a víctimas.</w:t>
            </w:r>
          </w:p>
        </w:tc>
        <w:tc>
          <w:tcPr>
            <w:tcW w:w="2941" w:type="dxa"/>
          </w:tcPr>
          <w:p w:rsidR="005A0A15" w:rsidRPr="007A646F" w:rsidRDefault="005A0A15" w:rsidP="00B9215F">
            <w:pPr>
              <w:rPr>
                <w:rFonts w:ascii="Palatino Linotype" w:hAnsi="Palatino Linotype"/>
                <w:color w:val="000000" w:themeColor="text1"/>
                <w:sz w:val="20"/>
              </w:rPr>
            </w:pPr>
          </w:p>
        </w:tc>
        <w:tc>
          <w:tcPr>
            <w:tcW w:w="2946" w:type="dxa"/>
          </w:tcPr>
          <w:p w:rsidR="005A0A15" w:rsidRPr="007A646F" w:rsidRDefault="005A0A15" w:rsidP="00B9215F">
            <w:pPr>
              <w:jc w:val="both"/>
              <w:rPr>
                <w:rFonts w:ascii="Palatino Linotype" w:hAnsi="Palatino Linotype"/>
                <w:color w:val="000000" w:themeColor="text1"/>
                <w:sz w:val="20"/>
              </w:rPr>
            </w:pPr>
          </w:p>
        </w:tc>
      </w:tr>
    </w:tbl>
    <w:p w:rsidR="000B1715" w:rsidRPr="007A646F" w:rsidRDefault="000B1715" w:rsidP="00B9215F">
      <w:pPr>
        <w:pStyle w:val="Prrafodelista"/>
        <w:ind w:left="1571"/>
        <w:contextualSpacing/>
        <w:rPr>
          <w:rFonts w:ascii="Palatino Linotype" w:hAnsi="Palatino Linotype"/>
          <w:b/>
          <w:bCs/>
          <w:sz w:val="20"/>
          <w:szCs w:val="22"/>
        </w:rPr>
      </w:pPr>
    </w:p>
    <w:p w:rsidR="005A0A15" w:rsidRPr="007A646F" w:rsidRDefault="005A0A15" w:rsidP="00B9215F">
      <w:pPr>
        <w:pStyle w:val="Prrafodelista"/>
        <w:numPr>
          <w:ilvl w:val="0"/>
          <w:numId w:val="32"/>
        </w:numPr>
        <w:contextualSpacing/>
        <w:rPr>
          <w:rFonts w:ascii="Palatino Linotype" w:hAnsi="Palatino Linotype"/>
          <w:b/>
          <w:bCs/>
          <w:sz w:val="20"/>
          <w:szCs w:val="22"/>
        </w:rPr>
      </w:pPr>
      <w:r w:rsidRPr="007A646F">
        <w:rPr>
          <w:rFonts w:ascii="Palatino Linotype" w:hAnsi="Palatino Linotype"/>
          <w:b/>
          <w:bCs/>
          <w:sz w:val="20"/>
          <w:szCs w:val="22"/>
        </w:rPr>
        <w:t>Programas específicos para la prevención de las violencias contra las mujeres</w:t>
      </w:r>
    </w:p>
    <w:tbl>
      <w:tblPr>
        <w:tblStyle w:val="Tablaconcuadrcula"/>
        <w:tblW w:w="0" w:type="auto"/>
        <w:tblLook w:val="04A0" w:firstRow="1" w:lastRow="0" w:firstColumn="1" w:lastColumn="0" w:noHBand="0" w:noVBand="1"/>
      </w:tblPr>
      <w:tblGrid>
        <w:gridCol w:w="2941"/>
        <w:gridCol w:w="2941"/>
        <w:gridCol w:w="2946"/>
      </w:tblGrid>
      <w:tr w:rsidR="005A0A15" w:rsidRPr="007A646F">
        <w:tc>
          <w:tcPr>
            <w:tcW w:w="2941"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Solicitud </w:t>
            </w:r>
          </w:p>
        </w:tc>
        <w:tc>
          <w:tcPr>
            <w:tcW w:w="2941"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A quien va dirigida (instancia) </w:t>
            </w:r>
          </w:p>
        </w:tc>
        <w:tc>
          <w:tcPr>
            <w:tcW w:w="2946"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Observaciones </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lastRenderedPageBreak/>
              <w:t>Se solicita el programa o los programas para prevenir las violencias contra las mujeres en el marco de la AVEGEM</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Instituto Municipal de la Mujer</w:t>
            </w: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Secretaría de Seguridad Ciudadana</w:t>
            </w: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Sistema Municipal DIF</w:t>
            </w:r>
          </w:p>
        </w:tc>
        <w:tc>
          <w:tcPr>
            <w:tcW w:w="2946" w:type="dxa"/>
          </w:tcPr>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color w:val="000000" w:themeColor="text1"/>
                <w:sz w:val="20"/>
              </w:rPr>
              <w:t>Indagar en las acciones de prevención que han realizado las dependencias encargadas de atender AVEGEM</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 solicita información de las acciones específicas implementadas para prevenir las violencias contra las mujeres en el marco de la AVEGEM</w:t>
            </w: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 solicita desagregar la información de las beneficiarias por edad, sexo, escolaridad, situación conyugal o estado civil</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color w:val="000000" w:themeColor="text1"/>
                <w:sz w:val="20"/>
              </w:rPr>
              <w:t>Cuando se tomó protesta a las y los integrantes del sistema; quienes lo conforman; cuáles son los programas y actividades que lleva a cabo el Sistema Municipal, qué resultados han obtenido durante el 2019.</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Se solicita información de cuándo se creó la Unidad de Igualdad de Género y Erradicación de la Violencia, quienes la integran, cuál es el perfil de sus integrantes, qué acciones ha implementado la Unidad para </w:t>
            </w:r>
            <w:proofErr w:type="spellStart"/>
            <w:r w:rsidRPr="007A646F">
              <w:rPr>
                <w:rFonts w:ascii="Palatino Linotype" w:hAnsi="Palatino Linotype"/>
                <w:color w:val="000000" w:themeColor="text1"/>
                <w:sz w:val="20"/>
              </w:rPr>
              <w:t>transversalizar</w:t>
            </w:r>
            <w:proofErr w:type="spellEnd"/>
            <w:r w:rsidRPr="007A646F">
              <w:rPr>
                <w:rFonts w:ascii="Palatino Linotype" w:hAnsi="Palatino Linotype"/>
                <w:color w:val="000000" w:themeColor="text1"/>
                <w:sz w:val="20"/>
              </w:rPr>
              <w:t xml:space="preserve"> la perspectiva de género, a partir de su creación. </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color w:val="000000" w:themeColor="text1"/>
                <w:sz w:val="20"/>
              </w:rPr>
              <w:t>Indagar en las actividades, informes, programas que realiza la comisión de violencia de género contra las mujeres e igualdad de género o en su caso, conocer si existe o no dicha comisión.</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 solicita información de la persona(s)  y su área que reportan al Banco de Datos del Estado de México sobre casos de Violencia contra las Mujeres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Se solicita </w:t>
            </w:r>
            <w:proofErr w:type="gramStart"/>
            <w:r w:rsidRPr="007A646F">
              <w:rPr>
                <w:rFonts w:ascii="Palatino Linotype" w:hAnsi="Palatino Linotype"/>
                <w:color w:val="000000" w:themeColor="text1"/>
                <w:sz w:val="20"/>
              </w:rPr>
              <w:t>información  y</w:t>
            </w:r>
            <w:proofErr w:type="gramEnd"/>
            <w:r w:rsidRPr="007A646F">
              <w:rPr>
                <w:rFonts w:ascii="Palatino Linotype" w:hAnsi="Palatino Linotype"/>
                <w:color w:val="000000" w:themeColor="text1"/>
                <w:sz w:val="20"/>
              </w:rPr>
              <w:t xml:space="preserve"> nombre de las campañas permanentes encaminadas a la prevención de las violencias de género contra las mujeres con el fin de dar a conocer los derechos humanos de </w:t>
            </w:r>
            <w:r w:rsidRPr="007A646F">
              <w:rPr>
                <w:rFonts w:ascii="Palatino Linotype" w:hAnsi="Palatino Linotype"/>
                <w:color w:val="000000" w:themeColor="text1"/>
                <w:sz w:val="20"/>
              </w:rPr>
              <w:lastRenderedPageBreak/>
              <w:t>mujeres, niñas y adolescentes y el derecho a una vida libre de violencia.</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lastRenderedPageBreak/>
              <w:t>Ayuntamiento</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jc w:val="both"/>
              <w:rPr>
                <w:rFonts w:ascii="Palatino Linotype" w:hAnsi="Palatino Linotype"/>
                <w:sz w:val="20"/>
              </w:rPr>
            </w:pPr>
            <w:r w:rsidRPr="007A646F">
              <w:rPr>
                <w:rFonts w:ascii="Palatino Linotype" w:hAnsi="Palatino Linotype"/>
                <w:sz w:val="20"/>
              </w:rPr>
              <w:lastRenderedPageBreak/>
              <w:t xml:space="preserve">Se solicita información de los </w:t>
            </w:r>
            <w:r w:rsidRPr="007A646F">
              <w:rPr>
                <w:rFonts w:ascii="Palatino Linotype" w:hAnsi="Palatino Linotype"/>
                <w:b/>
                <w:sz w:val="20"/>
              </w:rPr>
              <w:t>programas de capacitación dirigidos a las y los servidores públicos municipales en materia de prevención, atención, sanción y erradicación de la violencia de género</w:t>
            </w:r>
            <w:r w:rsidRPr="007A646F">
              <w:rPr>
                <w:rFonts w:ascii="Palatino Linotype" w:hAnsi="Palatino Linotype"/>
                <w:sz w:val="20"/>
              </w:rPr>
              <w:t>, así como en temas de igualdad, equidad y perspectiva de género, durante el 2019 y febrero de 2020.</w:t>
            </w: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sz w:val="20"/>
              </w:rPr>
              <w:t>Especificar temas de capacitación, periodicidad, horas de capacitación, quien(es) impartió/impartieron las capacitaciones, presupuesto destinado para las capacitaciones, áreas de procedencia del personal capacitado y resultados obtenidos.</w:t>
            </w:r>
          </w:p>
        </w:tc>
        <w:tc>
          <w:tcPr>
            <w:tcW w:w="2941" w:type="dxa"/>
          </w:tcPr>
          <w:p w:rsidR="005A0A15" w:rsidRPr="007A646F" w:rsidRDefault="005A0A15" w:rsidP="00B9215F">
            <w:pPr>
              <w:rPr>
                <w:rFonts w:ascii="Palatino Linotype" w:hAnsi="Palatino Linotype"/>
                <w:color w:val="000000" w:themeColor="text1"/>
                <w:sz w:val="20"/>
              </w:rPr>
            </w:pP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Se solicita información de las redes comunitarias, ciudadanas que operan en el municipio con AVEGEM, se pide desagregar la información por nombre de la red, número de integrantes, las acciones que ha realizado la instancia encargada de dar seguimiento a la AVEGEM con las redes y, finalmente cuántas redes se han creado desde que inició la administración. </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p>
        </w:tc>
      </w:tr>
    </w:tbl>
    <w:p w:rsidR="005A0A15" w:rsidRPr="007A646F" w:rsidRDefault="005A0A15" w:rsidP="00B9215F">
      <w:pPr>
        <w:rPr>
          <w:rFonts w:ascii="Palatino Linotype" w:hAnsi="Palatino Linotype"/>
          <w:sz w:val="20"/>
          <w:szCs w:val="22"/>
        </w:rPr>
      </w:pPr>
    </w:p>
    <w:p w:rsidR="005A0A15" w:rsidRPr="007A646F" w:rsidRDefault="005A0A15" w:rsidP="00B9215F">
      <w:pPr>
        <w:pStyle w:val="Prrafodelista"/>
        <w:numPr>
          <w:ilvl w:val="0"/>
          <w:numId w:val="32"/>
        </w:numPr>
        <w:contextualSpacing/>
        <w:rPr>
          <w:rFonts w:ascii="Palatino Linotype" w:hAnsi="Palatino Linotype"/>
          <w:b/>
          <w:bCs/>
          <w:sz w:val="20"/>
          <w:szCs w:val="22"/>
        </w:rPr>
      </w:pPr>
      <w:r w:rsidRPr="007A646F">
        <w:rPr>
          <w:rFonts w:ascii="Palatino Linotype" w:hAnsi="Palatino Linotype"/>
          <w:b/>
          <w:bCs/>
          <w:sz w:val="20"/>
          <w:szCs w:val="22"/>
        </w:rPr>
        <w:t>Programas específicos para la atención de las violencias contra las mujeres</w:t>
      </w:r>
    </w:p>
    <w:tbl>
      <w:tblPr>
        <w:tblStyle w:val="Tablaconcuadrcula"/>
        <w:tblW w:w="0" w:type="auto"/>
        <w:tblLook w:val="04A0" w:firstRow="1" w:lastRow="0" w:firstColumn="1" w:lastColumn="0" w:noHBand="0" w:noVBand="1"/>
      </w:tblPr>
      <w:tblGrid>
        <w:gridCol w:w="2941"/>
        <w:gridCol w:w="2941"/>
        <w:gridCol w:w="2946"/>
      </w:tblGrid>
      <w:tr w:rsidR="005A0A15" w:rsidRPr="007A646F">
        <w:tc>
          <w:tcPr>
            <w:tcW w:w="2941"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lastRenderedPageBreak/>
              <w:t xml:space="preserve">Solicitud </w:t>
            </w:r>
          </w:p>
        </w:tc>
        <w:tc>
          <w:tcPr>
            <w:tcW w:w="2941"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A quien va dirigida (instancia) </w:t>
            </w:r>
          </w:p>
        </w:tc>
        <w:tc>
          <w:tcPr>
            <w:tcW w:w="2946"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Observaciones </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 solicita información respecto al programa(s) para atender las violencias contra las mujeres.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Instituto Municipal de la Mujer</w:t>
            </w: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Secretaría de Seguridad Ciudadana</w:t>
            </w: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Sistema Municipal DIF</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rPr>
                <w:rFonts w:ascii="Palatino Linotype" w:hAnsi="Palatino Linotype"/>
                <w:sz w:val="20"/>
              </w:rPr>
            </w:pPr>
            <w:r w:rsidRPr="007A646F">
              <w:rPr>
                <w:rFonts w:ascii="Palatino Linotype" w:hAnsi="Palatino Linotype"/>
                <w:color w:val="000000"/>
                <w:sz w:val="20"/>
              </w:rPr>
              <w:t>Se solicita información relativa a los servicios que ofrece el ayuntamiento en materia de violencia de género y atención a víctimas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rPr>
          <w:trHeight w:val="3920"/>
        </w:trPr>
        <w:tc>
          <w:tcPr>
            <w:tcW w:w="2941" w:type="dxa"/>
            <w:shd w:val="clear" w:color="auto" w:fill="auto"/>
          </w:tcPr>
          <w:p w:rsidR="005A0A15" w:rsidRPr="007A646F" w:rsidRDefault="005A0A15" w:rsidP="00B9215F">
            <w:pPr>
              <w:jc w:val="both"/>
              <w:rPr>
                <w:rFonts w:ascii="Palatino Linotype" w:hAnsi="Palatino Linotype"/>
                <w:sz w:val="20"/>
              </w:rPr>
            </w:pPr>
            <w:r w:rsidRPr="007A646F">
              <w:rPr>
                <w:rFonts w:ascii="Palatino Linotype" w:hAnsi="Palatino Linotype"/>
                <w:color w:val="000000" w:themeColor="text1"/>
                <w:sz w:val="20"/>
              </w:rPr>
              <w:t>Se solicita información de mujeres atendidas por</w:t>
            </w:r>
            <w:r w:rsidRPr="007A646F">
              <w:rPr>
                <w:rFonts w:ascii="Palatino Linotype" w:hAnsi="Palatino Linotype"/>
                <w:sz w:val="20"/>
              </w:rPr>
              <w:t xml:space="preserve"> violencia contra las mujeres durante el 2019 y febrero 2020. </w:t>
            </w:r>
          </w:p>
          <w:p w:rsidR="005A0A15" w:rsidRPr="007A646F" w:rsidRDefault="005A0A15" w:rsidP="00B9215F">
            <w:pPr>
              <w:rPr>
                <w:rFonts w:ascii="Palatino Linotype" w:hAnsi="Palatino Linotype"/>
                <w:sz w:val="20"/>
              </w:rPr>
            </w:pPr>
            <w:r w:rsidRPr="007A646F">
              <w:rPr>
                <w:rFonts w:ascii="Palatino Linotype" w:hAnsi="Palatino Linotype"/>
                <w:sz w:val="20"/>
              </w:rPr>
              <w:t>Especificar tipos y modalidades de la violencia,</w:t>
            </w:r>
          </w:p>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sz w:val="20"/>
              </w:rPr>
              <w:t>Las colonias, pueblos, barrios,  con altos índices de violencia contra las mujeres, edad, escolaridad, situación conyugal, número de hijos e hijas, escolaridad de las mujeres atendidas y cuál es el seguimiento que les proporcionan a las víctimas.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 Instituto Municipal de la Mujer</w:t>
            </w: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Sistema Municipal DIF</w:t>
            </w: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Policía de Género</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jc w:val="both"/>
              <w:rPr>
                <w:rFonts w:ascii="Palatino Linotype" w:hAnsi="Palatino Linotype"/>
                <w:sz w:val="20"/>
              </w:rPr>
            </w:pPr>
            <w:r w:rsidRPr="007A646F">
              <w:rPr>
                <w:rFonts w:ascii="Palatino Linotype" w:hAnsi="Palatino Linotype"/>
                <w:sz w:val="20"/>
              </w:rPr>
              <w:t>Se solicitan el número de atenciones médicas, psicológicas, jurídicas y de trabajo social que requirieron las víctimas de violencia de género, a través de las áreas especializadas del DIF municipal durante el 2019 y febrero de 2020.</w:t>
            </w:r>
          </w:p>
          <w:p w:rsidR="005A0A15" w:rsidRPr="007A646F" w:rsidRDefault="005A0A15" w:rsidP="00B9215F">
            <w:pPr>
              <w:jc w:val="both"/>
              <w:rPr>
                <w:rFonts w:ascii="Palatino Linotype" w:hAnsi="Palatino Linotype"/>
                <w:sz w:val="20"/>
              </w:rPr>
            </w:pPr>
            <w:r w:rsidRPr="007A646F">
              <w:rPr>
                <w:rFonts w:ascii="Palatino Linotype" w:hAnsi="Palatino Linotype"/>
                <w:sz w:val="20"/>
              </w:rPr>
              <w:t xml:space="preserve">Se solicita desagregar la información por rangos de edad, situación conyugal, ocupación, localidad de </w:t>
            </w:r>
            <w:r w:rsidRPr="007A646F">
              <w:rPr>
                <w:rFonts w:ascii="Palatino Linotype" w:hAnsi="Palatino Linotype"/>
                <w:sz w:val="20"/>
              </w:rPr>
              <w:lastRenderedPageBreak/>
              <w:t xml:space="preserve">procedencia, tipos y modalidades de la violencia. </w:t>
            </w: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sz w:val="20"/>
              </w:rPr>
              <w:t>Asimismo, se solicita especificar el horario y días de atención de las oficinas del Sistema DIF municipal y su ubicación,</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lastRenderedPageBreak/>
              <w:t>Ayuntamiento</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jc w:val="both"/>
              <w:rPr>
                <w:rFonts w:ascii="Palatino Linotype" w:hAnsi="Palatino Linotype"/>
                <w:sz w:val="20"/>
              </w:rPr>
            </w:pPr>
            <w:r w:rsidRPr="007A646F">
              <w:rPr>
                <w:rFonts w:ascii="Palatino Linotype" w:hAnsi="Palatino Linotype"/>
                <w:sz w:val="20"/>
              </w:rPr>
              <w:lastRenderedPageBreak/>
              <w:t xml:space="preserve">Se solicita información si la(s) dependencia(s) encargadas de dar seguimiento a la AVEGEM tienen un programa de atención a personas agresoras y en caso de tenerlo, cuál es el número de atenciones brindadas, desagregar la información por sexo y en caso de no tenerlo a qué dependencia se canaliza la persona agresora. </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p>
        </w:tc>
      </w:tr>
    </w:tbl>
    <w:p w:rsidR="005A0A15" w:rsidRPr="007A646F" w:rsidRDefault="005A0A15" w:rsidP="00B9215F">
      <w:pPr>
        <w:rPr>
          <w:rFonts w:ascii="Palatino Linotype" w:hAnsi="Palatino Linotype"/>
          <w:sz w:val="20"/>
          <w:szCs w:val="22"/>
        </w:rPr>
      </w:pPr>
    </w:p>
    <w:p w:rsidR="005A0A15" w:rsidRPr="007A646F" w:rsidRDefault="005A0A15" w:rsidP="00B9215F">
      <w:pPr>
        <w:pStyle w:val="Prrafodelista"/>
        <w:numPr>
          <w:ilvl w:val="0"/>
          <w:numId w:val="32"/>
        </w:numPr>
        <w:contextualSpacing/>
        <w:rPr>
          <w:rFonts w:ascii="Palatino Linotype" w:hAnsi="Palatino Linotype"/>
          <w:b/>
          <w:bCs/>
          <w:sz w:val="20"/>
          <w:szCs w:val="22"/>
        </w:rPr>
      </w:pPr>
      <w:r w:rsidRPr="007A646F">
        <w:rPr>
          <w:rFonts w:ascii="Palatino Linotype" w:hAnsi="Palatino Linotype"/>
          <w:b/>
          <w:bCs/>
          <w:sz w:val="20"/>
          <w:szCs w:val="22"/>
        </w:rPr>
        <w:t>Programas específicos para garantizar la seguridad de las mujeres en la vía pública</w:t>
      </w:r>
    </w:p>
    <w:p w:rsidR="005A0A15" w:rsidRPr="007A646F" w:rsidRDefault="005A0A15" w:rsidP="00B9215F">
      <w:pPr>
        <w:pStyle w:val="Prrafodelista"/>
        <w:ind w:left="1080"/>
        <w:rPr>
          <w:rFonts w:ascii="Palatino Linotype" w:hAnsi="Palatino Linotype"/>
          <w:sz w:val="20"/>
          <w:szCs w:val="22"/>
        </w:rPr>
      </w:pPr>
    </w:p>
    <w:tbl>
      <w:tblPr>
        <w:tblStyle w:val="Tablaconcuadrcula"/>
        <w:tblW w:w="0" w:type="auto"/>
        <w:tblLook w:val="04A0" w:firstRow="1" w:lastRow="0" w:firstColumn="1" w:lastColumn="0" w:noHBand="0" w:noVBand="1"/>
      </w:tblPr>
      <w:tblGrid>
        <w:gridCol w:w="2941"/>
        <w:gridCol w:w="2941"/>
        <w:gridCol w:w="2946"/>
      </w:tblGrid>
      <w:tr w:rsidR="005A0A15" w:rsidRPr="007A646F">
        <w:tc>
          <w:tcPr>
            <w:tcW w:w="2941"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Solicitud </w:t>
            </w:r>
          </w:p>
        </w:tc>
        <w:tc>
          <w:tcPr>
            <w:tcW w:w="2941"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A quien va dirigida (instancia) </w:t>
            </w:r>
          </w:p>
        </w:tc>
        <w:tc>
          <w:tcPr>
            <w:tcW w:w="2946" w:type="dxa"/>
            <w:shd w:val="pct10"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Observaciones </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 solicita información respecto al rescate de espacios públicos con perspectiva de género o en su caso, seguimiento que han dado a los espacios rescatados.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Instituto Municipal de la Mujer</w:t>
            </w: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Secretaría de Seguridad Ciudadana</w:t>
            </w: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p>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Sistema Municipal DIF</w:t>
            </w:r>
          </w:p>
        </w:tc>
        <w:tc>
          <w:tcPr>
            <w:tcW w:w="2946" w:type="dxa"/>
          </w:tcPr>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color w:val="000000" w:themeColor="text1"/>
                <w:sz w:val="20"/>
              </w:rPr>
              <w:t>Indagar en las acciones de prevención que han realizado las dependencias encargadas de atender AVEGEM</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Se solicita información de las principales zonas </w:t>
            </w:r>
            <w:proofErr w:type="spellStart"/>
            <w:r w:rsidRPr="007A646F">
              <w:rPr>
                <w:rFonts w:ascii="Palatino Linotype" w:hAnsi="Palatino Linotype"/>
                <w:color w:val="000000" w:themeColor="text1"/>
                <w:sz w:val="20"/>
              </w:rPr>
              <w:t>georreferenciadas</w:t>
            </w:r>
            <w:proofErr w:type="spellEnd"/>
            <w:r w:rsidRPr="007A646F">
              <w:rPr>
                <w:rFonts w:ascii="Palatino Linotype" w:hAnsi="Palatino Linotype"/>
                <w:color w:val="000000" w:themeColor="text1"/>
                <w:sz w:val="20"/>
              </w:rPr>
              <w:t xml:space="preserve"> con mayor incidencia de violencia contra las mujeres en 2019 hasta febrero de 2020, se pide desagregar la información por tipo y modalidad de violencia</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Seguridad Ciudadana</w:t>
            </w:r>
          </w:p>
        </w:tc>
        <w:tc>
          <w:tcPr>
            <w:tcW w:w="2946" w:type="dxa"/>
          </w:tcPr>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color w:val="000000" w:themeColor="text1"/>
                <w:sz w:val="20"/>
              </w:rPr>
              <w:t>Cuando se tomó protesta a las y los integrantes del sistema; quienes lo conforman; cuáles son los programas y actividades que lleva a cabo el Sistema Municipal, qué resultados han obtenido durante el 2019.</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 xml:space="preserve">Se solicita información sobre los patrullajes preventivos realizados en las zonas </w:t>
            </w:r>
            <w:proofErr w:type="spellStart"/>
            <w:r w:rsidRPr="007A646F">
              <w:rPr>
                <w:rFonts w:ascii="Palatino Linotype" w:hAnsi="Palatino Linotype"/>
                <w:color w:val="000000" w:themeColor="text1"/>
                <w:sz w:val="20"/>
              </w:rPr>
              <w:lastRenderedPageBreak/>
              <w:t>georreferenciadas</w:t>
            </w:r>
            <w:proofErr w:type="spellEnd"/>
            <w:r w:rsidRPr="007A646F">
              <w:rPr>
                <w:rFonts w:ascii="Palatino Linotype" w:hAnsi="Palatino Linotype"/>
                <w:color w:val="000000" w:themeColor="text1"/>
                <w:sz w:val="20"/>
              </w:rPr>
              <w:t xml:space="preserve"> con mayor incidencia de violencia contra las mujeres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lastRenderedPageBreak/>
              <w:t>Ayuntamiento</w:t>
            </w:r>
          </w:p>
        </w:tc>
        <w:tc>
          <w:tcPr>
            <w:tcW w:w="2946" w:type="dxa"/>
          </w:tcPr>
          <w:p w:rsidR="005A0A15" w:rsidRPr="007A646F" w:rsidRDefault="005A0A15" w:rsidP="00B9215F">
            <w:pPr>
              <w:jc w:val="both"/>
              <w:rPr>
                <w:rFonts w:ascii="Palatino Linotype" w:hAnsi="Palatino Linotype"/>
                <w:color w:val="000000" w:themeColor="text1"/>
                <w:sz w:val="20"/>
              </w:rPr>
            </w:pPr>
            <w:r w:rsidRPr="007A646F">
              <w:rPr>
                <w:rFonts w:ascii="Palatino Linotype" w:hAnsi="Palatino Linotype"/>
                <w:color w:val="000000" w:themeColor="text1"/>
                <w:sz w:val="20"/>
              </w:rPr>
              <w:t xml:space="preserve">Indagar en las actividades, informes, programas que realiza la comisión de </w:t>
            </w:r>
            <w:r w:rsidRPr="007A646F">
              <w:rPr>
                <w:rFonts w:ascii="Palatino Linotype" w:hAnsi="Palatino Linotype"/>
                <w:color w:val="000000" w:themeColor="text1"/>
                <w:sz w:val="20"/>
              </w:rPr>
              <w:lastRenderedPageBreak/>
              <w:t>violencia de género contra las mujeres e igualdad de género o en su caso, conocer si existe o no dicha comisión.</w:t>
            </w: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lastRenderedPageBreak/>
              <w:t>Se solicita información de las acciones implementadas en el transporte público para garantizar la seguridad de las mujeres (se solicita número de patrullajes, el nombre de las rutas, horarios y qué áreas participaron en las acciones)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 solicita información respecto a las campañas de difusión para dar a conocer las líneas de atención de apoyo a mujeres víctimas de violencia</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Ayuntamiento</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 solicita información del  número de medidas de protección recibidas en el año 2019 para garantizar su efectiva ejecución y cuál ha seguimiento a las mismas</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Seguridad Ciudadana</w:t>
            </w:r>
          </w:p>
        </w:tc>
        <w:tc>
          <w:tcPr>
            <w:tcW w:w="2946" w:type="dxa"/>
          </w:tcPr>
          <w:p w:rsidR="005A0A15" w:rsidRPr="007A646F" w:rsidRDefault="005A0A15" w:rsidP="00B9215F">
            <w:pPr>
              <w:jc w:val="both"/>
              <w:rPr>
                <w:rFonts w:ascii="Palatino Linotype" w:hAnsi="Palatino Linotype"/>
                <w:color w:val="000000" w:themeColor="text1"/>
                <w:sz w:val="20"/>
              </w:rPr>
            </w:pPr>
          </w:p>
        </w:tc>
      </w:tr>
      <w:tr w:rsidR="005A0A15" w:rsidRPr="007A646F">
        <w:tc>
          <w:tcPr>
            <w:tcW w:w="2941" w:type="dxa"/>
            <w:shd w:val="clear" w:color="auto" w:fill="auto"/>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 solicita información de los Protocolos de Actuación y Reacción Policial con perspectiva de género implementados durante el 2019</w:t>
            </w:r>
          </w:p>
        </w:tc>
        <w:tc>
          <w:tcPr>
            <w:tcW w:w="2941" w:type="dxa"/>
          </w:tcPr>
          <w:p w:rsidR="005A0A15" w:rsidRPr="007A646F" w:rsidRDefault="005A0A15" w:rsidP="00B9215F">
            <w:pPr>
              <w:rPr>
                <w:rFonts w:ascii="Palatino Linotype" w:hAnsi="Palatino Linotype"/>
                <w:color w:val="000000" w:themeColor="text1"/>
                <w:sz w:val="20"/>
              </w:rPr>
            </w:pPr>
            <w:r w:rsidRPr="007A646F">
              <w:rPr>
                <w:rFonts w:ascii="Palatino Linotype" w:hAnsi="Palatino Linotype"/>
                <w:color w:val="000000" w:themeColor="text1"/>
                <w:sz w:val="20"/>
              </w:rPr>
              <w:t>Seguridad Ciudadana</w:t>
            </w:r>
          </w:p>
        </w:tc>
        <w:tc>
          <w:tcPr>
            <w:tcW w:w="2946" w:type="dxa"/>
          </w:tcPr>
          <w:p w:rsidR="005A0A15" w:rsidRPr="007A646F" w:rsidRDefault="005A0A15" w:rsidP="00B9215F">
            <w:pPr>
              <w:jc w:val="both"/>
              <w:rPr>
                <w:rFonts w:ascii="Palatino Linotype" w:hAnsi="Palatino Linotype"/>
                <w:color w:val="000000" w:themeColor="text1"/>
                <w:sz w:val="20"/>
              </w:rPr>
            </w:pPr>
          </w:p>
        </w:tc>
      </w:tr>
    </w:tbl>
    <w:p w:rsidR="005A0A15" w:rsidRPr="007A646F" w:rsidRDefault="005A0A15" w:rsidP="00B9215F">
      <w:pPr>
        <w:rPr>
          <w:rFonts w:ascii="Palatino Linotype" w:hAnsi="Palatino Linotype"/>
          <w:sz w:val="20"/>
          <w:szCs w:val="22"/>
        </w:rPr>
      </w:pPr>
    </w:p>
    <w:p w:rsidR="005A0A15" w:rsidRPr="007A646F" w:rsidRDefault="005A0A15" w:rsidP="00B9215F">
      <w:pPr>
        <w:pStyle w:val="Prrafodelista"/>
        <w:ind w:left="1080"/>
        <w:rPr>
          <w:rFonts w:ascii="Palatino Linotype" w:hAnsi="Palatino Linotype"/>
          <w:sz w:val="20"/>
          <w:szCs w:val="22"/>
        </w:rPr>
      </w:pPr>
    </w:p>
    <w:p w:rsidR="005A0A15" w:rsidRPr="007A646F" w:rsidRDefault="005A0A15" w:rsidP="00B9215F">
      <w:pPr>
        <w:pStyle w:val="Prrafodelista"/>
        <w:numPr>
          <w:ilvl w:val="0"/>
          <w:numId w:val="32"/>
        </w:numPr>
        <w:contextualSpacing/>
        <w:rPr>
          <w:rFonts w:ascii="Palatino Linotype" w:hAnsi="Palatino Linotype"/>
          <w:sz w:val="20"/>
          <w:szCs w:val="22"/>
        </w:rPr>
      </w:pPr>
      <w:r w:rsidRPr="007A646F">
        <w:rPr>
          <w:rFonts w:ascii="Palatino Linotype" w:hAnsi="Palatino Linotype"/>
          <w:sz w:val="20"/>
          <w:szCs w:val="22"/>
        </w:rPr>
        <w:t>Presupuesto destinado para las acciones de la AVEGEM durante el periodo fiscal 2019 y 2020</w:t>
      </w:r>
    </w:p>
    <w:p w:rsidR="005A0A15" w:rsidRPr="007A646F" w:rsidRDefault="005A0A15" w:rsidP="00B9215F">
      <w:pPr>
        <w:pStyle w:val="Prrafodelista"/>
        <w:ind w:left="1571"/>
        <w:rPr>
          <w:rFonts w:ascii="Palatino Linotype" w:hAnsi="Palatino Linotype"/>
          <w:sz w:val="20"/>
          <w:szCs w:val="22"/>
        </w:rPr>
      </w:pPr>
    </w:p>
    <w:p w:rsidR="005A0A15" w:rsidRPr="007A646F" w:rsidRDefault="005A0A15" w:rsidP="00B9215F">
      <w:pPr>
        <w:pStyle w:val="Prrafodelista"/>
        <w:numPr>
          <w:ilvl w:val="0"/>
          <w:numId w:val="33"/>
        </w:numPr>
        <w:contextualSpacing/>
        <w:rPr>
          <w:rFonts w:ascii="Palatino Linotype" w:hAnsi="Palatino Linotype"/>
          <w:sz w:val="20"/>
          <w:szCs w:val="22"/>
        </w:rPr>
      </w:pPr>
      <w:r w:rsidRPr="007A646F">
        <w:rPr>
          <w:rFonts w:ascii="Palatino Linotype" w:hAnsi="Palatino Linotype"/>
          <w:sz w:val="20"/>
          <w:szCs w:val="22"/>
        </w:rPr>
        <w:t>Se solicita información del presupuesto municipal destinado para dar seguimiento a la AVGM.</w:t>
      </w:r>
    </w:p>
    <w:p w:rsidR="005A0A15" w:rsidRPr="007A646F" w:rsidRDefault="005A0A15" w:rsidP="00B9215F">
      <w:pPr>
        <w:pStyle w:val="Prrafodelista"/>
        <w:numPr>
          <w:ilvl w:val="0"/>
          <w:numId w:val="33"/>
        </w:numPr>
        <w:contextualSpacing/>
        <w:rPr>
          <w:rFonts w:ascii="Palatino Linotype" w:hAnsi="Palatino Linotype"/>
          <w:sz w:val="20"/>
          <w:szCs w:val="22"/>
        </w:rPr>
      </w:pPr>
      <w:r w:rsidRPr="007A646F">
        <w:rPr>
          <w:rFonts w:ascii="Palatino Linotype" w:hAnsi="Palatino Linotype"/>
          <w:sz w:val="20"/>
          <w:szCs w:val="22"/>
        </w:rPr>
        <w:t>Se solicita información del presupuesto municipal del Instituto Municipal de la Mujer para prevenir y atender las violencias contra las mujeres que recibió por parte de Gobierno del Estado de México.</w:t>
      </w:r>
    </w:p>
    <w:p w:rsidR="005A0A15" w:rsidRPr="007A646F" w:rsidRDefault="005A0A15" w:rsidP="00B9215F">
      <w:pPr>
        <w:pStyle w:val="Prrafodelista"/>
        <w:numPr>
          <w:ilvl w:val="0"/>
          <w:numId w:val="33"/>
        </w:numPr>
        <w:contextualSpacing/>
        <w:rPr>
          <w:rFonts w:ascii="Palatino Linotype" w:hAnsi="Palatino Linotype"/>
          <w:sz w:val="20"/>
          <w:szCs w:val="22"/>
        </w:rPr>
      </w:pPr>
      <w:r w:rsidRPr="007A646F">
        <w:rPr>
          <w:rFonts w:ascii="Palatino Linotype" w:hAnsi="Palatino Linotype"/>
          <w:sz w:val="20"/>
          <w:szCs w:val="22"/>
        </w:rPr>
        <w:t>Se requiere información sobre en que se gastó el recurso destinado de la Alerta de violencia de Género que recibió en el año 2019.”</w:t>
      </w:r>
    </w:p>
    <w:p w:rsidR="005A0A15" w:rsidRPr="007A646F" w:rsidRDefault="005A0A15" w:rsidP="00B9215F">
      <w:pPr>
        <w:spacing w:line="360" w:lineRule="auto"/>
        <w:rPr>
          <w:rFonts w:ascii="Palatino Linotype" w:hAnsi="Palatino Linotype"/>
        </w:rPr>
      </w:pPr>
    </w:p>
    <w:p w:rsidR="00457BB8" w:rsidRPr="007A646F" w:rsidRDefault="00457BB8" w:rsidP="00B9215F">
      <w:pPr>
        <w:spacing w:line="360" w:lineRule="auto"/>
        <w:jc w:val="both"/>
        <w:rPr>
          <w:rFonts w:ascii="Palatino Linotype" w:hAnsi="Palatino Linotype" w:cs="Arial"/>
          <w:b/>
        </w:rPr>
      </w:pPr>
      <w:r w:rsidRPr="007A646F">
        <w:rPr>
          <w:rFonts w:ascii="Palatino Linotype" w:hAnsi="Palatino Linotype" w:cs="Arial"/>
          <w:b/>
        </w:rPr>
        <w:lastRenderedPageBreak/>
        <w:t>MODALIDAD DE ENTREGA:</w:t>
      </w:r>
      <w:r w:rsidRPr="007A646F">
        <w:rPr>
          <w:rFonts w:ascii="Palatino Linotype" w:hAnsi="Palatino Linotype" w:cs="Arial"/>
        </w:rPr>
        <w:t xml:space="preserve"> Vía </w:t>
      </w:r>
      <w:r w:rsidRPr="007A646F">
        <w:rPr>
          <w:rFonts w:ascii="Palatino Linotype" w:hAnsi="Palatino Linotype" w:cs="Arial"/>
          <w:b/>
        </w:rPr>
        <w:t>SAIMEX.</w:t>
      </w:r>
    </w:p>
    <w:p w:rsidR="00457BB8" w:rsidRPr="007A646F" w:rsidRDefault="00457BB8" w:rsidP="00B9215F">
      <w:pPr>
        <w:spacing w:line="360" w:lineRule="auto"/>
        <w:jc w:val="both"/>
        <w:rPr>
          <w:rFonts w:ascii="Palatino Linotype" w:hAnsi="Palatino Linotype" w:cs="Arial"/>
        </w:rPr>
      </w:pPr>
    </w:p>
    <w:p w:rsidR="002E5083" w:rsidRPr="007A646F" w:rsidRDefault="002E5083" w:rsidP="00B9215F">
      <w:pPr>
        <w:spacing w:line="360" w:lineRule="auto"/>
        <w:jc w:val="both"/>
        <w:rPr>
          <w:rFonts w:ascii="Palatino Linotype" w:hAnsi="Palatino Linotype"/>
        </w:rPr>
      </w:pPr>
      <w:r w:rsidRPr="007A646F">
        <w:rPr>
          <w:rFonts w:ascii="Palatino Linotype" w:hAnsi="Palatino Linotype"/>
          <w:b/>
          <w:sz w:val="28"/>
          <w:szCs w:val="28"/>
        </w:rPr>
        <w:t xml:space="preserve">II. </w:t>
      </w:r>
      <w:r w:rsidRPr="007A646F">
        <w:rPr>
          <w:rFonts w:ascii="Palatino Linotype" w:hAnsi="Palatino Linotype"/>
        </w:rPr>
        <w:t>De las constancias que obran en el expediente electrónico</w:t>
      </w:r>
      <w:r w:rsidRPr="007A646F">
        <w:rPr>
          <w:rFonts w:ascii="Palatino Linotype" w:hAnsi="Palatino Linotype"/>
          <w:b/>
        </w:rPr>
        <w:t>,</w:t>
      </w:r>
      <w:r w:rsidRPr="007A646F">
        <w:rPr>
          <w:rFonts w:ascii="Palatino Linotype" w:hAnsi="Palatino Linotype"/>
        </w:rPr>
        <w:t xml:space="preserve"> se advierte que en fecha dieciocho de febrero de dos mil veinte, </w:t>
      </w:r>
      <w:r w:rsidRPr="007A646F">
        <w:rPr>
          <w:rFonts w:ascii="Palatino Linotype" w:hAnsi="Palatino Linotype"/>
          <w:b/>
        </w:rPr>
        <w:t xml:space="preserve">EL SUJETO OBLIGADO </w:t>
      </w:r>
      <w:r w:rsidRPr="007A646F">
        <w:rPr>
          <w:rFonts w:ascii="Palatino Linotype" w:hAnsi="Palatino Linotype"/>
        </w:rPr>
        <w:t xml:space="preserve">requirió al </w:t>
      </w:r>
      <w:r w:rsidRPr="007A646F">
        <w:rPr>
          <w:rFonts w:ascii="Palatino Linotype" w:hAnsi="Palatino Linotype"/>
          <w:b/>
        </w:rPr>
        <w:t xml:space="preserve">RECURRENTE </w:t>
      </w:r>
      <w:r w:rsidRPr="007A646F">
        <w:rPr>
          <w:rFonts w:ascii="Palatino Linotype" w:hAnsi="Palatino Linotype"/>
        </w:rPr>
        <w:t>aclarara parte de la solicitud de información pública planteada, en los siguientes términos:</w:t>
      </w:r>
    </w:p>
    <w:p w:rsidR="002E5083" w:rsidRPr="007A646F" w:rsidRDefault="002E5083" w:rsidP="00B9215F">
      <w:pPr>
        <w:ind w:left="851" w:right="901"/>
        <w:jc w:val="both"/>
        <w:rPr>
          <w:rFonts w:ascii="Palatino Linotype" w:hAnsi="Palatino Linotype" w:cs="Arial"/>
          <w:i/>
          <w:sz w:val="22"/>
          <w:szCs w:val="22"/>
          <w:lang w:eastAsia="es-MX"/>
        </w:rPr>
      </w:pPr>
    </w:p>
    <w:p w:rsidR="002E5083" w:rsidRPr="007A646F" w:rsidRDefault="002E5083" w:rsidP="00B9215F">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 xml:space="preserve">“…Con fundamento en el </w:t>
      </w:r>
      <w:proofErr w:type="spellStart"/>
      <w:r w:rsidRPr="007A646F">
        <w:rPr>
          <w:rFonts w:ascii="Palatino Linotype" w:hAnsi="Palatino Linotype" w:cs="Arial"/>
          <w:i/>
          <w:sz w:val="22"/>
          <w:szCs w:val="22"/>
          <w:lang w:eastAsia="es-MX"/>
        </w:rPr>
        <w:t>articulo</w:t>
      </w:r>
      <w:proofErr w:type="spellEnd"/>
      <w:r w:rsidRPr="007A646F">
        <w:rPr>
          <w:rFonts w:ascii="Palatino Linotype" w:hAnsi="Palatino Linotype" w:cs="Arial"/>
          <w:i/>
          <w:sz w:val="22"/>
          <w:szCs w:val="22"/>
          <w:lang w:eastAsia="es-MX"/>
        </w:rPr>
        <w:t xml:space="preserve"> 159 de la Ley de Transparencia y Acceso a la Información Pública del Estado de México y Municipios, se le requiere para que dentro del plazo de diez días hábiles realice lo siguiente:</w:t>
      </w:r>
    </w:p>
    <w:p w:rsidR="002E5083" w:rsidRPr="007A646F" w:rsidRDefault="002E5083" w:rsidP="00B9215F">
      <w:pPr>
        <w:ind w:left="851" w:right="901"/>
        <w:jc w:val="both"/>
        <w:rPr>
          <w:rFonts w:ascii="Palatino Linotype" w:hAnsi="Palatino Linotype" w:cs="Arial"/>
          <w:i/>
          <w:sz w:val="22"/>
          <w:szCs w:val="22"/>
          <w:lang w:eastAsia="es-MX"/>
        </w:rPr>
      </w:pPr>
    </w:p>
    <w:p w:rsidR="002E5083" w:rsidRPr="007A646F" w:rsidRDefault="002E5083" w:rsidP="00B9215F">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Por medio de la presente, reciba un cordial saludo, al mismo tiempo le comento que con fundamento en el artículo 159 de la Ley de Transparencia y Acceso a la Información Pública del Estado de México y Municipios, por lo que hace a su solicitud, registrada bajo el número de folio 00078/CUAUTIZC/IP/2020 y en la cual requiere, “Información sobre acciones de atención y seguimiento de la alerta de violencia de género del año 2019 a la fecha, se detalla con una guía de preguntas que solicito responda.” (</w:t>
      </w:r>
      <w:proofErr w:type="gramStart"/>
      <w:r w:rsidRPr="007A646F">
        <w:rPr>
          <w:rFonts w:ascii="Palatino Linotype" w:hAnsi="Palatino Linotype" w:cs="Arial"/>
          <w:i/>
          <w:sz w:val="22"/>
          <w:szCs w:val="22"/>
          <w:lang w:eastAsia="es-MX"/>
        </w:rPr>
        <w:t>sic</w:t>
      </w:r>
      <w:proofErr w:type="gramEnd"/>
      <w:r w:rsidRPr="007A646F">
        <w:rPr>
          <w:rFonts w:ascii="Palatino Linotype" w:hAnsi="Palatino Linotype" w:cs="Arial"/>
          <w:i/>
          <w:sz w:val="22"/>
          <w:szCs w:val="22"/>
          <w:lang w:eastAsia="es-MX"/>
        </w:rPr>
        <w:t xml:space="preserve">) En consecuencia le solicito tenga a bien aclarar, corregir, proporcionar mayores datos o cualquier otro detalle que facilite la búsqueda de la información ya que no es clara, concreta y precisa su solicitud, por lo que le solicito mencione que es la MAM, toda vez que con los elementos proporcionados no son suficientes, para atender de la mejor forma su requerimiento de información respecto a; “Se solicita información del organigrama de la MAM, cargo, perfil y experiencia de las personas que atienden mujeres en situación de </w:t>
      </w:r>
      <w:proofErr w:type="spellStart"/>
      <w:r w:rsidRPr="007A646F">
        <w:rPr>
          <w:rFonts w:ascii="Palatino Linotype" w:hAnsi="Palatino Linotype" w:cs="Arial"/>
          <w:i/>
          <w:sz w:val="22"/>
          <w:szCs w:val="22"/>
          <w:lang w:eastAsia="es-MX"/>
        </w:rPr>
        <w:t>violencia.”</w:t>
      </w:r>
      <w:proofErr w:type="gramStart"/>
      <w:r w:rsidRPr="007A646F">
        <w:rPr>
          <w:rFonts w:ascii="Palatino Linotype" w:hAnsi="Palatino Linotype" w:cs="Arial"/>
          <w:i/>
          <w:sz w:val="22"/>
          <w:szCs w:val="22"/>
          <w:lang w:eastAsia="es-MX"/>
        </w:rPr>
        <w:t>sic</w:t>
      </w:r>
      <w:proofErr w:type="spellEnd"/>
      <w:proofErr w:type="gramEnd"/>
      <w:r w:rsidRPr="007A646F">
        <w:rPr>
          <w:rFonts w:ascii="Palatino Linotype" w:hAnsi="Palatino Linotype" w:cs="Arial"/>
          <w:i/>
          <w:sz w:val="22"/>
          <w:szCs w:val="22"/>
          <w:lang w:eastAsia="es-MX"/>
        </w:rPr>
        <w:t xml:space="preserve"> y determinar si es competencia de alguna Dependencia Municipal y con ello cumplir eficazmente con la Ley que nos ocupa y permitir el libre acceso a la información. En caso de que no se desahogue en el plazo de 10 días hábiles, se tendrá por no presentada su solicitud quedando a salvo sus derechos para ingresarla nuevamente en el Sistema de Acceso a la Información Mexiquense (SAIMEX), con fundamento en el párrafo tercero del artículo 159 de la Ley de Transparencia y Acceso a la Información Pública del Estado de México y Municipios.</w:t>
      </w:r>
    </w:p>
    <w:p w:rsidR="002E5083" w:rsidRPr="007A646F" w:rsidRDefault="002E5083" w:rsidP="00B9215F">
      <w:pPr>
        <w:ind w:left="851" w:right="901"/>
        <w:jc w:val="both"/>
        <w:rPr>
          <w:rFonts w:ascii="Palatino Linotype" w:hAnsi="Palatino Linotype" w:cs="Arial"/>
          <w:i/>
          <w:sz w:val="22"/>
          <w:szCs w:val="22"/>
          <w:lang w:eastAsia="es-MX"/>
        </w:rPr>
      </w:pPr>
    </w:p>
    <w:p w:rsidR="002E5083" w:rsidRPr="007A646F" w:rsidRDefault="002E5083" w:rsidP="00B9215F">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 xml:space="preserve">En caso de que no se desahogue el requerimiento señalado dentro del plazo citado se tendrá por no presentada la solicitud de información, quedando a salvo sus </w:t>
      </w:r>
      <w:r w:rsidRPr="007A646F">
        <w:rPr>
          <w:rFonts w:ascii="Palatino Linotype" w:hAnsi="Palatino Linotype" w:cs="Arial"/>
          <w:i/>
          <w:sz w:val="22"/>
          <w:szCs w:val="22"/>
          <w:lang w:eastAsia="es-MX"/>
        </w:rPr>
        <w:lastRenderedPageBreak/>
        <w:t>derechos para volver a presentar la solicitud, lo anterior con fundamento en el artículo 159 de la Ley invocada.</w:t>
      </w:r>
    </w:p>
    <w:p w:rsidR="002E5083" w:rsidRPr="007A646F" w:rsidRDefault="002E5083" w:rsidP="00B9215F">
      <w:pPr>
        <w:ind w:left="851" w:right="901"/>
        <w:jc w:val="both"/>
        <w:rPr>
          <w:rFonts w:ascii="Palatino Linotype" w:hAnsi="Palatino Linotype" w:cs="Arial"/>
          <w:i/>
          <w:sz w:val="22"/>
          <w:szCs w:val="22"/>
          <w:lang w:eastAsia="es-MX"/>
        </w:rPr>
      </w:pPr>
    </w:p>
    <w:p w:rsidR="002E5083" w:rsidRPr="007A646F" w:rsidRDefault="002E5083" w:rsidP="00B9215F">
      <w:pPr>
        <w:ind w:left="851" w:right="901"/>
        <w:jc w:val="both"/>
        <w:rPr>
          <w:rFonts w:ascii="Palatino Linotype" w:hAnsi="Palatino Linotype" w:cs="Arial"/>
          <w:i/>
          <w:sz w:val="22"/>
          <w:szCs w:val="22"/>
          <w:lang w:eastAsia="es-MX"/>
        </w:rPr>
      </w:pPr>
    </w:p>
    <w:p w:rsidR="002E5083" w:rsidRPr="007A646F" w:rsidRDefault="002E5083" w:rsidP="00B9215F">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ATENTAMENTE</w:t>
      </w:r>
    </w:p>
    <w:p w:rsidR="002E5083" w:rsidRPr="007A646F" w:rsidRDefault="002E5083" w:rsidP="00B9215F">
      <w:pPr>
        <w:ind w:left="851" w:right="901"/>
        <w:jc w:val="both"/>
        <w:rPr>
          <w:rFonts w:ascii="Palatino Linotype" w:hAnsi="Palatino Linotype" w:cs="Arial"/>
          <w:i/>
          <w:sz w:val="22"/>
          <w:szCs w:val="22"/>
          <w:lang w:eastAsia="es-MX"/>
        </w:rPr>
      </w:pPr>
    </w:p>
    <w:p w:rsidR="002E5083" w:rsidRPr="007A646F" w:rsidRDefault="002E5083" w:rsidP="00B9215F">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LIC. HUGO INFANTE LLERENAS” (sic)</w:t>
      </w:r>
    </w:p>
    <w:p w:rsidR="002E5083" w:rsidRPr="007A646F" w:rsidRDefault="002E5083" w:rsidP="00B9215F">
      <w:pPr>
        <w:ind w:left="851" w:right="901"/>
        <w:jc w:val="both"/>
        <w:rPr>
          <w:rFonts w:ascii="Palatino Linotype" w:hAnsi="Palatino Linotype" w:cs="Arial"/>
          <w:i/>
          <w:sz w:val="22"/>
          <w:szCs w:val="22"/>
          <w:lang w:eastAsia="es-MX"/>
        </w:rPr>
      </w:pPr>
    </w:p>
    <w:p w:rsidR="002E5083" w:rsidRPr="007A646F" w:rsidRDefault="002E5083" w:rsidP="00B9215F">
      <w:pPr>
        <w:spacing w:line="360" w:lineRule="auto"/>
        <w:jc w:val="both"/>
        <w:rPr>
          <w:rFonts w:ascii="Palatino Linotype" w:hAnsi="Palatino Linotype" w:cs="Arial"/>
        </w:rPr>
      </w:pPr>
      <w:r w:rsidRPr="007A646F">
        <w:rPr>
          <w:rFonts w:ascii="Palatino Linotype" w:hAnsi="Palatino Linotype"/>
        </w:rPr>
        <w:t xml:space="preserve">Advirtiendo de dicho </w:t>
      </w:r>
      <w:r w:rsidRPr="007A646F">
        <w:rPr>
          <w:rFonts w:ascii="Palatino Linotype" w:hAnsi="Palatino Linotype" w:cs="Arial"/>
        </w:rPr>
        <w:t>requerimiento</w:t>
      </w:r>
      <w:r w:rsidRPr="007A646F">
        <w:rPr>
          <w:rFonts w:ascii="Palatino Linotype" w:hAnsi="Palatino Linotype"/>
        </w:rPr>
        <w:t xml:space="preserve"> que, </w:t>
      </w:r>
      <w:r w:rsidRPr="007A646F">
        <w:rPr>
          <w:rFonts w:ascii="Palatino Linotype" w:hAnsi="Palatino Linotype"/>
          <w:b/>
        </w:rPr>
        <w:t xml:space="preserve">EL SUJETO OBLIGADO </w:t>
      </w:r>
      <w:r w:rsidRPr="007A646F">
        <w:rPr>
          <w:rFonts w:ascii="Palatino Linotype" w:hAnsi="Palatino Linotype"/>
        </w:rPr>
        <w:t xml:space="preserve">anexó el archivo </w:t>
      </w:r>
      <w:hyperlink r:id="rId9" w:tgtFrame="_blank" w:history="1">
        <w:r w:rsidRPr="007A646F">
          <w:rPr>
            <w:rFonts w:ascii="Palatino Linotype" w:hAnsi="Palatino Linotype" w:cs="Arial"/>
            <w:b/>
          </w:rPr>
          <w:t xml:space="preserve">78 </w:t>
        </w:r>
        <w:proofErr w:type="spellStart"/>
        <w:r w:rsidRPr="007A646F">
          <w:rPr>
            <w:rFonts w:ascii="Palatino Linotype" w:hAnsi="Palatino Linotype" w:cs="Arial"/>
            <w:b/>
          </w:rPr>
          <w:t>aclaracion</w:t>
        </w:r>
        <w:proofErr w:type="spellEnd"/>
        <w:r w:rsidRPr="007A646F">
          <w:rPr>
            <w:rFonts w:ascii="Palatino Linotype" w:hAnsi="Palatino Linotype" w:cs="Arial"/>
            <w:b/>
          </w:rPr>
          <w:t xml:space="preserve"> PARCIAL.pdf</w:t>
        </w:r>
      </w:hyperlink>
      <w:r w:rsidRPr="007A646F">
        <w:rPr>
          <w:rFonts w:ascii="Palatino Linotype" w:hAnsi="Palatino Linotype" w:cs="Arial"/>
          <w:b/>
        </w:rPr>
        <w:t xml:space="preserve">, </w:t>
      </w:r>
      <w:r w:rsidRPr="007A646F">
        <w:rPr>
          <w:rFonts w:ascii="Palatino Linotype" w:hAnsi="Palatino Linotype" w:cs="Arial"/>
        </w:rPr>
        <w:t xml:space="preserve">el cual contiene el oficio SA-UT/62/2020, el cual de su contenido de advierte el contenido transcrito anteriormente. </w:t>
      </w:r>
    </w:p>
    <w:p w:rsidR="002E5083" w:rsidRPr="007A646F" w:rsidRDefault="002E5083" w:rsidP="00B9215F">
      <w:pPr>
        <w:spacing w:line="360" w:lineRule="auto"/>
        <w:jc w:val="both"/>
        <w:rPr>
          <w:rFonts w:ascii="Palatino Linotype" w:hAnsi="Palatino Linotype" w:cs="Arial"/>
        </w:rPr>
      </w:pPr>
    </w:p>
    <w:p w:rsidR="002E5083" w:rsidRPr="007A646F" w:rsidRDefault="002E5083" w:rsidP="00B9215F">
      <w:pPr>
        <w:spacing w:line="360" w:lineRule="auto"/>
        <w:jc w:val="both"/>
        <w:rPr>
          <w:rFonts w:ascii="Palatino Linotype" w:hAnsi="Palatino Linotype"/>
        </w:rPr>
      </w:pPr>
      <w:r w:rsidRPr="007A646F">
        <w:rPr>
          <w:rFonts w:ascii="Palatino Linotype" w:hAnsi="Palatino Linotype"/>
          <w:b/>
          <w:sz w:val="28"/>
          <w:szCs w:val="28"/>
        </w:rPr>
        <w:t xml:space="preserve">III. </w:t>
      </w:r>
      <w:r w:rsidRPr="007A646F">
        <w:rPr>
          <w:rFonts w:ascii="Palatino Linotype" w:hAnsi="Palatino Linotype"/>
        </w:rPr>
        <w:t xml:space="preserve">Del requerimiento precisado anteriormente, </w:t>
      </w:r>
      <w:r w:rsidR="000B1715" w:rsidRPr="007A646F">
        <w:rPr>
          <w:rFonts w:ascii="Palatino Linotype" w:hAnsi="Palatino Linotype"/>
          <w:b/>
        </w:rPr>
        <w:t>EL</w:t>
      </w:r>
      <w:r w:rsidRPr="007A646F">
        <w:rPr>
          <w:rFonts w:ascii="Palatino Linotype" w:hAnsi="Palatino Linotype"/>
          <w:b/>
        </w:rPr>
        <w:t xml:space="preserve"> RECURRENTE</w:t>
      </w:r>
      <w:r w:rsidRPr="007A646F">
        <w:rPr>
          <w:rFonts w:ascii="Palatino Linotype" w:hAnsi="Palatino Linotype"/>
        </w:rPr>
        <w:t xml:space="preserve"> fue omis</w:t>
      </w:r>
      <w:r w:rsidR="000B1715" w:rsidRPr="007A646F">
        <w:rPr>
          <w:rFonts w:ascii="Palatino Linotype" w:hAnsi="Palatino Linotype"/>
        </w:rPr>
        <w:t>o</w:t>
      </w:r>
      <w:r w:rsidRPr="007A646F">
        <w:rPr>
          <w:rFonts w:ascii="Palatino Linotype" w:hAnsi="Palatino Linotype"/>
        </w:rPr>
        <w:t xml:space="preserve"> en atender el mismo. </w:t>
      </w:r>
    </w:p>
    <w:p w:rsidR="002E5083" w:rsidRPr="007A646F" w:rsidRDefault="002E5083" w:rsidP="00B9215F">
      <w:pPr>
        <w:spacing w:line="360" w:lineRule="auto"/>
        <w:jc w:val="both"/>
        <w:rPr>
          <w:rFonts w:ascii="Palatino Linotype" w:hAnsi="Palatino Linotype" w:cs="Arial"/>
        </w:rPr>
      </w:pPr>
    </w:p>
    <w:p w:rsidR="000B1715" w:rsidRPr="007A646F" w:rsidRDefault="005E740C" w:rsidP="00B9215F">
      <w:pPr>
        <w:spacing w:line="360" w:lineRule="auto"/>
        <w:jc w:val="both"/>
        <w:rPr>
          <w:rFonts w:ascii="Palatino Linotype" w:hAnsi="Palatino Linotype" w:cs="Arial"/>
        </w:rPr>
      </w:pPr>
      <w:r w:rsidRPr="007A646F">
        <w:rPr>
          <w:rFonts w:ascii="Palatino Linotype" w:hAnsi="Palatino Linotype"/>
          <w:b/>
          <w:sz w:val="28"/>
          <w:szCs w:val="28"/>
        </w:rPr>
        <w:t>IV</w:t>
      </w:r>
      <w:r w:rsidR="000B1715" w:rsidRPr="007A646F">
        <w:rPr>
          <w:rFonts w:ascii="Palatino Linotype" w:hAnsi="Palatino Linotype"/>
          <w:b/>
          <w:sz w:val="28"/>
          <w:szCs w:val="28"/>
        </w:rPr>
        <w:t xml:space="preserve">. </w:t>
      </w:r>
      <w:r w:rsidR="000B1715" w:rsidRPr="007A646F">
        <w:rPr>
          <w:rFonts w:ascii="Palatino Linotype" w:hAnsi="Palatino Linotype" w:cs="Arial"/>
        </w:rPr>
        <w:t xml:space="preserve">En cumplimiento al artículo 162 de la Ley de Transparencia y Acceso a la Información Pública del Estado de México y Municipios, el dieciocho y diecinueve de febrero de dos mil veinte, el Titular de la Unidad de Transparencia del </w:t>
      </w:r>
      <w:r w:rsidR="000B1715" w:rsidRPr="007A646F">
        <w:rPr>
          <w:rFonts w:ascii="Palatino Linotype" w:hAnsi="Palatino Linotype" w:cs="Arial"/>
          <w:b/>
        </w:rPr>
        <w:t>SUJETO OBLIGADO</w:t>
      </w:r>
      <w:r w:rsidR="000B1715" w:rsidRPr="007A646F">
        <w:rPr>
          <w:rFonts w:ascii="Palatino Linotype" w:hAnsi="Palatino Linotype" w:cs="Arial"/>
        </w:rPr>
        <w:t xml:space="preserve">, mediante el folios </w:t>
      </w:r>
      <w:r w:rsidR="000B1715" w:rsidRPr="007A646F">
        <w:rPr>
          <w:rFonts w:ascii="Palatino Linotype" w:hAnsi="Palatino Linotype" w:cs="Arial"/>
          <w:b/>
        </w:rPr>
        <w:t>00078/CUAUTIZC/IP/2020/TSP/0001</w:t>
      </w:r>
      <w:r w:rsidR="000B1715" w:rsidRPr="007A646F">
        <w:rPr>
          <w:rFonts w:ascii="Palatino Linotype" w:hAnsi="Palatino Linotype" w:cs="Arial"/>
        </w:rPr>
        <w:t xml:space="preserve">, </w:t>
      </w:r>
      <w:r w:rsidR="000B1715" w:rsidRPr="007A646F">
        <w:rPr>
          <w:rFonts w:ascii="Palatino Linotype" w:hAnsi="Palatino Linotype" w:cs="Arial"/>
          <w:b/>
        </w:rPr>
        <w:t>00078/CUAUTIZC/IP/2020/TSP/0002</w:t>
      </w:r>
      <w:r w:rsidR="000B1715" w:rsidRPr="007A646F">
        <w:rPr>
          <w:rFonts w:ascii="Palatino Linotype" w:hAnsi="Palatino Linotype" w:cs="Arial"/>
        </w:rPr>
        <w:t xml:space="preserve">, </w:t>
      </w:r>
      <w:r w:rsidR="000B1715" w:rsidRPr="007A646F">
        <w:rPr>
          <w:rFonts w:ascii="Palatino Linotype" w:hAnsi="Palatino Linotype" w:cs="Arial"/>
          <w:b/>
        </w:rPr>
        <w:t>00078/CUAUTIZC/IP/2020/TSP/0003</w:t>
      </w:r>
      <w:r w:rsidR="000B1715" w:rsidRPr="007A646F">
        <w:rPr>
          <w:rFonts w:ascii="Palatino Linotype" w:hAnsi="Palatino Linotype" w:cs="Arial"/>
        </w:rPr>
        <w:t xml:space="preserve">, </w:t>
      </w:r>
      <w:r w:rsidR="000B1715" w:rsidRPr="007A646F">
        <w:rPr>
          <w:rFonts w:ascii="Palatino Linotype" w:hAnsi="Palatino Linotype" w:cs="Arial"/>
          <w:b/>
        </w:rPr>
        <w:t>00078/CUAUTIZC/IP/2020/TSP/0004</w:t>
      </w:r>
      <w:r w:rsidR="000B1715" w:rsidRPr="007A646F">
        <w:rPr>
          <w:rFonts w:ascii="Palatino Linotype" w:hAnsi="Palatino Linotype" w:cs="Arial"/>
        </w:rPr>
        <w:t xml:space="preserve">, </w:t>
      </w:r>
      <w:r w:rsidR="000B1715" w:rsidRPr="007A646F">
        <w:rPr>
          <w:rFonts w:ascii="Palatino Linotype" w:hAnsi="Palatino Linotype" w:cs="Arial"/>
          <w:b/>
        </w:rPr>
        <w:t xml:space="preserve">00078/CUAUTIZC/IP/2020/TSP/0005 </w:t>
      </w:r>
      <w:r w:rsidR="000B1715" w:rsidRPr="007A646F">
        <w:rPr>
          <w:rFonts w:ascii="Palatino Linotype" w:hAnsi="Palatino Linotype" w:cs="Arial"/>
        </w:rPr>
        <w:t xml:space="preserve">y </w:t>
      </w:r>
      <w:r w:rsidR="000B1715" w:rsidRPr="007A646F">
        <w:rPr>
          <w:rFonts w:ascii="Palatino Linotype" w:hAnsi="Palatino Linotype" w:cs="Arial"/>
          <w:b/>
        </w:rPr>
        <w:t xml:space="preserve">00078/CUAUTIZC/IP/2020/TSP/0006 </w:t>
      </w:r>
      <w:r w:rsidR="000B1715" w:rsidRPr="007A646F">
        <w:rPr>
          <w:rFonts w:ascii="Palatino Linotype" w:hAnsi="Palatino Linotype"/>
          <w:bCs/>
        </w:rPr>
        <w:t>turnó el requerimiento de información a los Servidores Públicos Habilitados que estimó pertinente, a fin de colmar la solicitud de acceso a la información; tal y como, se aprecia en la imagen siguiente:</w:t>
      </w:r>
    </w:p>
    <w:p w:rsidR="000B1715" w:rsidRPr="007A646F" w:rsidRDefault="000B1715" w:rsidP="00B9215F">
      <w:pPr>
        <w:spacing w:line="360" w:lineRule="auto"/>
        <w:jc w:val="both"/>
        <w:rPr>
          <w:rFonts w:ascii="Palatino Linotype" w:hAnsi="Palatino Linotype"/>
          <w:b/>
          <w:sz w:val="28"/>
          <w:szCs w:val="28"/>
        </w:rPr>
      </w:pPr>
    </w:p>
    <w:p w:rsidR="000B1715" w:rsidRPr="007A646F" w:rsidRDefault="000B1715" w:rsidP="00B9215F">
      <w:pPr>
        <w:spacing w:line="360" w:lineRule="auto"/>
        <w:jc w:val="both"/>
        <w:rPr>
          <w:rFonts w:ascii="Palatino Linotype" w:hAnsi="Palatino Linotype"/>
          <w:b/>
          <w:sz w:val="28"/>
          <w:szCs w:val="28"/>
        </w:rPr>
      </w:pPr>
      <w:r w:rsidRPr="007A646F">
        <w:rPr>
          <w:rFonts w:ascii="Palatino Linotype" w:hAnsi="Palatino Linotype"/>
          <w:b/>
          <w:noProof/>
          <w:sz w:val="28"/>
          <w:szCs w:val="28"/>
          <w:lang w:eastAsia="es-MX"/>
        </w:rPr>
        <w:lastRenderedPageBreak/>
        <w:drawing>
          <wp:inline distT="0" distB="0" distL="0" distR="0">
            <wp:extent cx="5791835" cy="29749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0">
                      <a:extLst>
                        <a:ext uri="{28A0092B-C50C-407E-A947-70E740481C1C}">
                          <a14:useLocalDpi xmlns:a14="http://schemas.microsoft.com/office/drawing/2010/main" val="0"/>
                        </a:ext>
                      </a:extLst>
                    </a:blip>
                    <a:stretch>
                      <a:fillRect/>
                    </a:stretch>
                  </pic:blipFill>
                  <pic:spPr>
                    <a:xfrm>
                      <a:off x="0" y="0"/>
                      <a:ext cx="5791835" cy="2974975"/>
                    </a:xfrm>
                    <a:prstGeom prst="rect">
                      <a:avLst/>
                    </a:prstGeom>
                  </pic:spPr>
                </pic:pic>
              </a:graphicData>
            </a:graphic>
          </wp:inline>
        </w:drawing>
      </w:r>
    </w:p>
    <w:p w:rsidR="000B1715" w:rsidRPr="007A646F" w:rsidRDefault="000B1715" w:rsidP="00B9215F">
      <w:pPr>
        <w:spacing w:line="360" w:lineRule="auto"/>
        <w:jc w:val="both"/>
        <w:rPr>
          <w:rFonts w:ascii="Palatino Linotype" w:hAnsi="Palatino Linotype"/>
          <w:b/>
          <w:sz w:val="28"/>
          <w:szCs w:val="28"/>
        </w:rPr>
      </w:pPr>
    </w:p>
    <w:p w:rsidR="001E1E29" w:rsidRPr="007A646F" w:rsidRDefault="000B1715" w:rsidP="00B9215F">
      <w:pPr>
        <w:spacing w:line="360" w:lineRule="auto"/>
        <w:jc w:val="both"/>
        <w:rPr>
          <w:rFonts w:ascii="Palatino Linotype" w:hAnsi="Palatino Linotype"/>
        </w:rPr>
      </w:pPr>
      <w:r w:rsidRPr="007A646F">
        <w:rPr>
          <w:rFonts w:ascii="Palatino Linotype" w:hAnsi="Palatino Linotype"/>
          <w:b/>
          <w:sz w:val="28"/>
          <w:szCs w:val="28"/>
        </w:rPr>
        <w:t>V</w:t>
      </w:r>
      <w:r w:rsidR="001E1E29" w:rsidRPr="007A646F">
        <w:rPr>
          <w:rFonts w:ascii="Palatino Linotype" w:hAnsi="Palatino Linotype"/>
          <w:b/>
          <w:sz w:val="28"/>
          <w:szCs w:val="28"/>
        </w:rPr>
        <w:t xml:space="preserve">. </w:t>
      </w:r>
      <w:r w:rsidR="001E1E29" w:rsidRPr="007A646F">
        <w:rPr>
          <w:rFonts w:ascii="Palatino Linotype" w:hAnsi="Palatino Linotype"/>
        </w:rPr>
        <w:t>De las constancias que obran en el expediente electrónico</w:t>
      </w:r>
      <w:r w:rsidR="001E1E29" w:rsidRPr="007A646F">
        <w:rPr>
          <w:rFonts w:ascii="Palatino Linotype" w:hAnsi="Palatino Linotype"/>
          <w:b/>
        </w:rPr>
        <w:t>,</w:t>
      </w:r>
      <w:r w:rsidR="001E1E29" w:rsidRPr="007A646F">
        <w:rPr>
          <w:rFonts w:ascii="Palatino Linotype" w:hAnsi="Palatino Linotype"/>
        </w:rPr>
        <w:t xml:space="preserve"> se advierte que en fecha </w:t>
      </w:r>
      <w:r w:rsidR="002E5083" w:rsidRPr="007A646F">
        <w:rPr>
          <w:rFonts w:ascii="Palatino Linotype" w:hAnsi="Palatino Linotype"/>
        </w:rPr>
        <w:t xml:space="preserve">doce de marzo de </w:t>
      </w:r>
      <w:r w:rsidR="001E1E29" w:rsidRPr="007A646F">
        <w:rPr>
          <w:rFonts w:ascii="Palatino Linotype" w:hAnsi="Palatino Linotype"/>
        </w:rPr>
        <w:t xml:space="preserve">dos mil </w:t>
      </w:r>
      <w:r w:rsidR="00967F3B" w:rsidRPr="007A646F">
        <w:rPr>
          <w:rFonts w:ascii="Palatino Linotype" w:hAnsi="Palatino Linotype"/>
        </w:rPr>
        <w:t>veinte</w:t>
      </w:r>
      <w:r w:rsidR="001E1E29" w:rsidRPr="007A646F">
        <w:rPr>
          <w:rFonts w:ascii="Palatino Linotype" w:hAnsi="Palatino Linotype"/>
        </w:rPr>
        <w:t xml:space="preserve">, </w:t>
      </w:r>
      <w:r w:rsidR="001E1E29" w:rsidRPr="007A646F">
        <w:rPr>
          <w:rFonts w:ascii="Palatino Linotype" w:hAnsi="Palatino Linotype"/>
          <w:b/>
        </w:rPr>
        <w:t xml:space="preserve">EL SUJETO OBLIGADO </w:t>
      </w:r>
      <w:r w:rsidR="001E1E29" w:rsidRPr="007A646F">
        <w:rPr>
          <w:rFonts w:ascii="Palatino Linotype" w:hAnsi="Palatino Linotype"/>
        </w:rPr>
        <w:t xml:space="preserve">requirió al </w:t>
      </w:r>
      <w:r w:rsidR="001E1E29" w:rsidRPr="007A646F">
        <w:rPr>
          <w:rFonts w:ascii="Palatino Linotype" w:hAnsi="Palatino Linotype"/>
          <w:b/>
        </w:rPr>
        <w:t xml:space="preserve">RECURRENTE </w:t>
      </w:r>
      <w:r w:rsidR="001E1E29" w:rsidRPr="007A646F">
        <w:rPr>
          <w:rFonts w:ascii="Palatino Linotype" w:hAnsi="Palatino Linotype"/>
        </w:rPr>
        <w:t>aclarara parte de la solicitud de información pública planteada, en los siguientes términos:</w:t>
      </w:r>
    </w:p>
    <w:p w:rsidR="001E1E29" w:rsidRPr="007A646F" w:rsidRDefault="001E1E29" w:rsidP="00B9215F">
      <w:pPr>
        <w:jc w:val="both"/>
        <w:rPr>
          <w:rFonts w:ascii="Palatino Linotype" w:hAnsi="Palatino Linotype" w:cs="Arial"/>
          <w:i/>
          <w:sz w:val="22"/>
          <w:szCs w:val="22"/>
          <w:lang w:eastAsia="es-MX"/>
        </w:rPr>
      </w:pPr>
    </w:p>
    <w:p w:rsidR="00967F3B" w:rsidRPr="007A646F" w:rsidRDefault="001E1E29" w:rsidP="00B9215F">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w:t>
      </w:r>
      <w:r w:rsidR="00967F3B" w:rsidRPr="007A646F">
        <w:rPr>
          <w:rFonts w:ascii="Palatino Linotype" w:hAnsi="Palatino Linotype" w:cs="Arial"/>
          <w:i/>
          <w:sz w:val="22"/>
          <w:szCs w:val="22"/>
          <w:lang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967F3B" w:rsidRPr="007A646F" w:rsidRDefault="00967F3B" w:rsidP="00B9215F">
      <w:pPr>
        <w:ind w:left="851" w:right="901"/>
        <w:jc w:val="both"/>
        <w:rPr>
          <w:rFonts w:ascii="Palatino Linotype" w:hAnsi="Palatino Linotype" w:cs="Arial"/>
          <w:i/>
          <w:sz w:val="22"/>
          <w:szCs w:val="22"/>
          <w:lang w:eastAsia="es-MX"/>
        </w:rPr>
      </w:pPr>
    </w:p>
    <w:p w:rsidR="00967F3B" w:rsidRPr="007A646F" w:rsidRDefault="00967F3B" w:rsidP="00B9215F">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 xml:space="preserve">Por medio del presente y con fundamento en los artículos 3, 11, 40, 41, 46, 53 fracciones II, V y VI y demás relativos y aplicables de la Ley de Transparencia y Acceso a la Información Pública del Estado de México y Municipios, así como el numeral TREINTA Y OCHO inciso d), de sus Lineamientos para la recepción, trámite y resolución de las solicitudes de acceso a la información, así como de los Recursos de Revisión que deberán de observar los Sujetos Obligados por la Ley de Transparencia y Acceso a la Información Pública del Estado de México y Municipios; le informo la contestación que a su solicitud efectuó (1)IMIEMH, </w:t>
      </w:r>
      <w:r w:rsidRPr="007A646F">
        <w:rPr>
          <w:rFonts w:ascii="Palatino Linotype" w:hAnsi="Palatino Linotype" w:cs="Arial"/>
          <w:i/>
          <w:sz w:val="22"/>
          <w:szCs w:val="22"/>
          <w:lang w:eastAsia="es-MX"/>
        </w:rPr>
        <w:lastRenderedPageBreak/>
        <w:t>(2)Comisaria General de Seguridad Pública y Tránsito, (3)Coordinación de Comunicación Social, (4)Tesorería Municipal, (5)Unidad de Transparencia/Incompetencia Parcial, (6)Tercer Sindicatura y (7)Quinta Regiduría. 1.- “Por medio del presente le envió un cordial saludo y en atención al seguimiento de la información solicitada mediante el Sistema de Acceso a la Información Mexiquense SAIMEX, con folio de solicitud 00078/CUAUTIZC/IP/2020, el cual dice: “Información sobre acciones de atención y seguimiento de la alerta de violencia de género del año 2019 a la fecha, se detalla con una guía de preguntas que solicito responda</w:t>
      </w:r>
      <w:proofErr w:type="gramStart"/>
      <w:r w:rsidRPr="007A646F">
        <w:rPr>
          <w:rFonts w:ascii="Palatino Linotype" w:hAnsi="Palatino Linotype" w:cs="Arial"/>
          <w:i/>
          <w:sz w:val="22"/>
          <w:szCs w:val="22"/>
          <w:lang w:eastAsia="es-MX"/>
        </w:rPr>
        <w:t>. ”</w:t>
      </w:r>
      <w:proofErr w:type="gramEnd"/>
      <w:r w:rsidRPr="007A646F">
        <w:rPr>
          <w:rFonts w:ascii="Palatino Linotype" w:hAnsi="Palatino Linotype" w:cs="Arial"/>
          <w:i/>
          <w:sz w:val="22"/>
          <w:szCs w:val="22"/>
          <w:lang w:eastAsia="es-MX"/>
        </w:rPr>
        <w:t xml:space="preserve">SIC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de la persona encargada de dar seguimiento a la Declaratoria de Alerta de Violencia contra las Mujeres, en representación del o presidenta municipal. Se pide desagregar la información por nombre, edad, escolaridad, cargo, área o dependencia, perfil y experiencia en temas de violencia contra las mujeres.” SIC En virtud de lo anterior, me permito informar lo siguiente: NOMBRE EDAD ESCOLARIDAD CARGO, ÁREA O DEPENDENCIA PERFIL Y EXPERIENCIA Lidia Ramos Camacho 55 Años Licenciatura en Ciencias Políticas y Administración Pública. Titular del Instituto Municipal para la Igualdad entre Mujeres y Hombres de Cuautitlán Izcalli. ? Certificado de competencia laboral en el estándar de competencia. Atención presencial de primer contacto a mujeres víctimas de violencia de género. ? Certificado de competencia laboral en el estándar de competencia Coordinación de refugios para mujeres víctimas de violencia familiar; sus hijas e </w:t>
      </w:r>
      <w:proofErr w:type="gramStart"/>
      <w:r w:rsidRPr="007A646F">
        <w:rPr>
          <w:rFonts w:ascii="Palatino Linotype" w:hAnsi="Palatino Linotype" w:cs="Arial"/>
          <w:i/>
          <w:sz w:val="22"/>
          <w:szCs w:val="22"/>
          <w:lang w:eastAsia="es-MX"/>
        </w:rPr>
        <w:t>hijos ?</w:t>
      </w:r>
      <w:proofErr w:type="gramEnd"/>
      <w:r w:rsidRPr="007A646F">
        <w:rPr>
          <w:rFonts w:ascii="Palatino Linotype" w:hAnsi="Palatino Linotype" w:cs="Arial"/>
          <w:i/>
          <w:sz w:val="22"/>
          <w:szCs w:val="22"/>
          <w:lang w:eastAsia="es-MX"/>
        </w:rPr>
        <w:t xml:space="preserve"> Diplomado acompañamiento a víctimas de violencia y catástrofes (en curso</w:t>
      </w:r>
      <w:proofErr w:type="gramStart"/>
      <w:r w:rsidRPr="007A646F">
        <w:rPr>
          <w:rFonts w:ascii="Palatino Linotype" w:hAnsi="Palatino Linotype" w:cs="Arial"/>
          <w:i/>
          <w:sz w:val="22"/>
          <w:szCs w:val="22"/>
          <w:lang w:eastAsia="es-MX"/>
        </w:rPr>
        <w:t>) ?</w:t>
      </w:r>
      <w:proofErr w:type="gramEnd"/>
      <w:r w:rsidRPr="007A646F">
        <w:rPr>
          <w:rFonts w:ascii="Palatino Linotype" w:hAnsi="Palatino Linotype" w:cs="Arial"/>
          <w:i/>
          <w:sz w:val="22"/>
          <w:szCs w:val="22"/>
          <w:lang w:eastAsia="es-MX"/>
        </w:rPr>
        <w:t xml:space="preserve"> </w:t>
      </w:r>
      <w:proofErr w:type="spellStart"/>
      <w:r w:rsidRPr="007A646F">
        <w:rPr>
          <w:rFonts w:ascii="Palatino Linotype" w:hAnsi="Palatino Linotype" w:cs="Arial"/>
          <w:i/>
          <w:sz w:val="22"/>
          <w:szCs w:val="22"/>
          <w:lang w:eastAsia="es-MX"/>
        </w:rPr>
        <w:t>Maestria</w:t>
      </w:r>
      <w:proofErr w:type="spellEnd"/>
      <w:r w:rsidRPr="007A646F">
        <w:rPr>
          <w:rFonts w:ascii="Palatino Linotype" w:hAnsi="Palatino Linotype" w:cs="Arial"/>
          <w:i/>
          <w:sz w:val="22"/>
          <w:szCs w:val="22"/>
          <w:lang w:eastAsia="es-MX"/>
        </w:rPr>
        <w:t xml:space="preserve"> en Género, Derecho y Proceso Penal (en curso)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de los programas para prevenir y atender la violencia contra las mujeres del Instituto Municipal de la Mujer.” SIC En virtud de lo anterior, me permito informar lo siguiente: El Instituto Municipal para la Igualdad entre Mujeres y Hombres de Cuautitlán Izcalli, cuenta con los siguientes programas para prevenir y atender la violencia contra las mujeres: ATENCIÓN PSICOLÓGICA: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Autoestima. ? Relación de parejas. ? Relaciones destructivas (violencia). ? Manejo de emociones. ? Depresión. ? Duelo. ASESORÍA JURÍDICA EN MATERIA DE VIOLENCIA FAMILIAR: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Registro Civil. ? Matrimonio. ? Nulidad de matrimonio. ? Divorcio </w:t>
      </w:r>
      <w:proofErr w:type="spellStart"/>
      <w:r w:rsidRPr="007A646F">
        <w:rPr>
          <w:rFonts w:ascii="Palatino Linotype" w:hAnsi="Palatino Linotype" w:cs="Arial"/>
          <w:i/>
          <w:sz w:val="22"/>
          <w:szCs w:val="22"/>
          <w:lang w:eastAsia="es-MX"/>
        </w:rPr>
        <w:t>incausado</w:t>
      </w:r>
      <w:proofErr w:type="spellEnd"/>
      <w:r w:rsidRPr="007A646F">
        <w:rPr>
          <w:rFonts w:ascii="Palatino Linotype" w:hAnsi="Palatino Linotype" w:cs="Arial"/>
          <w:i/>
          <w:sz w:val="22"/>
          <w:szCs w:val="22"/>
          <w:lang w:eastAsia="es-MX"/>
        </w:rPr>
        <w:t xml:space="preserve"> y voluntario. ? Actas de nacimiento reconocimiento. ? Procedimiento de violencia familiar en ámbito civil. ASESORÍA JURÍDICA EN MATERIA PENAL: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w:t>
      </w:r>
      <w:proofErr w:type="spellStart"/>
      <w:r w:rsidRPr="007A646F">
        <w:rPr>
          <w:rFonts w:ascii="Palatino Linotype" w:hAnsi="Palatino Linotype" w:cs="Arial"/>
          <w:i/>
          <w:sz w:val="22"/>
          <w:szCs w:val="22"/>
          <w:lang w:eastAsia="es-MX"/>
        </w:rPr>
        <w:t>Feminicidio</w:t>
      </w:r>
      <w:proofErr w:type="spellEnd"/>
      <w:r w:rsidRPr="007A646F">
        <w:rPr>
          <w:rFonts w:ascii="Palatino Linotype" w:hAnsi="Palatino Linotype" w:cs="Arial"/>
          <w:i/>
          <w:sz w:val="22"/>
          <w:szCs w:val="22"/>
          <w:lang w:eastAsia="es-MX"/>
        </w:rPr>
        <w:t xml:space="preserve">. ? Secuestro. ? Trata de personas. ? Sustracción de menor. ? Hostigamiento y acoso sexual. ? Violación. ? Robo. ? Lesiones. ? </w:t>
      </w:r>
      <w:proofErr w:type="spellStart"/>
      <w:r w:rsidRPr="007A646F">
        <w:rPr>
          <w:rFonts w:ascii="Palatino Linotype" w:hAnsi="Palatino Linotype" w:cs="Arial"/>
          <w:i/>
          <w:sz w:val="22"/>
          <w:szCs w:val="22"/>
          <w:lang w:eastAsia="es-MX"/>
        </w:rPr>
        <w:t>Estrupo</w:t>
      </w:r>
      <w:proofErr w:type="spellEnd"/>
      <w:r w:rsidRPr="007A646F">
        <w:rPr>
          <w:rFonts w:ascii="Palatino Linotype" w:hAnsi="Palatino Linotype" w:cs="Arial"/>
          <w:i/>
          <w:sz w:val="22"/>
          <w:szCs w:val="22"/>
          <w:lang w:eastAsia="es-MX"/>
        </w:rPr>
        <w:t xml:space="preserve">. ? Procedimiento de Violencia </w:t>
      </w:r>
      <w:proofErr w:type="spellStart"/>
      <w:r w:rsidRPr="007A646F">
        <w:rPr>
          <w:rFonts w:ascii="Palatino Linotype" w:hAnsi="Palatino Linotype" w:cs="Arial"/>
          <w:i/>
          <w:sz w:val="22"/>
          <w:szCs w:val="22"/>
          <w:lang w:eastAsia="es-MX"/>
        </w:rPr>
        <w:t>Familiaren</w:t>
      </w:r>
      <w:proofErr w:type="spellEnd"/>
      <w:r w:rsidRPr="007A646F">
        <w:rPr>
          <w:rFonts w:ascii="Palatino Linotype" w:hAnsi="Palatino Linotype" w:cs="Arial"/>
          <w:i/>
          <w:sz w:val="22"/>
          <w:szCs w:val="22"/>
          <w:lang w:eastAsia="es-MX"/>
        </w:rPr>
        <w:t xml:space="preserve"> ámbito penal. TALLERES MOTIVACIONALES: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Mi prioridad soy yo. ? Yo elijo ser feliz. ? Estrés emocional. ? </w:t>
      </w:r>
      <w:proofErr w:type="spellStart"/>
      <w:r w:rsidRPr="007A646F">
        <w:rPr>
          <w:rFonts w:ascii="Palatino Linotype" w:hAnsi="Palatino Linotype" w:cs="Arial"/>
          <w:i/>
          <w:sz w:val="22"/>
          <w:szCs w:val="22"/>
          <w:lang w:eastAsia="es-MX"/>
        </w:rPr>
        <w:t>Risoterapia</w:t>
      </w:r>
      <w:proofErr w:type="spellEnd"/>
      <w:r w:rsidRPr="007A646F">
        <w:rPr>
          <w:rFonts w:ascii="Palatino Linotype" w:hAnsi="Palatino Linotype" w:cs="Arial"/>
          <w:i/>
          <w:sz w:val="22"/>
          <w:szCs w:val="22"/>
          <w:lang w:eastAsia="es-MX"/>
        </w:rPr>
        <w:t xml:space="preserve">. ? Buen trato (paz, no violencia). ? </w:t>
      </w:r>
      <w:r w:rsidRPr="007A646F">
        <w:rPr>
          <w:rFonts w:ascii="Palatino Linotype" w:hAnsi="Palatino Linotype" w:cs="Arial"/>
          <w:i/>
          <w:sz w:val="22"/>
          <w:szCs w:val="22"/>
          <w:lang w:eastAsia="es-MX"/>
        </w:rPr>
        <w:lastRenderedPageBreak/>
        <w:t>Vibrando de armonía. (</w:t>
      </w:r>
      <w:proofErr w:type="spellStart"/>
      <w:proofErr w:type="gramStart"/>
      <w:r w:rsidRPr="007A646F">
        <w:rPr>
          <w:rFonts w:ascii="Palatino Linotype" w:hAnsi="Palatino Linotype" w:cs="Arial"/>
          <w:i/>
          <w:sz w:val="22"/>
          <w:szCs w:val="22"/>
          <w:lang w:eastAsia="es-MX"/>
        </w:rPr>
        <w:t>thetahealing</w:t>
      </w:r>
      <w:proofErr w:type="spellEnd"/>
      <w:proofErr w:type="gramEnd"/>
      <w:r w:rsidRPr="007A646F">
        <w:rPr>
          <w:rFonts w:ascii="Palatino Linotype" w:hAnsi="Palatino Linotype" w:cs="Arial"/>
          <w:i/>
          <w:sz w:val="22"/>
          <w:szCs w:val="22"/>
          <w:lang w:eastAsia="es-MX"/>
        </w:rPr>
        <w:t xml:space="preserve">) ? Viviendo mi tercera edad con dignidad. ? </w:t>
      </w:r>
      <w:proofErr w:type="spellStart"/>
      <w:r w:rsidRPr="007A646F">
        <w:rPr>
          <w:rFonts w:ascii="Palatino Linotype" w:hAnsi="Palatino Linotype" w:cs="Arial"/>
          <w:i/>
          <w:sz w:val="22"/>
          <w:szCs w:val="22"/>
          <w:lang w:eastAsia="es-MX"/>
        </w:rPr>
        <w:t>Bailoterapia</w:t>
      </w:r>
      <w:proofErr w:type="spellEnd"/>
      <w:r w:rsidRPr="007A646F">
        <w:rPr>
          <w:rFonts w:ascii="Palatino Linotype" w:hAnsi="Palatino Linotype" w:cs="Arial"/>
          <w:i/>
          <w:sz w:val="22"/>
          <w:szCs w:val="22"/>
          <w:lang w:eastAsia="es-MX"/>
        </w:rPr>
        <w:t xml:space="preserve">. ? Autoestima. ? </w:t>
      </w:r>
      <w:proofErr w:type="spellStart"/>
      <w:r w:rsidRPr="007A646F">
        <w:rPr>
          <w:rFonts w:ascii="Palatino Linotype" w:hAnsi="Palatino Linotype" w:cs="Arial"/>
          <w:i/>
          <w:sz w:val="22"/>
          <w:szCs w:val="22"/>
          <w:lang w:eastAsia="es-MX"/>
        </w:rPr>
        <w:t>Abrazoterapia</w:t>
      </w:r>
      <w:proofErr w:type="spellEnd"/>
      <w:r w:rsidRPr="007A646F">
        <w:rPr>
          <w:rFonts w:ascii="Palatino Linotype" w:hAnsi="Palatino Linotype" w:cs="Arial"/>
          <w:i/>
          <w:sz w:val="22"/>
          <w:szCs w:val="22"/>
          <w:lang w:eastAsia="es-MX"/>
        </w:rPr>
        <w:t>. ? Cerrando ciclos. PLÁTICAS: (NIÑOS Y NIÑAS DE PRIMARIA</w:t>
      </w:r>
      <w:proofErr w:type="gramStart"/>
      <w:r w:rsidRPr="007A646F">
        <w:rPr>
          <w:rFonts w:ascii="Palatino Linotype" w:hAnsi="Palatino Linotype" w:cs="Arial"/>
          <w:i/>
          <w:sz w:val="22"/>
          <w:szCs w:val="22"/>
          <w:lang w:eastAsia="es-MX"/>
        </w:rPr>
        <w:t>) ?</w:t>
      </w:r>
      <w:proofErr w:type="gramEnd"/>
      <w:r w:rsidRPr="007A646F">
        <w:rPr>
          <w:rFonts w:ascii="Palatino Linotype" w:hAnsi="Palatino Linotype" w:cs="Arial"/>
          <w:i/>
          <w:sz w:val="22"/>
          <w:szCs w:val="22"/>
          <w:lang w:eastAsia="es-MX"/>
        </w:rPr>
        <w:t xml:space="preserve"> Yo te respeto, yo te valoro (discapacidad). ? Violencia Escolar. ? Valores y principios. ? Autoestima.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(PADRES DE FAMILIA) ? Predicando con el ejemplo. ? Reglas y </w:t>
      </w:r>
      <w:proofErr w:type="spellStart"/>
      <w:r w:rsidRPr="007A646F">
        <w:rPr>
          <w:rFonts w:ascii="Palatino Linotype" w:hAnsi="Palatino Linotype" w:cs="Arial"/>
          <w:i/>
          <w:sz w:val="22"/>
          <w:szCs w:val="22"/>
          <w:lang w:eastAsia="es-MX"/>
        </w:rPr>
        <w:t>limites</w:t>
      </w:r>
      <w:proofErr w:type="spellEnd"/>
      <w:r w:rsidRPr="007A646F">
        <w:rPr>
          <w:rFonts w:ascii="Palatino Linotype" w:hAnsi="Palatino Linotype" w:cs="Arial"/>
          <w:i/>
          <w:sz w:val="22"/>
          <w:szCs w:val="22"/>
          <w:lang w:eastAsia="es-MX"/>
        </w:rPr>
        <w:t>. ? Violencia familiar. ? Tiempo de calidad. (ADOLESCENTES Y JÓVENES DE SECUNDARIA Y MEDIA SUPERIOR</w:t>
      </w:r>
      <w:proofErr w:type="gramStart"/>
      <w:r w:rsidRPr="007A646F">
        <w:rPr>
          <w:rFonts w:ascii="Palatino Linotype" w:hAnsi="Palatino Linotype" w:cs="Arial"/>
          <w:i/>
          <w:sz w:val="22"/>
          <w:szCs w:val="22"/>
          <w:lang w:eastAsia="es-MX"/>
        </w:rPr>
        <w:t>) ?</w:t>
      </w:r>
      <w:proofErr w:type="gramEnd"/>
      <w:r w:rsidRPr="007A646F">
        <w:rPr>
          <w:rFonts w:ascii="Palatino Linotype" w:hAnsi="Palatino Linotype" w:cs="Arial"/>
          <w:i/>
          <w:sz w:val="22"/>
          <w:szCs w:val="22"/>
          <w:lang w:eastAsia="es-MX"/>
        </w:rPr>
        <w:t xml:space="preserve"> Relaciones destructivas y violencia en el noviazgo. ? Prevención del embarazo adolescente. ? Alerta de violencia de género. ? Nuevas masculinidades. ? Delitos sexuales. ? </w:t>
      </w:r>
      <w:proofErr w:type="spellStart"/>
      <w:r w:rsidRPr="007A646F">
        <w:rPr>
          <w:rFonts w:ascii="Palatino Linotype" w:hAnsi="Palatino Linotype" w:cs="Arial"/>
          <w:i/>
          <w:sz w:val="22"/>
          <w:szCs w:val="22"/>
          <w:lang w:eastAsia="es-MX"/>
        </w:rPr>
        <w:t>Bullying</w:t>
      </w:r>
      <w:proofErr w:type="spellEnd"/>
      <w:r w:rsidRPr="007A646F">
        <w:rPr>
          <w:rFonts w:ascii="Palatino Linotype" w:hAnsi="Palatino Linotype" w:cs="Arial"/>
          <w:i/>
          <w:sz w:val="22"/>
          <w:szCs w:val="22"/>
          <w:lang w:eastAsia="es-MX"/>
        </w:rPr>
        <w:t xml:space="preserve">. ? Violencia familiar. ? Valores. TEATRO GUIÑOL: Con la finalidad de fomentar una cultura libre de violencia y de no discriminación, mediante la presentación de una obra con títeres; dirigido a niños y niñas de nivel preescolar y primaria. CINEDEBATES: Con el propósito de brindar herramientas a las niñas, niños y adolescentes sobre la manera de intervenir en una situación de violencia, en el ámbito familiar, escolar o en la comunidad. JORNADAS PARA PREVENIR, ATENDER Y ERRADICAR LA VIOLENCIA DE GÉNERO. Con el objetivo de proporcionar una atención integral a las mujeres ya que son más vulnerables que los hombres en cuestión de salud, dado a que las mujeres requieren usar más los servicios de salud y se agrava la situación de ellas cuando no cuentan con un ingreso como tal y viven en zonas con alto índice de violencia, ya que en su mayoría se dedican al hogar y no tienen independencia económica.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“Informe o diagnóstico sobre tipos y modalidades de violencia contra las mujeres”. SIC “Se requieren informes que el municipio tenga respecto a la situación de violencia contra las mujeres en el municipio que brinden datos cuantitativos y preferentemente cualitativos.” SIC En virtud de lo anterior, me permito informar lo siguiente: CONTEXTO SOCIAL México tiene una población total de 119</w:t>
      </w:r>
      <w:proofErr w:type="gramStart"/>
      <w:r w:rsidRPr="007A646F">
        <w:rPr>
          <w:rFonts w:ascii="Palatino Linotype" w:hAnsi="Palatino Linotype" w:cs="Arial"/>
          <w:i/>
          <w:sz w:val="22"/>
          <w:szCs w:val="22"/>
          <w:lang w:eastAsia="es-MX"/>
        </w:rPr>
        <w:t>,938,473</w:t>
      </w:r>
      <w:proofErr w:type="gramEnd"/>
      <w:r w:rsidRPr="007A646F">
        <w:rPr>
          <w:rFonts w:ascii="Palatino Linotype" w:hAnsi="Palatino Linotype" w:cs="Arial"/>
          <w:i/>
          <w:sz w:val="22"/>
          <w:szCs w:val="22"/>
          <w:lang w:eastAsia="es-MX"/>
        </w:rPr>
        <w:t xml:space="preserve"> habitantes, de los cuales el 51.43% son mujeres y 48.57% son hombres. El grado promedio de escolaridad de la población de 15 años y más, es de 9.01 años para las mujeres y 9.33 años para los hombres. La tasa de participación económica es del 42.52% en mujeres y 77.09% en hombres, lo que indica una brecha del 34.47% de la población susceptible de incorporarse a la actividad económica. Las mujeres sin ingresos propios o de otras fuentes representa el 35.4% de la población femenina. El 14.3% de las mujeres sólo disponen de ingresos por apoyos de programas gubernamentales y/o de becas para ella o para sus hijas e hijos. Sólo el 24.3% de las mujeres son propietarias de algún bien o propiedad, el 28.6% no dispone de ingresos ni bienes; y sólo el 45% tiene la disponibilidad de utilizar su dinero como quiera. POBREZA A nivel nacional por cada 100 hogares en condición de pobreza, 33.4 son hogares con jefatura femenina. Del porcentaje de población en condición de vulnerabilidad por carencias sociales, el 25.26% son </w:t>
      </w:r>
      <w:r w:rsidRPr="007A646F">
        <w:rPr>
          <w:rFonts w:ascii="Palatino Linotype" w:hAnsi="Palatino Linotype" w:cs="Arial"/>
          <w:i/>
          <w:sz w:val="22"/>
          <w:szCs w:val="22"/>
          <w:lang w:eastAsia="es-MX"/>
        </w:rPr>
        <w:lastRenderedPageBreak/>
        <w:t xml:space="preserve">mujeres y 27.30% son hombres. Del porcentaje de población en condiciones de pobreza multidimensional, el 46.33% son mujeres y el 45.97% son hombres. Del porcentaje de la población en condición de vulnerabilidad por ingresos, el 7.47% son mujeres y el 6.65% son hombres. Finalmente, el 9.65% de la población en pobreza extrema son mujeres y el 9.43% hombres. USO DEL TIEMPO Y DIVISIÓN DEL TRABAJO Las mujeres realizan 48.55 horas semanales de trabajo no remunerado, mientras que los hombres realizan 19.57 horas. Semanalmente las mujeres realizan 25.03 horas de trabajo no remunerado en quehaceres domésticos y los hombres 9.98 horas, esto representa una brecha de 15.05 horas. El porcentaje de la población de 12 años y más que realiza trabajo no remunerado en el hogar es del 88.82% en las mujeres y el 57.13% en hombres. En el cuidado de niños y niñas, el 38.3% es realizado sólo por mujeres, el 1.0% sólo por hombres y el 20.9% por ambos. El 68.6% de los quehaceres domésticos es realizado sólo por mujeres, el 0.7% sólo por hombres y el 30.2% por ambos. En cuanto a las reparaciones en la vivienda, el 8.0% es realizado sólo por mujeres, mientras que el 46.3% es realizado sólo por hombres y el 42.5% por ambos. Finalmente, el 26.7% de la atención a personas enfermas es realizado sólo por mujeres, el 1.5% sólo por hombres y el 17.9% por ambos. OPINIÓN SOBRE LOS ROLES MASCULINOS Y FEMENINOS Representa la opinión de las mujeres mayores de 15 años sobre los roles de género, según la Encuesta Nacional sobre la Dinámica de las Relaciones en los Hogares 2016 (ENDIREH) del INEGI. Indicador De acuerdo (porcentaje) Desacuerdo (porcentaje) Las mujeres deben ser responsables del cuidado de niños y niñas, ancianos y enfermos 37.3 62.7 Los hombres deben ganar más salario que las mujeres 14.3 85.7 Las mujeres deben ser igual de responsables que los hombres de traer dinero a casa 69.6 30.4 Los hombres deben encargarse al igual que las mujeres de las tareas de la casa y del cuidado de niños, niñas, enfermos y ancianos 87.3 12.7 Las mujeres deben tener derecho a salir solas en la noche a divertirse 53.0 47.0 Los hombres deben ocupar mejores puestos que las mujeres en los trabajos 10.4 89.6 Las mujeres que trabajan descuidan a sus hijos 47.6 52.4 Las mujeres deben vestirse sin escotes para que no las molesten 32.2 67.8 Las mujeres casadas deben tener relaciones sexuales con su esposo cuando él quiera 8.0 92.0 PREVALENCIA DE VIOLENCIA La proporción de las mujeres mayores de 15 años, actualmente casadas o unidas, que declararon haber experimentado al menos un incidente de violencia física y/o sexual por parte de su esposo o pareja actual en los últimos doce meses, es de 7.83% a nivel nacional y 9.15% en el Estado de México. A nivel nacional el 62.77% de las mujeres mayores de 15 años han sufrido al menos un incidente de violencia de cualquier tipo y en cualquier ámbito a lo largo de su vida. En el Estado de México la cifra es de 73.42%. Del total de decesos reportados a nivel nacional, el 4.37% está relacionado a defunciones por homicidio de mujeres y </w:t>
      </w:r>
      <w:r w:rsidRPr="007A646F">
        <w:rPr>
          <w:rFonts w:ascii="Palatino Linotype" w:hAnsi="Palatino Linotype" w:cs="Arial"/>
          <w:i/>
          <w:sz w:val="22"/>
          <w:szCs w:val="22"/>
          <w:lang w:eastAsia="es-MX"/>
        </w:rPr>
        <w:lastRenderedPageBreak/>
        <w:t xml:space="preserve">para el Estado de México representa el 5.60%. Más del 36.5% de las mujeres que sufrieron violencia no le contaron a nadie y el 91.2% no solicitó apoyo a ninguna institución ni presentó queja o denuncia ante alguna autoridad. ÁMBITO ESCOLAR En los últimos 12 meses el 82.4% de las mujeres mayores de 15 años no asistió a la escuela. El 25.3% de las mujeres han sufrido algún incidente de violencia escolar a lo largo de su vida y el 17.4% en los últimos doce meses. Tipo de violencia A lo largo de su vida (porcentaje) Últimos 12 meses (porcentaje) Violencia emocional 10.4 7.8 Violencia física 16.7 6.3 Violencia sexual 10.9 10.7 ÁMBITO LABORAL Del total de mujeres mayores de 15 años, el 51.1% ha trabajado en los últimos cinco años, el 43.2% reporta haber trabajado en los últimos 12 meses y el 28.9% jamás ha trabajado. El 16.5% de la mujer han sufrido violencia laboral a lo largo de su vida y el 10.2% reporta haber sufrido violencia laboral en los últimos 12 meses. Las cifras de violencia laboral a lo largo de la vida por tipo de agresor son: Tipo de agresor A lo largo de la vida (porcentaje) Violencia emocional ejercida por el jefe o patrón 20.5 Violencia sexual ejercida por el jefe o patrón 26.1 Violencia emocional ejercida por un compañero de trabajo 35.6 Violencia sexual ejercida por un compañero de trabajo 29.1 ÁMBITO DE PAREJA El 58% de las mujeres reportan que su pareja siempre se enoja por alguna razón, los motivos de conflicto más frecuentes son: el 20.3% se enoja porque su pareja habla con otros hombres, el 14.7% de los hombres se enoja porque su pareja no avisa o pide permiso de salir con amistades, el 12.9% porque ella no desea tener relaciones sexuales, el 19.31% se enoja porque ella le dice o le recuerda sus obligaciones y el 11.9% de las mujeres reportan que él se enoja por todo sin razón aparente. A lo largo de la vida el 43.9% de las mujeres han sufrido violencia por parte de su pareja y el 53.1% de las mujeres han sufrido violencia por parte de otros agresores. Tipo de violencia Por parte de su pareja (porcentaje) Por parte de otros agresores (porcentaje) Emocional 40.1 26.6 Física 17.9 23.4 Sexual 6.5 38.8 Económica 20.9 13.7 El 95.1% de las mujeres reportan haber sido agredidas en la calle o en el transporte público, el 5.5% en casa, el 13.3% en la escuela u oficina y el 5.1% en el cine, centro comercial u otro espacio público. Fuente: elaboración propia de la Unidad de Relaciones Interinstitucionales y Estadística del Instituto Municipal para la Igualdad entre Mujeres y Hombres de Cuautitlán Izcalli, con los datos de la Encuesta Nacional sobre la Dinámica de las Relaciones en los Hogares 2016 (ENDIREH) del INEGI. Una vez que la Comisión Mexicana de Defensa y Promoción de los Derechos Humanos, A.C. y el Observatorio Ciudadano Nacional del </w:t>
      </w:r>
      <w:proofErr w:type="spellStart"/>
      <w:r w:rsidRPr="007A646F">
        <w:rPr>
          <w:rFonts w:ascii="Palatino Linotype" w:hAnsi="Palatino Linotype" w:cs="Arial"/>
          <w:i/>
          <w:sz w:val="22"/>
          <w:szCs w:val="22"/>
          <w:lang w:eastAsia="es-MX"/>
        </w:rPr>
        <w:t>Feminicidio</w:t>
      </w:r>
      <w:proofErr w:type="spellEnd"/>
      <w:r w:rsidRPr="007A646F">
        <w:rPr>
          <w:rFonts w:ascii="Palatino Linotype" w:hAnsi="Palatino Linotype" w:cs="Arial"/>
          <w:i/>
          <w:sz w:val="22"/>
          <w:szCs w:val="22"/>
          <w:lang w:eastAsia="es-MX"/>
        </w:rPr>
        <w:t xml:space="preserve"> solicitaron a la Comisión Nacional para Prevenir y Erradicar la Violencia Contra las Mujeres (CONAVIM) la declaratoria de AVG, en 2015 que es aprobada en el Estado de México durante el periodo 2015-2016, represento el 15.91% de los homicidios a nivel nacional. El total de homicidios de mujeres </w:t>
      </w:r>
      <w:r w:rsidRPr="007A646F">
        <w:rPr>
          <w:rFonts w:ascii="Palatino Linotype" w:hAnsi="Palatino Linotype" w:cs="Arial"/>
          <w:i/>
          <w:sz w:val="22"/>
          <w:szCs w:val="22"/>
          <w:lang w:eastAsia="es-MX"/>
        </w:rPr>
        <w:lastRenderedPageBreak/>
        <w:t xml:space="preserve">durante 2012- 2016 fue de 2 049. Así es que durante el período 1990- 2016 el Estado de México se colocó en el 1er lugar a nivel nacional por asesinatos a mujeres. En el ámbito municipal los once municipios declarados en AVGM cuenta con su propia institución jurídicamente constituida, dirigidos todos por una mujer y que conforme a su Reglamento y/o su Bando Municipal se contiene cada una de las atribuciones de cada actor responsable para el período 2016-2018, a excepción del municipio de Chimalhuacán el cual no cuenta con un reglamento actualizado desde el año 2016. Tabla. Institutos Municipales Responsables Municipio Población Unidad Responsable Chalco 343 701 Instituto Municipal de las Mujeres Chimalhuacán 679 811 Consejo Municipal de la Mujer Ecatepec de Morelos 1 677 678 Coordinación del Instituto de la Mujer Ixtapaluca 495 563 Instituto de la Mujer Naucalpan de Juárez 844 519 Instituto Municipal de la Mujer Nezahualcóyotl 1 039 867 Instituto Municipal de Atención a la Mujer Tlalnepantla de Baz 700 734 Instituto Municipal para la Igualdad y el Desarrollo de las Mujeres. Toluca 873 536 Instituto Municipal de la Mujer Tultitlán 520 557 Instituto Municipal para la Protección de la Mujer Cuautitlán Izcalli 531 041 Instituto Municipal para la Igualdad entre Mujeres y Hombres. Valle de Chalco Solidaridad 396 157 Dirección de Atención a la Mujer Fuente: Elaboración propia con datos de la Encuesta </w:t>
      </w:r>
      <w:proofErr w:type="spellStart"/>
      <w:r w:rsidRPr="007A646F">
        <w:rPr>
          <w:rFonts w:ascii="Palatino Linotype" w:hAnsi="Palatino Linotype" w:cs="Arial"/>
          <w:i/>
          <w:sz w:val="22"/>
          <w:szCs w:val="22"/>
          <w:lang w:eastAsia="es-MX"/>
        </w:rPr>
        <w:t>Intercensal</w:t>
      </w:r>
      <w:proofErr w:type="spellEnd"/>
      <w:r w:rsidRPr="007A646F">
        <w:rPr>
          <w:rFonts w:ascii="Palatino Linotype" w:hAnsi="Palatino Linotype" w:cs="Arial"/>
          <w:i/>
          <w:sz w:val="22"/>
          <w:szCs w:val="22"/>
          <w:lang w:eastAsia="es-MX"/>
        </w:rPr>
        <w:t xml:space="preserve"> del INEGI y en la Fracción IIB Estructura Orgánica de la Plataforma de Transparencia de Información Pública de Oficio Mexiquense (IPOMEX), 2018 Los institutos dentro de su reglamento interior incluyeron funciones que contemplaran acciones dirigidas a mitigar el tema de la brecha de género y garantía de los derechos de las mujeres, resaltando la utilización del mecanismo de AVG para la erradicación de violencia, así como que el diseño de las políticas funcionara de manera transversal en la política social en su conjunto De acuerdo a la Encuesta </w:t>
      </w:r>
      <w:proofErr w:type="spellStart"/>
      <w:r w:rsidRPr="007A646F">
        <w:rPr>
          <w:rFonts w:ascii="Palatino Linotype" w:hAnsi="Palatino Linotype" w:cs="Arial"/>
          <w:i/>
          <w:sz w:val="22"/>
          <w:szCs w:val="22"/>
          <w:lang w:eastAsia="es-MX"/>
        </w:rPr>
        <w:t>Intercensal</w:t>
      </w:r>
      <w:proofErr w:type="spellEnd"/>
      <w:r w:rsidRPr="007A646F">
        <w:rPr>
          <w:rFonts w:ascii="Palatino Linotype" w:hAnsi="Palatino Linotype" w:cs="Arial"/>
          <w:i/>
          <w:sz w:val="22"/>
          <w:szCs w:val="22"/>
          <w:lang w:eastAsia="es-MX"/>
        </w:rPr>
        <w:t xml:space="preserve"> 2015 del INEGI, del total de la población, 274,001 son mujeres, representando el 51.60%, como se aprecia en el grafico siguiente la población femenina está conformada por niñas, adolecentes, mujeres jóvenes y mujeres adultas; es decir, el mayor número de esta población se concentra dentro del rango de edad de 30 a 44 años de edad significando el 25.41%, seguido por el 23.22% que corresponde al rango de 15 a 29 de edad, mientras que la población de menores entre 0 y 14 años expresa el 21.62%, el grupo de las mujeres adultas entre 45 y 59 años abarcan un 18.59% y por ultimo las mujeres adultas mayores entre 60 años y más reflejan el 11.13%. De acuerdo con el Observatorio Ciudadano Nacional de </w:t>
      </w:r>
      <w:proofErr w:type="spellStart"/>
      <w:r w:rsidRPr="007A646F">
        <w:rPr>
          <w:rFonts w:ascii="Palatino Linotype" w:hAnsi="Palatino Linotype" w:cs="Arial"/>
          <w:i/>
          <w:sz w:val="22"/>
          <w:szCs w:val="22"/>
          <w:lang w:eastAsia="es-MX"/>
        </w:rPr>
        <w:t>Feminicidio</w:t>
      </w:r>
      <w:proofErr w:type="spellEnd"/>
      <w:r w:rsidRPr="007A646F">
        <w:rPr>
          <w:rFonts w:ascii="Palatino Linotype" w:hAnsi="Palatino Linotype" w:cs="Arial"/>
          <w:i/>
          <w:sz w:val="22"/>
          <w:szCs w:val="22"/>
          <w:lang w:eastAsia="es-MX"/>
        </w:rPr>
        <w:t xml:space="preserve"> (OCNF) y conforme a la información proporcionada por las Procuradurías de Justicia y Fiscalías estatales el escenario en el país del año 2014 a 2017</w:t>
      </w:r>
      <w:proofErr w:type="gramStart"/>
      <w:r w:rsidRPr="007A646F">
        <w:rPr>
          <w:rFonts w:ascii="Palatino Linotype" w:hAnsi="Palatino Linotype" w:cs="Arial"/>
          <w:i/>
          <w:sz w:val="22"/>
          <w:szCs w:val="22"/>
          <w:lang w:eastAsia="es-MX"/>
        </w:rPr>
        <w:t>,fueron</w:t>
      </w:r>
      <w:proofErr w:type="gramEnd"/>
      <w:r w:rsidRPr="007A646F">
        <w:rPr>
          <w:rFonts w:ascii="Palatino Linotype" w:hAnsi="Palatino Linotype" w:cs="Arial"/>
          <w:i/>
          <w:sz w:val="22"/>
          <w:szCs w:val="22"/>
          <w:lang w:eastAsia="es-MX"/>
        </w:rPr>
        <w:t xml:space="preserve"> asesinadas 6 mil 297 mujeres en 25 estados , de las cuales 1 886 casos fueron investigados como </w:t>
      </w:r>
      <w:proofErr w:type="spellStart"/>
      <w:r w:rsidRPr="007A646F">
        <w:rPr>
          <w:rFonts w:ascii="Palatino Linotype" w:hAnsi="Palatino Linotype" w:cs="Arial"/>
          <w:i/>
          <w:sz w:val="22"/>
          <w:szCs w:val="22"/>
          <w:lang w:eastAsia="es-MX"/>
        </w:rPr>
        <w:t>feminicidio</w:t>
      </w:r>
      <w:proofErr w:type="spellEnd"/>
      <w:r w:rsidRPr="007A646F">
        <w:rPr>
          <w:rFonts w:ascii="Palatino Linotype" w:hAnsi="Palatino Linotype" w:cs="Arial"/>
          <w:i/>
          <w:sz w:val="22"/>
          <w:szCs w:val="22"/>
          <w:lang w:eastAsia="es-MX"/>
        </w:rPr>
        <w:t xml:space="preserve">, es decir sólo 30%. Articulación Ciudadana para la Equidad y el Desarrollo A.C, informa que en el </w:t>
      </w:r>
      <w:r w:rsidRPr="007A646F">
        <w:rPr>
          <w:rFonts w:ascii="Palatino Linotype" w:hAnsi="Palatino Linotype" w:cs="Arial"/>
          <w:i/>
          <w:sz w:val="22"/>
          <w:szCs w:val="22"/>
          <w:lang w:eastAsia="es-MX"/>
        </w:rPr>
        <w:lastRenderedPageBreak/>
        <w:t xml:space="preserve">país 1 de cada 5 mujeres viven en un municipio de los doce estados con AVG, esto equivale a 14 millones 153 mil 179 mujeres, esto corresponde al 22.4% de la población femenina del país hasta el mes de octubre del año 2017. Asimismo de las dos primeras entidades declaradas en AVG se ha presentado un incremento, en el Estado de México durante el 2015 se contabilizaron 77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y en 2016 aumentaron a 263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teniendo un incremento del 241%. Conforme a los últimos registros de la Fiscalía General de Justicia del Estado de México (FGJ), se tiene que la entidad durante el período 2011-2017 reconoció un total de 369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de estos, 204 fueron judicializados, de estos, 104 fueron sentenciados y 104 condenados. La FGJ somete que las cifras sean susceptibles a sufrir cambios por la ratificación del delito. Sí el 28% de los casos se tipifica como </w:t>
      </w:r>
      <w:proofErr w:type="spellStart"/>
      <w:r w:rsidRPr="007A646F">
        <w:rPr>
          <w:rFonts w:ascii="Palatino Linotype" w:hAnsi="Palatino Linotype" w:cs="Arial"/>
          <w:i/>
          <w:sz w:val="22"/>
          <w:szCs w:val="22"/>
          <w:lang w:eastAsia="es-MX"/>
        </w:rPr>
        <w:t>feminicidio</w:t>
      </w:r>
      <w:proofErr w:type="spellEnd"/>
      <w:r w:rsidRPr="007A646F">
        <w:rPr>
          <w:rFonts w:ascii="Palatino Linotype" w:hAnsi="Palatino Linotype" w:cs="Arial"/>
          <w:i/>
          <w:sz w:val="22"/>
          <w:szCs w:val="22"/>
          <w:lang w:eastAsia="es-MX"/>
        </w:rPr>
        <w:t xml:space="preserve">, la negligencia de una investigación con perspectiva género somete a que los familiares vivan una eterna lucha con el sistema judicial. En la zona declarada en AVG en el Estado de México se registraron, 1 131 homicidios, lo que equivale al 55% de homicidios en la entidad, concentrándose la mayoría en Ecatepec de Morelos (320), Nezahualcóyotl (127), Naucalpan de Juárez (125), Tlalnepantla (92) y Chimalhuacán (90) y los municipios con un menor número de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durante este periodo fueron Valle de Chalco Solidaridad (48), Ixtapaluca (59), Tultitlán (62) y Cuautitlán Izcalli (64). Gráfico. Defunciones de Mujeres por Homicidio en la AVG Fuente: Elaboración propia con datos del Sistema Integrado de Estadística sobre violencia contra las Mujeres del INEGI 2012-2016. La distribución de la población femenina en la zona declarada en AVG, hace un total de 4 millones 229 mil 387 mujeres, contabilizando únicamente a las mujeres, lo que es equivalente a la población que existe en Panamá o Uruguay. En esta zona en mayor medida las mujeres se concentran en los municipios de Ecatepec de Morelos, Nezahualcóyotl, Toluca y Naucalpan de Juárez. Considerando que son de los municipios con mayores niveles de homicidios y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Considerando que el municipio de Ecatepec es la demarcación más peligrosa para las mujeres a nivel nacional, en el año en que se da la declaratoria, hubo un incremento de número de casos en los municipios de Tlalnepantla, Nezahualcóyotl y Naucalpan de Juárez. Gráfico. Distribución de la Población Femenina durante el año 2015. </w:t>
      </w:r>
      <w:proofErr w:type="spellStart"/>
      <w:r w:rsidRPr="007A646F">
        <w:rPr>
          <w:rFonts w:ascii="Palatino Linotype" w:hAnsi="Palatino Linotype" w:cs="Arial"/>
          <w:i/>
          <w:sz w:val="22"/>
          <w:szCs w:val="22"/>
          <w:lang w:eastAsia="es-MX"/>
        </w:rPr>
        <w:t>Fuente</w:t>
      </w:r>
      <w:proofErr w:type="gramStart"/>
      <w:r w:rsidRPr="007A646F">
        <w:rPr>
          <w:rFonts w:ascii="Palatino Linotype" w:hAnsi="Palatino Linotype" w:cs="Arial"/>
          <w:i/>
          <w:sz w:val="22"/>
          <w:szCs w:val="22"/>
          <w:lang w:eastAsia="es-MX"/>
        </w:rPr>
        <w:t>:Elaboración</w:t>
      </w:r>
      <w:proofErr w:type="spellEnd"/>
      <w:proofErr w:type="gramEnd"/>
      <w:r w:rsidRPr="007A646F">
        <w:rPr>
          <w:rFonts w:ascii="Palatino Linotype" w:hAnsi="Palatino Linotype" w:cs="Arial"/>
          <w:i/>
          <w:sz w:val="22"/>
          <w:szCs w:val="22"/>
          <w:lang w:eastAsia="es-MX"/>
        </w:rPr>
        <w:t xml:space="preserve"> propia del Boletín de Estadísticas Vitales edición 2015 (IGECEM), del Instituto de Información e Investigación Geográfica, Estadística y Catastral del Estado de México. En conjunto la zona de AVG en el Estado de México registro 226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durante 2011-2017, lo que equivale a que el 61% de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en el Estado se dieron en esta zona de la entidad, concentrándose en mayor medida el riesgo de garantizar los derechos humanos y la dignidad de las mujeres por una vida libre de violencia extrema. Sin embargo, hay municipios con altos niveles de homicidios conforme a su número de población y no están considerados como parte </w:t>
      </w:r>
      <w:r w:rsidRPr="007A646F">
        <w:rPr>
          <w:rFonts w:ascii="Palatino Linotype" w:hAnsi="Palatino Linotype" w:cs="Arial"/>
          <w:i/>
          <w:sz w:val="22"/>
          <w:szCs w:val="22"/>
          <w:lang w:eastAsia="es-MX"/>
        </w:rPr>
        <w:lastRenderedPageBreak/>
        <w:t xml:space="preserve">de la declaratoria, es el caso del municipio de Tecámac. Durante el período 2011-2017 hubo un total de 37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a lo que le siguieron Toluca y Tlalnepantla con 27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considerando que los municipios que han disminuido gradualmente el número de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ha sido Chalco, Tultitlán y Valle de Chalco Solidaridad. Gráfico. Concentración de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en la Zona Declarada en AVG. Fuente: Elaboración propia con datos de la Fiscalía General de Justicia del Estado de México (FGJ) 2011-2017. La Encuesta Nacional sobre la Dinámica de las relaciones en los Hogares 2016 (ENDIREH) arroja que dentro del Estado de México prevalece la violencia en el ámbito entre las mujeres de 15 años y más a lo largo de su vida, con la pareja se tiene el porcentaje mayor siendo de 53.3%, el comunitario alcanzó el 50.2%, la violencia escolar registró 28.1%, la laboral 27.5% y por último la familiar con 12.3%. Con base en los datos del grafico siguiente el semáforo de incidencia delictiva durante el 2018 en el municipio, se manifestó con 287 casos por violencia familiar, ubicándose a final de año en color verde, ya que hubo una reducción en el municipio de 4 puntos porcentuales, mientras tanto los delitos por violación hacía las mujeres no presentaron una reducción significativa por lo que se mantiene en color amarillo, mientras tanto el número de </w:t>
      </w:r>
      <w:proofErr w:type="spellStart"/>
      <w:r w:rsidRPr="007A646F">
        <w:rPr>
          <w:rFonts w:ascii="Palatino Linotype" w:hAnsi="Palatino Linotype" w:cs="Arial"/>
          <w:i/>
          <w:sz w:val="22"/>
          <w:szCs w:val="22"/>
          <w:lang w:eastAsia="es-MX"/>
        </w:rPr>
        <w:t>feminicidios</w:t>
      </w:r>
      <w:proofErr w:type="spellEnd"/>
      <w:r w:rsidRPr="007A646F">
        <w:rPr>
          <w:rFonts w:ascii="Palatino Linotype" w:hAnsi="Palatino Linotype" w:cs="Arial"/>
          <w:i/>
          <w:sz w:val="22"/>
          <w:szCs w:val="22"/>
          <w:lang w:eastAsia="es-MX"/>
        </w:rPr>
        <w:t xml:space="preserve"> cambio a color rojo debido a que durante el mes de enero se presentó un caso y durante los meses subsecuentes no se presentó ninguno, sin embargo, en el mes de diciembre se ostentó un caso. Grafico. Semáforo Delictivo en Cuautitlán Izcalli 2018 Fuente: Elaboración propia con datos del Semáforo Delictivo del Estado de México El mecanismo en ámbitos de resolver los niveles de los diferentes tipos de violencia en cada uno de sus ámbitos tanto en la vida priva como publica de las mujeres, requieren establecer políticas basadas en objetivos de manera transversal en distintas áreas de política, así como la programación de evaluaciones posteriores y la implementación de canales eficientes que construyan ciudadanía y fortalezcan el impacto en los resultados. Es por ello que el Instituto ha programado dos gestiones para la obtención de los recursos federales provenientes del Programa de Fortalecimiento a la Transversalidad de la Perspectiva de Género y la gestión del recurso federal del Programa para la Mitigación de la Violencia de Género Contra las Mujeres. A fin de institucionalizar la perspectiva de género en todas las acciones de la administración pública municipal, se realizarán 16 sesiones del Sistema para la Igualdad de Trato y Oportunidades entre Mujeres y Hombres y para Prevenir, Atender, Sancionar y Erradicar la Violencia Contra las Mujeres, asimismo se certificará la Ayuntamiento de Cuautitlán Izcalli en la Norma Mexicana NMX-025-SCFI-2015 en Igualdad Laboral y No Discriminación, a la par se llevarán a cabo 22 capacitaciones a servidores públicos en materia de igualdad y equidad de género. Es importante para la Instituto fortalecer las capacidades políticas de las mujeres y asegurar los mecanismos necesarios para que </w:t>
      </w:r>
      <w:r w:rsidRPr="007A646F">
        <w:rPr>
          <w:rFonts w:ascii="Palatino Linotype" w:hAnsi="Palatino Linotype" w:cs="Arial"/>
          <w:i/>
          <w:sz w:val="22"/>
          <w:szCs w:val="22"/>
          <w:lang w:eastAsia="es-MX"/>
        </w:rPr>
        <w:lastRenderedPageBreak/>
        <w:t xml:space="preserve">se promueva su participación en posiciones de liderazgo para la toma de decisiones en todos los procesos de desarrollo de la sociedad, es por ello que se brindarán capacitaciones a mujeres en posiciones de liderazgo y se realizarán campañas permanentes de difusión del trabajo de mujeres involucradas en los procesos políticos, económicos y sociales. Las brechas de género limitan los logros del desarrollo humano y este a su vez permite visibilizar las disparidades entre mujeres y hombres en una dimensión básica, que es mercado laboral. Actualmente la población de 12 años y más comprende un total de 435 mil 993 habitantes, de los cuales 227 mil 252 son mujeres, equivalente al 52.12%, el 51.25% del total de la población se encuentran económicamente activa, el porcentaje de las mujeres representan el 35.60%. Por lo tanto, la población femenina representa en mayor número en condición no económicamente activa con el 63.82%. Sin embargo, las mujeres presentan mayor porcentaje de población ocupada, que realiza alguna actividad con el 96.01%; es decir, la población femenina tiene el 3.99% de población desocupada, porcentaje menor al de la población masculina. Tabla. Condición de por actividad económica Fuente: Encuesta </w:t>
      </w:r>
      <w:proofErr w:type="spellStart"/>
      <w:r w:rsidRPr="007A646F">
        <w:rPr>
          <w:rFonts w:ascii="Palatino Linotype" w:hAnsi="Palatino Linotype" w:cs="Arial"/>
          <w:i/>
          <w:sz w:val="22"/>
          <w:szCs w:val="22"/>
          <w:lang w:eastAsia="es-MX"/>
        </w:rPr>
        <w:t>Intercensal</w:t>
      </w:r>
      <w:proofErr w:type="spellEnd"/>
      <w:r w:rsidRPr="007A646F">
        <w:rPr>
          <w:rFonts w:ascii="Palatino Linotype" w:hAnsi="Palatino Linotype" w:cs="Arial"/>
          <w:i/>
          <w:sz w:val="22"/>
          <w:szCs w:val="22"/>
          <w:lang w:eastAsia="es-MX"/>
        </w:rPr>
        <w:t xml:space="preserve"> 2015, INEGI La población femenina de 12 años y más realiza un trabajo no remunerado, la mayoría realiza actividades enfocadas a su familia; es decir, el 88.86% realiza labores que conllevan a preparar alimentos para servir a sus familiares, el 94.5% se encarga de las actividades de limpieza de su casa, lavar y planchar ropa de su familia. El 41.01% atiende a personas sanas de 0 a 14 años de edad. Por tal motivo IMIEMH dentro de sus metas anuales imparte 120 talleres de empoderamiento a mujeres, con el fin de brindarles diversos conocimientos y actividades que genere un ingreso extra mejorando su calidad de vida. Tabla. Condiciones de trabajo no remunerado Fuente: Encuesta </w:t>
      </w:r>
      <w:proofErr w:type="spellStart"/>
      <w:r w:rsidRPr="007A646F">
        <w:rPr>
          <w:rFonts w:ascii="Palatino Linotype" w:hAnsi="Palatino Linotype" w:cs="Arial"/>
          <w:i/>
          <w:sz w:val="22"/>
          <w:szCs w:val="22"/>
          <w:lang w:eastAsia="es-MX"/>
        </w:rPr>
        <w:t>Intercensal</w:t>
      </w:r>
      <w:proofErr w:type="spellEnd"/>
      <w:r w:rsidRPr="007A646F">
        <w:rPr>
          <w:rFonts w:ascii="Palatino Linotype" w:hAnsi="Palatino Linotype" w:cs="Arial"/>
          <w:i/>
          <w:sz w:val="22"/>
          <w:szCs w:val="22"/>
          <w:lang w:eastAsia="es-MX"/>
        </w:rPr>
        <w:t xml:space="preserve"> 2015.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“Informe de actividades del Sistema Municipal para la Igualdad de Trato y Oportunidades entre Hombres y Mujeres y para Prevenir, Atender, Sancionar y Erradicar la Violencia contra las Mujeres.” SIC “Cuando se tomó protesta a las y los integrantes del sistema; quienes lo conforman; cuáles son los programas y actividades que lleva a cabo el Sistema Municipal, qué resultados han obtenido durante el 2019.” SIC En virtud de lo anterior, me permito informar lo siguiente: El sistema Municipal para la Igualdad de Trato y Oportunidades entre Mujeres y Hombres y para Prevenir, Atender, Sancionar y Erradicar la Violencia contra las Mujeres de Cuautitlán Izcalli, </w:t>
      </w:r>
      <w:proofErr w:type="spellStart"/>
      <w:r w:rsidRPr="007A646F">
        <w:rPr>
          <w:rFonts w:ascii="Palatino Linotype" w:hAnsi="Palatino Linotype" w:cs="Arial"/>
          <w:i/>
          <w:sz w:val="22"/>
          <w:szCs w:val="22"/>
          <w:lang w:eastAsia="es-MX"/>
        </w:rPr>
        <w:t>esta</w:t>
      </w:r>
      <w:proofErr w:type="spellEnd"/>
      <w:r w:rsidRPr="007A646F">
        <w:rPr>
          <w:rFonts w:ascii="Palatino Linotype" w:hAnsi="Palatino Linotype" w:cs="Arial"/>
          <w:i/>
          <w:sz w:val="22"/>
          <w:szCs w:val="22"/>
          <w:lang w:eastAsia="es-MX"/>
        </w:rPr>
        <w:t xml:space="preserve"> integrado por: CARGO EN EL SISTEMA INTEGRANTE Presidente </w:t>
      </w:r>
      <w:proofErr w:type="spellStart"/>
      <w:r w:rsidRPr="007A646F">
        <w:rPr>
          <w:rFonts w:ascii="Palatino Linotype" w:hAnsi="Palatino Linotype" w:cs="Arial"/>
          <w:i/>
          <w:sz w:val="22"/>
          <w:szCs w:val="22"/>
          <w:lang w:eastAsia="es-MX"/>
        </w:rPr>
        <w:t>Presidente</w:t>
      </w:r>
      <w:proofErr w:type="spellEnd"/>
      <w:r w:rsidRPr="007A646F">
        <w:rPr>
          <w:rFonts w:ascii="Palatino Linotype" w:hAnsi="Palatino Linotype" w:cs="Arial"/>
          <w:i/>
          <w:sz w:val="22"/>
          <w:szCs w:val="22"/>
          <w:lang w:eastAsia="es-MX"/>
        </w:rPr>
        <w:t xml:space="preserve"> Municipal Secretaria Ejecutiva Titular del Instituto Municipal para la Igualdad entre Mujeres y Hombres Vocal Quinta Regidora y Presidenta de la Comisión de Atención a la Violencia en Contra de las Mujeres Vocal Décima Segunda Regidora y Secretaria de la Comisión de Atención a la Violencia en Contra de las Mujeres Vocal Tercera </w:t>
      </w:r>
      <w:r w:rsidRPr="007A646F">
        <w:rPr>
          <w:rFonts w:ascii="Palatino Linotype" w:hAnsi="Palatino Linotype" w:cs="Arial"/>
          <w:i/>
          <w:sz w:val="22"/>
          <w:szCs w:val="22"/>
          <w:lang w:eastAsia="es-MX"/>
        </w:rPr>
        <w:lastRenderedPageBreak/>
        <w:t xml:space="preserve">Regidora y Vocal de la Comisión de Atención a la Violencia en Contra de las Mujeres Vocal Sexto Regidor y Vocal de la Comisión de Atención a la Violencia en Contra de las Mujeres Vocal Primera Regidora y Vocal de la Comisión de Atención a la Violencia en Contra de las Mujeres Vocal Tercera Síndica y Vocal de la Comisión de Atención a la Violencia en Contra de las Mujeres Vocal Titular de la Dirección General del Sistema Municipal para el Desarrollo Integral de la Familia de Cuautitlán Izcalli Vocal Titular de la Comisaría General de Seguridad Pública y Tránsito Vocal Titular de la Dirección General de Desarrollo Humano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sobre las reformas al Bando Municipal y Buen Gobierno que ha realizado la presente administración para dar seguimiento a la Declaratoria de Alerta de Violencia de Género contra las Mujeres.” SIC En virtud de lo anterior, me permito informar lo siguiente: TÍTULO SEGUNDO DE LOS FINES Y VALORES DEL MUNICIPIO CAPÍTULO ÚNICO DE LOS FINES DEL MUNICIPIO Artículo 6.- Son fines del municipio los siguientes: VII. Promover la igualdad de trato y oportunidades entre las mujeres y los hombres en todos los ámbitos de la vida pública y social; VIII. Emprender las acciones gubernamentales para salvaguardar el acceso de las mujeres a una vida libre de violencia, que favorezca su desarrollo y bienestar, conforme a los principios de igualdad y de no discriminación, que garanticen el desarrollo integral de las mujeres. TÍTULO SÉPTIMO DE LA PLANEACIÓN PARA EL DESARROLLO MUNICIPAL CAPÍTULO ÚNICO Artículo 73.- El ayuntamiento, para la elaboración y evaluación del Plan de desarrollo Municipal, deberá contemplar la perspectiva de género y el permanente fomento a la igualdad de oportunidades entre hombres y mujeres, tanto en el ámbito público como privado. En el mismo sentido, el Presupuesto Anual contemplará la perspectiva de género, así como acciones necesarias para prevenir, atender, sancionar y erradicar la violencia de género. CAPÍTULO TERCERO DE LA EQUIDAD DE GÉNERO Articulo 83.- El gobierno Municipal deberá garantizar la perspectiva de género como un eje transversal de sus planes, programas, acciones y actividades. Articulo 84.- Son principios en materia de Equidad de Género: I. Transversalidad; II. Perspectiva de Equidad de Género; III. Igualdad; IV. Sensibilización; V. No Discriminación; y VI. Lenguaje incluyente y no sexista. Artículo 85.- El Instituto Municipal para la Igualdad entre Mujeres y Hombres, en coordinación con instancias federales y estatales, planeará, organizará y difundirá acciones, programas y campañas nacionales e internacionales, así como cursos, talleres y pláticas relacionadas con los derechos de las mujeres, prevención de la violencia de género, igualdad y equidad entre mujeres y hombres y respeto a la diversidad social, cultural y sexual, para concientizar a las personas en la eliminación de todo tipo de discriminación, desigualdad y violencia. Artículo 86.- </w:t>
      </w:r>
      <w:r w:rsidRPr="007A646F">
        <w:rPr>
          <w:rFonts w:ascii="Palatino Linotype" w:hAnsi="Palatino Linotype" w:cs="Arial"/>
          <w:i/>
          <w:sz w:val="22"/>
          <w:szCs w:val="22"/>
          <w:lang w:eastAsia="es-MX"/>
        </w:rPr>
        <w:lastRenderedPageBreak/>
        <w:t xml:space="preserve">Es obligación de los servidores públicos municipales garantizar el adecuado cumplimiento de los programas y proyectos para la prevención, atención y erradicación de la violencia, e igualdad de trato y oportunidades entre las mujeres y los hombres, sin importar orientación sexual. Artículo 87.- Los servidores públicos de la Administración Pública Municipal tienen la obligación de utilizar un lenguaje incluyente y no sexista en sus disposiciones, documentos administrativos, imágenes, así como en la información dirigida a los </w:t>
      </w:r>
      <w:proofErr w:type="spellStart"/>
      <w:r w:rsidRPr="007A646F">
        <w:rPr>
          <w:rFonts w:ascii="Palatino Linotype" w:hAnsi="Palatino Linotype" w:cs="Arial"/>
          <w:i/>
          <w:sz w:val="22"/>
          <w:szCs w:val="22"/>
          <w:lang w:eastAsia="es-MX"/>
        </w:rPr>
        <w:t>izcallenses</w:t>
      </w:r>
      <w:proofErr w:type="spellEnd"/>
      <w:r w:rsidRPr="007A646F">
        <w:rPr>
          <w:rFonts w:ascii="Palatino Linotype" w:hAnsi="Palatino Linotype" w:cs="Arial"/>
          <w:i/>
          <w:sz w:val="22"/>
          <w:szCs w:val="22"/>
          <w:lang w:eastAsia="es-MX"/>
        </w:rPr>
        <w:t xml:space="preserve">. La inobservancia de lo anterior podrá ser sancionada en términos de la Ley de Responsabilidades Administrativas del Estado de México y Municipios. CAPÍTULO CUARTO DE LA PREVENCIÓN, ATENCIÓN, SANCIÓN Y ERRADICACIÓN DE LA VIOLENCIA DE GÉNERO Artículo 88.- El Gobierno Municipal contemplará medidas para prevenir, y sancionar la violencia de género, como un eje transversal de sus planes, programas, acciones y actividades. Artículo 89.- El Gobierno Municipal contará con el Sistema Municipal para la Igualdad de Trato y Oportunidades entre Mujeres y Hombres y para Prevenir, Atender, Sancionar y Erradicar la Violencia contra las Mujeres de Cuautitlán Izcalli, Estado de México cuyo objetivo es promover la implementación de acciones interinstitucionales para la prevención, atención, sanción y erradicación de los diferentes tipos y modalidades de la violencia. El Sistema Municipal será la instancia colegiada responsable de crear, aplicar y mantener actualizado el programa Municipal para la Igualdad de Trato y Oportunidades entre Mujeres y Hombres y para Prevenir, Atender, Sancionar y Erradicar la Violencia contra las Mujeres. Artículo 90.- El Ayuntamiento fomentará y promoverá, en coordinación con las entidades federales y estatales, cursos de capacitación y actualización en materia de atención a personas víctimas de violencia de género. Artículo 91.- El Gobierno Municipal, como parte de las acciones y programas estratégicos en materia de erradicación de la violencia de género, promoverá la atención por parte de instituciones del sector salud, así como de atención y servicio tanto públicas como privadas, de las personas que han sido víctimas de violencia de género y </w:t>
      </w:r>
      <w:proofErr w:type="spellStart"/>
      <w:r w:rsidRPr="007A646F">
        <w:rPr>
          <w:rFonts w:ascii="Palatino Linotype" w:hAnsi="Palatino Linotype" w:cs="Arial"/>
          <w:i/>
          <w:sz w:val="22"/>
          <w:szCs w:val="22"/>
          <w:lang w:eastAsia="es-MX"/>
        </w:rPr>
        <w:t>establecera</w:t>
      </w:r>
      <w:proofErr w:type="spellEnd"/>
      <w:r w:rsidRPr="007A646F">
        <w:rPr>
          <w:rFonts w:ascii="Palatino Linotype" w:hAnsi="Palatino Linotype" w:cs="Arial"/>
          <w:i/>
          <w:sz w:val="22"/>
          <w:szCs w:val="22"/>
          <w:lang w:eastAsia="es-MX"/>
        </w:rPr>
        <w:t xml:space="preserve"> permanentemente medidas y acciones para prevenir y sancionar todo tipo de actos discriminatorios de género. Artículo 92.- Los servidores públicos municipales que contravengan las </w:t>
      </w:r>
      <w:proofErr w:type="spellStart"/>
      <w:r w:rsidRPr="007A646F">
        <w:rPr>
          <w:rFonts w:ascii="Palatino Linotype" w:hAnsi="Palatino Linotype" w:cs="Arial"/>
          <w:i/>
          <w:sz w:val="22"/>
          <w:szCs w:val="22"/>
          <w:lang w:eastAsia="es-MX"/>
        </w:rPr>
        <w:t>dispociciones</w:t>
      </w:r>
      <w:proofErr w:type="spellEnd"/>
      <w:r w:rsidRPr="007A646F">
        <w:rPr>
          <w:rFonts w:ascii="Palatino Linotype" w:hAnsi="Palatino Linotype" w:cs="Arial"/>
          <w:i/>
          <w:sz w:val="22"/>
          <w:szCs w:val="22"/>
          <w:lang w:eastAsia="es-MX"/>
        </w:rPr>
        <w:t xml:space="preserve"> sobre igualdad de trato y oportunidades o prevención y atención de la violencia de género, actos discriminatorios u omisiones dirigidas a mujeres y hombres serán sancionados en términos de lo dispuesto por la Ley de Responsabilidades Administrativas del Estado de México y Municipios; sin perjuicio de las penas que resulten aplicables por la comisión de delitos, en términos de las </w:t>
      </w:r>
      <w:proofErr w:type="spellStart"/>
      <w:r w:rsidRPr="007A646F">
        <w:rPr>
          <w:rFonts w:ascii="Palatino Linotype" w:hAnsi="Palatino Linotype" w:cs="Arial"/>
          <w:i/>
          <w:sz w:val="22"/>
          <w:szCs w:val="22"/>
          <w:lang w:eastAsia="es-MX"/>
        </w:rPr>
        <w:t>dispociciones</w:t>
      </w:r>
      <w:proofErr w:type="spellEnd"/>
      <w:r w:rsidRPr="007A646F">
        <w:rPr>
          <w:rFonts w:ascii="Palatino Linotype" w:hAnsi="Palatino Linotype" w:cs="Arial"/>
          <w:i/>
          <w:sz w:val="22"/>
          <w:szCs w:val="22"/>
          <w:lang w:eastAsia="es-MX"/>
        </w:rPr>
        <w:t xml:space="preserve"> aplicables.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respecto a la implementación y evaluación de políticas municipales en materia de igualdad de trato y oportunidades entre mujeres y </w:t>
      </w:r>
      <w:r w:rsidRPr="007A646F">
        <w:rPr>
          <w:rFonts w:ascii="Palatino Linotype" w:hAnsi="Palatino Linotype" w:cs="Arial"/>
          <w:i/>
          <w:sz w:val="22"/>
          <w:szCs w:val="22"/>
          <w:lang w:eastAsia="es-MX"/>
        </w:rPr>
        <w:lastRenderedPageBreak/>
        <w:t xml:space="preserve">hombres, en concordancia con la Política Estatal y Nacional durante el 2019.” SIC. En virtud de lo anterior, me permito informar lo siguiente: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Se Gestionó el Programa de Fortalecimiento a la Transversalidad de la Perspectiva de Género programa para la Mitigación de la Alerta de Violencia de Género. ? Se dio continuidad al Sistema Municipal para la Igualdad de Trato y Oportunidades entre Mujeres y Hombres y para Prevenir, Atender, Sancionar y Erradicar la Violencia de Género contra las Mujeres y Hombres, llevando acabo 6 sesiones ordinarias en las cuales se acordaron acciones sustantivas de sensibilización, capacitación y prevención con el objetivo de atender la Alerta de Violencia de Género contra las Mujeres de Cuautitlán Izcalli. ? En cumplimiento a las líneas de acción programas se realizaron 31 capacitaciones a más de 700 servidoras y servidores públicos en temas de perspectiva de género, </w:t>
      </w:r>
      <w:proofErr w:type="spellStart"/>
      <w:r w:rsidRPr="007A646F">
        <w:rPr>
          <w:rFonts w:ascii="Palatino Linotype" w:hAnsi="Palatino Linotype" w:cs="Arial"/>
          <w:i/>
          <w:sz w:val="22"/>
          <w:szCs w:val="22"/>
          <w:lang w:eastAsia="es-MX"/>
        </w:rPr>
        <w:t>feminicidio</w:t>
      </w:r>
      <w:proofErr w:type="spellEnd"/>
      <w:r w:rsidRPr="007A646F">
        <w:rPr>
          <w:rFonts w:ascii="Palatino Linotype" w:hAnsi="Palatino Linotype" w:cs="Arial"/>
          <w:i/>
          <w:sz w:val="22"/>
          <w:szCs w:val="22"/>
          <w:lang w:eastAsia="es-MX"/>
        </w:rPr>
        <w:t xml:space="preserve">, lenguaje incluyente, discriminación, protocolos contra el acoso sexual u laboral, entre otros. ? Se realizaron 11 eventos conmemorativos del Día Internacional para la Erradicación de la Violencia contra las Mujeres “Día Naranja”, en los cuales se impartieron talleres para la prevención y erradicación de la violencia de género que, en conjunto con DIF, ISSSTE e ISEM beneficiando a más de 249 habitantes. ? En conjunto con la Dirección General de Desarrollo Económico, se </w:t>
      </w:r>
      <w:proofErr w:type="spellStart"/>
      <w:r w:rsidRPr="007A646F">
        <w:rPr>
          <w:rFonts w:ascii="Palatino Linotype" w:hAnsi="Palatino Linotype" w:cs="Arial"/>
          <w:i/>
          <w:sz w:val="22"/>
          <w:szCs w:val="22"/>
          <w:lang w:eastAsia="es-MX"/>
        </w:rPr>
        <w:t>llevo</w:t>
      </w:r>
      <w:proofErr w:type="spellEnd"/>
      <w:r w:rsidRPr="007A646F">
        <w:rPr>
          <w:rFonts w:ascii="Palatino Linotype" w:hAnsi="Palatino Linotype" w:cs="Arial"/>
          <w:i/>
          <w:sz w:val="22"/>
          <w:szCs w:val="22"/>
          <w:lang w:eastAsia="es-MX"/>
        </w:rPr>
        <w:t xml:space="preserve"> a cabo la Feria del Empleo “Mujeres y Hombres Haciendo Historia”, en la cual participaron 87 empresas con 986 vacantes ofertadas, de las cuales se </w:t>
      </w:r>
      <w:proofErr w:type="gramStart"/>
      <w:r w:rsidRPr="007A646F">
        <w:rPr>
          <w:rFonts w:ascii="Palatino Linotype" w:hAnsi="Palatino Linotype" w:cs="Arial"/>
          <w:i/>
          <w:sz w:val="22"/>
          <w:szCs w:val="22"/>
          <w:lang w:eastAsia="es-MX"/>
        </w:rPr>
        <w:t>logró</w:t>
      </w:r>
      <w:proofErr w:type="gramEnd"/>
      <w:r w:rsidRPr="007A646F">
        <w:rPr>
          <w:rFonts w:ascii="Palatino Linotype" w:hAnsi="Palatino Linotype" w:cs="Arial"/>
          <w:i/>
          <w:sz w:val="22"/>
          <w:szCs w:val="22"/>
          <w:lang w:eastAsia="es-MX"/>
        </w:rPr>
        <w:t xml:space="preserve"> la contratación de 320 solicitantes y se benefició a más de 905 habitantes. ? Se impartieron 146 talleres de empoderamiento económico con el objetivo de </w:t>
      </w:r>
      <w:proofErr w:type="spellStart"/>
      <w:r w:rsidRPr="007A646F">
        <w:rPr>
          <w:rFonts w:ascii="Palatino Linotype" w:hAnsi="Palatino Linotype" w:cs="Arial"/>
          <w:i/>
          <w:sz w:val="22"/>
          <w:szCs w:val="22"/>
          <w:lang w:eastAsia="es-MX"/>
        </w:rPr>
        <w:t>impusar</w:t>
      </w:r>
      <w:proofErr w:type="spellEnd"/>
      <w:r w:rsidRPr="007A646F">
        <w:rPr>
          <w:rFonts w:ascii="Palatino Linotype" w:hAnsi="Palatino Linotype" w:cs="Arial"/>
          <w:i/>
          <w:sz w:val="22"/>
          <w:szCs w:val="22"/>
          <w:lang w:eastAsia="es-MX"/>
        </w:rPr>
        <w:t xml:space="preserve"> el empleo y el autoempleo principalmente a mujeres en condición de vulnerabilidad; con estas acciones se permite mejorar sus condiciones de vida. ? Se realizaron 6 cursos en materia de promoción de la participación política y social de las mujeres en posiciones de liderazgo. ? Se atendió directamente a la ciudadanía de las colonias con </w:t>
      </w:r>
      <w:proofErr w:type="spellStart"/>
      <w:r w:rsidRPr="007A646F">
        <w:rPr>
          <w:rFonts w:ascii="Palatino Linotype" w:hAnsi="Palatino Linotype" w:cs="Arial"/>
          <w:i/>
          <w:sz w:val="22"/>
          <w:szCs w:val="22"/>
          <w:lang w:eastAsia="es-MX"/>
        </w:rPr>
        <w:t>mayoreas</w:t>
      </w:r>
      <w:proofErr w:type="spellEnd"/>
      <w:r w:rsidRPr="007A646F">
        <w:rPr>
          <w:rFonts w:ascii="Palatino Linotype" w:hAnsi="Palatino Linotype" w:cs="Arial"/>
          <w:i/>
          <w:sz w:val="22"/>
          <w:szCs w:val="22"/>
          <w:lang w:eastAsia="es-MX"/>
        </w:rPr>
        <w:t xml:space="preserve"> </w:t>
      </w:r>
      <w:proofErr w:type="spellStart"/>
      <w:r w:rsidRPr="007A646F">
        <w:rPr>
          <w:rFonts w:ascii="Palatino Linotype" w:hAnsi="Palatino Linotype" w:cs="Arial"/>
          <w:i/>
          <w:sz w:val="22"/>
          <w:szCs w:val="22"/>
          <w:lang w:eastAsia="es-MX"/>
        </w:rPr>
        <w:t>indices</w:t>
      </w:r>
      <w:proofErr w:type="spellEnd"/>
      <w:r w:rsidRPr="007A646F">
        <w:rPr>
          <w:rFonts w:ascii="Palatino Linotype" w:hAnsi="Palatino Linotype" w:cs="Arial"/>
          <w:i/>
          <w:sz w:val="22"/>
          <w:szCs w:val="22"/>
          <w:lang w:eastAsia="es-MX"/>
        </w:rPr>
        <w:t xml:space="preserve"> de violencia, a través de 24 Jornadas de Prevención, Atención y Erradicación de la Violencia de Género; acercando servicios de salud, asesorías psicológicas, jurídicas gratuitas, servicios educativos, pláticas y talleres de empoderamiento. Beneficiando a más de 5 mil 951 habitantes. ? Se brindaron 2 mil 419 terapias psicológicas gratuitas y 934 </w:t>
      </w:r>
      <w:proofErr w:type="spellStart"/>
      <w:r w:rsidRPr="007A646F">
        <w:rPr>
          <w:rFonts w:ascii="Palatino Linotype" w:hAnsi="Palatino Linotype" w:cs="Arial"/>
          <w:i/>
          <w:sz w:val="22"/>
          <w:szCs w:val="22"/>
          <w:lang w:eastAsia="es-MX"/>
        </w:rPr>
        <w:t>asesorias</w:t>
      </w:r>
      <w:proofErr w:type="spellEnd"/>
      <w:r w:rsidRPr="007A646F">
        <w:rPr>
          <w:rFonts w:ascii="Palatino Linotype" w:hAnsi="Palatino Linotype" w:cs="Arial"/>
          <w:i/>
          <w:sz w:val="22"/>
          <w:szCs w:val="22"/>
          <w:lang w:eastAsia="es-MX"/>
        </w:rPr>
        <w:t xml:space="preserve"> jurídicas, lo que ha permitido la canalización oportuna de 934 solicitantes para el seguimiento y apoyo específico a los casos particulares de violencia. ? Con el propósito de generar conciencia sobre la igualdad de derechos entre mujeres y hombres, se impartieron 190 </w:t>
      </w:r>
      <w:proofErr w:type="spellStart"/>
      <w:r w:rsidRPr="007A646F">
        <w:rPr>
          <w:rFonts w:ascii="Palatino Linotype" w:hAnsi="Palatino Linotype" w:cs="Arial"/>
          <w:i/>
          <w:sz w:val="22"/>
          <w:szCs w:val="22"/>
          <w:lang w:eastAsia="es-MX"/>
        </w:rPr>
        <w:t>pláticasde</w:t>
      </w:r>
      <w:proofErr w:type="spellEnd"/>
      <w:r w:rsidRPr="007A646F">
        <w:rPr>
          <w:rFonts w:ascii="Palatino Linotype" w:hAnsi="Palatino Linotype" w:cs="Arial"/>
          <w:i/>
          <w:sz w:val="22"/>
          <w:szCs w:val="22"/>
          <w:lang w:eastAsia="es-MX"/>
        </w:rPr>
        <w:t xml:space="preserve"> sensibilización en comunidades, empresas e </w:t>
      </w:r>
      <w:proofErr w:type="spellStart"/>
      <w:r w:rsidRPr="007A646F">
        <w:rPr>
          <w:rFonts w:ascii="Palatino Linotype" w:hAnsi="Palatino Linotype" w:cs="Arial"/>
          <w:i/>
          <w:sz w:val="22"/>
          <w:szCs w:val="22"/>
          <w:lang w:eastAsia="es-MX"/>
        </w:rPr>
        <w:t>insitituciones</w:t>
      </w:r>
      <w:proofErr w:type="spellEnd"/>
      <w:r w:rsidRPr="007A646F">
        <w:rPr>
          <w:rFonts w:ascii="Palatino Linotype" w:hAnsi="Palatino Linotype" w:cs="Arial"/>
          <w:i/>
          <w:sz w:val="22"/>
          <w:szCs w:val="22"/>
          <w:lang w:eastAsia="es-MX"/>
        </w:rPr>
        <w:t xml:space="preserve"> educativas.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el programa o los programas para prevenir las violencias contra las mujeres en el marco de la AVEGEM.” SIC. “Indagar en las acciones de prevención que han realizado las dependencias encargadas de atender AVEGEM.” SIC En virtud de lo anterior, me </w:t>
      </w:r>
      <w:r w:rsidRPr="007A646F">
        <w:rPr>
          <w:rFonts w:ascii="Palatino Linotype" w:hAnsi="Palatino Linotype" w:cs="Arial"/>
          <w:i/>
          <w:sz w:val="22"/>
          <w:szCs w:val="22"/>
          <w:lang w:eastAsia="es-MX"/>
        </w:rPr>
        <w:lastRenderedPageBreak/>
        <w:t xml:space="preserve">permito informar lo siguiente: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Programa de Fortalecimiento a la Transversalidad de la Perspectiva de Género 2019: Tiene como objetivo general, contribuir a que los mecanismos para el adelanto de las mujeres promueva la incorporación de las perspectiva de género en el marco normativo, en los instrumentos de planeación, programáticos, así como las acciones gubernamentales para implementar la política nacional en materia de igualdad entre mujeres y hombres en el municipio de Cuautitlán Izcalli, mediante el fortalecimiento institucional mediante la incorporación de la perspectiva de género en las acciones de la administración pública municipal. ? Programa para la Mitigación de la Alerta de Violencia de Género, tiene por objetivo garantizar la seguridad de las mujeres y niñas, el cese de la violencia en su contra y eliminar situaciones de desigualdad en que se encuentren a través de la asignación de los recursos presupuestales necesarios para hacer frente a la contingencia de Alerta de Violencia de Género contra las Mujeres.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de las acciones específicas implementadas para prevenir las violencias contra las mujeres en el marco de la AVEGEM. Se solicita desagregar la información de las beneficiarias por edad, sexo, escolaridad, situación conyugal o estado civil.” SIC. En virtud de lo anterior, me permito informar lo siguiente: El Instituto Municipal para la Igualdad entre Mujeres y Hombres de Cuautitlán Izcalli, tiene implementadas acciones de prevención de la violencia en contra de las mujeres y niñas las cuales son las siguientes: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Atención psicológica. ? Asesoría jurídica. ? Talleres motivacionales. ? Pláticas. ? Teatro guiñol. ? </w:t>
      </w:r>
      <w:proofErr w:type="spellStart"/>
      <w:r w:rsidRPr="007A646F">
        <w:rPr>
          <w:rFonts w:ascii="Palatino Linotype" w:hAnsi="Palatino Linotype" w:cs="Arial"/>
          <w:i/>
          <w:sz w:val="22"/>
          <w:szCs w:val="22"/>
          <w:lang w:eastAsia="es-MX"/>
        </w:rPr>
        <w:t>Cinedebates</w:t>
      </w:r>
      <w:proofErr w:type="spellEnd"/>
      <w:r w:rsidRPr="007A646F">
        <w:rPr>
          <w:rFonts w:ascii="Palatino Linotype" w:hAnsi="Palatino Linotype" w:cs="Arial"/>
          <w:i/>
          <w:sz w:val="22"/>
          <w:szCs w:val="22"/>
          <w:lang w:eastAsia="es-MX"/>
        </w:rPr>
        <w:t xml:space="preserve">. ? Jornadas para prevenir, atender y erradicar la violencia de género. De las cuales el mayor número de beneficiadas corresponde al rango de edad de 30 a 34 años de edad que es equivalente al 10.47%, seguido por 9.38% que representa al rango a los menores de 0 a 14 años de edad. Sin embargo el mayor porcentaje es representado por el 12.85%, el cual hace mención a las personas que no </w:t>
      </w:r>
      <w:proofErr w:type="spellStart"/>
      <w:r w:rsidRPr="007A646F">
        <w:rPr>
          <w:rFonts w:ascii="Palatino Linotype" w:hAnsi="Palatino Linotype" w:cs="Arial"/>
          <w:i/>
          <w:sz w:val="22"/>
          <w:szCs w:val="22"/>
          <w:lang w:eastAsia="es-MX"/>
        </w:rPr>
        <w:t>porporcionaron</w:t>
      </w:r>
      <w:proofErr w:type="spellEnd"/>
      <w:r w:rsidRPr="007A646F">
        <w:rPr>
          <w:rFonts w:ascii="Palatino Linotype" w:hAnsi="Palatino Linotype" w:cs="Arial"/>
          <w:i/>
          <w:sz w:val="22"/>
          <w:szCs w:val="22"/>
          <w:lang w:eastAsia="es-MX"/>
        </w:rPr>
        <w:t xml:space="preserve"> su edad; por tal motivo es considerado como sin dato (S/D). El 79.98 de la población que acude al Instituto por algún servicio corresponde al género femenino. En cuanto a la escolaridad de los usuarios la mayoría de la población representa al 30.95% que cuenta con una formación a nivel secundaria, seguido por nivel primaria al cual le corresponde el 20.31%. Mientras que el 17.08% pertenece a las personas que cuentan con nivel de preparatoria. El estado civil con mayor porcentaje es de 34.80% que corresponde a las personas casadas, seguido por el 31.77% que representa a las personas solteras. En dicha situación el 19.61% no proporcionó información.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de cuándo se creó la Unidad de Igualdad de Género y Erradicación de la Violencia, quienes la integran, cuál es el perfil de sus integrantes, qué acciones ha implementado la Unidad para </w:t>
      </w:r>
      <w:proofErr w:type="spellStart"/>
      <w:r w:rsidRPr="007A646F">
        <w:rPr>
          <w:rFonts w:ascii="Palatino Linotype" w:hAnsi="Palatino Linotype" w:cs="Arial"/>
          <w:i/>
          <w:sz w:val="22"/>
          <w:szCs w:val="22"/>
          <w:lang w:eastAsia="es-MX"/>
        </w:rPr>
        <w:t>transversalizar</w:t>
      </w:r>
      <w:proofErr w:type="spellEnd"/>
      <w:r w:rsidRPr="007A646F">
        <w:rPr>
          <w:rFonts w:ascii="Palatino Linotype" w:hAnsi="Palatino Linotype" w:cs="Arial"/>
          <w:i/>
          <w:sz w:val="22"/>
          <w:szCs w:val="22"/>
          <w:lang w:eastAsia="es-MX"/>
        </w:rPr>
        <w:t xml:space="preserve"> la perspectiva de género, a partir </w:t>
      </w:r>
      <w:r w:rsidRPr="007A646F">
        <w:rPr>
          <w:rFonts w:ascii="Palatino Linotype" w:hAnsi="Palatino Linotype" w:cs="Arial"/>
          <w:i/>
          <w:sz w:val="22"/>
          <w:szCs w:val="22"/>
          <w:lang w:eastAsia="es-MX"/>
        </w:rPr>
        <w:lastRenderedPageBreak/>
        <w:t xml:space="preserve">de su creación.” En virtud de lo anterior, me permito informar lo siguiente: La Unidad de Igualdad de Género y Erradicación de la Violencia del Instituto Municipal para la Igualdad entre Mujeres y Hombres de Cuautitlán Izcalli, se </w:t>
      </w:r>
      <w:proofErr w:type="spellStart"/>
      <w:r w:rsidRPr="007A646F">
        <w:rPr>
          <w:rFonts w:ascii="Palatino Linotype" w:hAnsi="Palatino Linotype" w:cs="Arial"/>
          <w:i/>
          <w:sz w:val="22"/>
          <w:szCs w:val="22"/>
          <w:lang w:eastAsia="es-MX"/>
        </w:rPr>
        <w:t>instalo</w:t>
      </w:r>
      <w:proofErr w:type="spellEnd"/>
      <w:r w:rsidRPr="007A646F">
        <w:rPr>
          <w:rFonts w:ascii="Palatino Linotype" w:hAnsi="Palatino Linotype" w:cs="Arial"/>
          <w:i/>
          <w:sz w:val="22"/>
          <w:szCs w:val="22"/>
          <w:lang w:eastAsia="es-MX"/>
        </w:rPr>
        <w:t xml:space="preserve"> y se </w:t>
      </w:r>
      <w:proofErr w:type="spellStart"/>
      <w:r w:rsidRPr="007A646F">
        <w:rPr>
          <w:rFonts w:ascii="Palatino Linotype" w:hAnsi="Palatino Linotype" w:cs="Arial"/>
          <w:i/>
          <w:sz w:val="22"/>
          <w:szCs w:val="22"/>
          <w:lang w:eastAsia="es-MX"/>
        </w:rPr>
        <w:t>tomo</w:t>
      </w:r>
      <w:proofErr w:type="spellEnd"/>
      <w:r w:rsidRPr="007A646F">
        <w:rPr>
          <w:rFonts w:ascii="Palatino Linotype" w:hAnsi="Palatino Linotype" w:cs="Arial"/>
          <w:i/>
          <w:sz w:val="22"/>
          <w:szCs w:val="22"/>
          <w:lang w:eastAsia="es-MX"/>
        </w:rPr>
        <w:t xml:space="preserve"> protesta a los integrantes el día 07 de febrero del presente año quedando integrada de la siguiente manera: ? C. LIDIA RAMOS CAMACHO. Titular del Instituto Municipal para la Igualdad entre Mujeres y Hombres de Cuautitlán Izcalli; y quien ocupa el cargo honorífico de Titular de la Unidad de Igualdad de Género y Erradicación de la Violencia. ? C. LEONARDO PAREDES CHÁVEZ. Jefe de la Unidad de Orientación, Atención y Desarrollo Humano del Instituto Municipal para la Igualdad entre Mujeres y Hombres de Cuautitlán Izcalli; y quien ocupa el cargo honorífico de Secretario Responsable de Género. ? C. ANA FABIOLA PEREZ GALAN. Jefa de la Unidad de Relaciones Interinstitucionales y Estadística de la Mujer del Instituto Municipal para la Igualdad entre Mujeres y Hombres de Cuautitlán Izcalli; y quien ocupa el cargo honorífico de Responsable de Cultura Institucional. ? C. JOSÉ GUADALUPE MARTÍNEZ AGUIRRE. Integrante de la Unidad de Orientación, Atención y Desarrollo Humano del Instituto Municipal para la Igualdad entre Mujeres y Hombres de Cuautitlán Izcalli; y quien ocupa el cargo honorífico de Responsable de Prevención y Atención a la Violencia Laboral y Atención Jurídica. ? C. NORMA ANGÉLICA BERNAL MONCIVAIZ. Integrante de la Unidad de Orientación, Atención y Desarrollo Humano del Instituto Municipal para la Igualdad entre Mujeres y Hombres de Cuautitlán Izcalli; y quien ocupa el cargo honorífico de Responsable de Prevención y Atención a la Violencia Laboral y Atención Psicológica. No omito mencionar que el plan de trabajo en donde se contemplan las acciones necesarias para generar un clima laboral en estricto apego a la Igualdad Sustantiva entre Mujeres y Hombres, así como la creación de acciones que coadyuven a la Erradicación de la Violencia Laboral, el Acoso y el Hostigamiento Sexual; se encuentran en proceso de su elaboración para ser presentadas en la Primera Sesión Ordinaria de la Unidad de Igualdad de Género y Erradicación de la Violencia.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de la persona(s) y su área que reportan al Banco de Datos del Estado de México sobre casos de Violencia contra las Mujeres.” SIC En virtud de lo anterior, me permito informar lo siguiente: Las personas encargadas de suministrar información al Banco de Datos del Estado de México sobre casos de Violencia contra las Mujeres, por parte del Instituto Municipal de Igualdad entre Mujeres y Hombres de Cuautitlán Izcalli, son las siguientes personas: ? LIC. GUSTAVO MENDOZA CRUZ. ? LIC. MONSERRAT RETANA CONTRERAS.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y nombre de las campañas permanentes encaminadas a la prevención de las violencias de género contra las </w:t>
      </w:r>
      <w:r w:rsidRPr="007A646F">
        <w:rPr>
          <w:rFonts w:ascii="Palatino Linotype" w:hAnsi="Palatino Linotype" w:cs="Arial"/>
          <w:i/>
          <w:sz w:val="22"/>
          <w:szCs w:val="22"/>
          <w:lang w:eastAsia="es-MX"/>
        </w:rPr>
        <w:lastRenderedPageBreak/>
        <w:t xml:space="preserve">mujeres con el fin de dar a conocer los derechos humanos de las mujeres, niñas y </w:t>
      </w:r>
      <w:proofErr w:type="spellStart"/>
      <w:r w:rsidRPr="007A646F">
        <w:rPr>
          <w:rFonts w:ascii="Palatino Linotype" w:hAnsi="Palatino Linotype" w:cs="Arial"/>
          <w:i/>
          <w:sz w:val="22"/>
          <w:szCs w:val="22"/>
          <w:lang w:eastAsia="es-MX"/>
        </w:rPr>
        <w:t>adolecentes</w:t>
      </w:r>
      <w:proofErr w:type="spellEnd"/>
      <w:r w:rsidRPr="007A646F">
        <w:rPr>
          <w:rFonts w:ascii="Palatino Linotype" w:hAnsi="Palatino Linotype" w:cs="Arial"/>
          <w:i/>
          <w:sz w:val="22"/>
          <w:szCs w:val="22"/>
          <w:lang w:eastAsia="es-MX"/>
        </w:rPr>
        <w:t xml:space="preserve"> y el derecho a una vida libre de violencia.” SIC. En virtud de lo anterior, me permito informar lo siguiente: El Instituto Municipal para la Igualdad entre mujeres y Hombres de Cuautitlán Izcalli, durante el año 2019 llevo a cabo 4 campañas, mediante las cuales se atendió a colonias y escuelas dentro de las zonas </w:t>
      </w:r>
      <w:proofErr w:type="spellStart"/>
      <w:r w:rsidRPr="007A646F">
        <w:rPr>
          <w:rFonts w:ascii="Palatino Linotype" w:hAnsi="Palatino Linotype" w:cs="Arial"/>
          <w:i/>
          <w:sz w:val="22"/>
          <w:szCs w:val="22"/>
          <w:lang w:eastAsia="es-MX"/>
        </w:rPr>
        <w:t>georreferenciadas</w:t>
      </w:r>
      <w:proofErr w:type="spellEnd"/>
      <w:r w:rsidRPr="007A646F">
        <w:rPr>
          <w:rFonts w:ascii="Palatino Linotype" w:hAnsi="Palatino Linotype" w:cs="Arial"/>
          <w:i/>
          <w:sz w:val="22"/>
          <w:szCs w:val="22"/>
          <w:lang w:eastAsia="es-MX"/>
        </w:rPr>
        <w:t xml:space="preserve"> con mayor incidencia delictiva. Las cuales fueron campañas informativas de prevención, atención y erradicación de la violencia de género.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de los programas de capacitación dirigidos a las y los servidores públicos municipales en materia de prevención, atención, sanción y erradicación de la </w:t>
      </w:r>
      <w:proofErr w:type="spellStart"/>
      <w:r w:rsidRPr="007A646F">
        <w:rPr>
          <w:rFonts w:ascii="Palatino Linotype" w:hAnsi="Palatino Linotype" w:cs="Arial"/>
          <w:i/>
          <w:sz w:val="22"/>
          <w:szCs w:val="22"/>
          <w:lang w:eastAsia="es-MX"/>
        </w:rPr>
        <w:t>violenciade</w:t>
      </w:r>
      <w:proofErr w:type="spellEnd"/>
      <w:r w:rsidRPr="007A646F">
        <w:rPr>
          <w:rFonts w:ascii="Palatino Linotype" w:hAnsi="Palatino Linotype" w:cs="Arial"/>
          <w:i/>
          <w:sz w:val="22"/>
          <w:szCs w:val="22"/>
          <w:lang w:eastAsia="es-MX"/>
        </w:rPr>
        <w:t xml:space="preserve"> género, así como en temas de igualdad, equidad y perspectiva de género, durante el 2019 y febrero 2020. Especificar temas de capacitación, periodicidad, horas de capacitación, quien (es) impartió/impartieron las capacitaciones, áreas de procedencia del personal capacitado y resultados obtenidos.” SIC. En virtud de lo anterior, me permito informar lo siguiente: El Instituto Municipal para la Igualdad entre Mujeres y Hombres de Cuautitlán Izcalli, a través del Programa de Fortalecimiento a la Transversalidad de la Perspectiva de Género </w:t>
      </w:r>
      <w:proofErr w:type="spellStart"/>
      <w:r w:rsidRPr="007A646F">
        <w:rPr>
          <w:rFonts w:ascii="Palatino Linotype" w:hAnsi="Palatino Linotype" w:cs="Arial"/>
          <w:i/>
          <w:sz w:val="22"/>
          <w:szCs w:val="22"/>
          <w:lang w:eastAsia="es-MX"/>
        </w:rPr>
        <w:t>a</w:t>
      </w:r>
      <w:proofErr w:type="spellEnd"/>
      <w:r w:rsidRPr="007A646F">
        <w:rPr>
          <w:rFonts w:ascii="Palatino Linotype" w:hAnsi="Palatino Linotype" w:cs="Arial"/>
          <w:i/>
          <w:sz w:val="22"/>
          <w:szCs w:val="22"/>
          <w:lang w:eastAsia="es-MX"/>
        </w:rPr>
        <w:t xml:space="preserve"> llevado a cabo capacitaciones, talleres y conferencias a las servidoras y servidores públicos del Ayuntamiento de Cuautitlán Izcalli, con el objetivo de promover la igualdad entre mujeres y hombres. RESULTADOS OBTENIDOS: Se han visto reflejados de manera paulatina el cambio y actitud en los servidores públicos mediante los temas al respecto. Así mismo, la información adquirida se ha ido distribuyendo en el municipio de Cuautitlán Izcalli mediante pláticas y talleres en instituciones educativas y en comunidad.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respecto al programa(S) para atender las violencias contra las mujeres.” SIC. En virtud de lo anterior, me permito informar lo siguiente: El Instituto Municipal para la Igualdad entre Mujeres y Hombres, a través de la Comisión Ejecutiva de Atención a Víctimas del Estado de México (CEAVEM) se gestionaron los recursos estatales del Programa para la Mitigación de la Alerta de Violencia de Género; por un monto total de 3 millones 340 mil 766 pesos. Vehículo: 2</w:t>
      </w:r>
      <w:proofErr w:type="gramStart"/>
      <w:r w:rsidRPr="007A646F">
        <w:rPr>
          <w:rFonts w:ascii="Palatino Linotype" w:hAnsi="Palatino Linotype" w:cs="Arial"/>
          <w:i/>
          <w:sz w:val="22"/>
          <w:szCs w:val="22"/>
          <w:lang w:eastAsia="es-MX"/>
        </w:rPr>
        <w:t>,107,945.60</w:t>
      </w:r>
      <w:proofErr w:type="gramEnd"/>
      <w:r w:rsidRPr="007A646F">
        <w:rPr>
          <w:rFonts w:ascii="Palatino Linotype" w:hAnsi="Palatino Linotype" w:cs="Arial"/>
          <w:i/>
          <w:sz w:val="22"/>
          <w:szCs w:val="22"/>
          <w:lang w:eastAsia="es-MX"/>
        </w:rPr>
        <w:t xml:space="preserve"> Capacitaciones: 264,043.84 Equipamiento: 450,438.97 Campaña de Difusión: 518,337.59 Cabe mencionar que no es presupuesto municipal, sino recurso de Gobierno Estatal solicitado a través del Programa para la Mitigación de la Alerta de Violencia de Género. También se </w:t>
      </w:r>
      <w:proofErr w:type="spellStart"/>
      <w:r w:rsidRPr="007A646F">
        <w:rPr>
          <w:rFonts w:ascii="Palatino Linotype" w:hAnsi="Palatino Linotype" w:cs="Arial"/>
          <w:i/>
          <w:sz w:val="22"/>
          <w:szCs w:val="22"/>
          <w:lang w:eastAsia="es-MX"/>
        </w:rPr>
        <w:t>realizo</w:t>
      </w:r>
      <w:proofErr w:type="spellEnd"/>
      <w:r w:rsidRPr="007A646F">
        <w:rPr>
          <w:rFonts w:ascii="Palatino Linotype" w:hAnsi="Palatino Linotype" w:cs="Arial"/>
          <w:i/>
          <w:sz w:val="22"/>
          <w:szCs w:val="22"/>
          <w:lang w:eastAsia="es-MX"/>
        </w:rPr>
        <w:t xml:space="preserve"> la gestión del Programa de Fortalecimiento a la Transversalidad de la Perspectiva de Género, a través del Instituto Nacional de Mujeres (INMUJERES) en el año 2019 por un monto total de 191 mil 530 pesos, recurso que se destinó en: Marco normativo en materia de igualdad y no discriminación contra las mujeres: $ 38,000.00 Planeación y programación de la política de igualdad: $76,000.00 Fortalecimiento Institucional: </w:t>
      </w:r>
      <w:r w:rsidRPr="007A646F">
        <w:rPr>
          <w:rFonts w:ascii="Palatino Linotype" w:hAnsi="Palatino Linotype" w:cs="Arial"/>
          <w:i/>
          <w:sz w:val="22"/>
          <w:szCs w:val="22"/>
          <w:lang w:eastAsia="es-MX"/>
        </w:rPr>
        <w:lastRenderedPageBreak/>
        <w:t xml:space="preserve">$ 65,000.00 Gastos de Coordinación: $ 12,530.00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relativa a los servicios que ofrece el ayuntamiento en materia de violencia de género y atención a víctimas.” SIC. En virtud de lo anterior, me permito informar lo siguiente: El Instituto Municipal para la Igualdad entre Mujeres y Hombres de Cuautitlán Izcalli, cuenta con los siguientes servicios en materia de violencia de género y atención a víctimas: ATENCIÓN PSICOLÓGICA: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Autoestima. ? Relación de parejas. ? Relaciones destructivas (violencia). ? Manejo de emociones. ? Depresión. ? Duelo. ASESORÍA JURÍDICA EN MATERIA DE VIOLENCIA FAMILIAR: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Registro Civil. ? Matrimonio. ? Nulidad de matrimonio. ? Divorcio </w:t>
      </w:r>
      <w:proofErr w:type="spellStart"/>
      <w:r w:rsidRPr="007A646F">
        <w:rPr>
          <w:rFonts w:ascii="Palatino Linotype" w:hAnsi="Palatino Linotype" w:cs="Arial"/>
          <w:i/>
          <w:sz w:val="22"/>
          <w:szCs w:val="22"/>
          <w:lang w:eastAsia="es-MX"/>
        </w:rPr>
        <w:t>incausado</w:t>
      </w:r>
      <w:proofErr w:type="spellEnd"/>
      <w:r w:rsidRPr="007A646F">
        <w:rPr>
          <w:rFonts w:ascii="Palatino Linotype" w:hAnsi="Palatino Linotype" w:cs="Arial"/>
          <w:i/>
          <w:sz w:val="22"/>
          <w:szCs w:val="22"/>
          <w:lang w:eastAsia="es-MX"/>
        </w:rPr>
        <w:t xml:space="preserve"> y voluntario. ? Actas de nacimiento reconocimiento. ? Procedimiento de violencia familiar en ámbito civil. ASESORÍA JURÍDICA EN MATERIA PENAL: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w:t>
      </w:r>
      <w:proofErr w:type="spellStart"/>
      <w:r w:rsidRPr="007A646F">
        <w:rPr>
          <w:rFonts w:ascii="Palatino Linotype" w:hAnsi="Palatino Linotype" w:cs="Arial"/>
          <w:i/>
          <w:sz w:val="22"/>
          <w:szCs w:val="22"/>
          <w:lang w:eastAsia="es-MX"/>
        </w:rPr>
        <w:t>Feminicidio</w:t>
      </w:r>
      <w:proofErr w:type="spellEnd"/>
      <w:r w:rsidRPr="007A646F">
        <w:rPr>
          <w:rFonts w:ascii="Palatino Linotype" w:hAnsi="Palatino Linotype" w:cs="Arial"/>
          <w:i/>
          <w:sz w:val="22"/>
          <w:szCs w:val="22"/>
          <w:lang w:eastAsia="es-MX"/>
        </w:rPr>
        <w:t xml:space="preserve">. ? Secuestro. ? Trata de personas. ? Sustracción de menor. ? Hostigamiento y acoso sexual. ? Violación. ? Robo. ? Lesiones. ? </w:t>
      </w:r>
      <w:proofErr w:type="spellStart"/>
      <w:r w:rsidRPr="007A646F">
        <w:rPr>
          <w:rFonts w:ascii="Palatino Linotype" w:hAnsi="Palatino Linotype" w:cs="Arial"/>
          <w:i/>
          <w:sz w:val="22"/>
          <w:szCs w:val="22"/>
          <w:lang w:eastAsia="es-MX"/>
        </w:rPr>
        <w:t>Estrupo</w:t>
      </w:r>
      <w:proofErr w:type="spellEnd"/>
      <w:r w:rsidRPr="007A646F">
        <w:rPr>
          <w:rFonts w:ascii="Palatino Linotype" w:hAnsi="Palatino Linotype" w:cs="Arial"/>
          <w:i/>
          <w:sz w:val="22"/>
          <w:szCs w:val="22"/>
          <w:lang w:eastAsia="es-MX"/>
        </w:rPr>
        <w:t xml:space="preserve">. ? Procedimiento de Violencia </w:t>
      </w:r>
      <w:proofErr w:type="spellStart"/>
      <w:r w:rsidRPr="007A646F">
        <w:rPr>
          <w:rFonts w:ascii="Palatino Linotype" w:hAnsi="Palatino Linotype" w:cs="Arial"/>
          <w:i/>
          <w:sz w:val="22"/>
          <w:szCs w:val="22"/>
          <w:lang w:eastAsia="es-MX"/>
        </w:rPr>
        <w:t>Familiaren</w:t>
      </w:r>
      <w:proofErr w:type="spellEnd"/>
      <w:r w:rsidRPr="007A646F">
        <w:rPr>
          <w:rFonts w:ascii="Palatino Linotype" w:hAnsi="Palatino Linotype" w:cs="Arial"/>
          <w:i/>
          <w:sz w:val="22"/>
          <w:szCs w:val="22"/>
          <w:lang w:eastAsia="es-MX"/>
        </w:rPr>
        <w:t xml:space="preserve"> ámbito penal. TALLERES MOTIVACIONALES: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Mi prioridad soy yo. ? Yo elijo ser feliz. ? Estrés emocional. ? </w:t>
      </w:r>
      <w:proofErr w:type="spellStart"/>
      <w:r w:rsidRPr="007A646F">
        <w:rPr>
          <w:rFonts w:ascii="Palatino Linotype" w:hAnsi="Palatino Linotype" w:cs="Arial"/>
          <w:i/>
          <w:sz w:val="22"/>
          <w:szCs w:val="22"/>
          <w:lang w:eastAsia="es-MX"/>
        </w:rPr>
        <w:t>Risoterapia</w:t>
      </w:r>
      <w:proofErr w:type="spellEnd"/>
      <w:r w:rsidRPr="007A646F">
        <w:rPr>
          <w:rFonts w:ascii="Palatino Linotype" w:hAnsi="Palatino Linotype" w:cs="Arial"/>
          <w:i/>
          <w:sz w:val="22"/>
          <w:szCs w:val="22"/>
          <w:lang w:eastAsia="es-MX"/>
        </w:rPr>
        <w:t>. ? Buen trato (paz, no violencia). ? Vibrando de armonía. (</w:t>
      </w:r>
      <w:proofErr w:type="spellStart"/>
      <w:proofErr w:type="gramStart"/>
      <w:r w:rsidRPr="007A646F">
        <w:rPr>
          <w:rFonts w:ascii="Palatino Linotype" w:hAnsi="Palatino Linotype" w:cs="Arial"/>
          <w:i/>
          <w:sz w:val="22"/>
          <w:szCs w:val="22"/>
          <w:lang w:eastAsia="es-MX"/>
        </w:rPr>
        <w:t>thetahealing</w:t>
      </w:r>
      <w:proofErr w:type="spellEnd"/>
      <w:proofErr w:type="gramEnd"/>
      <w:r w:rsidRPr="007A646F">
        <w:rPr>
          <w:rFonts w:ascii="Palatino Linotype" w:hAnsi="Palatino Linotype" w:cs="Arial"/>
          <w:i/>
          <w:sz w:val="22"/>
          <w:szCs w:val="22"/>
          <w:lang w:eastAsia="es-MX"/>
        </w:rPr>
        <w:t xml:space="preserve">) ? Viviendo mi tercera edad con dignidad. ? </w:t>
      </w:r>
      <w:proofErr w:type="spellStart"/>
      <w:r w:rsidRPr="007A646F">
        <w:rPr>
          <w:rFonts w:ascii="Palatino Linotype" w:hAnsi="Palatino Linotype" w:cs="Arial"/>
          <w:i/>
          <w:sz w:val="22"/>
          <w:szCs w:val="22"/>
          <w:lang w:eastAsia="es-MX"/>
        </w:rPr>
        <w:t>Bailoterapia</w:t>
      </w:r>
      <w:proofErr w:type="spellEnd"/>
      <w:r w:rsidRPr="007A646F">
        <w:rPr>
          <w:rFonts w:ascii="Palatino Linotype" w:hAnsi="Palatino Linotype" w:cs="Arial"/>
          <w:i/>
          <w:sz w:val="22"/>
          <w:szCs w:val="22"/>
          <w:lang w:eastAsia="es-MX"/>
        </w:rPr>
        <w:t xml:space="preserve">. ? Autoestima. ? </w:t>
      </w:r>
      <w:proofErr w:type="spellStart"/>
      <w:r w:rsidRPr="007A646F">
        <w:rPr>
          <w:rFonts w:ascii="Palatino Linotype" w:hAnsi="Palatino Linotype" w:cs="Arial"/>
          <w:i/>
          <w:sz w:val="22"/>
          <w:szCs w:val="22"/>
          <w:lang w:eastAsia="es-MX"/>
        </w:rPr>
        <w:t>Abrazoterapia</w:t>
      </w:r>
      <w:proofErr w:type="spellEnd"/>
      <w:r w:rsidRPr="007A646F">
        <w:rPr>
          <w:rFonts w:ascii="Palatino Linotype" w:hAnsi="Palatino Linotype" w:cs="Arial"/>
          <w:i/>
          <w:sz w:val="22"/>
          <w:szCs w:val="22"/>
          <w:lang w:eastAsia="es-MX"/>
        </w:rPr>
        <w:t>. ? Cerrando ciclos. ? PLÁTICAS: (ADOLECENTES Y JÓVENES DE SECUNDARIA Y MEDIA SUPERIOR</w:t>
      </w:r>
      <w:proofErr w:type="gramStart"/>
      <w:r w:rsidRPr="007A646F">
        <w:rPr>
          <w:rFonts w:ascii="Palatino Linotype" w:hAnsi="Palatino Linotype" w:cs="Arial"/>
          <w:i/>
          <w:sz w:val="22"/>
          <w:szCs w:val="22"/>
          <w:lang w:eastAsia="es-MX"/>
        </w:rPr>
        <w:t>) ?</w:t>
      </w:r>
      <w:proofErr w:type="gramEnd"/>
      <w:r w:rsidRPr="007A646F">
        <w:rPr>
          <w:rFonts w:ascii="Palatino Linotype" w:hAnsi="Palatino Linotype" w:cs="Arial"/>
          <w:i/>
          <w:sz w:val="22"/>
          <w:szCs w:val="22"/>
          <w:lang w:eastAsia="es-MX"/>
        </w:rPr>
        <w:t xml:space="preserve"> Relaciones destructivas y violencia en el noviazgo. ? Prevención del embarazo adolescente. ? Alerta de violencia de género. ? Nuevas masculinidades. ? Delitos sexuales. ? </w:t>
      </w:r>
      <w:proofErr w:type="spellStart"/>
      <w:r w:rsidRPr="007A646F">
        <w:rPr>
          <w:rFonts w:ascii="Palatino Linotype" w:hAnsi="Palatino Linotype" w:cs="Arial"/>
          <w:i/>
          <w:sz w:val="22"/>
          <w:szCs w:val="22"/>
          <w:lang w:eastAsia="es-MX"/>
        </w:rPr>
        <w:t>Bullying</w:t>
      </w:r>
      <w:proofErr w:type="spellEnd"/>
      <w:r w:rsidRPr="007A646F">
        <w:rPr>
          <w:rFonts w:ascii="Palatino Linotype" w:hAnsi="Palatino Linotype" w:cs="Arial"/>
          <w:i/>
          <w:sz w:val="22"/>
          <w:szCs w:val="22"/>
          <w:lang w:eastAsia="es-MX"/>
        </w:rPr>
        <w:t xml:space="preserve">. ? Violencia familiar. ? Valores. JORNADAS PARA PREVENIR, ATENDER Y ERRADICAR LA VIOLENCIA DE GÉNERO. Con el objetivo de proporcionar una atención integral a las mujeres ya que son más vulnerables que los hombres en cuestión de salud, dado a que las mujeres requieren usar más los servicios de salud y se agrava la situación de ellas cuando no cuentan con un ingreso como tal y viven en zonas con alto índice de violencia, ya que en su mayoría se dedican al hogar y no tienen independencia económica.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de mujeres atendidas por violencia contra las mujeres durante el 2019 y febrero 2020. Especificar tipos y modalidades de la violencia, Las colonias, pueblos, barrios, con altos índices de violencia contra las mujeres, edad, escolaridad, situación conyugal, número de hijos e hijas, escolaridad de las mujeres atendidas y </w:t>
      </w:r>
      <w:proofErr w:type="spellStart"/>
      <w:r w:rsidRPr="007A646F">
        <w:rPr>
          <w:rFonts w:ascii="Palatino Linotype" w:hAnsi="Palatino Linotype" w:cs="Arial"/>
          <w:i/>
          <w:sz w:val="22"/>
          <w:szCs w:val="22"/>
          <w:lang w:eastAsia="es-MX"/>
        </w:rPr>
        <w:t>cúal</w:t>
      </w:r>
      <w:proofErr w:type="spellEnd"/>
      <w:r w:rsidRPr="007A646F">
        <w:rPr>
          <w:rFonts w:ascii="Palatino Linotype" w:hAnsi="Palatino Linotype" w:cs="Arial"/>
          <w:i/>
          <w:sz w:val="22"/>
          <w:szCs w:val="22"/>
          <w:lang w:eastAsia="es-MX"/>
        </w:rPr>
        <w:t xml:space="preserve"> es el seguimiento que les proporcionan a las víctimas.” SIC. En virtud de lo anterior, me permito informar lo siguiente: Para considerar las zonas con mayor incidencia delictiva contra las mujeres dentro del municipio, el IMIEMH toma como base la </w:t>
      </w:r>
      <w:proofErr w:type="spellStart"/>
      <w:r w:rsidRPr="007A646F">
        <w:rPr>
          <w:rFonts w:ascii="Palatino Linotype" w:hAnsi="Palatino Linotype" w:cs="Arial"/>
          <w:i/>
          <w:sz w:val="22"/>
          <w:szCs w:val="22"/>
          <w:lang w:eastAsia="es-MX"/>
        </w:rPr>
        <w:t>georreferenciación</w:t>
      </w:r>
      <w:proofErr w:type="spellEnd"/>
      <w:r w:rsidRPr="007A646F">
        <w:rPr>
          <w:rFonts w:ascii="Palatino Linotype" w:hAnsi="Palatino Linotype" w:cs="Arial"/>
          <w:i/>
          <w:sz w:val="22"/>
          <w:szCs w:val="22"/>
          <w:lang w:eastAsia="es-MX"/>
        </w:rPr>
        <w:t xml:space="preserve"> emitida por la CEAVEM mensualmente. En la </w:t>
      </w:r>
      <w:proofErr w:type="spellStart"/>
      <w:r w:rsidRPr="007A646F">
        <w:rPr>
          <w:rFonts w:ascii="Palatino Linotype" w:hAnsi="Palatino Linotype" w:cs="Arial"/>
          <w:i/>
          <w:sz w:val="22"/>
          <w:szCs w:val="22"/>
          <w:lang w:eastAsia="es-MX"/>
        </w:rPr>
        <w:t>siguente</w:t>
      </w:r>
      <w:proofErr w:type="spellEnd"/>
      <w:r w:rsidRPr="007A646F">
        <w:rPr>
          <w:rFonts w:ascii="Palatino Linotype" w:hAnsi="Palatino Linotype" w:cs="Arial"/>
          <w:i/>
          <w:sz w:val="22"/>
          <w:szCs w:val="22"/>
          <w:lang w:eastAsia="es-MX"/>
        </w:rPr>
        <w:t xml:space="preserve"> tabla se muestra los meses de </w:t>
      </w:r>
      <w:proofErr w:type="gramStart"/>
      <w:r w:rsidRPr="007A646F">
        <w:rPr>
          <w:rFonts w:ascii="Palatino Linotype" w:hAnsi="Palatino Linotype" w:cs="Arial"/>
          <w:i/>
          <w:sz w:val="22"/>
          <w:szCs w:val="22"/>
          <w:lang w:eastAsia="es-MX"/>
        </w:rPr>
        <w:t>Febrero</w:t>
      </w:r>
      <w:proofErr w:type="gramEnd"/>
      <w:r w:rsidRPr="007A646F">
        <w:rPr>
          <w:rFonts w:ascii="Palatino Linotype" w:hAnsi="Palatino Linotype" w:cs="Arial"/>
          <w:i/>
          <w:sz w:val="22"/>
          <w:szCs w:val="22"/>
          <w:lang w:eastAsia="es-MX"/>
        </w:rPr>
        <w:t xml:space="preserve"> a Diciembre del año 2019; ya que el mes de Enero no fue proporcionado. De igual forma se anexa </w:t>
      </w:r>
      <w:proofErr w:type="gramStart"/>
      <w:r w:rsidRPr="007A646F">
        <w:rPr>
          <w:rFonts w:ascii="Palatino Linotype" w:hAnsi="Palatino Linotype" w:cs="Arial"/>
          <w:i/>
          <w:sz w:val="22"/>
          <w:szCs w:val="22"/>
          <w:lang w:eastAsia="es-MX"/>
        </w:rPr>
        <w:t>Enero</w:t>
      </w:r>
      <w:proofErr w:type="gramEnd"/>
      <w:r w:rsidRPr="007A646F">
        <w:rPr>
          <w:rFonts w:ascii="Palatino Linotype" w:hAnsi="Palatino Linotype" w:cs="Arial"/>
          <w:i/>
          <w:sz w:val="22"/>
          <w:szCs w:val="22"/>
          <w:lang w:eastAsia="es-MX"/>
        </w:rPr>
        <w:t xml:space="preserve"> 2020, mes hasta el cual se tiene registro. La </w:t>
      </w:r>
      <w:r w:rsidRPr="007A646F">
        <w:rPr>
          <w:rFonts w:ascii="Palatino Linotype" w:hAnsi="Palatino Linotype" w:cs="Arial"/>
          <w:i/>
          <w:sz w:val="22"/>
          <w:szCs w:val="22"/>
          <w:lang w:eastAsia="es-MX"/>
        </w:rPr>
        <w:lastRenderedPageBreak/>
        <w:t xml:space="preserve">información proporcionada por la CEAVEM también indica la incidencia delictiva en torno a la violencia contra la mujer. Con respecto al número de hijos de las mujeres atendidas en el IMIEMH, debido a que las hojas de registro que se </w:t>
      </w:r>
      <w:proofErr w:type="gramStart"/>
      <w:r w:rsidRPr="007A646F">
        <w:rPr>
          <w:rFonts w:ascii="Palatino Linotype" w:hAnsi="Palatino Linotype" w:cs="Arial"/>
          <w:i/>
          <w:sz w:val="22"/>
          <w:szCs w:val="22"/>
          <w:lang w:eastAsia="es-MX"/>
        </w:rPr>
        <w:t>le</w:t>
      </w:r>
      <w:proofErr w:type="gramEnd"/>
      <w:r w:rsidRPr="007A646F">
        <w:rPr>
          <w:rFonts w:ascii="Palatino Linotype" w:hAnsi="Palatino Linotype" w:cs="Arial"/>
          <w:i/>
          <w:sz w:val="22"/>
          <w:szCs w:val="22"/>
          <w:lang w:eastAsia="es-MX"/>
        </w:rPr>
        <w:t xml:space="preserve"> proporciona a las usuarias no contiene ese dato. El 63.6% de las mujeres en esta situación fueron atendidas por violencia familiar, seguido por el 22.4% que corresponde a lesiones. Con respecto al seguimiento que se les proporcionó a las mujeres que fueron atendidas con asesorías por diversos tipos de violencia, fueron canalizadas según el caso. De acuerdo a la situación dichas mujeres fueron canalizadas para dar seguimiento a su problemática. El 75.18%% fue canalizada al Centro de Justicia de las Mujeres, seguido por el 17.52% que fueron canalizadas a la Defensoría Pública.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si la(s) dependencia(s) encargadas de dar seguimiento a la AVEGEM tienen un programa de atención a personas agresoras y en caso de tenerlo, </w:t>
      </w:r>
      <w:proofErr w:type="spellStart"/>
      <w:r w:rsidRPr="007A646F">
        <w:rPr>
          <w:rFonts w:ascii="Palatino Linotype" w:hAnsi="Palatino Linotype" w:cs="Arial"/>
          <w:i/>
          <w:sz w:val="22"/>
          <w:szCs w:val="22"/>
          <w:lang w:eastAsia="es-MX"/>
        </w:rPr>
        <w:t>cúal</w:t>
      </w:r>
      <w:proofErr w:type="spellEnd"/>
      <w:r w:rsidRPr="007A646F">
        <w:rPr>
          <w:rFonts w:ascii="Palatino Linotype" w:hAnsi="Palatino Linotype" w:cs="Arial"/>
          <w:i/>
          <w:sz w:val="22"/>
          <w:szCs w:val="22"/>
          <w:lang w:eastAsia="es-MX"/>
        </w:rPr>
        <w:t xml:space="preserve"> es el número de atenciones brindadas, desagregar la información por sexo y en caso de no tenerlo a qué dependencia se canaliza la persona agresora.” SIC. En virtud de lo anterior, me permito informar lo siguiente: El Instituto Municipal para la Igualdad entre Mujeres y Hombres de Cuautitlán Izcalli, no cuenta con un programa de atención a personas agresoras, pero cuando se llega a presentar un caso relacionado a una persona agresora se le canaliza al área Psicológica de dicho Instituto para que se le pueda brindar la atención correspondiente.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respecto al rescate de espacios públicos con perspectiva de género o en su caso, seguimiento que han dado a los </w:t>
      </w:r>
      <w:proofErr w:type="spellStart"/>
      <w:r w:rsidRPr="007A646F">
        <w:rPr>
          <w:rFonts w:ascii="Palatino Linotype" w:hAnsi="Palatino Linotype" w:cs="Arial"/>
          <w:i/>
          <w:sz w:val="22"/>
          <w:szCs w:val="22"/>
          <w:lang w:eastAsia="es-MX"/>
        </w:rPr>
        <w:t>epacios</w:t>
      </w:r>
      <w:proofErr w:type="spellEnd"/>
      <w:r w:rsidRPr="007A646F">
        <w:rPr>
          <w:rFonts w:ascii="Palatino Linotype" w:hAnsi="Palatino Linotype" w:cs="Arial"/>
          <w:i/>
          <w:sz w:val="22"/>
          <w:szCs w:val="22"/>
          <w:lang w:eastAsia="es-MX"/>
        </w:rPr>
        <w:t xml:space="preserve"> rescatados.” SIC. En virtud de lo anterior, me permito informar lo siguiente: El Instituto Municipal para la Igualdad entre Mujeres y Hombres de Cuautitlán Izcalli, no realiza rescate de </w:t>
      </w:r>
      <w:proofErr w:type="spellStart"/>
      <w:r w:rsidRPr="007A646F">
        <w:rPr>
          <w:rFonts w:ascii="Palatino Linotype" w:hAnsi="Palatino Linotype" w:cs="Arial"/>
          <w:i/>
          <w:sz w:val="22"/>
          <w:szCs w:val="22"/>
          <w:lang w:eastAsia="es-MX"/>
        </w:rPr>
        <w:t>espación</w:t>
      </w:r>
      <w:proofErr w:type="spellEnd"/>
      <w:r w:rsidRPr="007A646F">
        <w:rPr>
          <w:rFonts w:ascii="Palatino Linotype" w:hAnsi="Palatino Linotype" w:cs="Arial"/>
          <w:i/>
          <w:sz w:val="22"/>
          <w:szCs w:val="22"/>
          <w:lang w:eastAsia="es-MX"/>
        </w:rPr>
        <w:t xml:space="preserve"> públicos con perspectiva de género.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de las principales zonas </w:t>
      </w:r>
      <w:proofErr w:type="spellStart"/>
      <w:r w:rsidRPr="007A646F">
        <w:rPr>
          <w:rFonts w:ascii="Palatino Linotype" w:hAnsi="Palatino Linotype" w:cs="Arial"/>
          <w:i/>
          <w:sz w:val="22"/>
          <w:szCs w:val="22"/>
          <w:lang w:eastAsia="es-MX"/>
        </w:rPr>
        <w:t>georreferenciadas</w:t>
      </w:r>
      <w:proofErr w:type="spellEnd"/>
      <w:r w:rsidRPr="007A646F">
        <w:rPr>
          <w:rFonts w:ascii="Palatino Linotype" w:hAnsi="Palatino Linotype" w:cs="Arial"/>
          <w:i/>
          <w:sz w:val="22"/>
          <w:szCs w:val="22"/>
          <w:lang w:eastAsia="es-MX"/>
        </w:rPr>
        <w:t xml:space="preserve"> con mayor incidencia de violencia contra las mujeres en 2019 hasta febrero de 2020, se pide desagregar la información por tipo y modalidad de violencia”. SIC. En virtud de lo anterior, me permito informar lo siguiente: Para considerar las zonas con mayor incidencia delictiva contra las mujeres dentro del municipio, el IMIEMH toma como base la </w:t>
      </w:r>
      <w:proofErr w:type="spellStart"/>
      <w:r w:rsidRPr="007A646F">
        <w:rPr>
          <w:rFonts w:ascii="Palatino Linotype" w:hAnsi="Palatino Linotype" w:cs="Arial"/>
          <w:i/>
          <w:sz w:val="22"/>
          <w:szCs w:val="22"/>
          <w:lang w:eastAsia="es-MX"/>
        </w:rPr>
        <w:t>georreferenciación</w:t>
      </w:r>
      <w:proofErr w:type="spellEnd"/>
      <w:r w:rsidRPr="007A646F">
        <w:rPr>
          <w:rFonts w:ascii="Palatino Linotype" w:hAnsi="Palatino Linotype" w:cs="Arial"/>
          <w:i/>
          <w:sz w:val="22"/>
          <w:szCs w:val="22"/>
          <w:lang w:eastAsia="es-MX"/>
        </w:rPr>
        <w:t xml:space="preserve"> emitida por la CEAVEM mensualmente. En la </w:t>
      </w:r>
      <w:proofErr w:type="spellStart"/>
      <w:r w:rsidRPr="007A646F">
        <w:rPr>
          <w:rFonts w:ascii="Palatino Linotype" w:hAnsi="Palatino Linotype" w:cs="Arial"/>
          <w:i/>
          <w:sz w:val="22"/>
          <w:szCs w:val="22"/>
          <w:lang w:eastAsia="es-MX"/>
        </w:rPr>
        <w:t>siguente</w:t>
      </w:r>
      <w:proofErr w:type="spellEnd"/>
      <w:r w:rsidRPr="007A646F">
        <w:rPr>
          <w:rFonts w:ascii="Palatino Linotype" w:hAnsi="Palatino Linotype" w:cs="Arial"/>
          <w:i/>
          <w:sz w:val="22"/>
          <w:szCs w:val="22"/>
          <w:lang w:eastAsia="es-MX"/>
        </w:rPr>
        <w:t xml:space="preserve"> tabla se muestra los meses de </w:t>
      </w:r>
      <w:proofErr w:type="gramStart"/>
      <w:r w:rsidRPr="007A646F">
        <w:rPr>
          <w:rFonts w:ascii="Palatino Linotype" w:hAnsi="Palatino Linotype" w:cs="Arial"/>
          <w:i/>
          <w:sz w:val="22"/>
          <w:szCs w:val="22"/>
          <w:lang w:eastAsia="es-MX"/>
        </w:rPr>
        <w:t>Febrero</w:t>
      </w:r>
      <w:proofErr w:type="gramEnd"/>
      <w:r w:rsidRPr="007A646F">
        <w:rPr>
          <w:rFonts w:ascii="Palatino Linotype" w:hAnsi="Palatino Linotype" w:cs="Arial"/>
          <w:i/>
          <w:sz w:val="22"/>
          <w:szCs w:val="22"/>
          <w:lang w:eastAsia="es-MX"/>
        </w:rPr>
        <w:t xml:space="preserve"> a Diciembre del año 2019; ya que el mes de Enero no fue proporcionado. De igual forma se anexa </w:t>
      </w:r>
      <w:proofErr w:type="gramStart"/>
      <w:r w:rsidRPr="007A646F">
        <w:rPr>
          <w:rFonts w:ascii="Palatino Linotype" w:hAnsi="Palatino Linotype" w:cs="Arial"/>
          <w:i/>
          <w:sz w:val="22"/>
          <w:szCs w:val="22"/>
          <w:lang w:eastAsia="es-MX"/>
        </w:rPr>
        <w:t>Enero</w:t>
      </w:r>
      <w:proofErr w:type="gramEnd"/>
      <w:r w:rsidRPr="007A646F">
        <w:rPr>
          <w:rFonts w:ascii="Palatino Linotype" w:hAnsi="Palatino Linotype" w:cs="Arial"/>
          <w:i/>
          <w:sz w:val="22"/>
          <w:szCs w:val="22"/>
          <w:lang w:eastAsia="es-MX"/>
        </w:rPr>
        <w:t xml:space="preserve"> 2020, mes hasta el cual se tiene registro.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del presupuesto municipal del Instituto Municipal de la Mujer para prevenir y atender las violencias contra las mujeres que recibió por parte de Gobierno del Estado de México”. SIC. En virtud de lo anterior, me permito informar lo siguiente: El Instituto Municipal para la Igualdad entre Mujeres y Hombres de Cuautitlán </w:t>
      </w:r>
      <w:r w:rsidRPr="007A646F">
        <w:rPr>
          <w:rFonts w:ascii="Palatino Linotype" w:hAnsi="Palatino Linotype" w:cs="Arial"/>
          <w:i/>
          <w:sz w:val="22"/>
          <w:szCs w:val="22"/>
          <w:lang w:eastAsia="es-MX"/>
        </w:rPr>
        <w:lastRenderedPageBreak/>
        <w:t xml:space="preserve">Izcalli, a través de la Comisión Ejecutiva de Atención a Víctimas del Estado de México (CEAVEM) se gestionaron los recursos estatales del Programa para la Mitigación de la Alerta de Violencia de Género; por un monto total de 3 millones 340 mil 766 pesos. </w:t>
      </w:r>
      <w:proofErr w:type="spellStart"/>
      <w:r w:rsidRPr="007A646F">
        <w:rPr>
          <w:rFonts w:ascii="Palatino Linotype" w:hAnsi="Palatino Linotype" w:cs="Arial"/>
          <w:i/>
          <w:sz w:val="22"/>
          <w:szCs w:val="22"/>
          <w:lang w:eastAsia="es-MX"/>
        </w:rPr>
        <w:t>Acontinuación</w:t>
      </w:r>
      <w:proofErr w:type="spellEnd"/>
      <w:r w:rsidRPr="007A646F">
        <w:rPr>
          <w:rFonts w:ascii="Palatino Linotype" w:hAnsi="Palatino Linotype" w:cs="Arial"/>
          <w:i/>
          <w:sz w:val="22"/>
          <w:szCs w:val="22"/>
          <w:lang w:eastAsia="es-MX"/>
        </w:rPr>
        <w:t xml:space="preserve"> se describe la siguiente solicitud: “Se solicita información sobre en que se gastó el recurso destinado de la alerta de violencia de Género que recibió en el año 2019”. SIC. En virtud de lo anterior, me permito informar lo siguiente: </w:t>
      </w:r>
      <w:proofErr w:type="gramStart"/>
      <w:r w:rsidRPr="007A646F">
        <w:rPr>
          <w:rFonts w:ascii="Palatino Linotype" w:hAnsi="Palatino Linotype" w:cs="Arial"/>
          <w:i/>
          <w:sz w:val="22"/>
          <w:szCs w:val="22"/>
          <w:lang w:eastAsia="es-MX"/>
        </w:rPr>
        <w:t>?</w:t>
      </w:r>
      <w:proofErr w:type="gramEnd"/>
      <w:r w:rsidRPr="007A646F">
        <w:rPr>
          <w:rFonts w:ascii="Palatino Linotype" w:hAnsi="Palatino Linotype" w:cs="Arial"/>
          <w:i/>
          <w:sz w:val="22"/>
          <w:szCs w:val="22"/>
          <w:lang w:eastAsia="es-MX"/>
        </w:rPr>
        <w:t xml:space="preserve"> Vehículo: 2</w:t>
      </w:r>
      <w:proofErr w:type="gramStart"/>
      <w:r w:rsidRPr="007A646F">
        <w:rPr>
          <w:rFonts w:ascii="Palatino Linotype" w:hAnsi="Palatino Linotype" w:cs="Arial"/>
          <w:i/>
          <w:sz w:val="22"/>
          <w:szCs w:val="22"/>
          <w:lang w:eastAsia="es-MX"/>
        </w:rPr>
        <w:t>,107,945.60</w:t>
      </w:r>
      <w:proofErr w:type="gramEnd"/>
      <w:r w:rsidRPr="007A646F">
        <w:rPr>
          <w:rFonts w:ascii="Palatino Linotype" w:hAnsi="Palatino Linotype" w:cs="Arial"/>
          <w:i/>
          <w:sz w:val="22"/>
          <w:szCs w:val="22"/>
          <w:lang w:eastAsia="es-MX"/>
        </w:rPr>
        <w:t xml:space="preserve"> ? Capacitaciones: </w:t>
      </w:r>
      <w:proofErr w:type="gramStart"/>
      <w:r w:rsidRPr="007A646F">
        <w:rPr>
          <w:rFonts w:ascii="Palatino Linotype" w:hAnsi="Palatino Linotype" w:cs="Arial"/>
          <w:i/>
          <w:sz w:val="22"/>
          <w:szCs w:val="22"/>
          <w:lang w:eastAsia="es-MX"/>
        </w:rPr>
        <w:t>264,043.84 ?</w:t>
      </w:r>
      <w:proofErr w:type="gramEnd"/>
      <w:r w:rsidRPr="007A646F">
        <w:rPr>
          <w:rFonts w:ascii="Palatino Linotype" w:hAnsi="Palatino Linotype" w:cs="Arial"/>
          <w:i/>
          <w:sz w:val="22"/>
          <w:szCs w:val="22"/>
          <w:lang w:eastAsia="es-MX"/>
        </w:rPr>
        <w:t xml:space="preserve"> Equipamiento: </w:t>
      </w:r>
      <w:proofErr w:type="gramStart"/>
      <w:r w:rsidRPr="007A646F">
        <w:rPr>
          <w:rFonts w:ascii="Palatino Linotype" w:hAnsi="Palatino Linotype" w:cs="Arial"/>
          <w:i/>
          <w:sz w:val="22"/>
          <w:szCs w:val="22"/>
          <w:lang w:eastAsia="es-MX"/>
        </w:rPr>
        <w:t>450,438.97 ?</w:t>
      </w:r>
      <w:proofErr w:type="gramEnd"/>
      <w:r w:rsidRPr="007A646F">
        <w:rPr>
          <w:rFonts w:ascii="Palatino Linotype" w:hAnsi="Palatino Linotype" w:cs="Arial"/>
          <w:i/>
          <w:sz w:val="22"/>
          <w:szCs w:val="22"/>
          <w:lang w:eastAsia="es-MX"/>
        </w:rPr>
        <w:t xml:space="preserve"> Campaña de Difusión: 518,337.59 Por lo anteriormente expuesto, atentamente solicito se sirva: ÚNICO.- Tenerme por presentada en tiempo y forma; atendiendo la solicitud de información con el folio 00078/CUAUTIZC/IP/2020, recibida mediante el Sistema de Acceso a la Información Mexiquense SAIMEX. ”</w:t>
      </w:r>
      <w:proofErr w:type="gramStart"/>
      <w:r w:rsidRPr="007A646F">
        <w:rPr>
          <w:rFonts w:ascii="Palatino Linotype" w:hAnsi="Palatino Linotype" w:cs="Arial"/>
          <w:i/>
          <w:sz w:val="22"/>
          <w:szCs w:val="22"/>
          <w:lang w:eastAsia="es-MX"/>
        </w:rPr>
        <w:t>sic</w:t>
      </w:r>
      <w:proofErr w:type="gramEnd"/>
      <w:r w:rsidRPr="007A646F">
        <w:rPr>
          <w:rFonts w:ascii="Palatino Linotype" w:hAnsi="Palatino Linotype" w:cs="Arial"/>
          <w:i/>
          <w:sz w:val="22"/>
          <w:szCs w:val="22"/>
          <w:lang w:eastAsia="es-MX"/>
        </w:rPr>
        <w:t xml:space="preserve"> 2.- “En atención a la solicitud de información número 0078/CUAUTIZC/IP/2020, turnada por la Unidad de Transparencia de Cuautitlán Izcalli, Estado de México, a través del Sistema de Acceso a la Información Mexiquense (SAIMEX), por la cual u particular requiere lo siguiente: “Información sobre acciones de atención y seguimiento de la alerta de violencia de género del año 2019 a la fecha, se detalla con una guía de preguntas que solicito responda. ”SIC Al respecto le informo lo siguiente: Por medio del presente se adjunta el oficio número CGSPYT-UEAVF/001/2020, signado por el Titular de la Unidad de Atención a la Violencia Familiar y de Género de Cuautitlán Izcalli, Estado de México ÚNICO.- Tenerme por presentado en tiempo y forma dando contestación a la solicitud referida. Sin </w:t>
      </w:r>
      <w:proofErr w:type="spellStart"/>
      <w:proofErr w:type="gramStart"/>
      <w:r w:rsidRPr="007A646F">
        <w:rPr>
          <w:rFonts w:ascii="Palatino Linotype" w:hAnsi="Palatino Linotype" w:cs="Arial"/>
          <w:i/>
          <w:sz w:val="22"/>
          <w:szCs w:val="22"/>
          <w:lang w:eastAsia="es-MX"/>
        </w:rPr>
        <w:t>mas</w:t>
      </w:r>
      <w:proofErr w:type="spellEnd"/>
      <w:proofErr w:type="gramEnd"/>
      <w:r w:rsidRPr="007A646F">
        <w:rPr>
          <w:rFonts w:ascii="Palatino Linotype" w:hAnsi="Palatino Linotype" w:cs="Arial"/>
          <w:i/>
          <w:sz w:val="22"/>
          <w:szCs w:val="22"/>
          <w:lang w:eastAsia="es-MX"/>
        </w:rPr>
        <w:t xml:space="preserve"> por el momento, aprovecho la ocasión para enviarle un saludo. ”sic 3.- “Por medio del presente reciba un cordial saludo, de igual modo y con fundamento a lo dispuesto por los artículos 10, 11, 12 párrafo segundo 50, 58 y 59 fracciones I y II de la Ley de Transparencia y Acceso a la Información Pública del Estado de México y Municipios, aprovecho la ocasión para contestar la solicitud de información con folio 00078/CUAUTIZC/IP/2020, la que a la letra señala: Descripción de la </w:t>
      </w:r>
      <w:proofErr w:type="spellStart"/>
      <w:r w:rsidRPr="007A646F">
        <w:rPr>
          <w:rFonts w:ascii="Palatino Linotype" w:hAnsi="Palatino Linotype" w:cs="Arial"/>
          <w:i/>
          <w:sz w:val="22"/>
          <w:szCs w:val="22"/>
          <w:lang w:eastAsia="es-MX"/>
        </w:rPr>
        <w:t>Inormación</w:t>
      </w:r>
      <w:proofErr w:type="spellEnd"/>
      <w:r w:rsidRPr="007A646F">
        <w:rPr>
          <w:rFonts w:ascii="Palatino Linotype" w:hAnsi="Palatino Linotype" w:cs="Arial"/>
          <w:i/>
          <w:sz w:val="22"/>
          <w:szCs w:val="22"/>
          <w:lang w:eastAsia="es-MX"/>
        </w:rPr>
        <w:t xml:space="preserve"> Solicitada: “Información sobre acciones de atención y seguimiento de la alerta de violencia de género del año 2019 a la fecha, se detalla con una guía de preguntas que solicito responda. ”SIC Adjunto encontrará la información solicitada. ”</w:t>
      </w:r>
      <w:proofErr w:type="gramStart"/>
      <w:r w:rsidRPr="007A646F">
        <w:rPr>
          <w:rFonts w:ascii="Palatino Linotype" w:hAnsi="Palatino Linotype" w:cs="Arial"/>
          <w:i/>
          <w:sz w:val="22"/>
          <w:szCs w:val="22"/>
          <w:lang w:eastAsia="es-MX"/>
        </w:rPr>
        <w:t>sic</w:t>
      </w:r>
      <w:proofErr w:type="gramEnd"/>
      <w:r w:rsidRPr="007A646F">
        <w:rPr>
          <w:rFonts w:ascii="Palatino Linotype" w:hAnsi="Palatino Linotype" w:cs="Arial"/>
          <w:i/>
          <w:sz w:val="22"/>
          <w:szCs w:val="22"/>
          <w:lang w:eastAsia="es-MX"/>
        </w:rPr>
        <w:t xml:space="preserve"> 4.- “Por este conducto y en respuesta a la solicitud, 00078/CUAUTIZC/IP/2020, recibida por el Sistema </w:t>
      </w:r>
      <w:proofErr w:type="spellStart"/>
      <w:r w:rsidRPr="007A646F">
        <w:rPr>
          <w:rFonts w:ascii="Palatino Linotype" w:hAnsi="Palatino Linotype" w:cs="Arial"/>
          <w:i/>
          <w:sz w:val="22"/>
          <w:szCs w:val="22"/>
          <w:lang w:eastAsia="es-MX"/>
        </w:rPr>
        <w:t>Saimex</w:t>
      </w:r>
      <w:proofErr w:type="spellEnd"/>
      <w:r w:rsidRPr="007A646F">
        <w:rPr>
          <w:rFonts w:ascii="Palatino Linotype" w:hAnsi="Palatino Linotype" w:cs="Arial"/>
          <w:i/>
          <w:sz w:val="22"/>
          <w:szCs w:val="22"/>
          <w:lang w:eastAsia="es-MX"/>
        </w:rPr>
        <w:t xml:space="preserve">, que a la letra señala: DESCRIPCIÓN DE LA INFORMACIÓN SOLICITADA: “Información sobre acciones de atención y seguimiento de la alerta de violencia de género del año 2019 a la fecha, se detalla con una guía de preguntas que solicito responda. ”SIC Hago de su conocimiento que el área de Control Presupuestal perteneciente a la Tesorería Municipal, informa: En el punto IV. Presupuesto destinado para las acciones de la AVEGEM durante el periodo fiscal 2019-2020. • Se solicita información del </w:t>
      </w:r>
      <w:r w:rsidRPr="007A646F">
        <w:rPr>
          <w:rFonts w:ascii="Palatino Linotype" w:hAnsi="Palatino Linotype" w:cs="Arial"/>
          <w:i/>
          <w:sz w:val="22"/>
          <w:szCs w:val="22"/>
          <w:lang w:eastAsia="es-MX"/>
        </w:rPr>
        <w:lastRenderedPageBreak/>
        <w:t xml:space="preserve">presupuesto municipal destinado para dar seguimiento a la AVGM. Para este punto se informa que no existe un capitulo en específico o una partida presupuestal que se utilice para dar seguimiento a este tema, de Alerta de Violencia de Genero contra las Mujeres. • Se solicita información del presupuesto municipal del Instituto Municipal de la Mujer para prevenir y atender las violencias contra las mujeres que recibió por parte del Gobierno del Estado de México. Para este punto se informa que en el año 2019 y lo que va del año 2020 no se ha recibido recurso económico alguno de ningún programa para atender la violencia contra las mujeres por parte del Gobierno del Estado de México. • Se requiere información sobre en que se gastó el recurso destinado de la Alerta de Genero que se recibió en el año 2019. Como ya se mencionó con anterioridad, no existió en el ejercicio fiscal 2019 un capitulo o partida presupuestal que se utilice para la Alerta de Violencia de Genero. Lo anterior con fundamento en lo previsto por los Artículos 6 A fracción I de la Constitución Política de los Estados Unidos Mexicanos, 12 párrafo segundo, 24 Fracción XIX, 166 de la Ley de Transparencia y Acceso a la Información Pública del Estado de México y Municipios. Agradeciendo la atención a la presente, quedo de usted para cualquier duda o aclaración. ”sic 5.- “Por medio del presente y con fundamento en el artículo, 12, 24 último párrafo, 167 y demás relativos y aplicables de la Ley de Transparencia y Acceso a la Información Pública del Estado de México y Municipios, así como el numeral CUARENTA Y DOS de los LINEAMIENTOS PARA LA RECEPCIÓN, TRÁMITE Y RESOLUCIÓN DE LAS SOLICITUDES DE ACCESO A LA INFORMACIÓN PÚBLICA, ACCESO, MODIFICACIÓN, SUSTITUCIÓN, RECTIFICACIÓN O SUPRESIÓN PARCIAL O TOTAL DE DATOS PERSONALES, ASÍ COMO DE LOS RECURSOS DE REVISIÓN QUE DEBERÁN DE OBSERVAR LOS SUJETOS OBLIGADOS POR LA LEY DE TRANSPARENCIA Y ACCESO A LA INFORMACIÓN PÚBLICA DEL ESTADO DE MÉXICO Y MUNICIPIOS, en el artículo 24 último párrafo y 167, de la Ley de Transparencia y Acceso a la Información Pública del Estado de México y Municipios y el acuerdo mediante el cual el pleno del Instituto de Transparencia, Acceso a la Información Pública y Protección de Datos Personales del Estado de México y Municipios, modifica el padrón de sujetos obligados en materia de Transparencia y Acceso a la Información Pública del Estado de México y Municipios, publicado en la Gaceta del lunes 27 de noviembre de 2017. DESCRIPCIÓN DE LA INFORMACIÓN SOLICITADA: “Información sobre acciones de atención y seguimiento de la alerta de violencia de género del año 2019 a la fecha, se detalla con una guía de preguntas que solicito </w:t>
      </w:r>
      <w:proofErr w:type="spellStart"/>
      <w:r w:rsidRPr="007A646F">
        <w:rPr>
          <w:rFonts w:ascii="Palatino Linotype" w:hAnsi="Palatino Linotype" w:cs="Arial"/>
          <w:i/>
          <w:sz w:val="22"/>
          <w:szCs w:val="22"/>
          <w:lang w:eastAsia="es-MX"/>
        </w:rPr>
        <w:t>responda.”SIC</w:t>
      </w:r>
      <w:proofErr w:type="spellEnd"/>
      <w:r w:rsidRPr="007A646F">
        <w:rPr>
          <w:rFonts w:ascii="Palatino Linotype" w:hAnsi="Palatino Linotype" w:cs="Arial"/>
          <w:i/>
          <w:sz w:val="22"/>
          <w:szCs w:val="22"/>
          <w:lang w:eastAsia="es-MX"/>
        </w:rPr>
        <w:t xml:space="preserve"> Me permito comunicarle que en referencia a lo que requiere del Sistema Municipal Para el Desarrollo Integral de la Familia de Cuautitlán Izcalli., en la solicitud de información con número de folio: 00078/CUAUTIZC/IP/2020, </w:t>
      </w:r>
      <w:r w:rsidRPr="007A646F">
        <w:rPr>
          <w:rFonts w:ascii="Palatino Linotype" w:hAnsi="Palatino Linotype" w:cs="Arial"/>
          <w:i/>
          <w:sz w:val="22"/>
          <w:szCs w:val="22"/>
          <w:lang w:eastAsia="es-MX"/>
        </w:rPr>
        <w:lastRenderedPageBreak/>
        <w:t xml:space="preserve">no se encuentra contenida en los archivos de este Sujeto Obligado (Ayuntamiento de Cuautitlán Izcalli), toda vez que no generamos, administramos o poseemos la información que usted requiere; por lo que le exhorto a efecto de que dirija su solicitud al ente de Gobierno facultado para proporcionarle la información que Usted necesita; en consecuencia le invito a que presente su solicitud de información a través del SAIMEX, dirigida al (Sistema Municipal Para el Desarrollo Integral de la Familia de Cuautitlán Izcalli.). Ahora bien respecto a los siguientes dos puntos que requiere en su solicitud de información: “Se solicita información de las principales zonas </w:t>
      </w:r>
      <w:proofErr w:type="spellStart"/>
      <w:r w:rsidRPr="007A646F">
        <w:rPr>
          <w:rFonts w:ascii="Palatino Linotype" w:hAnsi="Palatino Linotype" w:cs="Arial"/>
          <w:i/>
          <w:sz w:val="22"/>
          <w:szCs w:val="22"/>
          <w:lang w:eastAsia="es-MX"/>
        </w:rPr>
        <w:t>georreferenciadas</w:t>
      </w:r>
      <w:proofErr w:type="spellEnd"/>
      <w:r w:rsidRPr="007A646F">
        <w:rPr>
          <w:rFonts w:ascii="Palatino Linotype" w:hAnsi="Palatino Linotype" w:cs="Arial"/>
          <w:i/>
          <w:sz w:val="22"/>
          <w:szCs w:val="22"/>
          <w:lang w:eastAsia="es-MX"/>
        </w:rPr>
        <w:t xml:space="preserve"> con mayor incidencia de violencia contra las mujeres en 2019 hasta febrero de 2020, se pide desagregar la información por tipo y modalidad de </w:t>
      </w:r>
      <w:proofErr w:type="spellStart"/>
      <w:r w:rsidRPr="007A646F">
        <w:rPr>
          <w:rFonts w:ascii="Palatino Linotype" w:hAnsi="Palatino Linotype" w:cs="Arial"/>
          <w:i/>
          <w:sz w:val="22"/>
          <w:szCs w:val="22"/>
          <w:lang w:eastAsia="es-MX"/>
        </w:rPr>
        <w:t>violencia”sic</w:t>
      </w:r>
      <w:proofErr w:type="spellEnd"/>
      <w:r w:rsidRPr="007A646F">
        <w:rPr>
          <w:rFonts w:ascii="Palatino Linotype" w:hAnsi="Palatino Linotype" w:cs="Arial"/>
          <w:i/>
          <w:sz w:val="22"/>
          <w:szCs w:val="22"/>
          <w:lang w:eastAsia="es-MX"/>
        </w:rPr>
        <w:t xml:space="preserve"> “Se solicita información del número de medidas de protección recibidas en el año 2019 para garantizar su efectiva ejecución y cuál ha seguimiento a las </w:t>
      </w:r>
      <w:proofErr w:type="spellStart"/>
      <w:r w:rsidRPr="007A646F">
        <w:rPr>
          <w:rFonts w:ascii="Palatino Linotype" w:hAnsi="Palatino Linotype" w:cs="Arial"/>
          <w:i/>
          <w:sz w:val="22"/>
          <w:szCs w:val="22"/>
          <w:lang w:eastAsia="es-MX"/>
        </w:rPr>
        <w:t>mismas”sic</w:t>
      </w:r>
      <w:proofErr w:type="spellEnd"/>
      <w:r w:rsidRPr="007A646F">
        <w:rPr>
          <w:rFonts w:ascii="Palatino Linotype" w:hAnsi="Palatino Linotype" w:cs="Arial"/>
          <w:i/>
          <w:sz w:val="22"/>
          <w:szCs w:val="22"/>
          <w:lang w:eastAsia="es-MX"/>
        </w:rPr>
        <w:t xml:space="preserve"> Le hago de su conocimiento que la información antes expuesta no se encuentra contenida en los archivos de este Sujeto Obligado (Ayuntamiento de Cuautitlán Izcalli), toda vez que no generamos, administramos o poseemos la información que usted requiere; por lo que le exhorto a efecto de que dirija su solicitud al ente de Gobierno facultado para proporcionarle la información que Usted necesita; en consecuencia le invito a que presente su solicitud de información a través del SAIMEX, dirigida al (Fiscalía General de Justicia del Estado de México.). De lo anteriormente expuesto y fundado a Usted, en términos de los artículos 12, y 24 último párrafo y 167 y demás aplicables de la Ley de Transparencia y Acceso a la Información Pública del Estado de México y Municipios; Por lo que a Usted pido se sirva tener a esta Unidad de Transparencia por notificada en tiempo y forma la contestación a su solicitud de acceso a la información para los efectos legales correspondientes, a través del sistema denominado SAIMEX. ”</w:t>
      </w:r>
      <w:proofErr w:type="gramStart"/>
      <w:r w:rsidRPr="007A646F">
        <w:rPr>
          <w:rFonts w:ascii="Palatino Linotype" w:hAnsi="Palatino Linotype" w:cs="Arial"/>
          <w:i/>
          <w:sz w:val="22"/>
          <w:szCs w:val="22"/>
          <w:lang w:eastAsia="es-MX"/>
        </w:rPr>
        <w:t>sic</w:t>
      </w:r>
      <w:proofErr w:type="gramEnd"/>
      <w:r w:rsidRPr="007A646F">
        <w:rPr>
          <w:rFonts w:ascii="Palatino Linotype" w:hAnsi="Palatino Linotype" w:cs="Arial"/>
          <w:i/>
          <w:sz w:val="22"/>
          <w:szCs w:val="22"/>
          <w:lang w:eastAsia="es-MX"/>
        </w:rPr>
        <w:t xml:space="preserve"> 6.- “En atención a la solicitud recibida bajo el folio 00078/CUAUTIZC/IP/2020 y cumpliendo con el requerimiento en el portal de transparencia y acceso a la información pública donde solicita la siguiente información: DESCRIPCIÓN DE LA INFORMACIÓN SOLICITADA: “Exhibir copia simple del acta y/o dictamen de la Comisión Edilicia de Transparencia del </w:t>
      </w:r>
      <w:proofErr w:type="spellStart"/>
      <w:r w:rsidRPr="007A646F">
        <w:rPr>
          <w:rFonts w:ascii="Palatino Linotype" w:hAnsi="Palatino Linotype" w:cs="Arial"/>
          <w:i/>
          <w:sz w:val="22"/>
          <w:szCs w:val="22"/>
          <w:lang w:eastAsia="es-MX"/>
        </w:rPr>
        <w:t>Mpio</w:t>
      </w:r>
      <w:proofErr w:type="spellEnd"/>
      <w:r w:rsidRPr="007A646F">
        <w:rPr>
          <w:rFonts w:ascii="Palatino Linotype" w:hAnsi="Palatino Linotype" w:cs="Arial"/>
          <w:i/>
          <w:sz w:val="22"/>
          <w:szCs w:val="22"/>
          <w:lang w:eastAsia="es-MX"/>
        </w:rPr>
        <w:t xml:space="preserve">. De </w:t>
      </w:r>
      <w:proofErr w:type="spellStart"/>
      <w:r w:rsidRPr="007A646F">
        <w:rPr>
          <w:rFonts w:ascii="Palatino Linotype" w:hAnsi="Palatino Linotype" w:cs="Arial"/>
          <w:i/>
          <w:sz w:val="22"/>
          <w:szCs w:val="22"/>
          <w:lang w:eastAsia="es-MX"/>
        </w:rPr>
        <w:t>Cuautitlån</w:t>
      </w:r>
      <w:proofErr w:type="spellEnd"/>
      <w:r w:rsidRPr="007A646F">
        <w:rPr>
          <w:rFonts w:ascii="Palatino Linotype" w:hAnsi="Palatino Linotype" w:cs="Arial"/>
          <w:i/>
          <w:sz w:val="22"/>
          <w:szCs w:val="22"/>
          <w:lang w:eastAsia="es-MX"/>
        </w:rPr>
        <w:t xml:space="preserve"> Izcalli, Edo. </w:t>
      </w:r>
      <w:proofErr w:type="spellStart"/>
      <w:r w:rsidRPr="007A646F">
        <w:rPr>
          <w:rFonts w:ascii="Palatino Linotype" w:hAnsi="Palatino Linotype" w:cs="Arial"/>
          <w:i/>
          <w:sz w:val="22"/>
          <w:szCs w:val="22"/>
          <w:lang w:eastAsia="es-MX"/>
        </w:rPr>
        <w:t>Mex</w:t>
      </w:r>
      <w:proofErr w:type="spellEnd"/>
      <w:r w:rsidRPr="007A646F">
        <w:rPr>
          <w:rFonts w:ascii="Palatino Linotype" w:hAnsi="Palatino Linotype" w:cs="Arial"/>
          <w:i/>
          <w:sz w:val="22"/>
          <w:szCs w:val="22"/>
          <w:lang w:eastAsia="es-MX"/>
        </w:rPr>
        <w:t>. Que señala o dictamina que los documentos y datos que conforman la Adquisición de las 90 (noventa) unidades automotoras destinadas a seguridad pública y tránsito deben ser testados para versión pública. ” (</w:t>
      </w:r>
      <w:proofErr w:type="gramStart"/>
      <w:r w:rsidRPr="007A646F">
        <w:rPr>
          <w:rFonts w:ascii="Palatino Linotype" w:hAnsi="Palatino Linotype" w:cs="Arial"/>
          <w:i/>
          <w:sz w:val="22"/>
          <w:szCs w:val="22"/>
          <w:lang w:eastAsia="es-MX"/>
        </w:rPr>
        <w:t>sic</w:t>
      </w:r>
      <w:proofErr w:type="gramEnd"/>
      <w:r w:rsidRPr="007A646F">
        <w:rPr>
          <w:rFonts w:ascii="Palatino Linotype" w:hAnsi="Palatino Linotype" w:cs="Arial"/>
          <w:i/>
          <w:sz w:val="22"/>
          <w:szCs w:val="22"/>
          <w:lang w:eastAsia="es-MX"/>
        </w:rPr>
        <w:t xml:space="preserve">). Al respecto, me permito informarle que derivado del oficio número 3S-0092/2020, de fecha nueve de marzo del año 2020, la Tercer Síndico Lic. Joanna Alejandra Felipe Torres, emitió la respuesta a la solicitud de información pública número 00078/CUAUTIZC/IP/2020 a esta Unidad de Transparencia, la cual se anexa en formato PDF. Lo anterior con fundamento en el artículo, 12, 24 último párrafo, y demás relativos y aplicables de la Ley de </w:t>
      </w:r>
      <w:r w:rsidRPr="007A646F">
        <w:rPr>
          <w:rFonts w:ascii="Palatino Linotype" w:hAnsi="Palatino Linotype" w:cs="Arial"/>
          <w:i/>
          <w:sz w:val="22"/>
          <w:szCs w:val="22"/>
          <w:lang w:eastAsia="es-MX"/>
        </w:rPr>
        <w:lastRenderedPageBreak/>
        <w:t xml:space="preserve">Transparencia y Acceso a la Información Pública del Estado de México y Municipios. ÚNICO: Por lo que a Usted pido se sirva tener a esta Unidad de Transparencia por notificada en tiempo y forma la contestación a su solicitud de acceso a la información emitida por la Tercer Síndico en fecha nueve de marzo del en curso, para los efectos legales correspondiente, a través del sistema denominado SAIMEX. ”sic 7.- “Que por medio del presente escrito y con fundamento en los artículos 24 último párrafo y 163 de la “Ley Transparencia y Acceso a la Información Pública del Estado de México” vengo a dar contestación a la Solicitud de fecha 19 de febrero del 2020 bajo el número de folio 00078/CUAUTIZC/IP/2020, ; que a la letra dice: “Información sobre acciones de atención y seguimiento de la alerta de violencia de género del año 2019 a la fecha, se detalla con una guía de preguntas que solicito responda. ”SIC Que por medio del documento </w:t>
      </w:r>
      <w:proofErr w:type="spellStart"/>
      <w:r w:rsidRPr="007A646F">
        <w:rPr>
          <w:rFonts w:ascii="Palatino Linotype" w:hAnsi="Palatino Linotype" w:cs="Arial"/>
          <w:i/>
          <w:sz w:val="22"/>
          <w:szCs w:val="22"/>
          <w:lang w:eastAsia="es-MX"/>
        </w:rPr>
        <w:t>Guión</w:t>
      </w:r>
      <w:proofErr w:type="spellEnd"/>
      <w:r w:rsidRPr="007A646F">
        <w:rPr>
          <w:rFonts w:ascii="Palatino Linotype" w:hAnsi="Palatino Linotype" w:cs="Arial"/>
          <w:i/>
          <w:sz w:val="22"/>
          <w:szCs w:val="22"/>
          <w:lang w:eastAsia="es-MX"/>
        </w:rPr>
        <w:t xml:space="preserve"> de solicitudes de información municipal nos solicita los siguiente: Cuando se tomó protesta a las y los integrantes del sistema; quienes lo conforman; cuáles son los programas y actividades que lleva a cabo el Sistema Municipal, qué resultados han obtenido durante el 2019. Por medio de la presente hago de su conocimiento que la Quinta regiduría en la cual me encuentro adscrita y como presidenta de la comisión edilicia de Atención a la violencia en contra de las mujeres con apoyo a lo establecido en el artículo 12 de “La Ley General de transparencia y acceso a la información pública” la siguiente información; La instalación de la comisión se realizó el día 28 de enero del 2019 y sus integrantes son los siguientes: CARGO INTEGRANTE PRESIDENTE </w:t>
      </w:r>
      <w:proofErr w:type="spellStart"/>
      <w:r w:rsidRPr="007A646F">
        <w:rPr>
          <w:rFonts w:ascii="Palatino Linotype" w:hAnsi="Palatino Linotype" w:cs="Arial"/>
          <w:i/>
          <w:sz w:val="22"/>
          <w:szCs w:val="22"/>
          <w:lang w:eastAsia="es-MX"/>
        </w:rPr>
        <w:t>Meybi</w:t>
      </w:r>
      <w:proofErr w:type="spellEnd"/>
      <w:r w:rsidRPr="007A646F">
        <w:rPr>
          <w:rFonts w:ascii="Palatino Linotype" w:hAnsi="Palatino Linotype" w:cs="Arial"/>
          <w:i/>
          <w:sz w:val="22"/>
          <w:szCs w:val="22"/>
          <w:lang w:eastAsia="es-MX"/>
        </w:rPr>
        <w:t xml:space="preserve"> Lesbia Zoraida Segura Zárate – Quinta Regidora SECRETARIO Claudia Adela Bravo </w:t>
      </w:r>
      <w:proofErr w:type="spellStart"/>
      <w:r w:rsidRPr="007A646F">
        <w:rPr>
          <w:rFonts w:ascii="Palatino Linotype" w:hAnsi="Palatino Linotype" w:cs="Arial"/>
          <w:i/>
          <w:sz w:val="22"/>
          <w:szCs w:val="22"/>
          <w:lang w:eastAsia="es-MX"/>
        </w:rPr>
        <w:t>Langle</w:t>
      </w:r>
      <w:proofErr w:type="spellEnd"/>
      <w:r w:rsidRPr="007A646F">
        <w:rPr>
          <w:rFonts w:ascii="Palatino Linotype" w:hAnsi="Palatino Linotype" w:cs="Arial"/>
          <w:i/>
          <w:sz w:val="22"/>
          <w:szCs w:val="22"/>
          <w:lang w:eastAsia="es-MX"/>
        </w:rPr>
        <w:t xml:space="preserve"> – Décimo Segunda Regidora VOCAL Romina Jiménez Bárcena – Tercera Regidora VOCAL Luis Trejo Hernández – Sexto Regidor VOCAL Guadalupe Rivera y Santiago – Primer Regidora VOCAL Joanna Alejandra Felipe Torres – Tercer Síndico Para dar respuesta a las actividades y resultados agrego copia simple de los informes trimestrales de la comisión durante el año 2019. Sin más por el momento quedo de usted para cualquier duda o aclaración. ”</w:t>
      </w:r>
      <w:proofErr w:type="gramStart"/>
      <w:r w:rsidRPr="007A646F">
        <w:rPr>
          <w:rFonts w:ascii="Palatino Linotype" w:hAnsi="Palatino Linotype" w:cs="Arial"/>
          <w:i/>
          <w:sz w:val="22"/>
          <w:szCs w:val="22"/>
          <w:lang w:eastAsia="es-MX"/>
        </w:rPr>
        <w:t>sic</w:t>
      </w:r>
      <w:proofErr w:type="gramEnd"/>
      <w:r w:rsidRPr="007A646F">
        <w:rPr>
          <w:rFonts w:ascii="Palatino Linotype" w:hAnsi="Palatino Linotype" w:cs="Arial"/>
          <w:i/>
          <w:sz w:val="22"/>
          <w:szCs w:val="22"/>
          <w:lang w:eastAsia="es-MX"/>
        </w:rPr>
        <w:t xml:space="preserve"> De lo anteriormente expuesto y fundado a Usted, en términos de los artículos 11, 41, 46 y demás aplicables de la Ley de Transparencia y Acceso a la Información Pública del Estado de México y Municipios, a Usted pido se sirva tener a esta Unidad de Información por notificada en tiempo y forma la contestación a su solicitud de acceso a la información para los efectos legales correspondientes, a través del sistema denominado SAIMEX.</w:t>
      </w:r>
    </w:p>
    <w:p w:rsidR="00967F3B" w:rsidRPr="007A646F" w:rsidRDefault="00967F3B" w:rsidP="00B9215F">
      <w:pPr>
        <w:ind w:left="851" w:right="901"/>
        <w:jc w:val="both"/>
        <w:rPr>
          <w:rFonts w:ascii="Palatino Linotype" w:hAnsi="Palatino Linotype" w:cs="Arial"/>
          <w:i/>
          <w:sz w:val="22"/>
          <w:szCs w:val="22"/>
          <w:lang w:eastAsia="es-MX"/>
        </w:rPr>
      </w:pPr>
    </w:p>
    <w:p w:rsidR="00967F3B" w:rsidRPr="007A646F" w:rsidRDefault="00967F3B" w:rsidP="00B9215F">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ATENTAMENTE</w:t>
      </w:r>
    </w:p>
    <w:p w:rsidR="00967F3B" w:rsidRPr="007A646F" w:rsidRDefault="00967F3B" w:rsidP="00B9215F">
      <w:pPr>
        <w:ind w:left="851" w:right="901"/>
        <w:jc w:val="both"/>
        <w:rPr>
          <w:rFonts w:ascii="Palatino Linotype" w:hAnsi="Palatino Linotype" w:cs="Arial"/>
          <w:i/>
          <w:sz w:val="22"/>
          <w:szCs w:val="22"/>
          <w:lang w:eastAsia="es-MX"/>
        </w:rPr>
      </w:pPr>
    </w:p>
    <w:p w:rsidR="001E1E29" w:rsidRPr="007A646F" w:rsidRDefault="00967F3B" w:rsidP="00B9215F">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LIC. HUGO INFANTE LLERENAS</w:t>
      </w:r>
      <w:r w:rsidR="001E1E29" w:rsidRPr="007A646F">
        <w:rPr>
          <w:rFonts w:ascii="Palatino Linotype" w:hAnsi="Palatino Linotype" w:cs="Arial"/>
          <w:i/>
          <w:sz w:val="22"/>
          <w:szCs w:val="22"/>
          <w:lang w:eastAsia="es-MX"/>
        </w:rPr>
        <w:t>” (sic)</w:t>
      </w:r>
    </w:p>
    <w:p w:rsidR="001E1E29" w:rsidRPr="007A646F" w:rsidRDefault="001E1E29" w:rsidP="00B9215F">
      <w:pPr>
        <w:ind w:left="851" w:right="901"/>
        <w:jc w:val="both"/>
        <w:rPr>
          <w:rFonts w:ascii="Palatino Linotype" w:hAnsi="Palatino Linotype"/>
          <w:noProof/>
          <w:lang w:eastAsia="es-MX"/>
        </w:rPr>
      </w:pPr>
    </w:p>
    <w:p w:rsidR="000B1715" w:rsidRPr="007A646F" w:rsidRDefault="001E1E29" w:rsidP="00B9215F">
      <w:pPr>
        <w:spacing w:line="360" w:lineRule="auto"/>
        <w:jc w:val="both"/>
        <w:rPr>
          <w:rFonts w:ascii="Palatino Linotype" w:hAnsi="Palatino Linotype"/>
        </w:rPr>
      </w:pPr>
      <w:r w:rsidRPr="007A646F">
        <w:rPr>
          <w:rFonts w:ascii="Palatino Linotype" w:hAnsi="Palatino Linotype"/>
        </w:rPr>
        <w:t xml:space="preserve">Advirtiendo de dicho </w:t>
      </w:r>
      <w:r w:rsidRPr="007A646F">
        <w:rPr>
          <w:rFonts w:ascii="Palatino Linotype" w:hAnsi="Palatino Linotype" w:cs="Arial"/>
        </w:rPr>
        <w:t>requerimiento</w:t>
      </w:r>
      <w:r w:rsidRPr="007A646F">
        <w:rPr>
          <w:rFonts w:ascii="Palatino Linotype" w:hAnsi="Palatino Linotype"/>
        </w:rPr>
        <w:t xml:space="preserve"> que, </w:t>
      </w:r>
      <w:r w:rsidRPr="007A646F">
        <w:rPr>
          <w:rFonts w:ascii="Palatino Linotype" w:hAnsi="Palatino Linotype"/>
          <w:b/>
        </w:rPr>
        <w:t xml:space="preserve">EL SUJETO OBLIGADO </w:t>
      </w:r>
      <w:r w:rsidRPr="007A646F">
        <w:rPr>
          <w:rFonts w:ascii="Palatino Linotype" w:hAnsi="Palatino Linotype"/>
        </w:rPr>
        <w:t xml:space="preserve">anexó </w:t>
      </w:r>
      <w:r w:rsidR="000B1715" w:rsidRPr="007A646F">
        <w:rPr>
          <w:rFonts w:ascii="Palatino Linotype" w:hAnsi="Palatino Linotype"/>
        </w:rPr>
        <w:t>los</w:t>
      </w:r>
      <w:r w:rsidRPr="007A646F">
        <w:rPr>
          <w:rFonts w:ascii="Palatino Linotype" w:hAnsi="Palatino Linotype"/>
        </w:rPr>
        <w:t xml:space="preserve"> archivo</w:t>
      </w:r>
      <w:r w:rsidR="000B1715" w:rsidRPr="007A646F">
        <w:rPr>
          <w:rFonts w:ascii="Palatino Linotype" w:hAnsi="Palatino Linotype"/>
        </w:rPr>
        <w:t>s</w:t>
      </w:r>
      <w:r w:rsidRPr="007A646F">
        <w:rPr>
          <w:rFonts w:ascii="Palatino Linotype" w:hAnsi="Palatino Linotype"/>
        </w:rPr>
        <w:t xml:space="preserve"> </w:t>
      </w:r>
    </w:p>
    <w:p w:rsidR="001E1E29" w:rsidRPr="007A646F" w:rsidRDefault="0033762B" w:rsidP="00B9215F">
      <w:pPr>
        <w:spacing w:line="360" w:lineRule="auto"/>
        <w:jc w:val="both"/>
        <w:rPr>
          <w:rFonts w:ascii="Palatino Linotype" w:hAnsi="Palatino Linotype" w:cs="Arial"/>
        </w:rPr>
      </w:pPr>
      <w:hyperlink r:id="rId11" w:tgtFrame="_blank" w:history="1">
        <w:r w:rsidR="000B1715" w:rsidRPr="007A646F">
          <w:rPr>
            <w:rFonts w:ascii="Palatino Linotype" w:hAnsi="Palatino Linotype"/>
            <w:b/>
          </w:rPr>
          <w:t>78 BIEN.pdf</w:t>
        </w:r>
      </w:hyperlink>
      <w:r w:rsidR="000B1715" w:rsidRPr="007A646F">
        <w:rPr>
          <w:rFonts w:ascii="Palatino Linotype" w:hAnsi="Palatino Linotype"/>
        </w:rPr>
        <w:t xml:space="preserve">, </w:t>
      </w:r>
      <w:hyperlink r:id="rId12" w:tgtFrame="_blank" w:history="1">
        <w:r w:rsidR="000B1715" w:rsidRPr="007A646F">
          <w:rPr>
            <w:rFonts w:ascii="Palatino Linotype" w:hAnsi="Palatino Linotype"/>
            <w:b/>
          </w:rPr>
          <w:t>TRANSPARENCIAMARZO2020.pdf</w:t>
        </w:r>
      </w:hyperlink>
      <w:r w:rsidR="000B1715" w:rsidRPr="007A646F">
        <w:rPr>
          <w:rFonts w:ascii="Palatino Linotype" w:hAnsi="Palatino Linotype"/>
        </w:rPr>
        <w:t xml:space="preserve">, </w:t>
      </w:r>
      <w:hyperlink r:id="rId13" w:tgtFrame="_blank" w:history="1">
        <w:r w:rsidR="000B1715" w:rsidRPr="007A646F">
          <w:rPr>
            <w:rFonts w:ascii="Palatino Linotype" w:hAnsi="Palatino Linotype"/>
            <w:b/>
          </w:rPr>
          <w:t>78 INCOMPETENCIA PARCIAL.pdf</w:t>
        </w:r>
      </w:hyperlink>
      <w:r w:rsidR="000B1715" w:rsidRPr="007A646F">
        <w:rPr>
          <w:rFonts w:ascii="Palatino Linotype" w:hAnsi="Palatino Linotype"/>
        </w:rPr>
        <w:t xml:space="preserve">, </w:t>
      </w:r>
      <w:hyperlink r:id="rId14" w:tgtFrame="_blank" w:history="1">
        <w:r w:rsidR="000B1715" w:rsidRPr="007A646F">
          <w:rPr>
            <w:rFonts w:ascii="Palatino Linotype" w:hAnsi="Palatino Linotype"/>
            <w:b/>
          </w:rPr>
          <w:t>78-2020 IMIEMH.pdf</w:t>
        </w:r>
      </w:hyperlink>
      <w:r w:rsidR="000B1715" w:rsidRPr="007A646F">
        <w:rPr>
          <w:rFonts w:ascii="Palatino Linotype" w:hAnsi="Palatino Linotype"/>
          <w:b/>
        </w:rPr>
        <w:br/>
      </w:r>
      <w:hyperlink r:id="rId15" w:tgtFrame="_blank" w:history="1">
        <w:r w:rsidR="000B1715" w:rsidRPr="007A646F">
          <w:rPr>
            <w:rFonts w:ascii="Palatino Linotype" w:hAnsi="Palatino Linotype"/>
            <w:b/>
          </w:rPr>
          <w:t>SINDICATURA.pdf</w:t>
        </w:r>
      </w:hyperlink>
      <w:r w:rsidR="000B1715" w:rsidRPr="007A646F">
        <w:rPr>
          <w:rFonts w:ascii="Palatino Linotype" w:hAnsi="Palatino Linotype"/>
        </w:rPr>
        <w:t xml:space="preserve">, </w:t>
      </w:r>
      <w:hyperlink r:id="rId16" w:tgtFrame="_blank" w:history="1">
        <w:r w:rsidR="000B1715" w:rsidRPr="007A646F">
          <w:rPr>
            <w:rFonts w:ascii="Palatino Linotype" w:hAnsi="Palatino Linotype"/>
            <w:b/>
          </w:rPr>
          <w:t>Trasparencia.pdf</w:t>
        </w:r>
      </w:hyperlink>
      <w:r w:rsidR="000B1715" w:rsidRPr="007A646F">
        <w:rPr>
          <w:rFonts w:ascii="Palatino Linotype" w:hAnsi="Palatino Linotype"/>
        </w:rPr>
        <w:t xml:space="preserve">, </w:t>
      </w:r>
      <w:hyperlink r:id="rId17" w:tgtFrame="_blank" w:history="1">
        <w:r w:rsidR="000B1715" w:rsidRPr="007A646F">
          <w:rPr>
            <w:rFonts w:ascii="Palatino Linotype" w:hAnsi="Palatino Linotype"/>
            <w:b/>
          </w:rPr>
          <w:t>ANEXOS.pdf</w:t>
        </w:r>
      </w:hyperlink>
      <w:r w:rsidR="000B1715" w:rsidRPr="007A646F">
        <w:rPr>
          <w:rFonts w:ascii="Palatino Linotype" w:hAnsi="Palatino Linotype"/>
          <w:b/>
        </w:rPr>
        <w:br/>
      </w:r>
      <w:r w:rsidR="000B1715" w:rsidRPr="007A646F">
        <w:rPr>
          <w:rFonts w:ascii="Palatino Linotype" w:hAnsi="Palatino Linotype"/>
        </w:rPr>
        <w:t>y</w:t>
      </w:r>
      <w:r w:rsidR="000B1715" w:rsidRPr="007A646F">
        <w:rPr>
          <w:rFonts w:ascii="Palatino Linotype" w:hAnsi="Palatino Linotype"/>
          <w:b/>
        </w:rPr>
        <w:t xml:space="preserve"> </w:t>
      </w:r>
      <w:hyperlink r:id="rId18" w:tgtFrame="_blank" w:history="1">
        <w:r w:rsidR="000B1715" w:rsidRPr="007A646F">
          <w:rPr>
            <w:rFonts w:ascii="Palatino Linotype" w:hAnsi="Palatino Linotype"/>
            <w:b/>
          </w:rPr>
          <w:t>solicitud 78.pdf</w:t>
        </w:r>
      </w:hyperlink>
      <w:r w:rsidR="001E1E29" w:rsidRPr="007A646F">
        <w:rPr>
          <w:rFonts w:ascii="Palatino Linotype" w:hAnsi="Palatino Linotype" w:cs="Arial"/>
          <w:b/>
        </w:rPr>
        <w:t xml:space="preserve">, </w:t>
      </w:r>
      <w:r w:rsidR="000B1715" w:rsidRPr="007A646F">
        <w:rPr>
          <w:rFonts w:ascii="Palatino Linotype" w:hAnsi="Palatino Linotype" w:cs="Arial"/>
        </w:rPr>
        <w:t xml:space="preserve">los cuales serán motivo de </w:t>
      </w:r>
      <w:r w:rsidR="0084104F" w:rsidRPr="007A646F">
        <w:rPr>
          <w:rFonts w:ascii="Palatino Linotype" w:hAnsi="Palatino Linotype" w:cs="Arial"/>
        </w:rPr>
        <w:t xml:space="preserve">análisis </w:t>
      </w:r>
      <w:r w:rsidR="000B1715" w:rsidRPr="007A646F">
        <w:rPr>
          <w:rFonts w:ascii="Palatino Linotype" w:hAnsi="Palatino Linotype" w:cs="Arial"/>
        </w:rPr>
        <w:t>en la presente resolución</w:t>
      </w:r>
      <w:r w:rsidR="001E1E29" w:rsidRPr="007A646F">
        <w:rPr>
          <w:rFonts w:ascii="Palatino Linotype" w:hAnsi="Palatino Linotype" w:cs="Arial"/>
        </w:rPr>
        <w:t xml:space="preserve">. </w:t>
      </w:r>
    </w:p>
    <w:p w:rsidR="001E1E29" w:rsidRPr="007A646F" w:rsidRDefault="001E1E29" w:rsidP="00B9215F">
      <w:pPr>
        <w:spacing w:line="360" w:lineRule="auto"/>
        <w:jc w:val="both"/>
        <w:rPr>
          <w:rFonts w:ascii="Palatino Linotype" w:hAnsi="Palatino Linotype" w:cs="Arial"/>
        </w:rPr>
      </w:pPr>
    </w:p>
    <w:p w:rsidR="00457BB8" w:rsidRPr="007A646F" w:rsidRDefault="000B1715" w:rsidP="00B9215F">
      <w:pPr>
        <w:spacing w:line="360" w:lineRule="auto"/>
        <w:jc w:val="both"/>
        <w:rPr>
          <w:rFonts w:ascii="Palatino Linotype" w:hAnsi="Palatino Linotype" w:cs="Arial"/>
        </w:rPr>
      </w:pPr>
      <w:r w:rsidRPr="007A646F">
        <w:rPr>
          <w:rFonts w:ascii="Palatino Linotype" w:hAnsi="Palatino Linotype"/>
          <w:b/>
          <w:sz w:val="28"/>
          <w:szCs w:val="28"/>
        </w:rPr>
        <w:t>VI</w:t>
      </w:r>
      <w:r w:rsidR="00457BB8" w:rsidRPr="007A646F">
        <w:rPr>
          <w:rFonts w:ascii="Palatino Linotype" w:hAnsi="Palatino Linotype"/>
          <w:b/>
          <w:sz w:val="28"/>
          <w:szCs w:val="28"/>
        </w:rPr>
        <w:t>.</w:t>
      </w:r>
      <w:r w:rsidR="00457BB8" w:rsidRPr="007A646F">
        <w:rPr>
          <w:rFonts w:ascii="Palatino Linotype" w:hAnsi="Palatino Linotype"/>
          <w:b/>
        </w:rPr>
        <w:t xml:space="preserve"> </w:t>
      </w:r>
      <w:r w:rsidR="00BD7CF0" w:rsidRPr="007A646F">
        <w:rPr>
          <w:rFonts w:ascii="Palatino Linotype" w:hAnsi="Palatino Linotype"/>
        </w:rPr>
        <w:t xml:space="preserve">Inconforme con la </w:t>
      </w:r>
      <w:r w:rsidR="00BD7CF0" w:rsidRPr="007A646F">
        <w:rPr>
          <w:rFonts w:ascii="Palatino Linotype" w:hAnsi="Palatino Linotype" w:cs="Arial"/>
        </w:rPr>
        <w:t xml:space="preserve">respuesta, el </w:t>
      </w:r>
      <w:r w:rsidR="005E740C" w:rsidRPr="007A646F">
        <w:rPr>
          <w:rFonts w:ascii="Palatino Linotype" w:hAnsi="Palatino Linotype" w:cs="Arial"/>
        </w:rPr>
        <w:t>quince</w:t>
      </w:r>
      <w:r w:rsidRPr="007A646F">
        <w:rPr>
          <w:rFonts w:ascii="Palatino Linotype" w:hAnsi="Palatino Linotype" w:cs="Arial"/>
        </w:rPr>
        <w:t xml:space="preserve"> de marzo de dos mil veinte</w:t>
      </w:r>
      <w:r w:rsidR="00BD7CF0" w:rsidRPr="007A646F">
        <w:rPr>
          <w:rFonts w:ascii="Palatino Linotype" w:hAnsi="Palatino Linotype" w:cs="Arial"/>
        </w:rPr>
        <w:t xml:space="preserve"> </w:t>
      </w:r>
      <w:r w:rsidR="00BD7CF0" w:rsidRPr="007A646F">
        <w:rPr>
          <w:rFonts w:ascii="Palatino Linotype" w:hAnsi="Palatino Linotype"/>
          <w:b/>
        </w:rPr>
        <w:t>EL RECURRENTE</w:t>
      </w:r>
      <w:r w:rsidR="00BD7CF0" w:rsidRPr="007A646F">
        <w:rPr>
          <w:rFonts w:ascii="Palatino Linotype" w:hAnsi="Palatino Linotype"/>
        </w:rPr>
        <w:t xml:space="preserve"> interpuso el recurso de revisión objeto del presente estudio, el cual fue registrado en </w:t>
      </w:r>
      <w:r w:rsidR="00BD7CF0" w:rsidRPr="007A646F">
        <w:rPr>
          <w:rFonts w:ascii="Palatino Linotype" w:hAnsi="Palatino Linotype"/>
          <w:b/>
        </w:rPr>
        <w:t>EL SAIMEX</w:t>
      </w:r>
      <w:r w:rsidR="00BD7CF0" w:rsidRPr="007A646F">
        <w:rPr>
          <w:rFonts w:ascii="Palatino Linotype" w:hAnsi="Palatino Linotype"/>
        </w:rPr>
        <w:t xml:space="preserve"> al día siguiente hábil, es decir el </w:t>
      </w:r>
      <w:r w:rsidR="005E740C" w:rsidRPr="007A646F">
        <w:rPr>
          <w:rFonts w:ascii="Palatino Linotype" w:hAnsi="Palatino Linotype"/>
        </w:rPr>
        <w:t xml:space="preserve">diecisiete de marzo </w:t>
      </w:r>
      <w:r w:rsidR="00BD7CF0" w:rsidRPr="007A646F">
        <w:rPr>
          <w:rFonts w:ascii="Palatino Linotype" w:hAnsi="Palatino Linotype"/>
        </w:rPr>
        <w:t xml:space="preserve">de dos mil veinte y se le asignó el número de </w:t>
      </w:r>
      <w:r w:rsidR="00457BB8" w:rsidRPr="007A646F">
        <w:rPr>
          <w:rFonts w:ascii="Palatino Linotype" w:hAnsi="Palatino Linotype" w:cs="Arial"/>
          <w:b/>
          <w:bCs/>
        </w:rPr>
        <w:t>0</w:t>
      </w:r>
      <w:r w:rsidR="005E740C" w:rsidRPr="007A646F">
        <w:rPr>
          <w:rFonts w:ascii="Palatino Linotype" w:hAnsi="Palatino Linotype" w:cs="Arial"/>
          <w:b/>
          <w:bCs/>
        </w:rPr>
        <w:t>1602</w:t>
      </w:r>
      <w:r w:rsidR="00457BB8" w:rsidRPr="007A646F">
        <w:rPr>
          <w:rFonts w:ascii="Palatino Linotype" w:hAnsi="Palatino Linotype" w:cs="Arial"/>
          <w:b/>
          <w:bCs/>
        </w:rPr>
        <w:t>/INFOEM/IP/RR/2020</w:t>
      </w:r>
      <w:r w:rsidR="00457BB8" w:rsidRPr="007A646F">
        <w:rPr>
          <w:rFonts w:ascii="Palatino Linotype" w:hAnsi="Palatino Linotype" w:cs="Arial"/>
        </w:rPr>
        <w:t xml:space="preserve">, en el que señaló como acto impugnado: </w:t>
      </w:r>
    </w:p>
    <w:p w:rsidR="005E740C" w:rsidRPr="007A646F" w:rsidRDefault="005E740C" w:rsidP="00B9215F">
      <w:pPr>
        <w:jc w:val="both"/>
        <w:rPr>
          <w:rFonts w:ascii="Palatino Linotype" w:hAnsi="Palatino Linotype" w:cs="Arial"/>
        </w:rPr>
      </w:pPr>
    </w:p>
    <w:p w:rsidR="005E740C" w:rsidRPr="007A646F" w:rsidRDefault="005E740C" w:rsidP="00B9215F">
      <w:pPr>
        <w:ind w:left="851" w:right="899"/>
        <w:jc w:val="both"/>
        <w:rPr>
          <w:rFonts w:ascii="Palatino Linotype" w:hAnsi="Palatino Linotype"/>
          <w:i/>
        </w:rPr>
      </w:pPr>
      <w:r w:rsidRPr="007A646F">
        <w:rPr>
          <w:rFonts w:ascii="Palatino Linotype" w:hAnsi="Palatino Linotype" w:cs="Arial"/>
          <w:i/>
          <w:sz w:val="22"/>
          <w:szCs w:val="22"/>
        </w:rPr>
        <w:t>“NO SE ENVÍA LA INFORMACIÓN DE TESORERÍA MUNICIPAL RESPECTO AL RECURSO ASIGNADO POR LA CEAVEM Y EL GOBIERNO DEL ESTADO DE MÉXICO AL MUNICIPIO DE CUAUTITÁN IZCALLI EN EL EJERCICIO 2019. NO SE ENVÍA INFORMACIÓN DEL RECURSO ASIGNADO DE MANERA MUNICIPAL PARA COMBATIR Y ERRADICAR LA VIOLENCIA CONTRA LAS MUJERES POR EL ÁREA DE TESORERÍA. INFORMACIÓN INCOMPLETA</w:t>
      </w:r>
      <w:r w:rsidRPr="007A646F">
        <w:rPr>
          <w:rFonts w:ascii="Palatino Linotype" w:hAnsi="Palatino Linotype"/>
          <w:i/>
        </w:rPr>
        <w:t>” (sic)</w:t>
      </w:r>
    </w:p>
    <w:p w:rsidR="005E740C" w:rsidRPr="007A646F" w:rsidRDefault="005E740C" w:rsidP="00B9215F">
      <w:pPr>
        <w:ind w:left="851" w:right="899"/>
        <w:jc w:val="both"/>
        <w:rPr>
          <w:rFonts w:ascii="Palatino Linotype" w:hAnsi="Palatino Linotype" w:cs="Arial"/>
          <w:i/>
          <w:sz w:val="22"/>
          <w:szCs w:val="22"/>
        </w:rPr>
      </w:pPr>
    </w:p>
    <w:p w:rsidR="005E740C" w:rsidRPr="007A646F" w:rsidRDefault="005E740C" w:rsidP="00B9215F">
      <w:pPr>
        <w:spacing w:line="360" w:lineRule="auto"/>
        <w:jc w:val="both"/>
        <w:rPr>
          <w:rFonts w:ascii="Palatino Linotype" w:hAnsi="Palatino Linotype" w:cs="Arial"/>
        </w:rPr>
      </w:pPr>
      <w:r w:rsidRPr="007A646F">
        <w:rPr>
          <w:rFonts w:ascii="Palatino Linotype" w:hAnsi="Palatino Linotype" w:cs="Arial"/>
        </w:rPr>
        <w:t xml:space="preserve">Así como, razones o motivos de inconformidad, lo siguiente: </w:t>
      </w:r>
    </w:p>
    <w:p w:rsidR="005E740C" w:rsidRPr="007A646F" w:rsidRDefault="005E740C" w:rsidP="00B9215F">
      <w:pPr>
        <w:ind w:left="851" w:right="899"/>
        <w:jc w:val="both"/>
        <w:rPr>
          <w:rFonts w:ascii="Palatino Linotype" w:hAnsi="Palatino Linotype" w:cs="Arial"/>
          <w:i/>
          <w:sz w:val="22"/>
          <w:szCs w:val="22"/>
        </w:rPr>
      </w:pPr>
    </w:p>
    <w:p w:rsidR="005E740C" w:rsidRPr="007A646F" w:rsidRDefault="005E740C" w:rsidP="00B9215F">
      <w:pPr>
        <w:ind w:left="851" w:right="899"/>
        <w:jc w:val="both"/>
        <w:rPr>
          <w:rFonts w:ascii="Palatino Linotype" w:hAnsi="Palatino Linotype"/>
          <w:i/>
        </w:rPr>
      </w:pPr>
      <w:r w:rsidRPr="007A646F">
        <w:rPr>
          <w:rFonts w:ascii="Palatino Linotype" w:hAnsi="Palatino Linotype" w:cs="Arial"/>
          <w:i/>
          <w:sz w:val="22"/>
          <w:szCs w:val="22"/>
        </w:rPr>
        <w:t>“NO SE ENVÍA INFORMACIÓN COMPLETA POR PARTE DE TESORERÍA MUNICIPAL NO SE ENVÍA INFORMACIÓN COMPLETA POR PARTE DE SEGURIDAD CIUDADANA. NO SE ENVÍA NINGUNA RESPUESTA POR PARTE DE LAS ACCIONES DEL SISTEMA DIF MUNICIPAL</w:t>
      </w:r>
      <w:r w:rsidRPr="007A646F">
        <w:rPr>
          <w:rFonts w:ascii="Palatino Linotype" w:hAnsi="Palatino Linotype"/>
          <w:i/>
        </w:rPr>
        <w:t>.” (</w:t>
      </w:r>
      <w:proofErr w:type="gramStart"/>
      <w:r w:rsidRPr="007A646F">
        <w:rPr>
          <w:rFonts w:ascii="Palatino Linotype" w:hAnsi="Palatino Linotype"/>
          <w:i/>
        </w:rPr>
        <w:t>sic</w:t>
      </w:r>
      <w:proofErr w:type="gramEnd"/>
      <w:r w:rsidRPr="007A646F">
        <w:rPr>
          <w:rFonts w:ascii="Palatino Linotype" w:hAnsi="Palatino Linotype"/>
          <w:i/>
        </w:rPr>
        <w:t xml:space="preserve">) </w:t>
      </w:r>
    </w:p>
    <w:p w:rsidR="005E740C" w:rsidRPr="007A646F" w:rsidRDefault="005E740C" w:rsidP="00B9215F">
      <w:pPr>
        <w:ind w:left="851" w:right="899"/>
        <w:jc w:val="both"/>
        <w:rPr>
          <w:rFonts w:ascii="Palatino Linotype" w:hAnsi="Palatino Linotype" w:cs="Arial"/>
          <w:i/>
          <w:sz w:val="22"/>
          <w:szCs w:val="22"/>
        </w:rPr>
      </w:pPr>
    </w:p>
    <w:p w:rsidR="00457BB8" w:rsidRPr="007A646F" w:rsidRDefault="005E740C" w:rsidP="00B9215F">
      <w:pPr>
        <w:pStyle w:val="Default"/>
        <w:spacing w:line="360" w:lineRule="auto"/>
        <w:ind w:right="49"/>
        <w:jc w:val="both"/>
        <w:rPr>
          <w:rFonts w:ascii="Palatino Linotype" w:hAnsi="Palatino Linotype"/>
          <w:lang w:val="es-ES_tradnl"/>
        </w:rPr>
      </w:pPr>
      <w:r w:rsidRPr="007A646F">
        <w:rPr>
          <w:rFonts w:ascii="Palatino Linotype" w:hAnsi="Palatino Linotype"/>
          <w:b/>
          <w:sz w:val="28"/>
          <w:szCs w:val="28"/>
        </w:rPr>
        <w:lastRenderedPageBreak/>
        <w:t>VII</w:t>
      </w:r>
      <w:r w:rsidR="00457BB8" w:rsidRPr="007A646F">
        <w:rPr>
          <w:rFonts w:ascii="Palatino Linotype" w:hAnsi="Palatino Linotype"/>
          <w:b/>
          <w:sz w:val="28"/>
          <w:szCs w:val="28"/>
        </w:rPr>
        <w:t xml:space="preserve">. </w:t>
      </w:r>
      <w:r w:rsidR="00457BB8" w:rsidRPr="007A646F">
        <w:rPr>
          <w:rFonts w:ascii="Palatino Linotype" w:hAnsi="Palatino Linotype"/>
        </w:rPr>
        <w:t>El</w:t>
      </w:r>
      <w:r w:rsidRPr="007A646F">
        <w:rPr>
          <w:rFonts w:ascii="Palatino Linotype" w:hAnsi="Palatino Linotype"/>
        </w:rPr>
        <w:t xml:space="preserve"> quince de marzo </w:t>
      </w:r>
      <w:r w:rsidR="00457BB8" w:rsidRPr="007A646F">
        <w:rPr>
          <w:rFonts w:ascii="Palatino Linotype" w:hAnsi="Palatino Linotype"/>
        </w:rPr>
        <w:t xml:space="preserve">de dos mil veinte, el </w:t>
      </w:r>
      <w:r w:rsidR="00457BB8" w:rsidRPr="007A646F">
        <w:rPr>
          <w:rFonts w:ascii="Palatino Linotype" w:hAnsi="Palatino Linotype"/>
          <w:lang w:val="es-ES_tradnl"/>
        </w:rPr>
        <w:t>recurso de que</w:t>
      </w:r>
      <w:r w:rsidR="00457BB8" w:rsidRPr="007A646F">
        <w:rPr>
          <w:rFonts w:ascii="Palatino Linotype" w:hAnsi="Palatino Linotype"/>
        </w:rPr>
        <w:t xml:space="preserve"> se trata</w:t>
      </w:r>
      <w:r w:rsidR="00457BB8" w:rsidRPr="007A646F">
        <w:rPr>
          <w:rFonts w:ascii="Palatino Linotype" w:hAnsi="Palatino Linotype"/>
          <w:lang w:val="es-ES_tradnl"/>
        </w:rPr>
        <w:t xml:space="preserve"> se envió electrónicamente al Instituto de </w:t>
      </w:r>
      <w:r w:rsidR="00457BB8" w:rsidRPr="007A646F">
        <w:rPr>
          <w:rFonts w:ascii="Palatino Linotype" w:eastAsia="Arial Unicode MS" w:hAnsi="Palatino Linotype"/>
        </w:rPr>
        <w:t>Transparencia</w:t>
      </w:r>
      <w:r w:rsidR="00457BB8" w:rsidRPr="007A646F">
        <w:rPr>
          <w:rFonts w:ascii="Palatino Linotype" w:hAnsi="Palatino Linotype"/>
          <w:lang w:val="es-ES_tradnl"/>
        </w:rPr>
        <w:t xml:space="preserve">, Acceso a la Información Pública y Protección de Datos Personales del Estado de México y Municipios y con fundamento en el artículo 185, fracción I de la </w:t>
      </w:r>
      <w:r w:rsidR="00457BB8" w:rsidRPr="007A646F">
        <w:rPr>
          <w:rFonts w:ascii="Palatino Linotype" w:hAnsi="Palatino Linotype"/>
        </w:rPr>
        <w:t>Ley de Transparencia y Acceso a la Información Pública del Estado de México y Municipios</w:t>
      </w:r>
      <w:r w:rsidR="00457BB8" w:rsidRPr="007A646F">
        <w:rPr>
          <w:rFonts w:ascii="Palatino Linotype" w:hAnsi="Palatino Linotype"/>
          <w:lang w:val="es-ES_tradnl"/>
        </w:rPr>
        <w:t>, se turnó, a través del</w:t>
      </w:r>
      <w:r w:rsidR="00457BB8" w:rsidRPr="007A646F">
        <w:rPr>
          <w:rFonts w:ascii="Palatino Linotype" w:eastAsia="Arial Unicode MS" w:hAnsi="Palatino Linotype"/>
          <w:lang w:val="es-ES_tradnl"/>
        </w:rPr>
        <w:t xml:space="preserve"> </w:t>
      </w:r>
      <w:r w:rsidR="00457BB8" w:rsidRPr="007A646F">
        <w:rPr>
          <w:rFonts w:ascii="Palatino Linotype" w:eastAsia="Arial Unicode MS" w:hAnsi="Palatino Linotype"/>
          <w:b/>
          <w:lang w:val="es-ES_tradnl"/>
        </w:rPr>
        <w:t>SAIMEX</w:t>
      </w:r>
      <w:r w:rsidR="00457BB8" w:rsidRPr="007A646F">
        <w:rPr>
          <w:rFonts w:ascii="Palatino Linotype" w:hAnsi="Palatino Linotype"/>
        </w:rPr>
        <w:t xml:space="preserve">, a la </w:t>
      </w:r>
      <w:r w:rsidR="00457BB8" w:rsidRPr="007A646F">
        <w:rPr>
          <w:rFonts w:ascii="Palatino Linotype" w:hAnsi="Palatino Linotype"/>
          <w:lang w:val="es-ES_tradnl"/>
        </w:rPr>
        <w:t xml:space="preserve">Comisionada </w:t>
      </w:r>
      <w:r w:rsidR="00457BB8" w:rsidRPr="007A646F">
        <w:rPr>
          <w:rFonts w:ascii="Palatino Linotype" w:hAnsi="Palatino Linotype"/>
          <w:b/>
          <w:lang w:val="es-ES_tradnl"/>
        </w:rPr>
        <w:t>EVA ABAID YAPUR</w:t>
      </w:r>
      <w:r w:rsidR="00457BB8" w:rsidRPr="007A646F">
        <w:rPr>
          <w:rFonts w:ascii="Palatino Linotype" w:hAnsi="Palatino Linotype"/>
        </w:rPr>
        <w:t>,</w:t>
      </w:r>
      <w:r w:rsidR="00457BB8" w:rsidRPr="007A646F">
        <w:rPr>
          <w:rFonts w:ascii="Palatino Linotype" w:hAnsi="Palatino Linotype"/>
          <w:lang w:val="es-ES_tradnl"/>
        </w:rPr>
        <w:t xml:space="preserve"> a efecto de decretar su admisión o </w:t>
      </w:r>
      <w:proofErr w:type="spellStart"/>
      <w:r w:rsidR="00457BB8" w:rsidRPr="007A646F">
        <w:rPr>
          <w:rFonts w:ascii="Palatino Linotype" w:hAnsi="Palatino Linotype"/>
          <w:lang w:val="es-ES_tradnl"/>
        </w:rPr>
        <w:t>desechamiento</w:t>
      </w:r>
      <w:proofErr w:type="spellEnd"/>
      <w:r w:rsidR="00457BB8" w:rsidRPr="007A646F">
        <w:rPr>
          <w:rFonts w:ascii="Palatino Linotype" w:hAnsi="Palatino Linotype"/>
          <w:lang w:val="es-ES_tradnl"/>
        </w:rPr>
        <w:t>.</w:t>
      </w:r>
    </w:p>
    <w:p w:rsidR="00457BB8" w:rsidRPr="007A646F" w:rsidRDefault="00457BB8" w:rsidP="00B9215F">
      <w:pPr>
        <w:pStyle w:val="Default"/>
        <w:spacing w:line="360" w:lineRule="auto"/>
        <w:ind w:right="49"/>
        <w:jc w:val="both"/>
        <w:rPr>
          <w:rFonts w:ascii="Palatino Linotype" w:hAnsi="Palatino Linotype"/>
          <w:lang w:val="es-ES_tradnl"/>
        </w:rPr>
      </w:pPr>
    </w:p>
    <w:p w:rsidR="00457BB8" w:rsidRPr="007A646F" w:rsidRDefault="00457BB8" w:rsidP="00B9215F">
      <w:pPr>
        <w:pStyle w:val="Piedepgina"/>
        <w:spacing w:line="360" w:lineRule="auto"/>
        <w:jc w:val="both"/>
        <w:rPr>
          <w:rFonts w:ascii="Palatino Linotype" w:hAnsi="Palatino Linotype" w:cs="Arial"/>
        </w:rPr>
      </w:pPr>
      <w:r w:rsidRPr="007A646F">
        <w:rPr>
          <w:rFonts w:ascii="Palatino Linotype" w:hAnsi="Palatino Linotype" w:cs="Arial"/>
          <w:b/>
          <w:sz w:val="28"/>
        </w:rPr>
        <w:t>V</w:t>
      </w:r>
      <w:r w:rsidR="005E740C" w:rsidRPr="007A646F">
        <w:rPr>
          <w:rFonts w:ascii="Palatino Linotype" w:hAnsi="Palatino Linotype" w:cs="Arial"/>
          <w:b/>
          <w:sz w:val="28"/>
        </w:rPr>
        <w:t>III</w:t>
      </w:r>
      <w:r w:rsidRPr="007A646F">
        <w:rPr>
          <w:rFonts w:ascii="Palatino Linotype" w:hAnsi="Palatino Linotype" w:cs="Arial"/>
          <w:b/>
          <w:sz w:val="28"/>
        </w:rPr>
        <w:t xml:space="preserve">. </w:t>
      </w:r>
      <w:r w:rsidRPr="007A646F">
        <w:rPr>
          <w:rFonts w:ascii="Palatino Linotype" w:hAnsi="Palatino Linotype" w:cs="Arial"/>
        </w:rPr>
        <w:t>De las constancias del expediente electrónico del</w:t>
      </w:r>
      <w:r w:rsidRPr="007A646F">
        <w:rPr>
          <w:rFonts w:ascii="Palatino Linotype" w:hAnsi="Palatino Linotype" w:cs="Arial"/>
          <w:b/>
        </w:rPr>
        <w:t xml:space="preserve"> SAIMEX</w:t>
      </w:r>
      <w:r w:rsidRPr="007A646F">
        <w:rPr>
          <w:rFonts w:ascii="Palatino Linotype" w:hAnsi="Palatino Linotype" w:cs="Arial"/>
        </w:rPr>
        <w:t xml:space="preserve">, se advierte que en fecha </w:t>
      </w:r>
      <w:r w:rsidR="005E740C" w:rsidRPr="007A646F">
        <w:rPr>
          <w:rFonts w:ascii="Palatino Linotype" w:hAnsi="Palatino Linotype" w:cs="Arial"/>
        </w:rPr>
        <w:t xml:space="preserve">tres de agosto </w:t>
      </w:r>
      <w:r w:rsidRPr="007A646F">
        <w:rPr>
          <w:rFonts w:ascii="Palatino Linotype" w:hAnsi="Palatino Linotype" w:cs="Arial"/>
        </w:rPr>
        <w:t xml:space="preserve">de dos mil veinte,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7A646F">
        <w:rPr>
          <w:rFonts w:ascii="Palatino Linotype" w:hAnsi="Palatino Linotype" w:cs="Arial"/>
          <w:b/>
        </w:rPr>
        <w:t xml:space="preserve">EL SUJETO OBLIGADO </w:t>
      </w:r>
      <w:r w:rsidRPr="007A646F">
        <w:rPr>
          <w:rFonts w:ascii="Palatino Linotype" w:hAnsi="Palatino Linotype" w:cs="Arial"/>
        </w:rPr>
        <w:t>rindiera su</w:t>
      </w:r>
      <w:r w:rsidRPr="007A646F">
        <w:rPr>
          <w:rFonts w:ascii="Palatino Linotype" w:hAnsi="Palatino Linotype" w:cs="Arial"/>
          <w:b/>
        </w:rPr>
        <w:t xml:space="preserve"> </w:t>
      </w:r>
      <w:r w:rsidRPr="007A646F">
        <w:rPr>
          <w:rFonts w:ascii="Palatino Linotype" w:hAnsi="Palatino Linotype" w:cs="Arial"/>
        </w:rPr>
        <w:t>Informe Justificado.</w:t>
      </w:r>
    </w:p>
    <w:p w:rsidR="00457BB8" w:rsidRPr="007A646F" w:rsidRDefault="00457BB8" w:rsidP="00B9215F">
      <w:pPr>
        <w:pStyle w:val="Piedepgina"/>
        <w:spacing w:line="360" w:lineRule="auto"/>
        <w:jc w:val="both"/>
        <w:rPr>
          <w:rFonts w:ascii="Palatino Linotype" w:hAnsi="Palatino Linotype" w:cs="Arial"/>
        </w:rPr>
      </w:pPr>
    </w:p>
    <w:p w:rsidR="005E740C" w:rsidRPr="007A646F" w:rsidRDefault="005E740C" w:rsidP="00B9215F">
      <w:pPr>
        <w:spacing w:line="360" w:lineRule="auto"/>
        <w:jc w:val="both"/>
        <w:rPr>
          <w:rFonts w:ascii="Palatino Linotype" w:hAnsi="Palatino Linotype" w:cs="Arial"/>
          <w:noProof/>
          <w:lang w:eastAsia="es-MX"/>
        </w:rPr>
      </w:pPr>
      <w:r w:rsidRPr="007A646F">
        <w:rPr>
          <w:rFonts w:ascii="Palatino Linotype" w:eastAsia="Arial Unicode MS" w:hAnsi="Palatino Linotype" w:cs="Arial"/>
          <w:b/>
          <w:sz w:val="28"/>
          <w:szCs w:val="28"/>
        </w:rPr>
        <w:t>IX</w:t>
      </w:r>
      <w:r w:rsidR="00457BB8" w:rsidRPr="007A646F">
        <w:rPr>
          <w:rFonts w:ascii="Palatino Linotype" w:eastAsia="Arial Unicode MS" w:hAnsi="Palatino Linotype" w:cs="Arial"/>
          <w:b/>
          <w:sz w:val="28"/>
          <w:szCs w:val="28"/>
        </w:rPr>
        <w:t xml:space="preserve">. </w:t>
      </w:r>
      <w:r w:rsidRPr="007A646F">
        <w:rPr>
          <w:rFonts w:ascii="Palatino Linotype" w:hAnsi="Palatino Linotype" w:cs="Arial"/>
        </w:rPr>
        <w:t>En cumplimiento a lo anterior, de las constancias del expediente electrónico del</w:t>
      </w:r>
      <w:r w:rsidRPr="007A646F">
        <w:rPr>
          <w:rFonts w:ascii="Palatino Linotype" w:hAnsi="Palatino Linotype" w:cs="Arial"/>
          <w:b/>
        </w:rPr>
        <w:t xml:space="preserve"> SAIMEX</w:t>
      </w:r>
      <w:r w:rsidRPr="007A646F">
        <w:rPr>
          <w:rFonts w:ascii="Palatino Linotype" w:hAnsi="Palatino Linotype" w:cs="Arial"/>
        </w:rPr>
        <w:t xml:space="preserve">, se advierte que el doce de agosto de dos mil veinte, </w:t>
      </w:r>
      <w:r w:rsidRPr="007A646F">
        <w:rPr>
          <w:rFonts w:ascii="Palatino Linotype" w:hAnsi="Palatino Linotype" w:cs="Arial"/>
          <w:b/>
        </w:rPr>
        <w:t>EL SUJETO OBLIGADO</w:t>
      </w:r>
      <w:r w:rsidRPr="007A646F">
        <w:rPr>
          <w:rFonts w:ascii="Palatino Linotype" w:hAnsi="Palatino Linotype" w:cs="Arial"/>
        </w:rPr>
        <w:t xml:space="preserve"> </w:t>
      </w:r>
      <w:r w:rsidRPr="007A646F">
        <w:rPr>
          <w:rFonts w:ascii="Palatino Linotype" w:hAnsi="Palatino Linotype" w:cs="Arial"/>
          <w:lang w:val="es-ES"/>
        </w:rPr>
        <w:t>envió el Informe Justificado, como se desprende a continuación</w:t>
      </w:r>
      <w:r w:rsidRPr="007A646F">
        <w:rPr>
          <w:rFonts w:ascii="Palatino Linotype" w:hAnsi="Palatino Linotype" w:cs="Arial"/>
          <w:noProof/>
          <w:lang w:eastAsia="es-MX"/>
        </w:rPr>
        <w:t xml:space="preserve">: </w:t>
      </w:r>
    </w:p>
    <w:p w:rsidR="005E740C" w:rsidRPr="007A646F" w:rsidRDefault="00BA79E9" w:rsidP="00B9215F">
      <w:pPr>
        <w:spacing w:line="360" w:lineRule="auto"/>
        <w:jc w:val="both"/>
        <w:rPr>
          <w:rFonts w:ascii="Palatino Linotype" w:hAnsi="Palatino Linotype" w:cs="Arial"/>
          <w:noProof/>
          <w:lang w:eastAsia="es-MX"/>
        </w:rPr>
      </w:pPr>
      <w:r>
        <w:rPr>
          <w:rFonts w:ascii="Palatino Linotype" w:eastAsia="Arial Unicode MS" w:hAnsi="Palatino Linotype" w:cs="Arial"/>
          <w:b/>
          <w:noProof/>
          <w:sz w:val="28"/>
          <w:szCs w:val="28"/>
          <w:lang w:eastAsia="es-MX"/>
        </w:rPr>
        <w:lastRenderedPageBreak/>
        <w:pict>
          <v:roundrect id="Rectángulo redondeado 13" o:spid="_x0000_s1026" style="position:absolute;left:0;text-align:left;margin-left:0;margin-top:79.85pt;width:437.8pt;height:159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" filled="f" strokecolor="red" strokeweight="3pt">
            <v:shadow on="t" opacity="22937f" origin=",.5" offset="0,.63889mm"/>
            <w10:wrap anchorx="margin"/>
          </v:roundrect>
        </w:pict>
      </w:r>
      <w:r w:rsidR="005E740C" w:rsidRPr="007A646F">
        <w:rPr>
          <w:rFonts w:ascii="Palatino Linotype" w:hAnsi="Palatino Linotype" w:cs="Arial"/>
          <w:noProof/>
          <w:lang w:eastAsia="es-MX"/>
        </w:rPr>
        <w:drawing>
          <wp:inline distT="0" distB="0" distL="0" distR="0">
            <wp:extent cx="5761219" cy="313209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19">
                      <a:extLst>
                        <a:ext uri="{28A0092B-C50C-407E-A947-70E740481C1C}">
                          <a14:useLocalDpi xmlns:a14="http://schemas.microsoft.com/office/drawing/2010/main" val="0"/>
                        </a:ext>
                      </a:extLst>
                    </a:blip>
                    <a:stretch>
                      <a:fillRect/>
                    </a:stretch>
                  </pic:blipFill>
                  <pic:spPr>
                    <a:xfrm>
                      <a:off x="0" y="0"/>
                      <a:ext cx="5761219" cy="3132091"/>
                    </a:xfrm>
                    <a:prstGeom prst="rect">
                      <a:avLst/>
                    </a:prstGeom>
                  </pic:spPr>
                </pic:pic>
              </a:graphicData>
            </a:graphic>
          </wp:inline>
        </w:drawing>
      </w:r>
    </w:p>
    <w:p w:rsidR="005E740C" w:rsidRPr="007A646F" w:rsidRDefault="005E740C" w:rsidP="00B9215F">
      <w:pPr>
        <w:spacing w:line="360" w:lineRule="auto"/>
        <w:jc w:val="both"/>
        <w:rPr>
          <w:rFonts w:ascii="Palatino Linotype" w:hAnsi="Palatino Linotype" w:cs="Arial"/>
          <w:noProof/>
          <w:lang w:eastAsia="es-MX"/>
        </w:rPr>
      </w:pPr>
    </w:p>
    <w:p w:rsidR="005E740C" w:rsidRPr="007A646F" w:rsidRDefault="005E740C" w:rsidP="00B9215F">
      <w:pPr>
        <w:spacing w:line="360" w:lineRule="auto"/>
        <w:jc w:val="both"/>
        <w:rPr>
          <w:rFonts w:ascii="Palatino Linotype" w:eastAsia="Arial Unicode MS" w:hAnsi="Palatino Linotype" w:cs="Arial"/>
        </w:rPr>
      </w:pPr>
      <w:r w:rsidRPr="007A646F">
        <w:rPr>
          <w:rFonts w:ascii="Palatino Linotype" w:hAnsi="Palatino Linotype" w:cs="Arial"/>
          <w:noProof/>
          <w:lang w:eastAsia="es-MX"/>
        </w:rPr>
        <w:t xml:space="preserve">Advirtiendo que en </w:t>
      </w:r>
      <w:r w:rsidRPr="007A646F">
        <w:rPr>
          <w:rFonts w:ascii="Palatino Linotype" w:hAnsi="Palatino Linotype" w:cs="Arial"/>
        </w:rPr>
        <w:t>dicho</w:t>
      </w:r>
      <w:r w:rsidRPr="007A646F">
        <w:rPr>
          <w:rFonts w:ascii="Palatino Linotype" w:hAnsi="Palatino Linotype" w:cs="Arial"/>
          <w:noProof/>
          <w:lang w:eastAsia="es-MX"/>
        </w:rPr>
        <w:t xml:space="preserve"> informe, que </w:t>
      </w:r>
      <w:r w:rsidRPr="007A646F">
        <w:rPr>
          <w:rFonts w:ascii="Palatino Linotype" w:hAnsi="Palatino Linotype" w:cs="Arial"/>
          <w:b/>
          <w:noProof/>
          <w:lang w:eastAsia="es-MX"/>
        </w:rPr>
        <w:t>EL SUJETO OBLIGADO</w:t>
      </w:r>
      <w:r w:rsidRPr="007A646F">
        <w:rPr>
          <w:rFonts w:ascii="Palatino Linotype" w:hAnsi="Palatino Linotype" w:cs="Arial"/>
          <w:noProof/>
          <w:lang w:eastAsia="es-MX"/>
        </w:rPr>
        <w:t xml:space="preserve"> anexó dos veces el archivo</w:t>
      </w:r>
      <w:hyperlink r:id="rId20" w:history="1">
        <w:r w:rsidRPr="007A646F">
          <w:rPr>
            <w:rFonts w:ascii="Palatino Linotype" w:hAnsi="Palatino Linotype" w:cs="Arial"/>
            <w:b/>
            <w:noProof/>
            <w:lang w:eastAsia="es-MX"/>
          </w:rPr>
          <w:t xml:space="preserve"> informe justificado.pdf</w:t>
        </w:r>
      </w:hyperlink>
      <w:r w:rsidRPr="007A646F">
        <w:rPr>
          <w:rFonts w:ascii="Palatino Linotype" w:hAnsi="Palatino Linotype" w:cs="Arial"/>
          <w:noProof/>
          <w:lang w:eastAsia="es-MX"/>
        </w:rPr>
        <w:t>;</w:t>
      </w:r>
      <w:r w:rsidRPr="007A646F">
        <w:rPr>
          <w:rFonts w:ascii="Palatino Linotype" w:hAnsi="Palatino Linotype" w:cs="Arial"/>
          <w:b/>
          <w:noProof/>
          <w:sz w:val="20"/>
          <w:szCs w:val="20"/>
          <w:lang w:val="es-ES_tradnl" w:eastAsia="es-MX"/>
        </w:rPr>
        <w:t xml:space="preserve"> </w:t>
      </w:r>
      <w:r w:rsidRPr="007A646F">
        <w:rPr>
          <w:rFonts w:ascii="Palatino Linotype" w:hAnsi="Palatino Linotype" w:cs="Arial"/>
          <w:noProof/>
          <w:lang w:eastAsia="es-MX"/>
        </w:rPr>
        <w:t xml:space="preserve">los cuales no fueron puestos a disposición del </w:t>
      </w:r>
      <w:r w:rsidRPr="007A646F">
        <w:rPr>
          <w:rFonts w:ascii="Palatino Linotype" w:hAnsi="Palatino Linotype" w:cs="Arial"/>
          <w:b/>
          <w:noProof/>
          <w:lang w:eastAsia="es-MX"/>
        </w:rPr>
        <w:t>RECURRENTE</w:t>
      </w:r>
      <w:r w:rsidRPr="007A646F">
        <w:rPr>
          <w:rFonts w:ascii="Palatino Linotype" w:hAnsi="Palatino Linotype" w:cs="Arial"/>
          <w:noProof/>
          <w:lang w:eastAsia="es-MX"/>
        </w:rPr>
        <w:t xml:space="preserve">, en razón de que no se actualizó el supuesto de la fracción III del artículo 185 de la Ley de Transparencia y Acceso a la Información Pública del Estado de México y Municipios; </w:t>
      </w:r>
      <w:r w:rsidRPr="007A646F">
        <w:rPr>
          <w:rFonts w:ascii="Palatino Linotype" w:hAnsi="Palatino Linotype" w:cs="Arial"/>
          <w:bCs/>
        </w:rPr>
        <w:t xml:space="preserve">sin embargo, se hará del conocimiento </w:t>
      </w:r>
      <w:r w:rsidRPr="007A646F">
        <w:rPr>
          <w:rFonts w:ascii="Palatino Linotype" w:eastAsia="Arial Unicode MS" w:hAnsi="Palatino Linotype" w:cs="Arial"/>
        </w:rPr>
        <w:t xml:space="preserve">al momento de notificar la presente resolución al </w:t>
      </w:r>
      <w:r w:rsidRPr="007A646F">
        <w:rPr>
          <w:rFonts w:ascii="Palatino Linotype" w:eastAsia="Arial Unicode MS" w:hAnsi="Palatino Linotype" w:cs="Arial"/>
          <w:b/>
        </w:rPr>
        <w:t>RECURRENTE</w:t>
      </w:r>
      <w:r w:rsidRPr="007A646F">
        <w:rPr>
          <w:rFonts w:ascii="Palatino Linotype" w:eastAsia="Arial Unicode MS" w:hAnsi="Palatino Linotype" w:cs="Arial"/>
        </w:rPr>
        <w:t xml:space="preserve">. </w:t>
      </w:r>
    </w:p>
    <w:p w:rsidR="005E740C" w:rsidRPr="007A646F" w:rsidRDefault="005E740C" w:rsidP="00B9215F">
      <w:pPr>
        <w:spacing w:line="360" w:lineRule="auto"/>
        <w:jc w:val="both"/>
        <w:rPr>
          <w:rFonts w:ascii="Palatino Linotype" w:hAnsi="Palatino Linotype" w:cs="Arial"/>
          <w:noProof/>
          <w:lang w:eastAsia="es-MX"/>
        </w:rPr>
      </w:pPr>
    </w:p>
    <w:p w:rsidR="005E740C" w:rsidRPr="007A646F" w:rsidRDefault="005E740C" w:rsidP="00B9215F">
      <w:pPr>
        <w:spacing w:line="360" w:lineRule="auto"/>
        <w:jc w:val="both"/>
        <w:rPr>
          <w:rFonts w:ascii="Palatino Linotype" w:hAnsi="Palatino Linotype" w:cs="Arial"/>
        </w:rPr>
      </w:pPr>
      <w:r w:rsidRPr="007A646F">
        <w:rPr>
          <w:rFonts w:ascii="Palatino Linotype" w:hAnsi="Palatino Linotype"/>
          <w:noProof/>
          <w:lang w:eastAsia="es-MX"/>
        </w:rPr>
        <w:t>Por su parte, el particular no realizó manifiestación alguna, ni presentó pruebas o alegatos.</w:t>
      </w:r>
      <w:r w:rsidRPr="007A646F">
        <w:rPr>
          <w:rFonts w:ascii="Palatino Linotype" w:hAnsi="Palatino Linotype" w:cs="Arial"/>
        </w:rPr>
        <w:t xml:space="preserve"> </w:t>
      </w:r>
    </w:p>
    <w:p w:rsidR="005E740C" w:rsidRPr="007A646F" w:rsidRDefault="005E740C" w:rsidP="00B9215F">
      <w:pPr>
        <w:spacing w:line="360" w:lineRule="auto"/>
        <w:jc w:val="both"/>
        <w:rPr>
          <w:rFonts w:ascii="Palatino Linotype" w:eastAsia="Arial Unicode MS" w:hAnsi="Palatino Linotype" w:cs="Arial"/>
          <w:b/>
          <w:sz w:val="28"/>
          <w:szCs w:val="28"/>
        </w:rPr>
      </w:pPr>
    </w:p>
    <w:p w:rsidR="00DF7EB8" w:rsidRPr="007A646F" w:rsidRDefault="00536557" w:rsidP="00B9215F">
      <w:pPr>
        <w:spacing w:line="360" w:lineRule="auto"/>
        <w:jc w:val="both"/>
        <w:rPr>
          <w:rFonts w:ascii="Palatino Linotype" w:hAnsi="Palatino Linotype" w:cs="Arial"/>
        </w:rPr>
      </w:pPr>
      <w:r w:rsidRPr="007A646F">
        <w:rPr>
          <w:rFonts w:ascii="Palatino Linotype" w:hAnsi="Palatino Linotype"/>
          <w:b/>
          <w:sz w:val="28"/>
          <w:szCs w:val="28"/>
        </w:rPr>
        <w:t>X</w:t>
      </w:r>
      <w:r w:rsidR="00457BB8" w:rsidRPr="007A646F">
        <w:rPr>
          <w:rFonts w:ascii="Palatino Linotype" w:hAnsi="Palatino Linotype"/>
          <w:b/>
          <w:sz w:val="28"/>
          <w:szCs w:val="28"/>
        </w:rPr>
        <w:t xml:space="preserve">. </w:t>
      </w:r>
      <w:r w:rsidR="00457BB8" w:rsidRPr="007A646F">
        <w:rPr>
          <w:rFonts w:ascii="Palatino Linotype" w:hAnsi="Palatino Linotype" w:cs="Arial"/>
        </w:rPr>
        <w:t xml:space="preserve">En fecha </w:t>
      </w:r>
      <w:r w:rsidRPr="007A646F">
        <w:rPr>
          <w:rFonts w:ascii="Palatino Linotype" w:hAnsi="Palatino Linotype" w:cs="Arial"/>
        </w:rPr>
        <w:t xml:space="preserve">dos de septiembre </w:t>
      </w:r>
      <w:r w:rsidR="00457BB8" w:rsidRPr="007A646F">
        <w:rPr>
          <w:rFonts w:ascii="Palatino Linotype" w:hAnsi="Palatino Linotype" w:cs="Arial"/>
        </w:rPr>
        <w:t xml:space="preserve">de dos mil veinte, la Comisionada Ponente acordó el cierre de instrucción, así como la remisión del mismo a efecto de ser resuelto, de </w:t>
      </w:r>
      <w:r w:rsidR="00457BB8" w:rsidRPr="007A646F">
        <w:rPr>
          <w:rFonts w:ascii="Palatino Linotype" w:hAnsi="Palatino Linotype" w:cs="Arial"/>
        </w:rPr>
        <w:lastRenderedPageBreak/>
        <w:t xml:space="preserve">conformidad con lo establecido en el artículo 185 fracción VIII de la Ley de Transparencia y Acceso a la Información Pública del Estado de México y Municipios; </w:t>
      </w:r>
    </w:p>
    <w:p w:rsidR="00DF7EB8" w:rsidRPr="007A646F" w:rsidRDefault="00DF7EB8" w:rsidP="00B9215F">
      <w:pPr>
        <w:spacing w:line="360" w:lineRule="auto"/>
        <w:jc w:val="both"/>
        <w:rPr>
          <w:rFonts w:ascii="Palatino Linotype" w:hAnsi="Palatino Linotype" w:cs="Arial"/>
        </w:rPr>
      </w:pPr>
    </w:p>
    <w:p w:rsidR="00457BB8" w:rsidRPr="007A646F" w:rsidRDefault="00DF7EB8" w:rsidP="00DF7EB8">
      <w:pPr>
        <w:spacing w:line="360" w:lineRule="auto"/>
        <w:ind w:right="50"/>
        <w:jc w:val="both"/>
        <w:rPr>
          <w:rFonts w:ascii="Palatino Linotype" w:hAnsi="Palatino Linotype"/>
          <w:b/>
          <w:sz w:val="28"/>
          <w:szCs w:val="28"/>
        </w:rPr>
      </w:pPr>
      <w:r w:rsidRPr="007A646F">
        <w:rPr>
          <w:rFonts w:ascii="Palatino Linotype" w:hAnsi="Palatino Linotype"/>
          <w:b/>
          <w:sz w:val="28"/>
          <w:szCs w:val="28"/>
        </w:rPr>
        <w:t xml:space="preserve">XI. </w:t>
      </w:r>
      <w:r w:rsidRPr="007A646F">
        <w:rPr>
          <w:rFonts w:ascii="Palatino Linotype" w:hAnsi="Palatino Linotype" w:cs="Arial"/>
        </w:rPr>
        <w:t xml:space="preserve">El diez de septiembre de dos mil veinte,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w:t>
      </w:r>
      <w:r w:rsidR="00457BB8" w:rsidRPr="007A646F">
        <w:rPr>
          <w:rFonts w:ascii="Palatino Linotype" w:hAnsi="Palatino Linotype" w:cs="Arial"/>
        </w:rPr>
        <w:t xml:space="preserve">y </w:t>
      </w:r>
    </w:p>
    <w:p w:rsidR="00457BB8" w:rsidRPr="007A646F" w:rsidRDefault="00457BB8" w:rsidP="00B9215F">
      <w:pPr>
        <w:jc w:val="both"/>
        <w:rPr>
          <w:rFonts w:ascii="Palatino Linotype" w:hAnsi="Palatino Linotype"/>
          <w:b/>
          <w:sz w:val="28"/>
          <w:szCs w:val="28"/>
        </w:rPr>
      </w:pPr>
    </w:p>
    <w:p w:rsidR="00457BB8" w:rsidRPr="007A646F" w:rsidRDefault="00457BB8" w:rsidP="00B9215F">
      <w:pPr>
        <w:jc w:val="center"/>
        <w:rPr>
          <w:rFonts w:ascii="Palatino Linotype" w:hAnsi="Palatino Linotype"/>
          <w:b/>
          <w:bCs/>
          <w:spacing w:val="40"/>
          <w:sz w:val="28"/>
        </w:rPr>
      </w:pPr>
      <w:r w:rsidRPr="007A646F">
        <w:rPr>
          <w:rFonts w:ascii="Palatino Linotype" w:hAnsi="Palatino Linotype"/>
          <w:b/>
          <w:bCs/>
          <w:spacing w:val="40"/>
          <w:sz w:val="28"/>
        </w:rPr>
        <w:t>CONSIDERANDO</w:t>
      </w:r>
    </w:p>
    <w:p w:rsidR="00457BB8" w:rsidRPr="007A646F" w:rsidRDefault="00457BB8" w:rsidP="00B9215F">
      <w:pPr>
        <w:jc w:val="center"/>
        <w:rPr>
          <w:rFonts w:ascii="Palatino Linotype" w:hAnsi="Palatino Linotype"/>
          <w:b/>
          <w:bCs/>
          <w:spacing w:val="40"/>
          <w:sz w:val="28"/>
        </w:rPr>
      </w:pPr>
    </w:p>
    <w:p w:rsidR="0084104F" w:rsidRPr="007A646F" w:rsidRDefault="00457BB8" w:rsidP="00B9215F">
      <w:pPr>
        <w:spacing w:line="360" w:lineRule="auto"/>
        <w:ind w:right="50"/>
        <w:jc w:val="both"/>
        <w:rPr>
          <w:rFonts w:ascii="Palatino Linotype" w:hAnsi="Palatino Linotype"/>
        </w:rPr>
      </w:pPr>
      <w:r w:rsidRPr="007A646F">
        <w:rPr>
          <w:rFonts w:ascii="Palatino Linotype" w:hAnsi="Palatino Linotype"/>
          <w:b/>
          <w:sz w:val="28"/>
          <w:szCs w:val="28"/>
        </w:rPr>
        <w:t>PRIMERO</w:t>
      </w:r>
      <w:r w:rsidRPr="007A646F">
        <w:rPr>
          <w:rFonts w:ascii="Palatino Linotype" w:hAnsi="Palatino Linotype"/>
          <w:b/>
        </w:rPr>
        <w:t>.</w:t>
      </w:r>
      <w:r w:rsidRPr="007A646F">
        <w:rPr>
          <w:rFonts w:ascii="Palatino Linotype" w:hAnsi="Palatino Linotype"/>
        </w:rPr>
        <w:t xml:space="preserve"> </w:t>
      </w:r>
      <w:r w:rsidRPr="007A646F">
        <w:rPr>
          <w:rFonts w:ascii="Palatino Linotype" w:hAnsi="Palatino Linotype"/>
          <w:b/>
        </w:rPr>
        <w:t>Competencia</w:t>
      </w:r>
      <w:r w:rsidRPr="007A646F">
        <w:rPr>
          <w:rFonts w:ascii="Palatino Linotype" w:hAnsi="Palatino Linotype"/>
        </w:rPr>
        <w:t>.</w:t>
      </w:r>
      <w:r w:rsidRPr="007A646F">
        <w:rPr>
          <w:rFonts w:ascii="Palatino Linotype" w:hAnsi="Palatino Linotype"/>
          <w:b/>
        </w:rPr>
        <w:t xml:space="preserve"> </w:t>
      </w:r>
      <w:r w:rsidRPr="007A646F">
        <w:rPr>
          <w:rFonts w:ascii="Palatino Linotype" w:hAnsi="Palatino Linotype"/>
        </w:rPr>
        <w:t xml:space="preserve">Este Instituto de </w:t>
      </w:r>
      <w:r w:rsidRPr="007A646F">
        <w:rPr>
          <w:rFonts w:ascii="Palatino Linotype" w:hAnsi="Palatino Linotype" w:cs="Arial"/>
        </w:rPr>
        <w:t>Transparencia</w:t>
      </w:r>
      <w:r w:rsidRPr="007A646F">
        <w:rPr>
          <w:rFonts w:ascii="Palatino Linotype" w:hAnsi="Palatino Linotype"/>
        </w:rPr>
        <w:t xml:space="preserve">, Acceso a la Información Pública y Protección de Datos Personales del Estado de México y Municipios, es competente para conocer y resolver el presente recurso, conforme a lo dispuesto en los artículos 6, Letra A de la Constitución Política de los Estados Unidos Mexicanos; 5, </w:t>
      </w:r>
      <w:r w:rsidRPr="007A646F">
        <w:rPr>
          <w:rFonts w:ascii="Palatino Linotype" w:eastAsia="Calibri" w:hAnsi="Palatino Linotype" w:cs="Arial"/>
        </w:rPr>
        <w:t xml:space="preserve">párrafos </w:t>
      </w:r>
      <w:r w:rsidRPr="007A646F">
        <w:rPr>
          <w:rFonts w:ascii="Palatino Linotype" w:hAnsi="Palatino Linotype"/>
        </w:rPr>
        <w:t xml:space="preserve">vigésimo </w:t>
      </w:r>
      <w:r w:rsidRPr="007A646F">
        <w:rPr>
          <w:rFonts w:ascii="Palatino Linotype" w:hAnsi="Palatino Linotype" w:cs="Arial"/>
        </w:rPr>
        <w:t>segundo,</w:t>
      </w:r>
      <w:r w:rsidRPr="007A646F">
        <w:rPr>
          <w:rFonts w:ascii="Palatino Linotype" w:hAnsi="Palatino Linotype"/>
        </w:rPr>
        <w:t xml:space="preserve"> vigésimo tercero y vigésimo cuarto, fracciones IV y V de la Constitución Política del Estado Libre y Soberano de México; 1, 2, fracción II, 13, 29, 36, fracciones I y II, 176, 178, 179, 181, párrafo tercero y 185 de la Ley de Transparencia y Acceso a la Información Pública </w:t>
      </w:r>
    </w:p>
    <w:p w:rsidR="00457BB8" w:rsidRPr="007A646F" w:rsidRDefault="00457BB8" w:rsidP="00B9215F">
      <w:pPr>
        <w:spacing w:line="360" w:lineRule="auto"/>
        <w:ind w:right="50"/>
        <w:jc w:val="both"/>
        <w:rPr>
          <w:rFonts w:ascii="Palatino Linotype" w:hAnsi="Palatino Linotype" w:cs="Arial"/>
        </w:rPr>
      </w:pPr>
      <w:r w:rsidRPr="007A646F">
        <w:rPr>
          <w:rFonts w:ascii="Palatino Linotype" w:hAnsi="Palatino Linotype"/>
        </w:rPr>
        <w:t>del Estado de México y Municipios</w:t>
      </w:r>
      <w:r w:rsidRPr="007A646F">
        <w:rPr>
          <w:rFonts w:ascii="Palatino Linotype" w:hAnsi="Palatino Linotype" w:cs="Arial"/>
        </w:rPr>
        <w:t>; y 9, fracciones I y XXIV y 11 del Reglamento Interior del Instituto de Transparencia, Acceso a la Información Pública y Protección de Datos Personales del Estado de México y Municipios; toda vez que se trata de un recurso de revisión interpuesto en términos de la Ley de la materia.</w:t>
      </w:r>
    </w:p>
    <w:p w:rsidR="00457BB8" w:rsidRPr="007A646F" w:rsidRDefault="00457BB8" w:rsidP="00B9215F">
      <w:pPr>
        <w:spacing w:line="360" w:lineRule="auto"/>
        <w:ind w:right="50"/>
        <w:jc w:val="both"/>
        <w:rPr>
          <w:rFonts w:ascii="Palatino Linotype" w:hAnsi="Palatino Linotype" w:cs="Arial"/>
          <w:b/>
        </w:rPr>
      </w:pPr>
    </w:p>
    <w:p w:rsidR="00457BB8" w:rsidRPr="007A646F" w:rsidRDefault="00457BB8" w:rsidP="00B9215F">
      <w:pPr>
        <w:spacing w:line="360" w:lineRule="auto"/>
        <w:jc w:val="both"/>
        <w:rPr>
          <w:rFonts w:ascii="Palatino Linotype" w:hAnsi="Palatino Linotype" w:cs="Arial"/>
          <w:b/>
          <w:snapToGrid w:val="0"/>
        </w:rPr>
      </w:pPr>
      <w:r w:rsidRPr="007A646F">
        <w:rPr>
          <w:rFonts w:ascii="Palatino Linotype" w:hAnsi="Palatino Linotype" w:cs="Arial"/>
          <w:b/>
          <w:sz w:val="28"/>
        </w:rPr>
        <w:lastRenderedPageBreak/>
        <w:t>SEGUNDO</w:t>
      </w:r>
      <w:r w:rsidRPr="007A646F">
        <w:rPr>
          <w:rFonts w:ascii="Palatino Linotype" w:hAnsi="Palatino Linotype" w:cs="Arial"/>
          <w:b/>
        </w:rPr>
        <w:t xml:space="preserve">. Interés. </w:t>
      </w:r>
      <w:r w:rsidRPr="007A646F">
        <w:rPr>
          <w:rFonts w:ascii="Palatino Linotype" w:hAnsi="Palatino Linotype" w:cs="Arial"/>
          <w:bCs/>
        </w:rPr>
        <w:t xml:space="preserve">El recurso de revisión fue interpuesto por parte legítima, en atención a que se presentó por </w:t>
      </w:r>
      <w:r w:rsidRPr="007A646F">
        <w:rPr>
          <w:rFonts w:ascii="Palatino Linotype" w:hAnsi="Palatino Linotype" w:cs="Arial"/>
          <w:b/>
          <w:bCs/>
        </w:rPr>
        <w:t>EL RECURRENTE,</w:t>
      </w:r>
      <w:r w:rsidRPr="007A646F">
        <w:rPr>
          <w:rFonts w:ascii="Palatino Linotype" w:hAnsi="Palatino Linotype" w:cs="Arial"/>
          <w:bCs/>
        </w:rPr>
        <w:t xml:space="preserve"> quien es la misma persona que formuló la solicitud de acceso a la información pública al </w:t>
      </w:r>
      <w:r w:rsidRPr="007A646F">
        <w:rPr>
          <w:rFonts w:ascii="Palatino Linotype" w:hAnsi="Palatino Linotype" w:cs="Arial"/>
          <w:b/>
          <w:bCs/>
        </w:rPr>
        <w:t>SUJETO OBLIGADO.</w:t>
      </w:r>
    </w:p>
    <w:p w:rsidR="00457BB8" w:rsidRPr="007A646F" w:rsidRDefault="00457BB8" w:rsidP="00B9215F">
      <w:pPr>
        <w:spacing w:line="360" w:lineRule="auto"/>
        <w:jc w:val="both"/>
        <w:rPr>
          <w:rFonts w:ascii="Palatino Linotype" w:hAnsi="Palatino Linotype" w:cs="Arial"/>
          <w:b/>
          <w:szCs w:val="28"/>
        </w:rPr>
      </w:pPr>
    </w:p>
    <w:p w:rsidR="00457BB8" w:rsidRPr="007A646F" w:rsidRDefault="00457BB8" w:rsidP="00B9215F">
      <w:pPr>
        <w:pStyle w:val="Prrafodelista"/>
        <w:autoSpaceDE w:val="0"/>
        <w:autoSpaceDN w:val="0"/>
        <w:adjustRightInd w:val="0"/>
        <w:spacing w:line="360" w:lineRule="auto"/>
        <w:ind w:left="0" w:right="49"/>
        <w:jc w:val="both"/>
        <w:rPr>
          <w:rFonts w:ascii="Palatino Linotype" w:hAnsi="Palatino Linotype" w:cs="Arial"/>
        </w:rPr>
      </w:pPr>
      <w:r w:rsidRPr="007A646F">
        <w:rPr>
          <w:rFonts w:ascii="Palatino Linotype" w:hAnsi="Palatino Linotype" w:cs="Arial"/>
          <w:b/>
          <w:sz w:val="28"/>
          <w:szCs w:val="28"/>
        </w:rPr>
        <w:t xml:space="preserve">TERCERO. </w:t>
      </w:r>
      <w:r w:rsidRPr="007A646F">
        <w:rPr>
          <w:rFonts w:ascii="Palatino Linotype" w:hAnsi="Palatino Linotype" w:cs="Arial"/>
          <w:b/>
        </w:rPr>
        <w:t xml:space="preserve">Oportunidad. </w:t>
      </w:r>
      <w:r w:rsidRPr="007A646F">
        <w:rPr>
          <w:rFonts w:ascii="Palatino Linotype" w:hAnsi="Palatino Linotype" w:cs="Arial"/>
        </w:rPr>
        <w:t xml:space="preserve">El recurso de revisión fue interpuesto dentro del plazo de quince días hábiles contados a partir del día siguiente al en que </w:t>
      </w:r>
      <w:r w:rsidRPr="007A646F">
        <w:rPr>
          <w:rFonts w:ascii="Palatino Linotype" w:hAnsi="Palatino Linotype" w:cs="Arial"/>
          <w:b/>
        </w:rPr>
        <w:t xml:space="preserve">EL RECURRENTE </w:t>
      </w:r>
      <w:r w:rsidRPr="007A646F">
        <w:rPr>
          <w:rFonts w:ascii="Palatino Linotype" w:hAnsi="Palatino Linotype" w:cs="Arial"/>
        </w:rPr>
        <w:t xml:space="preserve">tuvo conocimiento de la respuesta impugnada, tal y como lo prevé el artículo 178 de la Ley de Transparencia y Acceso a la Información Pública del Estado de México y Municipios, que establece: </w:t>
      </w:r>
    </w:p>
    <w:p w:rsidR="00457BB8" w:rsidRPr="007A646F" w:rsidRDefault="00457BB8" w:rsidP="00B9215F">
      <w:pPr>
        <w:ind w:left="851" w:right="902"/>
        <w:jc w:val="both"/>
        <w:rPr>
          <w:rFonts w:ascii="Palatino Linotype" w:eastAsiaTheme="minorEastAsia" w:hAnsi="Palatino Linotype" w:cs="Arial"/>
          <w:szCs w:val="20"/>
          <w:lang w:val="es-ES_tradnl"/>
        </w:rPr>
      </w:pPr>
    </w:p>
    <w:p w:rsidR="00457BB8" w:rsidRPr="007A646F" w:rsidRDefault="00457BB8" w:rsidP="00B9215F">
      <w:pPr>
        <w:tabs>
          <w:tab w:val="left" w:pos="851"/>
        </w:tabs>
        <w:ind w:left="851" w:right="901"/>
        <w:jc w:val="both"/>
        <w:rPr>
          <w:rFonts w:ascii="Palatino Linotype" w:eastAsiaTheme="minorEastAsia" w:hAnsi="Palatino Linotype" w:cs="Arial"/>
          <w:i/>
          <w:sz w:val="22"/>
          <w:szCs w:val="22"/>
          <w:lang w:val="es-ES_tradnl"/>
        </w:rPr>
      </w:pPr>
      <w:r w:rsidRPr="007A646F">
        <w:rPr>
          <w:rFonts w:ascii="Palatino Linotype" w:eastAsiaTheme="minorEastAsia" w:hAnsi="Palatino Linotype" w:cs="Arial"/>
          <w:b/>
          <w:i/>
          <w:sz w:val="22"/>
          <w:szCs w:val="22"/>
          <w:lang w:val="es-ES_tradnl"/>
        </w:rPr>
        <w:t>“Artículo 178.</w:t>
      </w:r>
      <w:r w:rsidRPr="007A646F">
        <w:rPr>
          <w:rFonts w:ascii="Palatino Linotype" w:eastAsiaTheme="minorEastAsia" w:hAnsi="Palatino Linotype" w:cs="Arial"/>
          <w:i/>
          <w:sz w:val="22"/>
          <w:szCs w:val="22"/>
          <w:lang w:val="es-ES_tradnl"/>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457BB8" w:rsidRPr="007A646F" w:rsidRDefault="00457BB8" w:rsidP="00B9215F">
      <w:pPr>
        <w:tabs>
          <w:tab w:val="left" w:pos="851"/>
        </w:tabs>
        <w:ind w:left="851" w:right="901"/>
        <w:jc w:val="both"/>
        <w:rPr>
          <w:rFonts w:ascii="Palatino Linotype" w:eastAsiaTheme="minorEastAsia" w:hAnsi="Palatino Linotype" w:cs="Arial"/>
          <w:i/>
          <w:sz w:val="22"/>
          <w:szCs w:val="22"/>
          <w:lang w:val="es-ES_tradnl"/>
        </w:rPr>
      </w:pPr>
      <w:r w:rsidRPr="007A646F">
        <w:rPr>
          <w:rFonts w:ascii="Palatino Linotype" w:eastAsiaTheme="minorEastAsia" w:hAnsi="Palatino Linotype" w:cs="Arial"/>
          <w:i/>
          <w:sz w:val="22"/>
          <w:szCs w:val="22"/>
          <w:lang w:val="es-ES_tradnl"/>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457BB8" w:rsidRPr="007A646F" w:rsidRDefault="00457BB8" w:rsidP="00B9215F">
      <w:pPr>
        <w:tabs>
          <w:tab w:val="left" w:pos="851"/>
        </w:tabs>
        <w:ind w:left="851" w:right="901"/>
        <w:jc w:val="both"/>
        <w:rPr>
          <w:rFonts w:ascii="Palatino Linotype" w:eastAsiaTheme="minorEastAsia" w:hAnsi="Palatino Linotype" w:cs="Arial"/>
          <w:i/>
          <w:sz w:val="22"/>
          <w:szCs w:val="22"/>
          <w:lang w:val="es-ES_tradnl"/>
        </w:rPr>
      </w:pPr>
      <w:r w:rsidRPr="007A646F">
        <w:rPr>
          <w:rFonts w:ascii="Palatino Linotype" w:eastAsiaTheme="minorEastAsia" w:hAnsi="Palatino Linotype" w:cs="Arial"/>
          <w:i/>
          <w:sz w:val="22"/>
          <w:szCs w:val="22"/>
          <w:lang w:val="es-ES_tradnl"/>
        </w:rPr>
        <w:t>En el caso de que se interponga ante la Unidad de Transparencia, ésta deberá remitir el recurso de revisión al Instituto a más tardar al día siguiente de haberlo recibido.</w:t>
      </w:r>
      <w:r w:rsidRPr="007A646F">
        <w:rPr>
          <w:rFonts w:ascii="Palatino Linotype" w:eastAsiaTheme="minorEastAsia" w:hAnsi="Palatino Linotype" w:cs="Arial"/>
          <w:b/>
          <w:i/>
          <w:sz w:val="22"/>
          <w:szCs w:val="22"/>
          <w:lang w:val="es-ES_tradnl"/>
        </w:rPr>
        <w:t>”</w:t>
      </w:r>
    </w:p>
    <w:p w:rsidR="00457BB8" w:rsidRPr="007A646F" w:rsidRDefault="00457BB8" w:rsidP="00B9215F">
      <w:pPr>
        <w:ind w:left="851" w:right="902"/>
        <w:jc w:val="both"/>
        <w:rPr>
          <w:rFonts w:ascii="Palatino Linotype" w:eastAsiaTheme="minorEastAsia" w:hAnsi="Palatino Linotype" w:cs="Arial"/>
          <w:szCs w:val="20"/>
          <w:lang w:val="es-ES_tradnl"/>
        </w:rPr>
      </w:pPr>
    </w:p>
    <w:p w:rsidR="00536557" w:rsidRPr="007A646F" w:rsidRDefault="00457BB8" w:rsidP="00B9215F">
      <w:pPr>
        <w:spacing w:line="360" w:lineRule="auto"/>
        <w:jc w:val="both"/>
        <w:rPr>
          <w:rFonts w:ascii="Palatino Linotype" w:hAnsi="Palatino Linotype" w:cs="Arial"/>
          <w:color w:val="000000" w:themeColor="text1"/>
        </w:rPr>
      </w:pPr>
      <w:r w:rsidRPr="007A646F">
        <w:rPr>
          <w:rFonts w:ascii="Palatino Linotype" w:eastAsiaTheme="minorEastAsia" w:hAnsi="Palatino Linotype" w:cs="Arial"/>
          <w:color w:val="000000" w:themeColor="text1"/>
          <w:lang w:val="es-ES_tradnl"/>
        </w:rPr>
        <w:t xml:space="preserve">En efecto, atendiendo a que </w:t>
      </w:r>
      <w:r w:rsidRPr="007A646F">
        <w:rPr>
          <w:rFonts w:ascii="Palatino Linotype" w:eastAsiaTheme="minorEastAsia" w:hAnsi="Palatino Linotype" w:cs="Arial"/>
          <w:b/>
          <w:color w:val="000000" w:themeColor="text1"/>
          <w:lang w:val="es-ES_tradnl"/>
        </w:rPr>
        <w:t>EL SUJETO OBLIGADO</w:t>
      </w:r>
      <w:r w:rsidRPr="007A646F">
        <w:rPr>
          <w:rFonts w:ascii="Palatino Linotype" w:eastAsiaTheme="minorEastAsia" w:hAnsi="Palatino Linotype" w:cs="Arial"/>
          <w:color w:val="000000" w:themeColor="text1"/>
          <w:lang w:val="es-ES_tradnl"/>
        </w:rPr>
        <w:t xml:space="preserve"> notificó la respuesta a la solicitud de información pública el </w:t>
      </w:r>
      <w:r w:rsidR="00536557" w:rsidRPr="007A646F">
        <w:rPr>
          <w:rFonts w:ascii="Palatino Linotype" w:eastAsiaTheme="minorEastAsia" w:hAnsi="Palatino Linotype" w:cs="Arial"/>
          <w:b/>
          <w:color w:val="000000" w:themeColor="text1"/>
          <w:lang w:val="es-ES_tradnl"/>
        </w:rPr>
        <w:t xml:space="preserve">doce de marzo </w:t>
      </w:r>
      <w:r w:rsidRPr="007A646F">
        <w:rPr>
          <w:rFonts w:ascii="Palatino Linotype" w:eastAsiaTheme="minorEastAsia" w:hAnsi="Palatino Linotype" w:cs="Arial"/>
          <w:b/>
          <w:color w:val="000000" w:themeColor="text1"/>
          <w:lang w:val="es-ES_tradnl"/>
        </w:rPr>
        <w:t xml:space="preserve">de dos mil veinte; </w:t>
      </w:r>
      <w:r w:rsidRPr="007A646F">
        <w:rPr>
          <w:rFonts w:ascii="Palatino Linotype" w:hAnsi="Palatino Linotype" w:cs="Arial"/>
          <w:color w:val="000000" w:themeColor="text1"/>
        </w:rPr>
        <w:t>en consecuencia, el plazo de quince días hábiles que el artículo 178 de la ley de la materia otorga al</w:t>
      </w:r>
      <w:r w:rsidRPr="007A646F">
        <w:rPr>
          <w:rFonts w:ascii="Palatino Linotype" w:hAnsi="Palatino Linotype" w:cs="Arial"/>
          <w:b/>
          <w:color w:val="000000" w:themeColor="text1"/>
        </w:rPr>
        <w:t xml:space="preserve"> RECURRENTE</w:t>
      </w:r>
      <w:r w:rsidRPr="007A646F">
        <w:rPr>
          <w:rFonts w:ascii="Palatino Linotype" w:hAnsi="Palatino Linotype" w:cs="Arial"/>
          <w:color w:val="000000" w:themeColor="text1"/>
        </w:rPr>
        <w:t xml:space="preserve"> para presentar el recurso de revisión, transcurrió del</w:t>
      </w:r>
      <w:r w:rsidR="00536557" w:rsidRPr="007A646F">
        <w:rPr>
          <w:rFonts w:ascii="Palatino Linotype" w:hAnsi="Palatino Linotype" w:cs="Arial"/>
          <w:color w:val="000000" w:themeColor="text1"/>
        </w:rPr>
        <w:t xml:space="preserve"> </w:t>
      </w:r>
      <w:r w:rsidR="00536557" w:rsidRPr="007A646F">
        <w:rPr>
          <w:rFonts w:ascii="Palatino Linotype" w:hAnsi="Palatino Linotype" w:cs="Arial"/>
          <w:b/>
          <w:color w:val="000000" w:themeColor="text1"/>
        </w:rPr>
        <w:t>trece de marzo al catorce de agosto de dos mil veinte;</w:t>
      </w:r>
      <w:r w:rsidR="00536557" w:rsidRPr="007A646F">
        <w:rPr>
          <w:rFonts w:ascii="Palatino Linotype" w:hAnsi="Palatino Linotype" w:cs="Arial"/>
          <w:color w:val="000000" w:themeColor="text1"/>
        </w:rPr>
        <w:t xml:space="preserve"> sin contemplar en el cómputo los días catorce, quince, veintiuno y veintidós de marzo; dieciocho, </w:t>
      </w:r>
      <w:r w:rsidR="00536557" w:rsidRPr="007A646F">
        <w:rPr>
          <w:rFonts w:ascii="Palatino Linotype" w:hAnsi="Palatino Linotype" w:cs="Arial"/>
          <w:color w:val="000000" w:themeColor="text1"/>
        </w:rPr>
        <w:lastRenderedPageBreak/>
        <w:t xml:space="preserve">diecinueve, veinticinco y veintiséis de julio; así como, uno, dos, ocho y nueve de agosto de dos mil veinte, por corresponder a sábados y domingos, considerados como días inhábiles, en términos del artículo 3, fracción X de la Ley de Transparencia y Acceso a la Información Pública del Estado de México y Municipios; así como, el dieciséis de marzo de dos mil veinte </w:t>
      </w:r>
      <w:r w:rsidR="00536557" w:rsidRPr="007A646F">
        <w:rPr>
          <w:rFonts w:ascii="Palatino Linotype" w:hAnsi="Palatino Linotype"/>
          <w:color w:val="000000" w:themeColor="text1"/>
        </w:rPr>
        <w:t xml:space="preserve">por ser considerados como día inhábil por suspensión de labores, y los días veinte, veintiuno, veintidós, veintitrés, veinticuatro, veintisiete, veintiocho, veintinueve, treinta y treinta y uno de julio por corresponder al primer periodo vacacional en términos del </w:t>
      </w:r>
      <w:r w:rsidR="00536557" w:rsidRPr="007A646F">
        <w:rPr>
          <w:rFonts w:ascii="Palatino Linotype" w:hAnsi="Palatino Linotype" w:cs="Arial"/>
          <w:color w:val="000000" w:themeColor="text1"/>
        </w:rPr>
        <w:t xml:space="preserve">Calendario Oficial en Materia de Transparencia, Acceso a la Información Pública y Protección de Datos Personales del Estado de México y Municipios, publicado en el Periódico Oficial “Gaceta del Gobierno”, el diecinueve de diciembre de dos mil diecinueve; asimismo, del veintitrés de marzo al diecisiete de julio de dos mil veinte; por suspensión de plazos, ante la situación de la epidemia de la enfermedad generada por el virus SARS-CoV-2 (COVID-19), que originó la emergencia sanitaria por causa de fuerza mayor y medidas de seguridad. </w:t>
      </w:r>
    </w:p>
    <w:p w:rsidR="00536557" w:rsidRPr="007A646F" w:rsidRDefault="00536557" w:rsidP="00B9215F">
      <w:pPr>
        <w:spacing w:line="360" w:lineRule="auto"/>
        <w:jc w:val="both"/>
        <w:rPr>
          <w:rFonts w:ascii="Palatino Linotype" w:eastAsiaTheme="minorEastAsia" w:hAnsi="Palatino Linotype" w:cs="Arial"/>
          <w:lang w:val="es-ES_tradnl"/>
        </w:rPr>
      </w:pPr>
    </w:p>
    <w:p w:rsidR="00536557" w:rsidRPr="007A646F" w:rsidRDefault="00536557" w:rsidP="00B9215F">
      <w:pPr>
        <w:spacing w:line="360" w:lineRule="auto"/>
        <w:jc w:val="both"/>
        <w:rPr>
          <w:rFonts w:ascii="Palatino Linotype" w:eastAsiaTheme="minorEastAsia" w:hAnsi="Palatino Linotype" w:cs="Arial"/>
          <w:lang w:val="es-ES_tradnl"/>
        </w:rPr>
      </w:pPr>
      <w:r w:rsidRPr="007A646F">
        <w:rPr>
          <w:rFonts w:ascii="Palatino Linotype" w:eastAsiaTheme="minorEastAsia" w:hAnsi="Palatino Linotype" w:cs="Arial"/>
          <w:lang w:val="es-ES_tradnl"/>
        </w:rPr>
        <w:t>En ese tenor, si el recurso de revisión que nos ocupa, se interpuso el</w:t>
      </w:r>
      <w:r w:rsidRPr="007A646F">
        <w:rPr>
          <w:rFonts w:ascii="Palatino Linotype" w:eastAsiaTheme="minorEastAsia" w:hAnsi="Palatino Linotype" w:cs="Arial"/>
          <w:b/>
          <w:lang w:val="es-ES_tradnl"/>
        </w:rPr>
        <w:t xml:space="preserve"> quince de marzo de dos mil veinte,</w:t>
      </w:r>
      <w:r w:rsidRPr="007A646F">
        <w:rPr>
          <w:rFonts w:ascii="Palatino Linotype" w:eastAsiaTheme="minorEastAsia" w:hAnsi="Palatino Linotype" w:cs="Arial"/>
          <w:lang w:val="es-ES_tradnl"/>
        </w:rPr>
        <w:t xml:space="preserve"> éste se encuentra dentro de los márgenes temporales previstos en el citado precepto legal y, por tanto, se considera oportuno.</w:t>
      </w:r>
    </w:p>
    <w:p w:rsidR="00536557" w:rsidRPr="007A646F" w:rsidRDefault="00536557" w:rsidP="00B9215F">
      <w:pPr>
        <w:spacing w:line="360" w:lineRule="auto"/>
        <w:jc w:val="both"/>
        <w:rPr>
          <w:rFonts w:ascii="Palatino Linotype" w:hAnsi="Palatino Linotype" w:cs="Arial"/>
          <w:color w:val="000000" w:themeColor="text1"/>
        </w:rPr>
      </w:pPr>
    </w:p>
    <w:p w:rsidR="00BD7CF0" w:rsidRPr="007A646F" w:rsidRDefault="00BD7CF0" w:rsidP="00B9215F">
      <w:pPr>
        <w:autoSpaceDE w:val="0"/>
        <w:autoSpaceDN w:val="0"/>
        <w:adjustRightInd w:val="0"/>
        <w:spacing w:line="360" w:lineRule="auto"/>
        <w:ind w:right="49"/>
        <w:jc w:val="both"/>
        <w:rPr>
          <w:rFonts w:ascii="Palatino Linotype" w:hAnsi="Palatino Linotype" w:cs="Arial"/>
          <w:b/>
        </w:rPr>
      </w:pPr>
      <w:r w:rsidRPr="007A646F">
        <w:rPr>
          <w:rFonts w:ascii="Palatino Linotype" w:hAnsi="Palatino Linotype" w:cs="Arial"/>
          <w:b/>
          <w:sz w:val="28"/>
          <w:szCs w:val="28"/>
        </w:rPr>
        <w:t>CUARTO</w:t>
      </w:r>
      <w:r w:rsidRPr="007A646F">
        <w:rPr>
          <w:rFonts w:ascii="Palatino Linotype" w:hAnsi="Palatino Linotype"/>
          <w:b/>
          <w:sz w:val="28"/>
          <w:szCs w:val="28"/>
        </w:rPr>
        <w:t>.</w:t>
      </w:r>
      <w:r w:rsidRPr="007A646F">
        <w:rPr>
          <w:rFonts w:ascii="Palatino Linotype" w:hAnsi="Palatino Linotype"/>
          <w:b/>
        </w:rPr>
        <w:t xml:space="preserve"> </w:t>
      </w:r>
      <w:proofErr w:type="spellStart"/>
      <w:r w:rsidRPr="007A646F">
        <w:rPr>
          <w:rFonts w:ascii="Palatino Linotype" w:hAnsi="Palatino Linotype"/>
          <w:b/>
        </w:rPr>
        <w:t>Procedibilidad</w:t>
      </w:r>
      <w:proofErr w:type="spellEnd"/>
      <w:r w:rsidRPr="007A646F">
        <w:rPr>
          <w:rFonts w:ascii="Palatino Linotype" w:hAnsi="Palatino Linotype"/>
          <w:b/>
        </w:rPr>
        <w:t xml:space="preserve">. </w:t>
      </w:r>
      <w:r w:rsidRPr="007A646F">
        <w:rPr>
          <w:rFonts w:ascii="Palatino Linotype" w:hAnsi="Palatino Linotype" w:cs="Arial"/>
        </w:rPr>
        <w:t xml:space="preserve">Del análisis efectuado se advierte que resulta procedente la interposición de los recursos y se concluye la acreditación plena de todos y cada uno de los elementos formales exigidos por el artículo 180 de la </w:t>
      </w:r>
      <w:r w:rsidRPr="007A646F">
        <w:rPr>
          <w:rFonts w:ascii="Palatino Linotype" w:hAnsi="Palatino Linotype"/>
        </w:rPr>
        <w:t xml:space="preserve">Ley de </w:t>
      </w:r>
      <w:r w:rsidRPr="007A646F">
        <w:rPr>
          <w:rFonts w:ascii="Palatino Linotype" w:hAnsi="Palatino Linotype"/>
        </w:rPr>
        <w:lastRenderedPageBreak/>
        <w:t xml:space="preserve">Transparencia y Acceso a la Información Pública del Estado de México y Municipios, en atención a que fueron presentados mediante el formato visible en </w:t>
      </w:r>
      <w:r w:rsidRPr="007A646F">
        <w:rPr>
          <w:rFonts w:ascii="Palatino Linotype" w:hAnsi="Palatino Linotype"/>
          <w:b/>
        </w:rPr>
        <w:t>EL SAIMEX.</w:t>
      </w:r>
    </w:p>
    <w:p w:rsidR="00457BB8" w:rsidRPr="007A646F" w:rsidRDefault="00457BB8" w:rsidP="00B9215F">
      <w:pPr>
        <w:autoSpaceDE w:val="0"/>
        <w:autoSpaceDN w:val="0"/>
        <w:adjustRightInd w:val="0"/>
        <w:spacing w:line="360" w:lineRule="auto"/>
        <w:ind w:right="49"/>
        <w:jc w:val="both"/>
        <w:rPr>
          <w:rFonts w:ascii="Palatino Linotype" w:eastAsiaTheme="minorEastAsia" w:hAnsi="Palatino Linotype" w:cs="Arial"/>
          <w:b/>
          <w:lang w:val="es-ES_tradnl"/>
        </w:rPr>
      </w:pPr>
    </w:p>
    <w:p w:rsidR="00457BB8" w:rsidRPr="007A646F" w:rsidRDefault="00457BB8" w:rsidP="00B9215F">
      <w:pPr>
        <w:spacing w:line="360" w:lineRule="auto"/>
        <w:jc w:val="both"/>
        <w:rPr>
          <w:rFonts w:ascii="Palatino Linotype" w:hAnsi="Palatino Linotype" w:cs="Arial"/>
        </w:rPr>
      </w:pPr>
      <w:r w:rsidRPr="007A646F">
        <w:rPr>
          <w:rFonts w:ascii="Palatino Linotype" w:hAnsi="Palatino Linotype" w:cs="Arial"/>
          <w:b/>
          <w:sz w:val="28"/>
          <w:szCs w:val="28"/>
        </w:rPr>
        <w:t>QUINTO</w:t>
      </w:r>
      <w:r w:rsidRPr="007A646F">
        <w:rPr>
          <w:rFonts w:ascii="Palatino Linotype" w:hAnsi="Palatino Linotype" w:cs="Arial"/>
          <w:b/>
        </w:rPr>
        <w:t xml:space="preserve">. </w:t>
      </w:r>
      <w:r w:rsidRPr="007A646F">
        <w:rPr>
          <w:rFonts w:ascii="Palatino Linotype" w:eastAsiaTheme="minorEastAsia" w:hAnsi="Palatino Linotype" w:cs="Arial"/>
          <w:b/>
          <w:lang w:val="es-ES_tradnl"/>
        </w:rPr>
        <w:t>Estudio y resolución del asunto</w:t>
      </w:r>
      <w:r w:rsidRPr="007A646F">
        <w:rPr>
          <w:rFonts w:ascii="Palatino Linotype" w:eastAsiaTheme="minorEastAsia" w:hAnsi="Palatino Linotype" w:cstheme="minorBidi"/>
          <w:b/>
          <w:lang w:val="es-ES_tradnl"/>
        </w:rPr>
        <w:t xml:space="preserve">. </w:t>
      </w:r>
      <w:r w:rsidRPr="007A646F">
        <w:rPr>
          <w:rFonts w:ascii="Palatino Linotype" w:hAnsi="Palatino Linotype" w:cs="Arial"/>
        </w:rPr>
        <w:t xml:space="preserve">Una vez determinada la vía sobre la que versará el presente recurso, y previa revisión del expediente electrónico formado en </w:t>
      </w:r>
      <w:r w:rsidRPr="007A646F">
        <w:rPr>
          <w:rFonts w:ascii="Palatino Linotype" w:hAnsi="Palatino Linotype" w:cs="Arial"/>
          <w:b/>
        </w:rPr>
        <w:t>EL SAIMEX</w:t>
      </w:r>
      <w:r w:rsidRPr="007A646F">
        <w:rPr>
          <w:rFonts w:ascii="Palatino Linotype" w:hAnsi="Palatino Linotype" w:cs="Arial"/>
        </w:rPr>
        <w:t xml:space="preserve"> con motivo de la solicitud de información y del recurso a que da origen, es de señalar que el análisis del presente,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diversos 8 y 9 de la Ley de Transparencia local.</w:t>
      </w:r>
    </w:p>
    <w:p w:rsidR="00701E0E" w:rsidRPr="007A646F" w:rsidRDefault="00701E0E" w:rsidP="00B9215F">
      <w:pPr>
        <w:spacing w:line="360" w:lineRule="auto"/>
        <w:jc w:val="both"/>
        <w:rPr>
          <w:rFonts w:ascii="Palatino Linotype" w:hAnsi="Palatino Linotype" w:cs="Arial"/>
        </w:rPr>
      </w:pPr>
    </w:p>
    <w:p w:rsidR="00B909BE" w:rsidRPr="007A646F" w:rsidRDefault="00701E0E" w:rsidP="00B9215F">
      <w:pPr>
        <w:spacing w:line="360" w:lineRule="auto"/>
        <w:jc w:val="both"/>
        <w:rPr>
          <w:rFonts w:ascii="Palatino Linotype" w:eastAsia="Calibri" w:hAnsi="Palatino Linotype" w:cs="Arial"/>
          <w:lang w:eastAsia="en-US"/>
        </w:rPr>
      </w:pPr>
      <w:r w:rsidRPr="007A646F">
        <w:rPr>
          <w:rFonts w:ascii="Palatino Linotype" w:eastAsiaTheme="minorEastAsia" w:hAnsi="Palatino Linotype" w:cs="Arial"/>
          <w:color w:val="000000" w:themeColor="text1"/>
          <w:lang w:val="es-ES_tradnl"/>
        </w:rPr>
        <w:t>Por lo anterior,</w:t>
      </w:r>
      <w:r w:rsidR="00B9215F" w:rsidRPr="007A646F">
        <w:rPr>
          <w:rFonts w:ascii="Palatino Linotype" w:eastAsiaTheme="minorEastAsia" w:hAnsi="Palatino Linotype" w:cs="Arial"/>
          <w:color w:val="000000" w:themeColor="text1"/>
          <w:lang w:val="es-ES_tradnl"/>
        </w:rPr>
        <w:t xml:space="preserve"> </w:t>
      </w:r>
      <w:r w:rsidR="00B909BE" w:rsidRPr="007A646F">
        <w:rPr>
          <w:rFonts w:ascii="Palatino Linotype" w:hAnsi="Palatino Linotype" w:cs="Arial"/>
          <w:lang w:val="es-ES_tradnl" w:eastAsia="en-US"/>
        </w:rPr>
        <w:t xml:space="preserve">se procede a analizar las documentales que integran el expediente electrónico, a fin de determinar si con la información remitida por parte del </w:t>
      </w:r>
      <w:r w:rsidR="00B909BE" w:rsidRPr="007A646F">
        <w:rPr>
          <w:rFonts w:ascii="Palatino Linotype" w:hAnsi="Palatino Linotype" w:cs="Arial"/>
          <w:b/>
          <w:lang w:val="es-ES_tradnl" w:eastAsia="en-US"/>
        </w:rPr>
        <w:t xml:space="preserve">SUJETO OBLIGADO </w:t>
      </w:r>
      <w:r w:rsidR="00B909BE" w:rsidRPr="007A646F">
        <w:rPr>
          <w:rFonts w:ascii="Palatino Linotype" w:hAnsi="Palatino Linotype" w:cs="Arial"/>
          <w:lang w:val="es-ES_tradnl" w:eastAsia="en-US"/>
        </w:rPr>
        <w:t xml:space="preserve">mediante respuesta, se colma el derecho de </w:t>
      </w:r>
      <w:r w:rsidR="00B909BE" w:rsidRPr="007A646F">
        <w:rPr>
          <w:rFonts w:ascii="Palatino Linotype" w:eastAsia="Calibri" w:hAnsi="Palatino Linotype" w:cs="Arial"/>
          <w:lang w:eastAsia="en-US"/>
        </w:rPr>
        <w:t xml:space="preserve">acceso a la información ejercido por </w:t>
      </w:r>
      <w:r w:rsidR="00B909BE" w:rsidRPr="007A646F">
        <w:rPr>
          <w:rFonts w:ascii="Palatino Linotype" w:eastAsia="Calibri" w:hAnsi="Palatino Linotype" w:cs="Arial"/>
          <w:b/>
          <w:lang w:eastAsia="en-US"/>
        </w:rPr>
        <w:t>EL RECURRENTE</w:t>
      </w:r>
      <w:r w:rsidR="00B909BE" w:rsidRPr="007A646F">
        <w:rPr>
          <w:rFonts w:ascii="Palatino Linotype" w:eastAsia="Calibri" w:hAnsi="Palatino Linotype" w:cs="Arial"/>
          <w:lang w:eastAsia="en-US"/>
        </w:rPr>
        <w:t>; atento a ello, se realiza la siguiente tabla, para mayor entendimiento:</w:t>
      </w:r>
    </w:p>
    <w:p w:rsidR="00B9215F" w:rsidRPr="007A646F" w:rsidRDefault="00B9215F" w:rsidP="00B9215F">
      <w:pPr>
        <w:spacing w:line="360" w:lineRule="auto"/>
        <w:jc w:val="both"/>
        <w:rPr>
          <w:rFonts w:ascii="Palatino Linotype" w:eastAsia="Calibri" w:hAnsi="Palatino Linotype" w:cs="Arial"/>
          <w:lang w:eastAsia="en-US"/>
        </w:rPr>
      </w:pPr>
    </w:p>
    <w:tbl>
      <w:tblPr>
        <w:tblStyle w:val="Tablaconcuadrcula3"/>
        <w:tblW w:w="8784" w:type="dxa"/>
        <w:tblLayout w:type="fixed"/>
        <w:tblLook w:val="04A0" w:firstRow="1" w:lastRow="0" w:firstColumn="1" w:lastColumn="0" w:noHBand="0" w:noVBand="1"/>
      </w:tblPr>
      <w:tblGrid>
        <w:gridCol w:w="2972"/>
        <w:gridCol w:w="2268"/>
        <w:gridCol w:w="2126"/>
        <w:gridCol w:w="1418"/>
      </w:tblGrid>
      <w:tr w:rsidR="00B909BE" w:rsidRPr="007A646F">
        <w:trPr>
          <w:tblHeader/>
        </w:trPr>
        <w:tc>
          <w:tcPr>
            <w:tcW w:w="2972" w:type="dxa"/>
            <w:shd w:val="pct12" w:color="auto" w:fill="auto"/>
          </w:tcPr>
          <w:p w:rsidR="00B909BE" w:rsidRPr="007A646F" w:rsidRDefault="00B909BE" w:rsidP="00B9215F">
            <w:pPr>
              <w:ind w:right="49"/>
              <w:jc w:val="center"/>
              <w:rPr>
                <w:rFonts w:ascii="Palatino Linotype" w:eastAsia="Calibri" w:hAnsi="Palatino Linotype" w:cs="Arial"/>
                <w:color w:val="000000"/>
              </w:rPr>
            </w:pPr>
            <w:r w:rsidRPr="007A646F">
              <w:rPr>
                <w:rFonts w:ascii="Palatino Linotype" w:eastAsia="Calibri" w:hAnsi="Palatino Linotype" w:cs="Bookman Old Style"/>
                <w:b/>
                <w:bCs/>
                <w:i/>
              </w:rPr>
              <w:t>Solicitud</w:t>
            </w:r>
          </w:p>
        </w:tc>
        <w:tc>
          <w:tcPr>
            <w:tcW w:w="2268" w:type="dxa"/>
            <w:shd w:val="pct12" w:color="auto" w:fill="auto"/>
          </w:tcPr>
          <w:p w:rsidR="00B909BE" w:rsidRPr="007A646F" w:rsidRDefault="00B909BE" w:rsidP="00B9215F">
            <w:pPr>
              <w:ind w:right="49"/>
              <w:jc w:val="center"/>
              <w:rPr>
                <w:rFonts w:ascii="Palatino Linotype" w:eastAsia="Calibri" w:hAnsi="Palatino Linotype" w:cs="Arial"/>
                <w:color w:val="000000"/>
              </w:rPr>
            </w:pPr>
            <w:r w:rsidRPr="007A646F">
              <w:rPr>
                <w:rFonts w:ascii="Palatino Linotype" w:eastAsia="Calibri" w:hAnsi="Palatino Linotype" w:cs="Bookman Old Style"/>
                <w:b/>
                <w:bCs/>
                <w:i/>
              </w:rPr>
              <w:t xml:space="preserve">Respuesta </w:t>
            </w:r>
          </w:p>
        </w:tc>
        <w:tc>
          <w:tcPr>
            <w:tcW w:w="2126" w:type="dxa"/>
            <w:shd w:val="pct12" w:color="auto" w:fill="auto"/>
          </w:tcPr>
          <w:p w:rsidR="00B909BE" w:rsidRPr="007A646F" w:rsidRDefault="00B909BE" w:rsidP="00B9215F">
            <w:pPr>
              <w:ind w:right="49"/>
              <w:jc w:val="center"/>
              <w:rPr>
                <w:rFonts w:ascii="Palatino Linotype" w:eastAsia="Calibri" w:hAnsi="Palatino Linotype" w:cs="Bookman Old Style"/>
                <w:b/>
                <w:bCs/>
                <w:i/>
              </w:rPr>
            </w:pPr>
            <w:r w:rsidRPr="007A646F">
              <w:rPr>
                <w:rFonts w:ascii="Palatino Linotype" w:eastAsia="Calibri" w:hAnsi="Palatino Linotype" w:cs="Bookman Old Style"/>
                <w:b/>
                <w:bCs/>
                <w:i/>
              </w:rPr>
              <w:t>Observaciones</w:t>
            </w:r>
          </w:p>
        </w:tc>
        <w:tc>
          <w:tcPr>
            <w:tcW w:w="1418" w:type="dxa"/>
            <w:shd w:val="pct12"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Colma</w:t>
            </w:r>
          </w:p>
          <w:p w:rsidR="00B909BE" w:rsidRPr="007A646F" w:rsidRDefault="00B909BE" w:rsidP="00B9215F">
            <w:pPr>
              <w:ind w:right="49"/>
              <w:jc w:val="center"/>
              <w:rPr>
                <w:rFonts w:ascii="Palatino Linotype" w:eastAsia="Calibri" w:hAnsi="Palatino Linotype" w:cs="Arial"/>
                <w:color w:val="000000"/>
              </w:rPr>
            </w:pPr>
            <w:r w:rsidRPr="007A646F">
              <w:rPr>
                <w:rFonts w:ascii="Palatino Linotype" w:eastAsia="Calibri" w:hAnsi="Palatino Linotype" w:cs="Bookman Old Style"/>
                <w:b/>
                <w:bCs/>
                <w:i/>
              </w:rPr>
              <w:t>Sí/No</w:t>
            </w:r>
          </w:p>
        </w:tc>
      </w:tr>
      <w:tr w:rsidR="00B909BE" w:rsidRPr="007A646F">
        <w:trPr>
          <w:trHeight w:val="577"/>
        </w:trPr>
        <w:tc>
          <w:tcPr>
            <w:tcW w:w="8784" w:type="dxa"/>
            <w:gridSpan w:val="4"/>
          </w:tcPr>
          <w:p w:rsidR="00B909BE" w:rsidRPr="007A646F" w:rsidRDefault="00B909BE" w:rsidP="00B9215F">
            <w:pPr>
              <w:autoSpaceDE w:val="0"/>
              <w:autoSpaceDN w:val="0"/>
              <w:adjustRightInd w:val="0"/>
              <w:contextualSpacing/>
              <w:jc w:val="center"/>
              <w:rPr>
                <w:rFonts w:ascii="Palatino Linotype" w:eastAsia="Calibri" w:hAnsi="Palatino Linotype"/>
                <w:b/>
                <w:bCs/>
                <w:sz w:val="20"/>
                <w:szCs w:val="20"/>
              </w:rPr>
            </w:pPr>
            <w:r w:rsidRPr="007A646F">
              <w:rPr>
                <w:rFonts w:ascii="Palatino Linotype" w:eastAsia="Calibri" w:hAnsi="Palatino Linotype"/>
                <w:b/>
                <w:bCs/>
                <w:sz w:val="20"/>
                <w:szCs w:val="20"/>
              </w:rPr>
              <w:lastRenderedPageBreak/>
              <w:t xml:space="preserve">Unidad (es), área (s) responsable(s) de la implementación </w:t>
            </w:r>
          </w:p>
          <w:p w:rsidR="00B909BE" w:rsidRPr="007A646F" w:rsidRDefault="00B909BE" w:rsidP="00B9215F">
            <w:pPr>
              <w:autoSpaceDE w:val="0"/>
              <w:autoSpaceDN w:val="0"/>
              <w:adjustRightInd w:val="0"/>
              <w:contextualSpacing/>
              <w:jc w:val="center"/>
              <w:rPr>
                <w:rFonts w:ascii="Palatino Linotype" w:eastAsia="Calibri" w:hAnsi="Palatino Linotype" w:cs="Bookman Old Style"/>
                <w:b/>
                <w:bCs/>
                <w:i/>
                <w:sz w:val="20"/>
                <w:szCs w:val="20"/>
              </w:rPr>
            </w:pPr>
            <w:r w:rsidRPr="007A646F">
              <w:rPr>
                <w:rFonts w:ascii="Palatino Linotype" w:eastAsia="Calibri" w:hAnsi="Palatino Linotype"/>
                <w:b/>
                <w:bCs/>
                <w:sz w:val="20"/>
                <w:szCs w:val="20"/>
              </w:rPr>
              <w:t>de las acciones de la AVGEM</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1.- Se solicita información de la persona encargada de dar seguimiento a la Declaratoria de Alerta de Violencia contra las Mujeres, en representación del o presidenta municipal. Se pide desagregar la información por nombre, edad, escolaridad, cargo, área o dependencia, perfil y experiencia en temas de violencia contra las mujeres.</w:t>
            </w:r>
          </w:p>
        </w:tc>
        <w:tc>
          <w:tcPr>
            <w:tcW w:w="2268" w:type="dxa"/>
            <w:shd w:val="clear" w:color="auto" w:fill="auto"/>
          </w:tcPr>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sz w:val="20"/>
                <w:szCs w:val="20"/>
              </w:rPr>
              <w:t xml:space="preserve">Se encuentra contenida dentro del archivo denominado </w:t>
            </w: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Se dejó visible información considerada confidencial, como lo es la edad. </w:t>
            </w:r>
          </w:p>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2.- Se solicita información de los programas para prevenir y atender la violencia contra las mujeres del Instituto Municipal de la Mujer. </w:t>
            </w:r>
          </w:p>
          <w:p w:rsidR="00B909BE" w:rsidRPr="007A646F" w:rsidRDefault="00B909BE" w:rsidP="00B9215F">
            <w:pPr>
              <w:ind w:right="49"/>
              <w:jc w:val="both"/>
              <w:rPr>
                <w:rFonts w:ascii="Palatino Linotype" w:eastAsia="Calibri" w:hAnsi="Palatino Linotype" w:cs="Bookman Old Style"/>
                <w:b/>
                <w:bCs/>
                <w:i/>
                <w:sz w:val="20"/>
                <w:szCs w:val="20"/>
              </w:rPr>
            </w:pPr>
            <w:r w:rsidRPr="007A646F">
              <w:rPr>
                <w:rFonts w:ascii="Palatino Linotype" w:eastAsia="Calibri" w:hAnsi="Palatino Linotype" w:cs="Bookman Old Style"/>
                <w:b/>
                <w:bCs/>
                <w:i/>
                <w:sz w:val="20"/>
                <w:szCs w:val="20"/>
              </w:rPr>
              <w:t>*</w:t>
            </w:r>
            <w:r w:rsidRPr="007A646F">
              <w:rPr>
                <w:rFonts w:ascii="Palatino Linotype" w:eastAsia="Calibri" w:hAnsi="Palatino Linotype"/>
                <w:sz w:val="20"/>
                <w:szCs w:val="20"/>
              </w:rPr>
              <w:t xml:space="preserve"> </w:t>
            </w:r>
            <w:r w:rsidRPr="007A646F">
              <w:rPr>
                <w:rFonts w:ascii="Palatino Linotype" w:eastAsia="Calibri" w:hAnsi="Palatino Linotype"/>
                <w:i/>
                <w:sz w:val="20"/>
                <w:szCs w:val="20"/>
              </w:rPr>
              <w:t xml:space="preserve">En caso de ser el MAM quien </w:t>
            </w:r>
            <w:proofErr w:type="spellStart"/>
            <w:r w:rsidRPr="007A646F">
              <w:rPr>
                <w:rFonts w:ascii="Palatino Linotype" w:eastAsia="Calibri" w:hAnsi="Palatino Linotype"/>
                <w:i/>
                <w:sz w:val="20"/>
                <w:szCs w:val="20"/>
              </w:rPr>
              <w:t>de</w:t>
            </w:r>
            <w:proofErr w:type="spellEnd"/>
            <w:r w:rsidRPr="007A646F">
              <w:rPr>
                <w:rFonts w:ascii="Palatino Linotype" w:eastAsia="Calibri" w:hAnsi="Palatino Linotype"/>
                <w:i/>
                <w:sz w:val="20"/>
                <w:szCs w:val="20"/>
              </w:rPr>
              <w:t xml:space="preserve"> seguimiento a la AVEGEM, si es otra área, anotar en la solicitud el nombre de la dependencia.  </w:t>
            </w:r>
          </w:p>
        </w:tc>
        <w:tc>
          <w:tcPr>
            <w:tcW w:w="2268" w:type="dxa"/>
            <w:shd w:val="clear" w:color="auto" w:fill="auto"/>
          </w:tcPr>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sz w:val="20"/>
                <w:szCs w:val="20"/>
              </w:rPr>
              <w:t xml:space="preserve">Se encuentra contenida dentro del archivo denominado </w:t>
            </w: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cs="Bookman Old Style"/>
                <w:b/>
                <w:bCs/>
                <w:i/>
                <w:sz w:val="20"/>
                <w:szCs w:val="20"/>
              </w:rPr>
            </w:pPr>
            <w:r w:rsidRPr="007A646F">
              <w:rPr>
                <w:rFonts w:ascii="Palatino Linotype" w:eastAsia="Calibri" w:hAnsi="Palatino Linotype"/>
                <w:sz w:val="20"/>
                <w:szCs w:val="20"/>
              </w:rPr>
              <w:t>3.- Se solicita información del organigrama de la MAM, cargo, perfil y experiencia de las personas que atienden mujeres en situación de violencia.</w:t>
            </w:r>
          </w:p>
        </w:tc>
        <w:tc>
          <w:tcPr>
            <w:tcW w:w="2268"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requirió al particular que precisara que era el MAM, no atendió el requerimiento</w:t>
            </w:r>
          </w:p>
        </w:tc>
        <w:tc>
          <w:tcPr>
            <w:tcW w:w="1418" w:type="dxa"/>
            <w:shd w:val="clear" w:color="auto" w:fill="auto"/>
          </w:tcPr>
          <w:p w:rsidR="00B909BE" w:rsidRPr="007A646F" w:rsidRDefault="00B909BE" w:rsidP="00B9215F">
            <w:pPr>
              <w:autoSpaceDE w:val="0"/>
              <w:autoSpaceDN w:val="0"/>
              <w:adjustRightInd w:val="0"/>
              <w:contextualSpacing/>
              <w:jc w:val="both"/>
              <w:rPr>
                <w:rFonts w:ascii="Palatino Linotype" w:eastAsia="Calibri" w:hAnsi="Palatino Linotype"/>
                <w:sz w:val="20"/>
                <w:szCs w:val="20"/>
              </w:rPr>
            </w:pPr>
            <w:r w:rsidRPr="007A646F">
              <w:rPr>
                <w:rFonts w:ascii="Palatino Linotype" w:eastAsia="Calibri" w:hAnsi="Palatino Linotype"/>
                <w:sz w:val="20"/>
                <w:szCs w:val="20"/>
              </w:rPr>
              <w:t>Se determina que se tiene por no presentada la solicitud.</w:t>
            </w:r>
          </w:p>
        </w:tc>
      </w:tr>
      <w:tr w:rsidR="00B909BE" w:rsidRPr="007A646F">
        <w:trPr>
          <w:tblHeader/>
        </w:trPr>
        <w:tc>
          <w:tcPr>
            <w:tcW w:w="8784" w:type="dxa"/>
            <w:gridSpan w:val="4"/>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eastAsia="Calibri" w:hAnsi="Palatino Linotype"/>
                <w:b/>
                <w:bCs/>
                <w:sz w:val="20"/>
                <w:szCs w:val="20"/>
              </w:rPr>
              <w:t>Acciones implementadas en el municipio con AVGEM 2019-2020 (febrero)</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lastRenderedPageBreak/>
              <w:t xml:space="preserve">4.- Informe o diagnóstico sobre tipos y modalidades de violencia contra las mujeres </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 Se requieren informes que el municipio tenga respecto a la situación de violencia contra las mujeres en el municipio que brinden datos cuantitativos y preferentemente cualitativos.   (del Instituto Municipal de la Mujer y Secretaria de Seguridad Ciudadana) </w:t>
            </w:r>
          </w:p>
        </w:tc>
        <w:tc>
          <w:tcPr>
            <w:tcW w:w="2268" w:type="dxa"/>
            <w:shd w:val="clear" w:color="auto" w:fill="auto"/>
          </w:tcPr>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sz w:val="20"/>
                <w:szCs w:val="20"/>
              </w:rPr>
              <w:t xml:space="preserve">Se pronunció dentro del archivo denominado </w:t>
            </w: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La información corresponde a informes nacionales; no así a informes que el municipio haya generado.</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Asimismo, no hay pronunciamiento por la Comisaría General de Seguridad Pública y Tránsito.</w:t>
            </w: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No </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5.- Informe de actividades del Sistema Municipal para la Igualdad de Trato y Oportunidades entre Hombres y Mujeres y para Prevenir, Atender, Sancionar y Erradicar la Violencia contra las Mujeres (Cuando se tomó protesta a las y los integrantes del sistema; quienes lo conforman; cuáles son los programas y actividades que lleva a cabo el Sistema Municipal, qué resultados han obtenido durante el 2019)</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Si</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6.- Fecha de conformación de la (s) comisiones de igualdad y violencia contra las mujeres</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Informe de actividades que realizan las comisiones. (Indagar en las actividades, informes, programas que realiza la comisión de violencia de género contra las mujeres e igualdad de género o en su caso, conocer si existe o no dicha comisión.) </w:t>
            </w:r>
          </w:p>
        </w:tc>
        <w:tc>
          <w:tcPr>
            <w:tcW w:w="2268" w:type="dxa"/>
            <w:shd w:val="clear" w:color="auto" w:fill="auto"/>
          </w:tcPr>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sz w:val="20"/>
                <w:szCs w:val="20"/>
              </w:rPr>
              <w:t xml:space="preserve">Se encuentra contenida dentro del archivo denominado </w:t>
            </w:r>
            <w:r w:rsidRPr="007A646F">
              <w:rPr>
                <w:rFonts w:ascii="Palatino Linotype" w:eastAsia="Calibri" w:hAnsi="Palatino Linotype"/>
                <w:b/>
                <w:sz w:val="20"/>
                <w:szCs w:val="20"/>
              </w:rPr>
              <w:t xml:space="preserve">TRANSPARENCIAMARZO2020.pdf </w:t>
            </w:r>
            <w:r w:rsidRPr="007A646F">
              <w:rPr>
                <w:rFonts w:ascii="Palatino Linotype" w:eastAsia="Calibri" w:hAnsi="Palatino Linotype"/>
                <w:sz w:val="20"/>
                <w:szCs w:val="20"/>
              </w:rPr>
              <w:t xml:space="preserve">y </w:t>
            </w:r>
            <w:r w:rsidRPr="007A646F">
              <w:rPr>
                <w:rFonts w:ascii="Palatino Linotype" w:eastAsia="Calibri" w:hAnsi="Palatino Linotype"/>
                <w:b/>
                <w:sz w:val="20"/>
                <w:szCs w:val="20"/>
              </w:rPr>
              <w:t>SINDICATURA.pdf</w:t>
            </w:r>
          </w:p>
          <w:p w:rsidR="00B909BE" w:rsidRPr="007A646F" w:rsidRDefault="00B909BE" w:rsidP="00B9215F">
            <w:pPr>
              <w:ind w:right="49"/>
              <w:jc w:val="both"/>
              <w:rPr>
                <w:rFonts w:ascii="Palatino Linotype" w:eastAsia="Calibri" w:hAnsi="Palatino Linotype"/>
                <w:sz w:val="20"/>
                <w:szCs w:val="20"/>
              </w:rPr>
            </w:pP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Si</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lastRenderedPageBreak/>
              <w:t>7.- Se solicita información sobre las reformas al Bando Municipal y Buen Gobierno que ha realizado la presente administración para dar seguimiento a la Declaratoria de Alerta de Violencia de Género contra las Mujeres.</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Si</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8.- Se solicita información respecto a la implementación y evaluación de políticas municipales en materia de igualdad de trato y oportunidades entre mujeres y hombres, en concordancia con la Política Estatal y Nacional durante el 2019.</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Si</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9.- Se solicita información sobre la creación, operación y actualización de la página web de acceso público, donde se brinde información sobre los servicios que se ofrecen por parte del municipio en materia de violencia de género y atención a víctimas.</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Se encuentra contenida dentro del archivo denominado </w:t>
            </w:r>
            <w:r w:rsidRPr="007A646F">
              <w:rPr>
                <w:rFonts w:ascii="Palatino Linotype" w:eastAsia="Calibri" w:hAnsi="Palatino Linotype"/>
                <w:b/>
                <w:sz w:val="20"/>
                <w:szCs w:val="20"/>
              </w:rPr>
              <w:t>78 BIEN.pdf</w:t>
            </w:r>
          </w:p>
        </w:tc>
        <w:tc>
          <w:tcPr>
            <w:tcW w:w="2126" w:type="dxa"/>
            <w:shd w:val="clear" w:color="auto" w:fill="auto"/>
          </w:tcPr>
          <w:p w:rsidR="00B909BE" w:rsidRPr="007A646F" w:rsidRDefault="00B909BE" w:rsidP="00B9215F">
            <w:pPr>
              <w:jc w:val="both"/>
              <w:rPr>
                <w:rFonts w:ascii="Palatino Linotype" w:eastAsia="Calibri" w:hAnsi="Palatino Linotype"/>
                <w:color w:val="000000"/>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r w:rsidR="00B909BE" w:rsidRPr="007A646F">
        <w:trPr>
          <w:tblHeader/>
        </w:trPr>
        <w:tc>
          <w:tcPr>
            <w:tcW w:w="8784" w:type="dxa"/>
            <w:gridSpan w:val="4"/>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eastAsia="Calibri" w:hAnsi="Palatino Linotype"/>
                <w:b/>
                <w:bCs/>
                <w:sz w:val="20"/>
                <w:szCs w:val="20"/>
              </w:rPr>
              <w:t>Programas específicos para la prevención de las violencias contra las mujeres</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10.- Se solicita el programa o los programas para prevenir las violencias contra las mujeres en el marco de la AVEGEM </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*Indagar en las acciones de prevención que han realizado las dependencias encargadas de atender AVEGEM (Del Instituto Municipal de la Mujer, Secretaría de Seguridad Ciudadana y Sistema Municipal DIF)</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Si</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lastRenderedPageBreak/>
              <w:t>11.- Se solicita información de las acciones específicas implementadas para prevenir las violencias contra las mujeres en el marco de la AVEGEM</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solicita desagregar la información de las beneficiarias por edad, sexo, escolaridad, situación conyugal o estado civil</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*Cuando se tomó protesta a las y los integrantes del sistema; quienes lo conforman; cuáles son los programas y actividades que lleva a cabo el Sistema Municipal, qué resultados han obtenido durante el 2019.</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Si</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12.- Se solicita información de cuándo se creó la Unidad de Igualdad de Género y Erradicación de la Violencia, quienes la integran, cuál es el perfil de sus integrantes, qué acciones ha implementado la Unidad para </w:t>
            </w:r>
            <w:proofErr w:type="spellStart"/>
            <w:r w:rsidRPr="007A646F">
              <w:rPr>
                <w:rFonts w:ascii="Palatino Linotype" w:eastAsia="Calibri" w:hAnsi="Palatino Linotype"/>
                <w:sz w:val="20"/>
                <w:szCs w:val="20"/>
              </w:rPr>
              <w:t>transversalizar</w:t>
            </w:r>
            <w:proofErr w:type="spellEnd"/>
            <w:r w:rsidRPr="007A646F">
              <w:rPr>
                <w:rFonts w:ascii="Palatino Linotype" w:eastAsia="Calibri" w:hAnsi="Palatino Linotype"/>
                <w:sz w:val="20"/>
                <w:szCs w:val="20"/>
              </w:rPr>
              <w:t xml:space="preserve"> la perspectiva de género, a partir de su creación.</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Indagar en las actividades, informes, programas que realiza la comisión de violencia de género contra las mujeres e igualdad de género o en su caso, conocer si existe o no dicha comisión</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Omitió informar el perfil de los integrantes de la Unidad de Igualdad de Género y Erradicación de la Violencia. </w:t>
            </w:r>
          </w:p>
        </w:tc>
        <w:tc>
          <w:tcPr>
            <w:tcW w:w="1418" w:type="dxa"/>
            <w:shd w:val="clear" w:color="auto" w:fill="auto"/>
          </w:tcPr>
          <w:p w:rsidR="00B909BE" w:rsidRPr="007A646F" w:rsidRDefault="00B909BE" w:rsidP="00B9215F">
            <w:pPr>
              <w:tabs>
                <w:tab w:val="left" w:pos="492"/>
                <w:tab w:val="center" w:pos="601"/>
              </w:tabs>
              <w:autoSpaceDE w:val="0"/>
              <w:autoSpaceDN w:val="0"/>
              <w:adjustRightInd w:val="0"/>
              <w:contextualSpacing/>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Parcialmente </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13.- Se solicita información de la persona(s</w:t>
            </w:r>
            <w:proofErr w:type="gramStart"/>
            <w:r w:rsidRPr="007A646F">
              <w:rPr>
                <w:rFonts w:ascii="Palatino Linotype" w:eastAsia="Calibri" w:hAnsi="Palatino Linotype"/>
                <w:sz w:val="20"/>
                <w:szCs w:val="20"/>
              </w:rPr>
              <w:t>)  y</w:t>
            </w:r>
            <w:proofErr w:type="gramEnd"/>
            <w:r w:rsidRPr="007A646F">
              <w:rPr>
                <w:rFonts w:ascii="Palatino Linotype" w:eastAsia="Calibri" w:hAnsi="Palatino Linotype"/>
                <w:sz w:val="20"/>
                <w:szCs w:val="20"/>
              </w:rPr>
              <w:t xml:space="preserve"> su área que reportan al Banco de Datos del Estado de México sobre casos de Violencia contra las Mujeres.</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lastRenderedPageBreak/>
              <w:t xml:space="preserve">14.- Se solicita </w:t>
            </w:r>
            <w:proofErr w:type="gramStart"/>
            <w:r w:rsidRPr="007A646F">
              <w:rPr>
                <w:rFonts w:ascii="Palatino Linotype" w:eastAsia="Calibri" w:hAnsi="Palatino Linotype"/>
                <w:sz w:val="20"/>
                <w:szCs w:val="20"/>
              </w:rPr>
              <w:t>información  y</w:t>
            </w:r>
            <w:proofErr w:type="gramEnd"/>
            <w:r w:rsidRPr="007A646F">
              <w:rPr>
                <w:rFonts w:ascii="Palatino Linotype" w:eastAsia="Calibri" w:hAnsi="Palatino Linotype"/>
                <w:sz w:val="20"/>
                <w:szCs w:val="20"/>
              </w:rPr>
              <w:t xml:space="preserve"> nombre de las campañas permanentes encaminadas a la prevención de las violencias de género contra las mujeres con el fin de dar a conocer los derechos humanos de mujeres, niñas y adolescentes y el derecho a una vida libre de violencia.</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Se encuentra contenida dentro del archivo denominado </w:t>
            </w:r>
            <w:r w:rsidRPr="007A646F">
              <w:rPr>
                <w:rFonts w:ascii="Palatino Linotype" w:eastAsia="Calibri" w:hAnsi="Palatino Linotype"/>
                <w:b/>
                <w:sz w:val="20"/>
                <w:szCs w:val="20"/>
              </w:rPr>
              <w:t>78 BIEN.pdf</w:t>
            </w: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15.- Se solicita información de los programas de capacitación dirigidos a las y los servidores públicos municipales en materia de prevención, atención, sanción y erradicación de la violencia de género, así como en temas de igualdad, equidad y perspectiva de género, durante el 2019 y febrero de 2020.</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Especificar temas de capacitación, periodicidad, horas de capacitación, quien(es) impartió/impartieron las capacitaciones, presupuesto destinado para las capacitaciones, áreas de procedencia del personal capacitado y resultados obtenidos.</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7A646F"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Parcialmente </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lastRenderedPageBreak/>
              <w:t>16.- Se solicita información de las redes comunitarias, ciudadanas que operan en el municipio con AVEGEM, se pide desagregar la información por nombre de la red, número de integrantes, las acciones que ha realizado la instancia encargada de dar seguimiento a la AVEGEM con las redes y, finalmente cuántas redes se han creado desde que inició la administración.</w:t>
            </w:r>
          </w:p>
        </w:tc>
        <w:tc>
          <w:tcPr>
            <w:tcW w:w="2268" w:type="dxa"/>
            <w:shd w:val="clear" w:color="auto" w:fill="auto"/>
          </w:tcPr>
          <w:p w:rsidR="00B909BE" w:rsidRPr="007A646F" w:rsidRDefault="00B909BE" w:rsidP="00B9215F">
            <w:pPr>
              <w:ind w:right="49"/>
              <w:jc w:val="both"/>
              <w:rPr>
                <w:rFonts w:ascii="Palatino Linotype" w:eastAsia="Calibri" w:hAnsi="Palatino Linotype" w:cs="Bookman Old Style"/>
                <w:b/>
                <w:bCs/>
                <w:i/>
                <w:sz w:val="20"/>
                <w:szCs w:val="20"/>
              </w:rPr>
            </w:pPr>
            <w:r w:rsidRPr="007A646F">
              <w:rPr>
                <w:rFonts w:ascii="Palatino Linotype" w:eastAsia="Calibri" w:hAnsi="Palatino Linotype"/>
                <w:sz w:val="20"/>
                <w:szCs w:val="20"/>
              </w:rPr>
              <w:t xml:space="preserve">Se encuentra contenida dentro del archivo denominado </w:t>
            </w:r>
            <w:r w:rsidRPr="007A646F">
              <w:rPr>
                <w:rFonts w:ascii="Palatino Linotype" w:eastAsia="Calibri" w:hAnsi="Palatino Linotype"/>
                <w:b/>
                <w:sz w:val="20"/>
                <w:szCs w:val="20"/>
              </w:rPr>
              <w:t>ANEXOS.pdf</w:t>
            </w:r>
          </w:p>
          <w:p w:rsidR="00B909BE" w:rsidRPr="007A646F" w:rsidRDefault="00B909BE" w:rsidP="00B9215F">
            <w:pPr>
              <w:ind w:right="49"/>
              <w:jc w:val="center"/>
              <w:rPr>
                <w:rFonts w:ascii="Palatino Linotype" w:eastAsia="Calibri" w:hAnsi="Palatino Linotype" w:cs="Bookman Old Style"/>
                <w:b/>
                <w:bCs/>
                <w:i/>
                <w:sz w:val="20"/>
                <w:szCs w:val="20"/>
              </w:rPr>
            </w:pP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Únicamente se pronunció al Titular de la Unidad de Atención a la Violencia Familiar y de Género</w:t>
            </w:r>
            <w:r w:rsidR="00AC7CC2" w:rsidRPr="007A646F">
              <w:rPr>
                <w:rFonts w:ascii="Palatino Linotype" w:eastAsia="Calibri" w:hAnsi="Palatino Linotype"/>
                <w:sz w:val="20"/>
                <w:szCs w:val="20"/>
              </w:rPr>
              <w:t>, faltando el resto de los integrantes</w:t>
            </w:r>
            <w:r w:rsidRPr="007A646F">
              <w:rPr>
                <w:rFonts w:ascii="Palatino Linotype" w:eastAsia="Calibri" w:hAnsi="Palatino Linotype"/>
                <w:sz w:val="20"/>
                <w:szCs w:val="20"/>
              </w:rPr>
              <w:t xml:space="preserve">. </w:t>
            </w:r>
          </w:p>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Parcialmente </w:t>
            </w:r>
          </w:p>
        </w:tc>
      </w:tr>
      <w:tr w:rsidR="00B909BE" w:rsidRPr="007A646F">
        <w:trPr>
          <w:tblHeader/>
        </w:trPr>
        <w:tc>
          <w:tcPr>
            <w:tcW w:w="8784" w:type="dxa"/>
            <w:gridSpan w:val="4"/>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eastAsia="Calibri" w:hAnsi="Palatino Linotype"/>
                <w:b/>
                <w:bCs/>
                <w:sz w:val="20"/>
                <w:szCs w:val="20"/>
              </w:rPr>
              <w:t>Programas específicos para la atención de las violencias contra las mujeres</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17.-</w:t>
            </w:r>
            <w:r w:rsidRPr="007A646F">
              <w:rPr>
                <w:rFonts w:ascii="Palatino Linotype" w:eastAsia="Calibri" w:hAnsi="Palatino Linotype"/>
                <w:color w:val="000000"/>
                <w:sz w:val="20"/>
                <w:szCs w:val="20"/>
              </w:rPr>
              <w:t xml:space="preserve"> Se solicita información respecto al programa(s) para atender las violencias contra las mujeres. (Instituto Municipal de la Mujer, Secretaría de Seguridad Ciudadana y Sistema Municipal DIF)</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B909BE"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Si</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18.-</w:t>
            </w:r>
            <w:r w:rsidRPr="007A646F">
              <w:rPr>
                <w:rFonts w:ascii="Palatino Linotype" w:eastAsia="Calibri" w:hAnsi="Palatino Linotype"/>
                <w:color w:val="000000"/>
                <w:sz w:val="20"/>
                <w:szCs w:val="20"/>
              </w:rPr>
              <w:t xml:space="preserve"> Se solicita información relativa a los servicios que ofrece el ayuntamiento en materia de violencia de género y atención a víctimas</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b/>
                <w:sz w:val="20"/>
                <w:szCs w:val="20"/>
              </w:rPr>
              <w:t xml:space="preserve">78-2020 IMIEMH.pdf </w:t>
            </w:r>
            <w:r w:rsidRPr="007A646F">
              <w:rPr>
                <w:rFonts w:ascii="Palatino Linotype" w:eastAsia="Calibri" w:hAnsi="Palatino Linotype"/>
                <w:sz w:val="20"/>
                <w:szCs w:val="20"/>
              </w:rPr>
              <w:t xml:space="preserve">y </w:t>
            </w:r>
            <w:r w:rsidRPr="007A646F">
              <w:rPr>
                <w:rFonts w:ascii="Palatino Linotype" w:eastAsia="Calibri" w:hAnsi="Palatino Linotype"/>
                <w:b/>
                <w:sz w:val="20"/>
                <w:szCs w:val="20"/>
              </w:rPr>
              <w:t>ANEXOS.pdf</w:t>
            </w:r>
          </w:p>
          <w:p w:rsidR="00B909BE" w:rsidRPr="007A646F" w:rsidRDefault="00B909BE" w:rsidP="00B9215F">
            <w:pPr>
              <w:ind w:right="49"/>
              <w:jc w:val="both"/>
              <w:rPr>
                <w:rFonts w:ascii="Palatino Linotype" w:eastAsia="Calibri" w:hAnsi="Palatino Linotype"/>
                <w:b/>
                <w:sz w:val="20"/>
                <w:szCs w:val="20"/>
              </w:rPr>
            </w:pP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B909BE"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Si</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lastRenderedPageBreak/>
              <w:t xml:space="preserve">19.- </w:t>
            </w:r>
            <w:r w:rsidRPr="007A646F">
              <w:rPr>
                <w:rFonts w:ascii="Palatino Linotype" w:eastAsia="Calibri" w:hAnsi="Palatino Linotype"/>
                <w:color w:val="000000"/>
                <w:sz w:val="20"/>
                <w:szCs w:val="20"/>
              </w:rPr>
              <w:t>Se solicita información de mujeres atendidas por</w:t>
            </w:r>
            <w:r w:rsidRPr="007A646F">
              <w:rPr>
                <w:rFonts w:ascii="Palatino Linotype" w:eastAsia="Calibri" w:hAnsi="Palatino Linotype"/>
                <w:sz w:val="20"/>
                <w:szCs w:val="20"/>
              </w:rPr>
              <w:t xml:space="preserve"> violencia contra las mujeres durante el 2019 y febrero 2020. </w:t>
            </w:r>
          </w:p>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Especificar tipos y modalidades de la violencia,</w:t>
            </w:r>
          </w:p>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Las colonias, pueblos, barrios,  con altos índices de violencia contra las mujeres, edad, escolaridad, situación conyugal, número de hijos e hijas, escolaridad de las mujeres atendidas y cuál es el seguimiento que les proporcionan a las víctimas.(</w:t>
            </w:r>
            <w:r w:rsidRPr="007A646F">
              <w:rPr>
                <w:rFonts w:ascii="Palatino Linotype" w:eastAsia="Calibri" w:hAnsi="Palatino Linotype"/>
                <w:color w:val="000000"/>
                <w:sz w:val="20"/>
                <w:szCs w:val="20"/>
              </w:rPr>
              <w:t>Instituto Municipal de la Mujer, Sistema Municipal DIF y Policía de Género)</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b/>
                <w:sz w:val="20"/>
                <w:szCs w:val="20"/>
              </w:rPr>
              <w:t xml:space="preserve">78-2020 IMIEMH.pdf </w:t>
            </w:r>
            <w:r w:rsidRPr="007A646F">
              <w:rPr>
                <w:rFonts w:ascii="Palatino Linotype" w:eastAsia="Calibri" w:hAnsi="Palatino Linotype"/>
                <w:sz w:val="20"/>
                <w:szCs w:val="20"/>
              </w:rPr>
              <w:t>y</w:t>
            </w:r>
            <w:r w:rsidRPr="007A646F">
              <w:rPr>
                <w:rFonts w:ascii="Palatino Linotype" w:eastAsia="Calibri" w:hAnsi="Palatino Linotype"/>
                <w:b/>
                <w:sz w:val="20"/>
                <w:szCs w:val="20"/>
              </w:rPr>
              <w:t xml:space="preserve"> ANEXOS.pdf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B909BE"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20.- Se solicitan el número de atenciones médicas, psicológicas, jurídicas y de trabajo social que requirieron las víctimas de violencia de género, a través de las áreas especializadas del DIF municipal durante el 2019 y febrero de 2020.</w:t>
            </w:r>
          </w:p>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 xml:space="preserve">Se solicita desagregar la información por rangos de edad, situación conyugal, ocupación, localidad de procedencia, tipos y modalidades de la violencia. </w:t>
            </w:r>
          </w:p>
        </w:tc>
        <w:tc>
          <w:tcPr>
            <w:tcW w:w="2268" w:type="dxa"/>
            <w:vMerge w:val="restart"/>
            <w:shd w:val="clear" w:color="auto" w:fill="auto"/>
          </w:tcPr>
          <w:p w:rsidR="00B909BE" w:rsidRPr="007A646F" w:rsidRDefault="00B909BE" w:rsidP="00B9215F">
            <w:pPr>
              <w:ind w:right="49"/>
              <w:jc w:val="both"/>
              <w:rPr>
                <w:rFonts w:ascii="Palatino Linotype" w:eastAsia="Calibri" w:hAnsi="Palatino Linotype" w:cs="Bookman Old Style"/>
                <w:bCs/>
                <w:i/>
                <w:sz w:val="20"/>
                <w:szCs w:val="20"/>
              </w:rPr>
            </w:pPr>
            <w:r w:rsidRPr="007A646F">
              <w:rPr>
                <w:rFonts w:ascii="Palatino Linotype" w:eastAsia="Calibri" w:hAnsi="Palatino Linotype"/>
                <w:sz w:val="20"/>
                <w:szCs w:val="20"/>
              </w:rPr>
              <w:t xml:space="preserve">Mediante archivo denominado </w:t>
            </w:r>
            <w:r w:rsidRPr="007A646F">
              <w:rPr>
                <w:rFonts w:ascii="Palatino Linotype" w:eastAsia="Calibri" w:hAnsi="Palatino Linotype" w:cs="Bookman Old Style"/>
                <w:b/>
                <w:bCs/>
                <w:i/>
                <w:sz w:val="20"/>
                <w:szCs w:val="20"/>
              </w:rPr>
              <w:t xml:space="preserve">78 INCOMPETENCIA PARCIAL.pdf, </w:t>
            </w:r>
            <w:r w:rsidRPr="007A646F">
              <w:rPr>
                <w:rFonts w:ascii="Palatino Linotype" w:eastAsia="Calibri" w:hAnsi="Palatino Linotype" w:cs="Bookman Old Style"/>
                <w:bCs/>
                <w:sz w:val="20"/>
                <w:szCs w:val="20"/>
              </w:rPr>
              <w:t xml:space="preserve">el Titular de la Unidad de Transparencia, </w:t>
            </w:r>
            <w:r w:rsidRPr="007A646F">
              <w:rPr>
                <w:rFonts w:ascii="Palatino Linotype" w:eastAsia="Calibri" w:hAnsi="Palatino Linotype" w:cs="Bookman Old Style"/>
                <w:bCs/>
                <w:i/>
                <w:sz w:val="20"/>
                <w:szCs w:val="20"/>
              </w:rPr>
              <w:t xml:space="preserve">se invitó al particular a presentar su solicitud a través del SAIMEX ante el Sistema Municipal para el Desarrollo Integral de la Familia de Cuautitlán Izcalli.  </w:t>
            </w:r>
          </w:p>
        </w:tc>
        <w:tc>
          <w:tcPr>
            <w:tcW w:w="2126" w:type="dxa"/>
            <w:vMerge w:val="restart"/>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r w:rsidRPr="007A646F">
              <w:rPr>
                <w:rFonts w:ascii="Palatino Linotype" w:eastAsia="Calibri" w:hAnsi="Palatino Linotype"/>
                <w:i/>
              </w:rPr>
              <w:t>Deberé hacer entrega del Acuerdo que emita el Comité de Transparencia en el que se confirme la declaración de incompetencia respecto de dicha información.</w:t>
            </w:r>
            <w:r w:rsidRPr="007A646F">
              <w:rPr>
                <w:rFonts w:ascii="Palatino Linotype" w:eastAsia="Calibri" w:hAnsi="Palatino Linotype" w:cs="Bookman Old Style"/>
                <w:b/>
                <w:bCs/>
                <w:i/>
                <w:sz w:val="20"/>
                <w:szCs w:val="20"/>
              </w:rPr>
              <w:t xml:space="preserve"> </w:t>
            </w:r>
          </w:p>
        </w:tc>
        <w:tc>
          <w:tcPr>
            <w:tcW w:w="1418" w:type="dxa"/>
            <w:vMerge w:val="restart"/>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Parcialmente</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21.- Asimismo, se solicita especificar el horario y días de atención de las oficinas del Sistema DIF municipal y su ubicación,</w:t>
            </w:r>
          </w:p>
        </w:tc>
        <w:tc>
          <w:tcPr>
            <w:tcW w:w="2268" w:type="dxa"/>
            <w:vMerge/>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2126" w:type="dxa"/>
            <w:vMerge/>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vMerge/>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lastRenderedPageBreak/>
              <w:t>22.- Se solicita información si la(s) dependencia(s) encargadas de dar seguimiento a la AVEGEM tienen un programa de atención a personas agresoras y en caso de tenerlo, cuál es el número de atenciones brindadas, desagregar la información por sexo y en caso de no tenerlo a qué dependencia se canaliza la persona agresora.</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Refieren no contar con un programa.  </w:t>
            </w:r>
          </w:p>
        </w:tc>
        <w:tc>
          <w:tcPr>
            <w:tcW w:w="1418" w:type="dxa"/>
            <w:shd w:val="clear" w:color="auto" w:fill="auto"/>
          </w:tcPr>
          <w:p w:rsidR="00B909BE" w:rsidRPr="007A646F" w:rsidRDefault="00B909BE"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r w:rsidR="00B909BE" w:rsidRPr="007A646F">
        <w:trPr>
          <w:tblHeader/>
        </w:trPr>
        <w:tc>
          <w:tcPr>
            <w:tcW w:w="8784" w:type="dxa"/>
            <w:gridSpan w:val="4"/>
            <w:shd w:val="clear" w:color="auto" w:fill="auto"/>
          </w:tcPr>
          <w:p w:rsidR="00B909BE" w:rsidRPr="007A646F" w:rsidRDefault="00B909BE" w:rsidP="00B9215F">
            <w:pPr>
              <w:jc w:val="center"/>
              <w:rPr>
                <w:rFonts w:ascii="Palatino Linotype" w:eastAsia="Calibri" w:hAnsi="Palatino Linotype"/>
                <w:b/>
                <w:bCs/>
                <w:sz w:val="20"/>
                <w:szCs w:val="20"/>
              </w:rPr>
            </w:pPr>
            <w:r w:rsidRPr="007A646F">
              <w:rPr>
                <w:rFonts w:ascii="Palatino Linotype" w:eastAsia="Calibri" w:hAnsi="Palatino Linotype"/>
                <w:b/>
                <w:bCs/>
                <w:sz w:val="20"/>
                <w:szCs w:val="20"/>
              </w:rPr>
              <w:t>Programas específicos para garantizar la seguridad de las mujeres en la vía pública</w:t>
            </w:r>
          </w:p>
        </w:tc>
      </w:tr>
      <w:tr w:rsidR="00B909BE" w:rsidRPr="007A646F">
        <w:trPr>
          <w:tblHeader/>
        </w:trPr>
        <w:tc>
          <w:tcPr>
            <w:tcW w:w="2972"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23.- Se solicita información respecto al rescate de espacios públicos con perspectiva de género o en su caso, seguimiento que han dado a los espacios rescatados.</w:t>
            </w:r>
          </w:p>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 Indagar en las acciones de prevención que han realizado las dependencias encargadas de atender AVEGEM (Instituto Municipal de la Mujer, Secretaría de Seguridad Ciudadana y Sistema Municipal DIF)</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Refieren no realizar rescate de espacios púbicos con perspectiva de género. </w:t>
            </w:r>
          </w:p>
        </w:tc>
        <w:tc>
          <w:tcPr>
            <w:tcW w:w="1418" w:type="dxa"/>
            <w:shd w:val="clear" w:color="auto" w:fill="auto"/>
          </w:tcPr>
          <w:p w:rsidR="00B909BE" w:rsidRPr="007A646F" w:rsidRDefault="00B909BE"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r w:rsidR="00AC7CC2" w:rsidRPr="007A646F">
              <w:rPr>
                <w:rFonts w:ascii="Palatino Linotype" w:hAnsi="Palatino Linotype" w:cs="Bookman Old Style"/>
                <w:b/>
                <w:bCs/>
                <w:i/>
                <w:sz w:val="20"/>
                <w:szCs w:val="20"/>
                <w:lang w:eastAsia="es-MX"/>
              </w:rPr>
              <w:t>, hecho negativo</w:t>
            </w:r>
          </w:p>
          <w:p w:rsidR="00377654" w:rsidRPr="007A646F" w:rsidRDefault="00377654"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lastRenderedPageBreak/>
              <w:t xml:space="preserve">24.- Se solicita información de las principales zonas </w:t>
            </w:r>
            <w:proofErr w:type="spellStart"/>
            <w:r w:rsidRPr="007A646F">
              <w:rPr>
                <w:rFonts w:ascii="Palatino Linotype" w:eastAsia="Calibri" w:hAnsi="Palatino Linotype"/>
                <w:sz w:val="20"/>
                <w:szCs w:val="20"/>
              </w:rPr>
              <w:t>georreferenciadas</w:t>
            </w:r>
            <w:proofErr w:type="spellEnd"/>
            <w:r w:rsidRPr="007A646F">
              <w:rPr>
                <w:rFonts w:ascii="Palatino Linotype" w:eastAsia="Calibri" w:hAnsi="Palatino Linotype"/>
                <w:sz w:val="20"/>
                <w:szCs w:val="20"/>
              </w:rPr>
              <w:t xml:space="preserve"> con mayor incidencia de violencia contra las mujeres en 2019 hasta febrero de 2020, se pide desagregar la información por tipo y modalidad de violencia</w:t>
            </w:r>
          </w:p>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 Cuando se tomó protesta a las y los integrantes del sistema; quienes lo conforman; cuáles son los programas y actividades que lleva a cabo el Sistema Municipal, qué resultados han obtenido durante el 2019. (Seguridad Ciudadana)</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B909BE"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 xml:space="preserve">25.- Se solicita información sobre los patrullajes preventivos realizados en las zonas </w:t>
            </w:r>
            <w:proofErr w:type="spellStart"/>
            <w:r w:rsidRPr="007A646F">
              <w:rPr>
                <w:rFonts w:ascii="Palatino Linotype" w:eastAsia="Calibri" w:hAnsi="Palatino Linotype"/>
                <w:sz w:val="20"/>
                <w:szCs w:val="20"/>
              </w:rPr>
              <w:t>georreferenciadas</w:t>
            </w:r>
            <w:proofErr w:type="spellEnd"/>
            <w:r w:rsidRPr="007A646F">
              <w:rPr>
                <w:rFonts w:ascii="Palatino Linotype" w:eastAsia="Calibri" w:hAnsi="Palatino Linotype"/>
                <w:sz w:val="20"/>
                <w:szCs w:val="20"/>
              </w:rPr>
              <w:t xml:space="preserve"> con mayor incidencia de violencia contra las mujeres.</w:t>
            </w:r>
          </w:p>
        </w:tc>
        <w:tc>
          <w:tcPr>
            <w:tcW w:w="2268"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Omitió pronunciarse al respecto </w:t>
            </w: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No </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26.- Se solicita información de las acciones implementadas en el transporte público para garantizar la seguridad de las mujeres (se solicita número de patrullajes, el nombre de las rutas, horarios y qué áreas participaron en las acciones)</w:t>
            </w:r>
          </w:p>
        </w:tc>
        <w:tc>
          <w:tcPr>
            <w:tcW w:w="2268"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Omitió pronunciarse al respecto </w:t>
            </w: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No </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27.- Se solicita información respecto a las campañas de difusión para dar a conocer las líneas de atención de apoyo a mujeres víctimas de violencia</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Se encuentra contenida dentro del archivo denominado </w:t>
            </w:r>
            <w:r w:rsidRPr="007A646F">
              <w:rPr>
                <w:rFonts w:ascii="Palatino Linotype" w:eastAsia="Calibri" w:hAnsi="Palatino Linotype"/>
                <w:b/>
                <w:sz w:val="20"/>
                <w:szCs w:val="20"/>
              </w:rPr>
              <w:t>78 BIEN.pdf</w:t>
            </w: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1418" w:type="dxa"/>
            <w:shd w:val="clear" w:color="auto" w:fill="auto"/>
          </w:tcPr>
          <w:p w:rsidR="00B909BE" w:rsidRPr="007A646F" w:rsidRDefault="00377654" w:rsidP="00377654">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Sí</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lastRenderedPageBreak/>
              <w:t>28.- Se solicita información del  número de medidas de protección recibidas en el año 2019 para garantizar su efectiva ejecución y cuál ha seguimiento a las mismas (Seguridad Ciudadana)</w:t>
            </w:r>
          </w:p>
        </w:tc>
        <w:tc>
          <w:tcPr>
            <w:tcW w:w="2268"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 xml:space="preserve">Omitió pronunciarse al respecto </w:t>
            </w: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No </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 xml:space="preserve">29.- Se solicita información de los Protocolos de Actuación y Reacción Policial con perspectiva de género implementados durante el 2019 (Seguridad Ciudadana) </w:t>
            </w:r>
          </w:p>
        </w:tc>
        <w:tc>
          <w:tcPr>
            <w:tcW w:w="2268"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r w:rsidRPr="007A646F">
              <w:rPr>
                <w:rFonts w:ascii="Palatino Linotype" w:eastAsia="Calibri" w:hAnsi="Palatino Linotype"/>
                <w:sz w:val="20"/>
                <w:szCs w:val="20"/>
              </w:rPr>
              <w:t xml:space="preserve">Se encuentra contenida dentro del archivo denominado </w:t>
            </w:r>
            <w:r w:rsidRPr="007A646F">
              <w:rPr>
                <w:rFonts w:ascii="Palatino Linotype" w:eastAsia="Calibri" w:hAnsi="Palatino Linotype"/>
                <w:b/>
                <w:sz w:val="20"/>
                <w:szCs w:val="20"/>
              </w:rPr>
              <w:t>ANEXOS.pdf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Únicamente se pronunció al Titular de la Unidad de Atención a la Violencia Familiar y de Género; haciendo falta pronunciamiento por parte de la Comisaría General de Seguridad Pública y Tránsito</w:t>
            </w: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Parcialmente</w:t>
            </w:r>
          </w:p>
        </w:tc>
      </w:tr>
      <w:tr w:rsidR="00B909BE" w:rsidRPr="007A646F">
        <w:trPr>
          <w:tblHeader/>
        </w:trPr>
        <w:tc>
          <w:tcPr>
            <w:tcW w:w="8784" w:type="dxa"/>
            <w:gridSpan w:val="4"/>
            <w:shd w:val="clear" w:color="auto" w:fill="auto"/>
          </w:tcPr>
          <w:p w:rsidR="00B909BE" w:rsidRPr="007A646F" w:rsidRDefault="00B909BE" w:rsidP="00B9215F">
            <w:pPr>
              <w:jc w:val="center"/>
              <w:rPr>
                <w:rFonts w:ascii="Palatino Linotype" w:eastAsia="Calibri" w:hAnsi="Palatino Linotype"/>
                <w:b/>
                <w:bCs/>
                <w:sz w:val="20"/>
                <w:szCs w:val="20"/>
              </w:rPr>
            </w:pPr>
            <w:r w:rsidRPr="007A646F">
              <w:rPr>
                <w:rFonts w:ascii="Palatino Linotype" w:eastAsia="Calibri" w:hAnsi="Palatino Linotype"/>
                <w:b/>
                <w:bCs/>
                <w:sz w:val="20"/>
                <w:szCs w:val="20"/>
              </w:rPr>
              <w:t>Presupuesto destinado para las acciones de la AVEGEM durante el periodo fiscal 2019 y 2020</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30.- Se solicita información del presupuesto municipal destinado para dar seguimiento a la AVGM.</w:t>
            </w:r>
          </w:p>
        </w:tc>
        <w:tc>
          <w:tcPr>
            <w:tcW w:w="2268"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center"/>
              <w:rPr>
                <w:rFonts w:ascii="Palatino Linotype" w:eastAsia="Calibri" w:hAnsi="Palatino Linotype" w:cs="Bookman Old Style"/>
                <w:b/>
                <w:bCs/>
                <w:i/>
                <w:sz w:val="20"/>
                <w:szCs w:val="20"/>
              </w:rPr>
            </w:pPr>
            <w:r w:rsidRPr="007A646F">
              <w:rPr>
                <w:rFonts w:ascii="Palatino Linotype" w:eastAsia="Calibri" w:hAnsi="Palatino Linotype" w:cs="Bookman Old Style"/>
                <w:b/>
                <w:bCs/>
                <w:i/>
                <w:sz w:val="20"/>
                <w:szCs w:val="20"/>
              </w:rPr>
              <w:t>solicitud 78.pdf</w:t>
            </w:r>
          </w:p>
        </w:tc>
        <w:tc>
          <w:tcPr>
            <w:tcW w:w="2126" w:type="dxa"/>
            <w:shd w:val="clear" w:color="auto" w:fill="auto"/>
          </w:tcPr>
          <w:p w:rsidR="00B909BE" w:rsidRPr="007A646F" w:rsidRDefault="00B909BE" w:rsidP="00B9215F">
            <w:pPr>
              <w:ind w:right="49"/>
              <w:jc w:val="center"/>
              <w:rPr>
                <w:rFonts w:ascii="Palatino Linotype" w:eastAsia="Calibri" w:hAnsi="Palatino Linotype" w:cs="Bookman Old Style"/>
                <w:b/>
                <w:bCs/>
                <w:i/>
                <w:sz w:val="20"/>
                <w:szCs w:val="20"/>
              </w:rPr>
            </w:pPr>
            <w:r w:rsidRPr="007A646F">
              <w:rPr>
                <w:rFonts w:ascii="Palatino Linotype" w:eastAsia="Calibri" w:hAnsi="Palatino Linotype" w:cs="Bookman Old Style"/>
                <w:b/>
                <w:bCs/>
                <w:i/>
                <w:sz w:val="20"/>
                <w:szCs w:val="20"/>
              </w:rPr>
              <w:t xml:space="preserve">Informó que no existe un capítulo en específico o una partida presupuestal que se utilice para dar seguimiento. </w:t>
            </w:r>
          </w:p>
        </w:tc>
        <w:tc>
          <w:tcPr>
            <w:tcW w:w="1418" w:type="dxa"/>
            <w:shd w:val="clear" w:color="auto" w:fill="auto"/>
          </w:tcPr>
          <w:p w:rsidR="00B909BE" w:rsidRPr="007A646F" w:rsidRDefault="00B909BE" w:rsidP="00B9215F">
            <w:pPr>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Si</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31.- Se solicita información del presupuesto municipal del Instituto Municipal de la Mujer para prevenir y atender las violencias contra las mujeres que recibió por parte de Gobierno del Estado de México.</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B909BE"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r w:rsidR="00B909BE" w:rsidRPr="007A646F">
        <w:trPr>
          <w:tblHeader/>
        </w:trPr>
        <w:tc>
          <w:tcPr>
            <w:tcW w:w="2972" w:type="dxa"/>
            <w:shd w:val="clear" w:color="auto" w:fill="auto"/>
          </w:tcPr>
          <w:p w:rsidR="00B909BE" w:rsidRPr="007A646F" w:rsidRDefault="00B909BE" w:rsidP="00B9215F">
            <w:pPr>
              <w:jc w:val="both"/>
              <w:rPr>
                <w:rFonts w:ascii="Palatino Linotype" w:eastAsia="Calibri" w:hAnsi="Palatino Linotype"/>
                <w:sz w:val="20"/>
                <w:szCs w:val="20"/>
              </w:rPr>
            </w:pPr>
            <w:r w:rsidRPr="007A646F">
              <w:rPr>
                <w:rFonts w:ascii="Palatino Linotype" w:eastAsia="Calibri" w:hAnsi="Palatino Linotype"/>
                <w:sz w:val="20"/>
                <w:szCs w:val="20"/>
              </w:rPr>
              <w:t>32.- Se requiere información sobre en que se gastó el recurso destinado de la Alerta de violencia de Género que recibió en el año 2019.</w:t>
            </w:r>
          </w:p>
        </w:tc>
        <w:tc>
          <w:tcPr>
            <w:tcW w:w="2268" w:type="dxa"/>
            <w:shd w:val="clear" w:color="auto" w:fill="auto"/>
          </w:tcPr>
          <w:p w:rsidR="00B909BE" w:rsidRPr="007A646F" w:rsidRDefault="00B909BE" w:rsidP="00B9215F">
            <w:pPr>
              <w:ind w:right="49"/>
              <w:jc w:val="both"/>
              <w:rPr>
                <w:rFonts w:ascii="Palatino Linotype" w:eastAsia="Calibri" w:hAnsi="Palatino Linotype"/>
                <w:sz w:val="20"/>
                <w:szCs w:val="20"/>
              </w:rPr>
            </w:pPr>
            <w:r w:rsidRPr="007A646F">
              <w:rPr>
                <w:rFonts w:ascii="Palatino Linotype" w:eastAsia="Calibri" w:hAnsi="Palatino Linotype"/>
                <w:sz w:val="20"/>
                <w:szCs w:val="20"/>
              </w:rPr>
              <w:t>Se encuentra contenida dentro del archivo denominado</w:t>
            </w:r>
          </w:p>
          <w:p w:rsidR="00B909BE" w:rsidRPr="007A646F" w:rsidRDefault="00B909BE" w:rsidP="00B9215F">
            <w:pPr>
              <w:ind w:right="49"/>
              <w:jc w:val="both"/>
              <w:rPr>
                <w:rFonts w:ascii="Palatino Linotype" w:eastAsia="Calibri" w:hAnsi="Palatino Linotype"/>
                <w:b/>
                <w:sz w:val="20"/>
                <w:szCs w:val="20"/>
              </w:rPr>
            </w:pPr>
            <w:r w:rsidRPr="007A646F">
              <w:rPr>
                <w:rFonts w:ascii="Palatino Linotype" w:eastAsia="Calibri" w:hAnsi="Palatino Linotype"/>
                <w:b/>
                <w:sz w:val="20"/>
                <w:szCs w:val="20"/>
              </w:rPr>
              <w:t>78-2020 IMIEMH.pdf</w:t>
            </w:r>
          </w:p>
        </w:tc>
        <w:tc>
          <w:tcPr>
            <w:tcW w:w="2126" w:type="dxa"/>
            <w:shd w:val="clear" w:color="auto" w:fill="auto"/>
          </w:tcPr>
          <w:p w:rsidR="00B909BE" w:rsidRPr="007A646F" w:rsidRDefault="00B909BE" w:rsidP="00B9215F">
            <w:pPr>
              <w:ind w:right="49"/>
              <w:jc w:val="both"/>
              <w:rPr>
                <w:rFonts w:ascii="Palatino Linotype" w:eastAsia="Calibri" w:hAnsi="Palatino Linotype"/>
                <w:sz w:val="20"/>
                <w:szCs w:val="20"/>
              </w:rPr>
            </w:pPr>
          </w:p>
        </w:tc>
        <w:tc>
          <w:tcPr>
            <w:tcW w:w="1418" w:type="dxa"/>
            <w:shd w:val="clear" w:color="auto" w:fill="auto"/>
          </w:tcPr>
          <w:p w:rsidR="00B909BE" w:rsidRPr="007A646F" w:rsidRDefault="00B909BE" w:rsidP="00B9215F">
            <w:pPr>
              <w:tabs>
                <w:tab w:val="left" w:pos="492"/>
                <w:tab w:val="center" w:pos="601"/>
              </w:tabs>
              <w:autoSpaceDE w:val="0"/>
              <w:autoSpaceDN w:val="0"/>
              <w:adjustRightInd w:val="0"/>
              <w:contextualSpacing/>
              <w:jc w:val="center"/>
              <w:rPr>
                <w:rFonts w:ascii="Palatino Linotype" w:hAnsi="Palatino Linotype" w:cs="Bookman Old Style"/>
                <w:b/>
                <w:bCs/>
                <w:i/>
                <w:sz w:val="20"/>
                <w:szCs w:val="20"/>
                <w:lang w:eastAsia="es-MX"/>
              </w:rPr>
            </w:pPr>
            <w:r w:rsidRPr="007A646F">
              <w:rPr>
                <w:rFonts w:ascii="Palatino Linotype" w:hAnsi="Palatino Linotype" w:cs="Bookman Old Style"/>
                <w:b/>
                <w:bCs/>
                <w:i/>
                <w:sz w:val="20"/>
                <w:szCs w:val="20"/>
                <w:lang w:eastAsia="es-MX"/>
              </w:rPr>
              <w:t xml:space="preserve">Si </w:t>
            </w:r>
          </w:p>
        </w:tc>
      </w:tr>
    </w:tbl>
    <w:p w:rsidR="00B909BE" w:rsidRPr="007A646F" w:rsidRDefault="00B909BE" w:rsidP="00B9215F">
      <w:pPr>
        <w:spacing w:line="360" w:lineRule="auto"/>
        <w:contextualSpacing/>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cs="Arial"/>
          <w:lang w:eastAsia="en-US"/>
        </w:rPr>
      </w:pPr>
      <w:r w:rsidRPr="007A646F">
        <w:rPr>
          <w:rFonts w:ascii="Palatino Linotype" w:eastAsia="Calibri" w:hAnsi="Palatino Linotype" w:cs="Arial"/>
          <w:lang w:eastAsia="en-US"/>
        </w:rPr>
        <w:lastRenderedPageBreak/>
        <w:t xml:space="preserve">De lo anterior, se puede advertir que </w:t>
      </w:r>
      <w:r w:rsidRPr="007A646F">
        <w:rPr>
          <w:rFonts w:ascii="Palatino Linotype" w:eastAsia="Calibri" w:hAnsi="Palatino Linotype" w:cs="Arial"/>
          <w:b/>
          <w:lang w:eastAsia="en-US"/>
        </w:rPr>
        <w:t xml:space="preserve">EL SUJETO OBLIGADO </w:t>
      </w:r>
      <w:r w:rsidRPr="007A646F">
        <w:rPr>
          <w:rFonts w:ascii="Palatino Linotype" w:eastAsia="Calibri" w:hAnsi="Palatino Linotype" w:cs="Arial"/>
          <w:lang w:eastAsia="en-US"/>
        </w:rPr>
        <w:t>no satisfizo</w:t>
      </w:r>
      <w:r w:rsidR="00377654" w:rsidRPr="007A646F">
        <w:rPr>
          <w:rFonts w:ascii="Palatino Linotype" w:eastAsia="Calibri" w:hAnsi="Palatino Linotype" w:cs="Arial"/>
          <w:lang w:eastAsia="en-US"/>
        </w:rPr>
        <w:t xml:space="preserve"> en su totalidad</w:t>
      </w:r>
      <w:r w:rsidRPr="007A646F">
        <w:rPr>
          <w:rFonts w:ascii="Palatino Linotype" w:eastAsia="Calibri" w:hAnsi="Palatino Linotype" w:cs="Arial"/>
          <w:lang w:eastAsia="en-US"/>
        </w:rPr>
        <w:t xml:space="preserve"> el derecho de acceso a la información ejercido por el particular, pues como se puede observar en la tabla que antecede, atendió de manera parcial la misma.</w:t>
      </w:r>
    </w:p>
    <w:p w:rsidR="00B909BE" w:rsidRPr="007A646F" w:rsidRDefault="00B909BE" w:rsidP="00B9215F">
      <w:pPr>
        <w:spacing w:line="360" w:lineRule="auto"/>
        <w:jc w:val="both"/>
        <w:rPr>
          <w:rFonts w:ascii="Palatino Linotype" w:eastAsia="Calibri" w:hAnsi="Palatino Linotype" w:cs="Arial"/>
          <w:lang w:eastAsia="en-US"/>
        </w:rPr>
      </w:pPr>
    </w:p>
    <w:p w:rsidR="00B909BE" w:rsidRPr="007A646F" w:rsidRDefault="00B909BE" w:rsidP="00B9215F">
      <w:pPr>
        <w:spacing w:line="360" w:lineRule="auto"/>
        <w:jc w:val="both"/>
        <w:rPr>
          <w:rFonts w:ascii="Palatino Linotype" w:eastAsia="Calibri" w:hAnsi="Palatino Linotype" w:cs="Arial"/>
          <w:lang w:eastAsia="en-US"/>
        </w:rPr>
      </w:pPr>
      <w:r w:rsidRPr="007A646F">
        <w:rPr>
          <w:rFonts w:ascii="Palatino Linotype" w:eastAsia="Calibri" w:hAnsi="Palatino Linotype" w:cs="Arial"/>
          <w:lang w:eastAsia="en-US"/>
        </w:rPr>
        <w:t>Lo anterior es así, pues respecto al requerimiento identificado con el</w:t>
      </w:r>
      <w:r w:rsidRPr="007A646F">
        <w:rPr>
          <w:rFonts w:ascii="Palatino Linotype" w:eastAsia="Calibri" w:hAnsi="Palatino Linotype" w:cs="Arial"/>
          <w:b/>
          <w:lang w:eastAsia="en-US"/>
        </w:rPr>
        <w:t xml:space="preserve"> numeral 1</w:t>
      </w:r>
      <w:r w:rsidRPr="007A646F">
        <w:rPr>
          <w:rFonts w:ascii="Palatino Linotype" w:eastAsia="Calibri" w:hAnsi="Palatino Linotype" w:cs="Arial"/>
          <w:lang w:eastAsia="en-US"/>
        </w:rPr>
        <w:t>, relacionado</w:t>
      </w:r>
      <w:r w:rsidR="00F9261C" w:rsidRPr="007A646F">
        <w:rPr>
          <w:rFonts w:ascii="Palatino Linotype" w:eastAsia="Calibri" w:hAnsi="Palatino Linotype" w:cs="Arial"/>
          <w:lang w:eastAsia="en-US"/>
        </w:rPr>
        <w:t xml:space="preserve"> con</w:t>
      </w:r>
      <w:r w:rsidRPr="007A646F">
        <w:rPr>
          <w:rFonts w:ascii="Palatino Linotype" w:eastAsia="Calibri" w:hAnsi="Palatino Linotype" w:cs="Arial"/>
          <w:lang w:eastAsia="en-US"/>
        </w:rPr>
        <w:t xml:space="preserve"> </w:t>
      </w:r>
      <w:r w:rsidRPr="007A646F">
        <w:rPr>
          <w:rFonts w:ascii="Palatino Linotype" w:eastAsia="Calibri" w:hAnsi="Palatino Linotype" w:cs="Arial"/>
          <w:i/>
          <w:lang w:eastAsia="en-US"/>
        </w:rPr>
        <w:t xml:space="preserve">el nombre, edad, escolaridad, cargo, área o dependencia, perfil y experiencia en temas de violencia contra las mujeres de la persona encargada de dar seguimiento a la Declaratoria de Alerta de Violencia contra las Mujeres, en representación del o presidenta municipal; </w:t>
      </w:r>
      <w:r w:rsidRPr="007A646F">
        <w:rPr>
          <w:rFonts w:ascii="Palatino Linotype" w:eastAsia="Calibri" w:hAnsi="Palatino Linotype" w:cs="Arial"/>
          <w:lang w:eastAsia="en-US"/>
        </w:rPr>
        <w:t xml:space="preserve">al respecto, la Titular del Instituto Municipal para la Igualdad entre Mujeres y Hombres, mediante archivo electrónico </w:t>
      </w:r>
      <w:r w:rsidRPr="007A646F">
        <w:rPr>
          <w:rFonts w:ascii="Palatino Linotype" w:eastAsia="Calibri" w:hAnsi="Palatino Linotype"/>
          <w:b/>
          <w:lang w:eastAsia="en-US"/>
        </w:rPr>
        <w:t>78-2020 IMIEMH.pdf</w:t>
      </w:r>
      <w:r w:rsidRPr="007A646F">
        <w:rPr>
          <w:rFonts w:ascii="Palatino Linotype" w:eastAsia="Calibri" w:hAnsi="Palatino Linotype" w:cs="Arial"/>
          <w:lang w:eastAsia="en-US"/>
        </w:rPr>
        <w:t xml:space="preserve"> proporcionó dicha información; en consecuencia, este Órgano Garante determina que se tiene por atendido dicho requerimiento. </w:t>
      </w:r>
    </w:p>
    <w:p w:rsidR="00B9215F" w:rsidRPr="007A646F" w:rsidRDefault="00B9215F" w:rsidP="00B9215F">
      <w:pPr>
        <w:spacing w:line="360" w:lineRule="auto"/>
        <w:jc w:val="both"/>
        <w:rPr>
          <w:rFonts w:ascii="Palatino Linotype" w:eastAsia="Calibri" w:hAnsi="Palatino Linotype" w:cs="Arial"/>
          <w:lang w:eastAsia="en-US"/>
        </w:rPr>
      </w:pPr>
    </w:p>
    <w:p w:rsidR="00B909BE" w:rsidRPr="007A646F" w:rsidRDefault="00B909BE" w:rsidP="00B9215F">
      <w:pPr>
        <w:spacing w:line="360" w:lineRule="auto"/>
        <w:jc w:val="both"/>
        <w:rPr>
          <w:rFonts w:ascii="Palatino Linotype" w:eastAsia="Calibri" w:hAnsi="Palatino Linotype" w:cs="Arial"/>
          <w:lang w:eastAsia="en-US"/>
        </w:rPr>
      </w:pPr>
      <w:r w:rsidRPr="007A646F">
        <w:rPr>
          <w:rFonts w:ascii="Palatino Linotype" w:eastAsia="Calibri" w:hAnsi="Palatino Linotype" w:cs="Arial"/>
          <w:lang w:eastAsia="en-US"/>
        </w:rPr>
        <w:t xml:space="preserve">Ahora bien, por cuanto hace al requerimiento identificado con el </w:t>
      </w:r>
      <w:r w:rsidRPr="007A646F">
        <w:rPr>
          <w:rFonts w:ascii="Palatino Linotype" w:eastAsia="Calibri" w:hAnsi="Palatino Linotype" w:cs="Arial"/>
          <w:b/>
          <w:lang w:eastAsia="en-US"/>
        </w:rPr>
        <w:t>numeral 2</w:t>
      </w:r>
      <w:r w:rsidRPr="007A646F">
        <w:rPr>
          <w:rFonts w:ascii="Palatino Linotype" w:eastAsia="Calibri" w:hAnsi="Palatino Linotype" w:cs="Arial"/>
          <w:lang w:eastAsia="en-US"/>
        </w:rPr>
        <w:t xml:space="preserve">, relacionado con los programas para prevenir y atender la violencia contra las mujeres del Instituto Municipal de la Mujer; al respecto, la Titular del Instituto Municipal para la Igualdad entre Mujeres y Hombres, mediante archivo electrónico </w:t>
      </w:r>
      <w:r w:rsidRPr="007A646F">
        <w:rPr>
          <w:rFonts w:ascii="Palatino Linotype" w:eastAsia="Calibri" w:hAnsi="Palatino Linotype"/>
          <w:b/>
          <w:lang w:eastAsia="en-US"/>
        </w:rPr>
        <w:t>78-2020 IMIEMH.pdf</w:t>
      </w:r>
      <w:r w:rsidRPr="007A646F">
        <w:rPr>
          <w:rFonts w:ascii="Palatino Linotype" w:eastAsia="Calibri" w:hAnsi="Palatino Linotype" w:cs="Arial"/>
          <w:lang w:eastAsia="en-US"/>
        </w:rPr>
        <w:t xml:space="preserve">, informó que dicho Instituto cuenta con los siguientes programas: </w:t>
      </w:r>
    </w:p>
    <w:p w:rsidR="00B9215F" w:rsidRPr="007A646F" w:rsidRDefault="00B909BE" w:rsidP="00B9215F">
      <w:pPr>
        <w:spacing w:line="360" w:lineRule="auto"/>
        <w:jc w:val="center"/>
        <w:rPr>
          <w:rFonts w:ascii="Palatino Linotype" w:eastAsia="Calibri" w:hAnsi="Palatino Linotype" w:cs="Arial"/>
          <w:sz w:val="22"/>
          <w:szCs w:val="22"/>
          <w:lang w:eastAsia="en-US"/>
        </w:rPr>
      </w:pPr>
      <w:r w:rsidRPr="007A646F">
        <w:rPr>
          <w:rFonts w:ascii="Palatino Linotype" w:eastAsia="Calibri" w:hAnsi="Palatino Linotype" w:cs="Arial"/>
          <w:noProof/>
          <w:sz w:val="22"/>
          <w:szCs w:val="22"/>
          <w:lang w:eastAsia="es-MX"/>
        </w:rPr>
        <w:drawing>
          <wp:inline distT="0" distB="0" distL="0" distR="0">
            <wp:extent cx="4768215" cy="1828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PNG"/>
                    <pic:cNvPicPr/>
                  </pic:nvPicPr>
                  <pic:blipFill>
                    <a:blip r:embed="rId21">
                      <a:extLst>
                        <a:ext uri="{28A0092B-C50C-407E-A947-70E740481C1C}">
                          <a14:useLocalDpi xmlns:a14="http://schemas.microsoft.com/office/drawing/2010/main" val="0"/>
                        </a:ext>
                      </a:extLst>
                    </a:blip>
                    <a:stretch>
                      <a:fillRect/>
                    </a:stretch>
                  </pic:blipFill>
                  <pic:spPr>
                    <a:xfrm>
                      <a:off x="0" y="0"/>
                      <a:ext cx="4781210" cy="1833784"/>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cs="Arial"/>
          <w:sz w:val="22"/>
          <w:szCs w:val="22"/>
          <w:lang w:eastAsia="en-US"/>
        </w:rPr>
      </w:pPr>
      <w:r w:rsidRPr="007A646F">
        <w:rPr>
          <w:rFonts w:ascii="Palatino Linotype" w:eastAsia="Calibri" w:hAnsi="Palatino Linotype" w:cs="Arial"/>
          <w:noProof/>
          <w:sz w:val="22"/>
          <w:szCs w:val="22"/>
          <w:lang w:eastAsia="es-MX"/>
        </w:rPr>
        <w:lastRenderedPageBreak/>
        <w:drawing>
          <wp:inline distT="0" distB="0" distL="0" distR="0">
            <wp:extent cx="4777740" cy="2764581"/>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PNG"/>
                    <pic:cNvPicPr/>
                  </pic:nvPicPr>
                  <pic:blipFill>
                    <a:blip r:embed="rId22">
                      <a:extLst>
                        <a:ext uri="{28A0092B-C50C-407E-A947-70E740481C1C}">
                          <a14:useLocalDpi xmlns:a14="http://schemas.microsoft.com/office/drawing/2010/main" val="0"/>
                        </a:ext>
                      </a:extLst>
                    </a:blip>
                    <a:stretch>
                      <a:fillRect/>
                    </a:stretch>
                  </pic:blipFill>
                  <pic:spPr>
                    <a:xfrm>
                      <a:off x="0" y="0"/>
                      <a:ext cx="4784407" cy="2768439"/>
                    </a:xfrm>
                    <a:prstGeom prst="rect">
                      <a:avLst/>
                    </a:prstGeom>
                  </pic:spPr>
                </pic:pic>
              </a:graphicData>
            </a:graphic>
          </wp:inline>
        </w:drawing>
      </w:r>
      <w:r w:rsidRPr="007A646F">
        <w:rPr>
          <w:rFonts w:ascii="Palatino Linotype" w:eastAsia="Calibri" w:hAnsi="Palatino Linotype" w:cs="Arial"/>
          <w:noProof/>
          <w:sz w:val="22"/>
          <w:szCs w:val="22"/>
          <w:lang w:eastAsia="es-MX"/>
        </w:rPr>
        <w:drawing>
          <wp:inline distT="0" distB="0" distL="0" distR="0">
            <wp:extent cx="4838700" cy="2185573"/>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PNG"/>
                    <pic:cNvPicPr/>
                  </pic:nvPicPr>
                  <pic:blipFill>
                    <a:blip r:embed="rId23">
                      <a:extLst>
                        <a:ext uri="{28A0092B-C50C-407E-A947-70E740481C1C}">
                          <a14:useLocalDpi xmlns:a14="http://schemas.microsoft.com/office/drawing/2010/main" val="0"/>
                        </a:ext>
                      </a:extLst>
                    </a:blip>
                    <a:stretch>
                      <a:fillRect/>
                    </a:stretch>
                  </pic:blipFill>
                  <pic:spPr>
                    <a:xfrm>
                      <a:off x="0" y="0"/>
                      <a:ext cx="4849938" cy="2190649"/>
                    </a:xfrm>
                    <a:prstGeom prst="rect">
                      <a:avLst/>
                    </a:prstGeom>
                  </pic:spPr>
                </pic:pic>
              </a:graphicData>
            </a:graphic>
          </wp:inline>
        </w:drawing>
      </w:r>
      <w:r w:rsidRPr="007A646F">
        <w:rPr>
          <w:rFonts w:ascii="Palatino Linotype" w:eastAsia="Calibri" w:hAnsi="Palatino Linotype" w:cs="Arial"/>
          <w:noProof/>
          <w:sz w:val="22"/>
          <w:szCs w:val="22"/>
          <w:lang w:eastAsia="es-MX"/>
        </w:rPr>
        <w:drawing>
          <wp:inline distT="0" distB="0" distL="0" distR="0">
            <wp:extent cx="4792980" cy="150872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PNG"/>
                    <pic:cNvPicPr/>
                  </pic:nvPicPr>
                  <pic:blipFill>
                    <a:blip r:embed="rId24">
                      <a:extLst>
                        <a:ext uri="{28A0092B-C50C-407E-A947-70E740481C1C}">
                          <a14:useLocalDpi xmlns:a14="http://schemas.microsoft.com/office/drawing/2010/main" val="0"/>
                        </a:ext>
                      </a:extLst>
                    </a:blip>
                    <a:stretch>
                      <a:fillRect/>
                    </a:stretch>
                  </pic:blipFill>
                  <pic:spPr>
                    <a:xfrm>
                      <a:off x="0" y="0"/>
                      <a:ext cx="4801688" cy="1511461"/>
                    </a:xfrm>
                    <a:prstGeom prst="rect">
                      <a:avLst/>
                    </a:prstGeom>
                  </pic:spPr>
                </pic:pic>
              </a:graphicData>
            </a:graphic>
          </wp:inline>
        </w:drawing>
      </w:r>
      <w:r w:rsidRPr="007A646F">
        <w:rPr>
          <w:rFonts w:ascii="Palatino Linotype" w:eastAsia="Calibri" w:hAnsi="Palatino Linotype" w:cs="Arial"/>
          <w:noProof/>
          <w:sz w:val="22"/>
          <w:szCs w:val="22"/>
          <w:lang w:eastAsia="es-MX"/>
        </w:rPr>
        <w:lastRenderedPageBreak/>
        <w:drawing>
          <wp:inline distT="0" distB="0" distL="0" distR="0">
            <wp:extent cx="4808220" cy="244545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PNG"/>
                    <pic:cNvPicPr/>
                  </pic:nvPicPr>
                  <pic:blipFill>
                    <a:blip r:embed="rId25">
                      <a:extLst>
                        <a:ext uri="{28A0092B-C50C-407E-A947-70E740481C1C}">
                          <a14:useLocalDpi xmlns:a14="http://schemas.microsoft.com/office/drawing/2010/main" val="0"/>
                        </a:ext>
                      </a:extLst>
                    </a:blip>
                    <a:stretch>
                      <a:fillRect/>
                    </a:stretch>
                  </pic:blipFill>
                  <pic:spPr>
                    <a:xfrm>
                      <a:off x="0" y="0"/>
                      <a:ext cx="4817245" cy="2450047"/>
                    </a:xfrm>
                    <a:prstGeom prst="rect">
                      <a:avLst/>
                    </a:prstGeom>
                  </pic:spPr>
                </pic:pic>
              </a:graphicData>
            </a:graphic>
          </wp:inline>
        </w:drawing>
      </w:r>
      <w:r w:rsidRPr="007A646F">
        <w:rPr>
          <w:rFonts w:ascii="Palatino Linotype" w:eastAsia="Calibri" w:hAnsi="Palatino Linotype" w:cs="Arial"/>
          <w:noProof/>
          <w:sz w:val="22"/>
          <w:szCs w:val="22"/>
          <w:lang w:eastAsia="es-MX"/>
        </w:rPr>
        <w:drawing>
          <wp:inline distT="0" distB="0" distL="0" distR="0">
            <wp:extent cx="4823460" cy="2642588"/>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PNG"/>
                    <pic:cNvPicPr/>
                  </pic:nvPicPr>
                  <pic:blipFill>
                    <a:blip r:embed="rId26">
                      <a:extLst>
                        <a:ext uri="{28A0092B-C50C-407E-A947-70E740481C1C}">
                          <a14:useLocalDpi xmlns:a14="http://schemas.microsoft.com/office/drawing/2010/main" val="0"/>
                        </a:ext>
                      </a:extLst>
                    </a:blip>
                    <a:stretch>
                      <a:fillRect/>
                    </a:stretch>
                  </pic:blipFill>
                  <pic:spPr>
                    <a:xfrm>
                      <a:off x="0" y="0"/>
                      <a:ext cx="4829470" cy="2645880"/>
                    </a:xfrm>
                    <a:prstGeom prst="rect">
                      <a:avLst/>
                    </a:prstGeom>
                  </pic:spPr>
                </pic:pic>
              </a:graphicData>
            </a:graphic>
          </wp:inline>
        </w:drawing>
      </w:r>
    </w:p>
    <w:p w:rsidR="00B9215F" w:rsidRPr="007A646F" w:rsidRDefault="00B9215F" w:rsidP="00B9215F">
      <w:pPr>
        <w:spacing w:line="360" w:lineRule="auto"/>
        <w:jc w:val="both"/>
        <w:rPr>
          <w:rFonts w:ascii="Palatino Linotype" w:eastAsia="Calibri" w:hAnsi="Palatino Linotype" w:cs="Arial"/>
          <w:lang w:eastAsia="en-US"/>
        </w:rPr>
      </w:pPr>
    </w:p>
    <w:p w:rsidR="00B909BE" w:rsidRPr="007A646F" w:rsidRDefault="00B909BE" w:rsidP="00B9215F">
      <w:pPr>
        <w:spacing w:line="360" w:lineRule="auto"/>
        <w:jc w:val="both"/>
        <w:rPr>
          <w:rFonts w:ascii="Palatino Linotype" w:eastAsia="Calibri" w:hAnsi="Palatino Linotype" w:cs="Arial"/>
          <w:lang w:eastAsia="en-US"/>
        </w:rPr>
      </w:pPr>
      <w:r w:rsidRPr="007A646F">
        <w:rPr>
          <w:rFonts w:ascii="Palatino Linotype" w:eastAsia="Calibri" w:hAnsi="Palatino Linotype" w:cs="Arial"/>
          <w:lang w:eastAsia="en-US"/>
        </w:rPr>
        <w:t xml:space="preserve">De las evidencias insertas, el Pleno de este Instituto advierte que </w:t>
      </w:r>
      <w:r w:rsidRPr="007A646F">
        <w:rPr>
          <w:rFonts w:ascii="Palatino Linotype" w:eastAsia="Calibri" w:hAnsi="Palatino Linotype" w:cs="Arial"/>
          <w:b/>
          <w:lang w:eastAsia="en-US"/>
        </w:rPr>
        <w:t xml:space="preserve">EL SUJETO OBLIGADO </w:t>
      </w:r>
      <w:r w:rsidRPr="007A646F">
        <w:rPr>
          <w:rFonts w:ascii="Palatino Linotype" w:eastAsia="Calibri" w:hAnsi="Palatino Linotype" w:cs="Arial"/>
          <w:lang w:eastAsia="en-US"/>
        </w:rPr>
        <w:t>atendió el requerimiento identificado con el numeral 2.</w:t>
      </w:r>
    </w:p>
    <w:p w:rsidR="00B9215F" w:rsidRPr="007A646F" w:rsidRDefault="00B9215F" w:rsidP="00B9215F">
      <w:pPr>
        <w:spacing w:line="360" w:lineRule="auto"/>
        <w:jc w:val="both"/>
        <w:rPr>
          <w:rFonts w:ascii="Palatino Linotype" w:eastAsia="Calibri" w:hAnsi="Palatino Linotype" w:cs="Arial"/>
          <w:lang w:eastAsia="en-US"/>
        </w:rPr>
      </w:pPr>
    </w:p>
    <w:p w:rsidR="00B909BE" w:rsidRPr="007A646F" w:rsidRDefault="00B909BE" w:rsidP="00B9215F">
      <w:pPr>
        <w:spacing w:line="360" w:lineRule="auto"/>
        <w:jc w:val="both"/>
        <w:rPr>
          <w:rFonts w:ascii="Palatino Linotype" w:eastAsia="Calibri" w:hAnsi="Palatino Linotype" w:cs="Arial"/>
          <w:lang w:eastAsia="en-US"/>
        </w:rPr>
      </w:pPr>
      <w:r w:rsidRPr="007A646F">
        <w:rPr>
          <w:rFonts w:ascii="Palatino Linotype" w:eastAsia="Calibri" w:hAnsi="Palatino Linotype" w:cs="Arial"/>
          <w:lang w:eastAsia="en-US"/>
        </w:rPr>
        <w:t xml:space="preserve">Por otro lado, respecto al requerimiento identificado con el </w:t>
      </w:r>
      <w:r w:rsidRPr="007A646F">
        <w:rPr>
          <w:rFonts w:ascii="Palatino Linotype" w:eastAsia="Calibri" w:hAnsi="Palatino Linotype" w:cs="Arial"/>
          <w:b/>
          <w:lang w:eastAsia="en-US"/>
        </w:rPr>
        <w:t xml:space="preserve">numeral 3, </w:t>
      </w:r>
      <w:r w:rsidRPr="007A646F">
        <w:rPr>
          <w:rFonts w:ascii="Palatino Linotype" w:eastAsia="Calibri" w:hAnsi="Palatino Linotype" w:cs="Arial"/>
          <w:lang w:eastAsia="en-US"/>
        </w:rPr>
        <w:t xml:space="preserve">relacionado con el </w:t>
      </w:r>
      <w:r w:rsidRPr="007A646F">
        <w:rPr>
          <w:rFonts w:ascii="Palatino Linotype" w:eastAsia="Calibri" w:hAnsi="Palatino Linotype" w:cs="Arial"/>
          <w:i/>
          <w:lang w:eastAsia="en-US"/>
        </w:rPr>
        <w:t xml:space="preserve">organigrama del MAM, cargo, perfil y experiencia de las personas que atienden mujeres en situación de violencia; </w:t>
      </w:r>
      <w:r w:rsidRPr="007A646F">
        <w:rPr>
          <w:rFonts w:ascii="Palatino Linotype" w:eastAsia="Calibri" w:hAnsi="Palatino Linotype" w:cs="Arial"/>
          <w:lang w:eastAsia="en-US"/>
        </w:rPr>
        <w:t xml:space="preserve">al respecto, es importante precisar que </w:t>
      </w:r>
      <w:r w:rsidRPr="007A646F">
        <w:rPr>
          <w:rFonts w:ascii="Palatino Linotype" w:eastAsia="Calibri" w:hAnsi="Palatino Linotype" w:cs="Arial"/>
          <w:b/>
          <w:lang w:eastAsia="en-US"/>
        </w:rPr>
        <w:t xml:space="preserve">EL SUJETO </w:t>
      </w:r>
      <w:r w:rsidRPr="007A646F">
        <w:rPr>
          <w:rFonts w:ascii="Palatino Linotype" w:eastAsia="Calibri" w:hAnsi="Palatino Linotype" w:cs="Arial"/>
          <w:b/>
          <w:lang w:eastAsia="en-US"/>
        </w:rPr>
        <w:lastRenderedPageBreak/>
        <w:t xml:space="preserve">OBLIGADO </w:t>
      </w:r>
      <w:r w:rsidRPr="007A646F">
        <w:rPr>
          <w:rFonts w:ascii="Palatino Linotype" w:eastAsia="Calibri" w:hAnsi="Palatino Linotype" w:cs="Arial"/>
          <w:lang w:eastAsia="en-US"/>
        </w:rPr>
        <w:t>requirió al particular a efecto de que precisara qu</w:t>
      </w:r>
      <w:r w:rsidR="00F15DEB" w:rsidRPr="007A646F">
        <w:rPr>
          <w:rFonts w:ascii="Palatino Linotype" w:eastAsia="Calibri" w:hAnsi="Palatino Linotype" w:cs="Arial"/>
          <w:lang w:eastAsia="en-US"/>
        </w:rPr>
        <w:t>é</w:t>
      </w:r>
      <w:r w:rsidRPr="007A646F">
        <w:rPr>
          <w:rFonts w:ascii="Palatino Linotype" w:eastAsia="Calibri" w:hAnsi="Palatino Linotype" w:cs="Arial"/>
          <w:lang w:eastAsia="en-US"/>
        </w:rPr>
        <w:t xml:space="preserve"> era el MAM, sin embargo, del análisis realizado a las documentales que integran el expediente electrónico, se advierte que el particular fue omiso en atender la misma; en consecuencia, este Órgano Garante determina que se tiene por no presentada dicha solicitud, en términos del artículo 159, párrafo tercero de la Ley de Transparencia y Acceso a la Información Pública del Estado de México y Municipios</w:t>
      </w:r>
      <w:r w:rsidR="00F15DEB" w:rsidRPr="007A646F">
        <w:rPr>
          <w:rFonts w:ascii="Palatino Linotype" w:eastAsia="Calibri" w:hAnsi="Palatino Linotype" w:cs="Arial"/>
          <w:lang w:eastAsia="en-US"/>
        </w:rPr>
        <w:t>, puesto que se necesitaba de dicha precisión a fin de atender la pretensión del requirente</w:t>
      </w:r>
      <w:r w:rsidRPr="007A646F">
        <w:rPr>
          <w:rFonts w:ascii="Palatino Linotype" w:eastAsia="Calibri" w:hAnsi="Palatino Linotype" w:cs="Arial"/>
          <w:lang w:eastAsia="en-US"/>
        </w:rPr>
        <w:t>.</w:t>
      </w:r>
    </w:p>
    <w:p w:rsidR="00B909BE" w:rsidRPr="007A646F" w:rsidRDefault="00B909BE" w:rsidP="00B9215F">
      <w:pPr>
        <w:spacing w:line="360" w:lineRule="auto"/>
        <w:jc w:val="both"/>
        <w:rPr>
          <w:rFonts w:ascii="Palatino Linotype" w:eastAsia="Calibri" w:hAnsi="Palatino Linotype" w:cs="Arial"/>
          <w:lang w:eastAsia="en-US"/>
        </w:rPr>
      </w:pPr>
    </w:p>
    <w:p w:rsidR="00D46729" w:rsidRPr="007A646F" w:rsidRDefault="00B909BE" w:rsidP="00B9215F">
      <w:pPr>
        <w:spacing w:line="360" w:lineRule="auto"/>
        <w:jc w:val="both"/>
        <w:rPr>
          <w:rFonts w:ascii="Palatino Linotype" w:eastAsia="Calibri" w:hAnsi="Palatino Linotype" w:cs="Arial"/>
          <w:lang w:eastAsia="en-US"/>
        </w:rPr>
      </w:pPr>
      <w:r w:rsidRPr="007A646F">
        <w:rPr>
          <w:rFonts w:ascii="Palatino Linotype" w:eastAsia="Calibri" w:hAnsi="Palatino Linotype" w:cs="Arial"/>
          <w:lang w:eastAsia="en-US"/>
        </w:rPr>
        <w:t xml:space="preserve">Ahora bien, respecto al requerimiento identificado con el </w:t>
      </w:r>
      <w:r w:rsidRPr="007A646F">
        <w:rPr>
          <w:rFonts w:ascii="Palatino Linotype" w:eastAsia="Calibri" w:hAnsi="Palatino Linotype" w:cs="Arial"/>
          <w:b/>
          <w:lang w:eastAsia="en-US"/>
        </w:rPr>
        <w:t xml:space="preserve">numeral 4, </w:t>
      </w:r>
      <w:r w:rsidRPr="007A646F">
        <w:rPr>
          <w:rFonts w:ascii="Palatino Linotype" w:eastAsia="Calibri" w:hAnsi="Palatino Linotype" w:cs="Arial"/>
          <w:lang w:eastAsia="en-US"/>
        </w:rPr>
        <w:t xml:space="preserve">relacionado con los </w:t>
      </w:r>
      <w:r w:rsidRPr="007A646F">
        <w:rPr>
          <w:rFonts w:ascii="Palatino Linotype" w:eastAsia="Calibri" w:hAnsi="Palatino Linotype"/>
          <w:lang w:eastAsia="en-US"/>
        </w:rPr>
        <w:t xml:space="preserve">Informes o diagnóstico sobre tipos y modalidades de violencia contra las mujeres; al respecto </w:t>
      </w:r>
      <w:r w:rsidRPr="007A646F">
        <w:rPr>
          <w:rFonts w:ascii="Palatino Linotype" w:eastAsia="Calibri" w:hAnsi="Palatino Linotype" w:cs="Arial"/>
          <w:lang w:eastAsia="en-US"/>
        </w:rPr>
        <w:t xml:space="preserve">la Titular del Instituto Municipal para la Igualdad entre Mujeres y Hombres, mediante archivo electrónico </w:t>
      </w:r>
      <w:r w:rsidRPr="007A646F">
        <w:rPr>
          <w:rFonts w:ascii="Palatino Linotype" w:eastAsia="Calibri" w:hAnsi="Palatino Linotype"/>
          <w:b/>
          <w:lang w:eastAsia="en-US"/>
        </w:rPr>
        <w:t>78-2020 IMIEMH.pdf</w:t>
      </w:r>
      <w:r w:rsidRPr="007A646F">
        <w:rPr>
          <w:rFonts w:ascii="Palatino Linotype" w:eastAsia="Calibri" w:hAnsi="Palatino Linotype" w:cs="Arial"/>
          <w:lang w:eastAsia="en-US"/>
        </w:rPr>
        <w:t xml:space="preserve"> proporcionó información estadística nacional; omitiendo pronunciarse respecto de la información generada por dicho Instituto; así como, de la Comisaría General de Seguridad Pública y Tránsito, quien tiene entre sus atribuciones el alimentar el Banco de Datos de Información del Estado de México sobre datos de violencia contra las mujeres. Así como la atribución de supervisar la captura de dichos datos al Sistema Municipal para la Igualdad de Trato y Oportunidades entre Mujeres y Hombres y para Prevenir, Atender, Sancionar y Erradicar la Violencia contra las Mujeres de Cuautitlán Izcalli, Estado de México.</w:t>
      </w:r>
      <w:r w:rsidRPr="007A646F">
        <w:rPr>
          <w:rFonts w:ascii="Palatino Linotype" w:eastAsia="Calibri" w:hAnsi="Palatino Linotype" w:cs="Arial"/>
          <w:vertAlign w:val="superscript"/>
          <w:lang w:eastAsia="en-US"/>
        </w:rPr>
        <w:footnoteReference w:id="1"/>
      </w:r>
    </w:p>
    <w:p w:rsidR="00B909BE" w:rsidRPr="007A646F" w:rsidRDefault="00B909BE" w:rsidP="00B9215F">
      <w:pPr>
        <w:spacing w:line="360" w:lineRule="auto"/>
        <w:jc w:val="both"/>
        <w:rPr>
          <w:rFonts w:ascii="Palatino Linotype" w:hAnsi="Palatino Linotype" w:cs="Arial"/>
          <w:lang w:val="es-ES"/>
        </w:rPr>
      </w:pPr>
      <w:r w:rsidRPr="007A646F">
        <w:rPr>
          <w:rFonts w:ascii="Palatino Linotype" w:eastAsia="Calibri" w:hAnsi="Palatino Linotype" w:cs="Arial"/>
          <w:lang w:eastAsia="en-US"/>
        </w:rPr>
        <w:lastRenderedPageBreak/>
        <w:t xml:space="preserve">Por lo anterior, se puede advertir que </w:t>
      </w:r>
      <w:r w:rsidRPr="007A646F">
        <w:rPr>
          <w:rFonts w:ascii="Palatino Linotype" w:hAnsi="Palatino Linotype"/>
          <w:color w:val="000000"/>
          <w:lang w:val="es-ES" w:eastAsia="en-US"/>
        </w:rPr>
        <w:t xml:space="preserve">el </w:t>
      </w:r>
      <w:r w:rsidRPr="007A646F">
        <w:rPr>
          <w:rFonts w:ascii="Palatino Linotype" w:hAnsi="Palatino Linotype"/>
          <w:color w:val="222222"/>
          <w:shd w:val="clear" w:color="auto" w:fill="FFFFFF"/>
          <w:lang w:val="es-ES"/>
        </w:rPr>
        <w:t xml:space="preserve">Titular de la Unidad de Transparencia </w:t>
      </w:r>
      <w:r w:rsidRPr="007A646F">
        <w:rPr>
          <w:rFonts w:ascii="Palatino Linotype" w:hAnsi="Palatino Linotype" w:cs="Arial"/>
          <w:lang w:val="es-ES"/>
        </w:rPr>
        <w:t>no siguió a cabalidad el procedimiento de acceso a la información previsto en el artículo 162 de la Ley de Transparencia y Acceso a la Información Pública del Estado de México y Municipios, esto dado que omitió turnar a todas las Áreas competentes que pudiesen contar con la información o deban tenerla de acuerdo a sus facultades, competencias y funciones, con el objeto de que realicen una búsqueda exhaustiva y razonable de la información solicitada.</w:t>
      </w:r>
    </w:p>
    <w:p w:rsidR="00B909BE" w:rsidRPr="007A646F" w:rsidRDefault="00B909BE" w:rsidP="00B9215F">
      <w:pPr>
        <w:spacing w:line="360" w:lineRule="auto"/>
        <w:jc w:val="both"/>
        <w:rPr>
          <w:rFonts w:ascii="Palatino Linotype" w:hAnsi="Palatino Linotype" w:cs="Arial"/>
          <w:lang w:val="es-ES"/>
        </w:rPr>
      </w:pPr>
    </w:p>
    <w:p w:rsidR="00B909BE" w:rsidRPr="007A646F" w:rsidRDefault="00B909BE" w:rsidP="00B9215F">
      <w:pPr>
        <w:spacing w:line="360" w:lineRule="auto"/>
        <w:jc w:val="both"/>
        <w:rPr>
          <w:rFonts w:ascii="Palatino Linotype" w:hAnsi="Palatino Linotype" w:cs="Arial"/>
          <w:lang w:val="es-ES"/>
        </w:rPr>
      </w:pPr>
      <w:r w:rsidRPr="007A646F">
        <w:rPr>
          <w:rFonts w:ascii="Palatino Linotype" w:hAnsi="Palatino Linotype" w:cs="Arial"/>
          <w:lang w:val="es-ES"/>
        </w:rPr>
        <w:t>A efecto de determinar la legalidad de dicha respuesta, es necesario tomar en cuenta las siguientes disposiciones de la Ley de la materia.</w:t>
      </w:r>
    </w:p>
    <w:p w:rsidR="00B909BE" w:rsidRPr="007A646F" w:rsidRDefault="00B909BE" w:rsidP="00503C51">
      <w:pPr>
        <w:ind w:right="901"/>
        <w:jc w:val="both"/>
        <w:rPr>
          <w:rFonts w:ascii="Palatino Linotype" w:hAnsi="Palatino Linotype"/>
          <w:i/>
          <w:sz w:val="22"/>
          <w:szCs w:val="22"/>
          <w:lang w:val="es-ES"/>
        </w:rPr>
      </w:pP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w:t>
      </w:r>
      <w:r w:rsidRPr="007A646F">
        <w:rPr>
          <w:rFonts w:ascii="Palatino Linotype" w:hAnsi="Palatino Linotype"/>
          <w:b/>
          <w:i/>
          <w:sz w:val="22"/>
          <w:szCs w:val="22"/>
          <w:lang w:val="es-ES"/>
        </w:rPr>
        <w:t>Artículo 50.</w:t>
      </w:r>
      <w:r w:rsidRPr="007A646F">
        <w:rPr>
          <w:rFonts w:ascii="Palatino Linotype" w:hAnsi="Palatino Linotype"/>
          <w:i/>
          <w:sz w:val="22"/>
          <w:szCs w:val="22"/>
          <w:lang w:val="es-ES"/>
        </w:rPr>
        <w:t xml:space="preserve"> Los sujetos obligados contarán con un área responsable para la atención de las solicitudes de </w:t>
      </w:r>
      <w:r w:rsidRPr="007A646F">
        <w:rPr>
          <w:rFonts w:ascii="Palatino Linotype" w:hAnsi="Palatino Linotype" w:cs="Arial"/>
          <w:i/>
          <w:sz w:val="22"/>
          <w:szCs w:val="22"/>
          <w:lang w:val="es-ES" w:eastAsia="es-MX"/>
        </w:rPr>
        <w:t>información</w:t>
      </w:r>
      <w:r w:rsidRPr="007A646F">
        <w:rPr>
          <w:rFonts w:ascii="Palatino Linotype" w:hAnsi="Palatino Linotype"/>
          <w:i/>
          <w:sz w:val="22"/>
          <w:szCs w:val="22"/>
          <w:lang w:val="es-ES"/>
        </w:rPr>
        <w:t>, a la que se le denominará Unidad de Transparencia.</w:t>
      </w:r>
    </w:p>
    <w:p w:rsidR="00B909BE" w:rsidRPr="007A646F" w:rsidRDefault="00B909BE" w:rsidP="00503C51">
      <w:pPr>
        <w:ind w:left="851" w:right="618"/>
        <w:contextualSpacing/>
        <w:jc w:val="both"/>
        <w:rPr>
          <w:rFonts w:ascii="Palatino Linotype" w:hAnsi="Palatino Linotype"/>
          <w:i/>
          <w:sz w:val="22"/>
          <w:szCs w:val="22"/>
          <w:lang w:val="es-ES"/>
        </w:rPr>
      </w:pP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b/>
          <w:i/>
          <w:sz w:val="22"/>
          <w:szCs w:val="22"/>
          <w:lang w:val="es-ES"/>
        </w:rPr>
        <w:t>Artículo 51</w:t>
      </w:r>
      <w:r w:rsidRPr="007A646F">
        <w:rPr>
          <w:rFonts w:ascii="Palatino Linotype" w:hAnsi="Palatino Linotype"/>
          <w:i/>
          <w:sz w:val="22"/>
          <w:szCs w:val="22"/>
          <w:lang w:val="es-ES"/>
        </w:rPr>
        <w:t xml:space="preserve">. Los sujetos obligados designaran a un responsable para atender la Unidad de Transparencia, quien fungirá como enlace entre éstos y los solicitantes. Dicha Unidad será la encargada de tramitar </w:t>
      </w:r>
      <w:r w:rsidRPr="007A646F">
        <w:rPr>
          <w:rFonts w:ascii="Palatino Linotype" w:hAnsi="Palatino Linotype" w:cs="Arial"/>
          <w:i/>
          <w:sz w:val="22"/>
          <w:szCs w:val="22"/>
          <w:lang w:val="es-ES" w:eastAsia="es-MX"/>
        </w:rPr>
        <w:t>internamente</w:t>
      </w:r>
      <w:r w:rsidRPr="007A646F">
        <w:rPr>
          <w:rFonts w:ascii="Palatino Linotype" w:hAnsi="Palatino Linotype"/>
          <w:i/>
          <w:sz w:val="22"/>
          <w:szCs w:val="22"/>
          <w:lang w:val="es-ES"/>
        </w:rPr>
        <w:t xml:space="preserve"> la solicitud de información y tendrá la responsabilidad de verificar en cada caso que la misma no sea confidencial o reservada. Dicha Unidad contará con las facultades internas necesarias para gestionar la atención a las solicitudes de información en los términos de la Ley General y la presente Ley.</w:t>
      </w:r>
    </w:p>
    <w:p w:rsidR="00B909BE" w:rsidRPr="007A646F" w:rsidRDefault="00B909BE" w:rsidP="00503C51">
      <w:pPr>
        <w:ind w:left="851" w:right="618"/>
        <w:contextualSpacing/>
        <w:jc w:val="both"/>
        <w:rPr>
          <w:rFonts w:ascii="Palatino Linotype" w:hAnsi="Palatino Linotype"/>
          <w:i/>
          <w:sz w:val="22"/>
          <w:szCs w:val="22"/>
          <w:lang w:val="es-ES"/>
        </w:rPr>
      </w:pP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b/>
          <w:i/>
          <w:sz w:val="22"/>
          <w:szCs w:val="22"/>
          <w:lang w:val="es-ES"/>
        </w:rPr>
        <w:t>Artículo 53</w:t>
      </w:r>
      <w:r w:rsidRPr="007A646F">
        <w:rPr>
          <w:rFonts w:ascii="Palatino Linotype" w:hAnsi="Palatino Linotype"/>
          <w:i/>
          <w:sz w:val="22"/>
          <w:szCs w:val="22"/>
          <w:lang w:val="es-ES"/>
        </w:rPr>
        <w:t xml:space="preserve">. Las Unidades de </w:t>
      </w:r>
      <w:r w:rsidRPr="007A646F">
        <w:rPr>
          <w:rFonts w:ascii="Palatino Linotype" w:hAnsi="Palatino Linotype" w:cs="Arial"/>
          <w:i/>
          <w:sz w:val="22"/>
          <w:szCs w:val="22"/>
          <w:lang w:val="es-ES" w:eastAsia="es-MX"/>
        </w:rPr>
        <w:t>Transparencia</w:t>
      </w:r>
      <w:r w:rsidRPr="007A646F">
        <w:rPr>
          <w:rFonts w:ascii="Palatino Linotype" w:hAnsi="Palatino Linotype"/>
          <w:i/>
          <w:sz w:val="22"/>
          <w:szCs w:val="22"/>
          <w:lang w:val="es-ES"/>
        </w:rPr>
        <w:t xml:space="preserve"> tendrán las siguientes funciones:</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 xml:space="preserve">I. Recabar, difundir y actualizar la información relativa a las obligaciones de transparencia comunes y específicas a la </w:t>
      </w:r>
      <w:r w:rsidRPr="007A646F">
        <w:rPr>
          <w:rFonts w:ascii="Palatino Linotype" w:hAnsi="Palatino Linotype" w:cs="Arial"/>
          <w:i/>
          <w:sz w:val="22"/>
          <w:szCs w:val="22"/>
          <w:lang w:val="es-ES" w:eastAsia="es-MX"/>
        </w:rPr>
        <w:t>que</w:t>
      </w:r>
      <w:r w:rsidRPr="007A646F">
        <w:rPr>
          <w:rFonts w:ascii="Palatino Linotype" w:hAnsi="Palatino Linotype"/>
          <w:i/>
          <w:sz w:val="22"/>
          <w:szCs w:val="22"/>
          <w:lang w:val="es-ES"/>
        </w:rPr>
        <w:t xml:space="preserve"> se refiere la Ley General, esta Ley, la que determine el Instituto y las demás disposiciones de la materia, así como propiciar que las áreas la actualicen periódicamente conforme a la normatividad aplicable;</w:t>
      </w:r>
    </w:p>
    <w:p w:rsidR="00B909BE" w:rsidRPr="007A646F" w:rsidRDefault="00B909BE" w:rsidP="00503C51">
      <w:pPr>
        <w:ind w:left="851" w:right="901"/>
        <w:jc w:val="both"/>
        <w:rPr>
          <w:rFonts w:ascii="Palatino Linotype" w:hAnsi="Palatino Linotype"/>
          <w:b/>
          <w:i/>
          <w:sz w:val="22"/>
          <w:szCs w:val="22"/>
          <w:lang w:val="es-ES"/>
        </w:rPr>
      </w:pPr>
      <w:r w:rsidRPr="007A646F">
        <w:rPr>
          <w:rFonts w:ascii="Palatino Linotype" w:hAnsi="Palatino Linotype"/>
          <w:b/>
          <w:i/>
          <w:sz w:val="22"/>
          <w:szCs w:val="22"/>
          <w:lang w:val="es-ES"/>
        </w:rPr>
        <w:lastRenderedPageBreak/>
        <w:t xml:space="preserve">II. Recibir, </w:t>
      </w:r>
      <w:r w:rsidRPr="007A646F">
        <w:rPr>
          <w:rFonts w:ascii="Palatino Linotype" w:hAnsi="Palatino Linotype"/>
          <w:b/>
          <w:i/>
          <w:sz w:val="22"/>
          <w:szCs w:val="22"/>
          <w:u w:val="single"/>
          <w:lang w:val="es-ES"/>
        </w:rPr>
        <w:t>tramitar</w:t>
      </w:r>
      <w:r w:rsidRPr="007A646F">
        <w:rPr>
          <w:rFonts w:ascii="Palatino Linotype" w:hAnsi="Palatino Linotype"/>
          <w:b/>
          <w:i/>
          <w:sz w:val="22"/>
          <w:szCs w:val="22"/>
          <w:lang w:val="es-ES"/>
        </w:rPr>
        <w:t xml:space="preserve"> y dar respuesta a las solicitudes de acceso a la información;</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 xml:space="preserve">III. Auxiliar a los particulares en la elaboración de solicitudes de acceso a la información y, en su caso, orientarlos sobre los sujetos </w:t>
      </w:r>
      <w:r w:rsidRPr="007A646F">
        <w:rPr>
          <w:rFonts w:ascii="Palatino Linotype" w:hAnsi="Palatino Linotype" w:cs="Arial"/>
          <w:i/>
          <w:sz w:val="22"/>
          <w:szCs w:val="22"/>
          <w:lang w:val="es-ES" w:eastAsia="es-MX"/>
        </w:rPr>
        <w:t>obligados</w:t>
      </w:r>
      <w:r w:rsidRPr="007A646F">
        <w:rPr>
          <w:rFonts w:ascii="Palatino Linotype" w:hAnsi="Palatino Linotype"/>
          <w:i/>
          <w:sz w:val="22"/>
          <w:szCs w:val="22"/>
          <w:lang w:val="es-ES"/>
        </w:rPr>
        <w:t xml:space="preserve"> competentes conforme a la normatividad aplicable;</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IV. Realizar, con efectividad, los trámites internos necesarios para la atención de las solicitudes de acceso a la información;</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V. Entregar, en su caso, a los particulares la información solicitada;</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VI. Efectuar las notificaciones a los solicitantes;</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VII. Proponer al Comité de Transparencia, los procedimientos internos que aseguren la mayor eficiencia en la gestión de las solicitudes de acceso a la información, conforme a la normatividad aplicable;</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VIII. Proponer a quien preside el Comité de Transparencia, personal habilitado que sea necesario para recibir y dar trámite a las solicitudes de acceso a la información;</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IX. Llevar un registro de las solicitudes de acceso a la información, sus respuestas, resultados, costos de reproducción y envío, resolución a los recursos de revisión que se hayan emitido en contra de sus respuestas y del cumplimiento de las mismas;</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X. Presentar ante el Comité, el proyecto de clasificación de información;</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XI. Promover e implementar políticas de transparencia proactiva procurando su accesibilidad;</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XII. Fomentar la transparencia y accesibilidad al interior del sujeto obligado;</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XIII. Hacer del conocimiento de la instancia competente la probable responsabilidad por el incumplimiento de las obligaciones previstas en la presente Ley; y</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XIV. Las demás que resulten necesarias para facilitar el acceso a la información y aquellas que se desprenden de la presente Ley y demás disposiciones jurídicas aplicables.</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Los sujetos obligados promoverán acuerdos con instituciones públicas especializadas que pudieran auxiliarse a entregar las respuestas a solicitudes de información, en la lengua indígena, braille o cualquier formato accesible correspondiente, en forma más eficiente.</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 xml:space="preserve">Los sujetos obligados deberán implementar a través de las unidades de transparencia, progresivamente y conforme a sus previsiones, las medidas pertinentes para asegurar que el entorno físico de las instalaciones cuente con los ajustes razonables, con el objeto de proporcionar adecuada accesibilidad que otorgue las facilidades necesarias, así como establecer procedimientos para brindar asesoría y atención a las personas con discapacidad, a fin de que puedan consultar los sistemas que integran la Plataforma Nacional de Transparencia, presentar </w:t>
      </w:r>
      <w:r w:rsidRPr="007A646F">
        <w:rPr>
          <w:rFonts w:ascii="Palatino Linotype" w:hAnsi="Palatino Linotype"/>
          <w:i/>
          <w:sz w:val="22"/>
          <w:szCs w:val="22"/>
          <w:lang w:val="es-ES"/>
        </w:rPr>
        <w:lastRenderedPageBreak/>
        <w:t>solicitudes de acceso a la información y facilitar su gestión e interponer los recursos que las leyes establezcan.</w:t>
      </w:r>
    </w:p>
    <w:p w:rsidR="00B909BE" w:rsidRPr="007A646F" w:rsidRDefault="00B909BE" w:rsidP="00503C51">
      <w:pPr>
        <w:ind w:left="851" w:right="618"/>
        <w:contextualSpacing/>
        <w:jc w:val="both"/>
        <w:rPr>
          <w:rFonts w:ascii="Palatino Linotype" w:hAnsi="Palatino Linotype"/>
          <w:i/>
          <w:sz w:val="22"/>
          <w:szCs w:val="22"/>
          <w:lang w:val="es-ES"/>
        </w:rPr>
      </w:pP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b/>
          <w:i/>
          <w:sz w:val="22"/>
          <w:szCs w:val="22"/>
          <w:lang w:val="es-ES"/>
        </w:rPr>
        <w:t>Artículo 59</w:t>
      </w:r>
      <w:r w:rsidRPr="007A646F">
        <w:rPr>
          <w:rFonts w:ascii="Palatino Linotype" w:hAnsi="Palatino Linotype"/>
          <w:i/>
          <w:sz w:val="22"/>
          <w:szCs w:val="22"/>
          <w:lang w:val="es-ES"/>
        </w:rPr>
        <w:t>. Los servidores públicos habilitados tendrán las funciones siguientes:</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I. Localizar la información que le solicite la Unidad de Transparencia;</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II. Proporcionar la información que obre en los archivos y que le sea solicitada por la Unidad de Transparencia;</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III. Apoyar a la Unidad de Transparencia en lo que esta le solicite para el cumplimiento de sus funciones;</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IV. Proporcionar a la Unidad de Transparencia, las modificaciones a la información pública de oficio que obre en su poder;</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V. Integrar y presentar al responsable de la Unidad de Transparencia la propuesta de clasificación de información, la cual tendrá los fundamentos y argumentos en que se basa dicha propuesta;</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VI. Verificar, una vez analizado el contenido de la información, que no se encuentre en los supuestos de información clasificada; y</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VII. Dar cuenta a la Unidad de Transparencia del vencimiento de los plazos de reserva.</w:t>
      </w:r>
    </w:p>
    <w:p w:rsidR="00B909BE" w:rsidRPr="007A646F" w:rsidRDefault="00B909BE" w:rsidP="00503C51">
      <w:pPr>
        <w:ind w:left="851" w:right="618"/>
        <w:contextualSpacing/>
        <w:jc w:val="both"/>
        <w:rPr>
          <w:rFonts w:ascii="Palatino Linotype" w:hAnsi="Palatino Linotype"/>
          <w:i/>
          <w:sz w:val="22"/>
          <w:szCs w:val="22"/>
          <w:lang w:val="es-ES"/>
        </w:rPr>
      </w:pP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b/>
          <w:i/>
          <w:sz w:val="22"/>
          <w:szCs w:val="22"/>
          <w:lang w:val="es-ES"/>
        </w:rPr>
        <w:t>Artículo 162</w:t>
      </w:r>
      <w:r w:rsidRPr="007A646F">
        <w:rPr>
          <w:rFonts w:ascii="Palatino Linotype" w:hAnsi="Palatino Linotype"/>
          <w:i/>
          <w:sz w:val="22"/>
          <w:szCs w:val="22"/>
          <w:lang w:val="es-ES"/>
        </w:rPr>
        <w:t>.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p w:rsidR="00B909BE" w:rsidRPr="007A646F" w:rsidRDefault="00B909BE" w:rsidP="00503C51">
      <w:pPr>
        <w:ind w:left="851" w:right="901"/>
        <w:jc w:val="both"/>
        <w:rPr>
          <w:rFonts w:ascii="Palatino Linotype" w:hAnsi="Palatino Linotype"/>
          <w:i/>
          <w:sz w:val="22"/>
          <w:szCs w:val="22"/>
          <w:lang w:val="es-ES"/>
        </w:rPr>
      </w:pPr>
      <w:r w:rsidRPr="007A646F">
        <w:rPr>
          <w:rFonts w:ascii="Palatino Linotype" w:hAnsi="Palatino Linotype"/>
          <w:i/>
          <w:sz w:val="22"/>
          <w:szCs w:val="22"/>
          <w:lang w:val="es-ES"/>
        </w:rPr>
        <w:t>(Énfasis añadido)</w:t>
      </w:r>
    </w:p>
    <w:p w:rsidR="00B909BE" w:rsidRPr="007A646F" w:rsidRDefault="00B909BE" w:rsidP="00503C51">
      <w:pPr>
        <w:jc w:val="both"/>
        <w:rPr>
          <w:rFonts w:ascii="Palatino Linotype" w:hAnsi="Palatino Linotype" w:cs="Arial"/>
          <w:sz w:val="22"/>
          <w:szCs w:val="22"/>
          <w:lang w:val="es-ES"/>
        </w:rPr>
      </w:pPr>
    </w:p>
    <w:p w:rsidR="00B909BE" w:rsidRPr="007A646F" w:rsidRDefault="00B909BE" w:rsidP="00B9215F">
      <w:pPr>
        <w:spacing w:line="360" w:lineRule="auto"/>
        <w:jc w:val="both"/>
        <w:rPr>
          <w:rFonts w:ascii="Palatino Linotype" w:eastAsia="Calibri" w:hAnsi="Palatino Linotype"/>
          <w:lang w:val="es-ES"/>
        </w:rPr>
      </w:pPr>
      <w:r w:rsidRPr="007A646F">
        <w:rPr>
          <w:rFonts w:ascii="Palatino Linotype" w:eastAsia="Calibri" w:hAnsi="Palatino Linotype"/>
          <w:lang w:val="es-ES"/>
        </w:rPr>
        <w:t xml:space="preserve">De la normatividad en cita, se desprende que las Unidades de Transparencia, se erigen como el área responsable en cada Sujeto Obligado que tiene a su cargo la atención de las solicitudes de información que se realicen al amparo de la Ley. El responsable de dicha área funge como enlace entre </w:t>
      </w:r>
      <w:r w:rsidRPr="007A646F">
        <w:rPr>
          <w:rFonts w:ascii="Palatino Linotype" w:eastAsia="Calibri" w:hAnsi="Palatino Linotype"/>
          <w:b/>
          <w:lang w:val="es-ES"/>
        </w:rPr>
        <w:t>EL SUJETO OBLIGADO</w:t>
      </w:r>
      <w:r w:rsidRPr="007A646F">
        <w:rPr>
          <w:rFonts w:ascii="Palatino Linotype" w:eastAsia="Calibri" w:hAnsi="Palatino Linotype"/>
          <w:lang w:val="es-ES"/>
        </w:rPr>
        <w:t xml:space="preserve"> y los solicitantes, y tiene bajo su responsabilidad el tramitar internamente la solicitud de información.</w:t>
      </w:r>
    </w:p>
    <w:p w:rsidR="00B909BE" w:rsidRPr="007A646F" w:rsidRDefault="00B909BE" w:rsidP="00B9215F">
      <w:pPr>
        <w:spacing w:line="360" w:lineRule="auto"/>
        <w:jc w:val="both"/>
        <w:rPr>
          <w:rFonts w:ascii="Palatino Linotype" w:eastAsia="Calibri" w:hAnsi="Palatino Linotype"/>
          <w:lang w:val="es-ES"/>
        </w:rPr>
      </w:pPr>
    </w:p>
    <w:p w:rsidR="00B909BE" w:rsidRPr="007A646F" w:rsidRDefault="00B909BE" w:rsidP="00B9215F">
      <w:pPr>
        <w:spacing w:line="360" w:lineRule="auto"/>
        <w:jc w:val="both"/>
        <w:rPr>
          <w:rFonts w:ascii="Palatino Linotype" w:eastAsia="Calibri" w:hAnsi="Palatino Linotype"/>
          <w:lang w:val="es-ES"/>
        </w:rPr>
      </w:pPr>
      <w:r w:rsidRPr="007A646F">
        <w:rPr>
          <w:rFonts w:ascii="Palatino Linotype" w:eastAsia="Calibri" w:hAnsi="Palatino Linotype"/>
          <w:lang w:val="es-ES"/>
        </w:rPr>
        <w:t xml:space="preserve">De tal manera que, si bien, el Titular de la Unidad de Transparencia no tiene bajo su resguardo el archivo que contiene la documentación en donde consta la información </w:t>
      </w:r>
      <w:r w:rsidRPr="007A646F">
        <w:rPr>
          <w:rFonts w:ascii="Palatino Linotype" w:eastAsia="Calibri" w:hAnsi="Palatino Linotype"/>
          <w:lang w:val="es-ES"/>
        </w:rPr>
        <w:lastRenderedPageBreak/>
        <w:t xml:space="preserve">solicitada, sino que pudiera obrar en las distintas áreas que conforman la estructura del </w:t>
      </w:r>
      <w:r w:rsidRPr="007A646F">
        <w:rPr>
          <w:rFonts w:ascii="Palatino Linotype" w:eastAsia="Calibri" w:hAnsi="Palatino Linotype"/>
          <w:b/>
          <w:lang w:val="es-ES"/>
        </w:rPr>
        <w:t xml:space="preserve">SUJETO OBLIGADO; </w:t>
      </w:r>
      <w:r w:rsidRPr="007A646F">
        <w:rPr>
          <w:rFonts w:ascii="Palatino Linotype" w:eastAsia="Calibri" w:hAnsi="Palatino Linotype"/>
          <w:lang w:val="es-ES"/>
        </w:rPr>
        <w:t xml:space="preserve">es por ello que, debe turnar la solicitud a </w:t>
      </w:r>
      <w:r w:rsidRPr="007A646F">
        <w:rPr>
          <w:rFonts w:ascii="Palatino Linotype" w:hAnsi="Palatino Linotype" w:cs="Arial"/>
          <w:lang w:val="es-ES"/>
        </w:rPr>
        <w:t xml:space="preserve">todas las áreas que </w:t>
      </w:r>
      <w:r w:rsidRPr="007A646F">
        <w:rPr>
          <w:rFonts w:ascii="Palatino Linotype" w:eastAsia="Calibri" w:hAnsi="Palatino Linotype"/>
          <w:lang w:val="es-ES"/>
        </w:rPr>
        <w:t>pudieran generar, administrar o poseer la información requerida por la particular; pues tienen como función, buscar, localizar y poseer la información, así como entregarla.</w:t>
      </w:r>
    </w:p>
    <w:p w:rsidR="00B909BE" w:rsidRPr="007A646F" w:rsidRDefault="00B909BE" w:rsidP="00B9215F">
      <w:pPr>
        <w:spacing w:line="360" w:lineRule="auto"/>
        <w:jc w:val="both"/>
        <w:rPr>
          <w:rFonts w:ascii="Palatino Linotype" w:hAnsi="Palatino Linotype" w:cs="Arial"/>
          <w:lang w:val="es-ES"/>
        </w:rPr>
      </w:pPr>
    </w:p>
    <w:p w:rsidR="00B909BE" w:rsidRPr="007A646F" w:rsidRDefault="00B909BE" w:rsidP="00B9215F">
      <w:pPr>
        <w:spacing w:line="360" w:lineRule="auto"/>
        <w:jc w:val="both"/>
        <w:rPr>
          <w:rFonts w:ascii="Palatino Linotype" w:eastAsia="Calibri" w:hAnsi="Palatino Linotype"/>
          <w:color w:val="000000"/>
          <w:lang w:val="es-ES"/>
        </w:rPr>
      </w:pPr>
      <w:r w:rsidRPr="007A646F">
        <w:rPr>
          <w:rFonts w:ascii="Palatino Linotype" w:eastAsia="Calibri" w:hAnsi="Palatino Linotype"/>
          <w:lang w:val="es-ES"/>
        </w:rPr>
        <w:t xml:space="preserve">Es así que, le corresponde al Titular de la Unidad de Transparencia el garantizar que las </w:t>
      </w:r>
      <w:r w:rsidRPr="007A646F">
        <w:rPr>
          <w:rFonts w:ascii="Palatino Linotype" w:eastAsia="Calibri" w:hAnsi="Palatino Linotype"/>
          <w:color w:val="000000"/>
          <w:lang w:val="es-ES"/>
        </w:rPr>
        <w:t xml:space="preserve">solicitudes se turnen a las áreas competentes que puedan contar con la información, con el objeto de que se realice una búsqueda exhaustiva y razonable de la misma. </w:t>
      </w:r>
    </w:p>
    <w:p w:rsidR="00B909BE" w:rsidRPr="007A646F" w:rsidRDefault="00B909BE" w:rsidP="00B9215F">
      <w:pPr>
        <w:spacing w:line="360" w:lineRule="auto"/>
        <w:jc w:val="both"/>
        <w:rPr>
          <w:rFonts w:ascii="Palatino Linotype" w:eastAsia="Calibri" w:hAnsi="Palatino Linotype"/>
          <w:color w:val="000000"/>
          <w:lang w:val="es-ES"/>
        </w:rPr>
      </w:pPr>
    </w:p>
    <w:p w:rsidR="00B909BE" w:rsidRPr="007A646F" w:rsidRDefault="00B909BE" w:rsidP="00B9215F">
      <w:pPr>
        <w:spacing w:line="360" w:lineRule="auto"/>
        <w:jc w:val="both"/>
        <w:rPr>
          <w:rFonts w:ascii="Palatino Linotype" w:eastAsia="Calibri" w:hAnsi="Palatino Linotype"/>
          <w:color w:val="222222"/>
          <w:lang w:eastAsia="es-MX"/>
        </w:rPr>
      </w:pPr>
      <w:r w:rsidRPr="007A646F">
        <w:rPr>
          <w:rFonts w:ascii="Palatino Linotype" w:eastAsia="Calibri" w:hAnsi="Palatino Linotype"/>
          <w:color w:val="000000"/>
          <w:lang w:eastAsia="es-MX"/>
        </w:rPr>
        <w:t xml:space="preserve">En consecuencia, este Órgano Garante determina ordenar al </w:t>
      </w:r>
      <w:r w:rsidRPr="007A646F">
        <w:rPr>
          <w:rFonts w:ascii="Palatino Linotype" w:eastAsia="Calibri" w:hAnsi="Palatino Linotype"/>
          <w:b/>
          <w:color w:val="000000"/>
          <w:lang w:eastAsia="es-MX"/>
        </w:rPr>
        <w:t>SUJETO OBLIGADO pre</w:t>
      </w:r>
      <w:r w:rsidRPr="007A646F">
        <w:rPr>
          <w:rFonts w:ascii="Palatino Linotype" w:eastAsia="Calibri" w:hAnsi="Palatino Linotype"/>
          <w:color w:val="000000"/>
          <w:lang w:eastAsia="es-MX"/>
        </w:rPr>
        <w:t>v</w:t>
      </w:r>
      <w:r w:rsidRPr="007A646F">
        <w:rPr>
          <w:rFonts w:ascii="Palatino Linotype" w:eastAsia="Calibri" w:hAnsi="Palatino Linotype"/>
          <w:b/>
          <w:color w:val="000000"/>
          <w:lang w:eastAsia="es-MX"/>
        </w:rPr>
        <w:t xml:space="preserve">ia </w:t>
      </w:r>
      <w:r w:rsidRPr="007A646F">
        <w:rPr>
          <w:rFonts w:ascii="Palatino Linotype" w:eastAsia="Calibri" w:hAnsi="Palatino Linotype"/>
          <w:color w:val="000000"/>
          <w:lang w:eastAsia="es-MX"/>
        </w:rPr>
        <w:t xml:space="preserve">búsqueda exhaustiva y razonable haga entrega de ser procedente en </w:t>
      </w:r>
      <w:r w:rsidRPr="007A646F">
        <w:rPr>
          <w:rFonts w:ascii="Palatino Linotype" w:eastAsia="Calibri" w:hAnsi="Palatino Linotype"/>
          <w:b/>
          <w:color w:val="000000"/>
          <w:lang w:eastAsia="es-MX"/>
        </w:rPr>
        <w:t xml:space="preserve">versión pública </w:t>
      </w:r>
      <w:r w:rsidRPr="007A646F">
        <w:rPr>
          <w:rFonts w:ascii="Palatino Linotype" w:eastAsia="Calibri" w:hAnsi="Palatino Linotype"/>
          <w:color w:val="000000"/>
          <w:lang w:eastAsia="es-MX"/>
        </w:rPr>
        <w:t xml:space="preserve">los informes </w:t>
      </w:r>
      <w:r w:rsidRPr="007A646F">
        <w:rPr>
          <w:rFonts w:ascii="Palatino Linotype" w:eastAsia="Calibri" w:hAnsi="Palatino Linotype"/>
          <w:color w:val="000000"/>
          <w:lang w:eastAsia="en-US"/>
        </w:rPr>
        <w:t>o diagnóstico</w:t>
      </w:r>
      <w:r w:rsidR="00F15DEB" w:rsidRPr="007A646F">
        <w:rPr>
          <w:rFonts w:ascii="Palatino Linotype" w:eastAsia="Calibri" w:hAnsi="Palatino Linotype"/>
          <w:color w:val="000000"/>
          <w:lang w:eastAsia="en-US"/>
        </w:rPr>
        <w:t>s</w:t>
      </w:r>
      <w:r w:rsidRPr="007A646F">
        <w:rPr>
          <w:rFonts w:ascii="Palatino Linotype" w:eastAsia="Calibri" w:hAnsi="Palatino Linotype"/>
          <w:color w:val="000000"/>
          <w:lang w:eastAsia="en-US"/>
        </w:rPr>
        <w:t xml:space="preserve"> sobre tipos y modalidades de violencia contra las mujeres, en donde se adviertan </w:t>
      </w:r>
      <w:r w:rsidRPr="007A646F">
        <w:rPr>
          <w:rFonts w:ascii="Palatino Linotype" w:eastAsia="Calibri" w:hAnsi="Palatino Linotype"/>
          <w:lang w:eastAsia="en-US"/>
        </w:rPr>
        <w:t>datos cuantitativos y cualitativos</w:t>
      </w:r>
      <w:r w:rsidRPr="007A646F">
        <w:rPr>
          <w:rFonts w:ascii="Palatino Linotype" w:eastAsia="Calibri" w:hAnsi="Palatino Linotype"/>
          <w:color w:val="222222"/>
          <w:lang w:eastAsia="es-MX"/>
        </w:rPr>
        <w:t xml:space="preserve">. </w:t>
      </w:r>
    </w:p>
    <w:p w:rsidR="00503C51" w:rsidRPr="007A646F" w:rsidRDefault="00503C51" w:rsidP="00B9215F">
      <w:pPr>
        <w:spacing w:line="360" w:lineRule="auto"/>
        <w:jc w:val="both"/>
        <w:rPr>
          <w:rFonts w:ascii="Palatino Linotype" w:eastAsia="Calibri" w:hAnsi="Palatino Linotype"/>
          <w:color w:val="222222"/>
          <w:lang w:eastAsia="es-MX"/>
        </w:rPr>
      </w:pPr>
    </w:p>
    <w:p w:rsidR="00B909BE" w:rsidRPr="007A646F" w:rsidRDefault="00B909BE" w:rsidP="00B9215F">
      <w:pPr>
        <w:spacing w:line="360" w:lineRule="auto"/>
        <w:jc w:val="both"/>
        <w:rPr>
          <w:rFonts w:ascii="Palatino Linotype" w:hAnsi="Palatino Linotype" w:cs="Arial"/>
          <w:color w:val="000000"/>
        </w:rPr>
      </w:pPr>
      <w:r w:rsidRPr="007A646F">
        <w:rPr>
          <w:rFonts w:ascii="Palatino Linotype" w:hAnsi="Palatino Linotype"/>
        </w:rPr>
        <w:t xml:space="preserve">Ahora bien, derivado que del </w:t>
      </w:r>
      <w:r w:rsidRPr="007A646F">
        <w:rPr>
          <w:rFonts w:ascii="Palatino Linotype" w:hAnsi="Palatino Linotype" w:cs="Arial"/>
        </w:rPr>
        <w:t xml:space="preserve">contenido de la solicitud de información, se advierte que la particular omitió señalar el periodo temporal de la información requerida; </w:t>
      </w:r>
      <w:r w:rsidRPr="007A646F">
        <w:rPr>
          <w:rFonts w:ascii="Palatino Linotype" w:eastAsia="Calibri" w:hAnsi="Palatino Linotype" w:cs="Arial"/>
          <w:lang w:eastAsia="en-US"/>
        </w:rPr>
        <w:t>este Instituto con fundamento en lo dispuesto por el artículo 13 y 181</w:t>
      </w:r>
      <w:r w:rsidRPr="007A646F">
        <w:rPr>
          <w:rFonts w:ascii="Palatino Linotype" w:hAnsi="Palatino Linotype" w:cs="Arial"/>
          <w:color w:val="000000"/>
        </w:rPr>
        <w:t xml:space="preserve"> párrafo cuarto de la Ley de la materia, suple la deficiencia presentada respecto a la temporalidad de su solicitud, determinando que la información solicitada corresponderá al año inmediato anterior a la fecha en que fue presentada su solicitud; es decir, del dieciocho de febrero de dos mil diecinueve al dieciocho de febrero de dos mil veinte. </w:t>
      </w:r>
    </w:p>
    <w:p w:rsidR="00B909BE" w:rsidRPr="007A646F" w:rsidRDefault="00B909BE" w:rsidP="00B9215F">
      <w:pPr>
        <w:spacing w:line="360" w:lineRule="auto"/>
        <w:jc w:val="both"/>
        <w:rPr>
          <w:rFonts w:ascii="Palatino Linotype" w:hAnsi="Palatino Linotype" w:cs="Arial"/>
          <w:color w:val="000000"/>
        </w:rPr>
      </w:pPr>
    </w:p>
    <w:p w:rsidR="00B909BE" w:rsidRPr="007A646F" w:rsidRDefault="00B909BE" w:rsidP="00B9215F">
      <w:pPr>
        <w:spacing w:line="360" w:lineRule="auto"/>
        <w:jc w:val="both"/>
        <w:rPr>
          <w:rFonts w:ascii="Palatino Linotype" w:hAnsi="Palatino Linotype"/>
          <w:b/>
          <w:bCs/>
          <w:color w:val="000000"/>
        </w:rPr>
      </w:pPr>
      <w:r w:rsidRPr="007A646F">
        <w:rPr>
          <w:rFonts w:ascii="Palatino Linotype" w:hAnsi="Palatino Linotype" w:cs="Arial"/>
          <w:color w:val="000000"/>
        </w:rPr>
        <w:lastRenderedPageBreak/>
        <w:t xml:space="preserve">Siendo aplicable el Criterio 03-19, emitido por </w:t>
      </w:r>
      <w:r w:rsidRPr="007A646F">
        <w:rPr>
          <w:rFonts w:ascii="Palatino Linotype" w:eastAsia="Arial Unicode MS" w:hAnsi="Palatino Linotype" w:cs="Arial"/>
          <w:color w:val="000000"/>
        </w:rPr>
        <w:t>el Instituto Nacional de Transparencia, Acceso a la Información y Protección de Datos Personales,</w:t>
      </w:r>
      <w:r w:rsidRPr="007A646F">
        <w:rPr>
          <w:rFonts w:ascii="Palatino Linotype" w:hAnsi="Palatino Linotype"/>
          <w:bCs/>
          <w:color w:val="000000"/>
        </w:rPr>
        <w:t xml:space="preserve"> que dice:</w:t>
      </w:r>
      <w:r w:rsidRPr="007A646F">
        <w:rPr>
          <w:rFonts w:ascii="Palatino Linotype" w:hAnsi="Palatino Linotype"/>
          <w:b/>
          <w:bCs/>
          <w:color w:val="000000"/>
        </w:rPr>
        <w:t xml:space="preserve"> </w:t>
      </w:r>
    </w:p>
    <w:p w:rsidR="00B909BE" w:rsidRPr="007A646F" w:rsidRDefault="00B909BE" w:rsidP="00503C51">
      <w:pPr>
        <w:ind w:right="850"/>
        <w:jc w:val="both"/>
        <w:rPr>
          <w:rFonts w:ascii="Palatino Linotype" w:hAnsi="Palatino Linotype" w:cs="Arial"/>
          <w:i/>
          <w:sz w:val="22"/>
          <w:szCs w:val="22"/>
          <w:lang w:eastAsia="es-MX"/>
        </w:rPr>
      </w:pPr>
    </w:p>
    <w:p w:rsidR="00B909BE" w:rsidRPr="007A646F" w:rsidRDefault="00B909BE" w:rsidP="00503C51">
      <w:pPr>
        <w:ind w:left="851" w:right="901"/>
        <w:jc w:val="both"/>
        <w:rPr>
          <w:rFonts w:ascii="Palatino Linotype" w:hAnsi="Palatino Linotype" w:cs="Arial"/>
          <w:i/>
          <w:sz w:val="22"/>
          <w:szCs w:val="22"/>
          <w:lang w:eastAsia="es-MX"/>
        </w:rPr>
      </w:pPr>
      <w:r w:rsidRPr="007A646F">
        <w:rPr>
          <w:rFonts w:ascii="Palatino Linotype" w:hAnsi="Palatino Linotype" w:cs="Arial"/>
          <w:b/>
          <w:i/>
          <w:sz w:val="22"/>
          <w:szCs w:val="22"/>
          <w:lang w:eastAsia="es-MX"/>
        </w:rPr>
        <w:t>“Periodo de búsqueda de la información.</w:t>
      </w:r>
      <w:r w:rsidRPr="007A646F">
        <w:rPr>
          <w:rFonts w:ascii="Palatino Linotype" w:hAnsi="Palatino Linotype" w:cs="Arial"/>
          <w:i/>
          <w:sz w:val="22"/>
          <w:szCs w:val="22"/>
          <w:lang w:eastAsia="es-MX"/>
        </w:rPr>
        <w:t xml:space="preserve"> En el supuesto de que el particular no haya señalado el periodo respecto del cual requiere la información, o bien, de la solicitud presentada no se adviertan elementos que permitan identificarlo, deberá considerarse, para efectos de la búsqueda de la información, que el requerimiento se refiere al año inmediato anterior, contado a partir de la fecha en que se presentó la solicitud.</w:t>
      </w:r>
    </w:p>
    <w:p w:rsidR="00B909BE" w:rsidRPr="007A646F" w:rsidRDefault="00B909BE" w:rsidP="00503C51">
      <w:pPr>
        <w:ind w:right="850"/>
        <w:jc w:val="both"/>
        <w:rPr>
          <w:rFonts w:ascii="Palatino Linotype" w:hAnsi="Palatino Linotype" w:cs="Arial"/>
          <w:i/>
          <w:sz w:val="22"/>
          <w:szCs w:val="22"/>
          <w:lang w:eastAsia="es-MX"/>
        </w:rPr>
      </w:pPr>
    </w:p>
    <w:p w:rsidR="00B909BE" w:rsidRPr="007A646F" w:rsidRDefault="00B909BE" w:rsidP="00503C51">
      <w:pPr>
        <w:ind w:left="851" w:right="901"/>
        <w:jc w:val="both"/>
        <w:rPr>
          <w:rFonts w:ascii="Palatino Linotype" w:hAnsi="Palatino Linotype" w:cs="Arial"/>
          <w:i/>
          <w:sz w:val="22"/>
          <w:szCs w:val="22"/>
          <w:lang w:eastAsia="es-MX"/>
        </w:rPr>
      </w:pPr>
      <w:r w:rsidRPr="007A646F">
        <w:rPr>
          <w:rFonts w:ascii="Palatino Linotype" w:hAnsi="Palatino Linotype" w:cs="Arial"/>
          <w:i/>
          <w:sz w:val="22"/>
          <w:szCs w:val="22"/>
          <w:lang w:eastAsia="es-MX"/>
        </w:rPr>
        <w:t>Resoluciones</w:t>
      </w:r>
    </w:p>
    <w:p w:rsidR="00B909BE" w:rsidRPr="007A646F" w:rsidRDefault="00B909BE" w:rsidP="00503C51">
      <w:pPr>
        <w:numPr>
          <w:ilvl w:val="0"/>
          <w:numId w:val="24"/>
        </w:numPr>
        <w:ind w:left="1134" w:right="850" w:hanging="283"/>
        <w:jc w:val="both"/>
        <w:rPr>
          <w:rFonts w:ascii="Palatino Linotype" w:hAnsi="Palatino Linotype" w:cs="Arial"/>
          <w:i/>
          <w:sz w:val="22"/>
          <w:szCs w:val="22"/>
          <w:lang w:eastAsia="es-MX"/>
        </w:rPr>
      </w:pPr>
      <w:r w:rsidRPr="007A646F">
        <w:rPr>
          <w:rFonts w:ascii="Palatino Linotype" w:hAnsi="Palatino Linotype" w:cs="Arial"/>
          <w:b/>
          <w:i/>
          <w:sz w:val="22"/>
          <w:szCs w:val="22"/>
          <w:lang w:eastAsia="es-MX"/>
        </w:rPr>
        <w:t>RRA 0022/17.</w:t>
      </w:r>
      <w:r w:rsidRPr="007A646F">
        <w:rPr>
          <w:rFonts w:ascii="Palatino Linotype" w:hAnsi="Palatino Linotype" w:cs="Arial"/>
          <w:i/>
          <w:sz w:val="22"/>
          <w:szCs w:val="22"/>
          <w:lang w:eastAsia="es-MX"/>
        </w:rPr>
        <w:t xml:space="preserve"> Instituto Mexicano de la Propiedad Industrial. 16 de febrero de 2017. Por unanimidad. Comisionado Ponente Francisco Javier Acuña Llamas. </w:t>
      </w:r>
      <w:hyperlink r:id="rId27" w:history="1">
        <w:r w:rsidRPr="007A646F">
          <w:rPr>
            <w:rFonts w:ascii="Palatino Linotype" w:hAnsi="Palatino Linotype"/>
            <w:i/>
            <w:sz w:val="22"/>
            <w:szCs w:val="22"/>
            <w:lang w:eastAsia="es-MX"/>
          </w:rPr>
          <w:t>http://consultas.ifai.org.mx/descargar.php?r=./pdf/resoluciones/2017/&amp;a=RRA%2022.pdf</w:t>
        </w:r>
      </w:hyperlink>
      <w:r w:rsidRPr="007A646F">
        <w:rPr>
          <w:rFonts w:ascii="Palatino Linotype" w:hAnsi="Palatino Linotype" w:cs="Arial"/>
          <w:i/>
          <w:sz w:val="22"/>
          <w:szCs w:val="22"/>
          <w:lang w:eastAsia="es-MX"/>
        </w:rPr>
        <w:t xml:space="preserve"> </w:t>
      </w:r>
    </w:p>
    <w:p w:rsidR="00B909BE" w:rsidRPr="007A646F" w:rsidRDefault="00B909BE" w:rsidP="00503C51">
      <w:pPr>
        <w:numPr>
          <w:ilvl w:val="0"/>
          <w:numId w:val="24"/>
        </w:numPr>
        <w:ind w:left="851" w:right="901" w:hanging="283"/>
        <w:jc w:val="both"/>
        <w:rPr>
          <w:rFonts w:ascii="Palatino Linotype" w:hAnsi="Palatino Linotype"/>
          <w:i/>
          <w:sz w:val="22"/>
          <w:szCs w:val="22"/>
          <w:lang w:eastAsia="es-MX"/>
        </w:rPr>
      </w:pPr>
      <w:r w:rsidRPr="007A646F">
        <w:rPr>
          <w:rFonts w:ascii="Palatino Linotype" w:hAnsi="Palatino Linotype" w:cs="Arial"/>
          <w:b/>
          <w:i/>
          <w:sz w:val="22"/>
          <w:szCs w:val="22"/>
          <w:lang w:eastAsia="es-MX"/>
        </w:rPr>
        <w:t>RRA 2536/17.</w:t>
      </w:r>
      <w:r w:rsidRPr="007A646F">
        <w:rPr>
          <w:rFonts w:ascii="Palatino Linotype" w:hAnsi="Palatino Linotype" w:cs="Arial"/>
          <w:i/>
          <w:sz w:val="22"/>
          <w:szCs w:val="22"/>
          <w:lang w:eastAsia="es-MX"/>
        </w:rPr>
        <w:t xml:space="preserve"> Secretaría de Gobernación. 07 de junio de 2017. Por unanimidad. Comisionada Ponente Areli Cano Guadiana. </w:t>
      </w:r>
      <w:r w:rsidR="00503C51" w:rsidRPr="007A646F">
        <w:rPr>
          <w:rFonts w:ascii="Palatino Linotype" w:hAnsi="Palatino Linotype" w:cs="Arial"/>
          <w:i/>
          <w:sz w:val="22"/>
          <w:szCs w:val="22"/>
          <w:lang w:eastAsia="es-MX"/>
        </w:rPr>
        <w:t xml:space="preserve"> </w:t>
      </w:r>
      <w:hyperlink r:id="rId28" w:history="1">
        <w:r w:rsidRPr="007A646F">
          <w:rPr>
            <w:rFonts w:ascii="Palatino Linotype" w:hAnsi="Palatino Linotype"/>
            <w:i/>
            <w:sz w:val="22"/>
            <w:szCs w:val="22"/>
            <w:lang w:eastAsia="es-MX"/>
          </w:rPr>
          <w:t>http://consultas.ifai.org.mx/descargar.php?r=./pdf/resoluciones/2017/&amp;a=RRA%202536.pdf</w:t>
        </w:r>
      </w:hyperlink>
      <w:r w:rsidRPr="007A646F">
        <w:rPr>
          <w:rFonts w:ascii="Palatino Linotype" w:hAnsi="Palatino Linotype"/>
          <w:i/>
          <w:sz w:val="22"/>
          <w:szCs w:val="22"/>
          <w:lang w:eastAsia="es-MX"/>
        </w:rPr>
        <w:t xml:space="preserve"> </w:t>
      </w:r>
    </w:p>
    <w:p w:rsidR="00B909BE" w:rsidRPr="007A646F" w:rsidRDefault="00B909BE" w:rsidP="00503C51">
      <w:pPr>
        <w:ind w:left="851" w:right="901"/>
        <w:jc w:val="both"/>
        <w:rPr>
          <w:rFonts w:ascii="Palatino Linotype" w:hAnsi="Palatino Linotype"/>
          <w:i/>
          <w:sz w:val="22"/>
          <w:szCs w:val="22"/>
          <w:lang w:eastAsia="es-MX"/>
        </w:rPr>
      </w:pPr>
      <w:r w:rsidRPr="007A646F">
        <w:rPr>
          <w:rFonts w:ascii="Palatino Linotype" w:hAnsi="Palatino Linotype" w:cs="Arial"/>
          <w:b/>
          <w:i/>
          <w:sz w:val="22"/>
          <w:szCs w:val="22"/>
          <w:lang w:eastAsia="es-MX"/>
        </w:rPr>
        <w:t>RRA 3482/17.</w:t>
      </w:r>
      <w:r w:rsidRPr="007A646F">
        <w:rPr>
          <w:rFonts w:ascii="Palatino Linotype" w:hAnsi="Palatino Linotype" w:cs="Arial"/>
          <w:i/>
          <w:sz w:val="22"/>
          <w:szCs w:val="22"/>
          <w:lang w:eastAsia="es-MX"/>
        </w:rPr>
        <w:t xml:space="preserve"> Secretaría de Comunicaciones y Transportes. 02 de agosto de 2017. Por </w:t>
      </w:r>
      <w:r w:rsidRPr="007A646F">
        <w:rPr>
          <w:rFonts w:ascii="Palatino Linotype" w:hAnsi="Palatino Linotype"/>
          <w:i/>
          <w:sz w:val="22"/>
          <w:szCs w:val="22"/>
          <w:lang w:eastAsia="es-MX"/>
        </w:rPr>
        <w:t>unanimidad</w:t>
      </w:r>
      <w:r w:rsidRPr="007A646F">
        <w:rPr>
          <w:rFonts w:ascii="Palatino Linotype" w:hAnsi="Palatino Linotype" w:cs="Arial"/>
          <w:i/>
          <w:sz w:val="22"/>
          <w:szCs w:val="22"/>
          <w:lang w:eastAsia="es-MX"/>
        </w:rPr>
        <w:t>. Comisionado Ponente Oscar Mauricio Guerra Ford.</w:t>
      </w:r>
      <w:r w:rsidR="00503C51" w:rsidRPr="007A646F">
        <w:rPr>
          <w:rFonts w:ascii="Palatino Linotype" w:hAnsi="Palatino Linotype" w:cs="Arial"/>
          <w:i/>
          <w:sz w:val="22"/>
          <w:szCs w:val="22"/>
          <w:lang w:eastAsia="es-MX"/>
        </w:rPr>
        <w:t xml:space="preserve"> </w:t>
      </w:r>
      <w:hyperlink r:id="rId29" w:history="1">
        <w:r w:rsidRPr="007A646F">
          <w:rPr>
            <w:rFonts w:ascii="Palatino Linotype" w:hAnsi="Palatino Linotype"/>
            <w:i/>
            <w:sz w:val="22"/>
            <w:szCs w:val="22"/>
            <w:lang w:eastAsia="es-MX"/>
          </w:rPr>
          <w:t>http://consultas.ifai.org.mx/descargar.php?r=./pdf/resoluciones/2017/&amp;a=RRA%203482.pdf</w:t>
        </w:r>
      </w:hyperlink>
      <w:r w:rsidRPr="007A646F">
        <w:rPr>
          <w:rFonts w:ascii="Palatino Linotype" w:hAnsi="Palatino Linotype"/>
          <w:i/>
          <w:sz w:val="22"/>
          <w:szCs w:val="22"/>
          <w:lang w:eastAsia="es-MX"/>
        </w:rPr>
        <w:t xml:space="preserve"> “</w:t>
      </w:r>
    </w:p>
    <w:p w:rsidR="00B909BE" w:rsidRPr="007A646F" w:rsidRDefault="00B909BE" w:rsidP="00503C51">
      <w:pPr>
        <w:rPr>
          <w:rFonts w:ascii="Palatino Linotype" w:hAnsi="Palatino Linotype"/>
          <w:sz w:val="22"/>
          <w:szCs w:val="22"/>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cuanto hace al requerimiento identificado con el </w:t>
      </w:r>
      <w:r w:rsidRPr="007A646F">
        <w:rPr>
          <w:rFonts w:ascii="Palatino Linotype" w:eastAsia="Calibri" w:hAnsi="Palatino Linotype"/>
          <w:b/>
          <w:lang w:eastAsia="en-US"/>
        </w:rPr>
        <w:t>numeral 5</w:t>
      </w:r>
      <w:r w:rsidRPr="007A646F">
        <w:rPr>
          <w:rFonts w:ascii="Palatino Linotype" w:eastAsia="Calibri" w:hAnsi="Palatino Linotype"/>
          <w:lang w:eastAsia="en-US"/>
        </w:rPr>
        <w:t xml:space="preserve">, relacionado con el </w:t>
      </w:r>
      <w:r w:rsidRPr="007A646F">
        <w:rPr>
          <w:rFonts w:ascii="Palatino Linotype" w:eastAsia="Calibri" w:hAnsi="Palatino Linotype"/>
          <w:i/>
          <w:lang w:eastAsia="en-US"/>
        </w:rPr>
        <w:t xml:space="preserve">Informe de actividades del Sistema Municipal para la Igualdad de Trato y Oportunidades entre Hombres y Mujeres y para Prevenir, Atender, Sancionar y Erradicar la Violencia contra las Mujeres (Cuando se tomó protesta a las y los integrantes del sistema; quienes lo conforman; cuáles son los programas y actividades que lleva a cabo el Sistema Municipal, qué resultados han obtenido durante el 2019); </w:t>
      </w:r>
      <w:r w:rsidRPr="007A646F">
        <w:rPr>
          <w:rFonts w:ascii="Palatino Linotype" w:eastAsia="Calibri" w:hAnsi="Palatino Linotype"/>
          <w:lang w:eastAsia="en-US"/>
        </w:rPr>
        <w:t xml:space="preserve">al respecto, </w:t>
      </w:r>
      <w:r w:rsidRPr="007A646F">
        <w:rPr>
          <w:rFonts w:ascii="Palatino Linotype" w:eastAsia="Calibri" w:hAnsi="Palatino Linotype" w:cs="Arial"/>
          <w:lang w:eastAsia="en-US"/>
        </w:rPr>
        <w:t xml:space="preserve">la Titular del Instituto Municipal para la Igualdad entre Mujeres y Hombres, mediante archivo electrónico </w:t>
      </w:r>
      <w:r w:rsidRPr="007A646F">
        <w:rPr>
          <w:rFonts w:ascii="Palatino Linotype" w:eastAsia="Calibri" w:hAnsi="Palatino Linotype"/>
          <w:b/>
          <w:lang w:eastAsia="en-US"/>
        </w:rPr>
        <w:t xml:space="preserve">78-2020 IMIEMH.pdf, </w:t>
      </w:r>
      <w:r w:rsidRPr="007A646F">
        <w:rPr>
          <w:rFonts w:ascii="Palatino Linotype" w:eastAsia="Calibri" w:hAnsi="Palatino Linotype"/>
          <w:lang w:eastAsia="en-US"/>
        </w:rPr>
        <w:t xml:space="preserve">adjuntó lo siguiente: </w:t>
      </w:r>
    </w:p>
    <w:p w:rsidR="00503C51"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lastRenderedPageBreak/>
        <w:drawing>
          <wp:inline distT="0" distB="0" distL="0" distR="0">
            <wp:extent cx="3284220" cy="17145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PNG"/>
                    <pic:cNvPicPr/>
                  </pic:nvPicPr>
                  <pic:blipFill>
                    <a:blip r:embed="rId30">
                      <a:extLst>
                        <a:ext uri="{28A0092B-C50C-407E-A947-70E740481C1C}">
                          <a14:useLocalDpi xmlns:a14="http://schemas.microsoft.com/office/drawing/2010/main" val="0"/>
                        </a:ext>
                      </a:extLst>
                    </a:blip>
                    <a:stretch>
                      <a:fillRect/>
                    </a:stretch>
                  </pic:blipFill>
                  <pic:spPr>
                    <a:xfrm>
                      <a:off x="0" y="0"/>
                      <a:ext cx="3284513" cy="1714653"/>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4138019" cy="334547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PNG"/>
                    <pic:cNvPicPr/>
                  </pic:nvPicPr>
                  <pic:blipFill>
                    <a:blip r:embed="rId31">
                      <a:extLst>
                        <a:ext uri="{28A0092B-C50C-407E-A947-70E740481C1C}">
                          <a14:useLocalDpi xmlns:a14="http://schemas.microsoft.com/office/drawing/2010/main" val="0"/>
                        </a:ext>
                      </a:extLst>
                    </a:blip>
                    <a:stretch>
                      <a:fillRect/>
                    </a:stretch>
                  </pic:blipFill>
                  <pic:spPr>
                    <a:xfrm>
                      <a:off x="0" y="0"/>
                      <a:ext cx="4138019" cy="3345470"/>
                    </a:xfrm>
                    <a:prstGeom prst="rect">
                      <a:avLst/>
                    </a:prstGeom>
                  </pic:spPr>
                </pic:pic>
              </a:graphicData>
            </a:graphic>
          </wp:inline>
        </w:drawing>
      </w:r>
      <w:r w:rsidRPr="007A646F">
        <w:rPr>
          <w:rFonts w:ascii="Palatino Linotype" w:eastAsia="Calibri" w:hAnsi="Palatino Linotype"/>
          <w:noProof/>
          <w:lang w:eastAsia="es-MX"/>
        </w:rPr>
        <w:drawing>
          <wp:inline distT="0" distB="0" distL="0" distR="0">
            <wp:extent cx="4079700" cy="1607397"/>
            <wp:effectExtent l="25400" t="0" r="970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PNG"/>
                    <pic:cNvPicPr/>
                  </pic:nvPicPr>
                  <pic:blipFill>
                    <a:blip r:embed="rId32">
                      <a:extLst>
                        <a:ext uri="{28A0092B-C50C-407E-A947-70E740481C1C}">
                          <a14:useLocalDpi xmlns:a14="http://schemas.microsoft.com/office/drawing/2010/main" val="0"/>
                        </a:ext>
                      </a:extLst>
                    </a:blip>
                    <a:stretch>
                      <a:fillRect/>
                    </a:stretch>
                  </pic:blipFill>
                  <pic:spPr>
                    <a:xfrm>
                      <a:off x="0" y="0"/>
                      <a:ext cx="4077053" cy="1606354"/>
                    </a:xfrm>
                    <a:prstGeom prst="rect">
                      <a:avLst/>
                    </a:prstGeom>
                  </pic:spPr>
                </pic:pic>
              </a:graphicData>
            </a:graphic>
          </wp:inline>
        </w:drawing>
      </w:r>
      <w:r w:rsidRPr="007A646F">
        <w:rPr>
          <w:rFonts w:ascii="Palatino Linotype" w:eastAsia="Calibri" w:hAnsi="Palatino Linotype"/>
          <w:noProof/>
          <w:lang w:eastAsia="es-MX"/>
        </w:rPr>
        <w:lastRenderedPageBreak/>
        <w:drawing>
          <wp:inline distT="0" distB="0" distL="0" distR="0">
            <wp:extent cx="4259949" cy="3558848"/>
            <wp:effectExtent l="0" t="0" r="762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PNG"/>
                    <pic:cNvPicPr/>
                  </pic:nvPicPr>
                  <pic:blipFill>
                    <a:blip r:embed="rId33">
                      <a:extLst>
                        <a:ext uri="{28A0092B-C50C-407E-A947-70E740481C1C}">
                          <a14:useLocalDpi xmlns:a14="http://schemas.microsoft.com/office/drawing/2010/main" val="0"/>
                        </a:ext>
                      </a:extLst>
                    </a:blip>
                    <a:stretch>
                      <a:fillRect/>
                    </a:stretch>
                  </pic:blipFill>
                  <pic:spPr>
                    <a:xfrm>
                      <a:off x="0" y="0"/>
                      <a:ext cx="4259949" cy="3558848"/>
                    </a:xfrm>
                    <a:prstGeom prst="rect">
                      <a:avLst/>
                    </a:prstGeom>
                  </pic:spPr>
                </pic:pic>
              </a:graphicData>
            </a:graphic>
          </wp:inline>
        </w:drawing>
      </w:r>
      <w:r w:rsidRPr="007A646F">
        <w:rPr>
          <w:rFonts w:ascii="Palatino Linotype" w:eastAsia="Calibri" w:hAnsi="Palatino Linotype"/>
          <w:noProof/>
          <w:lang w:eastAsia="es-MX"/>
        </w:rPr>
        <w:drawing>
          <wp:inline distT="0" distB="0" distL="0" distR="0">
            <wp:extent cx="4221846" cy="3429297"/>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PNG"/>
                    <pic:cNvPicPr/>
                  </pic:nvPicPr>
                  <pic:blipFill>
                    <a:blip r:embed="rId34">
                      <a:extLst>
                        <a:ext uri="{28A0092B-C50C-407E-A947-70E740481C1C}">
                          <a14:useLocalDpi xmlns:a14="http://schemas.microsoft.com/office/drawing/2010/main" val="0"/>
                        </a:ext>
                      </a:extLst>
                    </a:blip>
                    <a:stretch>
                      <a:fillRect/>
                    </a:stretch>
                  </pic:blipFill>
                  <pic:spPr>
                    <a:xfrm>
                      <a:off x="0" y="0"/>
                      <a:ext cx="4221846" cy="3429297"/>
                    </a:xfrm>
                    <a:prstGeom prst="rect">
                      <a:avLst/>
                    </a:prstGeom>
                  </pic:spPr>
                </pic:pic>
              </a:graphicData>
            </a:graphic>
          </wp:inline>
        </w:drawing>
      </w:r>
      <w:r w:rsidRPr="007A646F">
        <w:rPr>
          <w:rFonts w:ascii="Palatino Linotype" w:eastAsia="Calibri" w:hAnsi="Palatino Linotype"/>
          <w:noProof/>
          <w:lang w:eastAsia="es-MX"/>
        </w:rPr>
        <w:lastRenderedPageBreak/>
        <w:drawing>
          <wp:inline distT="0" distB="0" distL="0" distR="0">
            <wp:extent cx="4229467" cy="3459780"/>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PNG"/>
                    <pic:cNvPicPr/>
                  </pic:nvPicPr>
                  <pic:blipFill>
                    <a:blip r:embed="rId35">
                      <a:extLst>
                        <a:ext uri="{28A0092B-C50C-407E-A947-70E740481C1C}">
                          <a14:useLocalDpi xmlns:a14="http://schemas.microsoft.com/office/drawing/2010/main" val="0"/>
                        </a:ext>
                      </a:extLst>
                    </a:blip>
                    <a:stretch>
                      <a:fillRect/>
                    </a:stretch>
                  </pic:blipFill>
                  <pic:spPr>
                    <a:xfrm>
                      <a:off x="0" y="0"/>
                      <a:ext cx="4229467" cy="3459780"/>
                    </a:xfrm>
                    <a:prstGeom prst="rect">
                      <a:avLst/>
                    </a:prstGeom>
                  </pic:spPr>
                </pic:pic>
              </a:graphicData>
            </a:graphic>
          </wp:inline>
        </w:drawing>
      </w:r>
      <w:r w:rsidRPr="007A646F">
        <w:rPr>
          <w:rFonts w:ascii="Palatino Linotype" w:eastAsia="Calibri" w:hAnsi="Palatino Linotype"/>
          <w:noProof/>
          <w:lang w:eastAsia="es-MX"/>
        </w:rPr>
        <w:drawing>
          <wp:inline distT="0" distB="0" distL="0" distR="0">
            <wp:extent cx="4442845" cy="3665538"/>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PNG"/>
                    <pic:cNvPicPr/>
                  </pic:nvPicPr>
                  <pic:blipFill>
                    <a:blip r:embed="rId36">
                      <a:extLst>
                        <a:ext uri="{28A0092B-C50C-407E-A947-70E740481C1C}">
                          <a14:useLocalDpi xmlns:a14="http://schemas.microsoft.com/office/drawing/2010/main" val="0"/>
                        </a:ext>
                      </a:extLst>
                    </a:blip>
                    <a:stretch>
                      <a:fillRect/>
                    </a:stretch>
                  </pic:blipFill>
                  <pic:spPr>
                    <a:xfrm>
                      <a:off x="0" y="0"/>
                      <a:ext cx="4442845" cy="3665538"/>
                    </a:xfrm>
                    <a:prstGeom prst="rect">
                      <a:avLst/>
                    </a:prstGeom>
                  </pic:spPr>
                </pic:pic>
              </a:graphicData>
            </a:graphic>
          </wp:inline>
        </w:drawing>
      </w:r>
      <w:r w:rsidRPr="007A646F">
        <w:rPr>
          <w:rFonts w:ascii="Palatino Linotype" w:eastAsia="Calibri" w:hAnsi="Palatino Linotype"/>
          <w:noProof/>
          <w:lang w:eastAsia="es-MX"/>
        </w:rPr>
        <w:lastRenderedPageBreak/>
        <w:drawing>
          <wp:inline distT="0" distB="0" distL="0" distR="0">
            <wp:extent cx="4298052" cy="3177815"/>
            <wp:effectExtent l="0" t="0" r="762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PNG"/>
                    <pic:cNvPicPr/>
                  </pic:nvPicPr>
                  <pic:blipFill>
                    <a:blip r:embed="rId37">
                      <a:extLst>
                        <a:ext uri="{28A0092B-C50C-407E-A947-70E740481C1C}">
                          <a14:useLocalDpi xmlns:a14="http://schemas.microsoft.com/office/drawing/2010/main" val="0"/>
                        </a:ext>
                      </a:extLst>
                    </a:blip>
                    <a:stretch>
                      <a:fillRect/>
                    </a:stretch>
                  </pic:blipFill>
                  <pic:spPr>
                    <a:xfrm>
                      <a:off x="0" y="0"/>
                      <a:ext cx="4298052" cy="3177815"/>
                    </a:xfrm>
                    <a:prstGeom prst="rect">
                      <a:avLst/>
                    </a:prstGeom>
                  </pic:spPr>
                </pic:pic>
              </a:graphicData>
            </a:graphic>
          </wp:inline>
        </w:drawing>
      </w:r>
      <w:r w:rsidRPr="007A646F">
        <w:rPr>
          <w:rFonts w:ascii="Palatino Linotype" w:eastAsia="Calibri" w:hAnsi="Palatino Linotype"/>
          <w:noProof/>
          <w:lang w:eastAsia="es-MX"/>
        </w:rPr>
        <w:drawing>
          <wp:inline distT="0" distB="0" distL="0" distR="0">
            <wp:extent cx="4389500" cy="3307367"/>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PNG"/>
                    <pic:cNvPicPr/>
                  </pic:nvPicPr>
                  <pic:blipFill>
                    <a:blip r:embed="rId38">
                      <a:extLst>
                        <a:ext uri="{28A0092B-C50C-407E-A947-70E740481C1C}">
                          <a14:useLocalDpi xmlns:a14="http://schemas.microsoft.com/office/drawing/2010/main" val="0"/>
                        </a:ext>
                      </a:extLst>
                    </a:blip>
                    <a:stretch>
                      <a:fillRect/>
                    </a:stretch>
                  </pic:blipFill>
                  <pic:spPr>
                    <a:xfrm>
                      <a:off x="0" y="0"/>
                      <a:ext cx="4389500" cy="3307367"/>
                    </a:xfrm>
                    <a:prstGeom prst="rect">
                      <a:avLst/>
                    </a:prstGeom>
                  </pic:spPr>
                </pic:pic>
              </a:graphicData>
            </a:graphic>
          </wp:inline>
        </w:drawing>
      </w:r>
      <w:r w:rsidRPr="007A646F">
        <w:rPr>
          <w:rFonts w:ascii="Palatino Linotype" w:eastAsia="Calibri" w:hAnsi="Palatino Linotype"/>
          <w:noProof/>
          <w:lang w:eastAsia="es-MX"/>
        </w:rPr>
        <w:lastRenderedPageBreak/>
        <w:drawing>
          <wp:inline distT="0" distB="0" distL="0" distR="0">
            <wp:extent cx="4328535" cy="310922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0.PNG"/>
                    <pic:cNvPicPr/>
                  </pic:nvPicPr>
                  <pic:blipFill>
                    <a:blip r:embed="rId39">
                      <a:extLst>
                        <a:ext uri="{28A0092B-C50C-407E-A947-70E740481C1C}">
                          <a14:useLocalDpi xmlns:a14="http://schemas.microsoft.com/office/drawing/2010/main" val="0"/>
                        </a:ext>
                      </a:extLst>
                    </a:blip>
                    <a:stretch>
                      <a:fillRect/>
                    </a:stretch>
                  </pic:blipFill>
                  <pic:spPr>
                    <a:xfrm>
                      <a:off x="0" y="0"/>
                      <a:ext cx="4328535" cy="3109229"/>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Asimismo, informó que el Sistema Municipal para la Igualdad de Trato y Oportunidades entre Mujeres y Hombres y para Prevenir, Atender, Sancionar y Erradicar la violencia contra las Mujeres de Cuautitlán Izcalli, se encontraba integrado de la siguiente manera: </w:t>
      </w:r>
    </w:p>
    <w:p w:rsidR="00503C51"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5333365" cy="261366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PNG"/>
                    <pic:cNvPicPr/>
                  </pic:nvPicPr>
                  <pic:blipFill>
                    <a:blip r:embed="rId40">
                      <a:extLst>
                        <a:ext uri="{28A0092B-C50C-407E-A947-70E740481C1C}">
                          <a14:useLocalDpi xmlns:a14="http://schemas.microsoft.com/office/drawing/2010/main" val="0"/>
                        </a:ext>
                      </a:extLst>
                    </a:blip>
                    <a:stretch>
                      <a:fillRect/>
                    </a:stretch>
                  </pic:blipFill>
                  <pic:spPr>
                    <a:xfrm>
                      <a:off x="0" y="0"/>
                      <a:ext cx="5337634" cy="2615752"/>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lastRenderedPageBreak/>
        <w:drawing>
          <wp:inline distT="0" distB="0" distL="0" distR="0">
            <wp:extent cx="5303980" cy="195851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PNG"/>
                    <pic:cNvPicPr/>
                  </pic:nvPicPr>
                  <pic:blipFill>
                    <a:blip r:embed="rId41">
                      <a:extLst>
                        <a:ext uri="{28A0092B-C50C-407E-A947-70E740481C1C}">
                          <a14:useLocalDpi xmlns:a14="http://schemas.microsoft.com/office/drawing/2010/main" val="0"/>
                        </a:ext>
                      </a:extLst>
                    </a:blip>
                    <a:stretch>
                      <a:fillRect/>
                    </a:stretch>
                  </pic:blipFill>
                  <pic:spPr>
                    <a:xfrm>
                      <a:off x="0" y="0"/>
                      <a:ext cx="5303980" cy="1958510"/>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Es así que, del análisis realizado a la respuesta proporcionada en atención al requerimiento identificado con el </w:t>
      </w:r>
      <w:r w:rsidRPr="007A646F">
        <w:rPr>
          <w:rFonts w:ascii="Palatino Linotype" w:eastAsia="Calibri" w:hAnsi="Palatino Linotype"/>
          <w:b/>
          <w:lang w:eastAsia="en-US"/>
        </w:rPr>
        <w:t xml:space="preserve">numeral 5, </w:t>
      </w:r>
      <w:r w:rsidRPr="007A646F">
        <w:rPr>
          <w:rFonts w:ascii="Palatino Linotype" w:eastAsia="Calibri" w:hAnsi="Palatino Linotype"/>
          <w:lang w:eastAsia="en-US"/>
        </w:rPr>
        <w:t xml:space="preserve">este Órgano Garante determina que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atendió cabalmente dicho requerimiento.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Por otro lado, respecto al requerimiento identificado con el</w:t>
      </w:r>
      <w:r w:rsidRPr="007A646F">
        <w:rPr>
          <w:rFonts w:ascii="Palatino Linotype" w:eastAsia="Calibri" w:hAnsi="Palatino Linotype"/>
          <w:b/>
          <w:lang w:eastAsia="en-US"/>
        </w:rPr>
        <w:t xml:space="preserve"> numeral 6</w:t>
      </w:r>
      <w:r w:rsidRPr="007A646F">
        <w:rPr>
          <w:rFonts w:ascii="Palatino Linotype" w:eastAsia="Calibri" w:hAnsi="Palatino Linotype"/>
          <w:lang w:eastAsia="en-US"/>
        </w:rPr>
        <w:t xml:space="preserve">, consistente en la </w:t>
      </w:r>
      <w:r w:rsidRPr="007A646F">
        <w:rPr>
          <w:rFonts w:ascii="Palatino Linotype" w:eastAsia="Calibri" w:hAnsi="Palatino Linotype"/>
          <w:i/>
          <w:lang w:eastAsia="en-US"/>
        </w:rPr>
        <w:t xml:space="preserve">fecha de conformación de la (s) comisiones de igualdad y violencia contra las mujeres Informe de actividades que realizan las comisiones; </w:t>
      </w:r>
      <w:r w:rsidRPr="007A646F">
        <w:rPr>
          <w:rFonts w:ascii="Palatino Linotype" w:eastAsia="Calibri" w:hAnsi="Palatino Linotype"/>
          <w:lang w:eastAsia="en-US"/>
        </w:rPr>
        <w:t xml:space="preserve">al respecto, la Quinta Regidora como Presidenta de la Comisión Edilicia de Atención a la Violencia en contra de las Mujeres, informó que la instalación de la Comisión se realizó el 28 de enero de 2019, cuyos integrantes son los siguientes: </w:t>
      </w:r>
    </w:p>
    <w:p w:rsidR="00B909BE" w:rsidRPr="007A646F" w:rsidRDefault="00B909BE" w:rsidP="00B9215F">
      <w:pPr>
        <w:spacing w:line="360" w:lineRule="auto"/>
        <w:jc w:val="both"/>
        <w:rPr>
          <w:rFonts w:ascii="Palatino Linotype" w:eastAsia="Calibri" w:hAnsi="Palatino Linotype"/>
          <w:lang w:eastAsia="en-US"/>
        </w:rPr>
      </w:pPr>
    </w:p>
    <w:tbl>
      <w:tblPr>
        <w:tblStyle w:val="Tablaconcuadrcula3"/>
        <w:tblW w:w="0" w:type="auto"/>
        <w:jc w:val="center"/>
        <w:tblLook w:val="04A0" w:firstRow="1" w:lastRow="0" w:firstColumn="1" w:lastColumn="0" w:noHBand="0" w:noVBand="1"/>
      </w:tblPr>
      <w:tblGrid>
        <w:gridCol w:w="1413"/>
        <w:gridCol w:w="5953"/>
      </w:tblGrid>
      <w:tr w:rsidR="00B909BE" w:rsidRPr="007A646F">
        <w:trPr>
          <w:jc w:val="center"/>
        </w:trPr>
        <w:tc>
          <w:tcPr>
            <w:tcW w:w="1413" w:type="dxa"/>
          </w:tcPr>
          <w:p w:rsidR="00B909BE" w:rsidRPr="007A646F" w:rsidRDefault="00B909BE" w:rsidP="00B9215F">
            <w:pPr>
              <w:spacing w:line="360" w:lineRule="auto"/>
              <w:jc w:val="both"/>
              <w:rPr>
                <w:rFonts w:ascii="Palatino Linotype" w:eastAsia="Calibri" w:hAnsi="Palatino Linotype"/>
                <w:b/>
              </w:rPr>
            </w:pPr>
            <w:r w:rsidRPr="007A646F">
              <w:rPr>
                <w:rFonts w:ascii="Palatino Linotype" w:eastAsia="Calibri" w:hAnsi="Palatino Linotype"/>
                <w:b/>
              </w:rPr>
              <w:t>CARGO</w:t>
            </w:r>
          </w:p>
        </w:tc>
        <w:tc>
          <w:tcPr>
            <w:tcW w:w="5953" w:type="dxa"/>
          </w:tcPr>
          <w:p w:rsidR="00B909BE" w:rsidRPr="007A646F" w:rsidRDefault="00B909BE" w:rsidP="00B9215F">
            <w:pPr>
              <w:spacing w:line="360" w:lineRule="auto"/>
              <w:jc w:val="both"/>
              <w:rPr>
                <w:rFonts w:ascii="Palatino Linotype" w:eastAsia="Calibri" w:hAnsi="Palatino Linotype"/>
                <w:b/>
              </w:rPr>
            </w:pPr>
            <w:r w:rsidRPr="007A646F">
              <w:rPr>
                <w:rFonts w:ascii="Palatino Linotype" w:eastAsia="Calibri" w:hAnsi="Palatino Linotype"/>
                <w:b/>
              </w:rPr>
              <w:t>INTEGRANTE</w:t>
            </w:r>
          </w:p>
        </w:tc>
      </w:tr>
      <w:tr w:rsidR="00B909BE" w:rsidRPr="007A646F">
        <w:trPr>
          <w:jc w:val="center"/>
        </w:trPr>
        <w:tc>
          <w:tcPr>
            <w:tcW w:w="141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 xml:space="preserve">Presidente </w:t>
            </w:r>
          </w:p>
        </w:tc>
        <w:tc>
          <w:tcPr>
            <w:tcW w:w="5953" w:type="dxa"/>
          </w:tcPr>
          <w:p w:rsidR="00B909BE" w:rsidRPr="007A646F" w:rsidRDefault="00B909BE" w:rsidP="00B9215F">
            <w:pPr>
              <w:spacing w:line="360" w:lineRule="auto"/>
              <w:jc w:val="both"/>
              <w:rPr>
                <w:rFonts w:ascii="Palatino Linotype" w:eastAsia="Calibri" w:hAnsi="Palatino Linotype"/>
              </w:rPr>
            </w:pPr>
            <w:proofErr w:type="spellStart"/>
            <w:r w:rsidRPr="007A646F">
              <w:rPr>
                <w:rFonts w:ascii="Palatino Linotype" w:eastAsia="Calibri" w:hAnsi="Palatino Linotype"/>
              </w:rPr>
              <w:t>Meybi</w:t>
            </w:r>
            <w:proofErr w:type="spellEnd"/>
            <w:r w:rsidRPr="007A646F">
              <w:rPr>
                <w:rFonts w:ascii="Palatino Linotype" w:eastAsia="Calibri" w:hAnsi="Palatino Linotype"/>
              </w:rPr>
              <w:t xml:space="preserve"> Lesbia Zoraida Segura Zárate – Quinta Regidora </w:t>
            </w:r>
          </w:p>
        </w:tc>
      </w:tr>
      <w:tr w:rsidR="00B909BE" w:rsidRPr="007A646F">
        <w:trPr>
          <w:jc w:val="center"/>
        </w:trPr>
        <w:tc>
          <w:tcPr>
            <w:tcW w:w="141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 xml:space="preserve">Secretario </w:t>
            </w:r>
          </w:p>
        </w:tc>
        <w:tc>
          <w:tcPr>
            <w:tcW w:w="595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 xml:space="preserve">Claudia Adela Bravo </w:t>
            </w:r>
            <w:proofErr w:type="spellStart"/>
            <w:r w:rsidRPr="007A646F">
              <w:rPr>
                <w:rFonts w:ascii="Palatino Linotype" w:eastAsia="Calibri" w:hAnsi="Palatino Linotype"/>
              </w:rPr>
              <w:t>Langle</w:t>
            </w:r>
            <w:proofErr w:type="spellEnd"/>
            <w:r w:rsidRPr="007A646F">
              <w:rPr>
                <w:rFonts w:ascii="Palatino Linotype" w:eastAsia="Calibri" w:hAnsi="Palatino Linotype"/>
              </w:rPr>
              <w:t xml:space="preserve"> – Décimo Segunda Regidora </w:t>
            </w:r>
          </w:p>
        </w:tc>
      </w:tr>
      <w:tr w:rsidR="00B909BE" w:rsidRPr="007A646F">
        <w:trPr>
          <w:jc w:val="center"/>
        </w:trPr>
        <w:tc>
          <w:tcPr>
            <w:tcW w:w="141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Vocal</w:t>
            </w:r>
          </w:p>
        </w:tc>
        <w:tc>
          <w:tcPr>
            <w:tcW w:w="595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 xml:space="preserve">Romina Jiménez Bárcena – Tercera Regidora </w:t>
            </w:r>
          </w:p>
        </w:tc>
      </w:tr>
      <w:tr w:rsidR="00B909BE" w:rsidRPr="007A646F">
        <w:trPr>
          <w:jc w:val="center"/>
        </w:trPr>
        <w:tc>
          <w:tcPr>
            <w:tcW w:w="141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Vocal</w:t>
            </w:r>
          </w:p>
        </w:tc>
        <w:tc>
          <w:tcPr>
            <w:tcW w:w="595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 xml:space="preserve">Luis Trejo Hernández – Sexto Regidor </w:t>
            </w:r>
          </w:p>
        </w:tc>
      </w:tr>
      <w:tr w:rsidR="00B909BE" w:rsidRPr="007A646F">
        <w:trPr>
          <w:jc w:val="center"/>
        </w:trPr>
        <w:tc>
          <w:tcPr>
            <w:tcW w:w="141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lastRenderedPageBreak/>
              <w:t>Vocal</w:t>
            </w:r>
          </w:p>
        </w:tc>
        <w:tc>
          <w:tcPr>
            <w:tcW w:w="595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 xml:space="preserve">Guadalupe Rivera y Santiago – Primer Regidora </w:t>
            </w:r>
          </w:p>
        </w:tc>
      </w:tr>
      <w:tr w:rsidR="00B909BE" w:rsidRPr="007A646F">
        <w:trPr>
          <w:jc w:val="center"/>
        </w:trPr>
        <w:tc>
          <w:tcPr>
            <w:tcW w:w="141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Vocal</w:t>
            </w:r>
          </w:p>
        </w:tc>
        <w:tc>
          <w:tcPr>
            <w:tcW w:w="5953" w:type="dxa"/>
          </w:tcPr>
          <w:p w:rsidR="00B909BE" w:rsidRPr="007A646F" w:rsidRDefault="00B909BE" w:rsidP="00B9215F">
            <w:pPr>
              <w:spacing w:line="360" w:lineRule="auto"/>
              <w:jc w:val="both"/>
              <w:rPr>
                <w:rFonts w:ascii="Palatino Linotype" w:eastAsia="Calibri" w:hAnsi="Palatino Linotype"/>
              </w:rPr>
            </w:pPr>
            <w:r w:rsidRPr="007A646F">
              <w:rPr>
                <w:rFonts w:ascii="Palatino Linotype" w:eastAsia="Calibri" w:hAnsi="Palatino Linotype"/>
              </w:rPr>
              <w:t xml:space="preserve">Joanna Alejandra Felipe Torres – Tercer </w:t>
            </w:r>
            <w:proofErr w:type="spellStart"/>
            <w:r w:rsidRPr="007A646F">
              <w:rPr>
                <w:rFonts w:ascii="Palatino Linotype" w:eastAsia="Calibri" w:hAnsi="Palatino Linotype"/>
              </w:rPr>
              <w:t>Sídico</w:t>
            </w:r>
            <w:proofErr w:type="spellEnd"/>
            <w:r w:rsidRPr="007A646F">
              <w:rPr>
                <w:rFonts w:ascii="Palatino Linotype" w:eastAsia="Calibri" w:hAnsi="Palatino Linotype"/>
              </w:rPr>
              <w:t xml:space="preserve"> </w:t>
            </w:r>
          </w:p>
        </w:tc>
      </w:tr>
    </w:tbl>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Asimismo, para dar respuesta a las actividades y resultados, adjuntó los informes trimestrales de la comisión durante el año 2019, haciendo la precisión que el informe correspondiente al primer trimestre del año 2019, la instalación del trabajo se realizó el 28 de enero de 2019 y se turnó a dos sesiones, posteriormente a su instalación los días 28 de marzo y 29 de marzo del año 2019, en la cuales se acordó la creación de un plan de trabajo y una ruta a seguir, así como los días en que se sesionaría, quedando los días 28 de cada mes para turnar a comisión.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A79E9" w:rsidP="00B9215F">
      <w:pPr>
        <w:spacing w:line="360" w:lineRule="auto"/>
        <w:jc w:val="both"/>
        <w:rPr>
          <w:rFonts w:ascii="Palatino Linotype" w:eastAsia="Calibri" w:hAnsi="Palatino Linotype"/>
          <w:lang w:eastAsia="en-US"/>
        </w:rPr>
      </w:pPr>
      <w:r>
        <w:rPr>
          <w:rFonts w:ascii="Palatino Linotype" w:eastAsia="Calibri" w:hAnsi="Palatino Linotype"/>
          <w:noProof/>
          <w:lang w:val="es-ES_tradnl" w:eastAsia="es-ES_tradnl"/>
        </w:rPr>
        <w:pict>
          <v:line id="_x0000_s1030" style="position:absolute;left:0;text-align:left;z-index:251662336;mso-wrap-edited:f" from="0,99.1pt" to="477pt,306.1pt" wrapcoords="-33 -156 -135 469 -101 704 169 1095 20207 21130 21328 22226 21769 22226 21837 21678 21769 21443 169 -156 -33 -156" strokecolor="#4a7ebb" strokeweight="3.5pt">
            <v:fill o:detectmouseclick="t"/>
            <v:shadow on="t" opacity="22938f" offset="0"/>
            <w10:wrap type="tight"/>
          </v:line>
        </w:pict>
      </w:r>
      <w:r w:rsidR="00B909BE" w:rsidRPr="007A646F">
        <w:rPr>
          <w:rFonts w:ascii="Palatino Linotype" w:eastAsia="Calibri" w:hAnsi="Palatino Linotype"/>
          <w:lang w:eastAsia="en-US"/>
        </w:rPr>
        <w:t xml:space="preserve">Por lo anterior, únicamente adjuntó el segundo, tercer y cuarto informe trimestral de actividades, trabajo y gestiones realizadas por la Comisión de la Atención a la Violencia en contra de las Mujeres, para mayor referencia se insertan las siguientes imágenes: </w:t>
      </w:r>
    </w:p>
    <w:p w:rsidR="00503C51" w:rsidRPr="007A646F" w:rsidRDefault="00BA79E9" w:rsidP="00B9215F">
      <w:pPr>
        <w:spacing w:line="360" w:lineRule="auto"/>
        <w:jc w:val="both"/>
        <w:rPr>
          <w:rFonts w:ascii="Palatino Linotype" w:eastAsia="Calibri" w:hAnsi="Palatino Linotype"/>
          <w:lang w:eastAsia="en-US"/>
        </w:rPr>
      </w:pPr>
      <w:r>
        <w:rPr>
          <w:rFonts w:ascii="Palatino Linotype" w:eastAsia="Calibri" w:hAnsi="Palatino Linotype"/>
          <w:noProof/>
          <w:lang w:val="es-ES_tradnl" w:eastAsia="es-ES_tradnl"/>
        </w:rPr>
        <w:lastRenderedPageBreak/>
        <w:pict>
          <v:line id="_x0000_s1031" style="position:absolute;left:0;text-align:left;z-index:251663360;mso-wrap-edited:f;mso-position-horizontal:absolute;mso-position-vertical:absolute" from="18pt,273.65pt" to="468pt,570.65pt" wrapcoords="-36 -120 -108 300 -108 540 108 840 21348 22080 21780 22080 21852 21660 21708 21420 144 -120 -36 -120" strokecolor="#4a7ebb" strokeweight="3.5pt">
            <v:fill o:detectmouseclick="t"/>
            <v:shadow on="t" opacity="22938f" offset="0"/>
            <w10:wrap type="tight"/>
          </v:line>
        </w:pict>
      </w:r>
      <w:r w:rsidR="00B909BE" w:rsidRPr="007A646F">
        <w:rPr>
          <w:rFonts w:ascii="Palatino Linotype" w:eastAsia="Calibri" w:hAnsi="Palatino Linotype"/>
          <w:noProof/>
          <w:lang w:eastAsia="es-MX"/>
        </w:rPr>
        <w:drawing>
          <wp:inline distT="0" distB="0" distL="0" distR="0">
            <wp:extent cx="5612130" cy="304800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PNG"/>
                    <pic:cNvPicPr/>
                  </pic:nvPicPr>
                  <pic:blipFill>
                    <a:blip r:embed="rId42">
                      <a:extLst>
                        <a:ext uri="{28A0092B-C50C-407E-A947-70E740481C1C}">
                          <a14:useLocalDpi xmlns:a14="http://schemas.microsoft.com/office/drawing/2010/main" val="0"/>
                        </a:ext>
                      </a:extLst>
                    </a:blip>
                    <a:stretch>
                      <a:fillRect/>
                    </a:stretch>
                  </pic:blipFill>
                  <pic:spPr>
                    <a:xfrm>
                      <a:off x="0" y="0"/>
                      <a:ext cx="5612130" cy="3048000"/>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noProof/>
          <w:lang w:eastAsia="es-MX"/>
        </w:rPr>
        <w:lastRenderedPageBreak/>
        <w:drawing>
          <wp:inline distT="0" distB="0" distL="0" distR="0">
            <wp:extent cx="5612130" cy="331470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PNG"/>
                    <pic:cNvPicPr/>
                  </pic:nvPicPr>
                  <pic:blipFill>
                    <a:blip r:embed="rId43">
                      <a:extLst>
                        <a:ext uri="{28A0092B-C50C-407E-A947-70E740481C1C}">
                          <a14:useLocalDpi xmlns:a14="http://schemas.microsoft.com/office/drawing/2010/main" val="0"/>
                        </a:ext>
                      </a:extLst>
                    </a:blip>
                    <a:stretch>
                      <a:fillRect/>
                    </a:stretch>
                  </pic:blipFill>
                  <pic:spPr>
                    <a:xfrm>
                      <a:off x="0" y="0"/>
                      <a:ext cx="5612130" cy="3314700"/>
                    </a:xfrm>
                    <a:prstGeom prst="rect">
                      <a:avLst/>
                    </a:prstGeom>
                  </pic:spPr>
                </pic:pic>
              </a:graphicData>
            </a:graphic>
          </wp:inline>
        </w:drawing>
      </w:r>
      <w:r w:rsidRPr="007A646F">
        <w:rPr>
          <w:rFonts w:ascii="Palatino Linotype" w:eastAsia="Calibri" w:hAnsi="Palatino Linotype"/>
          <w:noProof/>
          <w:lang w:eastAsia="es-MX"/>
        </w:rPr>
        <w:drawing>
          <wp:inline distT="0" distB="0" distL="0" distR="0">
            <wp:extent cx="5612130" cy="385572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PNG"/>
                    <pic:cNvPicPr/>
                  </pic:nvPicPr>
                  <pic:blipFill>
                    <a:blip r:embed="rId44">
                      <a:extLst>
                        <a:ext uri="{28A0092B-C50C-407E-A947-70E740481C1C}">
                          <a14:useLocalDpi xmlns:a14="http://schemas.microsoft.com/office/drawing/2010/main" val="0"/>
                        </a:ext>
                      </a:extLst>
                    </a:blip>
                    <a:stretch>
                      <a:fillRect/>
                    </a:stretch>
                  </pic:blipFill>
                  <pic:spPr>
                    <a:xfrm>
                      <a:off x="0" y="0"/>
                      <a:ext cx="5612130" cy="3855720"/>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noProof/>
          <w:sz w:val="22"/>
          <w:szCs w:val="22"/>
          <w:lang w:eastAsia="es-MX"/>
        </w:rPr>
        <w:lastRenderedPageBreak/>
        <w:drawing>
          <wp:inline distT="0" distB="0" distL="0" distR="0">
            <wp:extent cx="5612130" cy="1538605"/>
            <wp:effectExtent l="0" t="0" r="762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1538605"/>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su parte, el Síndico Municipal informó que el día martes tres de septiembre se instaló la Comisión Municipal de Igualdad de Género, la cual ha tenido las siguientes propuestas: </w:t>
      </w:r>
    </w:p>
    <w:p w:rsidR="00B909BE" w:rsidRPr="007A646F" w:rsidRDefault="00B909BE" w:rsidP="00B9215F">
      <w:pPr>
        <w:numPr>
          <w:ilvl w:val="0"/>
          <w:numId w:val="43"/>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Creación del Programa Lugares Seguros</w:t>
      </w:r>
    </w:p>
    <w:p w:rsidR="00B909BE" w:rsidRPr="007A646F" w:rsidRDefault="00B909BE" w:rsidP="00B9215F">
      <w:pPr>
        <w:numPr>
          <w:ilvl w:val="0"/>
          <w:numId w:val="43"/>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Creación de la Red Ciudadana Alerta Mujer</w:t>
      </w:r>
    </w:p>
    <w:p w:rsidR="00B909BE" w:rsidRPr="007A646F" w:rsidRDefault="00B909BE" w:rsidP="00B9215F">
      <w:pPr>
        <w:numPr>
          <w:ilvl w:val="0"/>
          <w:numId w:val="43"/>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 xml:space="preserve">Se ha dado asesoría y acompañamiento a 18 mujeres que sufren de violencia de genero </w:t>
      </w:r>
    </w:p>
    <w:p w:rsidR="00B909BE" w:rsidRPr="007A646F" w:rsidRDefault="00B909BE" w:rsidP="00B9215F">
      <w:pPr>
        <w:numPr>
          <w:ilvl w:val="0"/>
          <w:numId w:val="43"/>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Se incluyó el Acoso Callejero como falta administrativa en el Municipio de Cuautitlán Izcalli</w:t>
      </w:r>
    </w:p>
    <w:p w:rsidR="00B909BE" w:rsidRPr="007A646F" w:rsidRDefault="00B909BE" w:rsidP="00B9215F">
      <w:pPr>
        <w:numPr>
          <w:ilvl w:val="0"/>
          <w:numId w:val="43"/>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Se ha dado asesoría a mujeres que sufren de acoso laboral</w:t>
      </w:r>
    </w:p>
    <w:p w:rsidR="00B909BE" w:rsidRPr="007A646F" w:rsidRDefault="00B909BE" w:rsidP="00B9215F">
      <w:pPr>
        <w:numPr>
          <w:ilvl w:val="0"/>
          <w:numId w:val="43"/>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Se han generado Protocolos para la Protección a las Mujeres</w:t>
      </w:r>
    </w:p>
    <w:p w:rsidR="00B909BE" w:rsidRPr="007A646F" w:rsidRDefault="00B909BE" w:rsidP="00B9215F">
      <w:pPr>
        <w:numPr>
          <w:ilvl w:val="0"/>
          <w:numId w:val="43"/>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 xml:space="preserve">Se revisó el presupuesto de la Unidad Especializada en Prevención de violencia familiar y de Género.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b/>
          <w:lang w:eastAsia="en-US"/>
        </w:rPr>
      </w:pPr>
      <w:r w:rsidRPr="007A646F">
        <w:rPr>
          <w:rFonts w:ascii="Palatino Linotype" w:eastAsia="Calibri" w:hAnsi="Palatino Linotype"/>
          <w:lang w:eastAsia="en-US"/>
        </w:rPr>
        <w:t xml:space="preserve">De lo anterior, este Órgano Garante determina que se tiene por satisfizo el derecho de acceso a la información en relación al requerimiento identificado con el </w:t>
      </w:r>
      <w:r w:rsidRPr="007A646F">
        <w:rPr>
          <w:rFonts w:ascii="Palatino Linotype" w:eastAsia="Calibri" w:hAnsi="Palatino Linotype"/>
          <w:b/>
          <w:lang w:eastAsia="en-US"/>
        </w:rPr>
        <w:t xml:space="preserve">numeral 6. </w:t>
      </w:r>
    </w:p>
    <w:p w:rsidR="00B909BE" w:rsidRPr="007A646F" w:rsidRDefault="00B909BE" w:rsidP="00B9215F">
      <w:pPr>
        <w:spacing w:line="360" w:lineRule="auto"/>
        <w:jc w:val="both"/>
        <w:rPr>
          <w:rFonts w:ascii="Palatino Linotype" w:eastAsia="Calibri" w:hAnsi="Palatino Linotype"/>
          <w:b/>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lastRenderedPageBreak/>
        <w:t xml:space="preserve">En otro orden de ideas, respecto al requerimiento identificado con el </w:t>
      </w:r>
      <w:r w:rsidRPr="007A646F">
        <w:rPr>
          <w:rFonts w:ascii="Palatino Linotype" w:eastAsia="Calibri" w:hAnsi="Palatino Linotype"/>
          <w:b/>
          <w:lang w:eastAsia="en-US"/>
        </w:rPr>
        <w:t>numeral</w:t>
      </w:r>
      <w:r w:rsidRPr="007A646F">
        <w:rPr>
          <w:rFonts w:ascii="Palatino Linotype" w:eastAsia="Calibri" w:hAnsi="Palatino Linotype"/>
          <w:lang w:eastAsia="en-US"/>
        </w:rPr>
        <w:t xml:space="preserve"> </w:t>
      </w:r>
      <w:r w:rsidRPr="007A646F">
        <w:rPr>
          <w:rFonts w:ascii="Palatino Linotype" w:eastAsia="Calibri" w:hAnsi="Palatino Linotype"/>
          <w:b/>
          <w:lang w:eastAsia="en-US"/>
        </w:rPr>
        <w:t xml:space="preserve">7, </w:t>
      </w:r>
      <w:r w:rsidRPr="007A646F">
        <w:rPr>
          <w:rFonts w:ascii="Palatino Linotype" w:eastAsia="Calibri" w:hAnsi="Palatino Linotype"/>
          <w:lang w:eastAsia="en-US"/>
        </w:rPr>
        <w:t xml:space="preserve">relacionado con </w:t>
      </w:r>
      <w:r w:rsidRPr="007A646F">
        <w:rPr>
          <w:rFonts w:ascii="Palatino Linotype" w:eastAsia="Calibri" w:hAnsi="Palatino Linotype"/>
          <w:i/>
          <w:lang w:eastAsia="en-US"/>
        </w:rPr>
        <w:t xml:space="preserve">las reformas al Bando Municipal y Buen Gobierno que ha realizado la presente administración para dar seguimiento a la Declaratoria de Alerta de Violencia de Género contra las Mujeres; </w:t>
      </w:r>
      <w:r w:rsidRPr="007A646F">
        <w:rPr>
          <w:rFonts w:ascii="Palatino Linotype" w:eastAsia="Calibri" w:hAnsi="Palatino Linotype"/>
          <w:lang w:eastAsia="en-US"/>
        </w:rPr>
        <w:t xml:space="preserve">al respecto,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señaló las siguientes: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5370830" cy="5768340"/>
            <wp:effectExtent l="0" t="0" r="127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PNG"/>
                    <pic:cNvPicPr/>
                  </pic:nvPicPr>
                  <pic:blipFill>
                    <a:blip r:embed="rId46">
                      <a:extLst>
                        <a:ext uri="{28A0092B-C50C-407E-A947-70E740481C1C}">
                          <a14:useLocalDpi xmlns:a14="http://schemas.microsoft.com/office/drawing/2010/main" val="0"/>
                        </a:ext>
                      </a:extLst>
                    </a:blip>
                    <a:stretch>
                      <a:fillRect/>
                    </a:stretch>
                  </pic:blipFill>
                  <pic:spPr>
                    <a:xfrm>
                      <a:off x="0" y="0"/>
                      <a:ext cx="5381503" cy="5779803"/>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lastRenderedPageBreak/>
        <w:drawing>
          <wp:inline distT="0" distB="0" distL="0" distR="0">
            <wp:extent cx="4960741" cy="6606540"/>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PNG"/>
                    <pic:cNvPicPr/>
                  </pic:nvPicPr>
                  <pic:blipFill>
                    <a:blip r:embed="rId47">
                      <a:extLst>
                        <a:ext uri="{28A0092B-C50C-407E-A947-70E740481C1C}">
                          <a14:useLocalDpi xmlns:a14="http://schemas.microsoft.com/office/drawing/2010/main" val="0"/>
                        </a:ext>
                      </a:extLst>
                    </a:blip>
                    <a:stretch>
                      <a:fillRect/>
                    </a:stretch>
                  </pic:blipFill>
                  <pic:spPr>
                    <a:xfrm>
                      <a:off x="0" y="0"/>
                      <a:ext cx="4969568" cy="6618296"/>
                    </a:xfrm>
                    <a:prstGeom prst="rect">
                      <a:avLst/>
                    </a:prstGeom>
                  </pic:spPr>
                </pic:pic>
              </a:graphicData>
            </a:graphic>
          </wp:inline>
        </w:drawing>
      </w:r>
      <w:r w:rsidRPr="007A646F">
        <w:rPr>
          <w:rFonts w:ascii="Palatino Linotype" w:eastAsia="Calibri" w:hAnsi="Palatino Linotype"/>
          <w:noProof/>
          <w:lang w:eastAsia="es-MX"/>
        </w:rPr>
        <w:lastRenderedPageBreak/>
        <w:drawing>
          <wp:inline distT="0" distB="0" distL="0" distR="0">
            <wp:extent cx="5052193" cy="4107180"/>
            <wp:effectExtent l="0" t="0" r="0"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PNG"/>
                    <pic:cNvPicPr/>
                  </pic:nvPicPr>
                  <pic:blipFill>
                    <a:blip r:embed="rId48">
                      <a:extLst>
                        <a:ext uri="{28A0092B-C50C-407E-A947-70E740481C1C}">
                          <a14:useLocalDpi xmlns:a14="http://schemas.microsoft.com/office/drawing/2010/main" val="0"/>
                        </a:ext>
                      </a:extLst>
                    </a:blip>
                    <a:stretch>
                      <a:fillRect/>
                    </a:stretch>
                  </pic:blipFill>
                  <pic:spPr>
                    <a:xfrm>
                      <a:off x="0" y="0"/>
                      <a:ext cx="5057887" cy="4111809"/>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Es así que, del análisis realizado a dicha respuesta, este Órgano Garante determina que se tiene por atendido el derecho de acceso de información accionado por el particular.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cs="Arial"/>
          <w:lang w:eastAsia="en-US"/>
        </w:rPr>
      </w:pPr>
      <w:r w:rsidRPr="007A646F">
        <w:rPr>
          <w:rFonts w:ascii="Palatino Linotype" w:eastAsia="Calibri" w:hAnsi="Palatino Linotype"/>
          <w:lang w:eastAsia="en-US"/>
        </w:rPr>
        <w:t xml:space="preserve">Ahora bien, respecto a la solicitud realizada por el particular identificada con el </w:t>
      </w:r>
      <w:r w:rsidRPr="007A646F">
        <w:rPr>
          <w:rFonts w:ascii="Palatino Linotype" w:eastAsia="Calibri" w:hAnsi="Palatino Linotype"/>
          <w:b/>
          <w:lang w:eastAsia="en-US"/>
        </w:rPr>
        <w:t xml:space="preserve">numeral 8, </w:t>
      </w:r>
      <w:r w:rsidRPr="007A646F">
        <w:rPr>
          <w:rFonts w:ascii="Palatino Linotype" w:eastAsia="Calibri" w:hAnsi="Palatino Linotype"/>
          <w:lang w:eastAsia="en-US"/>
        </w:rPr>
        <w:t xml:space="preserve">relacionada con la </w:t>
      </w:r>
      <w:r w:rsidRPr="007A646F">
        <w:rPr>
          <w:rFonts w:ascii="Palatino Linotype" w:eastAsia="Calibri" w:hAnsi="Palatino Linotype"/>
          <w:i/>
          <w:lang w:eastAsia="en-US"/>
        </w:rPr>
        <w:t xml:space="preserve">implementación y evaluación de políticas municipales en materia de igualdad de trato y oportunidades entre mujeres y hombres, en concordancia con la Política Estatal y Nacional durante el 2019; </w:t>
      </w:r>
      <w:r w:rsidRPr="007A646F">
        <w:rPr>
          <w:rFonts w:ascii="Palatino Linotype" w:eastAsia="Calibri" w:hAnsi="Palatino Linotype"/>
          <w:lang w:eastAsia="en-US"/>
        </w:rPr>
        <w:t xml:space="preserve">al respecto, este Órgano Garante determina que se tiene por satisfizo dicho requerimiento, pues del contenido del archivo </w:t>
      </w:r>
      <w:r w:rsidRPr="007A646F">
        <w:rPr>
          <w:rFonts w:ascii="Palatino Linotype" w:eastAsia="Calibri" w:hAnsi="Palatino Linotype"/>
          <w:lang w:eastAsia="en-US"/>
        </w:rPr>
        <w:lastRenderedPageBreak/>
        <w:t xml:space="preserve">denominado </w:t>
      </w:r>
      <w:r w:rsidRPr="007A646F">
        <w:rPr>
          <w:rFonts w:ascii="Palatino Linotype" w:eastAsia="Calibri" w:hAnsi="Palatino Linotype"/>
          <w:b/>
          <w:lang w:eastAsia="en-US"/>
        </w:rPr>
        <w:t>78-2020 IMIEMH.pdf</w:t>
      </w:r>
      <w:r w:rsidRPr="007A646F">
        <w:rPr>
          <w:rFonts w:ascii="Palatino Linotype" w:eastAsia="Calibri" w:hAnsi="Palatino Linotype"/>
          <w:b/>
          <w:sz w:val="20"/>
          <w:szCs w:val="20"/>
          <w:lang w:eastAsia="en-US"/>
        </w:rPr>
        <w:t xml:space="preserve">, </w:t>
      </w:r>
      <w:r w:rsidRPr="007A646F">
        <w:rPr>
          <w:rFonts w:ascii="Palatino Linotype" w:eastAsia="Calibri" w:hAnsi="Palatino Linotype" w:cs="Arial"/>
          <w:lang w:eastAsia="en-US"/>
        </w:rPr>
        <w:t xml:space="preserve">la Titular del Instituto Municipal para la Igualdad entre Mujeres y Hombres, relacionó las siguientes: </w:t>
      </w:r>
    </w:p>
    <w:p w:rsidR="00B909BE" w:rsidRPr="007A646F" w:rsidRDefault="00BA79E9" w:rsidP="00B9215F">
      <w:pPr>
        <w:spacing w:line="360" w:lineRule="auto"/>
        <w:jc w:val="center"/>
        <w:rPr>
          <w:rFonts w:ascii="Palatino Linotype" w:eastAsia="Calibri" w:hAnsi="Palatino Linotype" w:cs="Arial"/>
          <w:lang w:eastAsia="en-US"/>
        </w:rPr>
      </w:pPr>
      <w:r>
        <w:rPr>
          <w:rFonts w:ascii="Palatino Linotype" w:eastAsia="Calibri" w:hAnsi="Palatino Linotype" w:cs="Arial"/>
          <w:noProof/>
          <w:lang w:val="es-ES_tradnl" w:eastAsia="es-ES_tradnl"/>
        </w:rPr>
        <w:pict>
          <v:line id="_x0000_s1032" style="position:absolute;left:0;text-align:left;z-index:251664384;mso-wrap-edited:f;mso-position-horizontal:absolute;mso-position-vertical:absolute" from="18pt,126.1pt" to="468pt,522.1pt" wrapcoords="-38 -116 -153 348 -114 638 21331 22064 21791 22064 21868 21716 21829 21600 21561 21251 2451 2148 153 -116 -38 -116" strokecolor="#4a7ebb" strokeweight="3.5pt">
            <v:fill o:detectmouseclick="t"/>
            <v:shadow on="t" opacity="22938f" offset="0"/>
            <w10:wrap type="tight"/>
          </v:line>
        </w:pict>
      </w:r>
      <w:r w:rsidR="00B909BE" w:rsidRPr="007A646F">
        <w:rPr>
          <w:rFonts w:ascii="Palatino Linotype" w:eastAsia="Calibri" w:hAnsi="Palatino Linotype" w:cs="Arial"/>
          <w:noProof/>
          <w:lang w:eastAsia="es-MX"/>
        </w:rPr>
        <w:drawing>
          <wp:inline distT="0" distB="0" distL="0" distR="0">
            <wp:extent cx="4800600" cy="135970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PNG"/>
                    <pic:cNvPicPr/>
                  </pic:nvPicPr>
                  <pic:blipFill>
                    <a:blip r:embed="rId49">
                      <a:extLst>
                        <a:ext uri="{28A0092B-C50C-407E-A947-70E740481C1C}">
                          <a14:useLocalDpi xmlns:a14="http://schemas.microsoft.com/office/drawing/2010/main" val="0"/>
                        </a:ext>
                      </a:extLst>
                    </a:blip>
                    <a:stretch>
                      <a:fillRect/>
                    </a:stretch>
                  </pic:blipFill>
                  <pic:spPr>
                    <a:xfrm>
                      <a:off x="0" y="0"/>
                      <a:ext cx="4876105" cy="1381094"/>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cs="Arial"/>
          <w:lang w:eastAsia="en-US"/>
        </w:rPr>
      </w:pPr>
      <w:r w:rsidRPr="007A646F">
        <w:rPr>
          <w:rFonts w:ascii="Palatino Linotype" w:eastAsia="Calibri" w:hAnsi="Palatino Linotype" w:cs="Arial"/>
          <w:noProof/>
          <w:lang w:eastAsia="es-MX"/>
        </w:rPr>
        <w:lastRenderedPageBreak/>
        <w:drawing>
          <wp:inline distT="0" distB="0" distL="0" distR="0">
            <wp:extent cx="4784725" cy="5783580"/>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PNG"/>
                    <pic:cNvPicPr/>
                  </pic:nvPicPr>
                  <pic:blipFill>
                    <a:blip r:embed="rId50">
                      <a:extLst>
                        <a:ext uri="{28A0092B-C50C-407E-A947-70E740481C1C}">
                          <a14:useLocalDpi xmlns:a14="http://schemas.microsoft.com/office/drawing/2010/main" val="0"/>
                        </a:ext>
                      </a:extLst>
                    </a:blip>
                    <a:stretch>
                      <a:fillRect/>
                    </a:stretch>
                  </pic:blipFill>
                  <pic:spPr>
                    <a:xfrm>
                      <a:off x="0" y="0"/>
                      <a:ext cx="4797028" cy="5798451"/>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otro lado, en relación al requerimiento identificado con el </w:t>
      </w:r>
      <w:r w:rsidRPr="007A646F">
        <w:rPr>
          <w:rFonts w:ascii="Palatino Linotype" w:eastAsia="Calibri" w:hAnsi="Palatino Linotype"/>
          <w:b/>
          <w:lang w:eastAsia="en-US"/>
        </w:rPr>
        <w:t>numeral 9</w:t>
      </w:r>
      <w:r w:rsidRPr="007A646F">
        <w:rPr>
          <w:rFonts w:ascii="Palatino Linotype" w:eastAsia="Calibri" w:hAnsi="Palatino Linotype"/>
          <w:lang w:eastAsia="en-US"/>
        </w:rPr>
        <w:t xml:space="preserve">, consistente en </w:t>
      </w:r>
      <w:r w:rsidRPr="007A646F">
        <w:rPr>
          <w:rFonts w:ascii="Palatino Linotype" w:eastAsia="Calibri" w:hAnsi="Palatino Linotype"/>
          <w:i/>
          <w:lang w:eastAsia="en-US"/>
        </w:rPr>
        <w:t>información sobre la creación, operación y actualización de la página web de acceso público, donde se brinde información sobre los servicios que se ofrecen por parte del municipio en materia de violencia de género</w:t>
      </w:r>
      <w:r w:rsidRPr="007A646F">
        <w:rPr>
          <w:rFonts w:ascii="Palatino Linotype" w:eastAsia="Calibri" w:hAnsi="Palatino Linotype"/>
          <w:lang w:eastAsia="en-US"/>
        </w:rPr>
        <w:t xml:space="preserve">; al respecto, el Servidor Público Habilitado de la </w:t>
      </w:r>
      <w:r w:rsidRPr="007A646F">
        <w:rPr>
          <w:rFonts w:ascii="Palatino Linotype" w:eastAsia="Calibri" w:hAnsi="Palatino Linotype"/>
          <w:lang w:eastAsia="en-US"/>
        </w:rPr>
        <w:lastRenderedPageBreak/>
        <w:t xml:space="preserve">Coordinación de Comunicación Social, mediante archivo electrónico denominado </w:t>
      </w:r>
      <w:r w:rsidRPr="007A646F">
        <w:rPr>
          <w:rFonts w:ascii="Palatino Linotype" w:eastAsia="Calibri" w:hAnsi="Palatino Linotype"/>
          <w:b/>
          <w:sz w:val="20"/>
          <w:szCs w:val="20"/>
          <w:lang w:eastAsia="en-US"/>
        </w:rPr>
        <w:t xml:space="preserve">78 BIEN.pdf, </w:t>
      </w:r>
      <w:r w:rsidRPr="007A646F">
        <w:rPr>
          <w:rFonts w:ascii="Palatino Linotype" w:eastAsia="Calibri" w:hAnsi="Palatino Linotype"/>
          <w:lang w:eastAsia="en-US"/>
        </w:rPr>
        <w:t xml:space="preserve">refirió que la página web de la administración pública de Cuautitlán Izcalli se encuentra operando desde el 1º de enero de 2019 y su mantenimiento corre a carga de la Unidad de Gobierno Digital, Tecnologías de la Información y los contenidos son alimentados por la Coordinación de Comunicación Social con la información de cada una de las dirección e institutos; proporcionado para ello el link electrónico </w:t>
      </w:r>
      <w:hyperlink r:id="rId51" w:history="1">
        <w:r w:rsidRPr="007A646F">
          <w:rPr>
            <w:rFonts w:ascii="Palatino Linotype" w:eastAsia="Calibri" w:hAnsi="Palatino Linotype"/>
            <w:color w:val="0563C1"/>
            <w:u w:val="single"/>
            <w:lang w:eastAsia="en-US"/>
          </w:rPr>
          <w:t>http://cuautitlanizcalli.gob.mx/imiemh/</w:t>
        </w:r>
      </w:hyperlink>
      <w:r w:rsidRPr="007A646F">
        <w:rPr>
          <w:rFonts w:ascii="Palatino Linotype" w:eastAsia="Calibri" w:hAnsi="Palatino Linotype"/>
          <w:lang w:eastAsia="en-US"/>
        </w:rPr>
        <w:t xml:space="preserve"> en la cual se advierte lo siguiente: </w:t>
      </w:r>
    </w:p>
    <w:p w:rsidR="00503C51" w:rsidRPr="007A646F" w:rsidRDefault="00503C51"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4538615" cy="332232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rotWithShape="1">
                    <a:blip r:embed="rId52">
                      <a:extLst>
                        <a:ext uri="{28A0092B-C50C-407E-A947-70E740481C1C}">
                          <a14:useLocalDpi xmlns:a14="http://schemas.microsoft.com/office/drawing/2010/main" val="0"/>
                        </a:ext>
                      </a:extLst>
                    </a:blip>
                    <a:srcRect b="24502"/>
                    <a:stretch/>
                  </pic:blipFill>
                  <pic:spPr bwMode="auto">
                    <a:xfrm>
                      <a:off x="0" y="0"/>
                      <a:ext cx="4561987" cy="3339429"/>
                    </a:xfrm>
                    <a:prstGeom prst="rect">
                      <a:avLst/>
                    </a:prstGeom>
                    <a:ln>
                      <a:noFill/>
                    </a:ln>
                    <a:extLst>
                      <a:ext uri="{53640926-AAD7-44D8-BBD7-CCE9431645EC}">
                        <a14:shadowObscured xmlns:a14="http://schemas.microsoft.com/office/drawing/2010/main"/>
                      </a:ext>
                    </a:extLst>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lastRenderedPageBreak/>
        <w:drawing>
          <wp:inline distT="0" distB="0" distL="0" distR="0">
            <wp:extent cx="4395102" cy="2240280"/>
            <wp:effectExtent l="0" t="0" r="5715"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PNG"/>
                    <pic:cNvPicPr/>
                  </pic:nvPicPr>
                  <pic:blipFill>
                    <a:blip r:embed="rId53">
                      <a:extLst>
                        <a:ext uri="{28A0092B-C50C-407E-A947-70E740481C1C}">
                          <a14:useLocalDpi xmlns:a14="http://schemas.microsoft.com/office/drawing/2010/main" val="0"/>
                        </a:ext>
                      </a:extLst>
                    </a:blip>
                    <a:stretch>
                      <a:fillRect/>
                    </a:stretch>
                  </pic:blipFill>
                  <pic:spPr>
                    <a:xfrm>
                      <a:off x="0" y="0"/>
                      <a:ext cx="4411924" cy="2248855"/>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4402998" cy="21336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PNG"/>
                    <pic:cNvPicPr/>
                  </pic:nvPicPr>
                  <pic:blipFill>
                    <a:blip r:embed="rId54">
                      <a:extLst>
                        <a:ext uri="{28A0092B-C50C-407E-A947-70E740481C1C}">
                          <a14:useLocalDpi xmlns:a14="http://schemas.microsoft.com/office/drawing/2010/main" val="0"/>
                        </a:ext>
                      </a:extLst>
                    </a:blip>
                    <a:stretch>
                      <a:fillRect/>
                    </a:stretch>
                  </pic:blipFill>
                  <pic:spPr>
                    <a:xfrm>
                      <a:off x="0" y="0"/>
                      <a:ext cx="4422356" cy="2142981"/>
                    </a:xfrm>
                    <a:prstGeom prst="rect">
                      <a:avLst/>
                    </a:prstGeom>
                  </pic:spPr>
                </pic:pic>
              </a:graphicData>
            </a:graphic>
          </wp:inline>
        </w:drawing>
      </w:r>
    </w:p>
    <w:p w:rsidR="00503C51"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4484370" cy="25908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PNG"/>
                    <pic:cNvPicPr/>
                  </pic:nvPicPr>
                  <pic:blipFill>
                    <a:blip r:embed="rId55">
                      <a:extLst>
                        <a:ext uri="{28A0092B-C50C-407E-A947-70E740481C1C}">
                          <a14:useLocalDpi xmlns:a14="http://schemas.microsoft.com/office/drawing/2010/main" val="0"/>
                        </a:ext>
                      </a:extLst>
                    </a:blip>
                    <a:stretch>
                      <a:fillRect/>
                    </a:stretch>
                  </pic:blipFill>
                  <pic:spPr>
                    <a:xfrm>
                      <a:off x="0" y="0"/>
                      <a:ext cx="4512964" cy="2607320"/>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lastRenderedPageBreak/>
        <w:drawing>
          <wp:inline distT="0" distB="0" distL="0" distR="0">
            <wp:extent cx="4427941" cy="173736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PNG"/>
                    <pic:cNvPicPr/>
                  </pic:nvPicPr>
                  <pic:blipFill>
                    <a:blip r:embed="rId56">
                      <a:extLst>
                        <a:ext uri="{28A0092B-C50C-407E-A947-70E740481C1C}">
                          <a14:useLocalDpi xmlns:a14="http://schemas.microsoft.com/office/drawing/2010/main" val="0"/>
                        </a:ext>
                      </a:extLst>
                    </a:blip>
                    <a:stretch>
                      <a:fillRect/>
                    </a:stretch>
                  </pic:blipFill>
                  <pic:spPr>
                    <a:xfrm>
                      <a:off x="0" y="0"/>
                      <a:ext cx="4478160" cy="1757064"/>
                    </a:xfrm>
                    <a:prstGeom prst="rect">
                      <a:avLst/>
                    </a:prstGeom>
                  </pic:spPr>
                </pic:pic>
              </a:graphicData>
            </a:graphic>
          </wp:inline>
        </w:drawing>
      </w:r>
      <w:r w:rsidRPr="007A646F">
        <w:rPr>
          <w:rFonts w:ascii="Palatino Linotype" w:eastAsia="Calibri" w:hAnsi="Palatino Linotype"/>
          <w:noProof/>
          <w:lang w:eastAsia="es-MX"/>
        </w:rPr>
        <w:drawing>
          <wp:inline distT="0" distB="0" distL="0" distR="0">
            <wp:extent cx="4456626" cy="2164080"/>
            <wp:effectExtent l="0" t="0" r="127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PNG"/>
                    <pic:cNvPicPr/>
                  </pic:nvPicPr>
                  <pic:blipFill>
                    <a:blip r:embed="rId57">
                      <a:extLst>
                        <a:ext uri="{28A0092B-C50C-407E-A947-70E740481C1C}">
                          <a14:useLocalDpi xmlns:a14="http://schemas.microsoft.com/office/drawing/2010/main" val="0"/>
                        </a:ext>
                      </a:extLst>
                    </a:blip>
                    <a:stretch>
                      <a:fillRect/>
                    </a:stretch>
                  </pic:blipFill>
                  <pic:spPr>
                    <a:xfrm>
                      <a:off x="0" y="0"/>
                      <a:ext cx="4466819" cy="2169030"/>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4377690" cy="3169920"/>
            <wp:effectExtent l="0" t="0" r="381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PNG"/>
                    <pic:cNvPicPr/>
                  </pic:nvPicPr>
                  <pic:blipFill>
                    <a:blip r:embed="rId58">
                      <a:extLst>
                        <a:ext uri="{28A0092B-C50C-407E-A947-70E740481C1C}">
                          <a14:useLocalDpi xmlns:a14="http://schemas.microsoft.com/office/drawing/2010/main" val="0"/>
                        </a:ext>
                      </a:extLst>
                    </a:blip>
                    <a:stretch>
                      <a:fillRect/>
                    </a:stretch>
                  </pic:blipFill>
                  <pic:spPr>
                    <a:xfrm>
                      <a:off x="0" y="0"/>
                      <a:ext cx="4401740" cy="3187335"/>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Del análisis realizado a las documentales que integran la respuesta se determina que se tiene por satisfizo el derecho de acceso a la información ejercido por el particular, por cuanto hace al requerimiento identificado con el </w:t>
      </w:r>
      <w:r w:rsidRPr="007A646F">
        <w:rPr>
          <w:rFonts w:ascii="Palatino Linotype" w:eastAsia="Calibri" w:hAnsi="Palatino Linotype"/>
          <w:b/>
          <w:lang w:eastAsia="en-US"/>
        </w:rPr>
        <w:t>numeral 9</w:t>
      </w:r>
      <w:r w:rsidRPr="007A646F">
        <w:rPr>
          <w:rFonts w:ascii="Palatino Linotype" w:eastAsia="Calibri" w:hAnsi="Palatino Linotype"/>
          <w:lang w:eastAsia="en-US"/>
        </w:rPr>
        <w:t xml:space="preserve">.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En relación al requerimiento identificado con el </w:t>
      </w:r>
      <w:r w:rsidRPr="007A646F">
        <w:rPr>
          <w:rFonts w:ascii="Palatino Linotype" w:eastAsia="Calibri" w:hAnsi="Palatino Linotype"/>
          <w:b/>
          <w:lang w:eastAsia="en-US"/>
        </w:rPr>
        <w:t xml:space="preserve">numeral 10, </w:t>
      </w:r>
      <w:r w:rsidRPr="007A646F">
        <w:rPr>
          <w:rFonts w:ascii="Palatino Linotype" w:eastAsia="Calibri" w:hAnsi="Palatino Linotype"/>
          <w:lang w:eastAsia="en-US"/>
        </w:rPr>
        <w:t xml:space="preserve">consistente en el programa o los programas para prevenir la violencia contra las mujeres en el marco de la AVEGEM; al respecto,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relacionó los dos programas siguientes: </w:t>
      </w:r>
    </w:p>
    <w:p w:rsidR="00503C51" w:rsidRPr="007A646F" w:rsidRDefault="00503C51"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sz w:val="22"/>
          <w:szCs w:val="22"/>
          <w:lang w:eastAsia="es-MX"/>
        </w:rPr>
        <w:drawing>
          <wp:inline distT="0" distB="0" distL="0" distR="0">
            <wp:extent cx="4754880" cy="2194560"/>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54880" cy="2194560"/>
                    </a:xfrm>
                    <a:prstGeom prst="rect">
                      <a:avLst/>
                    </a:prstGeom>
                  </pic:spPr>
                </pic:pic>
              </a:graphicData>
            </a:graphic>
          </wp:inline>
        </w:drawing>
      </w:r>
    </w:p>
    <w:p w:rsidR="00503C51" w:rsidRPr="007A646F" w:rsidRDefault="00503C51" w:rsidP="00B9215F">
      <w:pPr>
        <w:spacing w:line="360" w:lineRule="auto"/>
        <w:jc w:val="center"/>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cuanto hace al requerimiento identificado con el </w:t>
      </w:r>
      <w:r w:rsidRPr="007A646F">
        <w:rPr>
          <w:rFonts w:ascii="Palatino Linotype" w:eastAsia="Calibri" w:hAnsi="Palatino Linotype"/>
          <w:b/>
          <w:lang w:eastAsia="en-US"/>
        </w:rPr>
        <w:t xml:space="preserve">numeral 11, </w:t>
      </w:r>
      <w:r w:rsidRPr="007A646F">
        <w:rPr>
          <w:rFonts w:ascii="Palatino Linotype" w:eastAsia="Calibri" w:hAnsi="Palatino Linotype"/>
          <w:lang w:eastAsia="en-US"/>
        </w:rPr>
        <w:t xml:space="preserve">relacionado con </w:t>
      </w:r>
      <w:r w:rsidRPr="007A646F">
        <w:rPr>
          <w:rFonts w:ascii="Palatino Linotype" w:eastAsia="Calibri" w:hAnsi="Palatino Linotype"/>
          <w:i/>
          <w:lang w:eastAsia="en-US"/>
        </w:rPr>
        <w:t xml:space="preserve">las acciones específicas implementadas para prevenir las violencias contra las mujeres en el marco de la AVEGEM (desagregar la información de las beneficiarias por edad, sexo, escolaridad, situación conyugal o estado civil); </w:t>
      </w:r>
      <w:r w:rsidRPr="007A646F">
        <w:rPr>
          <w:rFonts w:ascii="Palatino Linotype" w:eastAsia="Calibri" w:hAnsi="Palatino Linotype"/>
          <w:lang w:eastAsia="en-US"/>
        </w:rPr>
        <w:t xml:space="preserve">al respecto,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informó lo siguiente: </w:t>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i/>
          <w:noProof/>
          <w:lang w:eastAsia="es-MX"/>
        </w:rPr>
        <w:lastRenderedPageBreak/>
        <w:drawing>
          <wp:inline distT="0" distB="0" distL="0" distR="0">
            <wp:extent cx="3474085" cy="116586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PNG"/>
                    <pic:cNvPicPr/>
                  </pic:nvPicPr>
                  <pic:blipFill>
                    <a:blip r:embed="rId60">
                      <a:extLst>
                        <a:ext uri="{28A0092B-C50C-407E-A947-70E740481C1C}">
                          <a14:useLocalDpi xmlns:a14="http://schemas.microsoft.com/office/drawing/2010/main" val="0"/>
                        </a:ext>
                      </a:extLst>
                    </a:blip>
                    <a:stretch>
                      <a:fillRect/>
                    </a:stretch>
                  </pic:blipFill>
                  <pic:spPr>
                    <a:xfrm>
                      <a:off x="0" y="0"/>
                      <a:ext cx="3477560" cy="1167026"/>
                    </a:xfrm>
                    <a:prstGeom prst="rect">
                      <a:avLst/>
                    </a:prstGeom>
                  </pic:spPr>
                </pic:pic>
              </a:graphicData>
            </a:graphic>
          </wp:inline>
        </w:drawing>
      </w:r>
      <w:r w:rsidRPr="007A646F">
        <w:rPr>
          <w:rFonts w:ascii="Palatino Linotype" w:eastAsia="Calibri" w:hAnsi="Palatino Linotype"/>
          <w:i/>
          <w:noProof/>
          <w:lang w:eastAsia="es-MX"/>
        </w:rPr>
        <w:drawing>
          <wp:inline distT="0" distB="0" distL="0" distR="0">
            <wp:extent cx="3634740" cy="3726180"/>
            <wp:effectExtent l="0" t="0" r="381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PNG"/>
                    <pic:cNvPicPr/>
                  </pic:nvPicPr>
                  <pic:blipFill>
                    <a:blip r:embed="rId61">
                      <a:extLst>
                        <a:ext uri="{28A0092B-C50C-407E-A947-70E740481C1C}">
                          <a14:useLocalDpi xmlns:a14="http://schemas.microsoft.com/office/drawing/2010/main" val="0"/>
                        </a:ext>
                      </a:extLst>
                    </a:blip>
                    <a:stretch>
                      <a:fillRect/>
                    </a:stretch>
                  </pic:blipFill>
                  <pic:spPr>
                    <a:xfrm>
                      <a:off x="0" y="0"/>
                      <a:ext cx="3635057" cy="3726505"/>
                    </a:xfrm>
                    <a:prstGeom prst="rect">
                      <a:avLst/>
                    </a:prstGeom>
                  </pic:spPr>
                </pic:pic>
              </a:graphicData>
            </a:graphic>
          </wp:inline>
        </w:drawing>
      </w:r>
      <w:r w:rsidRPr="007A646F">
        <w:rPr>
          <w:rFonts w:ascii="Palatino Linotype" w:eastAsia="Calibri" w:hAnsi="Palatino Linotype"/>
          <w:i/>
          <w:noProof/>
          <w:lang w:eastAsia="es-MX"/>
        </w:rPr>
        <w:drawing>
          <wp:inline distT="0" distB="0" distL="0" distR="0">
            <wp:extent cx="3505200" cy="19812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PNG"/>
                    <pic:cNvPicPr/>
                  </pic:nvPicPr>
                  <pic:blipFill>
                    <a:blip r:embed="rId62">
                      <a:extLst>
                        <a:ext uri="{28A0092B-C50C-407E-A947-70E740481C1C}">
                          <a14:useLocalDpi xmlns:a14="http://schemas.microsoft.com/office/drawing/2010/main" val="0"/>
                        </a:ext>
                      </a:extLst>
                    </a:blip>
                    <a:stretch>
                      <a:fillRect/>
                    </a:stretch>
                  </pic:blipFill>
                  <pic:spPr>
                    <a:xfrm>
                      <a:off x="0" y="0"/>
                      <a:ext cx="3505506" cy="1981373"/>
                    </a:xfrm>
                    <a:prstGeom prst="rect">
                      <a:avLst/>
                    </a:prstGeom>
                  </pic:spPr>
                </pic:pic>
              </a:graphicData>
            </a:graphic>
          </wp:inline>
        </w:drawing>
      </w:r>
      <w:r w:rsidRPr="007A646F">
        <w:rPr>
          <w:rFonts w:ascii="Palatino Linotype" w:eastAsia="Calibri" w:hAnsi="Palatino Linotype"/>
          <w:i/>
          <w:noProof/>
          <w:lang w:eastAsia="es-MX"/>
        </w:rPr>
        <w:lastRenderedPageBreak/>
        <w:drawing>
          <wp:inline distT="0" distB="0" distL="0" distR="0">
            <wp:extent cx="3528060" cy="2834640"/>
            <wp:effectExtent l="0" t="0" r="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PNG"/>
                    <pic:cNvPicPr/>
                  </pic:nvPicPr>
                  <pic:blipFill>
                    <a:blip r:embed="rId63">
                      <a:extLst>
                        <a:ext uri="{28A0092B-C50C-407E-A947-70E740481C1C}">
                          <a14:useLocalDpi xmlns:a14="http://schemas.microsoft.com/office/drawing/2010/main" val="0"/>
                        </a:ext>
                      </a:extLst>
                    </a:blip>
                    <a:stretch>
                      <a:fillRect/>
                    </a:stretch>
                  </pic:blipFill>
                  <pic:spPr>
                    <a:xfrm>
                      <a:off x="0" y="0"/>
                      <a:ext cx="3528367" cy="2834887"/>
                    </a:xfrm>
                    <a:prstGeom prst="rect">
                      <a:avLst/>
                    </a:prstGeom>
                  </pic:spPr>
                </pic:pic>
              </a:graphicData>
            </a:graphic>
          </wp:inline>
        </w:drawing>
      </w:r>
      <w:r w:rsidRPr="007A646F">
        <w:rPr>
          <w:rFonts w:ascii="Palatino Linotype" w:eastAsia="Calibri" w:hAnsi="Palatino Linotype"/>
          <w:i/>
          <w:noProof/>
          <w:lang w:eastAsia="es-MX"/>
        </w:rPr>
        <w:drawing>
          <wp:inline distT="0" distB="0" distL="0" distR="0">
            <wp:extent cx="3429000" cy="2087880"/>
            <wp:effectExtent l="0" t="0" r="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PNG"/>
                    <pic:cNvPicPr/>
                  </pic:nvPicPr>
                  <pic:blipFill>
                    <a:blip r:embed="rId64">
                      <a:extLst>
                        <a:ext uri="{28A0092B-C50C-407E-A947-70E740481C1C}">
                          <a14:useLocalDpi xmlns:a14="http://schemas.microsoft.com/office/drawing/2010/main" val="0"/>
                        </a:ext>
                      </a:extLst>
                    </a:blip>
                    <a:stretch>
                      <a:fillRect/>
                    </a:stretch>
                  </pic:blipFill>
                  <pic:spPr>
                    <a:xfrm>
                      <a:off x="0" y="0"/>
                      <a:ext cx="3429298" cy="2088061"/>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De lo anterior, este Órgano Garante determina que se tiene por atendido dicho requerimiento, pues del análisis realizado al mismo, se advierten las acciones de prevención de la violencia en contra de las mujeres y niñas; así como, la desagregación de la información de las beneficiarias por edad, sexo, escolaridad y situación conyugal.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lastRenderedPageBreak/>
        <w:t xml:space="preserve">Por otro lado, respecto al requerimiento realizado por el particular identificado con el </w:t>
      </w:r>
      <w:r w:rsidRPr="007A646F">
        <w:rPr>
          <w:rFonts w:ascii="Palatino Linotype" w:eastAsia="Calibri" w:hAnsi="Palatino Linotype"/>
          <w:b/>
          <w:lang w:eastAsia="en-US"/>
        </w:rPr>
        <w:t>numeral 12</w:t>
      </w:r>
      <w:r w:rsidRPr="007A646F">
        <w:rPr>
          <w:rFonts w:ascii="Palatino Linotype" w:eastAsia="Calibri" w:hAnsi="Palatino Linotype"/>
          <w:lang w:eastAsia="en-US"/>
        </w:rPr>
        <w:t xml:space="preserve">, relacionado con la creación de la Unidad de Igualdad de Género y Erradicación de la Violencia, quienes la integran, cuál es el perfil de sus integrantes, qué acciones ha implementado la Unidad para </w:t>
      </w:r>
      <w:proofErr w:type="spellStart"/>
      <w:r w:rsidRPr="007A646F">
        <w:rPr>
          <w:rFonts w:ascii="Palatino Linotype" w:eastAsia="Calibri" w:hAnsi="Palatino Linotype"/>
          <w:lang w:eastAsia="en-US"/>
        </w:rPr>
        <w:t>transversalizar</w:t>
      </w:r>
      <w:proofErr w:type="spellEnd"/>
      <w:r w:rsidRPr="007A646F">
        <w:rPr>
          <w:rFonts w:ascii="Palatino Linotype" w:eastAsia="Calibri" w:hAnsi="Palatino Linotype"/>
          <w:lang w:eastAsia="en-US"/>
        </w:rPr>
        <w:t xml:space="preserve"> la perspectiva de género, a partir de su creación; al respecto,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informó que la Unidad de Igualdad de Género y Erradicación de la Violencia del </w:t>
      </w:r>
      <w:proofErr w:type="spellStart"/>
      <w:r w:rsidRPr="007A646F">
        <w:rPr>
          <w:rFonts w:ascii="Palatino Linotype" w:eastAsia="Calibri" w:hAnsi="Palatino Linotype"/>
          <w:lang w:eastAsia="en-US"/>
        </w:rPr>
        <w:t>Insituto</w:t>
      </w:r>
      <w:proofErr w:type="spellEnd"/>
      <w:r w:rsidRPr="007A646F">
        <w:rPr>
          <w:rFonts w:ascii="Palatino Linotype" w:eastAsia="Calibri" w:hAnsi="Palatino Linotype"/>
          <w:lang w:eastAsia="en-US"/>
        </w:rPr>
        <w:t xml:space="preserve"> Municipal para la Igualdad entre Mujeres y Hombres de Cuautitlán Izcalli, se instaló y se tomó protesta a los integrantes el día siete de febrero de dos mil veinte, misma que quedó integrada de la siguiente manera: </w:t>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3398520" cy="318516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PNG"/>
                    <pic:cNvPicPr/>
                  </pic:nvPicPr>
                  <pic:blipFill>
                    <a:blip r:embed="rId65">
                      <a:extLst>
                        <a:ext uri="{28A0092B-C50C-407E-A947-70E740481C1C}">
                          <a14:useLocalDpi xmlns:a14="http://schemas.microsoft.com/office/drawing/2010/main" val="0"/>
                        </a:ext>
                      </a:extLst>
                    </a:blip>
                    <a:stretch>
                      <a:fillRect/>
                    </a:stretch>
                  </pic:blipFill>
                  <pic:spPr>
                    <a:xfrm>
                      <a:off x="0" y="0"/>
                      <a:ext cx="3398816" cy="3185437"/>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Asimismo, mencionó que el plan de trabaj</w:t>
      </w:r>
      <w:r w:rsidR="00F15DEB" w:rsidRPr="007A646F">
        <w:rPr>
          <w:rFonts w:ascii="Palatino Linotype" w:eastAsia="Calibri" w:hAnsi="Palatino Linotype"/>
          <w:lang w:eastAsia="en-US"/>
        </w:rPr>
        <w:t>o</w:t>
      </w:r>
      <w:r w:rsidRPr="007A646F">
        <w:rPr>
          <w:rFonts w:ascii="Palatino Linotype" w:eastAsia="Calibri" w:hAnsi="Palatino Linotype"/>
          <w:lang w:eastAsia="en-US"/>
        </w:rPr>
        <w:t xml:space="preserve"> en don</w:t>
      </w:r>
      <w:r w:rsidR="00F15DEB" w:rsidRPr="007A646F">
        <w:rPr>
          <w:rFonts w:ascii="Palatino Linotype" w:eastAsia="Calibri" w:hAnsi="Palatino Linotype"/>
          <w:lang w:eastAsia="en-US"/>
        </w:rPr>
        <w:t>d</w:t>
      </w:r>
      <w:r w:rsidRPr="007A646F">
        <w:rPr>
          <w:rFonts w:ascii="Palatino Linotype" w:eastAsia="Calibri" w:hAnsi="Palatino Linotype"/>
          <w:lang w:eastAsia="en-US"/>
        </w:rPr>
        <w:t xml:space="preserve">e se contemplan las acciones necesarias para generar un clima laboral en estricto apego a la Igualdad Sustantiva entre Mujeres y Hombres, así como la creación de acciones que coadyuven a la Erradicación de Violencia Laboral, el Acoso y Hostigamiento Sexual, se encuentra en </w:t>
      </w:r>
      <w:r w:rsidRPr="007A646F">
        <w:rPr>
          <w:rFonts w:ascii="Palatino Linotype" w:eastAsia="Calibri" w:hAnsi="Palatino Linotype"/>
          <w:lang w:eastAsia="en-US"/>
        </w:rPr>
        <w:lastRenderedPageBreak/>
        <w:t xml:space="preserve">proceso de su elaboración para ser presentadas en la Primera Sesión Ordinaria de la Unidad de Igualdad de Género y Erradicación de Violencia.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De lo anterior, se puede advertir que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atendió parcialmente dicho requerimiento, pues si bien informó la fecha de creación de la Unidad de Igualdad de Género y Erradicación de la Violencia, sus integrantes y que estaba en proceso de elaboración de las acciones a implementar en dicha unidad; también lo es que omitió hacer entrega del documento o documentos donde se advirtiera el perfil de los integrantes de la Unidad referida.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En consecuencia, este Órgano Garante determina ordenar el o los documentos donde se advierta el perfil de los integrantes de la Unidad de Igualdad de Género y Erradicación de la Violencia del Instituto Municipal para la Igualdad entre Mujeres y Hombres de Cuautitlán Izcalli, relacionados en respuesta.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Ahora bien, por cuanto hace al requerimiento identificado con el </w:t>
      </w:r>
      <w:r w:rsidRPr="007A646F">
        <w:rPr>
          <w:rFonts w:ascii="Palatino Linotype" w:eastAsia="Calibri" w:hAnsi="Palatino Linotype"/>
          <w:b/>
          <w:lang w:eastAsia="en-US"/>
        </w:rPr>
        <w:t>numeral 13</w:t>
      </w:r>
      <w:r w:rsidRPr="007A646F">
        <w:rPr>
          <w:rFonts w:ascii="Palatino Linotype" w:eastAsia="Calibri" w:hAnsi="Palatino Linotype"/>
          <w:lang w:eastAsia="en-US"/>
        </w:rPr>
        <w:t xml:space="preserve">, relacionado con la o las personas que reportan al Banco de Datos del Estado de México sobre casos de violencia contra las mujeres; al respecto,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proporcionó el nombre de las personas encargadas de suministrar información al Banco de Datos del Estado de México.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En atención a lo anterior, este Órgano Garante determina que se tiene por atendido dicho requerimiento.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lastRenderedPageBreak/>
        <w:t xml:space="preserve">En relación al requerimiento identificado con el </w:t>
      </w:r>
      <w:r w:rsidRPr="007A646F">
        <w:rPr>
          <w:rFonts w:ascii="Palatino Linotype" w:eastAsia="Calibri" w:hAnsi="Palatino Linotype"/>
          <w:b/>
          <w:lang w:eastAsia="en-US"/>
        </w:rPr>
        <w:t>numeral 14</w:t>
      </w:r>
      <w:r w:rsidRPr="007A646F">
        <w:rPr>
          <w:rFonts w:ascii="Palatino Linotype" w:eastAsia="Calibri" w:hAnsi="Palatino Linotype"/>
          <w:lang w:eastAsia="en-US"/>
        </w:rPr>
        <w:t xml:space="preserve">, relacionado con las </w:t>
      </w:r>
      <w:r w:rsidRPr="007A646F">
        <w:rPr>
          <w:rFonts w:ascii="Palatino Linotype" w:eastAsia="Calibri" w:hAnsi="Palatino Linotype"/>
          <w:i/>
          <w:lang w:eastAsia="en-US"/>
        </w:rPr>
        <w:t>campañas permanentes encaminadas a la prevención de las violencias de género contra las mujeres con el fin de dar a conocer los derechos humanos de mujeres, niñas y adolescentes y el derecho a una vida libre de violencia</w:t>
      </w:r>
      <w:r w:rsidRPr="007A646F">
        <w:rPr>
          <w:rFonts w:ascii="Palatino Linotype" w:eastAsia="Calibri" w:hAnsi="Palatino Linotype"/>
          <w:lang w:eastAsia="en-US"/>
        </w:rPr>
        <w:t xml:space="preserve">; al respecto, el Servidor Público Habilitado de la Coordinación de Comunicación Social, mediante archivo electrónico denominado </w:t>
      </w:r>
      <w:r w:rsidRPr="007A646F">
        <w:rPr>
          <w:rFonts w:ascii="Palatino Linotype" w:eastAsia="Calibri" w:hAnsi="Palatino Linotype"/>
          <w:b/>
          <w:lang w:eastAsia="en-US"/>
        </w:rPr>
        <w:t>78 BIEN.pdf</w:t>
      </w:r>
      <w:r w:rsidRPr="007A646F">
        <w:rPr>
          <w:rFonts w:ascii="Palatino Linotype" w:eastAsia="Calibri" w:hAnsi="Palatino Linotype"/>
          <w:b/>
          <w:sz w:val="20"/>
          <w:szCs w:val="20"/>
          <w:lang w:eastAsia="en-US"/>
        </w:rPr>
        <w:t xml:space="preserve">, </w:t>
      </w:r>
      <w:r w:rsidRPr="007A646F">
        <w:rPr>
          <w:rFonts w:ascii="Palatino Linotype" w:eastAsia="Calibri" w:hAnsi="Palatino Linotype"/>
          <w:lang w:eastAsia="en-US"/>
        </w:rPr>
        <w:t xml:space="preserve">refirió que se realizaban campañas permanentes de prevención de la violencia de género denominadas: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numPr>
          <w:ilvl w:val="0"/>
          <w:numId w:val="42"/>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Yo me uno</w:t>
      </w:r>
    </w:p>
    <w:p w:rsidR="00B909BE" w:rsidRPr="007A646F" w:rsidRDefault="00B909BE" w:rsidP="00B9215F">
      <w:pPr>
        <w:numPr>
          <w:ilvl w:val="0"/>
          <w:numId w:val="42"/>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Ni una menos</w:t>
      </w:r>
    </w:p>
    <w:p w:rsidR="00B909BE" w:rsidRPr="007A646F" w:rsidRDefault="00B909BE" w:rsidP="00B9215F">
      <w:pPr>
        <w:numPr>
          <w:ilvl w:val="0"/>
          <w:numId w:val="42"/>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Líneas de atención de apoyo a las mujeres víctimas de violencia</w:t>
      </w:r>
    </w:p>
    <w:p w:rsidR="00B909BE" w:rsidRPr="007A646F" w:rsidRDefault="00B909BE" w:rsidP="00B9215F">
      <w:pPr>
        <w:spacing w:line="360" w:lineRule="auto"/>
        <w:contextualSpacing/>
        <w:jc w:val="both"/>
        <w:rPr>
          <w:rFonts w:ascii="Palatino Linotype" w:eastAsia="Calibri" w:hAnsi="Palatino Linotype"/>
          <w:lang w:eastAsia="en-US"/>
        </w:rPr>
      </w:pPr>
    </w:p>
    <w:p w:rsidR="00B909BE" w:rsidRPr="007A646F" w:rsidRDefault="00BA79E9" w:rsidP="00B9215F">
      <w:pPr>
        <w:spacing w:line="360" w:lineRule="auto"/>
        <w:jc w:val="both"/>
        <w:rPr>
          <w:rFonts w:ascii="Palatino Linotype" w:eastAsia="Calibri" w:hAnsi="Palatino Linotype"/>
          <w:lang w:eastAsia="en-US"/>
        </w:rPr>
      </w:pPr>
      <w:r>
        <w:rPr>
          <w:rFonts w:ascii="Palatino Linotype" w:eastAsia="Calibri" w:hAnsi="Palatino Linotype"/>
          <w:noProof/>
          <w:lang w:val="es-ES_tradnl" w:eastAsia="es-ES_tradnl"/>
        </w:rPr>
        <w:pict>
          <v:line id="_x0000_s1033" style="position:absolute;left:0;text-align:left;z-index:251665408;mso-wrap-edited:f" from="0,81.25pt" to="477pt,288.25pt" wrapcoords="-33 -156 -135 469 -101 704 169 1095 20207 21130 21328 22226 21769 22226 21837 21678 21769 21443 169 -156 -33 -156" strokecolor="#4a7ebb" strokeweight="3.5pt">
            <v:fill o:detectmouseclick="t"/>
            <v:shadow on="t" opacity="22938f" offset="0"/>
            <w10:wrap type="tight"/>
          </v:line>
        </w:pict>
      </w:r>
      <w:r w:rsidR="00B909BE" w:rsidRPr="007A646F">
        <w:rPr>
          <w:rFonts w:ascii="Palatino Linotype" w:eastAsia="Calibri" w:hAnsi="Palatino Linotype"/>
          <w:lang w:eastAsia="en-US"/>
        </w:rPr>
        <w:t xml:space="preserve">Lo anterior, sin menoscabo de las actividades permanentes del propio Instituto Municipal para la Igualdad entre Mujeres y Hombres de Cuautitlán Izcalli, las cuales son las siguientes: </w:t>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noProof/>
          <w:sz w:val="22"/>
          <w:szCs w:val="22"/>
          <w:lang w:eastAsia="es-MX"/>
        </w:rPr>
        <w:lastRenderedPageBreak/>
        <w:drawing>
          <wp:inline distT="0" distB="0" distL="0" distR="0">
            <wp:extent cx="5609590" cy="3154680"/>
            <wp:effectExtent l="0" t="0" r="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46283"/>
                    <a:stretch/>
                  </pic:blipFill>
                  <pic:spPr bwMode="auto">
                    <a:xfrm>
                      <a:off x="0" y="0"/>
                      <a:ext cx="5631741" cy="3167137"/>
                    </a:xfrm>
                    <a:prstGeom prst="rect">
                      <a:avLst/>
                    </a:prstGeom>
                    <a:ln>
                      <a:noFill/>
                    </a:ln>
                    <a:extLst>
                      <a:ext uri="{53640926-AAD7-44D8-BBD7-CCE9431645EC}">
                        <a14:shadowObscured xmlns:a14="http://schemas.microsoft.com/office/drawing/2010/main"/>
                      </a:ext>
                    </a:extLst>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Asimismo, </w:t>
      </w:r>
      <w:r w:rsidRPr="007A646F">
        <w:rPr>
          <w:rFonts w:ascii="Palatino Linotype" w:eastAsia="Calibri" w:hAnsi="Palatino Linotype" w:cs="Arial"/>
          <w:lang w:eastAsia="en-US"/>
        </w:rPr>
        <w:t xml:space="preserve">la Titular del Instituto Municipal para la Igualdad entre Mujeres y Hombres, mediante archivo electrónico </w:t>
      </w:r>
      <w:r w:rsidRPr="007A646F">
        <w:rPr>
          <w:rFonts w:ascii="Palatino Linotype" w:eastAsia="Calibri" w:hAnsi="Palatino Linotype"/>
          <w:b/>
          <w:lang w:eastAsia="en-US"/>
        </w:rPr>
        <w:t xml:space="preserve">78-2020 IMIEMH.pdf, </w:t>
      </w:r>
      <w:r w:rsidRPr="007A646F">
        <w:rPr>
          <w:rFonts w:ascii="Palatino Linotype" w:eastAsia="Calibri" w:hAnsi="Palatino Linotype"/>
          <w:lang w:eastAsia="en-US"/>
        </w:rPr>
        <w:t>informó que el Instituto Municipal para la Igualdad de Mujeres y Hombres de Cuautitlán Izcalli, durante el año 2019 llev</w:t>
      </w:r>
      <w:r w:rsidR="00D448BA" w:rsidRPr="007A646F">
        <w:rPr>
          <w:rFonts w:ascii="Palatino Linotype" w:eastAsia="Calibri" w:hAnsi="Palatino Linotype"/>
          <w:lang w:eastAsia="en-US"/>
        </w:rPr>
        <w:t>ó</w:t>
      </w:r>
      <w:r w:rsidRPr="007A646F">
        <w:rPr>
          <w:rFonts w:ascii="Palatino Linotype" w:eastAsia="Calibri" w:hAnsi="Palatino Linotype"/>
          <w:lang w:eastAsia="en-US"/>
        </w:rPr>
        <w:t xml:space="preserve"> a cabo cuatro campañas, mediante las cuales se atendió a colonias y escuelas dentro de las zonas </w:t>
      </w:r>
      <w:proofErr w:type="spellStart"/>
      <w:r w:rsidRPr="007A646F">
        <w:rPr>
          <w:rFonts w:ascii="Palatino Linotype" w:eastAsia="Calibri" w:hAnsi="Palatino Linotype"/>
          <w:lang w:eastAsia="en-US"/>
        </w:rPr>
        <w:t>georreferenciadas</w:t>
      </w:r>
      <w:proofErr w:type="spellEnd"/>
      <w:r w:rsidRPr="007A646F">
        <w:rPr>
          <w:rFonts w:ascii="Palatino Linotype" w:eastAsia="Calibri" w:hAnsi="Palatino Linotype"/>
          <w:lang w:eastAsia="en-US"/>
        </w:rPr>
        <w:t xml:space="preserve"> con mayor incidencia delictiva, mismas que correspondieron a campañas informativas de prevención, atención y erradicación de la violencia de género.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Del análisis realizado a dicha respuesta, este Órgano Garante determina que se tiene por atendido dicho requerimiento realizado por el particular.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lastRenderedPageBreak/>
        <w:t xml:space="preserve">Ahora bien, por cuanto hace al requerimiento </w:t>
      </w:r>
      <w:r w:rsidRPr="007A646F">
        <w:rPr>
          <w:rFonts w:ascii="Palatino Linotype" w:eastAsia="Calibri" w:hAnsi="Palatino Linotype"/>
          <w:b/>
          <w:lang w:eastAsia="en-US"/>
        </w:rPr>
        <w:t xml:space="preserve">número 15, </w:t>
      </w:r>
      <w:r w:rsidRPr="007A646F">
        <w:rPr>
          <w:rFonts w:ascii="Palatino Linotype" w:eastAsia="Calibri" w:hAnsi="Palatino Linotype"/>
          <w:lang w:eastAsia="en-US"/>
        </w:rPr>
        <w:t xml:space="preserve">consistente en </w:t>
      </w:r>
      <w:r w:rsidRPr="007A646F">
        <w:rPr>
          <w:rFonts w:ascii="Palatino Linotype" w:eastAsia="Calibri" w:hAnsi="Palatino Linotype"/>
          <w:i/>
          <w:lang w:eastAsia="en-US"/>
        </w:rPr>
        <w:t>los programas de capacitación dirigidos a las y los servidores públicos municipales en materia de prevención, atención, sanción y erradicación de la violencia de género, así como en temas de igualdad, equidad y perspectiva de género, durante el 2019 y febrero de 2020. (</w:t>
      </w:r>
      <w:proofErr w:type="gramStart"/>
      <w:r w:rsidRPr="007A646F">
        <w:rPr>
          <w:rFonts w:ascii="Palatino Linotype" w:eastAsia="Calibri" w:hAnsi="Palatino Linotype"/>
          <w:i/>
          <w:lang w:eastAsia="en-US"/>
        </w:rPr>
        <w:t>especificar</w:t>
      </w:r>
      <w:proofErr w:type="gramEnd"/>
      <w:r w:rsidRPr="007A646F">
        <w:rPr>
          <w:rFonts w:ascii="Palatino Linotype" w:eastAsia="Calibri" w:hAnsi="Palatino Linotype"/>
          <w:i/>
          <w:lang w:eastAsia="en-US"/>
        </w:rPr>
        <w:t xml:space="preserve"> temas de capacitación, periodicidad, horas de capacitación, quien(es) impartió/impartieron las capacitaciones, presupuesto destinado para las capacitaciones, áreas de procedencia del personal capacitado y resultados obtenidos.); </w:t>
      </w:r>
      <w:r w:rsidRPr="007A646F">
        <w:rPr>
          <w:rFonts w:ascii="Palatino Linotype" w:eastAsia="Calibri" w:hAnsi="Palatino Linotype"/>
          <w:lang w:eastAsia="en-US"/>
        </w:rPr>
        <w:t xml:space="preserve">al respecto, </w:t>
      </w:r>
      <w:r w:rsidRPr="007A646F">
        <w:rPr>
          <w:rFonts w:ascii="Palatino Linotype" w:eastAsia="Calibri" w:hAnsi="Palatino Linotype" w:cs="Arial"/>
          <w:lang w:eastAsia="en-US"/>
        </w:rPr>
        <w:t xml:space="preserve">la Titular del Instituto Municipal para la Igualdad entre Mujeres y Hombres, mediante archivo electrónico </w:t>
      </w:r>
      <w:r w:rsidRPr="007A646F">
        <w:rPr>
          <w:rFonts w:ascii="Palatino Linotype" w:eastAsia="Calibri" w:hAnsi="Palatino Linotype"/>
          <w:b/>
          <w:lang w:eastAsia="en-US"/>
        </w:rPr>
        <w:t xml:space="preserve">78-2020 IMIEMH.pdf, </w:t>
      </w:r>
      <w:r w:rsidRPr="007A646F">
        <w:rPr>
          <w:rFonts w:ascii="Palatino Linotype" w:eastAsia="Calibri" w:hAnsi="Palatino Linotype"/>
          <w:lang w:eastAsia="en-US"/>
        </w:rPr>
        <w:t xml:space="preserve">informó lo siguiente: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4456738" cy="2186940"/>
            <wp:effectExtent l="0" t="0" r="127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67">
                      <a:extLst>
                        <a:ext uri="{28A0092B-C50C-407E-A947-70E740481C1C}">
                          <a14:useLocalDpi xmlns:a14="http://schemas.microsoft.com/office/drawing/2010/main" val="0"/>
                        </a:ext>
                      </a:extLst>
                    </a:blip>
                    <a:stretch>
                      <a:fillRect/>
                    </a:stretch>
                  </pic:blipFill>
                  <pic:spPr>
                    <a:xfrm>
                      <a:off x="0" y="0"/>
                      <a:ext cx="4493441" cy="2204950"/>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Asimismo, adjuntó un listado que contiene los temas de capacitación, la temática, la duración, quien impartió la misma y las áreas de procedencia del personal capacitado, para mayor referencia se inserta la siguiente imagen a manera de ejemplo: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rPr>
          <w:rFonts w:ascii="Palatino Linotype" w:eastAsia="Calibri" w:hAnsi="Palatino Linotype"/>
          <w:lang w:eastAsia="en-US"/>
        </w:rPr>
      </w:pPr>
      <w:r w:rsidRPr="007A646F">
        <w:rPr>
          <w:rFonts w:ascii="Palatino Linotype" w:eastAsia="Calibri" w:hAnsi="Palatino Linotype"/>
          <w:noProof/>
          <w:sz w:val="22"/>
          <w:szCs w:val="22"/>
          <w:lang w:eastAsia="es-MX"/>
        </w:rPr>
        <w:lastRenderedPageBreak/>
        <w:drawing>
          <wp:inline distT="0" distB="0" distL="0" distR="0">
            <wp:extent cx="5612130" cy="3596640"/>
            <wp:effectExtent l="0" t="0" r="7620" b="38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3596640"/>
                    </a:xfrm>
                    <a:prstGeom prst="rect">
                      <a:avLst/>
                    </a:prstGeom>
                  </pic:spPr>
                </pic:pic>
              </a:graphicData>
            </a:graphic>
          </wp:inline>
        </w:drawing>
      </w:r>
    </w:p>
    <w:p w:rsidR="00B909BE" w:rsidRPr="007A646F" w:rsidRDefault="00B909BE" w:rsidP="00B9215F">
      <w:pPr>
        <w:spacing w:line="360" w:lineRule="auto"/>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Es así que del análisis realizado a las documentales que integran dicha respuesta, se advierte que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atendió el requerimiento realizado por el particular.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cuanto hace al requerimiento identificado con el </w:t>
      </w:r>
      <w:r w:rsidRPr="007A646F">
        <w:rPr>
          <w:rFonts w:ascii="Palatino Linotype" w:eastAsia="Calibri" w:hAnsi="Palatino Linotype"/>
          <w:b/>
          <w:lang w:eastAsia="en-US"/>
        </w:rPr>
        <w:t>numeral 16</w:t>
      </w:r>
      <w:r w:rsidRPr="007A646F">
        <w:rPr>
          <w:rFonts w:ascii="Palatino Linotype" w:eastAsia="Calibri" w:hAnsi="Palatino Linotype"/>
          <w:lang w:eastAsia="en-US"/>
        </w:rPr>
        <w:t xml:space="preserve">, relacionado con </w:t>
      </w:r>
      <w:r w:rsidRPr="007A646F">
        <w:rPr>
          <w:rFonts w:ascii="Palatino Linotype" w:eastAsia="Calibri" w:hAnsi="Palatino Linotype"/>
          <w:i/>
          <w:lang w:eastAsia="en-US"/>
        </w:rPr>
        <w:t xml:space="preserve">la información de las redes comunitarias, ciudadanas que operan en el municipio con AVEGEM, se pide desagregar la información por nombre de la red, número de integrantes, las acciones que ha realizado la instancia encargada de dar seguimiento a la AVEGEM con las redes y, finalmente cuántas redes se han creado desde que inició la administración; </w:t>
      </w:r>
      <w:r w:rsidRPr="007A646F">
        <w:rPr>
          <w:rFonts w:ascii="Palatino Linotype" w:eastAsia="Calibri" w:hAnsi="Palatino Linotype"/>
          <w:lang w:eastAsia="en-US"/>
        </w:rPr>
        <w:t xml:space="preserve">al respecto, el Titular de la Unidad de Atención a la Violencia Familiar y de Género, informó que </w:t>
      </w:r>
      <w:r w:rsidRPr="007A646F">
        <w:rPr>
          <w:rFonts w:ascii="Palatino Linotype" w:eastAsia="Calibri" w:hAnsi="Palatino Linotype"/>
          <w:lang w:eastAsia="en-US"/>
        </w:rPr>
        <w:lastRenderedPageBreak/>
        <w:t xml:space="preserve">después de realizar una búsqueda exhaustiva en los archivos de esa Unidad hizo del conocimiento que no existe dentro de los mismos la información solicitada.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hAnsi="Palatino Linotype" w:cs="Arial"/>
          <w:lang w:val="es-ES"/>
        </w:rPr>
      </w:pPr>
      <w:r w:rsidRPr="007A646F">
        <w:rPr>
          <w:rFonts w:ascii="Palatino Linotype" w:eastAsia="Calibri" w:hAnsi="Palatino Linotype"/>
          <w:lang w:eastAsia="en-US"/>
        </w:rPr>
        <w:t xml:space="preserve">De lo anterior, este Órgano Garante determina que no se tiene por atendida dicha solicitud, pues existen más áreas competentes que </w:t>
      </w:r>
      <w:r w:rsidRPr="007A646F">
        <w:rPr>
          <w:rFonts w:ascii="Palatino Linotype" w:hAnsi="Palatino Linotype" w:cs="Arial"/>
          <w:lang w:val="es-ES"/>
        </w:rPr>
        <w:t xml:space="preserve">pudiesen contar con la información o deban tenerla de acuerdo a sus facultades; por lo que este Órgano Garante determina que previa búsqueda exhaustiva se haga entrega de la información requerida, sin embargo, para el caso de que se determine que no ha sido generada, administrada o </w:t>
      </w:r>
      <w:r w:rsidR="00D75A67" w:rsidRPr="007A646F">
        <w:rPr>
          <w:rFonts w:ascii="Palatino Linotype" w:hAnsi="Palatino Linotype" w:cs="Arial"/>
          <w:lang w:val="es-ES"/>
        </w:rPr>
        <w:t>poseída</w:t>
      </w:r>
      <w:r w:rsidRPr="007A646F">
        <w:rPr>
          <w:rFonts w:ascii="Palatino Linotype" w:hAnsi="Palatino Linotype" w:cs="Arial"/>
          <w:lang w:val="es-ES"/>
        </w:rPr>
        <w:t xml:space="preserve">, </w:t>
      </w:r>
      <w:r w:rsidR="00D448BA" w:rsidRPr="007A646F">
        <w:rPr>
          <w:rFonts w:ascii="Palatino Linotype" w:hAnsi="Palatino Linotype" w:cs="Arial"/>
          <w:lang w:val="es-ES"/>
        </w:rPr>
        <w:t xml:space="preserve">deberá hacerlo </w:t>
      </w:r>
      <w:r w:rsidRPr="007A646F">
        <w:rPr>
          <w:rFonts w:ascii="Palatino Linotype" w:hAnsi="Palatino Linotype" w:cs="Arial"/>
          <w:lang w:val="es-ES"/>
        </w:rPr>
        <w:t>del conocimiento al particular</w:t>
      </w:r>
      <w:r w:rsidR="00D448BA" w:rsidRPr="007A646F">
        <w:rPr>
          <w:rFonts w:ascii="Palatino Linotype" w:hAnsi="Palatino Linotype" w:cs="Arial"/>
          <w:lang w:val="es-ES"/>
        </w:rPr>
        <w:t xml:space="preserve"> de manera fundada y motivada</w:t>
      </w:r>
      <w:r w:rsidRPr="007A646F">
        <w:rPr>
          <w:rFonts w:ascii="Palatino Linotype" w:hAnsi="Palatino Linotype" w:cs="Arial"/>
          <w:lang w:val="es-ES"/>
        </w:rPr>
        <w:t xml:space="preserve">.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otro lado, respecto al requerimiento realizado por el particular identificado con el </w:t>
      </w:r>
      <w:r w:rsidRPr="007A646F">
        <w:rPr>
          <w:rFonts w:ascii="Palatino Linotype" w:eastAsia="Calibri" w:hAnsi="Palatino Linotype"/>
          <w:b/>
          <w:lang w:eastAsia="en-US"/>
        </w:rPr>
        <w:t xml:space="preserve">número 17, </w:t>
      </w:r>
      <w:r w:rsidRPr="007A646F">
        <w:rPr>
          <w:rFonts w:ascii="Palatino Linotype" w:eastAsia="Calibri" w:hAnsi="Palatino Linotype"/>
          <w:lang w:eastAsia="en-US"/>
        </w:rPr>
        <w:t xml:space="preserve">relacionado con los </w:t>
      </w:r>
      <w:r w:rsidRPr="007A646F">
        <w:rPr>
          <w:rFonts w:ascii="Palatino Linotype" w:eastAsia="Calibri" w:hAnsi="Palatino Linotype"/>
          <w:i/>
          <w:lang w:eastAsia="en-US"/>
        </w:rPr>
        <w:t xml:space="preserve">programas para atender la violencia contra las mujeres; </w:t>
      </w:r>
      <w:r w:rsidRPr="007A646F">
        <w:rPr>
          <w:rFonts w:ascii="Palatino Linotype" w:eastAsia="Calibri" w:hAnsi="Palatino Linotype"/>
          <w:lang w:eastAsia="en-US"/>
        </w:rPr>
        <w:t xml:space="preserve">al respecto, </w:t>
      </w:r>
      <w:r w:rsidRPr="007A646F">
        <w:rPr>
          <w:rFonts w:ascii="Palatino Linotype" w:eastAsia="Calibri" w:hAnsi="Palatino Linotype" w:cs="Arial"/>
          <w:b/>
          <w:lang w:eastAsia="en-US"/>
        </w:rPr>
        <w:t>EL SUJETO OBLIGADO</w:t>
      </w:r>
      <w:r w:rsidRPr="007A646F">
        <w:rPr>
          <w:rFonts w:ascii="Palatino Linotype" w:eastAsia="Calibri" w:hAnsi="Palatino Linotype"/>
          <w:b/>
          <w:lang w:eastAsia="en-US"/>
        </w:rPr>
        <w:t xml:space="preserve">, </w:t>
      </w:r>
      <w:r w:rsidRPr="007A646F">
        <w:rPr>
          <w:rFonts w:ascii="Palatino Linotype" w:eastAsia="Calibri" w:hAnsi="Palatino Linotype"/>
          <w:lang w:eastAsia="en-US"/>
        </w:rPr>
        <w:t xml:space="preserve">informó lo siguiente: </w:t>
      </w:r>
    </w:p>
    <w:p w:rsidR="00B909BE" w:rsidRPr="007A646F" w:rsidRDefault="00BA79E9" w:rsidP="00B9215F">
      <w:pPr>
        <w:spacing w:line="360" w:lineRule="auto"/>
        <w:jc w:val="both"/>
        <w:rPr>
          <w:rFonts w:ascii="Palatino Linotype" w:eastAsia="Calibri" w:hAnsi="Palatino Linotype"/>
          <w:lang w:eastAsia="en-US"/>
        </w:rPr>
      </w:pPr>
      <w:r>
        <w:rPr>
          <w:rFonts w:ascii="Palatino Linotype" w:eastAsia="Calibri" w:hAnsi="Palatino Linotype"/>
          <w:noProof/>
          <w:lang w:val="es-ES_tradnl" w:eastAsia="es-ES_tradnl"/>
        </w:rPr>
        <w:pict>
          <v:line id="_x0000_s1034" style="position:absolute;left:0;text-align:left;z-index:251666432;mso-wrap-edited:f" from="0,5.7pt" to="468pt,239.7pt" wrapcoords="-34 -138 -103 346 -103 692 21323 22153 21773 22153 21842 21669 21600 21253 173 -138 -34 -138" strokecolor="#4a7ebb" strokeweight="3.5pt">
            <v:fill o:detectmouseclick="t"/>
            <v:shadow on="t" opacity="22938f" offset="0"/>
            <w10:wrap type="tight"/>
          </v:line>
        </w:pict>
      </w:r>
    </w:p>
    <w:p w:rsidR="00B909BE" w:rsidRPr="007A646F" w:rsidRDefault="00B909BE" w:rsidP="00B9215F">
      <w:pPr>
        <w:spacing w:line="360" w:lineRule="auto"/>
        <w:jc w:val="center"/>
        <w:rPr>
          <w:rFonts w:ascii="Palatino Linotype" w:eastAsia="Calibri" w:hAnsi="Palatino Linotype"/>
          <w:i/>
          <w:lang w:eastAsia="en-US"/>
        </w:rPr>
      </w:pPr>
      <w:r w:rsidRPr="007A646F">
        <w:rPr>
          <w:rFonts w:ascii="Palatino Linotype" w:eastAsia="Calibri" w:hAnsi="Palatino Linotype"/>
          <w:noProof/>
          <w:sz w:val="22"/>
          <w:szCs w:val="22"/>
          <w:lang w:eastAsia="es-MX"/>
        </w:rPr>
        <w:lastRenderedPageBreak/>
        <w:drawing>
          <wp:inline distT="0" distB="0" distL="0" distR="0">
            <wp:extent cx="4792980" cy="3572229"/>
            <wp:effectExtent l="0" t="0" r="762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00415" cy="3577771"/>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De lo anterior, se puede advertir que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atendió dicho requerimiento realizado por el particular.</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Ahora bien, por cuanto hace al requerimiento identificado con el </w:t>
      </w:r>
      <w:r w:rsidRPr="007A646F">
        <w:rPr>
          <w:rFonts w:ascii="Palatino Linotype" w:eastAsia="Calibri" w:hAnsi="Palatino Linotype"/>
          <w:b/>
          <w:lang w:eastAsia="en-US"/>
        </w:rPr>
        <w:t xml:space="preserve">numeral 18, </w:t>
      </w:r>
      <w:r w:rsidRPr="007A646F">
        <w:rPr>
          <w:rFonts w:ascii="Palatino Linotype" w:eastAsia="Calibri" w:hAnsi="Palatino Linotype"/>
          <w:lang w:eastAsia="en-US"/>
        </w:rPr>
        <w:t xml:space="preserve">relacionado con la información relativa a los servicios que ofrece el ayuntamiento en materia de violencia de género y atención a víctimas; al respecto, </w:t>
      </w:r>
      <w:r w:rsidRPr="007A646F">
        <w:rPr>
          <w:rFonts w:ascii="Palatino Linotype" w:eastAsia="Calibri" w:hAnsi="Palatino Linotype" w:cs="Arial"/>
          <w:lang w:eastAsia="en-US"/>
        </w:rPr>
        <w:t xml:space="preserve">la Titular del Instituto Municipal para la Igualdad entre Mujeres y Hombres, mediante archivo electrónico </w:t>
      </w:r>
      <w:r w:rsidRPr="007A646F">
        <w:rPr>
          <w:rFonts w:ascii="Palatino Linotype" w:eastAsia="Calibri" w:hAnsi="Palatino Linotype"/>
          <w:b/>
          <w:lang w:eastAsia="en-US"/>
        </w:rPr>
        <w:t>78-2020 IMIEMH.pdf</w:t>
      </w:r>
      <w:r w:rsidRPr="007A646F">
        <w:rPr>
          <w:rFonts w:ascii="Palatino Linotype" w:eastAsia="Calibri" w:hAnsi="Palatino Linotype"/>
          <w:lang w:eastAsia="en-US"/>
        </w:rPr>
        <w:t xml:space="preserve">, informó lo siguiente:  </w:t>
      </w:r>
    </w:p>
    <w:p w:rsidR="00B909BE" w:rsidRPr="007A646F" w:rsidRDefault="00B909BE" w:rsidP="00B9215F">
      <w:pPr>
        <w:spacing w:line="360" w:lineRule="auto"/>
        <w:jc w:val="center"/>
        <w:rPr>
          <w:rFonts w:ascii="Palatino Linotype" w:eastAsia="Calibri" w:hAnsi="Palatino Linotype"/>
          <w:b/>
          <w:lang w:eastAsia="en-US"/>
        </w:rPr>
      </w:pPr>
      <w:r w:rsidRPr="007A646F">
        <w:rPr>
          <w:rFonts w:ascii="Palatino Linotype" w:eastAsia="Calibri" w:hAnsi="Palatino Linotype"/>
          <w:b/>
          <w:noProof/>
          <w:lang w:eastAsia="es-MX"/>
        </w:rPr>
        <w:lastRenderedPageBreak/>
        <w:drawing>
          <wp:inline distT="0" distB="0" distL="0" distR="0">
            <wp:extent cx="4000500" cy="3040380"/>
            <wp:effectExtent l="0" t="0" r="0"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70">
                      <a:extLst>
                        <a:ext uri="{28A0092B-C50C-407E-A947-70E740481C1C}">
                          <a14:useLocalDpi xmlns:a14="http://schemas.microsoft.com/office/drawing/2010/main" val="0"/>
                        </a:ext>
                      </a:extLst>
                    </a:blip>
                    <a:stretch>
                      <a:fillRect/>
                    </a:stretch>
                  </pic:blipFill>
                  <pic:spPr>
                    <a:xfrm>
                      <a:off x="0" y="0"/>
                      <a:ext cx="4000848" cy="3040644"/>
                    </a:xfrm>
                    <a:prstGeom prst="rect">
                      <a:avLst/>
                    </a:prstGeom>
                  </pic:spPr>
                </pic:pic>
              </a:graphicData>
            </a:graphic>
          </wp:inline>
        </w:drawing>
      </w:r>
    </w:p>
    <w:p w:rsidR="00503C51" w:rsidRPr="007A646F" w:rsidRDefault="00B909BE" w:rsidP="00B9215F">
      <w:pPr>
        <w:spacing w:line="360" w:lineRule="auto"/>
        <w:jc w:val="center"/>
        <w:rPr>
          <w:rFonts w:ascii="Palatino Linotype" w:eastAsia="Calibri" w:hAnsi="Palatino Linotype"/>
          <w:b/>
          <w:lang w:eastAsia="en-US"/>
        </w:rPr>
      </w:pPr>
      <w:r w:rsidRPr="007A646F">
        <w:rPr>
          <w:rFonts w:ascii="Palatino Linotype" w:eastAsia="Calibri" w:hAnsi="Palatino Linotype"/>
          <w:b/>
          <w:noProof/>
          <w:lang w:eastAsia="es-MX"/>
        </w:rPr>
        <w:drawing>
          <wp:inline distT="0" distB="0" distL="0" distR="0">
            <wp:extent cx="3901440" cy="746760"/>
            <wp:effectExtent l="0" t="0" r="381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PNG"/>
                    <pic:cNvPicPr/>
                  </pic:nvPicPr>
                  <pic:blipFill>
                    <a:blip r:embed="rId71">
                      <a:extLst>
                        <a:ext uri="{28A0092B-C50C-407E-A947-70E740481C1C}">
                          <a14:useLocalDpi xmlns:a14="http://schemas.microsoft.com/office/drawing/2010/main" val="0"/>
                        </a:ext>
                      </a:extLst>
                    </a:blip>
                    <a:stretch>
                      <a:fillRect/>
                    </a:stretch>
                  </pic:blipFill>
                  <pic:spPr>
                    <a:xfrm>
                      <a:off x="0" y="0"/>
                      <a:ext cx="3901785" cy="746826"/>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b/>
          <w:lang w:eastAsia="en-US"/>
        </w:rPr>
      </w:pPr>
      <w:r w:rsidRPr="007A646F">
        <w:rPr>
          <w:rFonts w:ascii="Palatino Linotype" w:eastAsia="Calibri" w:hAnsi="Palatino Linotype"/>
          <w:b/>
          <w:noProof/>
          <w:lang w:eastAsia="es-MX"/>
        </w:rPr>
        <w:drawing>
          <wp:inline distT="0" distB="0" distL="0" distR="0">
            <wp:extent cx="4130398" cy="3177815"/>
            <wp:effectExtent l="0" t="0" r="3810" b="381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PNG"/>
                    <pic:cNvPicPr/>
                  </pic:nvPicPr>
                  <pic:blipFill>
                    <a:blip r:embed="rId72">
                      <a:extLst>
                        <a:ext uri="{28A0092B-C50C-407E-A947-70E740481C1C}">
                          <a14:useLocalDpi xmlns:a14="http://schemas.microsoft.com/office/drawing/2010/main" val="0"/>
                        </a:ext>
                      </a:extLst>
                    </a:blip>
                    <a:stretch>
                      <a:fillRect/>
                    </a:stretch>
                  </pic:blipFill>
                  <pic:spPr>
                    <a:xfrm>
                      <a:off x="0" y="0"/>
                      <a:ext cx="4130398" cy="3177815"/>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b/>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Por su parte, el Titular de la Unidad de Atención a la Violencia Familiar y de Género, inform</w:t>
      </w:r>
      <w:r w:rsidR="00D448BA" w:rsidRPr="007A646F">
        <w:rPr>
          <w:rFonts w:ascii="Palatino Linotype" w:eastAsia="Calibri" w:hAnsi="Palatino Linotype"/>
          <w:lang w:eastAsia="en-US"/>
        </w:rPr>
        <w:t>ó</w:t>
      </w:r>
      <w:r w:rsidRPr="007A646F">
        <w:rPr>
          <w:rFonts w:ascii="Palatino Linotype" w:eastAsia="Calibri" w:hAnsi="Palatino Linotype"/>
          <w:lang w:eastAsia="en-US"/>
        </w:rPr>
        <w:t xml:space="preserve"> que dicha Unidad ofrece como servicios en materia de violencia de género y atención a victima las siguientes: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sz w:val="22"/>
          <w:szCs w:val="22"/>
          <w:lang w:eastAsia="es-MX"/>
        </w:rPr>
        <w:drawing>
          <wp:inline distT="0" distB="0" distL="0" distR="0">
            <wp:extent cx="4634172" cy="9912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565" t="42315"/>
                    <a:stretch/>
                  </pic:blipFill>
                  <pic:spPr bwMode="auto">
                    <a:xfrm>
                      <a:off x="0" y="0"/>
                      <a:ext cx="4639286" cy="992294"/>
                    </a:xfrm>
                    <a:prstGeom prst="rect">
                      <a:avLst/>
                    </a:prstGeom>
                    <a:ln>
                      <a:noFill/>
                    </a:ln>
                    <a:extLst>
                      <a:ext uri="{53640926-AAD7-44D8-BBD7-CCE9431645EC}">
                        <a14:shadowObscured xmlns:a14="http://schemas.microsoft.com/office/drawing/2010/main"/>
                      </a:ext>
                    </a:extLst>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sz w:val="22"/>
          <w:szCs w:val="22"/>
          <w:lang w:eastAsia="es-MX"/>
        </w:rPr>
        <w:drawing>
          <wp:inline distT="0" distB="0" distL="0" distR="0">
            <wp:extent cx="4814455" cy="3484610"/>
            <wp:effectExtent l="0" t="0" r="5715" b="190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24304" cy="3491739"/>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b/>
          <w:lang w:eastAsia="en-US"/>
        </w:rPr>
      </w:pPr>
      <w:r w:rsidRPr="007A646F">
        <w:rPr>
          <w:rFonts w:ascii="Palatino Linotype" w:eastAsia="Calibri" w:hAnsi="Palatino Linotype"/>
          <w:lang w:eastAsia="en-US"/>
        </w:rPr>
        <w:t xml:space="preserve">De lo anterior, este Órgano Garante advirtió que dicho requerimiento fue atendido por </w:t>
      </w:r>
      <w:r w:rsidRPr="007A646F">
        <w:rPr>
          <w:rFonts w:ascii="Palatino Linotype" w:eastAsia="Calibri" w:hAnsi="Palatino Linotype"/>
          <w:b/>
          <w:lang w:eastAsia="en-US"/>
        </w:rPr>
        <w:t xml:space="preserve">EL SUJETO OBLIGADO. </w:t>
      </w:r>
    </w:p>
    <w:p w:rsidR="00B909BE" w:rsidRPr="007A646F" w:rsidRDefault="00B909BE" w:rsidP="00B9215F">
      <w:pPr>
        <w:spacing w:line="360" w:lineRule="auto"/>
        <w:jc w:val="both"/>
        <w:rPr>
          <w:rFonts w:ascii="Palatino Linotype" w:eastAsia="Calibri" w:hAnsi="Palatino Linotype"/>
          <w:b/>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lastRenderedPageBreak/>
        <w:t xml:space="preserve">Por otro lado, respecto al requerimiento identificado con el </w:t>
      </w:r>
      <w:r w:rsidRPr="007A646F">
        <w:rPr>
          <w:rFonts w:ascii="Palatino Linotype" w:eastAsia="Calibri" w:hAnsi="Palatino Linotype"/>
          <w:b/>
          <w:lang w:eastAsia="en-US"/>
        </w:rPr>
        <w:t xml:space="preserve">numeral 19, </w:t>
      </w:r>
      <w:r w:rsidRPr="007A646F">
        <w:rPr>
          <w:rFonts w:ascii="Palatino Linotype" w:eastAsia="Calibri" w:hAnsi="Palatino Linotype"/>
          <w:lang w:eastAsia="en-US"/>
        </w:rPr>
        <w:t>relacionad</w:t>
      </w:r>
      <w:r w:rsidR="00D448BA" w:rsidRPr="007A646F">
        <w:rPr>
          <w:rFonts w:ascii="Palatino Linotype" w:eastAsia="Calibri" w:hAnsi="Palatino Linotype"/>
          <w:lang w:eastAsia="en-US"/>
        </w:rPr>
        <w:t>o</w:t>
      </w:r>
      <w:r w:rsidRPr="007A646F">
        <w:rPr>
          <w:rFonts w:ascii="Palatino Linotype" w:eastAsia="Calibri" w:hAnsi="Palatino Linotype"/>
          <w:lang w:eastAsia="en-US"/>
        </w:rPr>
        <w:t xml:space="preserve"> con </w:t>
      </w:r>
      <w:r w:rsidRPr="007A646F">
        <w:rPr>
          <w:rFonts w:ascii="Palatino Linotype" w:eastAsia="Calibri" w:hAnsi="Palatino Linotype"/>
          <w:i/>
          <w:lang w:eastAsia="en-US"/>
        </w:rPr>
        <w:t xml:space="preserve">la información de mujeres atendidas por violencia contra las mujeres durante el 2019 y febrero 2020. Especificar tipos y modalidades de la violencia, colonias, pueblos, barrios,  con altos índices de violencia contra las mujeres, edad, escolaridad, situación conyugal, número de hijos e hijas, escolaridad de las mujeres atendidas y cuál es el seguimiento que les proporcionan a las víctimas; </w:t>
      </w:r>
      <w:r w:rsidRPr="007A646F">
        <w:rPr>
          <w:rFonts w:ascii="Palatino Linotype" w:eastAsia="Calibri" w:hAnsi="Palatino Linotype"/>
          <w:lang w:eastAsia="en-US"/>
        </w:rPr>
        <w:t xml:space="preserve">al respecto,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mediante respuesta proporcionó la información tal como la genera, sin que tenga obligatoriedad de presentarla conforme al interés del particular, informando para ello lo siguiente: </w:t>
      </w:r>
    </w:p>
    <w:p w:rsidR="00503C51" w:rsidRPr="007A646F" w:rsidRDefault="00503C51" w:rsidP="00B9215F">
      <w:pPr>
        <w:spacing w:line="360" w:lineRule="auto"/>
        <w:jc w:val="both"/>
        <w:rPr>
          <w:rFonts w:ascii="Palatino Linotype" w:eastAsia="Calibri" w:hAnsi="Palatino Linotype"/>
          <w:lang w:eastAsia="en-US"/>
        </w:rPr>
      </w:pPr>
    </w:p>
    <w:p w:rsidR="00503C51"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4030979" cy="1379220"/>
            <wp:effectExtent l="0" t="0" r="825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PNG"/>
                    <pic:cNvPicPr/>
                  </pic:nvPicPr>
                  <pic:blipFill>
                    <a:blip r:embed="rId75">
                      <a:extLst>
                        <a:ext uri="{28A0092B-C50C-407E-A947-70E740481C1C}">
                          <a14:useLocalDpi xmlns:a14="http://schemas.microsoft.com/office/drawing/2010/main" val="0"/>
                        </a:ext>
                      </a:extLst>
                    </a:blip>
                    <a:stretch>
                      <a:fillRect/>
                    </a:stretch>
                  </pic:blipFill>
                  <pic:spPr>
                    <a:xfrm>
                      <a:off x="0" y="0"/>
                      <a:ext cx="4036405" cy="1381076"/>
                    </a:xfrm>
                    <a:prstGeom prst="rect">
                      <a:avLst/>
                    </a:prstGeom>
                  </pic:spPr>
                </pic:pic>
              </a:graphicData>
            </a:graphic>
          </wp:inline>
        </w:drawing>
      </w:r>
      <w:r w:rsidRPr="007A646F">
        <w:rPr>
          <w:rFonts w:ascii="Palatino Linotype" w:eastAsia="Calibri" w:hAnsi="Palatino Linotype"/>
          <w:noProof/>
          <w:lang w:eastAsia="es-MX"/>
        </w:rPr>
        <w:drawing>
          <wp:inline distT="0" distB="0" distL="0" distR="0">
            <wp:extent cx="4274819" cy="290322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PNG"/>
                    <pic:cNvPicPr/>
                  </pic:nvPicPr>
                  <pic:blipFill>
                    <a:blip r:embed="rId76">
                      <a:extLst>
                        <a:ext uri="{28A0092B-C50C-407E-A947-70E740481C1C}">
                          <a14:useLocalDpi xmlns:a14="http://schemas.microsoft.com/office/drawing/2010/main" val="0"/>
                        </a:ext>
                      </a:extLst>
                    </a:blip>
                    <a:stretch>
                      <a:fillRect/>
                    </a:stretch>
                  </pic:blipFill>
                  <pic:spPr>
                    <a:xfrm>
                      <a:off x="0" y="0"/>
                      <a:ext cx="4277092" cy="2904764"/>
                    </a:xfrm>
                    <a:prstGeom prst="rect">
                      <a:avLst/>
                    </a:prstGeom>
                  </pic:spPr>
                </pic:pic>
              </a:graphicData>
            </a:graphic>
          </wp:inline>
        </w:drawing>
      </w:r>
    </w:p>
    <w:p w:rsidR="00503C51"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lastRenderedPageBreak/>
        <w:drawing>
          <wp:inline distT="0" distB="0" distL="0" distR="0">
            <wp:extent cx="4198620" cy="322326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PNG"/>
                    <pic:cNvPicPr/>
                  </pic:nvPicPr>
                  <pic:blipFill>
                    <a:blip r:embed="rId77">
                      <a:extLst>
                        <a:ext uri="{28A0092B-C50C-407E-A947-70E740481C1C}">
                          <a14:useLocalDpi xmlns:a14="http://schemas.microsoft.com/office/drawing/2010/main" val="0"/>
                        </a:ext>
                      </a:extLst>
                    </a:blip>
                    <a:stretch>
                      <a:fillRect/>
                    </a:stretch>
                  </pic:blipFill>
                  <pic:spPr>
                    <a:xfrm>
                      <a:off x="0" y="0"/>
                      <a:ext cx="4198986" cy="3223541"/>
                    </a:xfrm>
                    <a:prstGeom prst="rect">
                      <a:avLst/>
                    </a:prstGeom>
                  </pic:spPr>
                </pic:pic>
              </a:graphicData>
            </a:graphic>
          </wp:inline>
        </w:drawing>
      </w:r>
    </w:p>
    <w:p w:rsidR="00503C51"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drawing>
          <wp:inline distT="0" distB="0" distL="0" distR="0">
            <wp:extent cx="3923665" cy="3825240"/>
            <wp:effectExtent l="0" t="0" r="635"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PNG"/>
                    <pic:cNvPicPr/>
                  </pic:nvPicPr>
                  <pic:blipFill>
                    <a:blip r:embed="rId78">
                      <a:extLst>
                        <a:ext uri="{28A0092B-C50C-407E-A947-70E740481C1C}">
                          <a14:useLocalDpi xmlns:a14="http://schemas.microsoft.com/office/drawing/2010/main" val="0"/>
                        </a:ext>
                      </a:extLst>
                    </a:blip>
                    <a:stretch>
                      <a:fillRect/>
                    </a:stretch>
                  </pic:blipFill>
                  <pic:spPr>
                    <a:xfrm>
                      <a:off x="0" y="0"/>
                      <a:ext cx="3927814" cy="3829285"/>
                    </a:xfrm>
                    <a:prstGeom prst="rect">
                      <a:avLst/>
                    </a:prstGeom>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lastRenderedPageBreak/>
        <w:drawing>
          <wp:inline distT="0" distB="0" distL="0" distR="0">
            <wp:extent cx="3726503" cy="2819644"/>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PNG"/>
                    <pic:cNvPicPr/>
                  </pic:nvPicPr>
                  <pic:blipFill>
                    <a:blip r:embed="rId79">
                      <a:extLst>
                        <a:ext uri="{28A0092B-C50C-407E-A947-70E740481C1C}">
                          <a14:useLocalDpi xmlns:a14="http://schemas.microsoft.com/office/drawing/2010/main" val="0"/>
                        </a:ext>
                      </a:extLst>
                    </a:blip>
                    <a:stretch>
                      <a:fillRect/>
                    </a:stretch>
                  </pic:blipFill>
                  <pic:spPr>
                    <a:xfrm>
                      <a:off x="0" y="0"/>
                      <a:ext cx="3726503" cy="2819644"/>
                    </a:xfrm>
                    <a:prstGeom prst="rect">
                      <a:avLst/>
                    </a:prstGeom>
                  </pic:spPr>
                </pic:pic>
              </a:graphicData>
            </a:graphic>
          </wp:inline>
        </w:drawing>
      </w:r>
    </w:p>
    <w:p w:rsidR="00B909BE" w:rsidRPr="007A646F" w:rsidRDefault="00B909BE" w:rsidP="00B9215F">
      <w:pPr>
        <w:spacing w:line="360" w:lineRule="auto"/>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su parte, el Titular de la Unidad de Atención a la Violencia Familiar y de Género, informó respecto de las personas atendidas durante el año 2019 y hasta febrero del año 2020, haciendo del conocimiento que desde la creación de esa Unidad atendió a 226 mujeres, en relación a violencia física, económica, patrimonial, psicológica y sexual, en sus modalidades de familiar, comunitaria y laboral. Por cuanto a su estado civil, tenemos dentro de nuestros registros 49 casadas, 10 divorciadas, 128 solteras, 32 en unión libre </w:t>
      </w:r>
      <w:proofErr w:type="gramStart"/>
      <w:r w:rsidRPr="007A646F">
        <w:rPr>
          <w:rFonts w:ascii="Palatino Linotype" w:eastAsia="Calibri" w:hAnsi="Palatino Linotype"/>
          <w:lang w:eastAsia="en-US"/>
        </w:rPr>
        <w:t>y  viudas</w:t>
      </w:r>
      <w:proofErr w:type="gramEnd"/>
      <w:r w:rsidRPr="007A646F">
        <w:rPr>
          <w:rFonts w:ascii="Palatino Linotype" w:eastAsia="Calibri" w:hAnsi="Palatino Linotype"/>
          <w:lang w:eastAsia="en-US"/>
        </w:rPr>
        <w:t xml:space="preserve">.  </w:t>
      </w:r>
    </w:p>
    <w:p w:rsidR="00B909BE" w:rsidRPr="007A646F" w:rsidRDefault="00B909BE" w:rsidP="00B9215F">
      <w:pPr>
        <w:spacing w:line="360" w:lineRule="auto"/>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De lo anterior, se pude advertir que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atendió dicho requerimiento.</w:t>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 </w:t>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otro lado, respecto a la solicitud identificada con los </w:t>
      </w:r>
      <w:r w:rsidRPr="007A646F">
        <w:rPr>
          <w:rFonts w:ascii="Palatino Linotype" w:eastAsia="Calibri" w:hAnsi="Palatino Linotype"/>
          <w:b/>
          <w:lang w:eastAsia="en-US"/>
        </w:rPr>
        <w:t xml:space="preserve">numerales 20 y 21, </w:t>
      </w:r>
      <w:r w:rsidRPr="007A646F">
        <w:rPr>
          <w:rFonts w:ascii="Palatino Linotype" w:eastAsia="Calibri" w:hAnsi="Palatino Linotype"/>
          <w:lang w:eastAsia="en-US"/>
        </w:rPr>
        <w:t xml:space="preserve">relacionada con el </w:t>
      </w:r>
      <w:r w:rsidRPr="007A646F">
        <w:rPr>
          <w:rFonts w:ascii="Palatino Linotype" w:eastAsia="Calibri" w:hAnsi="Palatino Linotype"/>
          <w:i/>
          <w:lang w:eastAsia="en-US"/>
        </w:rPr>
        <w:t xml:space="preserve">número de atenciones médicas, psicológicas, jurídicas y de trabajo social </w:t>
      </w:r>
      <w:r w:rsidRPr="007A646F">
        <w:rPr>
          <w:rFonts w:ascii="Palatino Linotype" w:eastAsia="Calibri" w:hAnsi="Palatino Linotype"/>
          <w:i/>
          <w:lang w:eastAsia="en-US"/>
        </w:rPr>
        <w:lastRenderedPageBreak/>
        <w:t xml:space="preserve">que requirieron las víctimas de violencia de género, a través de las áreas especializadas del DIF municipal durante el 2019 y febrero de 2020 (desagregando por rangos de edad, situación conyugal, ocupación, localidad de procedencia, tipos y modalidades de la violencia); </w:t>
      </w:r>
      <w:r w:rsidRPr="007A646F">
        <w:rPr>
          <w:rFonts w:ascii="Palatino Linotype" w:eastAsia="Calibri" w:hAnsi="Palatino Linotype"/>
          <w:lang w:eastAsia="en-US"/>
        </w:rPr>
        <w:t xml:space="preserve">así como, </w:t>
      </w:r>
      <w:r w:rsidRPr="007A646F">
        <w:rPr>
          <w:rFonts w:ascii="Palatino Linotype" w:eastAsia="Calibri" w:hAnsi="Palatino Linotype"/>
          <w:i/>
          <w:lang w:eastAsia="en-US"/>
        </w:rPr>
        <w:t xml:space="preserve">el horario y días de atención de las oficinas del Sistema DIF municipal y su ubicación; </w:t>
      </w:r>
      <w:r w:rsidRPr="007A646F">
        <w:rPr>
          <w:rFonts w:ascii="Palatino Linotype" w:eastAsia="Calibri" w:hAnsi="Palatino Linotype"/>
          <w:lang w:eastAsia="en-US"/>
        </w:rPr>
        <w:t>al respecto el Titular de la Unidad de Transparencia, refirió que dicha información no se encontraba contenida en los archivos, toda vez que, no se generaba, administraba o poseía la información; por tal motivo exhort</w:t>
      </w:r>
      <w:r w:rsidR="003310EB" w:rsidRPr="007A646F">
        <w:rPr>
          <w:rFonts w:ascii="Palatino Linotype" w:eastAsia="Calibri" w:hAnsi="Palatino Linotype"/>
          <w:lang w:eastAsia="en-US"/>
        </w:rPr>
        <w:t>ó</w:t>
      </w:r>
      <w:r w:rsidRPr="007A646F">
        <w:rPr>
          <w:rFonts w:ascii="Palatino Linotype" w:eastAsia="Calibri" w:hAnsi="Palatino Linotype"/>
          <w:lang w:eastAsia="en-US"/>
        </w:rPr>
        <w:t xml:space="preserve"> al particular a que dirigiera su solicitud al ente de Gobierno facultado para proporcionar la información solicitada; por lo que invitó al particular a presentar su solicitud a través del SAIMEX ante el Sistema Municipal para el Desarrollo Integral de la Familia de Cuautitlán Izcalli.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ind w:right="-28"/>
        <w:jc w:val="both"/>
        <w:rPr>
          <w:rFonts w:ascii="Palatino Linotype" w:eastAsia="Calibri" w:hAnsi="Palatino Linotype"/>
          <w:lang w:eastAsia="en-US"/>
        </w:rPr>
      </w:pPr>
      <w:r w:rsidRPr="007A646F">
        <w:rPr>
          <w:rFonts w:ascii="Palatino Linotype" w:eastAsia="Calibri" w:hAnsi="Palatino Linotype" w:cs="Tahoma"/>
          <w:bCs/>
          <w:iCs/>
          <w:lang w:val="es-ES" w:eastAsia="en-US"/>
        </w:rPr>
        <w:t xml:space="preserve">Por lo anterior, es importante referir que conforme el artículo 40 del Bando Municipal e Cuautitlán Izcalli 2020, reconocen como parte de la Administración Pública Municipal Centralizada al </w:t>
      </w:r>
      <w:r w:rsidRPr="007A646F">
        <w:rPr>
          <w:rFonts w:ascii="Palatino Linotype" w:eastAsia="Calibri" w:hAnsi="Palatino Linotype" w:cs="Tahoma"/>
          <w:bCs/>
          <w:i/>
          <w:iCs/>
          <w:lang w:val="es-ES" w:eastAsia="en-US"/>
        </w:rPr>
        <w:t>Sistema Municipal para el Desarrollo Integral de la Familia;</w:t>
      </w:r>
      <w:r w:rsidRPr="007A646F">
        <w:rPr>
          <w:rFonts w:ascii="Palatino Linotype" w:eastAsia="Calibri" w:hAnsi="Palatino Linotype" w:cs="Tahoma"/>
          <w:bCs/>
          <w:iCs/>
          <w:lang w:val="es-ES" w:eastAsia="en-US"/>
        </w:rPr>
        <w:t xml:space="preserve"> sin embargo, conforme al “</w:t>
      </w:r>
      <w:r w:rsidRPr="007A646F">
        <w:rPr>
          <w:rFonts w:ascii="Palatino Linotype" w:eastAsia="Calibri" w:hAnsi="Palatino Linotype" w:cs="Tahoma"/>
          <w:bCs/>
          <w:i/>
          <w:iCs/>
          <w:lang w:val="es-ES" w:eastAsia="en-US"/>
        </w:rPr>
        <w:t>Acuerdo mediante el Cual el Pleno del Instituto de Transparencia, Acceso a la Información Pública y Protección de Datos Personales del Estado de México y Municipios, aprueba el Padrón de Sujetos Obligados en materia de Transparencia y Acceso a la Información Pública del Estado de México y Municipios”</w:t>
      </w:r>
      <w:r w:rsidRPr="007A646F">
        <w:rPr>
          <w:rFonts w:ascii="Palatino Linotype" w:eastAsia="Calibri" w:hAnsi="Palatino Linotype"/>
          <w:lang w:eastAsia="en-US"/>
        </w:rPr>
        <w:t xml:space="preserve">; publicándolo en </w:t>
      </w:r>
      <w:r w:rsidRPr="007A646F">
        <w:rPr>
          <w:rFonts w:ascii="Palatino Linotype" w:hAnsi="Palatino Linotype" w:cs="Arial"/>
        </w:rPr>
        <w:t xml:space="preserve">el Periódico Oficial “Gaceta del Gobierno”, en </w:t>
      </w:r>
      <w:r w:rsidRPr="007A646F">
        <w:rPr>
          <w:rFonts w:ascii="Palatino Linotype" w:eastAsia="Calibri" w:hAnsi="Palatino Linotype"/>
          <w:lang w:eastAsia="en-US"/>
        </w:rPr>
        <w:t xml:space="preserve">fecha </w:t>
      </w:r>
      <w:r w:rsidRPr="007A646F">
        <w:rPr>
          <w:rFonts w:ascii="Palatino Linotype" w:hAnsi="Palatino Linotype" w:cs="Arial"/>
        </w:rPr>
        <w:t>diecisiete de febrero de dos mil diecisiete</w:t>
      </w:r>
      <w:r w:rsidRPr="007A646F">
        <w:rPr>
          <w:rFonts w:ascii="Palatino Linotype" w:eastAsia="Calibri" w:hAnsi="Palatino Linotype"/>
          <w:lang w:eastAsia="en-US"/>
        </w:rPr>
        <w:t xml:space="preserve">, se reconoció como Sujetos Obligados diversos al </w:t>
      </w:r>
      <w:r w:rsidRPr="007A646F">
        <w:rPr>
          <w:rFonts w:ascii="Palatino Linotype" w:eastAsia="Calibri" w:hAnsi="Palatino Linotype"/>
          <w:b/>
          <w:lang w:eastAsia="en-US"/>
        </w:rPr>
        <w:t>Sistema Municipal para el Desarrollo Integral de la Familia</w:t>
      </w:r>
      <w:r w:rsidRPr="007A646F">
        <w:rPr>
          <w:rFonts w:ascii="Palatino Linotype" w:eastAsia="Calibri" w:hAnsi="Palatino Linotype" w:cs="Tahoma"/>
          <w:bCs/>
          <w:iCs/>
          <w:lang w:val="es-ES" w:eastAsia="en-US"/>
        </w:rPr>
        <w:t xml:space="preserve">, </w:t>
      </w:r>
      <w:r w:rsidRPr="007A646F">
        <w:rPr>
          <w:rFonts w:ascii="Palatino Linotype" w:eastAsia="Calibri" w:hAnsi="Palatino Linotype"/>
          <w:lang w:eastAsia="en-US"/>
        </w:rPr>
        <w:t>tal y como se muestra a continuación:</w:t>
      </w:r>
    </w:p>
    <w:p w:rsidR="00B909BE" w:rsidRPr="007A646F" w:rsidRDefault="00B909BE" w:rsidP="00B9215F">
      <w:pPr>
        <w:spacing w:line="360" w:lineRule="auto"/>
        <w:ind w:right="-28"/>
        <w:jc w:val="both"/>
        <w:rPr>
          <w:rFonts w:ascii="Palatino Linotype" w:eastAsia="Calibri" w:hAnsi="Palatino Linotype"/>
          <w:lang w:eastAsia="en-US"/>
        </w:rPr>
      </w:pPr>
    </w:p>
    <w:p w:rsidR="00B909BE" w:rsidRPr="007A646F" w:rsidRDefault="00BA79E9" w:rsidP="00B9215F">
      <w:pPr>
        <w:spacing w:line="360" w:lineRule="auto"/>
        <w:ind w:right="-28"/>
        <w:jc w:val="both"/>
        <w:rPr>
          <w:rFonts w:ascii="Palatino Linotype" w:eastAsia="Calibri" w:hAnsi="Palatino Linotype"/>
          <w:lang w:eastAsia="en-US"/>
        </w:rPr>
      </w:pPr>
      <w:r>
        <w:rPr>
          <w:rFonts w:ascii="Palatino Linotype" w:eastAsia="Calibri" w:hAnsi="Palatino Linotype"/>
          <w:noProof/>
          <w:lang w:eastAsia="es-MX"/>
        </w:rPr>
        <w:lastRenderedPageBreak/>
        <w:pict>
          <v:roundrect id="Rectángulo redondeado 64" o:spid="_x0000_s1027" style="position:absolute;left:0;text-align:left;margin-left:1564.4pt;margin-top:97.1pt;width:442.3pt;height:12.85pt;z-index:2516613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" filled="f" strokecolor="red" strokeweight="2.25pt">
            <v:stroke joinstyle="miter"/>
            <w10:wrap anchorx="margin"/>
          </v:roundrect>
        </w:pict>
      </w:r>
      <w:r w:rsidR="00B909BE" w:rsidRPr="007A646F">
        <w:rPr>
          <w:rFonts w:ascii="Palatino Linotype" w:eastAsia="Calibri" w:hAnsi="Palatino Linotype"/>
          <w:noProof/>
          <w:lang w:eastAsia="es-MX"/>
        </w:rPr>
        <w:drawing>
          <wp:inline distT="0" distB="0" distL="0" distR="0">
            <wp:extent cx="5649685" cy="2626994"/>
            <wp:effectExtent l="0" t="0" r="0" b="254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PNG"/>
                    <pic:cNvPicPr/>
                  </pic:nvPicPr>
                  <pic:blipFill>
                    <a:blip r:embed="rId80">
                      <a:extLst>
                        <a:ext uri="{28A0092B-C50C-407E-A947-70E740481C1C}">
                          <a14:useLocalDpi xmlns:a14="http://schemas.microsoft.com/office/drawing/2010/main" val="0"/>
                        </a:ext>
                      </a:extLst>
                    </a:blip>
                    <a:stretch>
                      <a:fillRect/>
                    </a:stretch>
                  </pic:blipFill>
                  <pic:spPr>
                    <a:xfrm>
                      <a:off x="0" y="0"/>
                      <a:ext cx="5666249" cy="2634696"/>
                    </a:xfrm>
                    <a:prstGeom prst="rect">
                      <a:avLst/>
                    </a:prstGeom>
                  </pic:spPr>
                </pic:pic>
              </a:graphicData>
            </a:graphic>
          </wp:inline>
        </w:drawing>
      </w:r>
    </w:p>
    <w:p w:rsidR="00B909BE" w:rsidRPr="007A646F" w:rsidRDefault="00B909BE" w:rsidP="00B9215F">
      <w:pPr>
        <w:spacing w:line="360" w:lineRule="auto"/>
        <w:ind w:right="-28"/>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hAnsi="Palatino Linotype" w:cs="Arial"/>
        </w:rPr>
        <w:t xml:space="preserve">De ahí que, dicho Sistema Municipal </w:t>
      </w:r>
      <w:r w:rsidRPr="007A646F">
        <w:rPr>
          <w:rFonts w:ascii="Palatino Linotype" w:eastAsia="Calibri" w:hAnsi="Palatino Linotype"/>
          <w:lang w:eastAsia="en-US"/>
        </w:rPr>
        <w:t xml:space="preserve">debe cumplir con las obligaciones, procesos, procedimientos y responsabilidades establecidas que tanto en la Ley General de Transparencia y Acceso a la Información Pública (Ley General), como en la Ley de Transparencia y Acceso a la Información Pública de nuestra entidad, así como, con los demás ordenamientos jurídicos aplicables en la materia, ello con la finalidad de fomentar la transparencia, el ejercicio del derecho de acceso a la información pública, la eficiencia de los Sujetos Obligados y la participación ciudadana.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val="es-ES"/>
        </w:rPr>
      </w:pPr>
      <w:r w:rsidRPr="007A646F">
        <w:rPr>
          <w:rFonts w:ascii="Palatino Linotype" w:eastAsia="Calibri" w:hAnsi="Palatino Linotype" w:cs="Tahoma"/>
          <w:lang w:val="es-ES_tradnl" w:eastAsia="es-ES_tradnl"/>
        </w:rPr>
        <w:t xml:space="preserve">Por lo anterior, y derivado que el requerimiento realizado por el particular, corresponde a información que pudiera poseer diverso Sujeto Obligado; al respecto, </w:t>
      </w:r>
      <w:r w:rsidRPr="007A646F">
        <w:rPr>
          <w:rFonts w:ascii="Palatino Linotype" w:eastAsia="Calibri" w:hAnsi="Palatino Linotype"/>
          <w:lang w:val="es-ES"/>
        </w:rPr>
        <w:t>es importante traer a contexto lo dispuesto en el artículo 167 de la Ley de Transparencia y Acceso a la Información Pública del Estado de México y Municipios:</w:t>
      </w:r>
    </w:p>
    <w:p w:rsidR="00B909BE" w:rsidRPr="007A646F" w:rsidRDefault="00B909BE" w:rsidP="00503C51">
      <w:pPr>
        <w:tabs>
          <w:tab w:val="left" w:pos="142"/>
          <w:tab w:val="left" w:pos="284"/>
          <w:tab w:val="left" w:pos="426"/>
        </w:tabs>
        <w:contextualSpacing/>
        <w:jc w:val="both"/>
        <w:rPr>
          <w:rFonts w:ascii="Palatino Linotype" w:hAnsi="Palatino Linotype"/>
          <w:sz w:val="20"/>
          <w:szCs w:val="20"/>
          <w:lang w:val="es-ES_tradnl"/>
        </w:rPr>
      </w:pPr>
    </w:p>
    <w:p w:rsidR="00B909BE" w:rsidRPr="007A646F" w:rsidRDefault="00B909BE" w:rsidP="00503C51">
      <w:pPr>
        <w:ind w:left="851" w:right="901"/>
        <w:jc w:val="both"/>
        <w:rPr>
          <w:rFonts w:ascii="Palatino Linotype" w:hAnsi="Palatino Linotype"/>
          <w:i/>
          <w:sz w:val="22"/>
          <w:szCs w:val="20"/>
          <w:lang w:val="es-ES_tradnl"/>
        </w:rPr>
      </w:pPr>
      <w:r w:rsidRPr="007A646F">
        <w:rPr>
          <w:rFonts w:ascii="Palatino Linotype" w:hAnsi="Palatino Linotype"/>
          <w:sz w:val="22"/>
          <w:szCs w:val="20"/>
          <w:lang w:val="es-ES_tradnl"/>
        </w:rPr>
        <w:t>“</w:t>
      </w:r>
      <w:r w:rsidRPr="007A646F">
        <w:rPr>
          <w:rFonts w:ascii="Palatino Linotype" w:hAnsi="Palatino Linotype"/>
          <w:b/>
          <w:i/>
          <w:sz w:val="22"/>
          <w:szCs w:val="20"/>
          <w:lang w:val="es-ES_tradnl"/>
        </w:rPr>
        <w:t>Artículo 167.</w:t>
      </w:r>
      <w:r w:rsidRPr="007A646F">
        <w:rPr>
          <w:rFonts w:ascii="Palatino Linotype" w:hAnsi="Palatino Linotype"/>
          <w:i/>
          <w:sz w:val="22"/>
          <w:szCs w:val="20"/>
          <w:lang w:val="es-ES_tradnl"/>
        </w:rPr>
        <w:t xml:space="preserve"> </w:t>
      </w:r>
      <w:r w:rsidRPr="007A646F">
        <w:rPr>
          <w:rFonts w:ascii="Palatino Linotype" w:hAnsi="Palatino Linotype"/>
          <w:b/>
          <w:i/>
          <w:sz w:val="22"/>
          <w:szCs w:val="20"/>
          <w:lang w:val="es-ES_tradnl"/>
        </w:rPr>
        <w:t>Cuando las unidades de transparencia determinen la</w:t>
      </w:r>
      <w:r w:rsidRPr="007A646F">
        <w:rPr>
          <w:rFonts w:ascii="Palatino Linotype" w:hAnsi="Palatino Linotype"/>
          <w:i/>
          <w:sz w:val="22"/>
          <w:szCs w:val="20"/>
          <w:lang w:val="es-ES_tradnl"/>
        </w:rPr>
        <w:t xml:space="preserve"> notoria </w:t>
      </w:r>
      <w:r w:rsidRPr="007A646F">
        <w:rPr>
          <w:rFonts w:ascii="Palatino Linotype" w:hAnsi="Palatino Linotype"/>
          <w:b/>
          <w:i/>
          <w:sz w:val="22"/>
          <w:szCs w:val="20"/>
          <w:lang w:val="es-ES_tradnl"/>
        </w:rPr>
        <w:t>incompetencia por parte de los sujetos obligados</w:t>
      </w:r>
      <w:r w:rsidRPr="007A646F">
        <w:rPr>
          <w:rFonts w:ascii="Palatino Linotype" w:hAnsi="Palatino Linotype"/>
          <w:i/>
          <w:sz w:val="22"/>
          <w:szCs w:val="20"/>
          <w:lang w:val="es-ES_tradnl"/>
        </w:rPr>
        <w:t xml:space="preserve">, dentro del ámbito de </w:t>
      </w:r>
      <w:r w:rsidRPr="007A646F">
        <w:rPr>
          <w:rFonts w:ascii="Palatino Linotype" w:hAnsi="Palatino Linotype"/>
          <w:i/>
          <w:sz w:val="22"/>
          <w:szCs w:val="20"/>
          <w:lang w:val="es-ES_tradnl"/>
        </w:rPr>
        <w:lastRenderedPageBreak/>
        <w:t xml:space="preserve">aplicación, para atender la solicitud de acceso a la información, </w:t>
      </w:r>
      <w:r w:rsidRPr="007A646F">
        <w:rPr>
          <w:rFonts w:ascii="Palatino Linotype" w:hAnsi="Palatino Linotype"/>
          <w:b/>
          <w:i/>
          <w:sz w:val="22"/>
          <w:szCs w:val="20"/>
          <w:lang w:val="es-ES_tradnl"/>
        </w:rPr>
        <w:t>deberán comunicarlo al solicitante, dentro de los tres días hábiles posteriores a la recepción de la solicitud y, en su caso orientar al solicitante, el o los sujetos obligados competentes.</w:t>
      </w:r>
      <w:r w:rsidRPr="007A646F">
        <w:rPr>
          <w:rFonts w:ascii="Palatino Linotype" w:hAnsi="Palatino Linotype"/>
          <w:i/>
          <w:sz w:val="22"/>
          <w:szCs w:val="20"/>
          <w:lang w:val="es-ES_tradnl"/>
        </w:rPr>
        <w:t xml:space="preserve"> </w:t>
      </w:r>
    </w:p>
    <w:p w:rsidR="00B909BE" w:rsidRPr="007A646F" w:rsidRDefault="00B909BE" w:rsidP="00503C51">
      <w:pPr>
        <w:ind w:left="851" w:right="901"/>
        <w:jc w:val="both"/>
        <w:rPr>
          <w:rFonts w:ascii="Palatino Linotype" w:hAnsi="Palatino Linotype"/>
          <w:i/>
          <w:sz w:val="22"/>
          <w:szCs w:val="20"/>
          <w:lang w:val="es-ES_tradnl"/>
        </w:rPr>
      </w:pPr>
      <w:r w:rsidRPr="007A646F">
        <w:rPr>
          <w:rFonts w:ascii="Palatino Linotype" w:hAnsi="Palatino Linotype"/>
          <w:i/>
          <w:sz w:val="22"/>
          <w:szCs w:val="20"/>
          <w:lang w:val="es-ES_tradnl"/>
        </w:rPr>
        <w:t xml:space="preserve">Si los sujetos obligados son competentes para atender parcialmente la solicitud de acceso a la información, deberá dar respuesta respecto de dicha parte. Respecto de la información sobre la cual es incompetente se procederá conforme lo señala el párrafo anterior. </w:t>
      </w:r>
    </w:p>
    <w:p w:rsidR="00B909BE" w:rsidRPr="007A646F" w:rsidRDefault="00B909BE" w:rsidP="00503C51">
      <w:pPr>
        <w:ind w:left="851" w:right="901"/>
        <w:jc w:val="both"/>
        <w:rPr>
          <w:rFonts w:ascii="Palatino Linotype" w:hAnsi="Palatino Linotype"/>
          <w:sz w:val="22"/>
          <w:szCs w:val="20"/>
          <w:lang w:val="es-ES_tradnl"/>
        </w:rPr>
      </w:pPr>
      <w:r w:rsidRPr="007A646F">
        <w:rPr>
          <w:rFonts w:ascii="Palatino Linotype" w:hAnsi="Palatino Linotype"/>
          <w:b/>
          <w:i/>
          <w:sz w:val="22"/>
          <w:szCs w:val="20"/>
          <w:lang w:val="es-ES_tradnl"/>
        </w:rPr>
        <w:t>Si transcurrido el plazo señalado en el primer párrafo de este artículo, el sujeto obligado no declina la competencia en los términ</w:t>
      </w:r>
      <w:r w:rsidRPr="007A646F">
        <w:rPr>
          <w:rFonts w:ascii="Palatino Linotype" w:hAnsi="Palatino Linotype"/>
          <w:i/>
          <w:sz w:val="22"/>
          <w:szCs w:val="20"/>
          <w:lang w:val="es-ES_tradnl"/>
        </w:rPr>
        <w:t>o</w:t>
      </w:r>
      <w:r w:rsidRPr="007A646F">
        <w:rPr>
          <w:rFonts w:ascii="Palatino Linotype" w:hAnsi="Palatino Linotype"/>
          <w:b/>
          <w:i/>
          <w:sz w:val="22"/>
          <w:szCs w:val="20"/>
          <w:lang w:val="es-ES_tradnl"/>
        </w:rPr>
        <w:t xml:space="preserve">s </w:t>
      </w:r>
      <w:r w:rsidRPr="007A646F">
        <w:rPr>
          <w:rFonts w:ascii="Palatino Linotype" w:hAnsi="Palatino Linotype"/>
          <w:i/>
          <w:sz w:val="22"/>
          <w:szCs w:val="20"/>
          <w:lang w:val="es-ES_tradnl"/>
        </w:rPr>
        <w:t>establecidos</w:t>
      </w:r>
      <w:r w:rsidRPr="007A646F">
        <w:rPr>
          <w:rFonts w:ascii="Palatino Linotype" w:hAnsi="Palatino Linotype"/>
          <w:b/>
          <w:i/>
          <w:sz w:val="22"/>
          <w:szCs w:val="20"/>
          <w:lang w:val="es-ES_tradnl"/>
        </w:rPr>
        <w:t>, podrá canalizar la solicitud ante el sujeto obligado competente.</w:t>
      </w:r>
      <w:r w:rsidRPr="007A646F">
        <w:rPr>
          <w:rFonts w:ascii="Palatino Linotype" w:hAnsi="Palatino Linotype"/>
          <w:i/>
          <w:sz w:val="22"/>
          <w:szCs w:val="20"/>
          <w:lang w:val="es-ES_tradnl"/>
        </w:rPr>
        <w:t>”</w:t>
      </w:r>
    </w:p>
    <w:p w:rsidR="00B909BE" w:rsidRPr="007A646F" w:rsidRDefault="00B909BE" w:rsidP="00503C51">
      <w:pPr>
        <w:ind w:left="851" w:right="901"/>
        <w:jc w:val="both"/>
        <w:rPr>
          <w:rFonts w:ascii="Palatino Linotype" w:hAnsi="Palatino Linotype"/>
          <w:sz w:val="22"/>
          <w:szCs w:val="20"/>
          <w:lang w:val="es-ES_tradnl"/>
        </w:rPr>
      </w:pPr>
      <w:r w:rsidRPr="007A646F">
        <w:rPr>
          <w:rFonts w:ascii="Palatino Linotype" w:hAnsi="Palatino Linotype"/>
          <w:sz w:val="22"/>
          <w:szCs w:val="20"/>
          <w:lang w:val="es-ES_tradnl"/>
        </w:rPr>
        <w:t>(Énfasis añadido)</w:t>
      </w:r>
    </w:p>
    <w:p w:rsidR="00B909BE" w:rsidRPr="007A646F" w:rsidRDefault="00B909BE" w:rsidP="00503C51">
      <w:pPr>
        <w:ind w:right="901"/>
        <w:jc w:val="both"/>
        <w:rPr>
          <w:rFonts w:ascii="Palatino Linotype" w:hAnsi="Palatino Linotype"/>
          <w:sz w:val="22"/>
          <w:szCs w:val="20"/>
          <w:lang w:val="es-ES_tradnl"/>
        </w:rPr>
      </w:pPr>
    </w:p>
    <w:p w:rsidR="00B909BE" w:rsidRPr="007A646F" w:rsidRDefault="00B909BE" w:rsidP="00B9215F">
      <w:pPr>
        <w:spacing w:line="360" w:lineRule="auto"/>
        <w:jc w:val="both"/>
        <w:rPr>
          <w:rFonts w:ascii="Palatino Linotype" w:eastAsia="Calibri" w:hAnsi="Palatino Linotype" w:cs="Arial"/>
          <w:lang w:val="es-ES"/>
        </w:rPr>
      </w:pPr>
      <w:r w:rsidRPr="007A646F">
        <w:rPr>
          <w:rFonts w:ascii="Palatino Linotype" w:eastAsia="Calibri" w:hAnsi="Palatino Linotype"/>
          <w:lang w:val="es-ES"/>
        </w:rPr>
        <w:t xml:space="preserve">De lo anterior, se puede advertir que una vez recibida una solicitud de información, se determine que es incompetente para para poseer, generar o administrar lo solicitado, dentro de los primeros tres (03) días posteriores a la recepción de la solicitud, deberá hacerlo del conocimiento del particular; por lo que ante la falta de pronunciamiento dentro del plazo referido anteriormente, </w:t>
      </w:r>
      <w:r w:rsidRPr="007A646F">
        <w:rPr>
          <w:rFonts w:ascii="Palatino Linotype" w:eastAsia="Calibri" w:hAnsi="Palatino Linotype" w:cs="Arial"/>
          <w:b/>
          <w:lang w:val="es-ES"/>
        </w:rPr>
        <w:t>EL SUJETO OBLIGADO</w:t>
      </w:r>
      <w:r w:rsidRPr="007A646F">
        <w:rPr>
          <w:rFonts w:ascii="Palatino Linotype" w:eastAsia="Calibri" w:hAnsi="Palatino Linotype" w:cs="Arial"/>
          <w:lang w:val="es-ES"/>
        </w:rPr>
        <w:t xml:space="preserve"> deberá atender el contenido del artículo 49 de la citada ley, para efectos de que sea declarada por parte del Comité de Transparencia la incompetencia a la que se hace referencia en la respuesta proporcionada. </w:t>
      </w:r>
    </w:p>
    <w:p w:rsidR="00B909BE" w:rsidRPr="007A646F" w:rsidRDefault="00B909BE" w:rsidP="00503C51">
      <w:pPr>
        <w:jc w:val="both"/>
        <w:rPr>
          <w:rFonts w:ascii="Palatino Linotype" w:eastAsia="Calibri" w:hAnsi="Palatino Linotype" w:cs="Arial"/>
          <w:lang w:val="es-ES"/>
        </w:rPr>
      </w:pPr>
    </w:p>
    <w:p w:rsidR="00B909BE" w:rsidRPr="007A646F" w:rsidRDefault="00B909BE" w:rsidP="00503C51">
      <w:pPr>
        <w:autoSpaceDE w:val="0"/>
        <w:autoSpaceDN w:val="0"/>
        <w:adjustRightInd w:val="0"/>
        <w:ind w:left="851" w:right="899"/>
        <w:jc w:val="both"/>
        <w:rPr>
          <w:rFonts w:ascii="Palatino Linotype" w:hAnsi="Palatino Linotype" w:cs="Arial"/>
          <w:i/>
          <w:sz w:val="22"/>
          <w:szCs w:val="22"/>
          <w:lang w:val="es-ES"/>
        </w:rPr>
      </w:pPr>
      <w:r w:rsidRPr="007A646F">
        <w:rPr>
          <w:rFonts w:ascii="Palatino Linotype" w:hAnsi="Palatino Linotype" w:cs="Arial"/>
          <w:b/>
          <w:bCs/>
          <w:i/>
          <w:sz w:val="22"/>
          <w:szCs w:val="22"/>
          <w:lang w:val="es-ES"/>
        </w:rPr>
        <w:t xml:space="preserve">“Artículo 49. </w:t>
      </w:r>
      <w:r w:rsidRPr="007A646F">
        <w:rPr>
          <w:rFonts w:ascii="Palatino Linotype" w:hAnsi="Palatino Linotype" w:cs="Arial"/>
          <w:i/>
          <w:sz w:val="22"/>
          <w:szCs w:val="22"/>
          <w:lang w:val="es-ES"/>
        </w:rPr>
        <w:t>Los Comités de Transparencia tendrán las siguientes atribuciones:</w:t>
      </w:r>
    </w:p>
    <w:p w:rsidR="00B909BE" w:rsidRPr="007A646F" w:rsidRDefault="00B909BE" w:rsidP="00503C51">
      <w:pPr>
        <w:autoSpaceDE w:val="0"/>
        <w:autoSpaceDN w:val="0"/>
        <w:adjustRightInd w:val="0"/>
        <w:ind w:left="851" w:right="899"/>
        <w:jc w:val="both"/>
        <w:rPr>
          <w:rFonts w:ascii="Palatino Linotype" w:hAnsi="Palatino Linotype" w:cs="Arial"/>
          <w:i/>
          <w:sz w:val="22"/>
          <w:szCs w:val="22"/>
          <w:lang w:val="es-ES"/>
        </w:rPr>
      </w:pPr>
      <w:r w:rsidRPr="007A646F">
        <w:rPr>
          <w:rFonts w:ascii="Palatino Linotype" w:hAnsi="Palatino Linotype" w:cs="Arial"/>
          <w:b/>
          <w:bCs/>
          <w:i/>
          <w:sz w:val="22"/>
          <w:szCs w:val="22"/>
          <w:lang w:val="es-ES"/>
        </w:rPr>
        <w:t xml:space="preserve">I. </w:t>
      </w:r>
      <w:r w:rsidRPr="007A646F">
        <w:rPr>
          <w:rFonts w:ascii="Palatino Linotype" w:hAnsi="Palatino Linotype" w:cs="Arial"/>
          <w:i/>
          <w:sz w:val="22"/>
          <w:szCs w:val="22"/>
          <w:lang w:val="es-ES"/>
        </w:rPr>
        <w:t>Instituir, coordinar y supervisar en términos de las disposiciones aplicables, las acciones, medidas y procedimientos que coadyuven a asegurar una mayor eficacia en la gestión y atención de las solicitudes en materia de acceso a la información;</w:t>
      </w:r>
    </w:p>
    <w:p w:rsidR="00B909BE" w:rsidRPr="007A646F" w:rsidRDefault="00B909BE" w:rsidP="00503C51">
      <w:pPr>
        <w:autoSpaceDE w:val="0"/>
        <w:autoSpaceDN w:val="0"/>
        <w:adjustRightInd w:val="0"/>
        <w:ind w:left="851" w:right="899"/>
        <w:jc w:val="both"/>
        <w:rPr>
          <w:rFonts w:ascii="Palatino Linotype" w:hAnsi="Palatino Linotype" w:cs="Arial"/>
          <w:i/>
          <w:sz w:val="22"/>
          <w:szCs w:val="22"/>
          <w:lang w:val="es-ES"/>
        </w:rPr>
      </w:pPr>
      <w:r w:rsidRPr="007A646F">
        <w:rPr>
          <w:rFonts w:ascii="Palatino Linotype" w:hAnsi="Palatino Linotype" w:cs="Arial"/>
          <w:b/>
          <w:bCs/>
          <w:i/>
          <w:sz w:val="22"/>
          <w:szCs w:val="22"/>
          <w:lang w:val="es-ES"/>
        </w:rPr>
        <w:t xml:space="preserve">II. </w:t>
      </w:r>
      <w:r w:rsidRPr="007A646F">
        <w:rPr>
          <w:rFonts w:ascii="Palatino Linotype" w:hAnsi="Palatino Linotype" w:cs="Arial"/>
          <w:i/>
          <w:sz w:val="22"/>
          <w:szCs w:val="22"/>
          <w:lang w:val="es-ES"/>
        </w:rPr>
        <w:t xml:space="preserve">Confirmar, modificar o revocar las determinaciones que en materia de ampliación del plazo de respuesta, clasificación de la información y declaración de inexistencia </w:t>
      </w:r>
      <w:r w:rsidRPr="007A646F">
        <w:rPr>
          <w:rFonts w:ascii="Palatino Linotype" w:hAnsi="Palatino Linotype" w:cs="Arial"/>
          <w:b/>
          <w:i/>
          <w:sz w:val="22"/>
          <w:szCs w:val="22"/>
          <w:lang w:val="es-ES"/>
        </w:rPr>
        <w:t>o de incompetencia realicen los titulares de las áreas de los sujetos obligados</w:t>
      </w:r>
      <w:r w:rsidRPr="007A646F">
        <w:rPr>
          <w:rFonts w:ascii="Palatino Linotype" w:hAnsi="Palatino Linotype" w:cs="Arial"/>
          <w:i/>
          <w:sz w:val="22"/>
          <w:szCs w:val="22"/>
          <w:lang w:val="es-ES"/>
        </w:rPr>
        <w:t>;</w:t>
      </w:r>
    </w:p>
    <w:p w:rsidR="00B909BE" w:rsidRPr="007A646F" w:rsidRDefault="00B909BE" w:rsidP="00503C51">
      <w:pPr>
        <w:autoSpaceDE w:val="0"/>
        <w:autoSpaceDN w:val="0"/>
        <w:adjustRightInd w:val="0"/>
        <w:ind w:left="851" w:right="899"/>
        <w:jc w:val="both"/>
        <w:rPr>
          <w:rFonts w:ascii="Palatino Linotype" w:hAnsi="Palatino Linotype" w:cs="Arial"/>
          <w:i/>
          <w:sz w:val="22"/>
          <w:szCs w:val="22"/>
          <w:lang w:val="es-ES"/>
        </w:rPr>
      </w:pPr>
      <w:r w:rsidRPr="007A646F">
        <w:rPr>
          <w:rFonts w:ascii="Palatino Linotype" w:hAnsi="Palatino Linotype" w:cs="Arial"/>
          <w:b/>
          <w:bCs/>
          <w:i/>
          <w:sz w:val="22"/>
          <w:szCs w:val="22"/>
          <w:lang w:val="es-ES"/>
        </w:rPr>
        <w:t>.</w:t>
      </w:r>
      <w:r w:rsidRPr="007A646F">
        <w:rPr>
          <w:rFonts w:ascii="Palatino Linotype" w:hAnsi="Palatino Linotype" w:cs="Arial"/>
          <w:i/>
          <w:sz w:val="22"/>
          <w:szCs w:val="22"/>
          <w:lang w:val="es-ES"/>
        </w:rPr>
        <w:t xml:space="preserve"> . .”</w:t>
      </w:r>
    </w:p>
    <w:p w:rsidR="00B909BE" w:rsidRPr="007A646F" w:rsidRDefault="00B909BE" w:rsidP="00503C51">
      <w:pPr>
        <w:jc w:val="both"/>
        <w:rPr>
          <w:rFonts w:ascii="Palatino Linotype" w:eastAsia="Calibri" w:hAnsi="Palatino Linotype" w:cs="Arial"/>
          <w:lang w:val="es-ES"/>
        </w:rPr>
      </w:pPr>
    </w:p>
    <w:p w:rsidR="00B909BE" w:rsidRPr="007A646F" w:rsidRDefault="00B909BE" w:rsidP="00B9215F">
      <w:pPr>
        <w:spacing w:line="360" w:lineRule="auto"/>
        <w:jc w:val="both"/>
        <w:rPr>
          <w:rFonts w:ascii="Palatino Linotype" w:eastAsia="Calibri" w:hAnsi="Palatino Linotype" w:cs="Arial"/>
          <w:lang w:val="es-ES"/>
        </w:rPr>
      </w:pPr>
      <w:r w:rsidRPr="007A646F">
        <w:rPr>
          <w:rFonts w:ascii="Palatino Linotype" w:eastAsia="Calibri" w:hAnsi="Palatino Linotype" w:cs="Arial"/>
          <w:lang w:val="es-ES"/>
        </w:rPr>
        <w:lastRenderedPageBreak/>
        <w:t>Es de lo expuesto que, el Comité de Transparencia debe confirmar la incompetencia que en el presente asunto encuadra en el supuesto de la Ley.</w:t>
      </w:r>
    </w:p>
    <w:p w:rsidR="00B909BE" w:rsidRPr="007A646F" w:rsidRDefault="00B909BE" w:rsidP="00B9215F">
      <w:pPr>
        <w:spacing w:line="360" w:lineRule="auto"/>
        <w:jc w:val="both"/>
        <w:rPr>
          <w:rFonts w:ascii="Palatino Linotype" w:eastAsia="Calibri" w:hAnsi="Palatino Linotype" w:cs="Arial"/>
          <w:lang w:val="es-ES"/>
        </w:rPr>
      </w:pPr>
    </w:p>
    <w:p w:rsidR="00B909BE" w:rsidRPr="007A646F" w:rsidRDefault="00B909BE" w:rsidP="00B9215F">
      <w:pPr>
        <w:spacing w:line="360" w:lineRule="auto"/>
        <w:jc w:val="both"/>
        <w:rPr>
          <w:rFonts w:ascii="Palatino Linotype" w:eastAsia="Calibri" w:hAnsi="Palatino Linotype" w:cs="Arial"/>
          <w:lang w:val="es-ES"/>
        </w:rPr>
      </w:pPr>
      <w:r w:rsidRPr="007A646F">
        <w:rPr>
          <w:rFonts w:ascii="Palatino Linotype" w:eastAsia="Calibri" w:hAnsi="Palatino Linotype" w:cs="Arial"/>
          <w:lang w:val="es-ES"/>
        </w:rPr>
        <w:t xml:space="preserve">No obstante, se dejan a salvo los derechos del particular, para que requiera al </w:t>
      </w:r>
      <w:r w:rsidRPr="007A646F">
        <w:rPr>
          <w:rFonts w:ascii="Palatino Linotype" w:eastAsia="Calibri" w:hAnsi="Palatino Linotype" w:cs="Arial"/>
          <w:b/>
          <w:lang w:val="es-ES"/>
        </w:rPr>
        <w:t>SUJETO OBLIGADO</w:t>
      </w:r>
      <w:r w:rsidRPr="007A646F">
        <w:rPr>
          <w:rFonts w:ascii="Palatino Linotype" w:eastAsia="Calibri" w:hAnsi="Palatino Linotype" w:cs="Arial"/>
          <w:lang w:val="es-ES"/>
        </w:rPr>
        <w:t xml:space="preserve"> que considere conveniente.</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cs="Arial"/>
          <w:lang w:eastAsia="en-US"/>
        </w:rPr>
      </w:pPr>
      <w:r w:rsidRPr="007A646F">
        <w:rPr>
          <w:rFonts w:ascii="Palatino Linotype" w:eastAsia="Calibri" w:hAnsi="Palatino Linotype" w:cs="Arial"/>
          <w:lang w:eastAsia="en-US"/>
        </w:rPr>
        <w:t xml:space="preserve">En otro orden de ideas, respecto al requerimiento realizado por el particular identificado con los </w:t>
      </w:r>
      <w:r w:rsidRPr="007A646F">
        <w:rPr>
          <w:rFonts w:ascii="Palatino Linotype" w:eastAsia="Calibri" w:hAnsi="Palatino Linotype" w:cs="Arial"/>
          <w:b/>
          <w:lang w:eastAsia="en-US"/>
        </w:rPr>
        <w:t xml:space="preserve">numerales 22 y 23, </w:t>
      </w:r>
      <w:r w:rsidRPr="007A646F">
        <w:rPr>
          <w:rFonts w:ascii="Palatino Linotype" w:eastAsia="Calibri" w:hAnsi="Palatino Linotype" w:cs="Arial"/>
          <w:lang w:eastAsia="en-US"/>
        </w:rPr>
        <w:t xml:space="preserve">relacionado con </w:t>
      </w:r>
      <w:r w:rsidRPr="007A646F">
        <w:rPr>
          <w:rFonts w:ascii="Palatino Linotype" w:eastAsia="Calibri" w:hAnsi="Palatino Linotype" w:cs="Arial"/>
          <w:i/>
          <w:lang w:eastAsia="en-US"/>
        </w:rPr>
        <w:t xml:space="preserve">información si la(s) dependencia(s) encargadas de dar seguimiento a la AVEGEM tienen un programa de atención a personas agresoras y en caso de tenerlo, cuál es el número de atenciones brindadas, desagregar la información por sexo y en caso de no tenerlo a qué dependencia se canaliza la persona agresora; </w:t>
      </w:r>
      <w:r w:rsidRPr="007A646F">
        <w:rPr>
          <w:rFonts w:ascii="Palatino Linotype" w:eastAsia="Calibri" w:hAnsi="Palatino Linotype" w:cs="Arial"/>
          <w:lang w:eastAsia="en-US"/>
        </w:rPr>
        <w:t xml:space="preserve">así como, </w:t>
      </w:r>
      <w:r w:rsidRPr="007A646F">
        <w:rPr>
          <w:rFonts w:ascii="Palatino Linotype" w:eastAsia="Calibri" w:hAnsi="Palatino Linotype" w:cs="Arial"/>
          <w:i/>
          <w:lang w:eastAsia="en-US"/>
        </w:rPr>
        <w:t xml:space="preserve">información respecto al rescate de espacios públicos con perspectiva de género o en su caso, seguimiento que han dado a los espacios rescatados; </w:t>
      </w:r>
      <w:r w:rsidRPr="007A646F">
        <w:rPr>
          <w:rFonts w:ascii="Palatino Linotype" w:eastAsia="Calibri" w:hAnsi="Palatino Linotype" w:cs="Arial"/>
          <w:lang w:eastAsia="en-US"/>
        </w:rPr>
        <w:t xml:space="preserve">al respecto </w:t>
      </w:r>
      <w:r w:rsidRPr="007A646F">
        <w:rPr>
          <w:rFonts w:ascii="Palatino Linotype" w:eastAsia="Calibri" w:hAnsi="Palatino Linotype" w:cs="Arial"/>
          <w:b/>
          <w:lang w:eastAsia="en-US"/>
        </w:rPr>
        <w:t xml:space="preserve">EL SUJETO OBLIGADO </w:t>
      </w:r>
      <w:r w:rsidRPr="007A646F">
        <w:rPr>
          <w:rFonts w:ascii="Palatino Linotype" w:eastAsia="Calibri" w:hAnsi="Palatino Linotype" w:cs="Arial"/>
          <w:lang w:eastAsia="en-US"/>
        </w:rPr>
        <w:t xml:space="preserve">refirió no contar con un programa de atención de personas agresoras; asimismo, refirió no realizar rescate de espacios públicos con perspectiva de género. </w:t>
      </w:r>
    </w:p>
    <w:p w:rsidR="00B909BE" w:rsidRPr="007A646F" w:rsidRDefault="00B909BE" w:rsidP="00B9215F">
      <w:pPr>
        <w:spacing w:line="360" w:lineRule="auto"/>
        <w:jc w:val="both"/>
        <w:rPr>
          <w:rFonts w:ascii="Palatino Linotype" w:eastAsia="Calibri" w:hAnsi="Palatino Linotype" w:cs="Arial"/>
          <w:lang w:eastAsia="en-US"/>
        </w:rPr>
      </w:pPr>
    </w:p>
    <w:p w:rsidR="00B909BE" w:rsidRPr="007A646F" w:rsidRDefault="00B909BE" w:rsidP="00B9215F">
      <w:pPr>
        <w:spacing w:line="360" w:lineRule="auto"/>
        <w:jc w:val="both"/>
        <w:rPr>
          <w:rFonts w:ascii="Palatino Linotype" w:hAnsi="Palatino Linotype" w:cs="Arial"/>
        </w:rPr>
      </w:pPr>
      <w:r w:rsidRPr="007A646F">
        <w:rPr>
          <w:rFonts w:ascii="Palatino Linotype" w:eastAsia="Calibri" w:hAnsi="Palatino Linotype"/>
          <w:lang w:val="es-ES"/>
        </w:rPr>
        <w:t xml:space="preserve">Por lo anterior, se considera que las respuestas otorgadas por </w:t>
      </w:r>
      <w:r w:rsidRPr="007A646F">
        <w:rPr>
          <w:rFonts w:ascii="Palatino Linotype" w:eastAsia="Calibri" w:hAnsi="Palatino Linotype"/>
          <w:b/>
          <w:lang w:val="es-ES"/>
        </w:rPr>
        <w:t xml:space="preserve">EL SUJETO OBLIGADO </w:t>
      </w:r>
      <w:r w:rsidRPr="007A646F">
        <w:rPr>
          <w:rFonts w:ascii="Palatino Linotype" w:eastAsia="Calibri" w:hAnsi="Palatino Linotype"/>
          <w:lang w:val="es-ES"/>
        </w:rPr>
        <w:t xml:space="preserve">constituyen un hecho negativo, </w:t>
      </w:r>
      <w:r w:rsidRPr="007A646F">
        <w:rPr>
          <w:rFonts w:ascii="Palatino Linotype" w:hAnsi="Palatino Linotype"/>
        </w:rPr>
        <w:t xml:space="preserve">por lo que, </w:t>
      </w:r>
      <w:r w:rsidRPr="007A646F">
        <w:rPr>
          <w:rFonts w:ascii="Palatino Linotype" w:hAnsi="Palatino Linotype" w:cs="Arial"/>
        </w:rPr>
        <w:t xml:space="preserve">es evidente que éste no puede fácticamente obrar en los archivos del </w:t>
      </w:r>
      <w:r w:rsidRPr="007A646F">
        <w:rPr>
          <w:rFonts w:ascii="Palatino Linotype" w:hAnsi="Palatino Linotype" w:cs="Arial"/>
          <w:b/>
        </w:rPr>
        <w:t>SUJETO OBLIGADO</w:t>
      </w:r>
      <w:r w:rsidRPr="007A646F">
        <w:rPr>
          <w:rFonts w:ascii="Palatino Linotype" w:hAnsi="Palatino Linotype" w:cs="Arial"/>
        </w:rPr>
        <w:t>, ya que no puede probarse por ser lógica y materialmente imposible.</w:t>
      </w:r>
    </w:p>
    <w:p w:rsidR="00B909BE" w:rsidRPr="007A646F" w:rsidRDefault="00B909BE" w:rsidP="00B9215F">
      <w:pPr>
        <w:spacing w:line="360" w:lineRule="auto"/>
        <w:jc w:val="both"/>
        <w:rPr>
          <w:rFonts w:ascii="Palatino Linotype" w:hAnsi="Palatino Linotype"/>
        </w:rPr>
      </w:pPr>
    </w:p>
    <w:p w:rsidR="00B909BE" w:rsidRPr="007A646F" w:rsidRDefault="00B909BE" w:rsidP="00B9215F">
      <w:pPr>
        <w:autoSpaceDE w:val="0"/>
        <w:autoSpaceDN w:val="0"/>
        <w:adjustRightInd w:val="0"/>
        <w:spacing w:line="360" w:lineRule="auto"/>
        <w:ind w:right="18"/>
        <w:jc w:val="both"/>
        <w:rPr>
          <w:rFonts w:ascii="Palatino Linotype" w:hAnsi="Palatino Linotype" w:cs="Arial"/>
        </w:rPr>
      </w:pPr>
      <w:r w:rsidRPr="007A646F">
        <w:rPr>
          <w:rFonts w:ascii="Palatino Linotype" w:hAnsi="Palatino Linotype" w:cs="Arial"/>
        </w:rPr>
        <w:lastRenderedPageBreak/>
        <w:t>Asimismo, no se trata de un caso por el cual la negación del hecho implique la afirmación del mismo, simplemente se está ante una notoria y evidente inexistencia fáctica de la información solicitada.</w:t>
      </w:r>
    </w:p>
    <w:p w:rsidR="00B909BE" w:rsidRPr="007A646F" w:rsidRDefault="00B909BE" w:rsidP="00B9215F">
      <w:pPr>
        <w:autoSpaceDE w:val="0"/>
        <w:autoSpaceDN w:val="0"/>
        <w:adjustRightInd w:val="0"/>
        <w:spacing w:line="360" w:lineRule="auto"/>
        <w:ind w:right="18"/>
        <w:jc w:val="both"/>
        <w:rPr>
          <w:rFonts w:ascii="Palatino Linotype" w:hAnsi="Palatino Linotype" w:cs="Arial"/>
        </w:rPr>
      </w:pPr>
    </w:p>
    <w:p w:rsidR="00B909BE" w:rsidRPr="007A646F" w:rsidRDefault="00B909BE" w:rsidP="00B9215F">
      <w:pPr>
        <w:autoSpaceDE w:val="0"/>
        <w:autoSpaceDN w:val="0"/>
        <w:adjustRightInd w:val="0"/>
        <w:spacing w:line="360" w:lineRule="auto"/>
        <w:ind w:right="18"/>
        <w:jc w:val="both"/>
        <w:rPr>
          <w:rFonts w:ascii="Palatino Linotype" w:hAnsi="Palatino Linotype" w:cs="Arial"/>
        </w:rPr>
      </w:pPr>
      <w:r w:rsidRPr="007A646F">
        <w:rPr>
          <w:rFonts w:ascii="Palatino Linotype" w:hAnsi="Palatino Linotype" w:cs="Arial"/>
        </w:rPr>
        <w:t xml:space="preserve">Cabe señalar que, el Pleno de este Órgano Garante, ha sostenido que cuando se está ante la presencia de un acto u hecho negativo, es decir, </w:t>
      </w:r>
      <w:r w:rsidRPr="007A646F">
        <w:rPr>
          <w:rFonts w:ascii="Palatino Linotype" w:hAnsi="Palatino Linotype" w:cs="Arial"/>
          <w:b/>
        </w:rPr>
        <w:t>que no se actualiza</w:t>
      </w:r>
      <w:r w:rsidRPr="007A646F">
        <w:rPr>
          <w:rFonts w:ascii="Palatino Linotype" w:hAnsi="Palatino Linotype" w:cs="Arial"/>
        </w:rPr>
        <w:t xml:space="preserve"> la circunstancia por la cual </w:t>
      </w:r>
      <w:r w:rsidRPr="007A646F">
        <w:rPr>
          <w:rFonts w:ascii="Palatino Linotype" w:hAnsi="Palatino Linotype" w:cs="Arial"/>
          <w:b/>
        </w:rPr>
        <w:t>EL SUJETO OBLIGADO</w:t>
      </w:r>
      <w:r w:rsidRPr="007A646F">
        <w:rPr>
          <w:rFonts w:ascii="Palatino Linotype" w:hAnsi="Palatino Linotype" w:cs="Arial"/>
        </w:rPr>
        <w:t xml:space="preserve"> en el ámbito de sus atribuciones, pudiese poseer en sus archivos la información solicitada, resultaría innecesaria una declaratoria de </w:t>
      </w:r>
      <w:proofErr w:type="gramStart"/>
      <w:r w:rsidRPr="007A646F">
        <w:rPr>
          <w:rFonts w:ascii="Palatino Linotype" w:hAnsi="Palatino Linotype" w:cs="Arial"/>
        </w:rPr>
        <w:t>inexistencia  en</w:t>
      </w:r>
      <w:proofErr w:type="gramEnd"/>
      <w:r w:rsidRPr="007A646F">
        <w:rPr>
          <w:rFonts w:ascii="Palatino Linotype" w:hAnsi="Palatino Linotype" w:cs="Arial"/>
        </w:rPr>
        <w:t xml:space="preserve"> términos de la fracción XIII del artículo 49 de la Ley de la Materia, y ante un hecho negativo resultan aplicables las siguientes tesis:</w:t>
      </w:r>
    </w:p>
    <w:p w:rsidR="00B909BE" w:rsidRPr="007A646F" w:rsidRDefault="00B909BE" w:rsidP="00503C51">
      <w:pPr>
        <w:autoSpaceDE w:val="0"/>
        <w:autoSpaceDN w:val="0"/>
        <w:adjustRightInd w:val="0"/>
        <w:ind w:right="18"/>
        <w:jc w:val="both"/>
        <w:rPr>
          <w:rFonts w:ascii="Palatino Linotype" w:hAnsi="Palatino Linotype" w:cs="Arial"/>
        </w:rPr>
      </w:pPr>
    </w:p>
    <w:p w:rsidR="00B909BE" w:rsidRPr="007A646F" w:rsidRDefault="00B909BE" w:rsidP="00503C51">
      <w:pPr>
        <w:tabs>
          <w:tab w:val="left" w:pos="8222"/>
        </w:tabs>
        <w:ind w:left="851" w:right="899"/>
        <w:jc w:val="both"/>
        <w:rPr>
          <w:rFonts w:ascii="Palatino Linotype" w:hAnsi="Palatino Linotype"/>
          <w:i/>
          <w:sz w:val="22"/>
          <w:szCs w:val="22"/>
        </w:rPr>
      </w:pPr>
      <w:r w:rsidRPr="007A646F">
        <w:rPr>
          <w:rFonts w:ascii="Palatino Linotype" w:hAnsi="Palatino Linotype"/>
          <w:b/>
          <w:i/>
          <w:sz w:val="22"/>
          <w:szCs w:val="22"/>
        </w:rPr>
        <w:t>“INEXISTENCIA DE LA INFORMACIÓN. EL COMITÉ DE ACCESO A LA INFORMACIÓN PUEDE DECLARARLA ANTE SU EVIDENCIA, SIN NECESIDAD DE DICTAR MEDIDAS PARA SU LOCALIZACIÓN.</w:t>
      </w:r>
      <w:r w:rsidRPr="007A646F">
        <w:rPr>
          <w:rFonts w:ascii="Palatino Linotype" w:hAnsi="Palatino Linotype"/>
          <w:i/>
          <w:sz w:val="22"/>
          <w:szCs w:val="22"/>
        </w:rPr>
        <w:t xml:space="preserve"> Los artículos 46 de la Ley Federal de Transparencia y Acceso a la Información Pública Gubernamental y 30, segundo párrafo, del Reglamento de la Suprema Corte de Justicia de la Nación y del Consejo de la Judicatura Federal para la aplicación de la Ley Federal  de Transparencia y Acceso a la Información Pública Gubernamental, disponen que cuando los documentos no se encuentren en los archivos de la respectiva Unidad Administrativa, se deberá remitir al Comité la solicitud de acceso y el oficio donde se manifieste tal circunstancia, para que éste analice el caso y tome las medidas pertinentes para localizar en la Unidad Administrativa correspondiente el documento solicitado y, de no encontrarlo, expida una resolución que confirme la inexistencia del mismo. </w:t>
      </w:r>
      <w:r w:rsidRPr="007A646F">
        <w:rPr>
          <w:rFonts w:ascii="Palatino Linotype" w:hAnsi="Palatino Linotype"/>
          <w:b/>
          <w:i/>
          <w:sz w:val="22"/>
          <w:szCs w:val="22"/>
        </w:rPr>
        <w:t>Ello no obsta para concluir que cuando la referida Unidad señala, o el mencionado Comité advierte que el documento solicitado no existe en virtud de que no tuvo lugar el acto cuya realización supuestamente se reflejó en aquél, resulta innecesario dictar alguna medida para localizar la información respectiva, al evidenciarse su inexistencia</w:t>
      </w:r>
      <w:r w:rsidRPr="007A646F">
        <w:rPr>
          <w:rFonts w:ascii="Palatino Linotype" w:hAnsi="Palatino Linotype"/>
          <w:i/>
          <w:sz w:val="22"/>
          <w:szCs w:val="22"/>
        </w:rPr>
        <w:t>.</w:t>
      </w:r>
    </w:p>
    <w:p w:rsidR="00B909BE" w:rsidRPr="007A646F" w:rsidRDefault="00B909BE" w:rsidP="00503C51">
      <w:pPr>
        <w:tabs>
          <w:tab w:val="left" w:pos="8222"/>
        </w:tabs>
        <w:ind w:left="851" w:right="899"/>
        <w:jc w:val="both"/>
        <w:rPr>
          <w:rFonts w:ascii="Palatino Linotype" w:hAnsi="Palatino Linotype"/>
          <w:sz w:val="22"/>
          <w:szCs w:val="22"/>
        </w:rPr>
      </w:pPr>
      <w:r w:rsidRPr="007A646F">
        <w:rPr>
          <w:rFonts w:ascii="Palatino Linotype" w:hAnsi="Palatino Linotype"/>
          <w:sz w:val="22"/>
          <w:szCs w:val="22"/>
        </w:rPr>
        <w:t>Clasificación de Información 35/2004-J, deriva de la solicitud de acceso a la información de Daniel Lizárraga Méndez.- 15 de noviembre de 2004.- Unanimidad de votos”.</w:t>
      </w:r>
    </w:p>
    <w:p w:rsidR="00B909BE" w:rsidRPr="007A646F" w:rsidRDefault="00B909BE" w:rsidP="00503C51">
      <w:pPr>
        <w:tabs>
          <w:tab w:val="left" w:pos="8222"/>
        </w:tabs>
        <w:ind w:left="851" w:right="899"/>
        <w:jc w:val="both"/>
        <w:rPr>
          <w:rFonts w:ascii="Palatino Linotype" w:hAnsi="Palatino Linotype"/>
          <w:sz w:val="22"/>
          <w:szCs w:val="22"/>
        </w:rPr>
      </w:pPr>
      <w:r w:rsidRPr="007A646F">
        <w:rPr>
          <w:rFonts w:ascii="Palatino Linotype" w:hAnsi="Palatino Linotype"/>
          <w:sz w:val="22"/>
          <w:szCs w:val="22"/>
        </w:rPr>
        <w:lastRenderedPageBreak/>
        <w:t>No. Registro: 267,287</w:t>
      </w:r>
    </w:p>
    <w:p w:rsidR="00B909BE" w:rsidRPr="007A646F" w:rsidRDefault="00B909BE" w:rsidP="00503C51">
      <w:pPr>
        <w:tabs>
          <w:tab w:val="left" w:pos="8222"/>
        </w:tabs>
        <w:ind w:left="851" w:right="899"/>
        <w:jc w:val="both"/>
        <w:rPr>
          <w:rFonts w:ascii="Palatino Linotype" w:hAnsi="Palatino Linotype"/>
          <w:sz w:val="22"/>
          <w:szCs w:val="22"/>
        </w:rPr>
      </w:pPr>
      <w:r w:rsidRPr="007A646F">
        <w:rPr>
          <w:rFonts w:ascii="Palatino Linotype" w:hAnsi="Palatino Linotype"/>
          <w:sz w:val="22"/>
          <w:szCs w:val="22"/>
        </w:rPr>
        <w:t>Tesis aislada</w:t>
      </w:r>
    </w:p>
    <w:p w:rsidR="00B909BE" w:rsidRPr="007A646F" w:rsidRDefault="00B909BE" w:rsidP="00503C51">
      <w:pPr>
        <w:tabs>
          <w:tab w:val="left" w:pos="8222"/>
        </w:tabs>
        <w:ind w:left="851" w:right="899"/>
        <w:jc w:val="both"/>
        <w:rPr>
          <w:rFonts w:ascii="Palatino Linotype" w:hAnsi="Palatino Linotype"/>
          <w:sz w:val="22"/>
          <w:szCs w:val="22"/>
        </w:rPr>
      </w:pPr>
      <w:r w:rsidRPr="007A646F">
        <w:rPr>
          <w:rFonts w:ascii="Palatino Linotype" w:hAnsi="Palatino Linotype"/>
          <w:sz w:val="22"/>
          <w:szCs w:val="22"/>
        </w:rPr>
        <w:t>Materia(s): Común</w:t>
      </w:r>
    </w:p>
    <w:p w:rsidR="00B909BE" w:rsidRPr="007A646F" w:rsidRDefault="00B909BE" w:rsidP="00503C51">
      <w:pPr>
        <w:tabs>
          <w:tab w:val="left" w:pos="8222"/>
        </w:tabs>
        <w:ind w:left="851" w:right="899"/>
        <w:jc w:val="both"/>
        <w:rPr>
          <w:rFonts w:ascii="Palatino Linotype" w:hAnsi="Palatino Linotype"/>
          <w:sz w:val="22"/>
          <w:szCs w:val="22"/>
        </w:rPr>
      </w:pPr>
      <w:r w:rsidRPr="007A646F">
        <w:rPr>
          <w:rFonts w:ascii="Palatino Linotype" w:hAnsi="Palatino Linotype"/>
          <w:sz w:val="22"/>
          <w:szCs w:val="22"/>
        </w:rPr>
        <w:t>Sexta Época</w:t>
      </w:r>
    </w:p>
    <w:p w:rsidR="00B909BE" w:rsidRPr="007A646F" w:rsidRDefault="00B909BE" w:rsidP="00503C51">
      <w:pPr>
        <w:tabs>
          <w:tab w:val="left" w:pos="8222"/>
        </w:tabs>
        <w:ind w:left="851" w:right="899"/>
        <w:jc w:val="both"/>
        <w:rPr>
          <w:rFonts w:ascii="Palatino Linotype" w:hAnsi="Palatino Linotype"/>
          <w:sz w:val="22"/>
          <w:szCs w:val="22"/>
        </w:rPr>
      </w:pPr>
      <w:r w:rsidRPr="007A646F">
        <w:rPr>
          <w:rFonts w:ascii="Palatino Linotype" w:hAnsi="Palatino Linotype"/>
          <w:sz w:val="22"/>
          <w:szCs w:val="22"/>
        </w:rPr>
        <w:t>Instancia: Segunda Sala</w:t>
      </w:r>
    </w:p>
    <w:p w:rsidR="00B909BE" w:rsidRPr="007A646F" w:rsidRDefault="00B909BE" w:rsidP="00503C51">
      <w:pPr>
        <w:tabs>
          <w:tab w:val="left" w:pos="8222"/>
        </w:tabs>
        <w:ind w:left="851" w:right="899"/>
        <w:jc w:val="both"/>
        <w:rPr>
          <w:rFonts w:ascii="Palatino Linotype" w:hAnsi="Palatino Linotype"/>
          <w:sz w:val="22"/>
          <w:szCs w:val="22"/>
        </w:rPr>
      </w:pPr>
      <w:r w:rsidRPr="007A646F">
        <w:rPr>
          <w:rFonts w:ascii="Palatino Linotype" w:hAnsi="Palatino Linotype"/>
          <w:sz w:val="22"/>
          <w:szCs w:val="22"/>
        </w:rPr>
        <w:t>Fuente: Semanario Judicial de la Federación Tercera Parte, LII</w:t>
      </w:r>
    </w:p>
    <w:p w:rsidR="00B909BE" w:rsidRPr="007A646F" w:rsidRDefault="00B909BE" w:rsidP="00503C51">
      <w:pPr>
        <w:tabs>
          <w:tab w:val="left" w:pos="8222"/>
        </w:tabs>
        <w:ind w:left="851" w:right="899"/>
        <w:jc w:val="both"/>
        <w:rPr>
          <w:rFonts w:ascii="Palatino Linotype" w:hAnsi="Palatino Linotype"/>
          <w:sz w:val="22"/>
          <w:szCs w:val="22"/>
        </w:rPr>
      </w:pPr>
      <w:r w:rsidRPr="007A646F">
        <w:rPr>
          <w:rFonts w:ascii="Palatino Linotype" w:hAnsi="Palatino Linotype"/>
          <w:sz w:val="22"/>
          <w:szCs w:val="22"/>
        </w:rPr>
        <w:t xml:space="preserve">Tesis: </w:t>
      </w:r>
    </w:p>
    <w:p w:rsidR="00B909BE" w:rsidRPr="007A646F" w:rsidRDefault="00B909BE" w:rsidP="00503C51">
      <w:pPr>
        <w:tabs>
          <w:tab w:val="left" w:pos="8222"/>
        </w:tabs>
        <w:ind w:left="851" w:right="899"/>
        <w:jc w:val="both"/>
        <w:rPr>
          <w:rFonts w:ascii="Palatino Linotype" w:hAnsi="Palatino Linotype"/>
          <w:sz w:val="22"/>
          <w:szCs w:val="22"/>
        </w:rPr>
      </w:pPr>
      <w:r w:rsidRPr="007A646F">
        <w:rPr>
          <w:rFonts w:ascii="Palatino Linotype" w:hAnsi="Palatino Linotype"/>
          <w:sz w:val="22"/>
          <w:szCs w:val="22"/>
        </w:rPr>
        <w:t>Página: 101</w:t>
      </w:r>
    </w:p>
    <w:p w:rsidR="00B909BE" w:rsidRPr="007A646F" w:rsidRDefault="00B909BE" w:rsidP="00503C51">
      <w:pPr>
        <w:tabs>
          <w:tab w:val="left" w:pos="8222"/>
        </w:tabs>
        <w:ind w:left="851" w:right="899"/>
        <w:jc w:val="both"/>
        <w:rPr>
          <w:rFonts w:ascii="Palatino Linotype" w:hAnsi="Palatino Linotype"/>
          <w:b/>
          <w:i/>
          <w:sz w:val="22"/>
          <w:szCs w:val="22"/>
        </w:rPr>
      </w:pPr>
    </w:p>
    <w:p w:rsidR="00B909BE" w:rsidRPr="007A646F" w:rsidRDefault="00B909BE" w:rsidP="00503C51">
      <w:pPr>
        <w:tabs>
          <w:tab w:val="left" w:pos="8222"/>
        </w:tabs>
        <w:ind w:left="851" w:right="899"/>
        <w:jc w:val="both"/>
        <w:rPr>
          <w:rFonts w:ascii="Palatino Linotype" w:hAnsi="Palatino Linotype"/>
          <w:i/>
          <w:sz w:val="22"/>
          <w:szCs w:val="22"/>
        </w:rPr>
      </w:pPr>
      <w:r w:rsidRPr="007A646F">
        <w:rPr>
          <w:rFonts w:ascii="Palatino Linotype" w:hAnsi="Palatino Linotype"/>
          <w:b/>
          <w:i/>
          <w:sz w:val="22"/>
          <w:szCs w:val="22"/>
        </w:rPr>
        <w:t xml:space="preserve">HECHOS NEGATIVOS, NO SON SUSCEPTIBLES DE DEMOSTRACION. </w:t>
      </w:r>
      <w:r w:rsidRPr="007A646F">
        <w:rPr>
          <w:rFonts w:ascii="Palatino Linotype" w:hAnsi="Palatino Linotype"/>
          <w:i/>
          <w:sz w:val="22"/>
          <w:szCs w:val="22"/>
        </w:rPr>
        <w:t xml:space="preserve">Tratándose de un hecho negativo, el Juez no tiene </w:t>
      </w:r>
      <w:proofErr w:type="spellStart"/>
      <w:r w:rsidRPr="007A646F">
        <w:rPr>
          <w:rFonts w:ascii="Palatino Linotype" w:hAnsi="Palatino Linotype"/>
          <w:i/>
          <w:sz w:val="22"/>
          <w:szCs w:val="22"/>
        </w:rPr>
        <w:t>por que</w:t>
      </w:r>
      <w:proofErr w:type="spellEnd"/>
      <w:r w:rsidRPr="007A646F">
        <w:rPr>
          <w:rFonts w:ascii="Palatino Linotype" w:hAnsi="Palatino Linotype"/>
          <w:i/>
          <w:sz w:val="22"/>
          <w:szCs w:val="22"/>
        </w:rPr>
        <w:t xml:space="preserve"> invocar prueba alguna de la que se desprenda, ya que es bien sabido que esta clase de hechos no son susceptibles de demostración.</w:t>
      </w:r>
    </w:p>
    <w:p w:rsidR="00B909BE" w:rsidRPr="007A646F" w:rsidRDefault="00B909BE" w:rsidP="00503C51">
      <w:pPr>
        <w:tabs>
          <w:tab w:val="left" w:pos="8222"/>
        </w:tabs>
        <w:ind w:left="851" w:right="899"/>
        <w:jc w:val="both"/>
        <w:rPr>
          <w:rFonts w:ascii="Palatino Linotype" w:hAnsi="Palatino Linotype"/>
          <w:b/>
          <w:sz w:val="22"/>
          <w:szCs w:val="22"/>
        </w:rPr>
      </w:pPr>
      <w:r w:rsidRPr="007A646F">
        <w:rPr>
          <w:rFonts w:ascii="Palatino Linotype" w:hAnsi="Palatino Linotype"/>
          <w:sz w:val="22"/>
          <w:szCs w:val="22"/>
        </w:rPr>
        <w:t>Amparo en revisión 2022/61. José García Florín (Menor). 9 de octubre de 1961. Cinco votos. Ponente: José Rivera Pérez Campos.</w:t>
      </w:r>
      <w:r w:rsidRPr="007A646F">
        <w:rPr>
          <w:rFonts w:ascii="Palatino Linotype" w:hAnsi="Palatino Linotype"/>
          <w:b/>
          <w:sz w:val="22"/>
          <w:szCs w:val="22"/>
        </w:rPr>
        <w:t>”</w:t>
      </w:r>
    </w:p>
    <w:p w:rsidR="00B909BE" w:rsidRPr="007A646F" w:rsidRDefault="00B909BE" w:rsidP="00503C51">
      <w:pPr>
        <w:ind w:right="1134"/>
        <w:jc w:val="both"/>
        <w:rPr>
          <w:rFonts w:ascii="Palatino Linotype" w:hAnsi="Palatino Linotype"/>
          <w:b/>
          <w:sz w:val="22"/>
          <w:szCs w:val="22"/>
        </w:rPr>
      </w:pPr>
    </w:p>
    <w:p w:rsidR="00B909BE" w:rsidRPr="007A646F" w:rsidRDefault="00B909BE" w:rsidP="00B9215F">
      <w:pPr>
        <w:autoSpaceDE w:val="0"/>
        <w:autoSpaceDN w:val="0"/>
        <w:adjustRightInd w:val="0"/>
        <w:spacing w:line="360" w:lineRule="auto"/>
        <w:ind w:right="18"/>
        <w:jc w:val="both"/>
        <w:rPr>
          <w:rFonts w:ascii="Palatino Linotype" w:hAnsi="Palatino Linotype" w:cs="Arial"/>
        </w:rPr>
      </w:pPr>
      <w:r w:rsidRPr="007A646F">
        <w:rPr>
          <w:rFonts w:ascii="Palatino Linotype" w:hAnsi="Palatino Linotype" w:cs="Arial"/>
        </w:rPr>
        <w:t>Por lo anterior, y derivado del análisis expuesto, se concluye que se está en presencia de un hecho negativo, por lo que, en este sentido resulta innecesario realizar un Acuerdo de Inexistencia.</w:t>
      </w:r>
    </w:p>
    <w:p w:rsidR="00B909BE" w:rsidRPr="007A646F" w:rsidRDefault="00B909BE" w:rsidP="00B9215F">
      <w:pPr>
        <w:autoSpaceDE w:val="0"/>
        <w:autoSpaceDN w:val="0"/>
        <w:adjustRightInd w:val="0"/>
        <w:spacing w:line="360" w:lineRule="auto"/>
        <w:ind w:right="18"/>
        <w:jc w:val="both"/>
        <w:rPr>
          <w:rFonts w:ascii="Palatino Linotype" w:hAnsi="Palatino Linotype" w:cs="Arial"/>
        </w:rPr>
      </w:pPr>
    </w:p>
    <w:p w:rsidR="00B909BE" w:rsidRPr="007A646F" w:rsidRDefault="00B909BE" w:rsidP="00B9215F">
      <w:pPr>
        <w:spacing w:line="360" w:lineRule="auto"/>
        <w:jc w:val="both"/>
        <w:rPr>
          <w:rFonts w:ascii="Palatino Linotype" w:hAnsi="Palatino Linotype" w:cs="Arial"/>
        </w:rPr>
      </w:pPr>
      <w:r w:rsidRPr="007A646F">
        <w:rPr>
          <w:rFonts w:ascii="Palatino Linotype" w:hAnsi="Palatino Linotype"/>
        </w:rPr>
        <w:t xml:space="preserve">Así, de conformidad con lo establecido en el artículo 12 de la Ley de Transparencia y Acceso a la Información Pública del Estado de México y Municipios, </w:t>
      </w:r>
      <w:r w:rsidRPr="007A646F">
        <w:rPr>
          <w:rFonts w:ascii="Palatino Linotype" w:hAnsi="Palatino Linotype"/>
          <w:b/>
        </w:rPr>
        <w:t>EL SUJETO OBLIGADO</w:t>
      </w:r>
      <w:r w:rsidRPr="007A646F">
        <w:rPr>
          <w:rFonts w:ascii="Palatino Linotype" w:hAnsi="Palatino Linotype"/>
        </w:rPr>
        <w:t xml:space="preserve"> sólo proporcionará la información que obra en sus archivos, lo que a</w:t>
      </w:r>
      <w:r w:rsidRPr="007A646F">
        <w:rPr>
          <w:rFonts w:ascii="Palatino Linotype" w:hAnsi="Palatino Linotype"/>
          <w:i/>
        </w:rPr>
        <w:t xml:space="preserve"> contrario sensu</w:t>
      </w:r>
      <w:r w:rsidRPr="007A646F">
        <w:rPr>
          <w:rFonts w:ascii="Palatino Linotype" w:hAnsi="Palatino Linotype"/>
        </w:rPr>
        <w:t xml:space="preserve"> significa que no se está obligado a proporcionar lo que no obre en los mismos; </w:t>
      </w:r>
      <w:r w:rsidRPr="007A646F">
        <w:rPr>
          <w:rFonts w:ascii="Palatino Linotype" w:hAnsi="Palatino Linotype" w:cs="Arial"/>
        </w:rPr>
        <w:t>ello con relación al artículo 143 de la Constitución Política del Estado Libre y Soberano de México, pues las autoridades sólo están facultadas para realizar lo que expresamente les faculta la Ley u ordenamientos jurídicos.</w:t>
      </w:r>
    </w:p>
    <w:p w:rsidR="00B909BE" w:rsidRPr="007A646F" w:rsidRDefault="00B909BE" w:rsidP="00B9215F">
      <w:pPr>
        <w:spacing w:line="360" w:lineRule="auto"/>
        <w:jc w:val="both"/>
        <w:rPr>
          <w:rFonts w:ascii="Palatino Linotype" w:eastAsia="Calibri" w:hAnsi="Palatino Linotype" w:cs="Arial"/>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cs="Arial"/>
          <w:lang w:eastAsia="en-US"/>
        </w:rPr>
        <w:t xml:space="preserve">Por otro lado, respecto al requerimiento realizado por el particular identificado con el </w:t>
      </w:r>
      <w:r w:rsidRPr="007A646F">
        <w:rPr>
          <w:rFonts w:ascii="Palatino Linotype" w:eastAsia="Calibri" w:hAnsi="Palatino Linotype" w:cs="Arial"/>
          <w:b/>
          <w:lang w:eastAsia="en-US"/>
        </w:rPr>
        <w:t xml:space="preserve">numeral 24, </w:t>
      </w:r>
      <w:r w:rsidRPr="007A646F">
        <w:rPr>
          <w:rFonts w:ascii="Palatino Linotype" w:eastAsia="Calibri" w:hAnsi="Palatino Linotype" w:cs="Arial"/>
          <w:lang w:eastAsia="en-US"/>
        </w:rPr>
        <w:t xml:space="preserve">relacionada con las </w:t>
      </w:r>
      <w:r w:rsidRPr="007A646F">
        <w:rPr>
          <w:rFonts w:ascii="Palatino Linotype" w:hAnsi="Palatino Linotype" w:cs="Arial"/>
          <w:i/>
        </w:rPr>
        <w:t xml:space="preserve">principales zonas </w:t>
      </w:r>
      <w:proofErr w:type="spellStart"/>
      <w:r w:rsidRPr="007A646F">
        <w:rPr>
          <w:rFonts w:ascii="Palatino Linotype" w:hAnsi="Palatino Linotype" w:cs="Arial"/>
          <w:i/>
        </w:rPr>
        <w:t>georreferenciadas</w:t>
      </w:r>
      <w:proofErr w:type="spellEnd"/>
      <w:r w:rsidRPr="007A646F">
        <w:rPr>
          <w:rFonts w:ascii="Palatino Linotype" w:hAnsi="Palatino Linotype" w:cs="Arial"/>
          <w:i/>
        </w:rPr>
        <w:t xml:space="preserve"> con mayor incidencia </w:t>
      </w:r>
      <w:r w:rsidRPr="007A646F">
        <w:rPr>
          <w:rFonts w:ascii="Palatino Linotype" w:hAnsi="Palatino Linotype" w:cs="Arial"/>
          <w:i/>
        </w:rPr>
        <w:lastRenderedPageBreak/>
        <w:t xml:space="preserve">de violencia contra las mujeres en 2019 hasta febrero de 2020, se pide desagregar la información por tipo y modalidad de violencia; </w:t>
      </w:r>
      <w:r w:rsidRPr="007A646F">
        <w:rPr>
          <w:rFonts w:ascii="Palatino Linotype" w:hAnsi="Palatino Linotype" w:cs="Arial"/>
        </w:rPr>
        <w:t xml:space="preserve">al respecto, </w:t>
      </w:r>
      <w:r w:rsidRPr="007A646F">
        <w:rPr>
          <w:rFonts w:ascii="Palatino Linotype" w:hAnsi="Palatino Linotype" w:cs="Arial"/>
          <w:b/>
        </w:rPr>
        <w:t xml:space="preserve">EL SUJETO OBLIGADO </w:t>
      </w:r>
      <w:r w:rsidRPr="007A646F">
        <w:rPr>
          <w:rFonts w:ascii="Palatino Linotype" w:eastAsia="Calibri" w:hAnsi="Palatino Linotype"/>
          <w:lang w:eastAsia="en-US"/>
        </w:rPr>
        <w:t xml:space="preserve">mediante respuesta proporcionó la información tal como la genera, sin que tenga obligatoriedad de presentarla conforme al interés del particular, misma que se encuentra descrita dentro del estudio del requerimiento identificado con el </w:t>
      </w:r>
      <w:r w:rsidRPr="007A646F">
        <w:rPr>
          <w:rFonts w:ascii="Palatino Linotype" w:eastAsia="Calibri" w:hAnsi="Palatino Linotype"/>
          <w:b/>
          <w:lang w:eastAsia="en-US"/>
        </w:rPr>
        <w:t xml:space="preserve">numeral 19, </w:t>
      </w:r>
      <w:r w:rsidRPr="007A646F">
        <w:rPr>
          <w:rFonts w:ascii="Palatino Linotype" w:eastAsia="Calibri" w:hAnsi="Palatino Linotype"/>
          <w:lang w:eastAsia="en-US"/>
        </w:rPr>
        <w:t xml:space="preserve">motivo por el cual se omite su inserción en el presente apartado.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Ahora bien, respecto a los requerimientos identificados con los numerales 25, 26 y 28, consistentes en:  </w:t>
      </w:r>
    </w:p>
    <w:p w:rsidR="00503C51" w:rsidRPr="007A646F" w:rsidRDefault="00503C51" w:rsidP="00B9215F">
      <w:pPr>
        <w:spacing w:line="360" w:lineRule="auto"/>
        <w:jc w:val="both"/>
        <w:rPr>
          <w:rFonts w:ascii="Palatino Linotype" w:eastAsia="Calibri" w:hAnsi="Palatino Linotype"/>
          <w:lang w:eastAsia="en-US"/>
        </w:rPr>
      </w:pPr>
    </w:p>
    <w:p w:rsidR="00B909BE" w:rsidRPr="007A646F" w:rsidRDefault="00B909BE" w:rsidP="00B9215F">
      <w:pPr>
        <w:numPr>
          <w:ilvl w:val="0"/>
          <w:numId w:val="45"/>
        </w:numPr>
        <w:spacing w:line="360" w:lineRule="auto"/>
        <w:contextualSpacing/>
        <w:jc w:val="both"/>
        <w:rPr>
          <w:rFonts w:ascii="Palatino Linotype" w:eastAsia="Calibri" w:hAnsi="Palatino Linotype"/>
          <w:i/>
          <w:lang w:eastAsia="en-US"/>
        </w:rPr>
      </w:pPr>
      <w:r w:rsidRPr="007A646F">
        <w:rPr>
          <w:rFonts w:ascii="Palatino Linotype" w:eastAsia="Calibri" w:hAnsi="Palatino Linotype"/>
          <w:i/>
          <w:lang w:eastAsia="en-US"/>
        </w:rPr>
        <w:t xml:space="preserve">información sobre los patrullajes preventivos realizados en las zonas </w:t>
      </w:r>
      <w:proofErr w:type="spellStart"/>
      <w:r w:rsidRPr="007A646F">
        <w:rPr>
          <w:rFonts w:ascii="Palatino Linotype" w:eastAsia="Calibri" w:hAnsi="Palatino Linotype"/>
          <w:i/>
          <w:lang w:eastAsia="en-US"/>
        </w:rPr>
        <w:t>georreferenciadas</w:t>
      </w:r>
      <w:proofErr w:type="spellEnd"/>
      <w:r w:rsidRPr="007A646F">
        <w:rPr>
          <w:rFonts w:ascii="Palatino Linotype" w:eastAsia="Calibri" w:hAnsi="Palatino Linotype"/>
          <w:i/>
          <w:lang w:eastAsia="en-US"/>
        </w:rPr>
        <w:t xml:space="preserve"> con mayor incidencia de violencia contra las mujeres </w:t>
      </w:r>
    </w:p>
    <w:p w:rsidR="00B909BE" w:rsidRPr="007A646F" w:rsidRDefault="00B909BE" w:rsidP="00B9215F">
      <w:pPr>
        <w:numPr>
          <w:ilvl w:val="0"/>
          <w:numId w:val="45"/>
        </w:numPr>
        <w:spacing w:line="360" w:lineRule="auto"/>
        <w:contextualSpacing/>
        <w:jc w:val="both"/>
        <w:rPr>
          <w:rFonts w:ascii="Palatino Linotype" w:eastAsia="Calibri" w:hAnsi="Palatino Linotype"/>
          <w:i/>
          <w:lang w:eastAsia="en-US"/>
        </w:rPr>
      </w:pPr>
      <w:r w:rsidRPr="007A646F">
        <w:rPr>
          <w:rFonts w:ascii="Palatino Linotype" w:eastAsia="Calibri" w:hAnsi="Palatino Linotype"/>
          <w:i/>
          <w:lang w:eastAsia="en-US"/>
        </w:rPr>
        <w:t>información de las acciones implementadas en el transporte público para garantizar la seguridad de las mujeres (se solicita número de patrullajes, el nombre de las rutas, horarios y qué áreas participaron en las acciones)</w:t>
      </w:r>
    </w:p>
    <w:p w:rsidR="00B909BE" w:rsidRPr="007A646F" w:rsidRDefault="00B909BE" w:rsidP="00B9215F">
      <w:pPr>
        <w:numPr>
          <w:ilvl w:val="0"/>
          <w:numId w:val="45"/>
        </w:numPr>
        <w:spacing w:line="360" w:lineRule="auto"/>
        <w:contextualSpacing/>
        <w:jc w:val="both"/>
        <w:rPr>
          <w:rFonts w:ascii="Palatino Linotype" w:eastAsia="Calibri" w:hAnsi="Palatino Linotype"/>
          <w:i/>
          <w:lang w:eastAsia="en-US"/>
        </w:rPr>
      </w:pPr>
      <w:r w:rsidRPr="007A646F">
        <w:rPr>
          <w:rFonts w:ascii="Palatino Linotype" w:eastAsia="Calibri" w:hAnsi="Palatino Linotype"/>
          <w:i/>
          <w:lang w:eastAsia="en-US"/>
        </w:rPr>
        <w:t xml:space="preserve">información del  número de medidas de protección recibidas en el año 2019 para garantizar su efectiva ejecución y cuál ha seguimiento a las mismas </w:t>
      </w:r>
    </w:p>
    <w:p w:rsidR="00503C51" w:rsidRPr="007A646F" w:rsidRDefault="00503C51" w:rsidP="00503C51">
      <w:pPr>
        <w:spacing w:line="360" w:lineRule="auto"/>
        <w:ind w:left="720"/>
        <w:contextualSpacing/>
        <w:jc w:val="both"/>
        <w:rPr>
          <w:rFonts w:ascii="Palatino Linotype" w:eastAsia="Calibri" w:hAnsi="Palatino Linotype"/>
          <w:i/>
          <w:lang w:eastAsia="en-US"/>
        </w:rPr>
      </w:pPr>
    </w:p>
    <w:p w:rsidR="008E00CD" w:rsidRPr="007A646F" w:rsidRDefault="00B909BE" w:rsidP="008E00CD">
      <w:pPr>
        <w:spacing w:line="360" w:lineRule="auto"/>
        <w:jc w:val="both"/>
        <w:rPr>
          <w:rFonts w:ascii="Palatino Linotype" w:hAnsi="Palatino Linotype" w:cs="Arial"/>
          <w:color w:val="000000"/>
        </w:rPr>
      </w:pPr>
      <w:r w:rsidRPr="007A646F">
        <w:rPr>
          <w:rFonts w:ascii="Palatino Linotype" w:eastAsia="Calibri" w:hAnsi="Palatino Linotype"/>
          <w:lang w:eastAsia="en-US"/>
        </w:rPr>
        <w:t xml:space="preserve">Al respecto,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omitió pronunciarse al respecto, atento a ello, este Órgano Garante determina ordenar se haga entrega de </w:t>
      </w:r>
      <w:r w:rsidR="003310EB" w:rsidRPr="007A646F">
        <w:rPr>
          <w:rFonts w:ascii="Palatino Linotype" w:eastAsia="Calibri" w:hAnsi="Palatino Linotype"/>
          <w:lang w:eastAsia="en-US"/>
        </w:rPr>
        <w:t>los documentos que den cuenta de la referida información al mayor grado de desagregación posible</w:t>
      </w:r>
      <w:r w:rsidR="008E00CD" w:rsidRPr="007A646F">
        <w:rPr>
          <w:rFonts w:ascii="Palatino Linotype" w:eastAsia="Calibri" w:hAnsi="Palatino Linotype"/>
          <w:lang w:eastAsia="en-US"/>
        </w:rPr>
        <w:t>, del periodo comprendido</w:t>
      </w:r>
      <w:r w:rsidR="008E00CD" w:rsidRPr="007A646F">
        <w:rPr>
          <w:rFonts w:ascii="Palatino Linotype" w:hAnsi="Palatino Linotype" w:cs="Arial"/>
          <w:color w:val="000000"/>
        </w:rPr>
        <w:t xml:space="preserve"> del dieciocho de febrero de dos mil diecinueve al dieciocho de dieciocho de febrero de dos mil veinte. </w:t>
      </w:r>
    </w:p>
    <w:p w:rsidR="008E00CD" w:rsidRPr="007A646F" w:rsidRDefault="008E00CD" w:rsidP="00B9215F">
      <w:pPr>
        <w:spacing w:line="360" w:lineRule="auto"/>
        <w:jc w:val="both"/>
        <w:rPr>
          <w:rFonts w:ascii="Palatino Linotype" w:eastAsia="Calibri" w:hAnsi="Palatino Linotype"/>
          <w:lang w:eastAsia="en-US"/>
        </w:rPr>
      </w:pPr>
    </w:p>
    <w:p w:rsidR="00B909BE" w:rsidRPr="007A646F" w:rsidRDefault="008E00CD" w:rsidP="002847ED">
      <w:pPr>
        <w:spacing w:line="360" w:lineRule="auto"/>
        <w:jc w:val="both"/>
        <w:rPr>
          <w:rFonts w:ascii="Palatino Linotype" w:hAnsi="Palatino Linotype" w:cs="Arial"/>
          <w:color w:val="000000"/>
        </w:rPr>
      </w:pPr>
      <w:r w:rsidRPr="007A646F">
        <w:rPr>
          <w:rFonts w:ascii="Palatino Linotype" w:eastAsia="Calibri" w:hAnsi="Palatino Linotype"/>
          <w:lang w:eastAsia="en-US"/>
        </w:rPr>
        <w:lastRenderedPageBreak/>
        <w:t>Ahora bien</w:t>
      </w:r>
      <w:r w:rsidR="00B909BE" w:rsidRPr="007A646F">
        <w:rPr>
          <w:rFonts w:ascii="Palatino Linotype" w:eastAsia="Calibri" w:hAnsi="Palatino Linotype"/>
          <w:lang w:eastAsia="en-US"/>
        </w:rPr>
        <w:t>, n</w:t>
      </w:r>
      <w:r w:rsidR="00B909BE" w:rsidRPr="007A646F">
        <w:rPr>
          <w:rFonts w:ascii="Palatino Linotype" w:hAnsi="Palatino Linotype" w:cs="Arial"/>
          <w:color w:val="000000"/>
        </w:rPr>
        <w:t xml:space="preserve">o </w:t>
      </w:r>
      <w:r w:rsidR="002847ED" w:rsidRPr="007A646F">
        <w:rPr>
          <w:rFonts w:ascii="Palatino Linotype" w:hAnsi="Palatino Linotype" w:cs="Arial"/>
          <w:color w:val="000000"/>
        </w:rPr>
        <w:t xml:space="preserve">se </w:t>
      </w:r>
      <w:r w:rsidR="00B909BE" w:rsidRPr="007A646F">
        <w:rPr>
          <w:rFonts w:ascii="Palatino Linotype" w:hAnsi="Palatino Linotype" w:cs="Arial"/>
          <w:color w:val="000000"/>
        </w:rPr>
        <w:t xml:space="preserve">omite mencionar que, si </w:t>
      </w:r>
      <w:r w:rsidR="00B909BE" w:rsidRPr="007A646F">
        <w:rPr>
          <w:rFonts w:ascii="Palatino Linotype" w:hAnsi="Palatino Linotype" w:cs="Arial"/>
          <w:b/>
          <w:color w:val="000000"/>
        </w:rPr>
        <w:t>EL SUJETO OBLIGADO</w:t>
      </w:r>
      <w:r w:rsidR="00B909BE" w:rsidRPr="007A646F">
        <w:rPr>
          <w:rFonts w:ascii="Palatino Linotype" w:hAnsi="Palatino Linotype" w:cs="Arial"/>
          <w:color w:val="000000"/>
        </w:rPr>
        <w:t xml:space="preserve"> advierte información </w:t>
      </w:r>
      <w:r w:rsidR="003310EB" w:rsidRPr="007A646F">
        <w:rPr>
          <w:rFonts w:ascii="Palatino Linotype" w:hAnsi="Palatino Linotype" w:cs="Arial"/>
          <w:color w:val="000000"/>
        </w:rPr>
        <w:t xml:space="preserve">respecto de la segunda viñeta </w:t>
      </w:r>
      <w:r w:rsidR="00B909BE" w:rsidRPr="007A646F">
        <w:rPr>
          <w:rFonts w:ascii="Palatino Linotype" w:hAnsi="Palatino Linotype" w:cs="Arial"/>
          <w:color w:val="000000"/>
        </w:rPr>
        <w:t>que</w:t>
      </w:r>
      <w:r w:rsidR="002847ED" w:rsidRPr="007A646F">
        <w:rPr>
          <w:rFonts w:ascii="Palatino Linotype" w:hAnsi="Palatino Linotype" w:cs="Arial"/>
          <w:color w:val="000000"/>
        </w:rPr>
        <w:t xml:space="preserve"> </w:t>
      </w:r>
      <w:r w:rsidR="002847ED" w:rsidRPr="007A646F">
        <w:rPr>
          <w:rFonts w:ascii="Palatino Linotype" w:hAnsi="Palatino Linotype" w:cs="Arial"/>
        </w:rPr>
        <w:t xml:space="preserve">corresponda un patrón constante o idéntico a los roles y acciones implementadas en el transporte público para garantizar la seguridad de las mujeres o información </w:t>
      </w:r>
      <w:r w:rsidR="00B909BE" w:rsidRPr="007A646F">
        <w:rPr>
          <w:rFonts w:ascii="Palatino Linotype" w:hAnsi="Palatino Linotype" w:cs="Arial"/>
          <w:color w:val="000000"/>
        </w:rPr>
        <w:t xml:space="preserve"> por su propia y especial naturaleza, encuadre en alguno de los supuestos de </w:t>
      </w:r>
      <w:r w:rsidR="003310EB" w:rsidRPr="007A646F">
        <w:rPr>
          <w:rFonts w:ascii="Palatino Linotype" w:hAnsi="Palatino Linotype" w:cs="Arial"/>
          <w:color w:val="000000"/>
        </w:rPr>
        <w:t xml:space="preserve">clasificación como reservada </w:t>
      </w:r>
      <w:r w:rsidR="00B909BE" w:rsidRPr="007A646F">
        <w:rPr>
          <w:rFonts w:ascii="Palatino Linotype" w:hAnsi="Palatino Linotype" w:cs="Arial"/>
          <w:color w:val="000000"/>
        </w:rPr>
        <w:t>que enmarca la Ley de Transparencia y Acceso a la Información Pública del Estado de México y Municipios deberá efectuar la clasificación correspondiente, debidamente fundada y motivada. En términos de las hipótesis previstas en el ordinal 140 de la Ley de Transparencia y Acceso a la Información Pública del Estado de México y Municipios; así como, en términos de lo dispuesto por los Lineamientos Generales en materia de Clasificación y Desclasificación de la Información, así como para la elaboración de Versiones Públicas.</w:t>
      </w:r>
    </w:p>
    <w:p w:rsidR="00503C51" w:rsidRPr="007A646F" w:rsidRDefault="00503C51" w:rsidP="00B9215F">
      <w:pPr>
        <w:spacing w:line="360" w:lineRule="auto"/>
        <w:jc w:val="both"/>
        <w:rPr>
          <w:rFonts w:ascii="Palatino Linotype" w:hAnsi="Palatino Linotype" w:cs="Arial"/>
          <w:color w:val="000000"/>
        </w:rPr>
      </w:pPr>
    </w:p>
    <w:p w:rsidR="00B909BE" w:rsidRPr="007A646F" w:rsidRDefault="00B909BE" w:rsidP="00B9215F">
      <w:pPr>
        <w:spacing w:line="360" w:lineRule="auto"/>
        <w:jc w:val="both"/>
        <w:rPr>
          <w:rFonts w:ascii="Palatino Linotype" w:hAnsi="Palatino Linotype" w:cs="Arial"/>
          <w:color w:val="000000"/>
        </w:rPr>
      </w:pPr>
      <w:r w:rsidRPr="007A646F">
        <w:rPr>
          <w:rFonts w:ascii="Palatino Linotype" w:hAnsi="Palatino Linotype" w:cs="Arial"/>
          <w:color w:val="000000"/>
        </w:rPr>
        <w:t xml:space="preserve">Lo anterior, sin perder de vista que la Constitución Política de los Estados Unidos Mexicanos le otorga a </w:t>
      </w:r>
      <w:r w:rsidRPr="007A646F">
        <w:rPr>
          <w:rFonts w:ascii="Palatino Linotype" w:hAnsi="Palatino Linotype" w:cs="Arial"/>
          <w:b/>
          <w:color w:val="000000"/>
        </w:rPr>
        <w:t>todos los documentos</w:t>
      </w:r>
      <w:r w:rsidRPr="007A646F">
        <w:rPr>
          <w:rFonts w:ascii="Palatino Linotype" w:hAnsi="Palatino Linotype" w:cs="Arial"/>
          <w:color w:val="000000"/>
        </w:rPr>
        <w:t xml:space="preserve"> en posesión de las autoridades </w:t>
      </w:r>
      <w:r w:rsidRPr="007A646F">
        <w:rPr>
          <w:rFonts w:ascii="Palatino Linotype" w:hAnsi="Palatino Linotype" w:cs="Arial"/>
          <w:b/>
          <w:color w:val="000000"/>
        </w:rPr>
        <w:t>la calidad de públicos</w:t>
      </w:r>
      <w:r w:rsidRPr="007A646F">
        <w:rPr>
          <w:rFonts w:ascii="Palatino Linotype" w:hAnsi="Palatino Linotype" w:cs="Arial"/>
          <w:color w:val="000000"/>
        </w:rPr>
        <w:t xml:space="preserve"> y únicamente pueden ser reservados temporalmente por razones de interés público y en los términos expresamente señalados en la Ley, es decir, el derecho de acceso a la información pública no es absoluto pero su restricción debe estar sujeta a un sistema rígido de excepciones, en el que los Sujetos Obligados deben fundamentar y argumentar las causas de interés público que se ponen en riesgo al liberarse la información, señalando un plazo justificado para la reserva de la información.</w:t>
      </w:r>
    </w:p>
    <w:p w:rsidR="00B909BE" w:rsidRPr="007A646F" w:rsidRDefault="00B909BE" w:rsidP="00B9215F">
      <w:pPr>
        <w:spacing w:line="360" w:lineRule="auto"/>
        <w:jc w:val="both"/>
        <w:rPr>
          <w:rFonts w:ascii="Palatino Linotype" w:hAnsi="Palatino Linotype" w:cs="Arial"/>
          <w:color w:val="000000"/>
        </w:rPr>
      </w:pPr>
    </w:p>
    <w:p w:rsidR="00B909BE" w:rsidRPr="007A646F" w:rsidRDefault="00B909BE" w:rsidP="00B9215F">
      <w:pPr>
        <w:spacing w:line="360" w:lineRule="auto"/>
        <w:jc w:val="both"/>
        <w:rPr>
          <w:rFonts w:ascii="Palatino Linotype" w:hAnsi="Palatino Linotype"/>
          <w:color w:val="000000"/>
        </w:rPr>
      </w:pPr>
      <w:r w:rsidRPr="007A646F">
        <w:rPr>
          <w:rFonts w:ascii="Palatino Linotype" w:hAnsi="Palatino Linotype"/>
          <w:color w:val="000000"/>
        </w:rPr>
        <w:lastRenderedPageBreak/>
        <w:t xml:space="preserve">Siendo pertinente aclarar que, la información que se clasifica bajo la premisa de reservada, </w:t>
      </w:r>
      <w:r w:rsidRPr="007A646F">
        <w:rPr>
          <w:rFonts w:ascii="Palatino Linotype" w:hAnsi="Palatino Linotype"/>
          <w:b/>
          <w:color w:val="000000"/>
        </w:rPr>
        <w:t>no pierde el carácter de pública</w:t>
      </w:r>
      <w:r w:rsidRPr="007A646F">
        <w:rPr>
          <w:rFonts w:ascii="Palatino Linotype" w:hAnsi="Palatino Linotype"/>
          <w:color w:val="000000"/>
        </w:rPr>
        <w:t xml:space="preserve">, sino que </w:t>
      </w:r>
      <w:r w:rsidRPr="007A646F">
        <w:rPr>
          <w:rFonts w:ascii="Palatino Linotype" w:hAnsi="Palatino Linotype"/>
          <w:b/>
          <w:color w:val="000000"/>
        </w:rPr>
        <w:t>se reserva temporalmente</w:t>
      </w:r>
      <w:r w:rsidRPr="007A646F">
        <w:rPr>
          <w:rFonts w:ascii="Palatino Linotype" w:hAnsi="Palatino Linotype"/>
          <w:color w:val="000000"/>
        </w:rPr>
        <w:t xml:space="preserve"> </w:t>
      </w:r>
      <w:r w:rsidRPr="007A646F">
        <w:rPr>
          <w:rFonts w:ascii="Palatino Linotype" w:hAnsi="Palatino Linotype"/>
          <w:b/>
          <w:color w:val="000000"/>
        </w:rPr>
        <w:t>del conocimiento público</w:t>
      </w:r>
      <w:r w:rsidRPr="007A646F">
        <w:rPr>
          <w:rFonts w:ascii="Palatino Linotype" w:hAnsi="Palatino Linotype"/>
          <w:color w:val="000000"/>
        </w:rPr>
        <w:t xml:space="preserve">, es decir, que, </w:t>
      </w:r>
      <w:r w:rsidRPr="007A646F">
        <w:rPr>
          <w:rFonts w:ascii="Palatino Linotype" w:hAnsi="Palatino Linotype"/>
          <w:b/>
          <w:color w:val="000000"/>
        </w:rPr>
        <w:t>por un tiempo determinado</w:t>
      </w:r>
      <w:r w:rsidRPr="007A646F">
        <w:rPr>
          <w:rFonts w:ascii="Palatino Linotype" w:hAnsi="Palatino Linotype"/>
          <w:color w:val="000000"/>
        </w:rPr>
        <w:t>, se conservará y custodiará la información de manera especial, y una vez transcurrido el plazo de reserva, el documento podrá divulgarse.</w:t>
      </w:r>
    </w:p>
    <w:p w:rsidR="00B909BE" w:rsidRPr="007A646F" w:rsidRDefault="00B909BE" w:rsidP="00B9215F">
      <w:pPr>
        <w:spacing w:line="360" w:lineRule="auto"/>
        <w:jc w:val="both"/>
        <w:rPr>
          <w:rFonts w:ascii="Palatino Linotype" w:hAnsi="Palatino Linotype"/>
          <w:color w:val="000000"/>
        </w:rPr>
      </w:pPr>
    </w:p>
    <w:p w:rsidR="00B909BE" w:rsidRPr="007A646F" w:rsidRDefault="00B909BE" w:rsidP="00B9215F">
      <w:pPr>
        <w:spacing w:line="360" w:lineRule="auto"/>
        <w:jc w:val="both"/>
        <w:rPr>
          <w:rFonts w:ascii="Palatino Linotype" w:eastAsia="Calibri" w:hAnsi="Palatino Linotype" w:cs="Arial"/>
          <w:bCs/>
          <w:color w:val="000000"/>
        </w:rPr>
      </w:pPr>
      <w:r w:rsidRPr="007A646F">
        <w:rPr>
          <w:rFonts w:ascii="Palatino Linotype" w:eastAsia="Calibri" w:hAnsi="Palatino Linotype" w:cs="Arial"/>
          <w:color w:val="000000"/>
        </w:rPr>
        <w:t>De tal manera, las limitaciones al acceso a la información deben sustentarse en una adecuada clasificación que debe distinguir y tomar en cuenta qué información puede generar un daño desproporcionado o innecesario a valores jurídicamente protegidos. Lo anterior encuentra sustento en la Tesis de la Décima Época, publicada en la Gaceta del Semanario Judicial de la Federación, sección Tribunales Colegiados de Circuito, Libro 5, de fecha abril de 2014, pág. 1523, Registro, 2,006,299. I.1o.A.E.3 K (10a.)</w:t>
      </w:r>
      <w:r w:rsidRPr="007A646F">
        <w:rPr>
          <w:rFonts w:ascii="Palatino Linotype" w:eastAsia="Arial Unicode MS" w:hAnsi="Palatino Linotype" w:cs="Arial"/>
          <w:color w:val="000000"/>
        </w:rPr>
        <w:t>,</w:t>
      </w:r>
      <w:r w:rsidRPr="007A646F">
        <w:rPr>
          <w:rFonts w:ascii="Palatino Linotype" w:eastAsia="Calibri" w:hAnsi="Palatino Linotype" w:cs="Arial"/>
          <w:bCs/>
          <w:color w:val="000000"/>
        </w:rPr>
        <w:t xml:space="preserve"> que literalmente señala:</w:t>
      </w:r>
    </w:p>
    <w:p w:rsidR="00B909BE" w:rsidRPr="007A646F" w:rsidRDefault="00B909BE" w:rsidP="00503C51">
      <w:pPr>
        <w:jc w:val="both"/>
        <w:rPr>
          <w:rFonts w:ascii="Palatino Linotype" w:eastAsia="Calibri" w:hAnsi="Palatino Linotype" w:cs="Arial"/>
          <w:bCs/>
          <w:color w:val="000000"/>
        </w:rPr>
      </w:pPr>
    </w:p>
    <w:p w:rsidR="00B909BE" w:rsidRPr="007A646F" w:rsidRDefault="00B909BE" w:rsidP="00503C51">
      <w:pPr>
        <w:ind w:left="851" w:right="902"/>
        <w:jc w:val="both"/>
        <w:rPr>
          <w:rFonts w:ascii="Palatino Linotype" w:eastAsia="Calibri" w:hAnsi="Palatino Linotype"/>
          <w:i/>
          <w:color w:val="000000"/>
          <w:sz w:val="22"/>
          <w:szCs w:val="22"/>
        </w:rPr>
      </w:pPr>
      <w:r w:rsidRPr="007A646F">
        <w:rPr>
          <w:rFonts w:ascii="Palatino Linotype" w:eastAsia="Calibri" w:hAnsi="Palatino Linotype"/>
          <w:i/>
          <w:color w:val="000000"/>
          <w:sz w:val="22"/>
          <w:szCs w:val="22"/>
        </w:rPr>
        <w:t>“</w:t>
      </w:r>
      <w:r w:rsidRPr="007A646F">
        <w:rPr>
          <w:rFonts w:ascii="Palatino Linotype" w:eastAsia="Calibri" w:hAnsi="Palatino Linotype"/>
          <w:b/>
          <w:i/>
          <w:color w:val="000000"/>
          <w:sz w:val="22"/>
          <w:szCs w:val="22"/>
        </w:rPr>
        <w:t>INFORMACIÓN RESERVADA. APLICACIÓN DE LA "PRUEBA DE DAÑO E INTERÉS PÚBLICO" PARA DETERMINAR LO ADECUADO DE LA APORTADA CON ESA CLASIFICACIÓN EN EL JUICIO DE AMPARO POR LA AUTORIDAD RESPONSABLE, A EFECTO DE HACER VIABLE LA DEFENSA EFECTIVA DEL QUEJOSO.</w:t>
      </w:r>
      <w:r w:rsidRPr="007A646F">
        <w:rPr>
          <w:rFonts w:ascii="Palatino Linotype" w:eastAsia="Calibri" w:hAnsi="Palatino Linotype"/>
          <w:i/>
          <w:color w:val="000000"/>
          <w:sz w:val="22"/>
          <w:szCs w:val="22"/>
        </w:rPr>
        <w:t xml:space="preserve"> Una adecuada clasificación de la información pública debe tomar en cuenta y distinguir, en el contexto general de un documento, cuál es la específica y precisa, cuya divulgación puede generar un daño desproporcionado o innecesario a valores jurídicamente protegidos, lo cual debe evitarse, en la medida de lo posible, frente a aquella que debe ser accesible al quejoso en el amparo para hacer viable su defensa efectiva y cuestionar violaciones a derechos fundamentales, lo que implica un interés público en abrir o desclasificar la información necesaria para ese efecto, cuando la autoridad responsable que la aporta al juicio la clasifica como reservada. Por tanto, es necesario distinguir esas diferencias y formular una idónea y adecuada clasificación de la información, generando así una regla individualizada y pertinente para el </w:t>
      </w:r>
      <w:r w:rsidRPr="007A646F">
        <w:rPr>
          <w:rFonts w:ascii="Palatino Linotype" w:eastAsia="Calibri" w:hAnsi="Palatino Linotype"/>
          <w:i/>
          <w:color w:val="000000"/>
          <w:sz w:val="22"/>
          <w:szCs w:val="22"/>
        </w:rPr>
        <w:lastRenderedPageBreak/>
        <w:t xml:space="preserve">caso, a través de aplicar la "prueba de daño e interés público" ex </w:t>
      </w:r>
      <w:proofErr w:type="spellStart"/>
      <w:r w:rsidRPr="007A646F">
        <w:rPr>
          <w:rFonts w:ascii="Palatino Linotype" w:eastAsia="Calibri" w:hAnsi="Palatino Linotype"/>
          <w:i/>
          <w:color w:val="000000"/>
          <w:sz w:val="22"/>
          <w:szCs w:val="22"/>
        </w:rPr>
        <w:t>officio</w:t>
      </w:r>
      <w:proofErr w:type="spellEnd"/>
      <w:r w:rsidRPr="007A646F">
        <w:rPr>
          <w:rFonts w:ascii="Palatino Linotype" w:eastAsia="Calibri" w:hAnsi="Palatino Linotype"/>
          <w:i/>
          <w:color w:val="000000"/>
          <w:sz w:val="22"/>
          <w:szCs w:val="22"/>
        </w:rPr>
        <w:t>, con el propósito de obtener una versión que sea pública para la parte interesada.” (</w:t>
      </w:r>
      <w:proofErr w:type="gramStart"/>
      <w:r w:rsidRPr="007A646F">
        <w:rPr>
          <w:rFonts w:ascii="Palatino Linotype" w:eastAsia="Calibri" w:hAnsi="Palatino Linotype"/>
          <w:i/>
          <w:color w:val="000000"/>
          <w:sz w:val="22"/>
          <w:szCs w:val="22"/>
        </w:rPr>
        <w:t>sic</w:t>
      </w:r>
      <w:proofErr w:type="gramEnd"/>
      <w:r w:rsidRPr="007A646F">
        <w:rPr>
          <w:rFonts w:ascii="Palatino Linotype" w:eastAsia="Calibri" w:hAnsi="Palatino Linotype"/>
          <w:i/>
          <w:color w:val="000000"/>
          <w:sz w:val="22"/>
          <w:szCs w:val="22"/>
        </w:rPr>
        <w:t>)</w:t>
      </w:r>
    </w:p>
    <w:p w:rsidR="00B909BE" w:rsidRPr="007A646F" w:rsidRDefault="00B909BE" w:rsidP="00503C51">
      <w:pPr>
        <w:ind w:right="902"/>
        <w:jc w:val="both"/>
        <w:rPr>
          <w:rFonts w:ascii="Palatino Linotype" w:eastAsia="Calibri" w:hAnsi="Palatino Linotype"/>
          <w:i/>
          <w:color w:val="000000"/>
          <w:sz w:val="22"/>
          <w:szCs w:val="22"/>
        </w:rPr>
      </w:pPr>
    </w:p>
    <w:p w:rsidR="00B909BE" w:rsidRPr="007A646F" w:rsidRDefault="00B909BE" w:rsidP="00B9215F">
      <w:pPr>
        <w:spacing w:line="360" w:lineRule="auto"/>
        <w:jc w:val="both"/>
        <w:rPr>
          <w:rFonts w:ascii="Palatino Linotype" w:hAnsi="Palatino Linotype"/>
          <w:bCs/>
          <w:color w:val="000000"/>
        </w:rPr>
      </w:pPr>
      <w:r w:rsidRPr="007A646F">
        <w:rPr>
          <w:rFonts w:ascii="Palatino Linotype" w:hAnsi="Palatino Linotype"/>
          <w:bCs/>
          <w:color w:val="000000"/>
        </w:rPr>
        <w:t xml:space="preserve">Por todo lo anterior, la reserva de la información implica una clasificación, la cual debe entenderse como el proceso mediante el cual </w:t>
      </w:r>
      <w:r w:rsidRPr="007A646F">
        <w:rPr>
          <w:rFonts w:ascii="Palatino Linotype" w:hAnsi="Palatino Linotype"/>
          <w:b/>
          <w:bCs/>
          <w:color w:val="000000"/>
        </w:rPr>
        <w:t>EL SUJETO OBLIGADO</w:t>
      </w:r>
      <w:r w:rsidRPr="007A646F">
        <w:rPr>
          <w:rFonts w:ascii="Palatino Linotype" w:hAnsi="Palatino Linotype"/>
          <w:bCs/>
          <w:color w:val="000000"/>
        </w:rPr>
        <w:t xml:space="preserve"> determina que la información en su poder</w:t>
      </w:r>
      <w:r w:rsidR="003310EB" w:rsidRPr="007A646F">
        <w:rPr>
          <w:rFonts w:ascii="Palatino Linotype" w:hAnsi="Palatino Linotype"/>
          <w:bCs/>
          <w:color w:val="000000"/>
        </w:rPr>
        <w:t>,</w:t>
      </w:r>
      <w:r w:rsidRPr="007A646F">
        <w:rPr>
          <w:rFonts w:ascii="Palatino Linotype" w:hAnsi="Palatino Linotype"/>
          <w:bCs/>
          <w:color w:val="000000"/>
        </w:rPr>
        <w:t xml:space="preserve"> actualiza alguno de los supuestos conforme a las normas aplicables.</w:t>
      </w:r>
    </w:p>
    <w:p w:rsidR="00B909BE" w:rsidRPr="007A646F" w:rsidRDefault="00B909BE" w:rsidP="00B9215F">
      <w:pPr>
        <w:spacing w:line="360" w:lineRule="auto"/>
        <w:jc w:val="both"/>
        <w:rPr>
          <w:rFonts w:ascii="Palatino Linotype" w:hAnsi="Palatino Linotype"/>
          <w:bCs/>
          <w:color w:val="000000"/>
        </w:rPr>
      </w:pPr>
    </w:p>
    <w:p w:rsidR="00B909BE" w:rsidRPr="007A646F" w:rsidRDefault="00B909BE" w:rsidP="00B9215F">
      <w:pPr>
        <w:spacing w:line="360" w:lineRule="auto"/>
        <w:jc w:val="both"/>
        <w:rPr>
          <w:rFonts w:ascii="Palatino Linotype" w:hAnsi="Palatino Linotype"/>
          <w:color w:val="000000"/>
        </w:rPr>
      </w:pPr>
      <w:r w:rsidRPr="007A646F">
        <w:rPr>
          <w:rFonts w:ascii="Palatino Linotype" w:hAnsi="Palatino Linotype"/>
          <w:color w:val="000000"/>
        </w:rPr>
        <w:t xml:space="preserve">En tal virtud, conforme al artículo 49, fracción VIII de la </w:t>
      </w:r>
      <w:r w:rsidRPr="007A646F">
        <w:rPr>
          <w:rFonts w:ascii="Palatino Linotype" w:hAnsi="Palatino Linotype" w:cs="Arial"/>
          <w:color w:val="000000"/>
        </w:rPr>
        <w:t>Ley de Transparencia y Acceso a la Información Pública del Estado de México y Municipios</w:t>
      </w:r>
      <w:r w:rsidRPr="007A646F">
        <w:rPr>
          <w:rFonts w:ascii="Palatino Linotype" w:hAnsi="Palatino Linotype"/>
          <w:color w:val="000000"/>
        </w:rPr>
        <w:t xml:space="preserve">, los Comités de Transparencia tienen la atribución de aprobar, modificar o revocar la clasificación de la información, mientras que, el artículo 128 de la misma Ley, indica que, en los casos en que se niegue el acceso a la información, por actualizarse alguno de los supuestos de clasificación, el Comité de Transparencia debe confirmar, modificar o revocar la decisión, que para motivar la clasificación de la información y la ampliación del plazo de reserva, se deberán de señalar las razones, motivos o circunstancias especiales que llevaron al </w:t>
      </w:r>
      <w:r w:rsidRPr="007A646F">
        <w:rPr>
          <w:rFonts w:ascii="Palatino Linotype" w:hAnsi="Palatino Linotype"/>
          <w:b/>
          <w:color w:val="000000"/>
        </w:rPr>
        <w:t>SUJETO OBLIGADO</w:t>
      </w:r>
      <w:r w:rsidRPr="007A646F">
        <w:rPr>
          <w:rFonts w:ascii="Palatino Linotype" w:hAnsi="Palatino Linotype"/>
          <w:color w:val="000000"/>
        </w:rPr>
        <w:t xml:space="preserve"> a concluir que el caso particular se ajusta al supuesto previsto por la norma legal invocada como fundamento; siendo que, además, </w:t>
      </w:r>
      <w:r w:rsidRPr="007A646F">
        <w:rPr>
          <w:rFonts w:ascii="Palatino Linotype" w:hAnsi="Palatino Linotype"/>
          <w:b/>
          <w:color w:val="000000"/>
        </w:rPr>
        <w:t>EL SUJETO OBLIGADO</w:t>
      </w:r>
      <w:r w:rsidRPr="007A646F">
        <w:rPr>
          <w:rFonts w:ascii="Palatino Linotype" w:hAnsi="Palatino Linotype"/>
          <w:color w:val="000000"/>
        </w:rPr>
        <w:t xml:space="preserve"> debe, en todo momento, aplicar una prueba de daño.</w:t>
      </w:r>
    </w:p>
    <w:p w:rsidR="00B909BE" w:rsidRPr="007A646F" w:rsidRDefault="00B909BE" w:rsidP="00B9215F">
      <w:pPr>
        <w:spacing w:line="360" w:lineRule="auto"/>
        <w:jc w:val="both"/>
        <w:rPr>
          <w:rFonts w:ascii="Palatino Linotype" w:hAnsi="Palatino Linotype"/>
          <w:color w:val="000000"/>
        </w:rPr>
      </w:pPr>
    </w:p>
    <w:p w:rsidR="00B909BE" w:rsidRPr="007A646F" w:rsidRDefault="00B909BE" w:rsidP="00B9215F">
      <w:pPr>
        <w:spacing w:line="360" w:lineRule="auto"/>
        <w:jc w:val="both"/>
        <w:rPr>
          <w:rFonts w:ascii="Palatino Linotype" w:hAnsi="Palatino Linotype"/>
          <w:color w:val="000000"/>
        </w:rPr>
      </w:pPr>
      <w:r w:rsidRPr="007A646F">
        <w:rPr>
          <w:rFonts w:ascii="Palatino Linotype" w:hAnsi="Palatino Linotype"/>
          <w:color w:val="000000"/>
        </w:rPr>
        <w:t xml:space="preserve">Dicho lo anterior, es necesario definir a la prueba de daño como la responsabilidad de los Sujetos Obligados de demostrar, de manera fundada y motivada, que la divulgación de la información lesiona el interés debidamente protegido por la Ley y </w:t>
      </w:r>
      <w:r w:rsidRPr="007A646F">
        <w:rPr>
          <w:rFonts w:ascii="Palatino Linotype" w:hAnsi="Palatino Linotype"/>
          <w:color w:val="000000"/>
        </w:rPr>
        <w:lastRenderedPageBreak/>
        <w:t>que el menoscabo o daño que puede producirse con la publicidad de la información, es mayor que el interés de conocerla; por lo que, debe clasificarse como reservada.</w:t>
      </w:r>
    </w:p>
    <w:p w:rsidR="00B909BE" w:rsidRPr="007A646F" w:rsidRDefault="00B909BE" w:rsidP="00B9215F">
      <w:pPr>
        <w:spacing w:line="360" w:lineRule="auto"/>
        <w:jc w:val="both"/>
        <w:rPr>
          <w:rFonts w:ascii="Palatino Linotype" w:hAnsi="Palatino Linotype"/>
          <w:color w:val="000000"/>
        </w:rPr>
      </w:pPr>
    </w:p>
    <w:p w:rsidR="00B909BE" w:rsidRPr="007A646F" w:rsidRDefault="00B909BE" w:rsidP="00B9215F">
      <w:pPr>
        <w:spacing w:line="360" w:lineRule="auto"/>
        <w:jc w:val="both"/>
        <w:rPr>
          <w:rFonts w:ascii="Palatino Linotype" w:hAnsi="Palatino Linotype"/>
          <w:color w:val="000000"/>
        </w:rPr>
      </w:pPr>
      <w:r w:rsidRPr="007A646F">
        <w:rPr>
          <w:rFonts w:ascii="Palatino Linotype" w:hAnsi="Palatino Linotype"/>
          <w:color w:val="000000"/>
        </w:rPr>
        <w:t>De este modo, conforme al artículo 132 en correlación con el 49, fracción II de la Ley de Transparencia y Acceso a la Información Pública del Estado de México y Municipios, para clasificar la información se debe de atender a lo dispuesto por la normativa y aplicar, de manera estricta, las excepciones del derecho de acceso a la información y sólo podrán invocarlas cuando acrediten su procedencia, debiendo clasificar la información en el momento en que:</w:t>
      </w:r>
    </w:p>
    <w:p w:rsidR="00B909BE" w:rsidRPr="007A646F" w:rsidRDefault="00B909BE" w:rsidP="00B9215F">
      <w:pPr>
        <w:spacing w:line="360" w:lineRule="auto"/>
        <w:jc w:val="both"/>
        <w:rPr>
          <w:rFonts w:ascii="Palatino Linotype" w:hAnsi="Palatino Linotype"/>
          <w:color w:val="000000"/>
        </w:rPr>
      </w:pPr>
    </w:p>
    <w:p w:rsidR="00B909BE" w:rsidRPr="007A646F" w:rsidRDefault="00B909BE" w:rsidP="00B9215F">
      <w:pPr>
        <w:numPr>
          <w:ilvl w:val="0"/>
          <w:numId w:val="26"/>
        </w:numPr>
        <w:spacing w:line="360" w:lineRule="auto"/>
        <w:ind w:left="1276" w:hanging="425"/>
        <w:jc w:val="both"/>
        <w:rPr>
          <w:rFonts w:ascii="Palatino Linotype" w:hAnsi="Palatino Linotype"/>
          <w:color w:val="000000"/>
        </w:rPr>
      </w:pPr>
      <w:r w:rsidRPr="007A646F">
        <w:rPr>
          <w:rFonts w:ascii="Palatino Linotype" w:hAnsi="Palatino Linotype"/>
          <w:color w:val="000000"/>
        </w:rPr>
        <w:t>Se reciba una solicitud de acceso a la información;</w:t>
      </w:r>
    </w:p>
    <w:p w:rsidR="00B909BE" w:rsidRPr="007A646F" w:rsidRDefault="00B909BE" w:rsidP="00B9215F">
      <w:pPr>
        <w:numPr>
          <w:ilvl w:val="0"/>
          <w:numId w:val="26"/>
        </w:numPr>
        <w:spacing w:line="360" w:lineRule="auto"/>
        <w:ind w:left="1276" w:hanging="425"/>
        <w:jc w:val="both"/>
        <w:rPr>
          <w:rFonts w:ascii="Palatino Linotype" w:hAnsi="Palatino Linotype"/>
          <w:color w:val="000000"/>
        </w:rPr>
      </w:pPr>
      <w:r w:rsidRPr="007A646F">
        <w:rPr>
          <w:rFonts w:ascii="Palatino Linotype" w:hAnsi="Palatino Linotype"/>
          <w:color w:val="000000"/>
        </w:rPr>
        <w:t>Se determine mediante resolución de autoridad competente; y/o</w:t>
      </w:r>
    </w:p>
    <w:p w:rsidR="00B909BE" w:rsidRPr="007A646F" w:rsidRDefault="00B909BE" w:rsidP="00B9215F">
      <w:pPr>
        <w:numPr>
          <w:ilvl w:val="0"/>
          <w:numId w:val="26"/>
        </w:numPr>
        <w:spacing w:line="360" w:lineRule="auto"/>
        <w:ind w:left="1276" w:hanging="425"/>
        <w:jc w:val="both"/>
        <w:rPr>
          <w:rFonts w:ascii="Palatino Linotype" w:hAnsi="Palatino Linotype"/>
          <w:color w:val="000000"/>
        </w:rPr>
      </w:pPr>
      <w:r w:rsidRPr="007A646F">
        <w:rPr>
          <w:rFonts w:ascii="Palatino Linotype" w:hAnsi="Palatino Linotype"/>
          <w:color w:val="000000"/>
        </w:rPr>
        <w:t>Se generen versiones públicas para dar cumplimiento a las obligaciones de transparencia previstas en la Ley.</w:t>
      </w:r>
    </w:p>
    <w:p w:rsidR="00B909BE" w:rsidRPr="007A646F" w:rsidRDefault="00B909BE" w:rsidP="00B9215F">
      <w:pPr>
        <w:spacing w:line="360" w:lineRule="auto"/>
        <w:jc w:val="both"/>
        <w:rPr>
          <w:rFonts w:ascii="Palatino Linotype" w:hAnsi="Palatino Linotype"/>
          <w:color w:val="000000"/>
        </w:rPr>
      </w:pPr>
    </w:p>
    <w:p w:rsidR="00B909BE" w:rsidRPr="007A646F" w:rsidRDefault="00B909BE" w:rsidP="00B9215F">
      <w:pPr>
        <w:spacing w:line="360" w:lineRule="auto"/>
        <w:jc w:val="both"/>
        <w:rPr>
          <w:rFonts w:ascii="Palatino Linotype" w:hAnsi="Palatino Linotype"/>
          <w:color w:val="000000"/>
        </w:rPr>
      </w:pPr>
      <w:r w:rsidRPr="007A646F">
        <w:rPr>
          <w:rFonts w:ascii="Palatino Linotype" w:hAnsi="Palatino Linotype"/>
          <w:color w:val="000000"/>
        </w:rPr>
        <w:t>Situación que se robustece con el artículo 141 de la misma Ley, que señala que las causales de reserva previstas, se deberán fundar y motivar, a través de la aplicación de la prueba de daño.</w:t>
      </w:r>
    </w:p>
    <w:p w:rsidR="00B909BE" w:rsidRPr="007A646F" w:rsidRDefault="00B909BE" w:rsidP="00B9215F">
      <w:pPr>
        <w:spacing w:line="360" w:lineRule="auto"/>
        <w:jc w:val="both"/>
        <w:rPr>
          <w:rFonts w:ascii="Palatino Linotype" w:hAnsi="Palatino Linotype"/>
          <w:color w:val="000000"/>
        </w:rPr>
      </w:pPr>
    </w:p>
    <w:p w:rsidR="00B909BE" w:rsidRPr="007A646F" w:rsidRDefault="00B909BE" w:rsidP="00B9215F">
      <w:pPr>
        <w:spacing w:line="360" w:lineRule="auto"/>
        <w:jc w:val="both"/>
        <w:rPr>
          <w:rFonts w:ascii="Palatino Linotype" w:hAnsi="Palatino Linotype"/>
          <w:color w:val="000000"/>
        </w:rPr>
      </w:pPr>
      <w:r w:rsidRPr="007A646F">
        <w:rPr>
          <w:rFonts w:ascii="Palatino Linotype" w:hAnsi="Palatino Linotype"/>
          <w:color w:val="000000"/>
        </w:rPr>
        <w:t xml:space="preserve">Igualmente, la clasificación de la información debe estar sustentada en el Acuerdo de Clasificación correspondiente, en el que, de manera fundada y motivada, se establezcan las hipótesis normativas aplicables al caso concreto y se analice la prueba de daño que prevé el artículo 129 de la Ley de Transparencia de mérito, para lo cual, los Sujetos Obligados deberán considerar que: </w:t>
      </w:r>
    </w:p>
    <w:p w:rsidR="00B909BE" w:rsidRPr="007A646F" w:rsidRDefault="00B909BE" w:rsidP="00B9215F">
      <w:pPr>
        <w:spacing w:line="360" w:lineRule="auto"/>
        <w:jc w:val="both"/>
        <w:rPr>
          <w:rFonts w:ascii="Palatino Linotype" w:hAnsi="Palatino Linotype"/>
          <w:color w:val="000000"/>
        </w:rPr>
      </w:pPr>
    </w:p>
    <w:p w:rsidR="00B909BE" w:rsidRPr="007A646F" w:rsidRDefault="00B909BE" w:rsidP="00B9215F">
      <w:pPr>
        <w:numPr>
          <w:ilvl w:val="0"/>
          <w:numId w:val="27"/>
        </w:numPr>
        <w:spacing w:line="360" w:lineRule="auto"/>
        <w:ind w:left="1134" w:hanging="283"/>
        <w:jc w:val="both"/>
        <w:rPr>
          <w:rFonts w:ascii="Palatino Linotype" w:hAnsi="Palatino Linotype"/>
          <w:color w:val="000000"/>
        </w:rPr>
      </w:pPr>
      <w:r w:rsidRPr="007A646F">
        <w:rPr>
          <w:rFonts w:ascii="Palatino Linotype" w:hAnsi="Palatino Linotype"/>
          <w:color w:val="000000"/>
        </w:rPr>
        <w:t xml:space="preserve">La divulgación de la información representa un </w:t>
      </w:r>
      <w:r w:rsidRPr="007A646F">
        <w:rPr>
          <w:rFonts w:ascii="Palatino Linotype" w:hAnsi="Palatino Linotype"/>
          <w:b/>
          <w:color w:val="000000"/>
        </w:rPr>
        <w:t>riesgo real, demostrable e identificable del perjuicio significativo al interés público o a la seguridad pública</w:t>
      </w:r>
      <w:r w:rsidRPr="007A646F">
        <w:rPr>
          <w:rFonts w:ascii="Palatino Linotype" w:hAnsi="Palatino Linotype"/>
          <w:color w:val="000000"/>
        </w:rPr>
        <w:t>;</w:t>
      </w:r>
    </w:p>
    <w:p w:rsidR="00B909BE" w:rsidRPr="007A646F" w:rsidRDefault="00B909BE" w:rsidP="00B9215F">
      <w:pPr>
        <w:numPr>
          <w:ilvl w:val="0"/>
          <w:numId w:val="27"/>
        </w:numPr>
        <w:spacing w:line="360" w:lineRule="auto"/>
        <w:ind w:left="1134" w:hanging="283"/>
        <w:jc w:val="both"/>
        <w:rPr>
          <w:rFonts w:ascii="Palatino Linotype" w:hAnsi="Palatino Linotype"/>
          <w:color w:val="000000"/>
        </w:rPr>
      </w:pPr>
      <w:r w:rsidRPr="007A646F">
        <w:rPr>
          <w:rFonts w:ascii="Palatino Linotype" w:hAnsi="Palatino Linotype"/>
          <w:color w:val="000000"/>
        </w:rPr>
        <w:t>El riesgo de perjuicio que supondría la divulgación supera el interés público general de que se difunda; y,</w:t>
      </w:r>
    </w:p>
    <w:p w:rsidR="00B909BE" w:rsidRPr="007A646F" w:rsidRDefault="00B909BE" w:rsidP="00B9215F">
      <w:pPr>
        <w:numPr>
          <w:ilvl w:val="0"/>
          <w:numId w:val="27"/>
        </w:numPr>
        <w:spacing w:line="360" w:lineRule="auto"/>
        <w:ind w:left="1134" w:hanging="283"/>
        <w:jc w:val="both"/>
        <w:rPr>
          <w:rFonts w:ascii="Palatino Linotype" w:hAnsi="Palatino Linotype"/>
          <w:color w:val="000000"/>
        </w:rPr>
      </w:pPr>
      <w:r w:rsidRPr="007A646F">
        <w:rPr>
          <w:rFonts w:ascii="Palatino Linotype" w:hAnsi="Palatino Linotype"/>
          <w:color w:val="000000"/>
        </w:rPr>
        <w:t xml:space="preserve">La limitación se adecua al principio de proporcionalidad y representa el medio menos restrictivo disponible para evitar el perjuicio. </w:t>
      </w:r>
    </w:p>
    <w:p w:rsidR="00B909BE" w:rsidRPr="007A646F" w:rsidRDefault="00B909BE" w:rsidP="00B9215F">
      <w:pPr>
        <w:spacing w:line="360" w:lineRule="auto"/>
        <w:jc w:val="both"/>
        <w:rPr>
          <w:rFonts w:ascii="Palatino Linotype" w:hAnsi="Palatino Linotype"/>
          <w:color w:val="000000"/>
        </w:rPr>
      </w:pPr>
    </w:p>
    <w:p w:rsidR="00B909BE" w:rsidRPr="007A646F" w:rsidRDefault="00B909BE" w:rsidP="00B9215F">
      <w:pPr>
        <w:widowControl w:val="0"/>
        <w:tabs>
          <w:tab w:val="left" w:pos="1276"/>
          <w:tab w:val="left" w:pos="1701"/>
          <w:tab w:val="left" w:pos="1843"/>
        </w:tabs>
        <w:autoSpaceDE w:val="0"/>
        <w:autoSpaceDN w:val="0"/>
        <w:adjustRightInd w:val="0"/>
        <w:spacing w:line="360" w:lineRule="auto"/>
        <w:ind w:right="49"/>
        <w:jc w:val="both"/>
        <w:rPr>
          <w:rFonts w:ascii="Palatino Linotype" w:hAnsi="Palatino Linotype" w:cs="Arial"/>
          <w:color w:val="000000"/>
        </w:rPr>
      </w:pPr>
      <w:r w:rsidRPr="007A646F">
        <w:rPr>
          <w:rFonts w:ascii="Palatino Linotype" w:hAnsi="Palatino Linotype"/>
          <w:bCs/>
          <w:color w:val="000000"/>
        </w:rPr>
        <w:t xml:space="preserve">Atento a lo anterior, </w:t>
      </w:r>
      <w:r w:rsidRPr="007A646F">
        <w:rPr>
          <w:rFonts w:ascii="Palatino Linotype" w:hAnsi="Palatino Linotype" w:cs="Arial"/>
          <w:color w:val="000000"/>
          <w:lang w:eastAsia="es-MX"/>
        </w:rPr>
        <w:t xml:space="preserve">es necesario hacer hincapié que para el caso de que existan </w:t>
      </w:r>
      <w:r w:rsidRPr="007A646F">
        <w:rPr>
          <w:rFonts w:ascii="Palatino Linotype" w:hAnsi="Palatino Linotype"/>
          <w:color w:val="000000"/>
        </w:rPr>
        <w:t xml:space="preserve">causas presentes que impiden la publicidad de la información durante cierto periodo de tiempo, </w:t>
      </w:r>
      <w:r w:rsidRPr="007A646F">
        <w:rPr>
          <w:rFonts w:ascii="Palatino Linotype" w:hAnsi="Palatino Linotype" w:cs="Arial"/>
          <w:color w:val="000000"/>
          <w:lang w:eastAsia="es-MX"/>
        </w:rPr>
        <w:t xml:space="preserve">debe clasificar la información </w:t>
      </w:r>
      <w:r w:rsidRPr="007A646F">
        <w:rPr>
          <w:rFonts w:ascii="Palatino Linotype" w:hAnsi="Palatino Linotype" w:cs="Arial"/>
          <w:color w:val="000000"/>
        </w:rPr>
        <w:t>como reservada, precisar las razones objetivas por las que la apertura de la información generaría una afectación, asimismo es claro que los mismos deben aplicar de manera restrictiva y limitada las hipótesis de clasificación y no hacerlas valer de manera general.</w:t>
      </w:r>
    </w:p>
    <w:p w:rsidR="00503C51" w:rsidRPr="007A646F" w:rsidRDefault="00503C51"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En relación al requerimiento identificado con el </w:t>
      </w:r>
      <w:r w:rsidRPr="007A646F">
        <w:rPr>
          <w:rFonts w:ascii="Palatino Linotype" w:eastAsia="Calibri" w:hAnsi="Palatino Linotype"/>
          <w:b/>
          <w:lang w:eastAsia="en-US"/>
        </w:rPr>
        <w:t xml:space="preserve">numeral 27, </w:t>
      </w:r>
      <w:r w:rsidRPr="007A646F">
        <w:rPr>
          <w:rFonts w:ascii="Palatino Linotype" w:eastAsia="Calibri" w:hAnsi="Palatino Linotype"/>
          <w:lang w:eastAsia="en-US"/>
        </w:rPr>
        <w:t xml:space="preserve">relacionado con </w:t>
      </w:r>
      <w:r w:rsidRPr="007A646F">
        <w:rPr>
          <w:rFonts w:ascii="Palatino Linotype" w:eastAsia="Calibri" w:hAnsi="Palatino Linotype"/>
          <w:i/>
          <w:lang w:eastAsia="en-US"/>
        </w:rPr>
        <w:t xml:space="preserve">las campañas de difusión para dar a conocer las líneas de atención de apoyo a mujeres víctimas de violencia; </w:t>
      </w:r>
      <w:r w:rsidRPr="007A646F">
        <w:rPr>
          <w:rFonts w:ascii="Palatino Linotype" w:eastAsia="Calibri" w:hAnsi="Palatino Linotype"/>
          <w:lang w:eastAsia="en-US"/>
        </w:rPr>
        <w:t xml:space="preserve">al respecto, el Servidor Público Habilitado de la Coordinación de Comunicación Social, mediante archivo electrónico denominado </w:t>
      </w:r>
      <w:r w:rsidRPr="007A646F">
        <w:rPr>
          <w:rFonts w:ascii="Palatino Linotype" w:eastAsia="Calibri" w:hAnsi="Palatino Linotype"/>
          <w:b/>
          <w:lang w:eastAsia="en-US"/>
        </w:rPr>
        <w:t>78 BIEN.pdf</w:t>
      </w:r>
      <w:r w:rsidRPr="007A646F">
        <w:rPr>
          <w:rFonts w:ascii="Palatino Linotype" w:eastAsia="Calibri" w:hAnsi="Palatino Linotype"/>
          <w:b/>
          <w:sz w:val="20"/>
          <w:szCs w:val="20"/>
          <w:lang w:eastAsia="en-US"/>
        </w:rPr>
        <w:t xml:space="preserve">, </w:t>
      </w:r>
      <w:r w:rsidRPr="007A646F">
        <w:rPr>
          <w:rFonts w:ascii="Palatino Linotype" w:eastAsia="Calibri" w:hAnsi="Palatino Linotype"/>
          <w:lang w:eastAsia="en-US"/>
        </w:rPr>
        <w:t xml:space="preserve">refirió que se realizaban campañas permanentes de prevención de la violencia de género y líneas de atención de apoyo a mujeres víctimas de violencia denominadas: </w:t>
      </w:r>
    </w:p>
    <w:p w:rsidR="00503C51" w:rsidRPr="007A646F" w:rsidRDefault="00503C51" w:rsidP="00B9215F">
      <w:pPr>
        <w:spacing w:line="360" w:lineRule="auto"/>
        <w:jc w:val="both"/>
        <w:rPr>
          <w:rFonts w:ascii="Palatino Linotype" w:eastAsia="Calibri" w:hAnsi="Palatino Linotype"/>
          <w:lang w:eastAsia="en-US"/>
        </w:rPr>
      </w:pPr>
    </w:p>
    <w:p w:rsidR="00B909BE" w:rsidRPr="007A646F" w:rsidRDefault="00B909BE" w:rsidP="00B9215F">
      <w:pPr>
        <w:numPr>
          <w:ilvl w:val="0"/>
          <w:numId w:val="39"/>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Yo me uno</w:t>
      </w:r>
    </w:p>
    <w:p w:rsidR="00B909BE" w:rsidRPr="007A646F" w:rsidRDefault="00B909BE" w:rsidP="00B9215F">
      <w:pPr>
        <w:numPr>
          <w:ilvl w:val="0"/>
          <w:numId w:val="39"/>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lastRenderedPageBreak/>
        <w:t>Ni una menos</w:t>
      </w:r>
    </w:p>
    <w:p w:rsidR="00B909BE" w:rsidRPr="007A646F" w:rsidRDefault="00B909BE" w:rsidP="00B9215F">
      <w:pPr>
        <w:numPr>
          <w:ilvl w:val="0"/>
          <w:numId w:val="39"/>
        </w:numPr>
        <w:spacing w:line="360" w:lineRule="auto"/>
        <w:contextualSpacing/>
        <w:jc w:val="both"/>
        <w:rPr>
          <w:rFonts w:ascii="Palatino Linotype" w:eastAsia="Calibri" w:hAnsi="Palatino Linotype"/>
          <w:lang w:eastAsia="en-US"/>
        </w:rPr>
      </w:pPr>
      <w:r w:rsidRPr="007A646F">
        <w:rPr>
          <w:rFonts w:ascii="Palatino Linotype" w:eastAsia="Calibri" w:hAnsi="Palatino Linotype"/>
          <w:lang w:eastAsia="en-US"/>
        </w:rPr>
        <w:t>Líneas de atención de apoyo a las mujeres víctimas de violencia</w:t>
      </w:r>
    </w:p>
    <w:p w:rsidR="00503C51" w:rsidRPr="007A646F" w:rsidRDefault="00503C51"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Lo anterior, sin menoscabo de las actividades permanentes del propio Instituto Municipal para la Igualdad entre Mujeres y Hombres de Cuautitlán Izcalli, las cuales son las siguientes: </w:t>
      </w:r>
    </w:p>
    <w:p w:rsidR="00B909BE" w:rsidRPr="007A646F" w:rsidRDefault="00BA79E9" w:rsidP="00B9215F">
      <w:pPr>
        <w:spacing w:line="360" w:lineRule="auto"/>
        <w:jc w:val="both"/>
        <w:rPr>
          <w:rFonts w:ascii="Palatino Linotype" w:eastAsia="Calibri" w:hAnsi="Palatino Linotype"/>
          <w:lang w:eastAsia="en-US"/>
        </w:rPr>
      </w:pPr>
      <w:r>
        <w:rPr>
          <w:rFonts w:ascii="Palatino Linotype" w:eastAsia="Calibri" w:hAnsi="Palatino Linotype"/>
          <w:noProof/>
          <w:sz w:val="22"/>
          <w:szCs w:val="22"/>
          <w:lang w:val="es-ES_tradnl" w:eastAsia="es-ES_tradnl"/>
        </w:rPr>
        <w:pict>
          <v:line id="_x0000_s1035" style="position:absolute;left:0;text-align:left;z-index:251667456;mso-wrap-edited:f" from="-9pt,208.95pt" to="477pt,424.95pt" wrapcoords="-33 -150 -133 450 -100 675 166 1050 21333 22200 21766 22200 21800 21900 21800 21600 21733 21450 20866 20550 166 -150 -33 -150" strokecolor="#4a7ebb" strokeweight="3.5pt">
            <v:fill o:detectmouseclick="t"/>
            <v:shadow on="t" opacity="22938f" offset="0"/>
            <w10:wrap type="tight"/>
          </v:line>
        </w:pict>
      </w:r>
      <w:r w:rsidR="00B909BE" w:rsidRPr="007A646F">
        <w:rPr>
          <w:rFonts w:ascii="Palatino Linotype" w:eastAsia="Calibri" w:hAnsi="Palatino Linotype"/>
          <w:noProof/>
          <w:sz w:val="22"/>
          <w:szCs w:val="22"/>
          <w:lang w:eastAsia="es-MX"/>
        </w:rPr>
        <w:drawing>
          <wp:inline distT="0" distB="0" distL="0" distR="0">
            <wp:extent cx="5609590" cy="2415540"/>
            <wp:effectExtent l="0" t="0" r="0" b="381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056" t="16899" r="-1056" b="-1724"/>
                    <a:stretch/>
                  </pic:blipFill>
                  <pic:spPr bwMode="auto">
                    <a:xfrm>
                      <a:off x="0" y="0"/>
                      <a:ext cx="5621838" cy="2420814"/>
                    </a:xfrm>
                    <a:prstGeom prst="rect">
                      <a:avLst/>
                    </a:prstGeom>
                    <a:ln>
                      <a:noFill/>
                    </a:ln>
                    <a:extLst>
                      <a:ext uri="{53640926-AAD7-44D8-BBD7-CCE9431645EC}">
                        <a14:shadowObscured xmlns:a14="http://schemas.microsoft.com/office/drawing/2010/main"/>
                      </a:ext>
                    </a:extLst>
                  </pic:spPr>
                </pic:pic>
              </a:graphicData>
            </a:graphic>
          </wp:inline>
        </w:drawing>
      </w:r>
    </w:p>
    <w:p w:rsidR="00B909BE" w:rsidRPr="007A646F" w:rsidRDefault="00B909BE" w:rsidP="00B9215F">
      <w:pPr>
        <w:spacing w:line="360" w:lineRule="auto"/>
        <w:jc w:val="center"/>
        <w:rPr>
          <w:rFonts w:ascii="Palatino Linotype" w:eastAsia="Calibri" w:hAnsi="Palatino Linotype"/>
          <w:lang w:eastAsia="en-US"/>
        </w:rPr>
      </w:pPr>
      <w:r w:rsidRPr="007A646F">
        <w:rPr>
          <w:rFonts w:ascii="Palatino Linotype" w:eastAsia="Calibri" w:hAnsi="Palatino Linotype"/>
          <w:noProof/>
          <w:lang w:eastAsia="es-MX"/>
        </w:rPr>
        <w:lastRenderedPageBreak/>
        <w:drawing>
          <wp:inline distT="0" distB="0" distL="0" distR="0">
            <wp:extent cx="3642676" cy="3406435"/>
            <wp:effectExtent l="0" t="0" r="0" b="381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PNG"/>
                    <pic:cNvPicPr/>
                  </pic:nvPicPr>
                  <pic:blipFill>
                    <a:blip r:embed="rId82">
                      <a:extLst>
                        <a:ext uri="{28A0092B-C50C-407E-A947-70E740481C1C}">
                          <a14:useLocalDpi xmlns:a14="http://schemas.microsoft.com/office/drawing/2010/main" val="0"/>
                        </a:ext>
                      </a:extLst>
                    </a:blip>
                    <a:stretch>
                      <a:fillRect/>
                    </a:stretch>
                  </pic:blipFill>
                  <pic:spPr>
                    <a:xfrm>
                      <a:off x="0" y="0"/>
                      <a:ext cx="3642676" cy="3406435"/>
                    </a:xfrm>
                    <a:prstGeom prst="rect">
                      <a:avLst/>
                    </a:prstGeom>
                  </pic:spPr>
                </pic:pic>
              </a:graphicData>
            </a:graphic>
          </wp:inline>
        </w:drawing>
      </w:r>
      <w:r w:rsidRPr="007A646F">
        <w:rPr>
          <w:rFonts w:ascii="Palatino Linotype" w:eastAsia="Calibri" w:hAnsi="Palatino Linotype"/>
          <w:noProof/>
          <w:lang w:eastAsia="es-MX"/>
        </w:rPr>
        <w:drawing>
          <wp:inline distT="0" distB="0" distL="0" distR="0">
            <wp:extent cx="5220152" cy="364267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PNG"/>
                    <pic:cNvPicPr/>
                  </pic:nvPicPr>
                  <pic:blipFill>
                    <a:blip r:embed="rId83">
                      <a:extLst>
                        <a:ext uri="{28A0092B-C50C-407E-A947-70E740481C1C}">
                          <a14:useLocalDpi xmlns:a14="http://schemas.microsoft.com/office/drawing/2010/main" val="0"/>
                        </a:ext>
                      </a:extLst>
                    </a:blip>
                    <a:stretch>
                      <a:fillRect/>
                    </a:stretch>
                  </pic:blipFill>
                  <pic:spPr>
                    <a:xfrm>
                      <a:off x="0" y="0"/>
                      <a:ext cx="5220152" cy="3642676"/>
                    </a:xfrm>
                    <a:prstGeom prst="rect">
                      <a:avLst/>
                    </a:prstGeom>
                  </pic:spPr>
                </pic:pic>
              </a:graphicData>
            </a:graphic>
          </wp:inline>
        </w:drawing>
      </w:r>
      <w:r w:rsidRPr="007A646F">
        <w:rPr>
          <w:rFonts w:ascii="Palatino Linotype" w:eastAsia="Calibri" w:hAnsi="Palatino Linotype"/>
          <w:noProof/>
          <w:lang w:eastAsia="es-MX"/>
        </w:rPr>
        <w:lastRenderedPageBreak/>
        <w:drawing>
          <wp:inline distT="0" distB="0" distL="0" distR="0">
            <wp:extent cx="5612130" cy="3914140"/>
            <wp:effectExtent l="0" t="0" r="762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PNG"/>
                    <pic:cNvPicPr/>
                  </pic:nvPicPr>
                  <pic:blipFill>
                    <a:blip r:embed="rId84">
                      <a:extLst>
                        <a:ext uri="{28A0092B-C50C-407E-A947-70E740481C1C}">
                          <a14:useLocalDpi xmlns:a14="http://schemas.microsoft.com/office/drawing/2010/main" val="0"/>
                        </a:ext>
                      </a:extLst>
                    </a:blip>
                    <a:stretch>
                      <a:fillRect/>
                    </a:stretch>
                  </pic:blipFill>
                  <pic:spPr>
                    <a:xfrm>
                      <a:off x="0" y="0"/>
                      <a:ext cx="5612130" cy="3914140"/>
                    </a:xfrm>
                    <a:prstGeom prst="rect">
                      <a:avLst/>
                    </a:prstGeom>
                  </pic:spPr>
                </pic:pic>
              </a:graphicData>
            </a:graphic>
          </wp:inline>
        </w:drawing>
      </w:r>
    </w:p>
    <w:p w:rsidR="00B909BE" w:rsidRPr="007A646F" w:rsidRDefault="00B909BE" w:rsidP="00B9215F">
      <w:pPr>
        <w:spacing w:line="360" w:lineRule="auto"/>
        <w:rPr>
          <w:rFonts w:ascii="Palatino Linotype" w:eastAsia="Calibri" w:hAnsi="Palatino Linotype"/>
          <w:color w:val="000000"/>
          <w:lang w:eastAsia="es-MX"/>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color w:val="000000"/>
          <w:lang w:eastAsia="es-MX"/>
        </w:rPr>
        <w:t xml:space="preserve">Por otro lado, respecto del </w:t>
      </w:r>
      <w:r w:rsidRPr="007A646F">
        <w:rPr>
          <w:rFonts w:ascii="Palatino Linotype" w:eastAsia="Calibri" w:hAnsi="Palatino Linotype"/>
          <w:lang w:eastAsia="en-US"/>
        </w:rPr>
        <w:t>requerimiento</w:t>
      </w:r>
      <w:r w:rsidRPr="007A646F">
        <w:rPr>
          <w:rFonts w:ascii="Palatino Linotype" w:eastAsia="Calibri" w:hAnsi="Palatino Linotype"/>
          <w:color w:val="000000"/>
          <w:lang w:eastAsia="es-MX"/>
        </w:rPr>
        <w:t xml:space="preserve"> identificado con el </w:t>
      </w:r>
      <w:r w:rsidRPr="007A646F">
        <w:rPr>
          <w:rFonts w:ascii="Palatino Linotype" w:eastAsia="Calibri" w:hAnsi="Palatino Linotype"/>
          <w:b/>
          <w:color w:val="000000"/>
          <w:lang w:eastAsia="es-MX"/>
        </w:rPr>
        <w:t>numeral 29</w:t>
      </w:r>
      <w:r w:rsidRPr="007A646F">
        <w:rPr>
          <w:rFonts w:ascii="Palatino Linotype" w:eastAsia="Calibri" w:hAnsi="Palatino Linotype"/>
          <w:color w:val="000000"/>
          <w:lang w:eastAsia="es-MX"/>
        </w:rPr>
        <w:t xml:space="preserve">, relacionado con </w:t>
      </w:r>
      <w:r w:rsidRPr="007A646F">
        <w:rPr>
          <w:rFonts w:ascii="Palatino Linotype" w:eastAsia="Calibri" w:hAnsi="Palatino Linotype"/>
          <w:i/>
          <w:color w:val="000000"/>
          <w:lang w:eastAsia="es-MX"/>
        </w:rPr>
        <w:t xml:space="preserve">los protocolos de actuación u Reacción Policial con perspectiva de género implementados durante el 2019; </w:t>
      </w:r>
      <w:r w:rsidRPr="007A646F">
        <w:rPr>
          <w:rFonts w:ascii="Palatino Linotype" w:eastAsia="Calibri" w:hAnsi="Palatino Linotype"/>
          <w:color w:val="000000"/>
          <w:lang w:eastAsia="es-MX"/>
        </w:rPr>
        <w:t xml:space="preserve">al respecto, </w:t>
      </w:r>
      <w:r w:rsidRPr="007A646F">
        <w:rPr>
          <w:rFonts w:ascii="Palatino Linotype" w:eastAsia="Calibri" w:hAnsi="Palatino Linotype"/>
          <w:lang w:eastAsia="en-US"/>
        </w:rPr>
        <w:t>el Titular de la Unidad de Atención a la Violencia Familiar y de Género informó que dicha Unidad aplica el Protocolo de Actuación Policial en Materia de Violencia de G</w:t>
      </w:r>
      <w:r w:rsidR="003310EB" w:rsidRPr="007A646F">
        <w:rPr>
          <w:rFonts w:ascii="Palatino Linotype" w:eastAsia="Calibri" w:hAnsi="Palatino Linotype"/>
          <w:lang w:eastAsia="en-US"/>
        </w:rPr>
        <w:t>é</w:t>
      </w:r>
      <w:r w:rsidRPr="007A646F">
        <w:rPr>
          <w:rFonts w:ascii="Palatino Linotype" w:eastAsia="Calibri" w:hAnsi="Palatino Linotype"/>
          <w:lang w:eastAsia="en-US"/>
        </w:rPr>
        <w:t xml:space="preserve">nero; y por lo que hace a la Cédula de búsqueda inmediata, se aplica el Protocolo Alba.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De lo anterior, se puede advertir que si bien existe pronunciamiento por parte de la Unidad aplica el Protocolo de Actuación Policial en Materia de Violencia de G</w:t>
      </w:r>
      <w:r w:rsidR="003310EB" w:rsidRPr="007A646F">
        <w:rPr>
          <w:rFonts w:ascii="Palatino Linotype" w:eastAsia="Calibri" w:hAnsi="Palatino Linotype"/>
          <w:lang w:eastAsia="en-US"/>
        </w:rPr>
        <w:t>é</w:t>
      </w:r>
      <w:r w:rsidRPr="007A646F">
        <w:rPr>
          <w:rFonts w:ascii="Palatino Linotype" w:eastAsia="Calibri" w:hAnsi="Palatino Linotype"/>
          <w:lang w:eastAsia="en-US"/>
        </w:rPr>
        <w:t xml:space="preserve">nero, también lo es que hace falta el pronunciamiento de la Comisaría General de </w:t>
      </w:r>
      <w:r w:rsidRPr="007A646F">
        <w:rPr>
          <w:rFonts w:ascii="Palatino Linotype" w:eastAsia="Calibri" w:hAnsi="Palatino Linotype"/>
          <w:lang w:eastAsia="en-US"/>
        </w:rPr>
        <w:lastRenderedPageBreak/>
        <w:t xml:space="preserve">Seguridad Pública y Tránsito; por lo que, con la finalidad de que se otorgue respuesta jurídica al particular, este Órgano Garante determina ordenar los protocolos de actuación u Reacción Policial con perspectiva de género implementados durante el 2019 por la Comisaría General de Seguridad Pública y Tránsito.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otro lado, en relación al requerimiento identificado con el </w:t>
      </w:r>
      <w:r w:rsidRPr="007A646F">
        <w:rPr>
          <w:rFonts w:ascii="Palatino Linotype" w:eastAsia="Calibri" w:hAnsi="Palatino Linotype"/>
          <w:b/>
          <w:lang w:eastAsia="en-US"/>
        </w:rPr>
        <w:t xml:space="preserve">numeral 30, </w:t>
      </w:r>
      <w:r w:rsidRPr="007A646F">
        <w:rPr>
          <w:rFonts w:ascii="Palatino Linotype" w:eastAsia="Calibri" w:hAnsi="Palatino Linotype"/>
          <w:lang w:eastAsia="en-US"/>
        </w:rPr>
        <w:t xml:space="preserve">relacionado con el </w:t>
      </w:r>
      <w:r w:rsidRPr="007A646F">
        <w:rPr>
          <w:rFonts w:ascii="Palatino Linotype" w:eastAsia="Calibri" w:hAnsi="Palatino Linotype"/>
          <w:i/>
          <w:lang w:eastAsia="en-US"/>
        </w:rPr>
        <w:t xml:space="preserve">presupuesto municipal destinado para dar seguimiento a la AVGM; </w:t>
      </w:r>
      <w:r w:rsidRPr="007A646F">
        <w:rPr>
          <w:rFonts w:ascii="Palatino Linotype" w:eastAsia="Calibri" w:hAnsi="Palatino Linotype"/>
          <w:lang w:eastAsia="en-US"/>
        </w:rPr>
        <w:t>al respecto es de señalar que el Tesorero Municipal quien es el servidor público habilitado que de acuerdo a sus atribuciones podría contar con la información, refirió que no existe</w:t>
      </w:r>
      <w:r w:rsidR="003310EB" w:rsidRPr="007A646F">
        <w:rPr>
          <w:rFonts w:ascii="Palatino Linotype" w:eastAsia="Calibri" w:hAnsi="Palatino Linotype"/>
          <w:lang w:eastAsia="en-US"/>
        </w:rPr>
        <w:t>, ya que informó</w:t>
      </w:r>
      <w:r w:rsidRPr="007A646F">
        <w:rPr>
          <w:rFonts w:ascii="Palatino Linotype" w:eastAsia="Calibri" w:hAnsi="Palatino Linotype"/>
          <w:lang w:eastAsia="en-US"/>
        </w:rPr>
        <w:t xml:space="preserve"> que no existe un capítulo en específico o una partida presupuestal que se utilice para dar seguimiento.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Por lo anterior, y derivado que la respuesta otorgada constituye un hecho negativo, este Órgano Garante determina que se tiene por atendido dicho requerimiento. </w:t>
      </w:r>
    </w:p>
    <w:p w:rsidR="003310EB" w:rsidRPr="007A646F" w:rsidRDefault="003310EB"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Ahora bien, respecto al requerimiento identificado con el </w:t>
      </w:r>
      <w:r w:rsidRPr="007A646F">
        <w:rPr>
          <w:rFonts w:ascii="Palatino Linotype" w:eastAsia="Calibri" w:hAnsi="Palatino Linotype"/>
          <w:b/>
          <w:lang w:eastAsia="en-US"/>
        </w:rPr>
        <w:t xml:space="preserve">numeral 31, </w:t>
      </w:r>
      <w:r w:rsidRPr="007A646F">
        <w:rPr>
          <w:rFonts w:ascii="Palatino Linotype" w:eastAsia="Calibri" w:hAnsi="Palatino Linotype"/>
          <w:lang w:eastAsia="en-US"/>
        </w:rPr>
        <w:t xml:space="preserve">relacionado con el </w:t>
      </w:r>
      <w:r w:rsidRPr="007A646F">
        <w:rPr>
          <w:rFonts w:ascii="Palatino Linotype" w:eastAsia="Calibri" w:hAnsi="Palatino Linotype"/>
          <w:i/>
          <w:lang w:eastAsia="en-US"/>
        </w:rPr>
        <w:t xml:space="preserve">presupuesto municipal del Instituto Municipal de la Mujer para prevenir y atender las violencias contra las mujeres que recibió por parte de Gobierno del Estado de México; </w:t>
      </w:r>
      <w:r w:rsidRPr="007A646F">
        <w:rPr>
          <w:rFonts w:ascii="Palatino Linotype" w:eastAsia="Calibri" w:hAnsi="Palatino Linotype"/>
          <w:lang w:eastAsia="en-US"/>
        </w:rPr>
        <w:t xml:space="preserve">al respecto,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informó que el Instituto para la Igualdad entre Mujeres y Hombres de Cuautitlán Izcalli, a través de la Comisión Ejecutiva de Atención a Víctimas del Estado de México (CEAVEM) se gestionaron los recursos estales del Programa para la Mitigación de la Alerta de Violencia de Género; por un monto de tres millones trescientos cuarenta mil setecientos sesenta y seis pesos.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lastRenderedPageBreak/>
        <w:t xml:space="preserve">Asimismo, no se omite comentar que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precisó lo siguiente:</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ind w:right="616"/>
        <w:jc w:val="both"/>
        <w:rPr>
          <w:rFonts w:ascii="Palatino Linotype" w:eastAsia="Calibri" w:hAnsi="Palatino Linotype"/>
          <w:i/>
          <w:lang w:eastAsia="en-US"/>
        </w:rPr>
      </w:pPr>
      <w:r w:rsidRPr="007A646F">
        <w:rPr>
          <w:rFonts w:ascii="Palatino Linotype" w:eastAsia="Calibri" w:hAnsi="Palatino Linotype"/>
          <w:i/>
          <w:lang w:eastAsia="en-US"/>
        </w:rPr>
        <w:t xml:space="preserve">“…si bien existe un recurso para el ejercicio 2019 por la </w:t>
      </w:r>
      <w:r w:rsidRPr="007A646F">
        <w:rPr>
          <w:rFonts w:ascii="Palatino Linotype" w:eastAsia="Calibri" w:hAnsi="Palatino Linotype"/>
          <w:b/>
          <w:i/>
          <w:lang w:eastAsia="en-US"/>
        </w:rPr>
        <w:t>Comisión Ejecutiva de Atención a Víctimas del Estado de México (CEAVEM)</w:t>
      </w:r>
      <w:r w:rsidRPr="007A646F">
        <w:rPr>
          <w:rFonts w:ascii="Palatino Linotype" w:eastAsia="Calibri" w:hAnsi="Palatino Linotype"/>
          <w:i/>
          <w:lang w:eastAsia="en-US"/>
        </w:rPr>
        <w:t xml:space="preserve">, que se le señalo al recurrente en la contestación por parte del </w:t>
      </w:r>
      <w:r w:rsidRPr="007A646F">
        <w:rPr>
          <w:rFonts w:ascii="Palatino Linotype" w:eastAsia="Calibri" w:hAnsi="Palatino Linotype"/>
          <w:b/>
          <w:i/>
          <w:lang w:eastAsia="en-US"/>
        </w:rPr>
        <w:t xml:space="preserve">Instituto Municipal para la Igualdad entre Mujeres y Hombres de Cuautitlán </w:t>
      </w:r>
      <w:proofErr w:type="spellStart"/>
      <w:r w:rsidRPr="007A646F">
        <w:rPr>
          <w:rFonts w:ascii="Palatino Linotype" w:eastAsia="Calibri" w:hAnsi="Palatino Linotype"/>
          <w:b/>
          <w:i/>
          <w:lang w:eastAsia="en-US"/>
        </w:rPr>
        <w:t>Izcallí</w:t>
      </w:r>
      <w:proofErr w:type="spellEnd"/>
      <w:r w:rsidRPr="007A646F">
        <w:rPr>
          <w:rFonts w:ascii="Palatino Linotype" w:eastAsia="Calibri" w:hAnsi="Palatino Linotype"/>
          <w:i/>
          <w:lang w:eastAsia="en-US"/>
        </w:rPr>
        <w:t xml:space="preserve">, en donde se refiere que dicho Instituto, gestionó los recursos estatales del </w:t>
      </w:r>
      <w:r w:rsidRPr="007A646F">
        <w:rPr>
          <w:rFonts w:ascii="Palatino Linotype" w:eastAsia="Calibri" w:hAnsi="Palatino Linotype"/>
          <w:b/>
          <w:i/>
          <w:lang w:eastAsia="en-US"/>
        </w:rPr>
        <w:t>Programa para la Mitigación de la Alerta de Violencia de Género</w:t>
      </w:r>
      <w:r w:rsidRPr="007A646F">
        <w:rPr>
          <w:rFonts w:ascii="Palatino Linotype" w:eastAsia="Calibri" w:hAnsi="Palatino Linotype"/>
          <w:i/>
          <w:lang w:eastAsia="en-US"/>
        </w:rPr>
        <w:t xml:space="preserve">; por un monto total de 3 millones 340 mil 766 pesos. También es cierto que ni la tesorería municipal, ni ninguna otra área del Ayuntamiento de Cuautitlán Izcalli, tuvo control, administración o resguardo de este recurso económico aprobado por la </w:t>
      </w:r>
      <w:r w:rsidRPr="007A646F">
        <w:rPr>
          <w:rFonts w:ascii="Palatino Linotype" w:eastAsia="Calibri" w:hAnsi="Palatino Linotype"/>
          <w:b/>
          <w:i/>
          <w:lang w:eastAsia="en-US"/>
        </w:rPr>
        <w:t>Comisión Ejecutiva de Atención a Víctimas del Estado de México (CEAVEM)</w:t>
      </w:r>
      <w:r w:rsidRPr="007A646F">
        <w:rPr>
          <w:rFonts w:ascii="Palatino Linotype" w:eastAsia="Calibri" w:hAnsi="Palatino Linotype"/>
          <w:i/>
          <w:lang w:eastAsia="en-US"/>
        </w:rPr>
        <w:t>, por tal motivo no obra en sus archivos ningún antecedente del manejo de este recurso económico…” (</w:t>
      </w:r>
      <w:proofErr w:type="gramStart"/>
      <w:r w:rsidRPr="007A646F">
        <w:rPr>
          <w:rFonts w:ascii="Palatino Linotype" w:eastAsia="Calibri" w:hAnsi="Palatino Linotype"/>
          <w:i/>
          <w:lang w:eastAsia="en-US"/>
        </w:rPr>
        <w:t>sic</w:t>
      </w:r>
      <w:proofErr w:type="gramEnd"/>
      <w:r w:rsidRPr="007A646F">
        <w:rPr>
          <w:rFonts w:ascii="Palatino Linotype" w:eastAsia="Calibri" w:hAnsi="Palatino Linotype"/>
          <w:i/>
          <w:lang w:eastAsia="en-US"/>
        </w:rPr>
        <w:t>)</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Una vez realizada la precisión del </w:t>
      </w:r>
      <w:r w:rsidRPr="007A646F">
        <w:rPr>
          <w:rFonts w:ascii="Palatino Linotype" w:eastAsia="Calibri" w:hAnsi="Palatino Linotype"/>
          <w:b/>
          <w:lang w:eastAsia="en-US"/>
        </w:rPr>
        <w:t xml:space="preserve">SUJETO OBLIGADO, </w:t>
      </w:r>
      <w:r w:rsidRPr="007A646F">
        <w:rPr>
          <w:rFonts w:ascii="Palatino Linotype" w:eastAsia="Calibri" w:hAnsi="Palatino Linotype"/>
          <w:lang w:eastAsia="en-US"/>
        </w:rPr>
        <w:t xml:space="preserve">este Órgano Garante determina que se tiene por atendido el requerimiento realizado por el particular. </w:t>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lang w:eastAsia="en-US"/>
        </w:rPr>
        <w:t xml:space="preserve">Finalmente, por cuanto hace al requerimiento identificado con el </w:t>
      </w:r>
      <w:r w:rsidRPr="007A646F">
        <w:rPr>
          <w:rFonts w:ascii="Palatino Linotype" w:eastAsia="Calibri" w:hAnsi="Palatino Linotype"/>
          <w:b/>
          <w:lang w:eastAsia="en-US"/>
        </w:rPr>
        <w:t xml:space="preserve">numeral 32, </w:t>
      </w:r>
      <w:r w:rsidRPr="007A646F">
        <w:rPr>
          <w:rFonts w:ascii="Palatino Linotype" w:eastAsia="Calibri" w:hAnsi="Palatino Linotype"/>
          <w:lang w:eastAsia="en-US"/>
        </w:rPr>
        <w:t xml:space="preserve">relacionado con la </w:t>
      </w:r>
      <w:r w:rsidRPr="007A646F">
        <w:rPr>
          <w:rFonts w:ascii="Palatino Linotype" w:eastAsia="Calibri" w:hAnsi="Palatino Linotype"/>
          <w:i/>
          <w:lang w:eastAsia="en-US"/>
        </w:rPr>
        <w:t xml:space="preserve">información sobre en que se gastó el recurso destinado de la Alerta de Violencia de Género que recibió en el año dos mil diecinueve; </w:t>
      </w:r>
      <w:r w:rsidRPr="007A646F">
        <w:rPr>
          <w:rFonts w:ascii="Palatino Linotype" w:eastAsia="Calibri" w:hAnsi="Palatino Linotype"/>
          <w:lang w:eastAsia="en-US"/>
        </w:rPr>
        <w:t xml:space="preserve">al respecto, es de señalar que del análisis realizado a la respuesta proporcionada, este Órgano Garante determina que dicho requerimiento fue atendido; ello en razón de que se por </w:t>
      </w:r>
      <w:r w:rsidRPr="007A646F">
        <w:rPr>
          <w:rFonts w:ascii="Palatino Linotype" w:eastAsia="Calibri" w:hAnsi="Palatino Linotype"/>
          <w:b/>
          <w:lang w:eastAsia="en-US"/>
        </w:rPr>
        <w:t xml:space="preserve">EL SUJETO OBLIGADO, </w:t>
      </w:r>
      <w:r w:rsidRPr="007A646F">
        <w:rPr>
          <w:rFonts w:ascii="Palatino Linotype" w:eastAsia="Calibri" w:hAnsi="Palatino Linotype"/>
          <w:lang w:eastAsia="en-US"/>
        </w:rPr>
        <w:t xml:space="preserve">informó que dicho recurso fue gastado de la siguiente manera: </w:t>
      </w:r>
    </w:p>
    <w:p w:rsidR="00B909BE" w:rsidRPr="007A646F" w:rsidRDefault="00B909BE" w:rsidP="00B9215F">
      <w:pPr>
        <w:spacing w:line="360" w:lineRule="auto"/>
        <w:jc w:val="both"/>
        <w:rPr>
          <w:rFonts w:ascii="Palatino Linotype" w:eastAsia="Calibri" w:hAnsi="Palatino Linotype"/>
          <w:lang w:eastAsia="en-US"/>
        </w:rPr>
      </w:pPr>
      <w:r w:rsidRPr="007A646F">
        <w:rPr>
          <w:rFonts w:ascii="Palatino Linotype" w:eastAsia="Calibri" w:hAnsi="Palatino Linotype"/>
          <w:noProof/>
          <w:sz w:val="22"/>
          <w:szCs w:val="22"/>
          <w:lang w:eastAsia="es-MX"/>
        </w:rPr>
        <w:lastRenderedPageBreak/>
        <w:drawing>
          <wp:inline distT="0" distB="0" distL="0" distR="0">
            <wp:extent cx="2533650" cy="12192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533650" cy="1219200"/>
                    </a:xfrm>
                    <a:prstGeom prst="rect">
                      <a:avLst/>
                    </a:prstGeom>
                  </pic:spPr>
                </pic:pic>
              </a:graphicData>
            </a:graphic>
          </wp:inline>
        </w:drawing>
      </w:r>
    </w:p>
    <w:p w:rsidR="00B909BE" w:rsidRPr="007A646F" w:rsidRDefault="00B909BE" w:rsidP="00B9215F">
      <w:pPr>
        <w:spacing w:line="360" w:lineRule="auto"/>
        <w:jc w:val="both"/>
        <w:rPr>
          <w:rFonts w:ascii="Palatino Linotype" w:eastAsia="Calibri" w:hAnsi="Palatino Linotype"/>
          <w:lang w:eastAsia="en-US"/>
        </w:rPr>
      </w:pPr>
    </w:p>
    <w:p w:rsidR="00B909BE" w:rsidRPr="007A646F" w:rsidRDefault="00B909BE" w:rsidP="00B9215F">
      <w:pPr>
        <w:spacing w:line="360" w:lineRule="auto"/>
        <w:jc w:val="both"/>
        <w:rPr>
          <w:rFonts w:ascii="Palatino Linotype" w:hAnsi="Palatino Linotype" w:cs="Arial"/>
          <w:bCs/>
        </w:rPr>
      </w:pPr>
      <w:r w:rsidRPr="007A646F">
        <w:rPr>
          <w:rFonts w:ascii="Palatino Linotype" w:eastAsia="Calibri" w:hAnsi="Palatino Linotype"/>
          <w:lang w:eastAsia="en-US"/>
        </w:rPr>
        <w:t xml:space="preserve">Por todo lo anterior, </w:t>
      </w:r>
      <w:r w:rsidRPr="007A646F">
        <w:rPr>
          <w:rFonts w:ascii="Palatino Linotype" w:hAnsi="Palatino Linotype" w:cs="Arial"/>
        </w:rPr>
        <w:t xml:space="preserve">no se omite comentar que para el caso de que los documentos de los cuales se ordena su entrega, contienen datos personales susceptibles de ser testados, deberán ser entregados en </w:t>
      </w:r>
      <w:r w:rsidRPr="007A646F">
        <w:rPr>
          <w:rFonts w:ascii="Palatino Linotype" w:hAnsi="Palatino Linotype" w:cs="Arial"/>
          <w:b/>
        </w:rPr>
        <w:t>versión pública</w:t>
      </w:r>
      <w:r w:rsidRPr="007A646F">
        <w:rPr>
          <w:rFonts w:ascii="Palatino Linotype" w:hAnsi="Palatino Linotype" w:cs="Arial"/>
        </w:rPr>
        <w:t>; pues, el</w:t>
      </w:r>
      <w:r w:rsidRPr="007A646F">
        <w:rPr>
          <w:rFonts w:ascii="Palatino Linotype" w:hAnsi="Palatino Linotype" w:cs="Arial"/>
          <w:bCs/>
        </w:rPr>
        <w:t xml:space="preserve">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rsidR="00B909BE" w:rsidRPr="007A646F" w:rsidRDefault="00B909BE" w:rsidP="00B9215F">
      <w:pPr>
        <w:spacing w:line="360" w:lineRule="auto"/>
        <w:jc w:val="both"/>
        <w:rPr>
          <w:rFonts w:ascii="Palatino Linotype" w:eastAsia="Calibri" w:hAnsi="Palatino Linotype" w:cs="Arial"/>
          <w:bCs/>
          <w:lang w:eastAsia="en-US"/>
        </w:rPr>
      </w:pPr>
    </w:p>
    <w:p w:rsidR="00B909BE" w:rsidRPr="007A646F" w:rsidRDefault="00B909BE" w:rsidP="00B9215F">
      <w:pPr>
        <w:spacing w:line="360" w:lineRule="auto"/>
        <w:jc w:val="both"/>
        <w:rPr>
          <w:rFonts w:ascii="Palatino Linotype" w:hAnsi="Palatino Linotype" w:cs="Arial"/>
          <w:bCs/>
        </w:rPr>
      </w:pPr>
      <w:r w:rsidRPr="007A646F">
        <w:rPr>
          <w:rFonts w:ascii="Palatino Linotype" w:hAnsi="Palatino Linotype" w:cs="Arial"/>
          <w:bCs/>
        </w:rPr>
        <w:t>A este respecto, los artículos 3, fracciones IX, XX, XXI y XLV; 51 y 52 de la Ley de Transparencia y Acceso a la Información Pública del Estado de México y Municipios establecen:</w:t>
      </w:r>
    </w:p>
    <w:p w:rsidR="00B909BE" w:rsidRPr="007A646F" w:rsidRDefault="00B909BE" w:rsidP="00503C51">
      <w:pPr>
        <w:autoSpaceDE w:val="0"/>
        <w:autoSpaceDN w:val="0"/>
        <w:adjustRightInd w:val="0"/>
        <w:ind w:right="899"/>
        <w:jc w:val="both"/>
        <w:rPr>
          <w:rFonts w:ascii="Palatino Linotype" w:hAnsi="Palatino Linotype" w:cs="Arial"/>
        </w:rPr>
      </w:pPr>
    </w:p>
    <w:p w:rsidR="00B909BE" w:rsidRPr="007A646F" w:rsidRDefault="00B909BE" w:rsidP="00503C51">
      <w:pPr>
        <w:ind w:left="851" w:right="901"/>
        <w:jc w:val="both"/>
        <w:rPr>
          <w:rFonts w:ascii="Palatino Linotype" w:hAnsi="Palatino Linotype"/>
          <w:i/>
          <w:sz w:val="22"/>
          <w:szCs w:val="22"/>
        </w:rPr>
      </w:pPr>
      <w:r w:rsidRPr="007A646F">
        <w:rPr>
          <w:rFonts w:ascii="Palatino Linotype" w:hAnsi="Palatino Linotype" w:cs="Arial"/>
          <w:b/>
          <w:bCs/>
          <w:i/>
          <w:noProof/>
          <w:sz w:val="22"/>
          <w:szCs w:val="22"/>
        </w:rPr>
        <w:t>“</w:t>
      </w:r>
      <w:r w:rsidRPr="007A646F">
        <w:rPr>
          <w:rFonts w:ascii="Palatino Linotype" w:hAnsi="Palatino Linotype" w:cs="Arial"/>
          <w:b/>
          <w:bCs/>
          <w:i/>
          <w:sz w:val="22"/>
          <w:szCs w:val="22"/>
        </w:rPr>
        <w:t xml:space="preserve">Artículo 3. </w:t>
      </w:r>
      <w:r w:rsidRPr="007A646F">
        <w:rPr>
          <w:rFonts w:ascii="Palatino Linotype" w:hAnsi="Palatino Linotype"/>
          <w:i/>
          <w:sz w:val="22"/>
          <w:szCs w:val="22"/>
        </w:rPr>
        <w:t xml:space="preserve">Para los efectos de la presente Ley se entenderá por: </w:t>
      </w:r>
    </w:p>
    <w:p w:rsidR="00B909BE" w:rsidRPr="007A646F" w:rsidRDefault="00B909BE" w:rsidP="00503C51">
      <w:pPr>
        <w:ind w:left="851" w:right="899"/>
        <w:jc w:val="both"/>
        <w:rPr>
          <w:rFonts w:ascii="Palatino Linotype" w:hAnsi="Palatino Linotype" w:cs="Arial"/>
          <w:i/>
          <w:sz w:val="22"/>
          <w:szCs w:val="22"/>
        </w:rPr>
      </w:pPr>
      <w:r w:rsidRPr="007A646F">
        <w:rPr>
          <w:rFonts w:ascii="Palatino Linotype" w:hAnsi="Palatino Linotype" w:cs="Arial"/>
          <w:b/>
          <w:i/>
          <w:sz w:val="22"/>
          <w:szCs w:val="22"/>
        </w:rPr>
        <w:t>IX.</w:t>
      </w:r>
      <w:r w:rsidRPr="007A646F">
        <w:rPr>
          <w:rFonts w:ascii="Palatino Linotype" w:hAnsi="Palatino Linotype" w:cs="Arial"/>
          <w:i/>
          <w:sz w:val="22"/>
          <w:szCs w:val="22"/>
        </w:rPr>
        <w:t xml:space="preserve"> </w:t>
      </w:r>
      <w:r w:rsidRPr="007A646F">
        <w:rPr>
          <w:rFonts w:ascii="Palatino Linotype" w:hAnsi="Palatino Linotype" w:cs="Arial"/>
          <w:b/>
          <w:i/>
          <w:sz w:val="22"/>
          <w:szCs w:val="22"/>
        </w:rPr>
        <w:t xml:space="preserve">Datos personales: </w:t>
      </w:r>
      <w:r w:rsidRPr="007A646F">
        <w:rPr>
          <w:rFonts w:ascii="Palatino Linotype" w:hAnsi="Palatino Linotype" w:cs="Arial"/>
          <w:i/>
          <w:sz w:val="22"/>
          <w:szCs w:val="22"/>
        </w:rPr>
        <w:t xml:space="preserve">La información concerniente a una persona, identificada o identificable según lo dispuesto por la Ley de </w:t>
      </w:r>
      <w:r w:rsidRPr="007A646F">
        <w:rPr>
          <w:rFonts w:ascii="Palatino Linotype" w:hAnsi="Palatino Linotype"/>
          <w:i/>
          <w:sz w:val="22"/>
          <w:szCs w:val="22"/>
        </w:rPr>
        <w:t>Protección</w:t>
      </w:r>
      <w:r w:rsidRPr="007A646F">
        <w:rPr>
          <w:rFonts w:ascii="Palatino Linotype" w:hAnsi="Palatino Linotype" w:cs="Arial"/>
          <w:i/>
          <w:sz w:val="22"/>
          <w:szCs w:val="22"/>
        </w:rPr>
        <w:t xml:space="preserve"> de Datos Personales del Estado de México; </w:t>
      </w:r>
    </w:p>
    <w:p w:rsidR="00B909BE" w:rsidRPr="007A646F" w:rsidRDefault="00B909BE" w:rsidP="00503C51">
      <w:pPr>
        <w:ind w:left="851" w:right="899"/>
        <w:jc w:val="both"/>
        <w:rPr>
          <w:rFonts w:ascii="Palatino Linotype" w:hAnsi="Palatino Linotype" w:cs="Arial"/>
          <w:i/>
          <w:sz w:val="22"/>
          <w:szCs w:val="22"/>
        </w:rPr>
      </w:pPr>
      <w:r w:rsidRPr="007A646F">
        <w:rPr>
          <w:rFonts w:ascii="Palatino Linotype" w:hAnsi="Palatino Linotype" w:cs="Arial"/>
          <w:b/>
          <w:i/>
          <w:sz w:val="22"/>
          <w:szCs w:val="22"/>
        </w:rPr>
        <w:lastRenderedPageBreak/>
        <w:t>XX.</w:t>
      </w:r>
      <w:r w:rsidRPr="007A646F">
        <w:rPr>
          <w:rFonts w:ascii="Palatino Linotype" w:hAnsi="Palatino Linotype" w:cs="Arial"/>
          <w:i/>
          <w:sz w:val="22"/>
          <w:szCs w:val="22"/>
        </w:rPr>
        <w:t xml:space="preserve"> </w:t>
      </w:r>
      <w:r w:rsidRPr="007A646F">
        <w:rPr>
          <w:rFonts w:ascii="Palatino Linotype" w:hAnsi="Palatino Linotype" w:cs="Arial"/>
          <w:b/>
          <w:i/>
          <w:sz w:val="22"/>
          <w:szCs w:val="22"/>
        </w:rPr>
        <w:t>Información clasificada:</w:t>
      </w:r>
      <w:r w:rsidRPr="007A646F">
        <w:rPr>
          <w:rFonts w:ascii="Palatino Linotype" w:hAnsi="Palatino Linotype" w:cs="Arial"/>
          <w:i/>
          <w:sz w:val="22"/>
          <w:szCs w:val="22"/>
        </w:rPr>
        <w:t xml:space="preserve"> Aquella considerada por la presente Ley como reservada o confidencial; </w:t>
      </w:r>
    </w:p>
    <w:p w:rsidR="00B909BE" w:rsidRPr="007A646F" w:rsidRDefault="00B909BE" w:rsidP="00503C51">
      <w:pPr>
        <w:ind w:left="851" w:right="899"/>
        <w:jc w:val="both"/>
        <w:rPr>
          <w:rFonts w:ascii="Palatino Linotype" w:hAnsi="Palatino Linotype" w:cs="Arial"/>
          <w:i/>
          <w:sz w:val="22"/>
          <w:szCs w:val="22"/>
        </w:rPr>
      </w:pPr>
      <w:r w:rsidRPr="007A646F">
        <w:rPr>
          <w:rFonts w:ascii="Palatino Linotype" w:hAnsi="Palatino Linotype" w:cs="Arial"/>
          <w:b/>
          <w:i/>
          <w:sz w:val="22"/>
          <w:szCs w:val="22"/>
        </w:rPr>
        <w:t>XXI.</w:t>
      </w:r>
      <w:r w:rsidRPr="007A646F">
        <w:rPr>
          <w:rFonts w:ascii="Palatino Linotype" w:hAnsi="Palatino Linotype" w:cs="Arial"/>
          <w:i/>
          <w:sz w:val="22"/>
          <w:szCs w:val="22"/>
        </w:rPr>
        <w:t xml:space="preserve"> </w:t>
      </w:r>
      <w:r w:rsidRPr="007A646F">
        <w:rPr>
          <w:rFonts w:ascii="Palatino Linotype" w:hAnsi="Palatino Linotype" w:cs="Arial"/>
          <w:b/>
          <w:i/>
          <w:sz w:val="22"/>
          <w:szCs w:val="22"/>
        </w:rPr>
        <w:t>Información confidencial</w:t>
      </w:r>
      <w:r w:rsidRPr="007A646F">
        <w:rPr>
          <w:rFonts w:ascii="Palatino Linotype" w:hAnsi="Palatino Linotype" w:cs="Arial"/>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rsidR="00B909BE" w:rsidRPr="007A646F" w:rsidRDefault="00B909BE" w:rsidP="00503C51">
      <w:pPr>
        <w:ind w:left="851" w:right="899"/>
        <w:jc w:val="both"/>
        <w:rPr>
          <w:rFonts w:ascii="Palatino Linotype" w:hAnsi="Palatino Linotype" w:cs="Arial"/>
          <w:i/>
          <w:sz w:val="22"/>
          <w:szCs w:val="22"/>
        </w:rPr>
      </w:pPr>
      <w:r w:rsidRPr="007A646F">
        <w:rPr>
          <w:rFonts w:ascii="Palatino Linotype" w:hAnsi="Palatino Linotype" w:cs="Arial"/>
          <w:b/>
          <w:i/>
          <w:sz w:val="22"/>
          <w:szCs w:val="22"/>
        </w:rPr>
        <w:t>XLV. Versión pública:</w:t>
      </w:r>
      <w:r w:rsidRPr="007A646F">
        <w:rPr>
          <w:rFonts w:ascii="Palatino Linotype" w:hAnsi="Palatino Linotype" w:cs="Arial"/>
          <w:i/>
          <w:sz w:val="22"/>
          <w:szCs w:val="22"/>
        </w:rPr>
        <w:t xml:space="preserve"> Documento en el que se elimine, suprime o borra la información clasificada como reservada o confidencial para permitir su acceso. </w:t>
      </w:r>
    </w:p>
    <w:p w:rsidR="00B909BE" w:rsidRPr="007A646F" w:rsidRDefault="00B909BE" w:rsidP="00503C51">
      <w:pPr>
        <w:ind w:left="851" w:right="899"/>
        <w:jc w:val="both"/>
        <w:rPr>
          <w:rFonts w:ascii="Palatino Linotype" w:hAnsi="Palatino Linotype" w:cs="Arial"/>
          <w:i/>
          <w:sz w:val="22"/>
          <w:szCs w:val="22"/>
        </w:rPr>
      </w:pPr>
      <w:r w:rsidRPr="007A646F">
        <w:rPr>
          <w:rFonts w:ascii="Palatino Linotype" w:hAnsi="Palatino Linotype" w:cs="Arial"/>
          <w:b/>
          <w:i/>
          <w:sz w:val="22"/>
          <w:szCs w:val="22"/>
        </w:rPr>
        <w:t>Artículo 51.</w:t>
      </w:r>
      <w:r w:rsidRPr="007A646F">
        <w:rPr>
          <w:rFonts w:ascii="Palatino Linotype" w:hAnsi="Palatino Linotype" w:cs="Arial"/>
          <w:i/>
          <w:sz w:val="22"/>
          <w:szCs w:val="22"/>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7A646F">
        <w:rPr>
          <w:rFonts w:ascii="Palatino Linotype" w:hAnsi="Palatino Linotype" w:cs="Arial"/>
          <w:b/>
          <w:i/>
          <w:sz w:val="22"/>
          <w:szCs w:val="22"/>
        </w:rPr>
        <w:t xml:space="preserve">y tendrá la responsabilidad de verificar en cada caso que la misma no sea confidencial o reservada. </w:t>
      </w:r>
      <w:r w:rsidRPr="007A646F">
        <w:rPr>
          <w:rFonts w:ascii="Palatino Linotype" w:hAnsi="Palatino Linotype" w:cs="Arial"/>
          <w:i/>
          <w:sz w:val="22"/>
          <w:szCs w:val="22"/>
        </w:rPr>
        <w:t xml:space="preserve">Dicha Unidad contará con las facultades internas necesarias para gestionar la atención a las solicitudes de información en los términos de la Ley General y la presente Ley. </w:t>
      </w:r>
    </w:p>
    <w:p w:rsidR="00B909BE" w:rsidRPr="007A646F" w:rsidRDefault="00B909BE" w:rsidP="00503C51">
      <w:pPr>
        <w:ind w:left="851" w:right="899"/>
        <w:jc w:val="both"/>
        <w:rPr>
          <w:rFonts w:ascii="Palatino Linotype" w:hAnsi="Palatino Linotype" w:cs="Arial"/>
          <w:i/>
          <w:sz w:val="22"/>
          <w:szCs w:val="22"/>
        </w:rPr>
      </w:pPr>
      <w:r w:rsidRPr="007A646F">
        <w:rPr>
          <w:rFonts w:ascii="Palatino Linotype" w:hAnsi="Palatino Linotype" w:cs="Arial"/>
          <w:b/>
          <w:i/>
          <w:sz w:val="22"/>
          <w:szCs w:val="22"/>
        </w:rPr>
        <w:t>Artículo 52.</w:t>
      </w:r>
      <w:r w:rsidRPr="007A646F">
        <w:rPr>
          <w:rFonts w:ascii="Palatino Linotype" w:hAnsi="Palatino Linotype" w:cs="Arial"/>
          <w:i/>
          <w:sz w:val="22"/>
          <w:szCs w:val="22"/>
        </w:rPr>
        <w:t xml:space="preserve"> Las solicitudes de acceso a la información y las respuestas que se les dé, incluyendo, en su caso, </w:t>
      </w:r>
      <w:r w:rsidRPr="007A646F">
        <w:rPr>
          <w:rFonts w:ascii="Palatino Linotype" w:hAnsi="Palatino Linotype" w:cs="Arial"/>
          <w:i/>
          <w:sz w:val="22"/>
          <w:szCs w:val="22"/>
          <w:u w:val="single"/>
        </w:rPr>
        <w:t>la información entregada, así como las resoluciones a los recursos que en su caso se promuevan serán públicas, y de ser el caso que contenga datos personales que deban ser protegidos se podrá dar su acceso en su versión pública</w:t>
      </w:r>
      <w:r w:rsidRPr="007A646F">
        <w:rPr>
          <w:rFonts w:ascii="Palatino Linotype" w:hAnsi="Palatino Linotype" w:cs="Arial"/>
          <w:i/>
          <w:sz w:val="22"/>
          <w:szCs w:val="22"/>
        </w:rPr>
        <w:t>, siempre y cuando la resolución de referencia se someta a un proceso de disociación, es decir, no haga identificable al titular de tales datos personales.</w:t>
      </w:r>
      <w:r w:rsidRPr="007A646F">
        <w:rPr>
          <w:rFonts w:ascii="Palatino Linotype" w:hAnsi="Palatino Linotype" w:cs="Arial"/>
          <w:bCs/>
          <w:i/>
          <w:noProof/>
          <w:sz w:val="22"/>
          <w:szCs w:val="22"/>
        </w:rPr>
        <w:t>”</w:t>
      </w:r>
    </w:p>
    <w:p w:rsidR="00B909BE" w:rsidRPr="007A646F" w:rsidRDefault="00B909BE" w:rsidP="00503C51">
      <w:pPr>
        <w:ind w:left="851" w:right="899"/>
        <w:jc w:val="both"/>
        <w:rPr>
          <w:rFonts w:ascii="Palatino Linotype" w:hAnsi="Palatino Linotype" w:cs="Arial"/>
          <w:sz w:val="22"/>
          <w:szCs w:val="22"/>
        </w:rPr>
      </w:pPr>
      <w:r w:rsidRPr="007A646F">
        <w:rPr>
          <w:rFonts w:ascii="Palatino Linotype" w:hAnsi="Palatino Linotype" w:cs="Arial"/>
          <w:sz w:val="22"/>
          <w:szCs w:val="22"/>
        </w:rPr>
        <w:t>(Énfasis añadido)</w:t>
      </w:r>
    </w:p>
    <w:p w:rsidR="00B909BE" w:rsidRPr="007A646F" w:rsidRDefault="00B909BE" w:rsidP="00503C51">
      <w:pPr>
        <w:ind w:right="899"/>
        <w:jc w:val="both"/>
        <w:rPr>
          <w:rFonts w:ascii="Palatino Linotype" w:hAnsi="Palatino Linotype" w:cs="Arial"/>
        </w:rPr>
      </w:pPr>
    </w:p>
    <w:p w:rsidR="00B909BE" w:rsidRPr="007A646F" w:rsidRDefault="00B909BE" w:rsidP="00B9215F">
      <w:pPr>
        <w:spacing w:line="360" w:lineRule="auto"/>
        <w:jc w:val="both"/>
        <w:rPr>
          <w:rFonts w:ascii="Palatino Linotype" w:hAnsi="Palatino Linotype" w:cs="Arial"/>
        </w:rPr>
      </w:pPr>
      <w:r w:rsidRPr="007A646F">
        <w:rPr>
          <w:rFonts w:ascii="Palatino Linotype" w:hAnsi="Palatino Linotype" w:cs="Arial"/>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con el 38 de la Ley de Protección de Datos Personales en Posesión de Sujetos Obligados del Estado de México y Municipios, los cuales se transcriben para mayor referencia: </w:t>
      </w:r>
    </w:p>
    <w:p w:rsidR="00B909BE" w:rsidRPr="007A646F" w:rsidRDefault="00B909BE" w:rsidP="00BC7C75">
      <w:pPr>
        <w:jc w:val="both"/>
        <w:rPr>
          <w:rFonts w:ascii="Palatino Linotype" w:hAnsi="Palatino Linotype" w:cs="Arial"/>
        </w:rPr>
      </w:pPr>
    </w:p>
    <w:p w:rsidR="00B909BE" w:rsidRPr="007A646F" w:rsidRDefault="00B909BE" w:rsidP="00BC7C75">
      <w:pPr>
        <w:ind w:left="851" w:right="902"/>
        <w:jc w:val="both"/>
        <w:rPr>
          <w:rFonts w:ascii="Palatino Linotype" w:eastAsia="Arial Unicode MS" w:hAnsi="Palatino Linotype" w:cs="Arial"/>
          <w:i/>
          <w:sz w:val="22"/>
          <w:szCs w:val="22"/>
        </w:rPr>
      </w:pPr>
      <w:r w:rsidRPr="007A646F">
        <w:rPr>
          <w:rFonts w:ascii="Palatino Linotype" w:eastAsia="Arial Unicode MS" w:hAnsi="Palatino Linotype" w:cs="Arial"/>
          <w:b/>
          <w:i/>
          <w:sz w:val="22"/>
          <w:szCs w:val="22"/>
        </w:rPr>
        <w:lastRenderedPageBreak/>
        <w:t>“Artículo 22.</w:t>
      </w:r>
      <w:r w:rsidRPr="007A646F">
        <w:rPr>
          <w:rFonts w:ascii="Palatino Linotype" w:eastAsia="Arial Unicode MS" w:hAnsi="Palatino Linotype" w:cs="Arial"/>
          <w:i/>
          <w:sz w:val="22"/>
          <w:szCs w:val="22"/>
        </w:rPr>
        <w:t xml:space="preserve"> Todo tratamiento de datos personales que efectúe el responsable deberá estar justificado por finalidades concretas, lícitas, explícitas y legítimas, relacionadas con las atribuciones que la normatividad aplicable les confiera.  </w:t>
      </w:r>
    </w:p>
    <w:p w:rsidR="00B909BE" w:rsidRPr="007A646F" w:rsidRDefault="00B909BE" w:rsidP="00BC7C75">
      <w:pPr>
        <w:ind w:left="851" w:right="902"/>
        <w:jc w:val="both"/>
        <w:rPr>
          <w:rFonts w:ascii="Palatino Linotype" w:eastAsia="Arial Unicode MS" w:hAnsi="Palatino Linotype" w:cs="Arial"/>
          <w:i/>
          <w:sz w:val="22"/>
          <w:szCs w:val="22"/>
        </w:rPr>
      </w:pPr>
      <w:r w:rsidRPr="007A646F">
        <w:rPr>
          <w:rFonts w:ascii="Palatino Linotype" w:eastAsia="Arial Unicode MS" w:hAnsi="Palatino Linotype" w:cs="Arial"/>
          <w:b/>
          <w:i/>
          <w:sz w:val="22"/>
          <w:szCs w:val="22"/>
        </w:rPr>
        <w:t>Artículo 38.</w:t>
      </w:r>
      <w:r w:rsidRPr="007A646F">
        <w:rPr>
          <w:rFonts w:ascii="Palatino Linotype" w:eastAsia="Arial Unicode MS" w:hAnsi="Palatino Linotype" w:cs="Arial"/>
          <w:i/>
          <w:sz w:val="22"/>
          <w:szCs w:val="22"/>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7A646F">
        <w:rPr>
          <w:rFonts w:ascii="Palatino Linotype" w:eastAsia="Arial Unicode MS" w:hAnsi="Palatino Linotype" w:cs="Arial"/>
          <w:b/>
          <w:i/>
          <w:sz w:val="22"/>
          <w:szCs w:val="22"/>
        </w:rPr>
        <w:t>”</w:t>
      </w:r>
      <w:r w:rsidRPr="007A646F">
        <w:rPr>
          <w:rFonts w:ascii="Palatino Linotype" w:eastAsia="Arial Unicode MS" w:hAnsi="Palatino Linotype" w:cs="Arial"/>
          <w:i/>
          <w:sz w:val="22"/>
          <w:szCs w:val="22"/>
        </w:rPr>
        <w:t xml:space="preserve"> </w:t>
      </w:r>
    </w:p>
    <w:p w:rsidR="00B909BE" w:rsidRPr="007A646F" w:rsidRDefault="00B909BE" w:rsidP="00BC7C75">
      <w:pPr>
        <w:ind w:right="850"/>
        <w:jc w:val="both"/>
        <w:rPr>
          <w:rFonts w:ascii="Palatino Linotype" w:eastAsia="Arial Unicode MS" w:hAnsi="Palatino Linotype" w:cs="Arial"/>
          <w:i/>
          <w:sz w:val="22"/>
          <w:szCs w:val="22"/>
        </w:rPr>
      </w:pPr>
    </w:p>
    <w:p w:rsidR="00B909BE" w:rsidRPr="007A646F" w:rsidRDefault="00B909BE" w:rsidP="00B9215F">
      <w:pPr>
        <w:spacing w:line="360" w:lineRule="auto"/>
        <w:jc w:val="both"/>
        <w:rPr>
          <w:rFonts w:ascii="Palatino Linotype" w:hAnsi="Palatino Linotype" w:cs="Arial"/>
        </w:rPr>
      </w:pPr>
      <w:r w:rsidRPr="007A646F">
        <w:rPr>
          <w:rFonts w:ascii="Palatino Linotype" w:hAnsi="Palatino Linotype" w:cs="Arial"/>
        </w:rPr>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rsidR="00B909BE" w:rsidRPr="007A646F" w:rsidRDefault="00B909BE" w:rsidP="00B9215F">
      <w:pPr>
        <w:spacing w:line="360" w:lineRule="auto"/>
        <w:jc w:val="both"/>
        <w:rPr>
          <w:rFonts w:ascii="Palatino Linotype" w:hAnsi="Palatino Linotype" w:cs="Arial"/>
        </w:rPr>
      </w:pPr>
    </w:p>
    <w:p w:rsidR="00B909BE" w:rsidRPr="007A646F" w:rsidRDefault="00B909BE" w:rsidP="00B9215F">
      <w:pPr>
        <w:spacing w:line="360" w:lineRule="auto"/>
        <w:jc w:val="both"/>
        <w:rPr>
          <w:rFonts w:ascii="Palatino Linotype" w:hAnsi="Palatino Linotype" w:cs="Arial"/>
        </w:rPr>
      </w:pPr>
      <w:r w:rsidRPr="007A646F">
        <w:rPr>
          <w:rFonts w:ascii="Palatino Linotype" w:hAnsi="Palatino Linotype" w:cs="Arial"/>
        </w:rPr>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7A646F">
        <w:rPr>
          <w:rFonts w:ascii="Palatino Linotype" w:eastAsia="Arial Unicode MS" w:hAnsi="Palatino Linotype" w:cs="Arial"/>
        </w:rPr>
        <w:t xml:space="preserve"> que debe ser protegida por </w:t>
      </w:r>
      <w:r w:rsidRPr="007A646F">
        <w:rPr>
          <w:rFonts w:ascii="Palatino Linotype" w:eastAsia="Arial Unicode MS" w:hAnsi="Palatino Linotype" w:cs="Arial"/>
          <w:b/>
        </w:rPr>
        <w:t>EL SUJETO OBLIGADO,</w:t>
      </w:r>
      <w:r w:rsidRPr="007A646F">
        <w:rPr>
          <w:rFonts w:ascii="Palatino Linotype" w:eastAsia="Arial Unicode MS" w:hAnsi="Palatino Linotype" w:cs="Arial"/>
        </w:rPr>
        <w:t xml:space="preserve"> por lo </w:t>
      </w:r>
      <w:r w:rsidRPr="007A646F">
        <w:rPr>
          <w:rFonts w:ascii="Palatino Linotype" w:hAnsi="Palatino Linotype" w:cs="Arial"/>
        </w:rPr>
        <w:t>que, todo dato personal susceptible de clasificación debe ser protegido.</w:t>
      </w:r>
    </w:p>
    <w:p w:rsidR="00B909BE" w:rsidRPr="007A646F" w:rsidRDefault="00B909BE" w:rsidP="00B9215F">
      <w:pPr>
        <w:spacing w:line="360" w:lineRule="auto"/>
        <w:jc w:val="both"/>
        <w:rPr>
          <w:rFonts w:ascii="Palatino Linotype" w:hAnsi="Palatino Linotype" w:cs="Arial"/>
        </w:rPr>
      </w:pPr>
    </w:p>
    <w:p w:rsidR="00B909BE" w:rsidRPr="007A646F" w:rsidRDefault="00B909BE" w:rsidP="00B9215F">
      <w:pPr>
        <w:spacing w:line="360" w:lineRule="auto"/>
        <w:jc w:val="both"/>
        <w:rPr>
          <w:rFonts w:ascii="Palatino Linotype" w:hAnsi="Palatino Linotype" w:cs="Arial"/>
        </w:rPr>
      </w:pPr>
      <w:r w:rsidRPr="007A646F">
        <w:rPr>
          <w:rFonts w:ascii="Palatino Linotype" w:hAnsi="Palatino Linotype" w:cs="Arial"/>
        </w:rPr>
        <w:t xml:space="preserve">La finalidad de la versión pública de la información, es salvaguardar la vida, integridad, seguridad, patrimonio y privacidad de las personas; de tal manera que </w:t>
      </w:r>
      <w:r w:rsidRPr="007A646F">
        <w:rPr>
          <w:rFonts w:ascii="Palatino Linotype" w:hAnsi="Palatino Linotype" w:cs="Arial"/>
        </w:rPr>
        <w:lastRenderedPageBreak/>
        <w:t>todo aquello que no tenga por objeto proteger lo anterior, es susceptible de ser entregado; en otras palabras, la protección de datos personales, entre ellos el del patrimonio y su confidencialidad, es una derivación del derecho a la intimidad.</w:t>
      </w:r>
    </w:p>
    <w:p w:rsidR="00B909BE" w:rsidRPr="007A646F" w:rsidRDefault="00B909BE" w:rsidP="00B9215F">
      <w:pPr>
        <w:spacing w:line="360" w:lineRule="auto"/>
        <w:jc w:val="both"/>
        <w:rPr>
          <w:rFonts w:ascii="Palatino Linotype" w:hAnsi="Palatino Linotype" w:cs="Arial"/>
        </w:rPr>
      </w:pPr>
    </w:p>
    <w:p w:rsidR="00B909BE" w:rsidRPr="007A646F" w:rsidRDefault="00B909BE" w:rsidP="00B9215F">
      <w:pPr>
        <w:spacing w:line="360" w:lineRule="auto"/>
        <w:jc w:val="both"/>
        <w:rPr>
          <w:rFonts w:ascii="Palatino Linotype" w:hAnsi="Palatino Linotype" w:cs="Arial"/>
        </w:rPr>
      </w:pPr>
      <w:r w:rsidRPr="007A646F">
        <w:rPr>
          <w:rFonts w:ascii="Palatino Linotype" w:hAnsi="Palatino Linotype" w:cs="Arial"/>
        </w:rPr>
        <w:t>Asimismo, es importante señalar que 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B909BE" w:rsidRPr="007A646F" w:rsidRDefault="00B909BE" w:rsidP="00BC7C75">
      <w:pPr>
        <w:jc w:val="both"/>
        <w:rPr>
          <w:rFonts w:ascii="Palatino Linotype" w:hAnsi="Palatino Linotype" w:cs="Arial"/>
        </w:rPr>
      </w:pP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 xml:space="preserve">“Artículo 49. </w:t>
      </w:r>
      <w:r w:rsidRPr="007A646F">
        <w:rPr>
          <w:rFonts w:ascii="Palatino Linotype" w:hAnsi="Palatino Linotype" w:cs="Arial"/>
          <w:i/>
          <w:sz w:val="22"/>
          <w:szCs w:val="22"/>
        </w:rPr>
        <w:t>Los Comités de Transparencia tendrán las siguientes atribuciones:</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VIII.</w:t>
      </w:r>
      <w:r w:rsidRPr="007A646F">
        <w:rPr>
          <w:rFonts w:ascii="Palatino Linotype" w:hAnsi="Palatino Linotype" w:cs="Arial"/>
          <w:i/>
          <w:sz w:val="22"/>
          <w:szCs w:val="22"/>
        </w:rPr>
        <w:t xml:space="preserve"> Aprobar, modificar o revocar la clasificación de la información;</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Artículo 132.</w:t>
      </w:r>
      <w:r w:rsidRPr="007A646F">
        <w:rPr>
          <w:rFonts w:ascii="Palatino Linotype" w:hAnsi="Palatino Linotype" w:cs="Arial"/>
          <w:i/>
          <w:sz w:val="22"/>
          <w:szCs w:val="22"/>
        </w:rPr>
        <w:t xml:space="preserve"> La clasificación de la información se llevará a cabo en el momento en que:</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I.</w:t>
      </w:r>
      <w:r w:rsidRPr="007A646F">
        <w:rPr>
          <w:rFonts w:ascii="Palatino Linotype" w:hAnsi="Palatino Linotype" w:cs="Arial"/>
          <w:i/>
          <w:sz w:val="22"/>
          <w:szCs w:val="22"/>
        </w:rPr>
        <w:t xml:space="preserve"> Se reciba una solicitud de acceso a la información;</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II.</w:t>
      </w:r>
      <w:r w:rsidRPr="007A646F">
        <w:rPr>
          <w:rFonts w:ascii="Palatino Linotype" w:hAnsi="Palatino Linotype" w:cs="Arial"/>
          <w:i/>
          <w:sz w:val="22"/>
          <w:szCs w:val="22"/>
        </w:rPr>
        <w:t xml:space="preserve"> Se determine mediante resolución de autoridad competente; o</w:t>
      </w:r>
    </w:p>
    <w:p w:rsidR="00B909BE" w:rsidRPr="007A646F" w:rsidRDefault="00B909BE" w:rsidP="00BC7C75">
      <w:pPr>
        <w:ind w:left="851" w:right="902"/>
        <w:jc w:val="both"/>
        <w:rPr>
          <w:rFonts w:ascii="Palatino Linotype" w:hAnsi="Palatino Linotype" w:cs="Arial"/>
          <w:b/>
          <w:i/>
          <w:sz w:val="22"/>
          <w:szCs w:val="22"/>
        </w:rPr>
      </w:pPr>
      <w:r w:rsidRPr="007A646F">
        <w:rPr>
          <w:rFonts w:ascii="Palatino Linotype" w:hAnsi="Palatino Linotype" w:cs="Arial"/>
          <w:i/>
          <w:sz w:val="22"/>
          <w:szCs w:val="22"/>
        </w:rPr>
        <w:t>III. Se generen versiones públicas para dar cumplimiento a las obligaciones de transparencia previstas en esta Ley.</w:t>
      </w:r>
      <w:r w:rsidRPr="007A646F">
        <w:rPr>
          <w:rFonts w:ascii="Palatino Linotype" w:hAnsi="Palatino Linotype" w:cs="Arial"/>
          <w:b/>
          <w:i/>
          <w:sz w:val="22"/>
          <w:szCs w:val="22"/>
        </w:rPr>
        <w:t>”</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“Segundo.-</w:t>
      </w:r>
      <w:r w:rsidRPr="007A646F">
        <w:rPr>
          <w:rFonts w:ascii="Palatino Linotype" w:hAnsi="Palatino Linotype" w:cs="Arial"/>
          <w:i/>
          <w:sz w:val="22"/>
          <w:szCs w:val="22"/>
        </w:rPr>
        <w:t xml:space="preserve"> Para efectos de los presentes Lineamientos Generales, se entenderá por:</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XVIII.</w:t>
      </w:r>
      <w:r w:rsidRPr="007A646F">
        <w:rPr>
          <w:rFonts w:ascii="Palatino Linotype" w:hAnsi="Palatino Linotype" w:cs="Arial"/>
          <w:i/>
          <w:sz w:val="22"/>
          <w:szCs w:val="22"/>
        </w:rPr>
        <w:t xml:space="preserve">  </w:t>
      </w:r>
      <w:r w:rsidRPr="007A646F">
        <w:rPr>
          <w:rFonts w:ascii="Palatino Linotype" w:hAnsi="Palatino Linotype" w:cs="Arial"/>
          <w:b/>
          <w:i/>
          <w:sz w:val="22"/>
          <w:szCs w:val="22"/>
        </w:rPr>
        <w:t>Versión pública:</w:t>
      </w:r>
      <w:r w:rsidRPr="007A646F">
        <w:rPr>
          <w:rFonts w:ascii="Palatino Linotype" w:hAnsi="Palatino Linotype" w:cs="Arial"/>
          <w:i/>
          <w:sz w:val="22"/>
          <w:szCs w:val="22"/>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lastRenderedPageBreak/>
        <w:t>Cuarto.</w:t>
      </w:r>
      <w:r w:rsidRPr="007A646F">
        <w:rPr>
          <w:rFonts w:ascii="Palatino Linotype" w:hAnsi="Palatino Linotype" w:cs="Arial"/>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i/>
          <w:sz w:val="22"/>
          <w:szCs w:val="22"/>
        </w:rPr>
        <w:t>Los sujetos obligados deberán aplicar, de manera estricta, las excepciones al derecho de acceso a la información y sólo podrán invocarlas cuando acrediten su procedencia.</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Quinto.</w:t>
      </w:r>
      <w:r w:rsidRPr="007A646F">
        <w:rPr>
          <w:rFonts w:ascii="Palatino Linotype" w:hAnsi="Palatino Linotype" w:cs="Arial"/>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Sexto.</w:t>
      </w:r>
      <w:r w:rsidRPr="007A646F">
        <w:rPr>
          <w:rFonts w:ascii="Palatino Linotype" w:hAnsi="Palatino Linotype" w:cs="Arial"/>
          <w:i/>
          <w:sz w:val="22"/>
          <w:szCs w:val="22"/>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i/>
          <w:sz w:val="22"/>
          <w:szCs w:val="22"/>
        </w:rPr>
        <w:t>La clasificación de información se realizará conforme a un análisis caso por caso, mediante la aplicación de la prueba de daño y de interés público.</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Séptimo.</w:t>
      </w:r>
      <w:r w:rsidRPr="007A646F">
        <w:rPr>
          <w:rFonts w:ascii="Palatino Linotype" w:hAnsi="Palatino Linotype" w:cs="Arial"/>
          <w:i/>
          <w:sz w:val="22"/>
          <w:szCs w:val="22"/>
        </w:rPr>
        <w:t xml:space="preserve"> La clasificación de la información se llevará a cabo en el momento en que:</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I.</w:t>
      </w:r>
      <w:r w:rsidRPr="007A646F">
        <w:rPr>
          <w:rFonts w:ascii="Palatino Linotype" w:hAnsi="Palatino Linotype" w:cs="Arial"/>
          <w:i/>
          <w:sz w:val="22"/>
          <w:szCs w:val="22"/>
        </w:rPr>
        <w:t xml:space="preserve">        Se reciba una solicitud de acceso a la información;</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II.</w:t>
      </w:r>
      <w:r w:rsidRPr="007A646F">
        <w:rPr>
          <w:rFonts w:ascii="Palatino Linotype" w:hAnsi="Palatino Linotype" w:cs="Arial"/>
          <w:i/>
          <w:sz w:val="22"/>
          <w:szCs w:val="22"/>
        </w:rPr>
        <w:t xml:space="preserve">       Se determine mediante resolución de autoridad competente, o</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III.</w:t>
      </w:r>
      <w:r w:rsidRPr="007A646F">
        <w:rPr>
          <w:rFonts w:ascii="Palatino Linotype" w:hAnsi="Palatino Linotype" w:cs="Arial"/>
          <w:i/>
          <w:sz w:val="22"/>
          <w:szCs w:val="22"/>
        </w:rPr>
        <w:t xml:space="preserve">      Se generen versiones públicas para dar cumplimiento a las obligaciones de transparencia previstas en la Ley General, la Ley Federal y las correspondientes de las entidades federativas.</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i/>
          <w:sz w:val="22"/>
          <w:szCs w:val="22"/>
        </w:rPr>
        <w:t>Los titulares de las áreas deberán revisar la clasificación al momento de la recepción de una solicitud de acceso a la información, para verificar si encuadra en una causal de reserva o de confidencialidad.</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Octavo.</w:t>
      </w:r>
      <w:r w:rsidRPr="007A646F">
        <w:rPr>
          <w:rFonts w:ascii="Palatino Linotype" w:hAnsi="Palatino Linotype" w:cs="Arial"/>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i/>
          <w:sz w:val="22"/>
          <w:szCs w:val="22"/>
        </w:rPr>
        <w:t>Para motivar la clasificación se deberán señalar las razones o circunstancias especiales que lo llevaron a concluir que el caso particular se ajusta al supuesto previsto por la norma legal invocada como fundamento.</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i/>
          <w:sz w:val="22"/>
          <w:szCs w:val="22"/>
        </w:rPr>
        <w:lastRenderedPageBreak/>
        <w:t>En caso de referirse a información reservada, la motivación de la clasificación también deberá comprender las circunstancias que justifican el establecimiento de determinado plazo de reserva.</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i/>
          <w:sz w:val="22"/>
          <w:szCs w:val="22"/>
        </w:rPr>
        <w:t>Tratándose de información clasificada como confidencial respecto de la cual se haya determinado su conservación permanente por tener valor histórico, ésta conservará tal carácter de conformidad con la normativa aplicable en materia de archivos.</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i/>
          <w:sz w:val="22"/>
          <w:szCs w:val="22"/>
        </w:rPr>
        <w:t>Los documentos contenidos en los archivos históricos y los identificados como históricos confidenciales no serán susceptibles de clasificación como reservados.</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Noveno.</w:t>
      </w:r>
      <w:r w:rsidRPr="007A646F">
        <w:rPr>
          <w:rFonts w:ascii="Palatino Linotype" w:hAnsi="Palatino Linotype" w:cs="Arial"/>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b/>
          <w:i/>
          <w:sz w:val="22"/>
          <w:szCs w:val="22"/>
        </w:rPr>
        <w:t>Décimo.</w:t>
      </w:r>
      <w:r w:rsidRPr="007A646F">
        <w:rPr>
          <w:rFonts w:ascii="Palatino Linotype" w:hAnsi="Palatino Linotype" w:cs="Arial"/>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B909BE" w:rsidRPr="007A646F" w:rsidRDefault="00B909BE" w:rsidP="00BC7C75">
      <w:pPr>
        <w:ind w:left="851" w:right="902"/>
        <w:jc w:val="both"/>
        <w:rPr>
          <w:rFonts w:ascii="Palatino Linotype" w:hAnsi="Palatino Linotype" w:cs="Arial"/>
          <w:i/>
          <w:sz w:val="22"/>
          <w:szCs w:val="22"/>
        </w:rPr>
      </w:pPr>
      <w:r w:rsidRPr="007A646F">
        <w:rPr>
          <w:rFonts w:ascii="Palatino Linotype" w:hAnsi="Palatino Linotype" w:cs="Arial"/>
          <w:i/>
          <w:sz w:val="22"/>
          <w:szCs w:val="22"/>
        </w:rPr>
        <w:t>En ausencia de los titulares de las áreas, la información será clasificada o desclasificada por la persona que lo supla, en términos de la normativa que rija la actuación del sujeto obligado.</w:t>
      </w:r>
    </w:p>
    <w:p w:rsidR="00B909BE" w:rsidRPr="007A646F" w:rsidRDefault="00B909BE" w:rsidP="00BC7C75">
      <w:pPr>
        <w:ind w:left="851" w:right="899"/>
        <w:jc w:val="both"/>
        <w:rPr>
          <w:rFonts w:ascii="Palatino Linotype" w:hAnsi="Palatino Linotype" w:cs="Arial"/>
          <w:b/>
          <w:i/>
          <w:sz w:val="22"/>
          <w:szCs w:val="22"/>
        </w:rPr>
      </w:pPr>
      <w:r w:rsidRPr="007A646F">
        <w:rPr>
          <w:rFonts w:ascii="Palatino Linotype" w:hAnsi="Palatino Linotype" w:cs="Arial"/>
          <w:b/>
          <w:i/>
          <w:sz w:val="22"/>
          <w:szCs w:val="22"/>
        </w:rPr>
        <w:t>Décimo primero.</w:t>
      </w:r>
      <w:r w:rsidRPr="007A646F">
        <w:rPr>
          <w:rFonts w:ascii="Palatino Linotype" w:hAnsi="Palatino Linotype" w:cs="Arial"/>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7A646F">
        <w:rPr>
          <w:rFonts w:ascii="Palatino Linotype" w:hAnsi="Palatino Linotype" w:cs="Arial"/>
          <w:b/>
          <w:i/>
          <w:sz w:val="22"/>
          <w:szCs w:val="22"/>
        </w:rPr>
        <w:t>”</w:t>
      </w:r>
    </w:p>
    <w:p w:rsidR="00B909BE" w:rsidRPr="007A646F" w:rsidRDefault="00B909BE" w:rsidP="00BC7C75">
      <w:pPr>
        <w:ind w:right="899"/>
        <w:jc w:val="both"/>
        <w:rPr>
          <w:rFonts w:ascii="Palatino Linotype" w:hAnsi="Palatino Linotype" w:cs="Arial"/>
          <w:b/>
          <w:bCs/>
          <w:i/>
          <w:noProof/>
        </w:rPr>
      </w:pPr>
    </w:p>
    <w:p w:rsidR="00B909BE" w:rsidRPr="007A646F" w:rsidRDefault="00B909BE" w:rsidP="00B9215F">
      <w:pPr>
        <w:spacing w:line="360" w:lineRule="auto"/>
        <w:jc w:val="both"/>
        <w:rPr>
          <w:rFonts w:ascii="Palatino Linotype" w:hAnsi="Palatino Linotype" w:cs="Arial"/>
        </w:rPr>
      </w:pPr>
      <w:r w:rsidRPr="007A646F">
        <w:rPr>
          <w:rFonts w:ascii="Palatino Linotype" w:hAnsi="Palatino Linotype" w:cs="Arial"/>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rsidR="00B909BE" w:rsidRPr="007A646F" w:rsidRDefault="00B909BE" w:rsidP="00B9215F">
      <w:pPr>
        <w:spacing w:line="360" w:lineRule="auto"/>
        <w:ind w:right="-93"/>
        <w:jc w:val="both"/>
        <w:rPr>
          <w:rFonts w:ascii="Palatino Linotype" w:hAnsi="Palatino Linotype" w:cs="Arial"/>
          <w:lang w:eastAsia="es-MX"/>
        </w:rPr>
      </w:pPr>
    </w:p>
    <w:p w:rsidR="00B909BE" w:rsidRPr="007A646F" w:rsidRDefault="00B909BE" w:rsidP="00B9215F">
      <w:pPr>
        <w:autoSpaceDE w:val="0"/>
        <w:autoSpaceDN w:val="0"/>
        <w:adjustRightInd w:val="0"/>
        <w:spacing w:line="360" w:lineRule="auto"/>
        <w:ind w:right="-91"/>
        <w:jc w:val="both"/>
        <w:rPr>
          <w:rFonts w:ascii="Palatino Linotype" w:hAnsi="Palatino Linotype" w:cs="Arial"/>
          <w:lang w:eastAsia="es-CO"/>
        </w:rPr>
      </w:pPr>
      <w:r w:rsidRPr="007A646F">
        <w:rPr>
          <w:rFonts w:ascii="Palatino Linotype" w:hAnsi="Palatino Linotype" w:cs="Arial"/>
        </w:rPr>
        <w:t xml:space="preserve">Consecuentemente, se destaca que la versión pública que elabore </w:t>
      </w:r>
      <w:r w:rsidRPr="007A646F">
        <w:rPr>
          <w:rFonts w:ascii="Palatino Linotype" w:hAnsi="Palatino Linotype" w:cs="Arial"/>
          <w:b/>
        </w:rPr>
        <w:t>EL SUJETO OBLIGADO</w:t>
      </w:r>
      <w:r w:rsidRPr="007A646F">
        <w:rPr>
          <w:rFonts w:ascii="Palatino Linotype" w:hAnsi="Palatino Linotype" w:cs="Arial"/>
        </w:rPr>
        <w:t xml:space="preserve"> debe cumplir con las formalidades exigidas en la Ley, por lo que para tal </w:t>
      </w:r>
      <w:r w:rsidRPr="007A646F">
        <w:rPr>
          <w:rFonts w:ascii="Palatino Linotype" w:hAnsi="Palatino Linotype" w:cs="Arial"/>
        </w:rPr>
        <w:lastRenderedPageBreak/>
        <w:t xml:space="preserve">efecto emitirá el </w:t>
      </w:r>
      <w:r w:rsidRPr="007A646F">
        <w:rPr>
          <w:rFonts w:ascii="Palatino Linotype" w:hAnsi="Palatino Linotype" w:cs="Arial"/>
          <w:b/>
        </w:rPr>
        <w:t>Acuerdo del Comité de Transparencia</w:t>
      </w:r>
      <w:r w:rsidRPr="007A646F">
        <w:rPr>
          <w:rFonts w:ascii="Palatino Linotype" w:hAnsi="Palatino Linotype" w:cs="Arial"/>
        </w:rPr>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7A646F">
        <w:rPr>
          <w:rFonts w:ascii="Palatino Linotype" w:hAnsi="Palatino Linotype" w:cs="Arial"/>
          <w:lang w:eastAsia="es-CO"/>
        </w:rPr>
        <w:t>,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B909BE" w:rsidRPr="007A646F" w:rsidRDefault="00B909BE" w:rsidP="00B9215F">
      <w:pPr>
        <w:spacing w:line="360" w:lineRule="auto"/>
        <w:jc w:val="both"/>
        <w:rPr>
          <w:rFonts w:ascii="Palatino Linotype" w:eastAsiaTheme="minorEastAsia" w:hAnsi="Palatino Linotype" w:cs="Arial"/>
          <w:color w:val="000000" w:themeColor="text1"/>
          <w:lang w:val="es-ES_tradnl"/>
        </w:rPr>
      </w:pPr>
    </w:p>
    <w:p w:rsidR="00F71FA2" w:rsidRPr="007A646F" w:rsidRDefault="00F71FA2" w:rsidP="00B9215F">
      <w:pPr>
        <w:widowControl w:val="0"/>
        <w:tabs>
          <w:tab w:val="left" w:pos="1701"/>
          <w:tab w:val="left" w:pos="1843"/>
        </w:tabs>
        <w:autoSpaceDE w:val="0"/>
        <w:autoSpaceDN w:val="0"/>
        <w:adjustRightInd w:val="0"/>
        <w:spacing w:line="360" w:lineRule="auto"/>
        <w:jc w:val="both"/>
        <w:rPr>
          <w:rFonts w:ascii="Palatino Linotype" w:hAnsi="Palatino Linotype" w:cs="Arial"/>
          <w:color w:val="000000" w:themeColor="text1"/>
        </w:rPr>
      </w:pPr>
      <w:r w:rsidRPr="007A646F">
        <w:rPr>
          <w:rFonts w:ascii="Palatino Linotype" w:hAnsi="Palatino Linotype" w:cs="Arial"/>
          <w:color w:val="000000" w:themeColor="text1"/>
        </w:rPr>
        <w:t xml:space="preserve">En razón de lo anteriormente expuesto, este Instituto estima que las razones o motivos de inconformidad hechos valer por </w:t>
      </w:r>
      <w:r w:rsidRPr="007A646F">
        <w:rPr>
          <w:rFonts w:ascii="Palatino Linotype" w:hAnsi="Palatino Linotype" w:cs="Arial"/>
          <w:b/>
          <w:color w:val="000000" w:themeColor="text1"/>
        </w:rPr>
        <w:t>EL RECURRENTE</w:t>
      </w:r>
      <w:r w:rsidRPr="007A646F">
        <w:rPr>
          <w:rFonts w:ascii="Palatino Linotype" w:hAnsi="Palatino Linotype" w:cs="Arial"/>
          <w:color w:val="000000" w:themeColor="text1"/>
        </w:rPr>
        <w:t xml:space="preserve"> devienen </w:t>
      </w:r>
      <w:r w:rsidR="008E00CD" w:rsidRPr="007A646F">
        <w:rPr>
          <w:rFonts w:ascii="Palatino Linotype" w:hAnsi="Palatino Linotype" w:cs="Arial"/>
          <w:b/>
          <w:color w:val="000000" w:themeColor="text1"/>
        </w:rPr>
        <w:t xml:space="preserve">parcialmente </w:t>
      </w:r>
      <w:r w:rsidRPr="007A646F">
        <w:rPr>
          <w:rFonts w:ascii="Palatino Linotype" w:hAnsi="Palatino Linotype" w:cs="Arial"/>
          <w:b/>
          <w:color w:val="000000" w:themeColor="text1"/>
        </w:rPr>
        <w:t>fundadas</w:t>
      </w:r>
      <w:r w:rsidRPr="007A646F">
        <w:rPr>
          <w:rFonts w:ascii="Palatino Linotype" w:hAnsi="Palatino Linotype" w:cs="Arial"/>
          <w:color w:val="000000" w:themeColor="text1"/>
        </w:rPr>
        <w:t xml:space="preserve"> y suficientes para </w:t>
      </w:r>
      <w:r w:rsidRPr="007A646F">
        <w:rPr>
          <w:rFonts w:ascii="Palatino Linotype" w:hAnsi="Palatino Linotype" w:cs="Arial"/>
          <w:b/>
          <w:color w:val="000000" w:themeColor="text1"/>
        </w:rPr>
        <w:t>MODIFICAR</w:t>
      </w:r>
      <w:r w:rsidRPr="007A646F">
        <w:rPr>
          <w:rFonts w:ascii="Palatino Linotype" w:hAnsi="Palatino Linotype" w:cs="Arial"/>
          <w:color w:val="000000" w:themeColor="text1"/>
        </w:rPr>
        <w:t xml:space="preserve"> la respuesta del </w:t>
      </w:r>
      <w:r w:rsidRPr="007A646F">
        <w:rPr>
          <w:rFonts w:ascii="Palatino Linotype" w:hAnsi="Palatino Linotype" w:cs="Arial"/>
          <w:b/>
          <w:color w:val="000000" w:themeColor="text1"/>
        </w:rPr>
        <w:t>SUJETO OBLIGADO</w:t>
      </w:r>
      <w:r w:rsidRPr="007A646F">
        <w:rPr>
          <w:rFonts w:ascii="Palatino Linotype" w:hAnsi="Palatino Linotype" w:cs="Arial"/>
          <w:color w:val="000000" w:themeColor="text1"/>
        </w:rPr>
        <w:t xml:space="preserve"> y ordenarle haga entrega de la información descrita en el presente Considerando.</w:t>
      </w:r>
    </w:p>
    <w:p w:rsidR="00F71FA2" w:rsidRPr="007A646F" w:rsidRDefault="00F71FA2" w:rsidP="00B9215F">
      <w:pPr>
        <w:spacing w:line="360" w:lineRule="auto"/>
        <w:rPr>
          <w:rFonts w:ascii="Palatino Linotype" w:hAnsi="Palatino Linotype"/>
          <w:color w:val="000000" w:themeColor="text1"/>
        </w:rPr>
      </w:pPr>
    </w:p>
    <w:p w:rsidR="00E75068" w:rsidRPr="007A646F" w:rsidRDefault="00E75068" w:rsidP="00B9215F">
      <w:pPr>
        <w:widowControl w:val="0"/>
        <w:autoSpaceDE w:val="0"/>
        <w:autoSpaceDN w:val="0"/>
        <w:adjustRightInd w:val="0"/>
        <w:spacing w:line="360" w:lineRule="auto"/>
        <w:jc w:val="both"/>
        <w:rPr>
          <w:rFonts w:ascii="Palatino Linotype" w:eastAsia="Calibri" w:hAnsi="Palatino Linotype" w:cs="Arial"/>
          <w:color w:val="000000" w:themeColor="text1"/>
        </w:rPr>
      </w:pPr>
      <w:r w:rsidRPr="007A646F">
        <w:rPr>
          <w:rFonts w:ascii="Palatino Linotype" w:eastAsia="Calibri" w:hAnsi="Palatino Linotype" w:cs="Arial"/>
          <w:color w:val="000000" w:themeColor="text1"/>
        </w:rPr>
        <w:t xml:space="preserve">Así, con </w:t>
      </w:r>
      <w:r w:rsidRPr="007A646F">
        <w:rPr>
          <w:rFonts w:ascii="Palatino Linotype" w:hAnsi="Palatino Linotype" w:cs="Arial"/>
          <w:color w:val="000000" w:themeColor="text1"/>
        </w:rPr>
        <w:t>fundamento</w:t>
      </w:r>
      <w:r w:rsidRPr="007A646F">
        <w:rPr>
          <w:rFonts w:ascii="Palatino Linotype" w:eastAsia="Calibri" w:hAnsi="Palatino Linotype" w:cs="Arial"/>
          <w:color w:val="000000" w:themeColor="text1"/>
        </w:rPr>
        <w:t xml:space="preserve"> en lo prescrito en los artículos 5, párrafos </w:t>
      </w:r>
      <w:r w:rsidRPr="007A646F">
        <w:rPr>
          <w:rFonts w:ascii="Palatino Linotype" w:hAnsi="Palatino Linotype"/>
          <w:color w:val="000000" w:themeColor="text1"/>
        </w:rPr>
        <w:t xml:space="preserve">vigésimo </w:t>
      </w:r>
      <w:r w:rsidRPr="007A646F">
        <w:rPr>
          <w:rFonts w:ascii="Palatino Linotype" w:hAnsi="Palatino Linotype" w:cs="Arial"/>
          <w:color w:val="000000" w:themeColor="text1"/>
        </w:rPr>
        <w:t>segundo,</w:t>
      </w:r>
      <w:r w:rsidRPr="007A646F">
        <w:rPr>
          <w:rFonts w:ascii="Palatino Linotype" w:hAnsi="Palatino Linotype"/>
          <w:color w:val="000000" w:themeColor="text1"/>
        </w:rPr>
        <w:t xml:space="preserve"> vigésimo tercero y vigésimo cuarto</w:t>
      </w:r>
      <w:r w:rsidRPr="007A646F">
        <w:rPr>
          <w:rFonts w:ascii="Palatino Linotype" w:hAnsi="Palatino Linotype" w:cs="Arial"/>
          <w:color w:val="000000" w:themeColor="text1"/>
        </w:rPr>
        <w:t>,</w:t>
      </w:r>
      <w:r w:rsidRPr="007A646F">
        <w:rPr>
          <w:rFonts w:ascii="Palatino Linotype" w:hAnsi="Palatino Linotype"/>
          <w:color w:val="000000" w:themeColor="text1"/>
        </w:rPr>
        <w:t xml:space="preserve"> fracciones IV y V,</w:t>
      </w:r>
      <w:r w:rsidRPr="007A646F">
        <w:rPr>
          <w:rFonts w:ascii="Palatino Linotype" w:eastAsia="Calibri" w:hAnsi="Palatino Linotype" w:cs="Arial"/>
          <w:color w:val="000000" w:themeColor="text1"/>
        </w:rPr>
        <w:t xml:space="preserve"> de la Constitución Política del Estado Libre y Soberano de </w:t>
      </w:r>
      <w:r w:rsidRPr="007A646F">
        <w:rPr>
          <w:rFonts w:ascii="Palatino Linotype" w:hAnsi="Palatino Linotype" w:cs="Arial"/>
          <w:color w:val="000000" w:themeColor="text1"/>
          <w:lang w:val="es-ES_tradnl"/>
        </w:rPr>
        <w:t>México</w:t>
      </w:r>
      <w:r w:rsidRPr="007A646F">
        <w:rPr>
          <w:rFonts w:ascii="Palatino Linotype" w:eastAsia="Calibri" w:hAnsi="Palatino Linotype" w:cs="Arial"/>
          <w:color w:val="000000" w:themeColor="text1"/>
        </w:rPr>
        <w:t xml:space="preserve">, y los artículos </w:t>
      </w:r>
      <w:r w:rsidRPr="007A646F">
        <w:rPr>
          <w:rFonts w:ascii="Palatino Linotype" w:hAnsi="Palatino Linotype"/>
          <w:color w:val="000000" w:themeColor="text1"/>
        </w:rPr>
        <w:t xml:space="preserve">2, </w:t>
      </w:r>
      <w:r w:rsidRPr="007A646F">
        <w:rPr>
          <w:rFonts w:ascii="Palatino Linotype" w:hAnsi="Palatino Linotype" w:cs="Arial"/>
          <w:color w:val="000000" w:themeColor="text1"/>
        </w:rPr>
        <w:t>fracción</w:t>
      </w:r>
      <w:r w:rsidRPr="007A646F">
        <w:rPr>
          <w:rFonts w:ascii="Palatino Linotype" w:hAnsi="Palatino Linotype"/>
          <w:color w:val="000000" w:themeColor="text1"/>
        </w:rPr>
        <w:t xml:space="preserve"> II, 9, </w:t>
      </w:r>
      <w:r w:rsidRPr="007A646F">
        <w:rPr>
          <w:rFonts w:ascii="Palatino Linotype" w:hAnsi="Palatino Linotype" w:cs="Arial"/>
          <w:color w:val="000000" w:themeColor="text1"/>
          <w:lang w:val="es-ES_tradnl"/>
        </w:rPr>
        <w:t>29</w:t>
      </w:r>
      <w:r w:rsidRPr="007A646F">
        <w:rPr>
          <w:rFonts w:ascii="Palatino Linotype" w:hAnsi="Palatino Linotype"/>
          <w:color w:val="000000" w:themeColor="text1"/>
        </w:rPr>
        <w:t>, 36, fracciones I y II, 176, 178, 179, 181, 185, fracción I, 186 y 188,</w:t>
      </w:r>
      <w:r w:rsidRPr="007A646F">
        <w:rPr>
          <w:rFonts w:ascii="Palatino Linotype" w:eastAsia="Calibri" w:hAnsi="Palatino Linotype" w:cs="Arial"/>
          <w:color w:val="000000" w:themeColor="text1"/>
        </w:rPr>
        <w:t xml:space="preserve"> de la Ley de Transparencia y Acceso a la Información Pública del Estado de México y </w:t>
      </w:r>
      <w:r w:rsidRPr="007A646F">
        <w:rPr>
          <w:rFonts w:ascii="Palatino Linotype" w:hAnsi="Palatino Linotype" w:cs="Arial"/>
          <w:color w:val="000000" w:themeColor="text1"/>
        </w:rPr>
        <w:t>Municipios</w:t>
      </w:r>
      <w:r w:rsidRPr="007A646F">
        <w:rPr>
          <w:rFonts w:ascii="Palatino Linotype" w:eastAsia="Calibri" w:hAnsi="Palatino Linotype" w:cs="Arial"/>
          <w:color w:val="000000" w:themeColor="text1"/>
        </w:rPr>
        <w:t xml:space="preserve">, </w:t>
      </w:r>
      <w:r w:rsidRPr="007A646F">
        <w:rPr>
          <w:rFonts w:ascii="Palatino Linotype" w:hAnsi="Palatino Linotype"/>
          <w:color w:val="000000" w:themeColor="text1"/>
        </w:rPr>
        <w:t>este</w:t>
      </w:r>
      <w:r w:rsidRPr="007A646F">
        <w:rPr>
          <w:rFonts w:ascii="Palatino Linotype" w:eastAsia="Calibri" w:hAnsi="Palatino Linotype" w:cs="Arial"/>
          <w:color w:val="000000" w:themeColor="text1"/>
        </w:rPr>
        <w:t xml:space="preserve"> Pleno:</w:t>
      </w:r>
    </w:p>
    <w:p w:rsidR="00E75068" w:rsidRPr="007A646F" w:rsidRDefault="00E75068" w:rsidP="00BC7C75">
      <w:pPr>
        <w:jc w:val="center"/>
        <w:rPr>
          <w:rFonts w:ascii="Palatino Linotype" w:hAnsi="Palatino Linotype"/>
          <w:b/>
          <w:bCs/>
          <w:color w:val="000000" w:themeColor="text1"/>
          <w:spacing w:val="40"/>
          <w:sz w:val="28"/>
        </w:rPr>
      </w:pPr>
    </w:p>
    <w:p w:rsidR="00E75068" w:rsidRPr="007A646F" w:rsidRDefault="00E75068" w:rsidP="00BC7C75">
      <w:pPr>
        <w:jc w:val="center"/>
        <w:rPr>
          <w:rFonts w:ascii="Palatino Linotype" w:hAnsi="Palatino Linotype"/>
          <w:b/>
          <w:bCs/>
          <w:color w:val="000000" w:themeColor="text1"/>
          <w:spacing w:val="40"/>
          <w:sz w:val="28"/>
        </w:rPr>
      </w:pPr>
      <w:r w:rsidRPr="007A646F">
        <w:rPr>
          <w:rFonts w:ascii="Palatino Linotype" w:hAnsi="Palatino Linotype"/>
          <w:b/>
          <w:bCs/>
          <w:color w:val="000000" w:themeColor="text1"/>
          <w:spacing w:val="40"/>
          <w:sz w:val="28"/>
        </w:rPr>
        <w:lastRenderedPageBreak/>
        <w:t>RESUELVE</w:t>
      </w:r>
    </w:p>
    <w:p w:rsidR="00E75068" w:rsidRPr="007A646F" w:rsidRDefault="00E75068" w:rsidP="00BC7C75">
      <w:pPr>
        <w:jc w:val="center"/>
        <w:rPr>
          <w:rFonts w:ascii="Palatino Linotype" w:hAnsi="Palatino Linotype"/>
          <w:b/>
          <w:bCs/>
          <w:color w:val="000000" w:themeColor="text1"/>
          <w:spacing w:val="40"/>
          <w:sz w:val="28"/>
        </w:rPr>
      </w:pPr>
    </w:p>
    <w:p w:rsidR="00E75068" w:rsidRPr="007A646F" w:rsidRDefault="00E75068" w:rsidP="00B9215F">
      <w:pPr>
        <w:spacing w:line="360" w:lineRule="auto"/>
        <w:jc w:val="both"/>
        <w:rPr>
          <w:rFonts w:ascii="Palatino Linotype" w:hAnsi="Palatino Linotype" w:cs="Arial"/>
          <w:color w:val="000000" w:themeColor="text1"/>
          <w:lang w:val="es-ES"/>
        </w:rPr>
      </w:pPr>
      <w:r w:rsidRPr="007A646F">
        <w:rPr>
          <w:rFonts w:ascii="Palatino Linotype" w:hAnsi="Palatino Linotype" w:cs="Arial"/>
          <w:b/>
          <w:color w:val="000000" w:themeColor="text1"/>
          <w:sz w:val="28"/>
          <w:szCs w:val="28"/>
          <w:lang w:val="es-ES"/>
        </w:rPr>
        <w:t>PRIMERO</w:t>
      </w:r>
      <w:r w:rsidRPr="007A646F">
        <w:rPr>
          <w:rFonts w:ascii="Palatino Linotype" w:hAnsi="Palatino Linotype" w:cs="Arial"/>
          <w:color w:val="000000" w:themeColor="text1"/>
          <w:sz w:val="28"/>
          <w:szCs w:val="28"/>
          <w:lang w:val="es-ES"/>
        </w:rPr>
        <w:t>.</w:t>
      </w:r>
      <w:r w:rsidRPr="007A646F">
        <w:rPr>
          <w:rFonts w:ascii="Palatino Linotype" w:hAnsi="Palatino Linotype" w:cs="Arial"/>
          <w:color w:val="000000" w:themeColor="text1"/>
          <w:lang w:val="es-ES"/>
        </w:rPr>
        <w:t xml:space="preserve"> Resultan</w:t>
      </w:r>
      <w:r w:rsidR="00A11233" w:rsidRPr="007A646F">
        <w:rPr>
          <w:rFonts w:ascii="Palatino Linotype" w:hAnsi="Palatino Linotype" w:cs="Arial"/>
          <w:color w:val="000000" w:themeColor="text1"/>
          <w:lang w:val="es-ES"/>
        </w:rPr>
        <w:t xml:space="preserve"> </w:t>
      </w:r>
      <w:r w:rsidR="008E00CD" w:rsidRPr="007A646F">
        <w:rPr>
          <w:rFonts w:ascii="Palatino Linotype" w:hAnsi="Palatino Linotype" w:cs="Arial"/>
          <w:b/>
          <w:color w:val="000000" w:themeColor="text1"/>
          <w:lang w:val="es-ES"/>
        </w:rPr>
        <w:t xml:space="preserve">parcialmente </w:t>
      </w:r>
      <w:r w:rsidRPr="007A646F">
        <w:rPr>
          <w:rFonts w:ascii="Palatino Linotype" w:hAnsi="Palatino Linotype" w:cs="Arial"/>
          <w:b/>
          <w:color w:val="000000" w:themeColor="text1"/>
          <w:lang w:val="es-ES"/>
        </w:rPr>
        <w:t>fundadas</w:t>
      </w:r>
      <w:r w:rsidRPr="007A646F">
        <w:rPr>
          <w:rFonts w:ascii="Palatino Linotype" w:hAnsi="Palatino Linotype" w:cs="Arial"/>
          <w:color w:val="000000" w:themeColor="text1"/>
          <w:lang w:val="es-ES"/>
        </w:rPr>
        <w:t xml:space="preserve"> las razones o motivos de inconformidad planteadas por </w:t>
      </w:r>
      <w:r w:rsidRPr="007A646F">
        <w:rPr>
          <w:rFonts w:ascii="Palatino Linotype" w:hAnsi="Palatino Linotype" w:cs="Arial"/>
          <w:b/>
          <w:color w:val="000000" w:themeColor="text1"/>
          <w:lang w:val="es-ES"/>
        </w:rPr>
        <w:t>EL RECURRENTE</w:t>
      </w:r>
      <w:r w:rsidRPr="007A646F">
        <w:rPr>
          <w:rFonts w:ascii="Palatino Linotype" w:hAnsi="Palatino Linotype" w:cs="Arial"/>
          <w:color w:val="000000" w:themeColor="text1"/>
          <w:lang w:val="es-ES"/>
        </w:rPr>
        <w:t xml:space="preserve">, en términos del Considerando </w:t>
      </w:r>
      <w:r w:rsidRPr="007A646F">
        <w:rPr>
          <w:rFonts w:ascii="Palatino Linotype" w:hAnsi="Palatino Linotype" w:cs="Arial"/>
          <w:b/>
          <w:color w:val="000000" w:themeColor="text1"/>
          <w:lang w:val="es-ES"/>
        </w:rPr>
        <w:t>QUINTO</w:t>
      </w:r>
      <w:r w:rsidRPr="007A646F">
        <w:rPr>
          <w:rFonts w:ascii="Palatino Linotype" w:hAnsi="Palatino Linotype" w:cs="Arial"/>
          <w:color w:val="000000" w:themeColor="text1"/>
          <w:lang w:val="es-ES"/>
        </w:rPr>
        <w:t xml:space="preserve"> de la presente resolución.</w:t>
      </w:r>
    </w:p>
    <w:p w:rsidR="00E75068" w:rsidRPr="007A646F" w:rsidRDefault="00E75068" w:rsidP="00B9215F">
      <w:pPr>
        <w:spacing w:line="360" w:lineRule="auto"/>
        <w:jc w:val="both"/>
        <w:rPr>
          <w:rFonts w:ascii="Palatino Linotype" w:hAnsi="Palatino Linotype" w:cs="Arial"/>
          <w:color w:val="000000" w:themeColor="text1"/>
          <w:lang w:val="es-ES"/>
        </w:rPr>
      </w:pPr>
    </w:p>
    <w:p w:rsidR="00CB0A14" w:rsidRPr="007A646F" w:rsidRDefault="00E75068" w:rsidP="00B9215F">
      <w:pPr>
        <w:spacing w:line="360" w:lineRule="auto"/>
        <w:jc w:val="both"/>
        <w:rPr>
          <w:rFonts w:ascii="Palatino Linotype" w:hAnsi="Palatino Linotype"/>
          <w:shd w:val="clear" w:color="auto" w:fill="FFFFFF"/>
        </w:rPr>
      </w:pPr>
      <w:r w:rsidRPr="007A646F">
        <w:rPr>
          <w:rFonts w:ascii="Palatino Linotype" w:hAnsi="Palatino Linotype" w:cs="Arial"/>
          <w:b/>
          <w:color w:val="000000" w:themeColor="text1"/>
          <w:sz w:val="28"/>
          <w:szCs w:val="28"/>
          <w:lang w:val="es-ES"/>
        </w:rPr>
        <w:t>SEGUNDO</w:t>
      </w:r>
      <w:r w:rsidRPr="007A646F">
        <w:rPr>
          <w:rFonts w:ascii="Palatino Linotype" w:hAnsi="Palatino Linotype" w:cs="Arial"/>
          <w:color w:val="000000" w:themeColor="text1"/>
          <w:sz w:val="28"/>
          <w:szCs w:val="28"/>
          <w:lang w:val="es-ES"/>
        </w:rPr>
        <w:t>.</w:t>
      </w:r>
      <w:r w:rsidRPr="007A646F">
        <w:rPr>
          <w:rFonts w:ascii="Palatino Linotype" w:hAnsi="Palatino Linotype" w:cs="Arial"/>
          <w:color w:val="000000" w:themeColor="text1"/>
          <w:lang w:val="es-ES"/>
        </w:rPr>
        <w:t xml:space="preserve"> </w:t>
      </w:r>
      <w:r w:rsidRPr="007A646F">
        <w:rPr>
          <w:rFonts w:ascii="Palatino Linotype" w:eastAsia="Calibri" w:hAnsi="Palatino Linotype" w:cs="Arial"/>
          <w:color w:val="000000" w:themeColor="text1"/>
        </w:rPr>
        <w:t xml:space="preserve">Se </w:t>
      </w:r>
      <w:r w:rsidR="00FE6082" w:rsidRPr="007A646F">
        <w:rPr>
          <w:rFonts w:ascii="Palatino Linotype" w:eastAsia="Calibri" w:hAnsi="Palatino Linotype" w:cs="Arial"/>
          <w:b/>
          <w:color w:val="000000" w:themeColor="text1"/>
        </w:rPr>
        <w:t>MODIFICA</w:t>
      </w:r>
      <w:r w:rsidRPr="007A646F">
        <w:rPr>
          <w:rFonts w:ascii="Palatino Linotype" w:eastAsia="Calibri" w:hAnsi="Palatino Linotype" w:cs="Arial"/>
          <w:b/>
          <w:color w:val="000000" w:themeColor="text1"/>
        </w:rPr>
        <w:t xml:space="preserve"> </w:t>
      </w:r>
      <w:r w:rsidRPr="007A646F">
        <w:rPr>
          <w:rFonts w:ascii="Palatino Linotype" w:eastAsia="Calibri" w:hAnsi="Palatino Linotype" w:cs="Arial"/>
          <w:color w:val="000000" w:themeColor="text1"/>
        </w:rPr>
        <w:t xml:space="preserve">la respuesta proporcionada por </w:t>
      </w:r>
      <w:r w:rsidRPr="007A646F">
        <w:rPr>
          <w:rFonts w:ascii="Palatino Linotype" w:eastAsia="Calibri" w:hAnsi="Palatino Linotype" w:cs="Arial"/>
          <w:b/>
          <w:color w:val="000000" w:themeColor="text1"/>
        </w:rPr>
        <w:t xml:space="preserve">EL SUJETO OBLIGADO </w:t>
      </w:r>
      <w:r w:rsidRPr="007A646F">
        <w:rPr>
          <w:rFonts w:ascii="Palatino Linotype" w:eastAsia="Calibri" w:hAnsi="Palatino Linotype" w:cs="Arial"/>
          <w:color w:val="000000" w:themeColor="text1"/>
        </w:rPr>
        <w:t xml:space="preserve">y se </w:t>
      </w:r>
      <w:r w:rsidRPr="007A646F">
        <w:rPr>
          <w:rFonts w:ascii="Palatino Linotype" w:eastAsia="Calibri" w:hAnsi="Palatino Linotype" w:cs="Arial"/>
          <w:b/>
          <w:color w:val="000000" w:themeColor="text1"/>
        </w:rPr>
        <w:t xml:space="preserve">ordena </w:t>
      </w:r>
      <w:r w:rsidRPr="007A646F">
        <w:rPr>
          <w:rFonts w:ascii="Palatino Linotype" w:eastAsia="Calibri" w:hAnsi="Palatino Linotype" w:cs="Arial"/>
          <w:color w:val="000000" w:themeColor="text1"/>
        </w:rPr>
        <w:t xml:space="preserve">atienda la solicitud de información </w:t>
      </w:r>
      <w:r w:rsidR="00B909BE" w:rsidRPr="007A646F">
        <w:rPr>
          <w:rFonts w:ascii="Palatino Linotype" w:eastAsia="Calibri" w:hAnsi="Palatino Linotype" w:cs="Arial"/>
          <w:b/>
          <w:color w:val="000000" w:themeColor="text1"/>
        </w:rPr>
        <w:t>00078/CUAUTIZC/IP/2020</w:t>
      </w:r>
      <w:r w:rsidRPr="007A646F">
        <w:rPr>
          <w:rFonts w:ascii="Palatino Linotype" w:hAnsi="Palatino Linotype" w:cs="Arial"/>
          <w:color w:val="000000" w:themeColor="text1"/>
        </w:rPr>
        <w:t xml:space="preserve">, en términos del Considerando </w:t>
      </w:r>
      <w:r w:rsidRPr="007A646F">
        <w:rPr>
          <w:rFonts w:ascii="Palatino Linotype" w:hAnsi="Palatino Linotype" w:cs="Arial"/>
          <w:b/>
          <w:color w:val="000000" w:themeColor="text1"/>
        </w:rPr>
        <w:t>QUINTO</w:t>
      </w:r>
      <w:r w:rsidRPr="007A646F">
        <w:rPr>
          <w:rFonts w:ascii="Palatino Linotype" w:hAnsi="Palatino Linotype" w:cs="Arial"/>
          <w:color w:val="000000" w:themeColor="text1"/>
        </w:rPr>
        <w:t xml:space="preserve"> </w:t>
      </w:r>
      <w:r w:rsidRPr="007A646F">
        <w:rPr>
          <w:rFonts w:ascii="Palatino Linotype" w:hAnsi="Palatino Linotype" w:cs="Arial"/>
          <w:color w:val="000000" w:themeColor="text1"/>
          <w:lang w:val="es-ES"/>
        </w:rPr>
        <w:t xml:space="preserve">de la presente resolución, </w:t>
      </w:r>
      <w:r w:rsidR="00CB0A14" w:rsidRPr="007A646F">
        <w:rPr>
          <w:rFonts w:ascii="Palatino Linotype" w:hAnsi="Palatino Linotype" w:cs="Arial"/>
          <w:lang w:val="es-ES"/>
        </w:rPr>
        <w:t xml:space="preserve">y haga entrega al </w:t>
      </w:r>
      <w:r w:rsidR="00CB0A14" w:rsidRPr="007A646F">
        <w:rPr>
          <w:rFonts w:ascii="Palatino Linotype" w:hAnsi="Palatino Linotype" w:cs="Arial"/>
          <w:b/>
          <w:lang w:val="es-ES"/>
        </w:rPr>
        <w:t>RECURRENTE</w:t>
      </w:r>
      <w:r w:rsidR="00CB0A14" w:rsidRPr="007A646F">
        <w:rPr>
          <w:rFonts w:ascii="Palatino Linotype" w:hAnsi="Palatino Linotype" w:cs="Arial"/>
          <w:lang w:val="es-ES"/>
        </w:rPr>
        <w:t xml:space="preserve">, vía </w:t>
      </w:r>
      <w:r w:rsidR="00CB0A14" w:rsidRPr="007A646F">
        <w:rPr>
          <w:rFonts w:ascii="Palatino Linotype" w:hAnsi="Palatino Linotype" w:cs="Arial"/>
          <w:b/>
          <w:lang w:val="es-ES"/>
        </w:rPr>
        <w:t>SAIMEX</w:t>
      </w:r>
      <w:r w:rsidR="00CB0A14" w:rsidRPr="007A646F">
        <w:rPr>
          <w:rFonts w:ascii="Palatino Linotype" w:hAnsi="Palatino Linotype" w:cs="Arial"/>
          <w:lang w:val="es-ES"/>
        </w:rPr>
        <w:t xml:space="preserve">, previa </w:t>
      </w:r>
      <w:r w:rsidR="00CB0A14" w:rsidRPr="007A646F">
        <w:rPr>
          <w:rFonts w:ascii="Palatino Linotype" w:hAnsi="Palatino Linotype" w:cs="Arial"/>
          <w:b/>
          <w:lang w:val="es-ES"/>
        </w:rPr>
        <w:t>búsqueda exhaustiva y razonable</w:t>
      </w:r>
      <w:r w:rsidR="000D0DA0" w:rsidRPr="007A646F">
        <w:rPr>
          <w:rFonts w:ascii="Palatino Linotype" w:hAnsi="Palatino Linotype" w:cs="Arial"/>
          <w:b/>
          <w:lang w:val="es-ES"/>
        </w:rPr>
        <w:t xml:space="preserve">, </w:t>
      </w:r>
      <w:r w:rsidR="00F71FA2" w:rsidRPr="007A646F">
        <w:rPr>
          <w:rFonts w:ascii="Palatino Linotype" w:hAnsi="Palatino Linotype" w:cs="Arial"/>
          <w:lang w:val="es-ES"/>
        </w:rPr>
        <w:t xml:space="preserve">de ser procedente en </w:t>
      </w:r>
      <w:r w:rsidR="00F71FA2" w:rsidRPr="007A646F">
        <w:rPr>
          <w:rFonts w:ascii="Palatino Linotype" w:hAnsi="Palatino Linotype" w:cs="Arial"/>
          <w:b/>
          <w:lang w:val="es-ES"/>
        </w:rPr>
        <w:t xml:space="preserve">versión pública, </w:t>
      </w:r>
      <w:r w:rsidR="00161A69" w:rsidRPr="007A646F">
        <w:rPr>
          <w:rFonts w:ascii="Palatino Linotype" w:hAnsi="Palatino Linotype" w:cs="Arial"/>
          <w:lang w:val="es-ES"/>
        </w:rPr>
        <w:t>de</w:t>
      </w:r>
      <w:r w:rsidR="00161A69" w:rsidRPr="007A646F">
        <w:rPr>
          <w:rFonts w:ascii="Palatino Linotype" w:hAnsi="Palatino Linotype" w:cs="Arial"/>
          <w:b/>
          <w:lang w:val="es-ES"/>
        </w:rPr>
        <w:t xml:space="preserve"> </w:t>
      </w:r>
      <w:r w:rsidR="00F71FA2" w:rsidRPr="007A646F">
        <w:rPr>
          <w:rFonts w:ascii="Palatino Linotype" w:hAnsi="Palatino Linotype" w:cs="Arial"/>
          <w:lang w:val="es-ES"/>
        </w:rPr>
        <w:t>lo</w:t>
      </w:r>
      <w:r w:rsidR="00CB0A14" w:rsidRPr="007A646F">
        <w:rPr>
          <w:rFonts w:ascii="Palatino Linotype" w:hAnsi="Palatino Linotype" w:cs="Arial"/>
          <w:lang w:val="es-ES"/>
        </w:rPr>
        <w:t xml:space="preserve"> siguiente:</w:t>
      </w:r>
    </w:p>
    <w:p w:rsidR="00CB0A14" w:rsidRPr="007A646F" w:rsidRDefault="00CB0A14" w:rsidP="00BC7C75">
      <w:pPr>
        <w:spacing w:line="276" w:lineRule="auto"/>
        <w:jc w:val="both"/>
        <w:rPr>
          <w:rFonts w:ascii="Palatino Linotype" w:hAnsi="Palatino Linotype" w:cs="Arial"/>
          <w:color w:val="000000" w:themeColor="text1"/>
          <w:lang w:val="es-ES"/>
        </w:rPr>
      </w:pPr>
    </w:p>
    <w:p w:rsidR="00AF354B" w:rsidRPr="007A646F" w:rsidRDefault="00E75068" w:rsidP="00BC7C75">
      <w:pPr>
        <w:spacing w:line="276" w:lineRule="auto"/>
        <w:ind w:left="851" w:right="899" w:hanging="142"/>
        <w:jc w:val="both"/>
        <w:rPr>
          <w:rFonts w:ascii="Palatino Linotype" w:hAnsi="Palatino Linotype" w:cs="Bookman Old Style"/>
          <w:bCs/>
          <w:i/>
          <w:color w:val="000000" w:themeColor="text1"/>
          <w:sz w:val="22"/>
          <w:szCs w:val="22"/>
        </w:rPr>
      </w:pPr>
      <w:r w:rsidRPr="007A646F">
        <w:rPr>
          <w:rFonts w:ascii="Palatino Linotype" w:hAnsi="Palatino Linotype" w:cs="Bookman Old Style"/>
          <w:bCs/>
          <w:i/>
          <w:color w:val="000000" w:themeColor="text1"/>
          <w:sz w:val="22"/>
          <w:szCs w:val="22"/>
        </w:rPr>
        <w:t>“</w:t>
      </w:r>
      <w:r w:rsidR="00AF354B" w:rsidRPr="007A646F">
        <w:rPr>
          <w:rFonts w:ascii="Palatino Linotype" w:hAnsi="Palatino Linotype" w:cs="Bookman Old Style"/>
          <w:bCs/>
          <w:i/>
          <w:color w:val="000000" w:themeColor="text1"/>
          <w:sz w:val="22"/>
          <w:szCs w:val="22"/>
        </w:rPr>
        <w:t xml:space="preserve">a) Los informes o diagnóstico sobre tipos y modalidades de violencia contra las mujeres, </w:t>
      </w:r>
      <w:r w:rsidR="0015161B" w:rsidRPr="007A646F">
        <w:rPr>
          <w:rFonts w:ascii="Palatino Linotype" w:hAnsi="Palatino Linotype" w:cs="Bookman Old Style"/>
          <w:bCs/>
          <w:i/>
          <w:color w:val="000000" w:themeColor="text1"/>
          <w:sz w:val="22"/>
          <w:szCs w:val="22"/>
        </w:rPr>
        <w:t xml:space="preserve">al mayor grado de desagregación posible, </w:t>
      </w:r>
      <w:r w:rsidR="00161A69" w:rsidRPr="007A646F">
        <w:rPr>
          <w:rFonts w:ascii="Palatino Linotype" w:hAnsi="Palatino Linotype" w:cs="Bookman Old Style"/>
          <w:bCs/>
          <w:i/>
          <w:color w:val="000000" w:themeColor="text1"/>
          <w:sz w:val="22"/>
          <w:szCs w:val="22"/>
        </w:rPr>
        <w:t>incluyendo los</w:t>
      </w:r>
      <w:r w:rsidR="00AF354B" w:rsidRPr="007A646F">
        <w:rPr>
          <w:rFonts w:ascii="Palatino Linotype" w:hAnsi="Palatino Linotype" w:cs="Bookman Old Style"/>
          <w:bCs/>
          <w:i/>
          <w:color w:val="000000" w:themeColor="text1"/>
          <w:sz w:val="22"/>
          <w:szCs w:val="22"/>
        </w:rPr>
        <w:t xml:space="preserve"> datos cuantitativos y cualitativos, del </w:t>
      </w:r>
      <w:r w:rsidR="00961AF3" w:rsidRPr="007A646F">
        <w:rPr>
          <w:rFonts w:ascii="Palatino Linotype" w:hAnsi="Palatino Linotype" w:cs="Bookman Old Style"/>
          <w:bCs/>
          <w:i/>
          <w:color w:val="000000" w:themeColor="text1"/>
          <w:sz w:val="22"/>
          <w:szCs w:val="22"/>
        </w:rPr>
        <w:t xml:space="preserve">1 de enero </w:t>
      </w:r>
      <w:r w:rsidR="00AF354B" w:rsidRPr="007A646F">
        <w:rPr>
          <w:rFonts w:ascii="Palatino Linotype" w:hAnsi="Palatino Linotype" w:cs="Bookman Old Style"/>
          <w:bCs/>
          <w:i/>
          <w:color w:val="000000" w:themeColor="text1"/>
          <w:sz w:val="22"/>
          <w:szCs w:val="22"/>
        </w:rPr>
        <w:t xml:space="preserve">de 2019 </w:t>
      </w:r>
      <w:r w:rsidR="00382E84" w:rsidRPr="007A646F">
        <w:rPr>
          <w:rFonts w:ascii="Palatino Linotype" w:hAnsi="Palatino Linotype" w:cs="Bookman Old Style"/>
          <w:bCs/>
          <w:i/>
          <w:color w:val="000000" w:themeColor="text1"/>
          <w:sz w:val="22"/>
          <w:szCs w:val="22"/>
        </w:rPr>
        <w:t xml:space="preserve">al </w:t>
      </w:r>
      <w:r w:rsidR="00AF354B" w:rsidRPr="007A646F">
        <w:rPr>
          <w:rFonts w:ascii="Palatino Linotype" w:hAnsi="Palatino Linotype" w:cs="Bookman Old Style"/>
          <w:bCs/>
          <w:i/>
          <w:color w:val="000000" w:themeColor="text1"/>
          <w:sz w:val="22"/>
          <w:szCs w:val="22"/>
        </w:rPr>
        <w:t xml:space="preserve">18 de febrero de 2020. </w:t>
      </w:r>
    </w:p>
    <w:p w:rsidR="00AF354B" w:rsidRPr="007A646F" w:rsidRDefault="00AF354B" w:rsidP="00BC7C75">
      <w:pPr>
        <w:spacing w:line="276" w:lineRule="auto"/>
        <w:ind w:left="851" w:right="899"/>
        <w:jc w:val="both"/>
        <w:rPr>
          <w:rFonts w:ascii="Palatino Linotype" w:hAnsi="Palatino Linotype" w:cs="Bookman Old Style"/>
          <w:bCs/>
          <w:i/>
          <w:color w:val="000000" w:themeColor="text1"/>
          <w:sz w:val="22"/>
          <w:szCs w:val="22"/>
        </w:rPr>
      </w:pPr>
    </w:p>
    <w:p w:rsidR="00AF354B" w:rsidRPr="007A646F" w:rsidRDefault="00AF354B" w:rsidP="00BC7C75">
      <w:pPr>
        <w:spacing w:line="276" w:lineRule="auto"/>
        <w:ind w:left="851" w:right="899"/>
        <w:jc w:val="both"/>
        <w:rPr>
          <w:rFonts w:ascii="Palatino Linotype" w:hAnsi="Palatino Linotype"/>
          <w:i/>
          <w:sz w:val="22"/>
          <w:szCs w:val="22"/>
        </w:rPr>
      </w:pPr>
      <w:r w:rsidRPr="007A646F">
        <w:rPr>
          <w:rFonts w:ascii="Palatino Linotype" w:hAnsi="Palatino Linotype" w:cs="Bookman Old Style"/>
          <w:bCs/>
          <w:i/>
          <w:color w:val="000000" w:themeColor="text1"/>
          <w:sz w:val="22"/>
          <w:szCs w:val="22"/>
        </w:rPr>
        <w:t xml:space="preserve">b) </w:t>
      </w:r>
      <w:r w:rsidRPr="007A646F">
        <w:rPr>
          <w:rFonts w:ascii="Palatino Linotype" w:hAnsi="Palatino Linotype"/>
          <w:i/>
          <w:sz w:val="22"/>
          <w:szCs w:val="22"/>
        </w:rPr>
        <w:t xml:space="preserve">El o los documentos donde se advierta el perfil de los integrantes de la Unidad de Igualdad de Género y Erradicación de la Violencia del Instituto Municipal para la Igualdad entre Mujeres y Hombres de Cuautitlán Izcalli, </w:t>
      </w:r>
      <w:r w:rsidR="00382E84" w:rsidRPr="007A646F">
        <w:rPr>
          <w:rFonts w:ascii="Palatino Linotype" w:hAnsi="Palatino Linotype"/>
          <w:i/>
          <w:sz w:val="22"/>
          <w:szCs w:val="22"/>
        </w:rPr>
        <w:t xml:space="preserve">referidos </w:t>
      </w:r>
      <w:r w:rsidRPr="007A646F">
        <w:rPr>
          <w:rFonts w:ascii="Palatino Linotype" w:hAnsi="Palatino Linotype"/>
          <w:i/>
          <w:sz w:val="22"/>
          <w:szCs w:val="22"/>
        </w:rPr>
        <w:t>en respuesta.</w:t>
      </w:r>
    </w:p>
    <w:p w:rsidR="00AF354B" w:rsidRPr="007A646F" w:rsidRDefault="00AF354B" w:rsidP="00BC7C75">
      <w:pPr>
        <w:spacing w:line="276" w:lineRule="auto"/>
        <w:ind w:left="851" w:right="899"/>
        <w:jc w:val="both"/>
        <w:rPr>
          <w:rFonts w:ascii="Palatino Linotype" w:hAnsi="Palatino Linotype" w:cs="Bookman Old Style"/>
          <w:bCs/>
          <w:i/>
          <w:color w:val="000000" w:themeColor="text1"/>
          <w:sz w:val="22"/>
          <w:szCs w:val="22"/>
        </w:rPr>
      </w:pPr>
    </w:p>
    <w:p w:rsidR="00AF354B" w:rsidRPr="007A646F" w:rsidRDefault="00AF354B" w:rsidP="00BC7C75">
      <w:pPr>
        <w:spacing w:line="276" w:lineRule="auto"/>
        <w:ind w:left="851" w:right="899"/>
        <w:jc w:val="both"/>
        <w:rPr>
          <w:rFonts w:ascii="Palatino Linotype" w:hAnsi="Palatino Linotype"/>
          <w:i/>
          <w:sz w:val="22"/>
          <w:szCs w:val="22"/>
        </w:rPr>
      </w:pPr>
      <w:r w:rsidRPr="007A646F">
        <w:rPr>
          <w:rFonts w:ascii="Palatino Linotype" w:hAnsi="Palatino Linotype" w:cs="Bookman Old Style"/>
          <w:bCs/>
          <w:i/>
          <w:color w:val="000000" w:themeColor="text1"/>
          <w:sz w:val="22"/>
          <w:szCs w:val="22"/>
        </w:rPr>
        <w:t xml:space="preserve">c) </w:t>
      </w:r>
      <w:r w:rsidRPr="007A646F">
        <w:rPr>
          <w:rFonts w:ascii="Palatino Linotype" w:hAnsi="Palatino Linotype"/>
          <w:i/>
          <w:sz w:val="22"/>
          <w:szCs w:val="22"/>
        </w:rPr>
        <w:t xml:space="preserve">Los temas de capacitación impartidas a las y los servidores públicos, en materia de prevención, atención, sanción y erradicación de la violencia de género y temas de igualdad, equidad y perspectiva de género; así como, el o los documentos en el que se advierta la periodicidad horas de capacitación, </w:t>
      </w:r>
      <w:r w:rsidR="00382E84" w:rsidRPr="007A646F">
        <w:rPr>
          <w:rFonts w:ascii="Palatino Linotype" w:hAnsi="Palatino Linotype"/>
          <w:i/>
          <w:sz w:val="22"/>
          <w:szCs w:val="22"/>
        </w:rPr>
        <w:t xml:space="preserve">nombre de las personas que </w:t>
      </w:r>
      <w:r w:rsidRPr="007A646F">
        <w:rPr>
          <w:rFonts w:ascii="Palatino Linotype" w:hAnsi="Palatino Linotype"/>
          <w:i/>
          <w:sz w:val="22"/>
          <w:szCs w:val="22"/>
        </w:rPr>
        <w:t>impartieron las capacitaciones, presupuesto destinado para las capacitaciones, áreas de procedencia del personal capacitado</w:t>
      </w:r>
      <w:r w:rsidR="007A646F" w:rsidRPr="007A646F">
        <w:rPr>
          <w:rFonts w:ascii="Palatino Linotype" w:hAnsi="Palatino Linotype"/>
          <w:i/>
          <w:sz w:val="22"/>
          <w:szCs w:val="22"/>
        </w:rPr>
        <w:t xml:space="preserve"> y resultados obtenidos</w:t>
      </w:r>
      <w:r w:rsidRPr="007A646F">
        <w:rPr>
          <w:rFonts w:ascii="Palatino Linotype" w:hAnsi="Palatino Linotype"/>
          <w:i/>
          <w:sz w:val="22"/>
          <w:szCs w:val="22"/>
        </w:rPr>
        <w:t xml:space="preserve">; durante el año 2019 y </w:t>
      </w:r>
      <w:r w:rsidR="00D75A67" w:rsidRPr="007A646F">
        <w:rPr>
          <w:rFonts w:ascii="Palatino Linotype" w:hAnsi="Palatino Linotype"/>
          <w:i/>
          <w:sz w:val="22"/>
          <w:szCs w:val="22"/>
        </w:rPr>
        <w:t xml:space="preserve">del 1 al 18 de </w:t>
      </w:r>
      <w:r w:rsidRPr="007A646F">
        <w:rPr>
          <w:rFonts w:ascii="Palatino Linotype" w:hAnsi="Palatino Linotype"/>
          <w:i/>
          <w:sz w:val="22"/>
          <w:szCs w:val="22"/>
        </w:rPr>
        <w:t>febrero de 2020</w:t>
      </w:r>
      <w:r w:rsidR="001D78A9" w:rsidRPr="007A646F">
        <w:rPr>
          <w:rFonts w:ascii="Palatino Linotype" w:hAnsi="Palatino Linotype"/>
          <w:i/>
          <w:sz w:val="22"/>
          <w:szCs w:val="22"/>
        </w:rPr>
        <w:t>.</w:t>
      </w:r>
    </w:p>
    <w:p w:rsidR="00AF354B" w:rsidRPr="007A646F" w:rsidRDefault="00AF354B" w:rsidP="00BC7C75">
      <w:pPr>
        <w:spacing w:line="276" w:lineRule="auto"/>
        <w:ind w:left="851" w:right="899"/>
        <w:jc w:val="both"/>
        <w:rPr>
          <w:rFonts w:ascii="Palatino Linotype" w:hAnsi="Palatino Linotype" w:cs="Bookman Old Style"/>
          <w:bCs/>
          <w:i/>
          <w:color w:val="000000" w:themeColor="text1"/>
          <w:sz w:val="22"/>
          <w:szCs w:val="22"/>
        </w:rPr>
      </w:pPr>
    </w:p>
    <w:p w:rsidR="00AF354B" w:rsidRPr="007A646F" w:rsidRDefault="00AF354B" w:rsidP="00BC7C75">
      <w:pPr>
        <w:spacing w:line="276" w:lineRule="auto"/>
        <w:ind w:left="851" w:right="899"/>
        <w:jc w:val="both"/>
        <w:rPr>
          <w:rFonts w:ascii="Palatino Linotype" w:hAnsi="Palatino Linotype"/>
          <w:i/>
          <w:sz w:val="22"/>
          <w:szCs w:val="22"/>
        </w:rPr>
      </w:pPr>
      <w:r w:rsidRPr="007A646F">
        <w:rPr>
          <w:rFonts w:ascii="Palatino Linotype" w:hAnsi="Palatino Linotype" w:cs="Bookman Old Style"/>
          <w:bCs/>
          <w:i/>
          <w:color w:val="000000" w:themeColor="text1"/>
          <w:sz w:val="22"/>
          <w:szCs w:val="22"/>
        </w:rPr>
        <w:lastRenderedPageBreak/>
        <w:t xml:space="preserve">d) </w:t>
      </w:r>
      <w:r w:rsidRPr="007A646F">
        <w:rPr>
          <w:rFonts w:ascii="Palatino Linotype" w:hAnsi="Palatino Linotype"/>
          <w:i/>
          <w:sz w:val="22"/>
          <w:szCs w:val="22"/>
        </w:rPr>
        <w:t xml:space="preserve">Las </w:t>
      </w:r>
      <w:r w:rsidRPr="007A646F">
        <w:rPr>
          <w:rFonts w:ascii="Palatino Linotype" w:hAnsi="Palatino Linotype" w:cstheme="minorBidi"/>
          <w:i/>
          <w:sz w:val="22"/>
          <w:szCs w:val="22"/>
        </w:rPr>
        <w:t xml:space="preserve">redes comunitarias, ciudadanas que operan en el municipio con AVEGEM, </w:t>
      </w:r>
      <w:r w:rsidRPr="007A646F">
        <w:rPr>
          <w:rFonts w:ascii="Palatino Linotype" w:hAnsi="Palatino Linotype"/>
          <w:i/>
          <w:sz w:val="22"/>
          <w:szCs w:val="22"/>
        </w:rPr>
        <w:t>el mayor grado de desagregación posible (</w:t>
      </w:r>
      <w:r w:rsidRPr="007A646F">
        <w:rPr>
          <w:rFonts w:ascii="Palatino Linotype" w:hAnsi="Palatino Linotype" w:cstheme="minorBidi"/>
          <w:i/>
          <w:sz w:val="22"/>
          <w:szCs w:val="22"/>
        </w:rPr>
        <w:t xml:space="preserve">nombre de la red, número de integrantes, las acciones que ha realizado la instancia encargada de dar seguimiento a la AVEGEM con las redes y, </w:t>
      </w:r>
      <w:r w:rsidR="00382E84" w:rsidRPr="007A646F">
        <w:rPr>
          <w:rFonts w:ascii="Palatino Linotype" w:hAnsi="Palatino Linotype" w:cstheme="minorBidi"/>
          <w:i/>
          <w:sz w:val="22"/>
          <w:szCs w:val="22"/>
        </w:rPr>
        <w:t>el número</w:t>
      </w:r>
      <w:r w:rsidR="00382E84" w:rsidRPr="007A646F">
        <w:rPr>
          <w:rFonts w:ascii="Palatino Linotype" w:hAnsi="Palatino Linotype"/>
          <w:i/>
          <w:sz w:val="22"/>
          <w:szCs w:val="22"/>
        </w:rPr>
        <w:t xml:space="preserve"> </w:t>
      </w:r>
      <w:r w:rsidRPr="007A646F">
        <w:rPr>
          <w:rFonts w:ascii="Palatino Linotype" w:hAnsi="Palatino Linotype"/>
          <w:i/>
          <w:sz w:val="22"/>
          <w:szCs w:val="22"/>
        </w:rPr>
        <w:t xml:space="preserve">redes se han creado) en el periodo comprendido del 01 de enero de 2019 al 18 de febrero de 2020. </w:t>
      </w:r>
    </w:p>
    <w:p w:rsidR="00AF354B" w:rsidRPr="007A646F" w:rsidRDefault="00AF354B" w:rsidP="00BC7C75">
      <w:pPr>
        <w:spacing w:line="276" w:lineRule="auto"/>
        <w:ind w:left="851" w:right="899"/>
        <w:jc w:val="both"/>
        <w:rPr>
          <w:rFonts w:ascii="Palatino Linotype" w:hAnsi="Palatino Linotype" w:cs="Bookman Old Style"/>
          <w:bCs/>
          <w:i/>
          <w:color w:val="000000" w:themeColor="text1"/>
          <w:sz w:val="22"/>
          <w:szCs w:val="22"/>
        </w:rPr>
      </w:pPr>
    </w:p>
    <w:p w:rsidR="00AF354B" w:rsidRPr="007A646F" w:rsidRDefault="00AF354B" w:rsidP="00BC7C75">
      <w:pPr>
        <w:spacing w:line="276" w:lineRule="auto"/>
        <w:ind w:left="851" w:right="899"/>
        <w:jc w:val="both"/>
        <w:rPr>
          <w:rFonts w:ascii="Palatino Linotype" w:hAnsi="Palatino Linotype"/>
          <w:i/>
          <w:sz w:val="22"/>
          <w:szCs w:val="22"/>
        </w:rPr>
      </w:pPr>
      <w:r w:rsidRPr="007A646F">
        <w:rPr>
          <w:rFonts w:ascii="Palatino Linotype" w:hAnsi="Palatino Linotype" w:cs="Bookman Old Style"/>
          <w:bCs/>
          <w:i/>
          <w:color w:val="000000" w:themeColor="text1"/>
          <w:sz w:val="22"/>
          <w:szCs w:val="22"/>
        </w:rPr>
        <w:t xml:space="preserve">e) </w:t>
      </w:r>
      <w:r w:rsidRPr="007A646F">
        <w:rPr>
          <w:rFonts w:ascii="Palatino Linotype" w:hAnsi="Palatino Linotype"/>
          <w:i/>
          <w:sz w:val="22"/>
          <w:szCs w:val="22"/>
        </w:rPr>
        <w:t xml:space="preserve">Los protocolos de actuación o reacción policial con perspectiva de género implementados durante el 2019 por la Comisaría General de Seguridad Pública y Tránsito. </w:t>
      </w:r>
    </w:p>
    <w:p w:rsidR="00AF354B" w:rsidRPr="007A646F" w:rsidRDefault="00AF354B" w:rsidP="00BC7C75">
      <w:pPr>
        <w:spacing w:line="276" w:lineRule="auto"/>
        <w:ind w:left="851" w:right="899"/>
        <w:jc w:val="both"/>
        <w:rPr>
          <w:rFonts w:ascii="Palatino Linotype" w:hAnsi="Palatino Linotype" w:cs="Bookman Old Style"/>
          <w:bCs/>
          <w:i/>
          <w:color w:val="000000" w:themeColor="text1"/>
          <w:sz w:val="22"/>
          <w:szCs w:val="22"/>
        </w:rPr>
      </w:pPr>
    </w:p>
    <w:p w:rsidR="00AF354B" w:rsidRPr="007A646F" w:rsidRDefault="00AF354B" w:rsidP="00BC7C75">
      <w:pPr>
        <w:spacing w:line="276" w:lineRule="auto"/>
        <w:ind w:left="851" w:right="899"/>
        <w:jc w:val="both"/>
        <w:rPr>
          <w:rFonts w:ascii="Palatino Linotype" w:hAnsi="Palatino Linotype"/>
          <w:i/>
          <w:sz w:val="22"/>
          <w:szCs w:val="22"/>
        </w:rPr>
      </w:pPr>
      <w:r w:rsidRPr="007A646F">
        <w:rPr>
          <w:rFonts w:ascii="Palatino Linotype" w:hAnsi="Palatino Linotype" w:cs="Bookman Old Style"/>
          <w:bCs/>
          <w:i/>
          <w:color w:val="000000" w:themeColor="text1"/>
          <w:sz w:val="22"/>
          <w:szCs w:val="22"/>
        </w:rPr>
        <w:t xml:space="preserve">f) </w:t>
      </w:r>
      <w:r w:rsidRPr="007A646F">
        <w:rPr>
          <w:rFonts w:ascii="Palatino Linotype" w:hAnsi="Palatino Linotype"/>
          <w:i/>
          <w:sz w:val="22"/>
          <w:szCs w:val="22"/>
        </w:rPr>
        <w:t xml:space="preserve">El o los documentos donde se adviertan los patrullajes preventivos realizados en las zonas </w:t>
      </w:r>
      <w:proofErr w:type="spellStart"/>
      <w:r w:rsidRPr="007A646F">
        <w:rPr>
          <w:rFonts w:ascii="Palatino Linotype" w:hAnsi="Palatino Linotype"/>
          <w:i/>
          <w:sz w:val="22"/>
          <w:szCs w:val="22"/>
        </w:rPr>
        <w:t>georreferenciadas</w:t>
      </w:r>
      <w:proofErr w:type="spellEnd"/>
      <w:r w:rsidRPr="007A646F">
        <w:rPr>
          <w:rFonts w:ascii="Palatino Linotype" w:hAnsi="Palatino Linotype"/>
          <w:i/>
          <w:sz w:val="22"/>
          <w:szCs w:val="22"/>
        </w:rPr>
        <w:t xml:space="preserve"> con mayor incidencia de violencia contra las mujeres</w:t>
      </w:r>
      <w:r w:rsidR="008E00CD" w:rsidRPr="007A646F">
        <w:rPr>
          <w:rFonts w:ascii="Palatino Linotype" w:hAnsi="Palatino Linotype"/>
          <w:i/>
          <w:sz w:val="22"/>
          <w:szCs w:val="22"/>
        </w:rPr>
        <w:t>, del 18 de febrero de 2019 al 18 de febrero de 2020.</w:t>
      </w:r>
      <w:r w:rsidRPr="007A646F">
        <w:rPr>
          <w:rFonts w:ascii="Palatino Linotype" w:hAnsi="Palatino Linotype"/>
          <w:i/>
          <w:sz w:val="22"/>
          <w:szCs w:val="22"/>
        </w:rPr>
        <w:t xml:space="preserve"> </w:t>
      </w:r>
    </w:p>
    <w:p w:rsidR="00AF354B" w:rsidRPr="007A646F" w:rsidRDefault="00AF354B" w:rsidP="00BC7C75">
      <w:pPr>
        <w:spacing w:line="276" w:lineRule="auto"/>
        <w:ind w:left="851" w:right="899"/>
        <w:jc w:val="both"/>
        <w:rPr>
          <w:rFonts w:ascii="Palatino Linotype" w:hAnsi="Palatino Linotype" w:cs="Bookman Old Style"/>
          <w:bCs/>
          <w:i/>
          <w:color w:val="000000" w:themeColor="text1"/>
          <w:sz w:val="22"/>
          <w:szCs w:val="22"/>
        </w:rPr>
      </w:pPr>
    </w:p>
    <w:p w:rsidR="00AF354B" w:rsidRPr="007A646F" w:rsidRDefault="00AF354B" w:rsidP="00BC7C75">
      <w:pPr>
        <w:spacing w:line="276" w:lineRule="auto"/>
        <w:ind w:left="851" w:right="899"/>
        <w:jc w:val="both"/>
        <w:rPr>
          <w:rFonts w:ascii="Palatino Linotype" w:hAnsi="Palatino Linotype"/>
          <w:i/>
          <w:sz w:val="22"/>
          <w:szCs w:val="22"/>
        </w:rPr>
      </w:pPr>
      <w:r w:rsidRPr="007A646F">
        <w:rPr>
          <w:rFonts w:ascii="Palatino Linotype" w:hAnsi="Palatino Linotype" w:cs="Bookman Old Style"/>
          <w:bCs/>
          <w:i/>
          <w:color w:val="000000" w:themeColor="text1"/>
          <w:sz w:val="22"/>
          <w:szCs w:val="22"/>
        </w:rPr>
        <w:t xml:space="preserve">g) </w:t>
      </w:r>
      <w:r w:rsidR="00382E84" w:rsidRPr="007A646F">
        <w:rPr>
          <w:rFonts w:ascii="Palatino Linotype" w:hAnsi="Palatino Linotype" w:cs="Bookman Old Style"/>
          <w:bCs/>
          <w:i/>
          <w:color w:val="000000" w:themeColor="text1"/>
          <w:sz w:val="22"/>
          <w:szCs w:val="22"/>
        </w:rPr>
        <w:t xml:space="preserve">Las </w:t>
      </w:r>
      <w:r w:rsidR="00382E84" w:rsidRPr="007A646F">
        <w:rPr>
          <w:rFonts w:ascii="Palatino Linotype" w:hAnsi="Palatino Linotype"/>
          <w:i/>
          <w:sz w:val="22"/>
          <w:szCs w:val="22"/>
        </w:rPr>
        <w:t>a</w:t>
      </w:r>
      <w:r w:rsidRPr="007A646F">
        <w:rPr>
          <w:rFonts w:ascii="Palatino Linotype" w:hAnsi="Palatino Linotype"/>
          <w:i/>
          <w:sz w:val="22"/>
          <w:szCs w:val="22"/>
        </w:rPr>
        <w:t>cciones implementadas en el transporte público para garantizar la seguridad de las mujeres (número de patrullajes, el nombre de las rutas, horarios y qué áreas participaron en las acciones)</w:t>
      </w:r>
      <w:r w:rsidR="008E00CD" w:rsidRPr="007A646F">
        <w:rPr>
          <w:rFonts w:ascii="Palatino Linotype" w:hAnsi="Palatino Linotype"/>
          <w:i/>
          <w:sz w:val="22"/>
          <w:szCs w:val="22"/>
        </w:rPr>
        <w:t>,</w:t>
      </w:r>
      <w:r w:rsidR="007875A2" w:rsidRPr="007A646F">
        <w:rPr>
          <w:rFonts w:ascii="Palatino Linotype" w:hAnsi="Palatino Linotype"/>
          <w:i/>
          <w:sz w:val="22"/>
          <w:szCs w:val="22"/>
        </w:rPr>
        <w:t xml:space="preserve"> </w:t>
      </w:r>
      <w:r w:rsidR="008E00CD" w:rsidRPr="007A646F">
        <w:rPr>
          <w:rFonts w:ascii="Palatino Linotype" w:hAnsi="Palatino Linotype"/>
          <w:i/>
          <w:sz w:val="22"/>
          <w:szCs w:val="22"/>
        </w:rPr>
        <w:t>del 18 de feb</w:t>
      </w:r>
      <w:r w:rsidR="00161A69" w:rsidRPr="007A646F">
        <w:rPr>
          <w:rFonts w:ascii="Palatino Linotype" w:hAnsi="Palatino Linotype"/>
          <w:i/>
          <w:sz w:val="22"/>
          <w:szCs w:val="22"/>
        </w:rPr>
        <w:t>r</w:t>
      </w:r>
      <w:r w:rsidR="008E00CD" w:rsidRPr="007A646F">
        <w:rPr>
          <w:rFonts w:ascii="Palatino Linotype" w:hAnsi="Palatino Linotype"/>
          <w:i/>
          <w:sz w:val="22"/>
          <w:szCs w:val="22"/>
        </w:rPr>
        <w:t>ero de 2019 al 18 de febrero de 2020.</w:t>
      </w:r>
    </w:p>
    <w:p w:rsidR="00AF354B" w:rsidRPr="007A646F" w:rsidRDefault="00AF354B" w:rsidP="00BC7C75">
      <w:pPr>
        <w:spacing w:line="276" w:lineRule="auto"/>
        <w:ind w:left="851" w:right="899"/>
        <w:jc w:val="both"/>
        <w:rPr>
          <w:rFonts w:ascii="Palatino Linotype" w:hAnsi="Palatino Linotype" w:cs="Bookman Old Style"/>
          <w:bCs/>
          <w:i/>
          <w:color w:val="000000" w:themeColor="text1"/>
          <w:sz w:val="22"/>
          <w:szCs w:val="22"/>
        </w:rPr>
      </w:pPr>
    </w:p>
    <w:p w:rsidR="001D78A9" w:rsidRPr="007A646F" w:rsidRDefault="00AF354B" w:rsidP="001D78A9">
      <w:pPr>
        <w:spacing w:line="276" w:lineRule="auto"/>
        <w:ind w:left="851" w:right="899"/>
        <w:jc w:val="both"/>
        <w:rPr>
          <w:rFonts w:ascii="Palatino Linotype" w:hAnsi="Palatino Linotype"/>
          <w:i/>
          <w:sz w:val="22"/>
          <w:szCs w:val="22"/>
        </w:rPr>
      </w:pPr>
      <w:r w:rsidRPr="007A646F">
        <w:rPr>
          <w:rFonts w:ascii="Palatino Linotype" w:hAnsi="Palatino Linotype" w:cs="Bookman Old Style"/>
          <w:bCs/>
          <w:i/>
          <w:color w:val="000000" w:themeColor="text1"/>
          <w:sz w:val="22"/>
          <w:szCs w:val="22"/>
        </w:rPr>
        <w:t xml:space="preserve">h) </w:t>
      </w:r>
      <w:r w:rsidR="00382E84" w:rsidRPr="007A646F">
        <w:rPr>
          <w:rFonts w:ascii="Palatino Linotype" w:hAnsi="Palatino Linotype"/>
          <w:i/>
          <w:sz w:val="22"/>
          <w:szCs w:val="22"/>
        </w:rPr>
        <w:t>El</w:t>
      </w:r>
      <w:r w:rsidRPr="007A646F">
        <w:rPr>
          <w:rFonts w:ascii="Palatino Linotype" w:hAnsi="Palatino Linotype"/>
          <w:i/>
          <w:sz w:val="22"/>
          <w:szCs w:val="22"/>
        </w:rPr>
        <w:t xml:space="preserve"> número de medidas de protección recibidas en el año 2019 para garantizar su efectiva ejecución y </w:t>
      </w:r>
      <w:r w:rsidR="00161A69" w:rsidRPr="007A646F">
        <w:rPr>
          <w:rFonts w:ascii="Palatino Linotype" w:hAnsi="Palatino Linotype"/>
          <w:i/>
          <w:sz w:val="22"/>
          <w:szCs w:val="22"/>
        </w:rPr>
        <w:t xml:space="preserve">el </w:t>
      </w:r>
      <w:r w:rsidRPr="007A646F">
        <w:rPr>
          <w:rFonts w:ascii="Palatino Linotype" w:hAnsi="Palatino Linotype"/>
          <w:i/>
          <w:sz w:val="22"/>
          <w:szCs w:val="22"/>
        </w:rPr>
        <w:t xml:space="preserve">seguimiento </w:t>
      </w:r>
      <w:r w:rsidR="00161A69" w:rsidRPr="007A646F">
        <w:rPr>
          <w:rFonts w:ascii="Palatino Linotype" w:hAnsi="Palatino Linotype"/>
          <w:i/>
          <w:sz w:val="22"/>
          <w:szCs w:val="22"/>
        </w:rPr>
        <w:t xml:space="preserve">dado </w:t>
      </w:r>
      <w:r w:rsidR="001D78A9" w:rsidRPr="007A646F">
        <w:rPr>
          <w:rFonts w:ascii="Palatino Linotype" w:hAnsi="Palatino Linotype"/>
          <w:i/>
          <w:sz w:val="22"/>
          <w:szCs w:val="22"/>
        </w:rPr>
        <w:t>a las mismas.</w:t>
      </w:r>
    </w:p>
    <w:p w:rsidR="00AF354B" w:rsidRPr="007A646F" w:rsidRDefault="00AF354B" w:rsidP="00BC7C75">
      <w:pPr>
        <w:spacing w:line="276" w:lineRule="auto"/>
        <w:jc w:val="both"/>
        <w:rPr>
          <w:rFonts w:ascii="Palatino Linotype" w:hAnsi="Palatino Linotype"/>
          <w:i/>
          <w:sz w:val="22"/>
          <w:szCs w:val="22"/>
        </w:rPr>
      </w:pPr>
    </w:p>
    <w:p w:rsidR="00AF354B" w:rsidRPr="007A646F" w:rsidRDefault="00AF354B" w:rsidP="00BC7C75">
      <w:pPr>
        <w:pStyle w:val="Prrafodelista"/>
        <w:spacing w:line="276" w:lineRule="auto"/>
        <w:ind w:left="851" w:right="899"/>
        <w:jc w:val="both"/>
        <w:rPr>
          <w:rFonts w:ascii="Palatino Linotype" w:eastAsia="Arial Unicode MS" w:hAnsi="Palatino Linotype" w:cs="Arial"/>
          <w:i/>
          <w:sz w:val="22"/>
          <w:szCs w:val="22"/>
        </w:rPr>
      </w:pPr>
      <w:r w:rsidRPr="007A646F">
        <w:rPr>
          <w:rFonts w:ascii="Palatino Linotype" w:eastAsia="Arial Unicode MS" w:hAnsi="Palatino Linotype" w:cs="Arial"/>
          <w:i/>
          <w:sz w:val="22"/>
          <w:szCs w:val="22"/>
        </w:rPr>
        <w:t xml:space="preserve">Debiendo notificar al </w:t>
      </w:r>
      <w:r w:rsidRPr="007A646F">
        <w:rPr>
          <w:rFonts w:ascii="Palatino Linotype" w:eastAsia="Arial Unicode MS" w:hAnsi="Palatino Linotype" w:cs="Arial"/>
          <w:b/>
          <w:i/>
          <w:sz w:val="22"/>
          <w:szCs w:val="22"/>
        </w:rPr>
        <w:t>RECURRENTE</w:t>
      </w:r>
      <w:r w:rsidRPr="007A646F">
        <w:rPr>
          <w:rFonts w:ascii="Palatino Linotype" w:eastAsia="Arial Unicode MS" w:hAnsi="Palatino Linotype" w:cs="Arial"/>
          <w:i/>
          <w:sz w:val="22"/>
          <w:szCs w:val="22"/>
        </w:rPr>
        <w:t xml:space="preserve"> el Acuerdo de Clasificación de la información que apruebe su Comité de Transparencia con motivo de la versión pública.</w:t>
      </w:r>
    </w:p>
    <w:p w:rsidR="00AF354B" w:rsidRPr="007A646F" w:rsidRDefault="00AF354B" w:rsidP="00BC7C75">
      <w:pPr>
        <w:spacing w:line="276" w:lineRule="auto"/>
        <w:ind w:left="851" w:right="899"/>
        <w:jc w:val="both"/>
        <w:rPr>
          <w:rFonts w:ascii="Palatino Linotype" w:eastAsiaTheme="minorEastAsia" w:hAnsi="Palatino Linotype" w:cs="Arial"/>
          <w:i/>
          <w:sz w:val="22"/>
          <w:szCs w:val="22"/>
        </w:rPr>
      </w:pPr>
    </w:p>
    <w:p w:rsidR="00720263" w:rsidRPr="007A646F" w:rsidRDefault="00720263" w:rsidP="00720263">
      <w:pPr>
        <w:pStyle w:val="Prrafodelista"/>
        <w:spacing w:line="276" w:lineRule="auto"/>
        <w:ind w:left="851" w:right="899"/>
        <w:jc w:val="both"/>
        <w:rPr>
          <w:rFonts w:ascii="Palatino Linotype" w:eastAsia="Arial Unicode MS" w:hAnsi="Palatino Linotype" w:cs="Arial"/>
          <w:i/>
          <w:sz w:val="22"/>
          <w:szCs w:val="22"/>
        </w:rPr>
      </w:pPr>
      <w:r w:rsidRPr="007A646F">
        <w:rPr>
          <w:rFonts w:ascii="Palatino Linotype" w:eastAsia="Arial Unicode MS" w:hAnsi="Palatino Linotype" w:cs="Arial"/>
          <w:i/>
          <w:sz w:val="22"/>
          <w:szCs w:val="22"/>
        </w:rPr>
        <w:t xml:space="preserve">Para el caso de que </w:t>
      </w:r>
      <w:r w:rsidRPr="007A646F">
        <w:rPr>
          <w:rFonts w:ascii="Palatino Linotype" w:eastAsia="Arial Unicode MS" w:hAnsi="Palatino Linotype" w:cs="Arial"/>
          <w:b/>
          <w:i/>
          <w:sz w:val="22"/>
          <w:szCs w:val="22"/>
        </w:rPr>
        <w:t>EL SUJETO OBLIGADO</w:t>
      </w:r>
      <w:r w:rsidRPr="007A646F">
        <w:rPr>
          <w:rFonts w:ascii="Palatino Linotype" w:eastAsia="Arial Unicode MS" w:hAnsi="Palatino Linotype" w:cs="Arial"/>
          <w:i/>
          <w:sz w:val="22"/>
          <w:szCs w:val="22"/>
        </w:rPr>
        <w:t xml:space="preserve"> determine que la información ordenada en </w:t>
      </w:r>
      <w:r w:rsidR="00C63EDE" w:rsidRPr="007A646F">
        <w:rPr>
          <w:rFonts w:ascii="Palatino Linotype" w:eastAsia="Arial Unicode MS" w:hAnsi="Palatino Linotype" w:cs="Arial"/>
          <w:i/>
          <w:sz w:val="22"/>
          <w:szCs w:val="22"/>
        </w:rPr>
        <w:t>e</w:t>
      </w:r>
      <w:r w:rsidRPr="007A646F">
        <w:rPr>
          <w:rFonts w:ascii="Palatino Linotype" w:eastAsia="Arial Unicode MS" w:hAnsi="Palatino Linotype" w:cs="Arial"/>
          <w:i/>
          <w:sz w:val="22"/>
          <w:szCs w:val="22"/>
        </w:rPr>
        <w:t>l inciso g), encuadra con alguna causal de clasificación como reservada, deberá emitir el Acuerdo de Clasificación a través de su Comité de Transparencia y notificarlo vía SAIMEX al RECURRENTE en términos de los ordinales 49, fracción VIII, 129, 140 y 141 de la Ley de Transparencia y Acceso a la Información pública del Estado de México y Municipios.</w:t>
      </w:r>
    </w:p>
    <w:p w:rsidR="00AF354B" w:rsidRPr="007A646F" w:rsidRDefault="00AF354B" w:rsidP="00BC7C75">
      <w:pPr>
        <w:spacing w:line="276" w:lineRule="auto"/>
        <w:ind w:left="851" w:right="899"/>
        <w:jc w:val="both"/>
        <w:rPr>
          <w:rFonts w:ascii="Palatino Linotype" w:hAnsi="Palatino Linotype"/>
          <w:i/>
          <w:sz w:val="22"/>
          <w:szCs w:val="22"/>
        </w:rPr>
      </w:pPr>
    </w:p>
    <w:p w:rsidR="00E75068" w:rsidRPr="007A646F" w:rsidRDefault="00AF354B" w:rsidP="00BC7C75">
      <w:pPr>
        <w:spacing w:line="276" w:lineRule="auto"/>
        <w:ind w:left="851" w:right="899"/>
        <w:jc w:val="both"/>
        <w:rPr>
          <w:rFonts w:ascii="Palatino Linotype" w:hAnsi="Palatino Linotype"/>
          <w:i/>
          <w:sz w:val="22"/>
          <w:szCs w:val="22"/>
        </w:rPr>
      </w:pPr>
      <w:r w:rsidRPr="007A646F">
        <w:rPr>
          <w:rFonts w:ascii="Palatino Linotype" w:hAnsi="Palatino Linotype"/>
          <w:i/>
          <w:sz w:val="22"/>
          <w:szCs w:val="22"/>
        </w:rPr>
        <w:lastRenderedPageBreak/>
        <w:t>i) El Acuerdo que emita el Comité de Transparencia en el que se confirme la declaración de incompetencia respecto de la información solicitada por el particular al Sistema Municipal para el Desarrollo Integral de la Familia de Cuautitlán Izcalli.”</w:t>
      </w:r>
    </w:p>
    <w:p w:rsidR="00AF354B" w:rsidRPr="007A646F" w:rsidRDefault="00AF354B" w:rsidP="00BC7C75">
      <w:pPr>
        <w:spacing w:line="276" w:lineRule="auto"/>
        <w:ind w:left="851" w:right="899"/>
        <w:jc w:val="both"/>
        <w:rPr>
          <w:rFonts w:ascii="Palatino Linotype" w:eastAsia="Arial Unicode MS" w:hAnsi="Palatino Linotype" w:cs="Arial"/>
          <w:i/>
          <w:color w:val="000000" w:themeColor="text1"/>
          <w:sz w:val="22"/>
          <w:szCs w:val="22"/>
        </w:rPr>
      </w:pPr>
    </w:p>
    <w:p w:rsidR="00E75068" w:rsidRPr="007A646F" w:rsidRDefault="00E75068" w:rsidP="00B9215F">
      <w:pPr>
        <w:spacing w:line="360" w:lineRule="auto"/>
        <w:jc w:val="both"/>
        <w:rPr>
          <w:rFonts w:ascii="Palatino Linotype" w:hAnsi="Palatino Linotype"/>
          <w:color w:val="000000" w:themeColor="text1"/>
          <w:shd w:val="clear" w:color="auto" w:fill="FFFFFF"/>
        </w:rPr>
      </w:pPr>
      <w:r w:rsidRPr="007A646F">
        <w:rPr>
          <w:rFonts w:ascii="Palatino Linotype" w:hAnsi="Palatino Linotype"/>
          <w:b/>
          <w:color w:val="000000" w:themeColor="text1"/>
          <w:sz w:val="28"/>
          <w:szCs w:val="28"/>
          <w:shd w:val="clear" w:color="auto" w:fill="FFFFFF"/>
        </w:rPr>
        <w:t>TERCERO.</w:t>
      </w:r>
      <w:r w:rsidRPr="007A646F">
        <w:rPr>
          <w:rFonts w:ascii="Palatino Linotype" w:hAnsi="Palatino Linotype"/>
          <w:b/>
          <w:color w:val="000000" w:themeColor="text1"/>
          <w:shd w:val="clear" w:color="auto" w:fill="FFFFFF"/>
        </w:rPr>
        <w:t> </w:t>
      </w:r>
      <w:r w:rsidRPr="007A646F">
        <w:rPr>
          <w:rFonts w:ascii="Palatino Linotype" w:hAnsi="Palatino Linotype"/>
          <w:b/>
          <w:color w:val="000000" w:themeColor="text1"/>
          <w:lang w:eastAsia="es-ES_tradnl"/>
        </w:rPr>
        <w:t>Notifíquese</w:t>
      </w:r>
      <w:r w:rsidRPr="007A646F">
        <w:rPr>
          <w:rFonts w:ascii="Palatino Linotype" w:hAnsi="Palatino Linotype"/>
          <w:color w:val="000000" w:themeColor="text1"/>
          <w:lang w:eastAsia="es-ES_tradnl"/>
        </w:rPr>
        <w:t xml:space="preserve"> </w:t>
      </w:r>
      <w:r w:rsidRPr="007A646F">
        <w:rPr>
          <w:rFonts w:ascii="Palatino Linotype" w:hAnsi="Palatino Linotype"/>
          <w:color w:val="000000" w:themeColor="text1"/>
          <w:shd w:val="clear" w:color="auto" w:fill="FFFFFF"/>
        </w:rPr>
        <w:t>al Titular de la Unidad de Transparencia del</w:t>
      </w:r>
      <w:r w:rsidRPr="007A646F">
        <w:rPr>
          <w:rFonts w:ascii="Palatino Linotype" w:hAnsi="Palatino Linotype"/>
          <w:b/>
          <w:color w:val="000000" w:themeColor="text1"/>
          <w:shd w:val="clear" w:color="auto" w:fill="FFFFFF"/>
        </w:rPr>
        <w:t> SUJETO OBLIGADO</w:t>
      </w:r>
      <w:r w:rsidRPr="007A646F">
        <w:rPr>
          <w:rFonts w:ascii="Palatino Linotype" w:hAnsi="Palatino Linotype"/>
          <w:color w:val="000000" w:themeColor="text1"/>
          <w:shd w:val="clear" w:color="auto" w:fill="FFFFFF"/>
        </w:rPr>
        <w:t xml:space="preserve">, para que conforme a los artículos 186, último párrafo y 189, párrafo segundo de la Ley de </w:t>
      </w:r>
      <w:r w:rsidRPr="007A646F">
        <w:rPr>
          <w:rFonts w:ascii="Palatino Linotype" w:hAnsi="Palatino Linotype" w:cs="Arial"/>
          <w:color w:val="000000" w:themeColor="text1"/>
        </w:rPr>
        <w:t>Transparencia</w:t>
      </w:r>
      <w:r w:rsidRPr="007A646F">
        <w:rPr>
          <w:rFonts w:ascii="Palatino Linotype" w:hAnsi="Palatino Linotype"/>
          <w:color w:val="000000" w:themeColor="text1"/>
          <w:shd w:val="clear" w:color="auto" w:fill="FFFFFF"/>
        </w:rPr>
        <w:t xml:space="preserve"> y Acceso a la Información Pública del Estado de México y Municipios, dé </w:t>
      </w:r>
      <w:r w:rsidRPr="007A646F">
        <w:rPr>
          <w:rFonts w:ascii="Palatino Linotype" w:hAnsi="Palatino Linotype" w:cs="Arial"/>
          <w:color w:val="000000" w:themeColor="text1"/>
        </w:rPr>
        <w:t>cumplimiento</w:t>
      </w:r>
      <w:r w:rsidRPr="007A646F">
        <w:rPr>
          <w:rFonts w:ascii="Palatino Linotype" w:hAnsi="Palatino Linotype"/>
          <w:color w:val="000000" w:themeColor="text1"/>
          <w:shd w:val="clear" w:color="auto" w:fill="FFFFFF"/>
        </w:rPr>
        <w:t xml:space="preserve"> a lo ordenado dentro del plazo de diez días hábiles, debiendo </w:t>
      </w:r>
      <w:r w:rsidRPr="007A646F">
        <w:rPr>
          <w:rFonts w:ascii="Palatino Linotype" w:hAnsi="Palatino Linotype" w:cs="Arial"/>
          <w:color w:val="000000" w:themeColor="text1"/>
        </w:rPr>
        <w:t>informar</w:t>
      </w:r>
      <w:r w:rsidRPr="007A646F">
        <w:rPr>
          <w:rFonts w:ascii="Palatino Linotype" w:hAnsi="Palatino Linotype"/>
          <w:color w:val="000000" w:themeColor="text1"/>
          <w:shd w:val="clear" w:color="auto" w:fill="FFFFFF"/>
        </w:rPr>
        <w:t xml:space="preserve"> a este Instituto en un plazo </w:t>
      </w:r>
      <w:r w:rsidRPr="007A646F">
        <w:rPr>
          <w:rFonts w:ascii="Palatino Linotype" w:hAnsi="Palatino Linotype"/>
          <w:color w:val="000000" w:themeColor="text1"/>
          <w:lang w:eastAsia="es-ES_tradnl"/>
        </w:rPr>
        <w:t>de</w:t>
      </w:r>
      <w:r w:rsidRPr="007A646F">
        <w:rPr>
          <w:rFonts w:ascii="Palatino Linotype" w:hAnsi="Palatino Linotype"/>
          <w:color w:val="000000" w:themeColor="text1"/>
          <w:shd w:val="clear" w:color="auto" w:fill="FFFFFF"/>
        </w:rPr>
        <w:t xml:space="preserve"> tres días hábiles siguientes sobre el cumplimiento dado a la presente resolución.</w:t>
      </w:r>
    </w:p>
    <w:p w:rsidR="00E75068" w:rsidRPr="007A646F" w:rsidRDefault="00E75068" w:rsidP="00B9215F">
      <w:pPr>
        <w:spacing w:line="360" w:lineRule="auto"/>
        <w:ind w:right="49"/>
        <w:jc w:val="both"/>
        <w:rPr>
          <w:rFonts w:ascii="Palatino Linotype" w:hAnsi="Palatino Linotype"/>
          <w:b/>
          <w:color w:val="000000" w:themeColor="text1"/>
          <w:shd w:val="clear" w:color="auto" w:fill="FFFFFF"/>
        </w:rPr>
      </w:pPr>
    </w:p>
    <w:p w:rsidR="00E75068" w:rsidRPr="007A646F" w:rsidRDefault="00E75068" w:rsidP="00B9215F">
      <w:pPr>
        <w:spacing w:line="360" w:lineRule="auto"/>
        <w:ind w:right="49"/>
        <w:jc w:val="both"/>
        <w:rPr>
          <w:rFonts w:ascii="Palatino Linotype" w:hAnsi="Palatino Linotype"/>
          <w:color w:val="000000" w:themeColor="text1"/>
          <w:shd w:val="clear" w:color="auto" w:fill="FFFFFF"/>
          <w:lang w:eastAsia="es-MX"/>
        </w:rPr>
      </w:pPr>
      <w:r w:rsidRPr="007A646F">
        <w:rPr>
          <w:rFonts w:ascii="Palatino Linotype" w:hAnsi="Palatino Linotype" w:cs="Arial"/>
          <w:b/>
          <w:bCs/>
          <w:color w:val="000000" w:themeColor="text1"/>
          <w:sz w:val="28"/>
          <w:lang w:eastAsia="es-MX"/>
        </w:rPr>
        <w:t xml:space="preserve">CUARTO. </w:t>
      </w:r>
      <w:r w:rsidRPr="007A646F">
        <w:rPr>
          <w:rFonts w:ascii="Palatino Linotype" w:hAnsi="Palatino Linotype"/>
          <w:color w:val="000000" w:themeColor="text1"/>
          <w:shd w:val="clear" w:color="auto" w:fill="FFFFFF"/>
          <w:lang w:eastAsia="es-MX"/>
        </w:rPr>
        <w:t xml:space="preserve">Con fundamento en el artículo 198 de la Ley de Transparencia y Acceso a la Información Pública del Estado de México y Municipios, se apercibe al </w:t>
      </w:r>
      <w:r w:rsidRPr="007A646F">
        <w:rPr>
          <w:rFonts w:ascii="Palatino Linotype" w:hAnsi="Palatino Linotype"/>
          <w:b/>
          <w:color w:val="000000" w:themeColor="text1"/>
          <w:shd w:val="clear" w:color="auto" w:fill="FFFFFF"/>
          <w:lang w:eastAsia="es-MX"/>
        </w:rPr>
        <w:t>SUJETO OBLIGADO</w:t>
      </w:r>
      <w:r w:rsidRPr="007A646F">
        <w:rPr>
          <w:rFonts w:ascii="Palatino Linotype" w:hAnsi="Palatino Linotype"/>
          <w:color w:val="000000" w:themeColor="text1"/>
          <w:shd w:val="clear" w:color="auto" w:fill="FFFFFF"/>
          <w:lang w:eastAsia="es-MX"/>
        </w:rPr>
        <w:t xml:space="preserve"> que, en caso de negarse a cumplir la presente resolución o hacerlo de manera parcial se actuará de conformidad con lo previsto en los artículos 213, 214, 216 y 217 de dicha Ley.</w:t>
      </w:r>
    </w:p>
    <w:p w:rsidR="00E75068" w:rsidRPr="007A646F" w:rsidRDefault="00E75068" w:rsidP="00B9215F">
      <w:pPr>
        <w:spacing w:line="360" w:lineRule="auto"/>
        <w:ind w:right="49"/>
        <w:jc w:val="both"/>
        <w:rPr>
          <w:rFonts w:ascii="Palatino Linotype" w:hAnsi="Palatino Linotype"/>
          <w:color w:val="000000" w:themeColor="text1"/>
          <w:shd w:val="clear" w:color="auto" w:fill="FFFFFF"/>
          <w:lang w:eastAsia="es-MX"/>
        </w:rPr>
      </w:pPr>
    </w:p>
    <w:p w:rsidR="00E75068" w:rsidRPr="007A646F" w:rsidRDefault="00E75068" w:rsidP="00B9215F">
      <w:pPr>
        <w:spacing w:line="360" w:lineRule="auto"/>
        <w:ind w:right="49"/>
        <w:jc w:val="both"/>
        <w:rPr>
          <w:rFonts w:ascii="Palatino Linotype" w:hAnsi="Palatino Linotype"/>
          <w:b/>
          <w:color w:val="000000" w:themeColor="text1"/>
          <w:szCs w:val="17"/>
          <w:lang w:eastAsia="es-ES_tradnl"/>
        </w:rPr>
      </w:pPr>
      <w:r w:rsidRPr="007A646F">
        <w:rPr>
          <w:rFonts w:ascii="Palatino Linotype" w:hAnsi="Palatino Linotype" w:cs="Arial"/>
          <w:b/>
          <w:bCs/>
          <w:color w:val="000000" w:themeColor="text1"/>
          <w:sz w:val="28"/>
          <w:lang w:eastAsia="es-MX"/>
        </w:rPr>
        <w:t>QUINTO.</w:t>
      </w:r>
      <w:r w:rsidRPr="007A646F">
        <w:rPr>
          <w:rFonts w:ascii="Palatino Linotype" w:hAnsi="Palatino Linotype"/>
          <w:color w:val="000000" w:themeColor="text1"/>
          <w:szCs w:val="17"/>
          <w:lang w:eastAsia="es-ES_tradnl"/>
        </w:rPr>
        <w:t xml:space="preserve"> </w:t>
      </w:r>
      <w:r w:rsidRPr="007A646F">
        <w:rPr>
          <w:rFonts w:ascii="Palatino Linotype" w:hAnsi="Palatino Linotype"/>
          <w:b/>
          <w:color w:val="000000" w:themeColor="text1"/>
          <w:szCs w:val="17"/>
          <w:lang w:eastAsia="es-ES_tradnl"/>
        </w:rPr>
        <w:t>Notifíquese</w:t>
      </w:r>
      <w:r w:rsidRPr="007A646F">
        <w:rPr>
          <w:rFonts w:ascii="Palatino Linotype" w:hAnsi="Palatino Linotype"/>
          <w:color w:val="000000" w:themeColor="text1"/>
          <w:szCs w:val="17"/>
          <w:lang w:eastAsia="es-ES_tradnl"/>
        </w:rPr>
        <w:t xml:space="preserve"> a</w:t>
      </w:r>
      <w:r w:rsidR="006F0A93" w:rsidRPr="007A646F">
        <w:rPr>
          <w:rFonts w:ascii="Palatino Linotype" w:hAnsi="Palatino Linotype"/>
          <w:color w:val="000000" w:themeColor="text1"/>
          <w:szCs w:val="17"/>
          <w:lang w:eastAsia="es-ES_tradnl"/>
        </w:rPr>
        <w:t>l</w:t>
      </w:r>
      <w:r w:rsidRPr="007A646F">
        <w:rPr>
          <w:rFonts w:ascii="Palatino Linotype" w:hAnsi="Palatino Linotype"/>
          <w:color w:val="000000" w:themeColor="text1"/>
          <w:szCs w:val="17"/>
          <w:lang w:eastAsia="es-ES_tradnl"/>
        </w:rPr>
        <w:t xml:space="preserve"> </w:t>
      </w:r>
      <w:r w:rsidRPr="007A646F">
        <w:rPr>
          <w:rFonts w:ascii="Palatino Linotype" w:hAnsi="Palatino Linotype"/>
          <w:b/>
          <w:color w:val="000000" w:themeColor="text1"/>
          <w:szCs w:val="17"/>
          <w:lang w:eastAsia="es-ES_tradnl"/>
        </w:rPr>
        <w:t>RECURRENTE</w:t>
      </w:r>
      <w:r w:rsidRPr="007A646F">
        <w:rPr>
          <w:rFonts w:ascii="Palatino Linotype" w:hAnsi="Palatino Linotype"/>
          <w:color w:val="000000" w:themeColor="text1"/>
          <w:szCs w:val="17"/>
          <w:lang w:eastAsia="es-ES_tradnl"/>
        </w:rPr>
        <w:t xml:space="preserve"> la presente resolución</w:t>
      </w:r>
      <w:r w:rsidR="00BC7C75" w:rsidRPr="007A646F">
        <w:rPr>
          <w:rFonts w:ascii="Palatino Linotype" w:hAnsi="Palatino Linotype"/>
          <w:color w:val="000000" w:themeColor="text1"/>
          <w:szCs w:val="17"/>
          <w:lang w:eastAsia="es-ES_tradnl"/>
        </w:rPr>
        <w:t>; así como, el Informe Justificado.</w:t>
      </w:r>
    </w:p>
    <w:p w:rsidR="00E75068" w:rsidRPr="007A646F" w:rsidRDefault="00E75068" w:rsidP="00B9215F">
      <w:pPr>
        <w:widowControl w:val="0"/>
        <w:autoSpaceDE w:val="0"/>
        <w:autoSpaceDN w:val="0"/>
        <w:adjustRightInd w:val="0"/>
        <w:spacing w:line="360" w:lineRule="auto"/>
        <w:jc w:val="both"/>
        <w:rPr>
          <w:rFonts w:ascii="Palatino Linotype" w:eastAsiaTheme="minorEastAsia" w:hAnsi="Palatino Linotype"/>
          <w:color w:val="000000" w:themeColor="text1"/>
          <w:szCs w:val="17"/>
          <w:lang w:eastAsia="es-ES_tradnl"/>
        </w:rPr>
      </w:pPr>
    </w:p>
    <w:p w:rsidR="00E75068" w:rsidRPr="007A646F" w:rsidRDefault="00E75068" w:rsidP="00B9215F">
      <w:pPr>
        <w:spacing w:line="360" w:lineRule="auto"/>
        <w:ind w:right="49"/>
        <w:jc w:val="both"/>
        <w:rPr>
          <w:rFonts w:ascii="Palatino Linotype" w:hAnsi="Palatino Linotype"/>
          <w:color w:val="000000" w:themeColor="text1"/>
          <w:szCs w:val="17"/>
          <w:lang w:eastAsia="es-ES_tradnl"/>
        </w:rPr>
      </w:pPr>
      <w:r w:rsidRPr="007A646F">
        <w:rPr>
          <w:rFonts w:ascii="Palatino Linotype" w:hAnsi="Palatino Linotype" w:cs="Arial"/>
          <w:b/>
          <w:bCs/>
          <w:color w:val="000000" w:themeColor="text1"/>
          <w:sz w:val="28"/>
          <w:lang w:eastAsia="es-MX"/>
        </w:rPr>
        <w:t>SEXTO.</w:t>
      </w:r>
      <w:r w:rsidRPr="007A646F">
        <w:rPr>
          <w:rFonts w:ascii="Palatino Linotype" w:hAnsi="Palatino Linotype"/>
          <w:color w:val="000000" w:themeColor="text1"/>
          <w:szCs w:val="17"/>
          <w:lang w:eastAsia="es-ES_tradnl"/>
        </w:rPr>
        <w:t xml:space="preserve"> </w:t>
      </w:r>
      <w:r w:rsidRPr="007A646F">
        <w:rPr>
          <w:rFonts w:ascii="Palatino Linotype" w:hAnsi="Palatino Linotype"/>
          <w:b/>
          <w:color w:val="000000" w:themeColor="text1"/>
          <w:szCs w:val="17"/>
          <w:lang w:eastAsia="es-ES_tradnl"/>
        </w:rPr>
        <w:t>Hágase del conocimiento</w:t>
      </w:r>
      <w:r w:rsidRPr="007A646F">
        <w:rPr>
          <w:rFonts w:ascii="Palatino Linotype" w:hAnsi="Palatino Linotype"/>
          <w:color w:val="000000" w:themeColor="text1"/>
          <w:szCs w:val="17"/>
          <w:lang w:eastAsia="es-ES_tradnl"/>
        </w:rPr>
        <w:t xml:space="preserve"> a</w:t>
      </w:r>
      <w:r w:rsidR="006F0A93" w:rsidRPr="007A646F">
        <w:rPr>
          <w:rFonts w:ascii="Palatino Linotype" w:hAnsi="Palatino Linotype"/>
          <w:color w:val="000000" w:themeColor="text1"/>
          <w:szCs w:val="17"/>
          <w:lang w:eastAsia="es-ES_tradnl"/>
        </w:rPr>
        <w:t>l</w:t>
      </w:r>
      <w:r w:rsidRPr="007A646F">
        <w:rPr>
          <w:rFonts w:ascii="Palatino Linotype" w:hAnsi="Palatino Linotype"/>
          <w:color w:val="000000" w:themeColor="text1"/>
          <w:szCs w:val="17"/>
          <w:lang w:eastAsia="es-ES_tradnl"/>
        </w:rPr>
        <w:t xml:space="preserve"> </w:t>
      </w:r>
      <w:r w:rsidRPr="007A646F">
        <w:rPr>
          <w:rFonts w:ascii="Palatino Linotype" w:hAnsi="Palatino Linotype"/>
          <w:b/>
          <w:color w:val="000000" w:themeColor="text1"/>
          <w:szCs w:val="17"/>
          <w:lang w:eastAsia="es-ES_tradnl"/>
        </w:rPr>
        <w:t>RECURRENTE</w:t>
      </w:r>
      <w:r w:rsidRPr="007A646F">
        <w:rPr>
          <w:rFonts w:ascii="Palatino Linotype" w:hAnsi="Palatino Linotype"/>
          <w:color w:val="000000" w:themeColor="text1"/>
          <w:szCs w:val="17"/>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F27D1B" w:rsidRPr="007A646F" w:rsidRDefault="00F27D1B" w:rsidP="00B9215F">
      <w:pPr>
        <w:spacing w:line="360" w:lineRule="auto"/>
        <w:ind w:right="49"/>
        <w:jc w:val="both"/>
        <w:rPr>
          <w:rFonts w:ascii="Palatino Linotype" w:hAnsi="Palatino Linotype"/>
          <w:color w:val="000000" w:themeColor="text1"/>
          <w:szCs w:val="17"/>
          <w:lang w:eastAsia="es-ES_tradnl"/>
        </w:rPr>
      </w:pPr>
    </w:p>
    <w:p w:rsidR="00BC7C75" w:rsidRPr="00171962" w:rsidRDefault="00BC7C75" w:rsidP="00BC7C75">
      <w:pPr>
        <w:spacing w:line="360" w:lineRule="auto"/>
        <w:ind w:right="49"/>
        <w:jc w:val="both"/>
        <w:rPr>
          <w:rFonts w:ascii="Palatino Linotype" w:hAnsi="Palatino Linotype"/>
          <w:color w:val="000000" w:themeColor="text1"/>
          <w:szCs w:val="17"/>
          <w:lang w:eastAsia="es-ES_tradnl"/>
        </w:rPr>
      </w:pPr>
      <w:r w:rsidRPr="007A646F">
        <w:rPr>
          <w:rFonts w:ascii="Palatino Linotype" w:hAnsi="Palatino Linotype"/>
          <w:color w:val="000000" w:themeColor="text1"/>
          <w:szCs w:val="17"/>
          <w:lang w:eastAsia="es-ES_tradnl"/>
        </w:rPr>
        <w:t>Se dejan a salvo los derechos de la parte recurrente a efecto de presentar las solicitudes de acceso a la información pública que estime pertinentes.</w:t>
      </w:r>
    </w:p>
    <w:p w:rsidR="00BC7C75" w:rsidRPr="00B9215F" w:rsidRDefault="00BC7C75" w:rsidP="00B9215F">
      <w:pPr>
        <w:spacing w:line="360" w:lineRule="auto"/>
        <w:ind w:right="49"/>
        <w:jc w:val="both"/>
        <w:rPr>
          <w:rFonts w:ascii="Palatino Linotype" w:hAnsi="Palatino Linotype"/>
          <w:color w:val="000000" w:themeColor="text1"/>
          <w:szCs w:val="17"/>
          <w:lang w:eastAsia="es-ES_tradnl"/>
        </w:rPr>
      </w:pPr>
    </w:p>
    <w:p w:rsidR="00E75068" w:rsidRPr="00B9215F" w:rsidRDefault="00541E07" w:rsidP="00B9215F">
      <w:pPr>
        <w:spacing w:line="360" w:lineRule="auto"/>
        <w:jc w:val="both"/>
        <w:rPr>
          <w:rFonts w:ascii="Palatino Linotype" w:hAnsi="Palatino Linotype" w:cs="Arial"/>
          <w:color w:val="000000" w:themeColor="text1"/>
          <w:lang w:val="es-ES"/>
        </w:rPr>
      </w:pPr>
      <w:r>
        <w:rPr>
          <w:rFonts w:ascii="Palatino Linotype" w:hAnsi="Palatino Linotype" w:cs="Arial"/>
          <w:color w:val="000000" w:themeColor="text1"/>
          <w:lang w:val="es-ES"/>
        </w:rPr>
        <w:t xml:space="preserve">ASÍ LO RESUELVE, POR UNANIMIDAD </w:t>
      </w:r>
      <w:r w:rsidR="00E75068" w:rsidRPr="00B9215F">
        <w:rPr>
          <w:rFonts w:ascii="Palatino Linotype" w:hAnsi="Palatino Linotype" w:cs="Arial"/>
          <w:color w:val="000000" w:themeColor="text1"/>
          <w:lang w:val="es-ES"/>
        </w:rPr>
        <w:t>DE VOTOS EL PLENO DEL</w:t>
      </w:r>
      <w:r w:rsidR="00E75068" w:rsidRPr="00B9215F">
        <w:rPr>
          <w:rFonts w:ascii="Palatino Linotype" w:eastAsia="Arial Unicode MS" w:hAnsi="Palatino Linotype" w:cs="Arial"/>
          <w:color w:val="000000" w:themeColor="text1"/>
          <w:lang w:val="es-ES"/>
        </w:rPr>
        <w:t xml:space="preserve"> INSTITUTO DE </w:t>
      </w:r>
      <w:r w:rsidR="00E75068" w:rsidRPr="00B9215F">
        <w:rPr>
          <w:rFonts w:ascii="Palatino Linotype" w:hAnsi="Palatino Linotype"/>
          <w:color w:val="000000" w:themeColor="text1"/>
          <w:lang w:val="es-ES" w:eastAsia="en-US"/>
        </w:rPr>
        <w:t>TRANSPARENCIA</w:t>
      </w:r>
      <w:r w:rsidR="00E75068" w:rsidRPr="00B9215F">
        <w:rPr>
          <w:rFonts w:ascii="Palatino Linotype" w:eastAsia="Arial Unicode MS" w:hAnsi="Palatino Linotype" w:cs="Arial"/>
          <w:color w:val="000000" w:themeColor="text1"/>
          <w:lang w:val="es-ES"/>
        </w:rPr>
        <w:t>, ACCESO A LA INFORMACIÓN PÚBLICA Y PROTECCIÓN DE DATOS PERSONALES DEL ESTADO DE MÉXICO Y MUNICIPIOS</w:t>
      </w:r>
      <w:r w:rsidR="00E75068" w:rsidRPr="00B9215F">
        <w:rPr>
          <w:rFonts w:ascii="Palatino Linotype" w:hAnsi="Palatino Linotype" w:cs="Arial"/>
          <w:color w:val="000000" w:themeColor="text1"/>
          <w:lang w:val="es-ES"/>
        </w:rPr>
        <w:t>, CONFORMADO POR LOS COMISIONADOS ZULEMA MARTÍNEZ SÁNCHEZ</w:t>
      </w:r>
      <w:r w:rsidR="00E20934">
        <w:rPr>
          <w:rFonts w:ascii="Palatino Linotype" w:hAnsi="Palatino Linotype" w:cs="Arial"/>
          <w:color w:val="000000" w:themeColor="text1"/>
          <w:lang w:val="es-ES"/>
        </w:rPr>
        <w:t xml:space="preserve"> EMITIENDO OPINIÓN PARTICULAR</w:t>
      </w:r>
      <w:r w:rsidR="00E75068" w:rsidRPr="00B9215F">
        <w:rPr>
          <w:rFonts w:ascii="Palatino Linotype" w:hAnsi="Palatino Linotype" w:cs="Arial"/>
          <w:color w:val="000000" w:themeColor="text1"/>
          <w:lang w:val="es-ES"/>
        </w:rPr>
        <w:t xml:space="preserve">; EVA ABAID YAPUR; JOSÉ GUADALUPE LUNA </w:t>
      </w:r>
      <w:r w:rsidR="00E75068" w:rsidRPr="00541E07">
        <w:rPr>
          <w:rFonts w:ascii="Palatino Linotype" w:hAnsi="Palatino Linotype" w:cs="Arial"/>
          <w:color w:val="000000" w:themeColor="text1"/>
          <w:lang w:val="es-ES"/>
        </w:rPr>
        <w:t>HERNÁNDEZ, JAVIER MARTÍNEZ CRUZ Y LUIS GUSTAVO PARRA NORIEGA</w:t>
      </w:r>
      <w:r w:rsidR="00E20934">
        <w:rPr>
          <w:rFonts w:ascii="Palatino Linotype" w:hAnsi="Palatino Linotype" w:cs="Arial"/>
          <w:color w:val="000000" w:themeColor="text1"/>
          <w:lang w:val="es-ES"/>
        </w:rPr>
        <w:t xml:space="preserve"> EMITIENDO VOTO PARTICULAR</w:t>
      </w:r>
      <w:r w:rsidR="00E75068" w:rsidRPr="00541E07">
        <w:rPr>
          <w:rFonts w:ascii="Palatino Linotype" w:hAnsi="Palatino Linotype" w:cs="Arial"/>
          <w:color w:val="000000" w:themeColor="text1"/>
          <w:lang w:val="es-ES"/>
        </w:rPr>
        <w:t xml:space="preserve">; </w:t>
      </w:r>
      <w:r w:rsidR="00E75068" w:rsidRPr="00541E07">
        <w:rPr>
          <w:rFonts w:ascii="Palatino Linotype" w:hAnsi="Palatino Linotype" w:cs="Arial"/>
          <w:color w:val="000000" w:themeColor="text1"/>
          <w:shd w:val="clear" w:color="auto" w:fill="FFFFFF" w:themeFill="background1"/>
          <w:lang w:val="es-ES"/>
        </w:rPr>
        <w:t xml:space="preserve">EN LA DÉCIMA </w:t>
      </w:r>
      <w:r w:rsidRPr="00541E07">
        <w:rPr>
          <w:rFonts w:ascii="Palatino Linotype" w:hAnsi="Palatino Linotype" w:cs="Arial"/>
          <w:color w:val="000000" w:themeColor="text1"/>
          <w:shd w:val="clear" w:color="auto" w:fill="FFFFFF" w:themeFill="background1"/>
          <w:lang w:val="es-ES"/>
        </w:rPr>
        <w:t>OCTAVA</w:t>
      </w:r>
      <w:r w:rsidR="00AF354B" w:rsidRPr="00541E07">
        <w:rPr>
          <w:rFonts w:ascii="Palatino Linotype" w:hAnsi="Palatino Linotype" w:cs="Arial"/>
          <w:color w:val="000000" w:themeColor="text1"/>
          <w:shd w:val="clear" w:color="auto" w:fill="FFFFFF" w:themeFill="background1"/>
          <w:lang w:val="es-ES"/>
        </w:rPr>
        <w:t xml:space="preserve"> </w:t>
      </w:r>
      <w:r w:rsidRPr="00541E07">
        <w:rPr>
          <w:rFonts w:ascii="Palatino Linotype" w:hAnsi="Palatino Linotype" w:cs="Arial"/>
          <w:color w:val="000000" w:themeColor="text1"/>
          <w:lang w:val="es-ES"/>
        </w:rPr>
        <w:t>SESIÓN ORDINARIA CELEBRADA EL DIECISIETE</w:t>
      </w:r>
      <w:r w:rsidR="002101D8">
        <w:rPr>
          <w:rFonts w:ascii="Palatino Linotype" w:hAnsi="Palatino Linotype" w:cs="Arial"/>
          <w:color w:val="000000" w:themeColor="text1"/>
          <w:lang w:val="es-ES"/>
        </w:rPr>
        <w:t xml:space="preserve"> D</w:t>
      </w:r>
      <w:r w:rsidR="003F7A46" w:rsidRPr="00541E07">
        <w:rPr>
          <w:rFonts w:ascii="Palatino Linotype" w:hAnsi="Palatino Linotype" w:cs="Arial"/>
          <w:color w:val="000000" w:themeColor="text1"/>
          <w:lang w:val="es-ES"/>
        </w:rPr>
        <w:t>E SEPTIEMBRE D</w:t>
      </w:r>
      <w:r w:rsidR="00E75068" w:rsidRPr="00541E07">
        <w:rPr>
          <w:rFonts w:ascii="Palatino Linotype" w:hAnsi="Palatino Linotype" w:cs="Arial"/>
          <w:color w:val="000000" w:themeColor="text1"/>
          <w:lang w:val="es-ES"/>
        </w:rPr>
        <w:t>E DOS MIL VEINTE, ANTE EL SECRETARIO TÉCNICO DEL</w:t>
      </w:r>
      <w:r w:rsidR="00E75068" w:rsidRPr="00B9215F">
        <w:rPr>
          <w:rFonts w:ascii="Palatino Linotype" w:hAnsi="Palatino Linotype" w:cs="Arial"/>
          <w:color w:val="000000" w:themeColor="text1"/>
          <w:lang w:val="es-ES"/>
        </w:rPr>
        <w:t xml:space="preserve"> PLENO, </w:t>
      </w:r>
      <w:r w:rsidR="00E75068" w:rsidRPr="00B9215F">
        <w:rPr>
          <w:rFonts w:ascii="Palatino Linotype" w:eastAsia="Arial Unicode MS" w:hAnsi="Palatino Linotype" w:cs="Arial"/>
          <w:color w:val="000000" w:themeColor="text1"/>
          <w:lang w:val="es-ES"/>
        </w:rPr>
        <w:t>ALEXIS</w:t>
      </w:r>
      <w:r w:rsidR="00E75068" w:rsidRPr="00B9215F">
        <w:rPr>
          <w:rFonts w:ascii="Palatino Linotype" w:hAnsi="Palatino Linotype" w:cs="Arial"/>
          <w:color w:val="000000" w:themeColor="text1"/>
          <w:lang w:val="es-ES"/>
        </w:rPr>
        <w:t xml:space="preserve"> TAPIA RAMÍREZ.</w:t>
      </w:r>
    </w:p>
    <w:tbl>
      <w:tblPr>
        <w:tblW w:w="10368" w:type="dxa"/>
        <w:jc w:val="center"/>
        <w:tblLayout w:type="fixed"/>
        <w:tblLook w:val="04A0" w:firstRow="1" w:lastRow="0" w:firstColumn="1" w:lastColumn="0" w:noHBand="0" w:noVBand="1"/>
      </w:tblPr>
      <w:tblGrid>
        <w:gridCol w:w="10368"/>
      </w:tblGrid>
      <w:tr w:rsidR="00E75068" w:rsidRPr="00B9215F">
        <w:trPr>
          <w:jc w:val="center"/>
        </w:trPr>
        <w:tc>
          <w:tcPr>
            <w:tcW w:w="10368" w:type="dxa"/>
          </w:tcPr>
          <w:p w:rsidR="00E75068" w:rsidRPr="00B9215F" w:rsidRDefault="00E75068" w:rsidP="00BC7C75">
            <w:pPr>
              <w:jc w:val="center"/>
              <w:rPr>
                <w:rFonts w:ascii="Palatino Linotype" w:eastAsiaTheme="minorEastAsia" w:hAnsi="Palatino Linotype" w:cs="Arial"/>
                <w:b/>
                <w:color w:val="000000" w:themeColor="text1"/>
                <w:lang w:val="es-ES_tradnl"/>
              </w:rPr>
            </w:pPr>
          </w:p>
          <w:p w:rsidR="00AB6CE1" w:rsidRDefault="00AB6CE1" w:rsidP="00BC7C75">
            <w:pPr>
              <w:jc w:val="center"/>
              <w:rPr>
                <w:rFonts w:ascii="Palatino Linotype" w:eastAsiaTheme="minorEastAsia" w:hAnsi="Palatino Linotype" w:cs="Arial"/>
                <w:b/>
                <w:color w:val="000000" w:themeColor="text1"/>
                <w:lang w:val="es-ES_tradnl"/>
              </w:rPr>
            </w:pPr>
          </w:p>
          <w:p w:rsidR="00AB6CE1" w:rsidRDefault="00AB6CE1"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tbl>
            <w:tblPr>
              <w:tblW w:w="10365" w:type="dxa"/>
              <w:jc w:val="center"/>
              <w:tblLayout w:type="fixed"/>
              <w:tblLook w:val="04A0" w:firstRow="1" w:lastRow="0" w:firstColumn="1" w:lastColumn="0" w:noHBand="0" w:noVBand="1"/>
            </w:tblPr>
            <w:tblGrid>
              <w:gridCol w:w="5182"/>
              <w:gridCol w:w="5183"/>
            </w:tblGrid>
            <w:tr w:rsidR="00E75068" w:rsidRPr="00B9215F">
              <w:trPr>
                <w:jc w:val="center"/>
              </w:trPr>
              <w:tc>
                <w:tcPr>
                  <w:tcW w:w="10365" w:type="dxa"/>
                  <w:gridSpan w:val="2"/>
                  <w:shd w:val="clear" w:color="auto" w:fill="auto"/>
                </w:tcPr>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Zulema Martínez Sánchez</w:t>
                  </w:r>
                </w:p>
                <w:p w:rsidR="00E75068" w:rsidRPr="00AB6CE1" w:rsidRDefault="00E75068" w:rsidP="00BC7C75">
                  <w:pPr>
                    <w:jc w:val="center"/>
                    <w:rPr>
                      <w:rFonts w:ascii="Palatino Linotype" w:eastAsiaTheme="minorEastAsia" w:hAnsi="Palatino Linotype" w:cs="Arial"/>
                      <w:color w:val="000000" w:themeColor="text1"/>
                      <w:lang w:val="es-ES_tradnl"/>
                    </w:rPr>
                  </w:pPr>
                  <w:r w:rsidRPr="00AB6CE1">
                    <w:rPr>
                      <w:rFonts w:ascii="Palatino Linotype" w:eastAsiaTheme="minorEastAsia" w:hAnsi="Palatino Linotype" w:cs="Arial"/>
                      <w:color w:val="000000" w:themeColor="text1"/>
                      <w:lang w:val="es-ES_tradnl"/>
                    </w:rPr>
                    <w:t>Comisionada Presidenta</w:t>
                  </w: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 xml:space="preserve">(RÚBRICA) </w:t>
                  </w:r>
                </w:p>
              </w:tc>
            </w:tr>
            <w:tr w:rsidR="00E75068" w:rsidRPr="00B9215F">
              <w:trPr>
                <w:jc w:val="center"/>
              </w:trPr>
              <w:tc>
                <w:tcPr>
                  <w:tcW w:w="5182" w:type="dxa"/>
                  <w:shd w:val="clear" w:color="auto" w:fill="auto"/>
                </w:tcPr>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AB6CE1" w:rsidRDefault="00AB6CE1"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 xml:space="preserve">Eva </w:t>
                  </w:r>
                  <w:proofErr w:type="spellStart"/>
                  <w:r w:rsidRPr="00B9215F">
                    <w:rPr>
                      <w:rFonts w:ascii="Palatino Linotype" w:eastAsiaTheme="minorEastAsia" w:hAnsi="Palatino Linotype" w:cs="Arial"/>
                      <w:b/>
                      <w:color w:val="000000" w:themeColor="text1"/>
                      <w:lang w:val="es-ES_tradnl"/>
                    </w:rPr>
                    <w:t>Abaid</w:t>
                  </w:r>
                  <w:proofErr w:type="spellEnd"/>
                  <w:r w:rsidRPr="00B9215F">
                    <w:rPr>
                      <w:rFonts w:ascii="Palatino Linotype" w:eastAsiaTheme="minorEastAsia" w:hAnsi="Palatino Linotype" w:cs="Arial"/>
                      <w:b/>
                      <w:color w:val="000000" w:themeColor="text1"/>
                      <w:lang w:val="es-ES_tradnl"/>
                    </w:rPr>
                    <w:t xml:space="preserve"> </w:t>
                  </w:r>
                  <w:proofErr w:type="spellStart"/>
                  <w:r w:rsidRPr="00B9215F">
                    <w:rPr>
                      <w:rFonts w:ascii="Palatino Linotype" w:eastAsiaTheme="minorEastAsia" w:hAnsi="Palatino Linotype" w:cs="Arial"/>
                      <w:b/>
                      <w:color w:val="000000" w:themeColor="text1"/>
                      <w:lang w:val="es-ES_tradnl"/>
                    </w:rPr>
                    <w:t>Yapur</w:t>
                  </w:r>
                  <w:proofErr w:type="spellEnd"/>
                </w:p>
                <w:p w:rsidR="00E75068" w:rsidRPr="00AB6CE1" w:rsidRDefault="00E75068" w:rsidP="00BC7C75">
                  <w:pPr>
                    <w:jc w:val="center"/>
                    <w:rPr>
                      <w:rFonts w:ascii="Palatino Linotype" w:eastAsiaTheme="minorEastAsia" w:hAnsi="Palatino Linotype" w:cs="Arial"/>
                      <w:color w:val="000000" w:themeColor="text1"/>
                      <w:lang w:val="es-ES_tradnl"/>
                    </w:rPr>
                  </w:pPr>
                  <w:r w:rsidRPr="00AB6CE1">
                    <w:rPr>
                      <w:rFonts w:ascii="Palatino Linotype" w:eastAsiaTheme="minorEastAsia" w:hAnsi="Palatino Linotype" w:cs="Arial"/>
                      <w:color w:val="000000" w:themeColor="text1"/>
                      <w:lang w:val="es-ES_tradnl"/>
                    </w:rPr>
                    <w:t>Comisionada</w:t>
                  </w: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(RÚBRICA)</w:t>
                  </w:r>
                </w:p>
              </w:tc>
              <w:tc>
                <w:tcPr>
                  <w:tcW w:w="5183" w:type="dxa"/>
                  <w:shd w:val="clear" w:color="auto" w:fill="auto"/>
                </w:tcPr>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AB6CE1" w:rsidRDefault="00AB6CE1"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José Guadalupe Luna Hernández</w:t>
                  </w:r>
                </w:p>
                <w:p w:rsidR="00E75068" w:rsidRPr="00AB6CE1" w:rsidRDefault="00E75068" w:rsidP="00BC7C75">
                  <w:pPr>
                    <w:jc w:val="center"/>
                    <w:rPr>
                      <w:rFonts w:ascii="Palatino Linotype" w:eastAsiaTheme="minorEastAsia" w:hAnsi="Palatino Linotype" w:cs="Arial"/>
                      <w:color w:val="000000" w:themeColor="text1"/>
                      <w:lang w:val="es-ES_tradnl"/>
                    </w:rPr>
                  </w:pPr>
                  <w:r w:rsidRPr="00AB6CE1">
                    <w:rPr>
                      <w:rFonts w:ascii="Palatino Linotype" w:eastAsiaTheme="minorEastAsia" w:hAnsi="Palatino Linotype" w:cs="Arial"/>
                      <w:color w:val="000000" w:themeColor="text1"/>
                      <w:lang w:val="es-ES_tradnl"/>
                    </w:rPr>
                    <w:t>Comisionado</w:t>
                  </w: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(RÚBRICA)</w:t>
                  </w:r>
                </w:p>
              </w:tc>
            </w:tr>
            <w:tr w:rsidR="00E75068" w:rsidRPr="00B9215F">
              <w:trPr>
                <w:jc w:val="center"/>
              </w:trPr>
              <w:tc>
                <w:tcPr>
                  <w:tcW w:w="5182" w:type="dxa"/>
                  <w:shd w:val="clear" w:color="auto" w:fill="auto"/>
                </w:tcPr>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Javier Martínez Cruz</w:t>
                  </w:r>
                </w:p>
                <w:p w:rsidR="00E75068" w:rsidRPr="00731954" w:rsidRDefault="00E75068" w:rsidP="00BC7C75">
                  <w:pPr>
                    <w:jc w:val="center"/>
                    <w:rPr>
                      <w:rFonts w:ascii="Palatino Linotype" w:eastAsiaTheme="minorEastAsia" w:hAnsi="Palatino Linotype" w:cs="Arial"/>
                      <w:color w:val="000000" w:themeColor="text1"/>
                      <w:lang w:val="es-ES_tradnl"/>
                    </w:rPr>
                  </w:pPr>
                  <w:r w:rsidRPr="00731954">
                    <w:rPr>
                      <w:rFonts w:ascii="Palatino Linotype" w:eastAsiaTheme="minorEastAsia" w:hAnsi="Palatino Linotype" w:cs="Arial"/>
                      <w:color w:val="000000" w:themeColor="text1"/>
                      <w:lang w:val="es-ES_tradnl"/>
                    </w:rPr>
                    <w:t>Comisionado</w:t>
                  </w: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(RÚBRICA)</w:t>
                  </w:r>
                </w:p>
              </w:tc>
              <w:tc>
                <w:tcPr>
                  <w:tcW w:w="5183" w:type="dxa"/>
                  <w:shd w:val="clear" w:color="auto" w:fill="auto"/>
                </w:tcPr>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Luis Gustavo Parra Noriega</w:t>
                  </w:r>
                </w:p>
                <w:p w:rsidR="00E75068" w:rsidRPr="00731954" w:rsidRDefault="00E75068" w:rsidP="00BC7C75">
                  <w:pPr>
                    <w:jc w:val="center"/>
                    <w:rPr>
                      <w:rFonts w:ascii="Palatino Linotype" w:eastAsiaTheme="minorEastAsia" w:hAnsi="Palatino Linotype" w:cs="Arial"/>
                      <w:color w:val="000000" w:themeColor="text1"/>
                      <w:lang w:val="es-ES_tradnl"/>
                    </w:rPr>
                  </w:pPr>
                  <w:r w:rsidRPr="00731954">
                    <w:rPr>
                      <w:rFonts w:ascii="Palatino Linotype" w:eastAsiaTheme="minorEastAsia" w:hAnsi="Palatino Linotype" w:cs="Arial"/>
                      <w:color w:val="000000" w:themeColor="text1"/>
                      <w:lang w:val="es-ES_tradnl"/>
                    </w:rPr>
                    <w:t>Comisionado</w:t>
                  </w: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(RÚBRICA)</w:t>
                  </w:r>
                </w:p>
              </w:tc>
            </w:tr>
            <w:tr w:rsidR="00E75068" w:rsidRPr="00B9215F">
              <w:trPr>
                <w:jc w:val="center"/>
              </w:trPr>
              <w:tc>
                <w:tcPr>
                  <w:tcW w:w="10365" w:type="dxa"/>
                  <w:gridSpan w:val="2"/>
                  <w:shd w:val="clear" w:color="auto" w:fill="auto"/>
                </w:tcPr>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731954" w:rsidRDefault="00731954"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Alexis Tapia Ramírez</w:t>
                  </w:r>
                </w:p>
                <w:p w:rsidR="00E75068" w:rsidRPr="00731954" w:rsidRDefault="00E75068" w:rsidP="00BC7C75">
                  <w:pPr>
                    <w:jc w:val="center"/>
                    <w:rPr>
                      <w:rFonts w:ascii="Palatino Linotype" w:eastAsiaTheme="minorEastAsia" w:hAnsi="Palatino Linotype" w:cs="Arial"/>
                      <w:color w:val="000000" w:themeColor="text1"/>
                      <w:lang w:val="es-ES_tradnl"/>
                    </w:rPr>
                  </w:pPr>
                  <w:r w:rsidRPr="00731954">
                    <w:rPr>
                      <w:rFonts w:ascii="Palatino Linotype" w:eastAsiaTheme="minorEastAsia" w:hAnsi="Palatino Linotype" w:cs="Arial"/>
                      <w:color w:val="000000" w:themeColor="text1"/>
                      <w:lang w:val="es-ES_tradnl"/>
                    </w:rPr>
                    <w:t>Secretario Técnico del Pleno</w:t>
                  </w:r>
                </w:p>
                <w:p w:rsidR="00E75068" w:rsidRPr="00B9215F" w:rsidRDefault="00E75068" w:rsidP="00BC7C75">
                  <w:pPr>
                    <w:jc w:val="center"/>
                    <w:rPr>
                      <w:rFonts w:ascii="Palatino Linotype" w:eastAsiaTheme="minorEastAsia" w:hAnsi="Palatino Linotype" w:cs="Arial"/>
                      <w:b/>
                      <w:color w:val="000000" w:themeColor="text1"/>
                      <w:lang w:val="es-ES_tradnl"/>
                    </w:rPr>
                  </w:pPr>
                  <w:r w:rsidRPr="00B9215F">
                    <w:rPr>
                      <w:rFonts w:ascii="Palatino Linotype" w:eastAsiaTheme="minorEastAsia" w:hAnsi="Palatino Linotype" w:cs="Arial"/>
                      <w:b/>
                      <w:color w:val="000000" w:themeColor="text1"/>
                      <w:lang w:val="es-ES_tradnl"/>
                    </w:rPr>
                    <w:t xml:space="preserve">(RÚBRICA) </w:t>
                  </w:r>
                </w:p>
                <w:p w:rsidR="008F6701" w:rsidRPr="00B9215F" w:rsidRDefault="008F6701" w:rsidP="00BC7C75">
                  <w:pPr>
                    <w:jc w:val="center"/>
                    <w:rPr>
                      <w:rFonts w:ascii="Palatino Linotype" w:eastAsiaTheme="minorEastAsia" w:hAnsi="Palatino Linotype" w:cs="Arial"/>
                      <w:b/>
                      <w:color w:val="000000" w:themeColor="text1"/>
                      <w:lang w:val="es-ES_tradnl"/>
                    </w:rPr>
                  </w:pPr>
                </w:p>
              </w:tc>
            </w:tr>
          </w:tbl>
          <w:p w:rsidR="00E75068" w:rsidRPr="00B9215F" w:rsidRDefault="00E75068" w:rsidP="00BC7C75">
            <w:pPr>
              <w:jc w:val="center"/>
              <w:rPr>
                <w:rFonts w:ascii="Palatino Linotype" w:eastAsiaTheme="minorEastAsia" w:hAnsi="Palatino Linotype" w:cs="Arial"/>
                <w:b/>
                <w:color w:val="000000" w:themeColor="text1"/>
                <w:lang w:val="es-ES_tradnl"/>
              </w:rPr>
            </w:pPr>
          </w:p>
        </w:tc>
      </w:tr>
    </w:tbl>
    <w:p w:rsidR="00731954" w:rsidRDefault="00731954" w:rsidP="00BC7C75">
      <w:pPr>
        <w:jc w:val="both"/>
        <w:rPr>
          <w:rFonts w:ascii="Palatino Linotype" w:eastAsiaTheme="minorEastAsia" w:hAnsi="Palatino Linotype" w:cs="Arial"/>
          <w:color w:val="000000" w:themeColor="text1"/>
          <w:sz w:val="20"/>
          <w:szCs w:val="20"/>
          <w:lang w:val="es-ES_tradnl"/>
        </w:rPr>
      </w:pPr>
    </w:p>
    <w:p w:rsidR="00731954" w:rsidRDefault="00731954" w:rsidP="00BC7C75">
      <w:pPr>
        <w:jc w:val="both"/>
        <w:rPr>
          <w:rFonts w:ascii="Palatino Linotype" w:eastAsiaTheme="minorEastAsia" w:hAnsi="Palatino Linotype" w:cs="Arial"/>
          <w:color w:val="000000" w:themeColor="text1"/>
          <w:sz w:val="20"/>
          <w:szCs w:val="20"/>
          <w:lang w:val="es-ES_tradnl"/>
        </w:rPr>
      </w:pPr>
    </w:p>
    <w:p w:rsidR="00731954" w:rsidRDefault="00731954" w:rsidP="00BC7C75">
      <w:pPr>
        <w:jc w:val="both"/>
        <w:rPr>
          <w:rFonts w:ascii="Palatino Linotype" w:eastAsiaTheme="minorEastAsia" w:hAnsi="Palatino Linotype" w:cs="Arial"/>
          <w:color w:val="000000" w:themeColor="text1"/>
          <w:sz w:val="20"/>
          <w:szCs w:val="20"/>
          <w:lang w:val="es-ES_tradnl"/>
        </w:rPr>
      </w:pPr>
    </w:p>
    <w:p w:rsidR="00E75068" w:rsidRPr="00B9215F" w:rsidRDefault="00E75068" w:rsidP="00BC7C75">
      <w:pPr>
        <w:jc w:val="both"/>
        <w:rPr>
          <w:rFonts w:ascii="Palatino Linotype" w:eastAsiaTheme="minorEastAsia" w:hAnsi="Palatino Linotype" w:cs="Arial"/>
          <w:color w:val="000000" w:themeColor="text1"/>
          <w:sz w:val="20"/>
          <w:szCs w:val="20"/>
          <w:lang w:val="es-ES_tradnl"/>
        </w:rPr>
      </w:pPr>
      <w:r w:rsidRPr="00B9215F">
        <w:rPr>
          <w:rFonts w:ascii="Palatino Linotype" w:eastAsiaTheme="minorEastAsia" w:hAnsi="Palatino Linotype" w:cs="Arial"/>
          <w:color w:val="000000" w:themeColor="text1"/>
          <w:sz w:val="20"/>
          <w:szCs w:val="20"/>
          <w:lang w:val="es-ES_tradnl"/>
        </w:rPr>
        <w:t xml:space="preserve">Esta hoja corresponde a la resolución de </w:t>
      </w:r>
      <w:r w:rsidR="00B42B49">
        <w:rPr>
          <w:rFonts w:ascii="Palatino Linotype" w:eastAsiaTheme="minorEastAsia" w:hAnsi="Palatino Linotype" w:cs="Arial"/>
          <w:color w:val="000000" w:themeColor="text1"/>
          <w:sz w:val="20"/>
          <w:szCs w:val="20"/>
          <w:lang w:val="es-ES_tradnl"/>
        </w:rPr>
        <w:t>diecisiete</w:t>
      </w:r>
      <w:r w:rsidR="00AF354B" w:rsidRPr="00B9215F">
        <w:rPr>
          <w:rFonts w:ascii="Palatino Linotype" w:eastAsiaTheme="minorEastAsia" w:hAnsi="Palatino Linotype" w:cs="Arial"/>
          <w:color w:val="000000" w:themeColor="text1"/>
          <w:sz w:val="20"/>
          <w:szCs w:val="20"/>
          <w:lang w:val="es-ES_tradnl"/>
        </w:rPr>
        <w:t xml:space="preserve"> </w:t>
      </w:r>
      <w:r w:rsidR="003F7A46" w:rsidRPr="00B9215F">
        <w:rPr>
          <w:rFonts w:ascii="Palatino Linotype" w:eastAsiaTheme="minorEastAsia" w:hAnsi="Palatino Linotype" w:cs="Arial"/>
          <w:color w:val="000000" w:themeColor="text1"/>
          <w:sz w:val="20"/>
          <w:szCs w:val="20"/>
          <w:lang w:val="es-ES_tradnl"/>
        </w:rPr>
        <w:t xml:space="preserve">de septiembre </w:t>
      </w:r>
      <w:r w:rsidRPr="00B9215F">
        <w:rPr>
          <w:rFonts w:ascii="Palatino Linotype" w:eastAsiaTheme="minorEastAsia" w:hAnsi="Palatino Linotype" w:cs="Arial"/>
          <w:color w:val="000000" w:themeColor="text1"/>
          <w:sz w:val="20"/>
          <w:szCs w:val="20"/>
          <w:lang w:val="es-ES_tradnl"/>
        </w:rPr>
        <w:t>de dos mil veinte, emitida en el recurso de revisión número 0</w:t>
      </w:r>
      <w:r w:rsidR="00AF354B" w:rsidRPr="00B9215F">
        <w:rPr>
          <w:rFonts w:ascii="Palatino Linotype" w:eastAsiaTheme="minorEastAsia" w:hAnsi="Palatino Linotype" w:cs="Arial"/>
          <w:color w:val="000000" w:themeColor="text1"/>
          <w:sz w:val="20"/>
          <w:szCs w:val="20"/>
          <w:lang w:val="es-ES_tradnl"/>
        </w:rPr>
        <w:t>1602/</w:t>
      </w:r>
      <w:r w:rsidRPr="00B9215F">
        <w:rPr>
          <w:rFonts w:ascii="Palatino Linotype" w:eastAsiaTheme="minorEastAsia" w:hAnsi="Palatino Linotype" w:cs="Arial"/>
          <w:color w:val="000000" w:themeColor="text1"/>
          <w:sz w:val="20"/>
          <w:szCs w:val="20"/>
          <w:lang w:val="es-ES_tradnl"/>
        </w:rPr>
        <w:t>INFOEM/IP/RR/2020.</w:t>
      </w:r>
    </w:p>
    <w:p w:rsidR="00C34EFF" w:rsidRPr="00B9215F" w:rsidRDefault="00E75068" w:rsidP="00BC7C75">
      <w:pPr>
        <w:jc w:val="both"/>
        <w:rPr>
          <w:rFonts w:ascii="Palatino Linotype" w:hAnsi="Palatino Linotype"/>
        </w:rPr>
      </w:pPr>
      <w:r w:rsidRPr="00B9215F">
        <w:rPr>
          <w:rFonts w:ascii="Palatino Linotype" w:eastAsiaTheme="minorEastAsia" w:hAnsi="Palatino Linotype" w:cs="Arial"/>
          <w:color w:val="000000" w:themeColor="text1"/>
          <w:sz w:val="20"/>
          <w:szCs w:val="20"/>
          <w:lang w:val="es-ES_tradnl"/>
        </w:rPr>
        <w:t xml:space="preserve">YSM/RPG </w:t>
      </w:r>
    </w:p>
    <w:sectPr w:rsidR="00C34EFF" w:rsidRPr="00B9215F" w:rsidSect="006957B1">
      <w:headerReference w:type="even" r:id="rId86"/>
      <w:headerReference w:type="default" r:id="rId87"/>
      <w:footerReference w:type="default" r:id="rId88"/>
      <w:headerReference w:type="first" r:id="rId89"/>
      <w:footerReference w:type="first" r:id="rId90"/>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2B49" w:rsidRDefault="00B42B49" w:rsidP="00C80F8C">
      <w:r>
        <w:separator/>
      </w:r>
    </w:p>
  </w:endnote>
  <w:endnote w:type="continuationSeparator" w:id="0">
    <w:p w:rsidR="00B42B49" w:rsidRDefault="00B42B49"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2B49" w:rsidRPr="0010196A" w:rsidRDefault="00B42B49" w:rsidP="00E573F7">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0033762B"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0033762B" w:rsidRPr="0010196A">
      <w:rPr>
        <w:rFonts w:ascii="Palatino Linotype" w:hAnsi="Palatino Linotype" w:cs="Arial"/>
        <w:bCs/>
        <w:sz w:val="22"/>
        <w:szCs w:val="22"/>
      </w:rPr>
      <w:fldChar w:fldCharType="separate"/>
    </w:r>
    <w:r w:rsidR="00BA79E9">
      <w:rPr>
        <w:rFonts w:ascii="Palatino Linotype" w:hAnsi="Palatino Linotype" w:cs="Arial"/>
        <w:bCs/>
        <w:noProof/>
        <w:sz w:val="22"/>
        <w:szCs w:val="22"/>
      </w:rPr>
      <w:t>109</w:t>
    </w:r>
    <w:r w:rsidR="0033762B"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0033762B"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0033762B" w:rsidRPr="0010196A">
      <w:rPr>
        <w:rFonts w:ascii="Palatino Linotype" w:hAnsi="Palatino Linotype" w:cs="Arial"/>
        <w:bCs/>
        <w:sz w:val="22"/>
        <w:szCs w:val="22"/>
      </w:rPr>
      <w:fldChar w:fldCharType="separate"/>
    </w:r>
    <w:r w:rsidR="00BA79E9">
      <w:rPr>
        <w:rFonts w:ascii="Palatino Linotype" w:hAnsi="Palatino Linotype" w:cs="Arial"/>
        <w:bCs/>
        <w:noProof/>
        <w:sz w:val="22"/>
        <w:szCs w:val="22"/>
      </w:rPr>
      <w:t>120</w:t>
    </w:r>
    <w:r w:rsidR="0033762B"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2B49" w:rsidRPr="0010196A" w:rsidRDefault="00B42B49" w:rsidP="005319F2">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0033762B"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0033762B" w:rsidRPr="0010196A">
      <w:rPr>
        <w:rFonts w:ascii="Palatino Linotype" w:hAnsi="Palatino Linotype" w:cs="Arial"/>
        <w:bCs/>
        <w:sz w:val="22"/>
        <w:szCs w:val="22"/>
      </w:rPr>
      <w:fldChar w:fldCharType="separate"/>
    </w:r>
    <w:r w:rsidR="00BA79E9">
      <w:rPr>
        <w:rFonts w:ascii="Palatino Linotype" w:hAnsi="Palatino Linotype" w:cs="Arial"/>
        <w:bCs/>
        <w:noProof/>
        <w:sz w:val="22"/>
        <w:szCs w:val="22"/>
      </w:rPr>
      <w:t>1</w:t>
    </w:r>
    <w:r w:rsidR="0033762B"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0033762B"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0033762B" w:rsidRPr="0010196A">
      <w:rPr>
        <w:rFonts w:ascii="Palatino Linotype" w:hAnsi="Palatino Linotype" w:cs="Arial"/>
        <w:bCs/>
        <w:sz w:val="22"/>
        <w:szCs w:val="22"/>
      </w:rPr>
      <w:fldChar w:fldCharType="separate"/>
    </w:r>
    <w:r w:rsidR="00BA79E9">
      <w:rPr>
        <w:rFonts w:ascii="Palatino Linotype" w:hAnsi="Palatino Linotype" w:cs="Arial"/>
        <w:bCs/>
        <w:noProof/>
        <w:sz w:val="22"/>
        <w:szCs w:val="22"/>
      </w:rPr>
      <w:t>120</w:t>
    </w:r>
    <w:r w:rsidR="0033762B"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2B49" w:rsidRDefault="00B42B49" w:rsidP="00C80F8C">
      <w:r>
        <w:separator/>
      </w:r>
    </w:p>
  </w:footnote>
  <w:footnote w:type="continuationSeparator" w:id="0">
    <w:p w:rsidR="00B42B49" w:rsidRDefault="00B42B49" w:rsidP="00C80F8C">
      <w:r>
        <w:continuationSeparator/>
      </w:r>
    </w:p>
  </w:footnote>
  <w:footnote w:id="1">
    <w:p w:rsidR="00B42B49" w:rsidRPr="008C2466" w:rsidRDefault="00B42B49" w:rsidP="00B909BE">
      <w:pPr>
        <w:pStyle w:val="Textonotapie"/>
        <w:jc w:val="both"/>
        <w:rPr>
          <w:rFonts w:ascii="Palatino Linotype" w:hAnsi="Palatino Linotype"/>
          <w:sz w:val="16"/>
        </w:rPr>
      </w:pPr>
      <w:r>
        <w:rPr>
          <w:rStyle w:val="Refdenotaalpie"/>
        </w:rPr>
        <w:footnoteRef/>
      </w:r>
      <w:r>
        <w:t xml:space="preserve"> </w:t>
      </w:r>
      <w:r w:rsidRPr="008C2466">
        <w:rPr>
          <w:rFonts w:ascii="Palatino Linotype" w:hAnsi="Palatino Linotype"/>
          <w:b/>
          <w:sz w:val="18"/>
        </w:rPr>
        <w:t>Artículo 93.-</w:t>
      </w:r>
      <w:r w:rsidRPr="008C2466">
        <w:rPr>
          <w:rFonts w:ascii="Palatino Linotype" w:hAnsi="Palatino Linotype"/>
          <w:sz w:val="18"/>
        </w:rPr>
        <w:t xml:space="preserve"> Será </w:t>
      </w:r>
      <w:r w:rsidRPr="008C2466">
        <w:rPr>
          <w:rFonts w:ascii="Palatino Linotype" w:hAnsi="Palatino Linotype"/>
          <w:b/>
          <w:sz w:val="18"/>
        </w:rPr>
        <w:t>atribución de la Comisaría General de Seguridad Pública y Tránsito</w:t>
      </w:r>
      <w:r w:rsidRPr="008C2466">
        <w:rPr>
          <w:rFonts w:ascii="Palatino Linotype" w:hAnsi="Palatino Linotype"/>
          <w:sz w:val="18"/>
        </w:rPr>
        <w:t xml:space="preserve">, la Coordinación Municipal de Protección Civil y Bomberos, del Sistema Municipal para el Desarrollo Integral de la Familia de Cuautitlán Izcalli y del Instituto Municipal para la Igualdad entre Mujeres y Hombres, como </w:t>
      </w:r>
      <w:r w:rsidRPr="008C2466">
        <w:rPr>
          <w:rFonts w:ascii="Palatino Linotype" w:hAnsi="Palatino Linotype"/>
          <w:b/>
          <w:sz w:val="18"/>
        </w:rPr>
        <w:t>instancias que atienden de primer contacto a mujeres víctimas de violencia</w:t>
      </w:r>
      <w:r w:rsidRPr="008C2466">
        <w:rPr>
          <w:rFonts w:ascii="Palatino Linotype" w:hAnsi="Palatino Linotype"/>
          <w:sz w:val="18"/>
        </w:rPr>
        <w:t xml:space="preserve">, </w:t>
      </w:r>
      <w:r w:rsidRPr="00FD00F7">
        <w:rPr>
          <w:rFonts w:ascii="Palatino Linotype" w:hAnsi="Palatino Linotype"/>
          <w:b/>
          <w:sz w:val="18"/>
        </w:rPr>
        <w:t>alimentar el Banco de Datos</w:t>
      </w:r>
      <w:r w:rsidRPr="008C2466">
        <w:rPr>
          <w:rFonts w:ascii="Palatino Linotype" w:hAnsi="Palatino Linotype"/>
          <w:sz w:val="18"/>
        </w:rPr>
        <w:t xml:space="preserve"> de Información del Estado de México sobre datos de violencia contra las mujeres. Así como la atribución de supervisar la captura de dichos datos al Sistema Municipal para la Igualdad de Trato y Oportunidades entre Mujeres y Hombres y para Prevenir, Atender, Sancionar y Erradicar la Violencia contra las Mujeres de Cuautitlán Izcalli, Estado de México.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2B49" w:rsidRDefault="00BA79E9">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53"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2B49" w:rsidRPr="0010196A" w:rsidRDefault="00BA79E9" w:rsidP="00354355">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4" type="#_x0000_t75" style="position:absolute;margin-left:0;margin-top:0;width:540pt;height:10in;z-index:-251656192;mso-position-horizontal:center;mso-position-horizontal-relative:margin;mso-position-vertical:center;mso-position-vertical-relative:margin" o:allowincell="f">
          <v:imagedata r:id="rId1" o:title="RESOLUCIÓN"/>
          <w10:wrap anchorx="margin" anchory="margin"/>
        </v:shape>
      </w:pict>
    </w:r>
  </w:p>
  <w:tbl>
    <w:tblPr>
      <w:tblW w:w="9534" w:type="dxa"/>
      <w:tblInd w:w="-142" w:type="dxa"/>
      <w:tblLayout w:type="fixed"/>
      <w:tblLook w:val="04A0" w:firstRow="1" w:lastRow="0" w:firstColumn="1" w:lastColumn="0" w:noHBand="0" w:noVBand="1"/>
    </w:tblPr>
    <w:tblGrid>
      <w:gridCol w:w="3261"/>
      <w:gridCol w:w="2551"/>
      <w:gridCol w:w="3722"/>
    </w:tblGrid>
    <w:tr w:rsidR="00B42B49" w:rsidRPr="008F2CCC">
      <w:tc>
        <w:tcPr>
          <w:tcW w:w="3261" w:type="dxa"/>
          <w:vMerge w:val="restart"/>
        </w:tcPr>
        <w:p w:rsidR="00B42B49" w:rsidRPr="008F2CCC" w:rsidRDefault="00B42B49" w:rsidP="00070856">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rsidR="00B42B49" w:rsidRPr="00664658" w:rsidRDefault="00B42B49"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722" w:type="dxa"/>
          <w:shd w:val="clear" w:color="auto" w:fill="auto"/>
          <w:vAlign w:val="center"/>
        </w:tcPr>
        <w:p w:rsidR="00B42B49" w:rsidRPr="00664658" w:rsidRDefault="00B42B49" w:rsidP="00312D47">
          <w:pPr>
            <w:jc w:val="both"/>
            <w:rPr>
              <w:rFonts w:ascii="Palatino Linotype" w:hAnsi="Palatino Linotype"/>
              <w:b/>
              <w:sz w:val="22"/>
              <w:szCs w:val="22"/>
              <w:lang w:val="es-ES_tradnl"/>
            </w:rPr>
          </w:pPr>
          <w:r>
            <w:rPr>
              <w:rFonts w:ascii="Palatino Linotype" w:hAnsi="Palatino Linotype"/>
              <w:b/>
              <w:sz w:val="22"/>
              <w:szCs w:val="22"/>
              <w:lang w:val="es-ES_tradnl"/>
            </w:rPr>
            <w:t>01602</w:t>
          </w:r>
          <w:r w:rsidRPr="00E6045D">
            <w:rPr>
              <w:rFonts w:ascii="Palatino Linotype" w:hAnsi="Palatino Linotype"/>
              <w:b/>
              <w:sz w:val="22"/>
              <w:szCs w:val="22"/>
              <w:lang w:val="es-ES_tradnl"/>
            </w:rPr>
            <w:t>/INFOEM/IP/RR/20</w:t>
          </w:r>
          <w:r>
            <w:rPr>
              <w:rFonts w:ascii="Palatino Linotype" w:hAnsi="Palatino Linotype"/>
              <w:b/>
              <w:sz w:val="22"/>
              <w:szCs w:val="22"/>
              <w:lang w:val="es-ES_tradnl"/>
            </w:rPr>
            <w:t>20</w:t>
          </w:r>
        </w:p>
      </w:tc>
    </w:tr>
    <w:tr w:rsidR="00B42B49" w:rsidRPr="008F2CCC">
      <w:tc>
        <w:tcPr>
          <w:tcW w:w="3261" w:type="dxa"/>
          <w:vMerge/>
        </w:tcPr>
        <w:p w:rsidR="00B42B49" w:rsidRPr="008F2CCC" w:rsidRDefault="00B42B49" w:rsidP="00D41D47">
          <w:pPr>
            <w:rPr>
              <w:rFonts w:ascii="Palatino Linotype" w:hAnsi="Palatino Linotype"/>
              <w:b/>
              <w:sz w:val="22"/>
              <w:szCs w:val="22"/>
              <w:lang w:val="es-ES_tradnl"/>
            </w:rPr>
          </w:pPr>
        </w:p>
      </w:tc>
      <w:tc>
        <w:tcPr>
          <w:tcW w:w="2551" w:type="dxa"/>
          <w:shd w:val="clear" w:color="auto" w:fill="auto"/>
        </w:tcPr>
        <w:p w:rsidR="00B42B49" w:rsidRPr="00664658" w:rsidRDefault="00B42B49" w:rsidP="00D41D47">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rsidR="00B42B49" w:rsidRPr="00D41D47" w:rsidRDefault="00B42B49" w:rsidP="00957D35">
          <w:pPr>
            <w:jc w:val="both"/>
            <w:rPr>
              <w:rFonts w:ascii="Palatino Linotype" w:hAnsi="Palatino Linotype"/>
              <w:b/>
              <w:sz w:val="22"/>
              <w:szCs w:val="22"/>
              <w:lang w:val="es-ES_tradnl"/>
            </w:rPr>
          </w:pPr>
          <w:r w:rsidRPr="00457BB8">
            <w:rPr>
              <w:rFonts w:ascii="Palatino Linotype" w:hAnsi="Palatino Linotype"/>
              <w:b/>
              <w:sz w:val="22"/>
              <w:szCs w:val="22"/>
              <w:lang w:val="es-ES_tradnl"/>
            </w:rPr>
            <w:t xml:space="preserve">Ayuntamiento de </w:t>
          </w:r>
          <w:r>
            <w:rPr>
              <w:rFonts w:ascii="Palatino Linotype" w:hAnsi="Palatino Linotype"/>
              <w:b/>
              <w:sz w:val="22"/>
              <w:szCs w:val="22"/>
              <w:lang w:val="es-ES_tradnl"/>
            </w:rPr>
            <w:t>Cuautitlán Izcalli</w:t>
          </w:r>
        </w:p>
      </w:tc>
    </w:tr>
    <w:tr w:rsidR="00B42B49" w:rsidRPr="008F2CCC">
      <w:trPr>
        <w:trHeight w:val="228"/>
      </w:trPr>
      <w:tc>
        <w:tcPr>
          <w:tcW w:w="3261" w:type="dxa"/>
          <w:vMerge/>
        </w:tcPr>
        <w:p w:rsidR="00B42B49" w:rsidRPr="008F2CCC" w:rsidRDefault="00B42B49" w:rsidP="00070856">
          <w:pPr>
            <w:rPr>
              <w:rFonts w:ascii="Palatino Linotype" w:hAnsi="Palatino Linotype"/>
              <w:b/>
              <w:sz w:val="22"/>
              <w:szCs w:val="22"/>
              <w:lang w:val="es-ES_tradnl"/>
            </w:rPr>
          </w:pPr>
        </w:p>
      </w:tc>
      <w:tc>
        <w:tcPr>
          <w:tcW w:w="2551" w:type="dxa"/>
          <w:shd w:val="clear" w:color="auto" w:fill="auto"/>
        </w:tcPr>
        <w:p w:rsidR="00B42B49" w:rsidRPr="00664658" w:rsidRDefault="00B42B49" w:rsidP="00070856">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722" w:type="dxa"/>
          <w:shd w:val="clear" w:color="auto" w:fill="auto"/>
        </w:tcPr>
        <w:p w:rsidR="00B42B49" w:rsidRPr="00664658" w:rsidRDefault="00B42B49" w:rsidP="00070856">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B42B49" w:rsidRPr="0010196A" w:rsidRDefault="00B42B49" w:rsidP="00637B99">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2B49" w:rsidRPr="0010196A" w:rsidRDefault="00B42B49">
    <w:pPr>
      <w:rPr>
        <w:rFonts w:ascii="Palatino Linotype" w:hAnsi="Palatino Linotype"/>
        <w:sz w:val="28"/>
        <w:szCs w:val="28"/>
      </w:rPr>
    </w:pPr>
  </w:p>
  <w:tbl>
    <w:tblPr>
      <w:tblW w:w="10490" w:type="dxa"/>
      <w:tblInd w:w="-1276" w:type="dxa"/>
      <w:tblLayout w:type="fixed"/>
      <w:tblLook w:val="04A0" w:firstRow="1" w:lastRow="0" w:firstColumn="1" w:lastColumn="0" w:noHBand="0" w:noVBand="1"/>
    </w:tblPr>
    <w:tblGrid>
      <w:gridCol w:w="4253"/>
      <w:gridCol w:w="2552"/>
      <w:gridCol w:w="3685"/>
    </w:tblGrid>
    <w:tr w:rsidR="00B42B49" w:rsidRPr="008F2CCC">
      <w:tc>
        <w:tcPr>
          <w:tcW w:w="4253" w:type="dxa"/>
          <w:vMerge w:val="restart"/>
          <w:shd w:val="clear" w:color="auto" w:fill="auto"/>
        </w:tcPr>
        <w:p w:rsidR="00B42B49" w:rsidRPr="008F2CCC" w:rsidRDefault="00B42B49" w:rsidP="00A2780F">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rsidR="00B42B49" w:rsidRPr="008F2CCC" w:rsidRDefault="00B42B49"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685" w:type="dxa"/>
          <w:shd w:val="clear" w:color="auto" w:fill="auto"/>
          <w:vAlign w:val="center"/>
        </w:tcPr>
        <w:p w:rsidR="00B42B49" w:rsidRPr="008F2CCC" w:rsidRDefault="00B42B49" w:rsidP="00312D47">
          <w:pPr>
            <w:jc w:val="both"/>
            <w:rPr>
              <w:rFonts w:ascii="Palatino Linotype" w:hAnsi="Palatino Linotype"/>
              <w:b/>
              <w:sz w:val="22"/>
              <w:szCs w:val="22"/>
              <w:lang w:val="es-ES_tradnl"/>
            </w:rPr>
          </w:pPr>
          <w:r>
            <w:rPr>
              <w:rFonts w:ascii="Palatino Linotype" w:hAnsi="Palatino Linotype"/>
              <w:b/>
              <w:sz w:val="22"/>
              <w:szCs w:val="22"/>
              <w:lang w:val="es-ES_tradnl"/>
            </w:rPr>
            <w:t>01602/INFOEM/IP/RR/2020</w:t>
          </w:r>
        </w:p>
      </w:tc>
    </w:tr>
    <w:tr w:rsidR="00B42B49" w:rsidRPr="008F2CCC">
      <w:tc>
        <w:tcPr>
          <w:tcW w:w="4253" w:type="dxa"/>
          <w:vMerge/>
          <w:shd w:val="clear" w:color="auto" w:fill="auto"/>
        </w:tcPr>
        <w:p w:rsidR="00B42B49" w:rsidRPr="008F2CCC" w:rsidRDefault="00B42B49" w:rsidP="00A2780F">
          <w:pPr>
            <w:rPr>
              <w:rFonts w:ascii="Palatino Linotype" w:hAnsi="Palatino Linotype"/>
              <w:b/>
              <w:sz w:val="22"/>
              <w:szCs w:val="22"/>
              <w:lang w:val="es-ES_tradnl"/>
            </w:rPr>
          </w:pPr>
        </w:p>
      </w:tc>
      <w:tc>
        <w:tcPr>
          <w:tcW w:w="2552" w:type="dxa"/>
          <w:shd w:val="clear" w:color="auto" w:fill="auto"/>
        </w:tcPr>
        <w:p w:rsidR="00B42B49" w:rsidRPr="008F2CCC" w:rsidRDefault="00B42B49"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685" w:type="dxa"/>
          <w:shd w:val="clear" w:color="auto" w:fill="auto"/>
          <w:vAlign w:val="center"/>
        </w:tcPr>
        <w:p w:rsidR="00B42B49" w:rsidRPr="008F2CCC" w:rsidRDefault="00BA79E9" w:rsidP="00BA79E9">
          <w:pPr>
            <w:jc w:val="both"/>
            <w:rPr>
              <w:rFonts w:ascii="Palatino Linotype" w:hAnsi="Palatino Linotype"/>
              <w:b/>
              <w:sz w:val="22"/>
              <w:szCs w:val="22"/>
              <w:lang w:val="es-ES_tradnl"/>
            </w:rPr>
          </w:pPr>
          <w:proofErr w:type="spellStart"/>
          <w:r>
            <w:rPr>
              <w:rFonts w:ascii="Palatino Linotype" w:hAnsi="Palatino Linotype"/>
              <w:b/>
              <w:sz w:val="22"/>
              <w:szCs w:val="22"/>
              <w:lang w:val="es-ES_tradnl"/>
            </w:rPr>
            <w:t>Xxx</w:t>
          </w:r>
          <w:proofErr w:type="spellEnd"/>
          <w:r w:rsidR="00B42B49">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Xxxxxxxx</w:t>
          </w:r>
          <w:proofErr w:type="spellEnd"/>
          <w:r w:rsidR="00B42B49">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Xxxxxx</w:t>
          </w:r>
          <w:proofErr w:type="spellEnd"/>
        </w:p>
      </w:tc>
    </w:tr>
    <w:tr w:rsidR="00B42B49" w:rsidRPr="008F2CCC">
      <w:trPr>
        <w:trHeight w:val="228"/>
      </w:trPr>
      <w:tc>
        <w:tcPr>
          <w:tcW w:w="4253" w:type="dxa"/>
          <w:vMerge/>
          <w:shd w:val="clear" w:color="auto" w:fill="auto"/>
        </w:tcPr>
        <w:p w:rsidR="00B42B49" w:rsidRPr="008F2CCC" w:rsidRDefault="00B42B49" w:rsidP="00E37C88">
          <w:pPr>
            <w:rPr>
              <w:rFonts w:ascii="Palatino Linotype" w:hAnsi="Palatino Linotype"/>
              <w:b/>
              <w:sz w:val="22"/>
              <w:szCs w:val="22"/>
              <w:lang w:val="es-ES_tradnl"/>
            </w:rPr>
          </w:pPr>
        </w:p>
      </w:tc>
      <w:tc>
        <w:tcPr>
          <w:tcW w:w="2552" w:type="dxa"/>
          <w:shd w:val="clear" w:color="auto" w:fill="auto"/>
        </w:tcPr>
        <w:p w:rsidR="00B42B49" w:rsidRPr="008F2CCC" w:rsidRDefault="00B42B49"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685" w:type="dxa"/>
          <w:shd w:val="clear" w:color="auto" w:fill="auto"/>
          <w:vAlign w:val="center"/>
        </w:tcPr>
        <w:p w:rsidR="00B42B49" w:rsidRPr="00DC41C8" w:rsidRDefault="00B42B49" w:rsidP="00312D47">
          <w:pPr>
            <w:jc w:val="both"/>
            <w:rPr>
              <w:rFonts w:ascii="Palatino Linotype" w:hAnsi="Palatino Linotype"/>
              <w:b/>
              <w:sz w:val="22"/>
              <w:szCs w:val="22"/>
            </w:rPr>
          </w:pPr>
          <w:r w:rsidRPr="00457BB8">
            <w:rPr>
              <w:rFonts w:ascii="Palatino Linotype" w:hAnsi="Palatino Linotype"/>
              <w:b/>
              <w:sz w:val="22"/>
              <w:szCs w:val="22"/>
              <w:lang w:val="es-ES_tradnl"/>
            </w:rPr>
            <w:t xml:space="preserve">Ayuntamiento de </w:t>
          </w:r>
          <w:r>
            <w:rPr>
              <w:rFonts w:ascii="Palatino Linotype" w:hAnsi="Palatino Linotype"/>
              <w:b/>
              <w:sz w:val="22"/>
              <w:szCs w:val="22"/>
              <w:lang w:val="es-ES_tradnl"/>
            </w:rPr>
            <w:t>Cuautitlán Izcalli</w:t>
          </w:r>
        </w:p>
      </w:tc>
    </w:tr>
    <w:tr w:rsidR="00B42B49" w:rsidRPr="008F2CCC">
      <w:tc>
        <w:tcPr>
          <w:tcW w:w="4253" w:type="dxa"/>
          <w:vMerge/>
          <w:shd w:val="clear" w:color="auto" w:fill="auto"/>
        </w:tcPr>
        <w:p w:rsidR="00B42B49" w:rsidRPr="008F2CCC" w:rsidRDefault="00B42B49" w:rsidP="00A2780F">
          <w:pPr>
            <w:rPr>
              <w:rFonts w:ascii="Palatino Linotype" w:hAnsi="Palatino Linotype"/>
              <w:b/>
              <w:sz w:val="22"/>
              <w:szCs w:val="22"/>
              <w:lang w:val="es-ES_tradnl"/>
            </w:rPr>
          </w:pPr>
        </w:p>
      </w:tc>
      <w:tc>
        <w:tcPr>
          <w:tcW w:w="2552" w:type="dxa"/>
          <w:shd w:val="clear" w:color="auto" w:fill="auto"/>
        </w:tcPr>
        <w:p w:rsidR="00B42B49" w:rsidRPr="008F2CCC" w:rsidRDefault="00B42B49"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685" w:type="dxa"/>
          <w:shd w:val="clear" w:color="auto" w:fill="auto"/>
        </w:tcPr>
        <w:p w:rsidR="00B42B49" w:rsidRPr="008F2CCC" w:rsidRDefault="00B42B49" w:rsidP="003C718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B42B49" w:rsidRPr="0010196A" w:rsidRDefault="00BA79E9" w:rsidP="00B8513C">
    <w:pPr>
      <w:rPr>
        <w:rFonts w:ascii="Palatino Linotype" w:hAnsi="Palatino Linotype"/>
        <w:sz w:val="28"/>
        <w:szCs w:val="28"/>
      </w:rPr>
    </w:pPr>
    <w:r>
      <w:rPr>
        <w:rFonts w:ascii="Palatino Linotype" w:hAnsi="Palatino Linotype"/>
        <w:noProof/>
        <w:sz w:val="28"/>
        <w:szCs w:val="28"/>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55" type="#_x0000_t75" style="position:absolute;margin-left:19.4pt;margin-top:13.2pt;width:540pt;height:10in;z-index:-251658240;mso-position-horizontal-relative:margin;mso-position-vertical-relative:margin" o:allowincell="f">
          <v:imagedata r:id="rId2" o:title="RESOLUCIÓ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797F93"/>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420751D"/>
    <w:multiLevelType w:val="hybridMultilevel"/>
    <w:tmpl w:val="38289F2A"/>
    <w:lvl w:ilvl="0" w:tplc="CC00C9C6">
      <w:start w:val="11"/>
      <w:numFmt w:val="bullet"/>
      <w:lvlText w:val=""/>
      <w:lvlJc w:val="left"/>
      <w:pPr>
        <w:ind w:left="720" w:hanging="360"/>
      </w:pPr>
      <w:rPr>
        <w:rFonts w:ascii="Symbol" w:eastAsiaTheme="minorHAnsi"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6D82BCB"/>
    <w:multiLevelType w:val="hybridMultilevel"/>
    <w:tmpl w:val="726AB2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nsid w:val="0D5C27C9"/>
    <w:multiLevelType w:val="hybridMultilevel"/>
    <w:tmpl w:val="DA440F22"/>
    <w:lvl w:ilvl="0" w:tplc="3592973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FC4056E"/>
    <w:multiLevelType w:val="hybridMultilevel"/>
    <w:tmpl w:val="7AACBC9A"/>
    <w:lvl w:ilvl="0" w:tplc="3B34822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02E6FD4"/>
    <w:multiLevelType w:val="hybridMultilevel"/>
    <w:tmpl w:val="E758A8AC"/>
    <w:lvl w:ilvl="0" w:tplc="67CA3ECE">
      <w:start w:val="1"/>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7">
    <w:nsid w:val="13B113A1"/>
    <w:multiLevelType w:val="hybridMultilevel"/>
    <w:tmpl w:val="6B30AA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4E53C1F"/>
    <w:multiLevelType w:val="multilevel"/>
    <w:tmpl w:val="59964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13717B"/>
    <w:multiLevelType w:val="hybridMultilevel"/>
    <w:tmpl w:val="A32AF3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1D254751"/>
    <w:multiLevelType w:val="hybridMultilevel"/>
    <w:tmpl w:val="7FA8C062"/>
    <w:lvl w:ilvl="0" w:tplc="0220BE92">
      <w:start w:val="1"/>
      <w:numFmt w:val="upperRoman"/>
      <w:lvlText w:val="%1."/>
      <w:lvlJc w:val="left"/>
      <w:pPr>
        <w:ind w:left="1571"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EBA065F"/>
    <w:multiLevelType w:val="hybridMultilevel"/>
    <w:tmpl w:val="195C1FF2"/>
    <w:lvl w:ilvl="0" w:tplc="080A000F">
      <w:start w:val="1"/>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
    <w:nsid w:val="20272720"/>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4F341E3"/>
    <w:multiLevelType w:val="hybridMultilevel"/>
    <w:tmpl w:val="01766F6A"/>
    <w:lvl w:ilvl="0" w:tplc="080A0001">
      <w:start w:val="4"/>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26B52672"/>
    <w:multiLevelType w:val="hybridMultilevel"/>
    <w:tmpl w:val="2462168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7F93A10"/>
    <w:multiLevelType w:val="hybridMultilevel"/>
    <w:tmpl w:val="7E68F0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07C3BBC"/>
    <w:multiLevelType w:val="hybridMultilevel"/>
    <w:tmpl w:val="74EAD6B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
    <w:nsid w:val="34876C02"/>
    <w:multiLevelType w:val="hybridMultilevel"/>
    <w:tmpl w:val="56F2E2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6936DD8"/>
    <w:multiLevelType w:val="hybridMultilevel"/>
    <w:tmpl w:val="66FC44AE"/>
    <w:lvl w:ilvl="0" w:tplc="259C5306">
      <w:start w:val="1"/>
      <w:numFmt w:val="bullet"/>
      <w:lvlText w:val=""/>
      <w:lvlJc w:val="left"/>
      <w:pPr>
        <w:ind w:left="720" w:hanging="360"/>
      </w:pPr>
      <w:rPr>
        <w:rFonts w:ascii="Wingdings" w:hAnsi="Wingdings" w:hint="default"/>
        <w:sz w:val="7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3A9C2087"/>
    <w:multiLevelType w:val="hybridMultilevel"/>
    <w:tmpl w:val="3BD49A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3AA32CC6"/>
    <w:multiLevelType w:val="multilevel"/>
    <w:tmpl w:val="EC68D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EAE5053"/>
    <w:multiLevelType w:val="hybridMultilevel"/>
    <w:tmpl w:val="2E90C400"/>
    <w:lvl w:ilvl="0" w:tplc="080A000F">
      <w:start w:val="1"/>
      <w:numFmt w:val="decimal"/>
      <w:lvlText w:val="%1."/>
      <w:lvlJc w:val="left"/>
      <w:pPr>
        <w:ind w:left="502" w:hanging="36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24">
    <w:nsid w:val="3EC97557"/>
    <w:multiLevelType w:val="multilevel"/>
    <w:tmpl w:val="C2E2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6">
    <w:nsid w:val="40594B3E"/>
    <w:multiLevelType w:val="hybridMultilevel"/>
    <w:tmpl w:val="8C007D1C"/>
    <w:lvl w:ilvl="0" w:tplc="E2080B0C">
      <w:start w:val="1"/>
      <w:numFmt w:val="lowerLetter"/>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411A547A"/>
    <w:multiLevelType w:val="hybridMultilevel"/>
    <w:tmpl w:val="667410AC"/>
    <w:lvl w:ilvl="0" w:tplc="387C4A44">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417620E3"/>
    <w:multiLevelType w:val="hybridMultilevel"/>
    <w:tmpl w:val="BE60E98A"/>
    <w:lvl w:ilvl="0" w:tplc="88A0D556">
      <w:start w:val="10"/>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42630714"/>
    <w:multiLevelType w:val="hybridMultilevel"/>
    <w:tmpl w:val="74EAD6B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46E27EB9"/>
    <w:multiLevelType w:val="hybridMultilevel"/>
    <w:tmpl w:val="8642F7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496E4D17"/>
    <w:multiLevelType w:val="hybridMultilevel"/>
    <w:tmpl w:val="183AAFFC"/>
    <w:lvl w:ilvl="0" w:tplc="E2080B0C">
      <w:start w:val="1"/>
      <w:numFmt w:val="lowerLetter"/>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49BA312A"/>
    <w:multiLevelType w:val="hybridMultilevel"/>
    <w:tmpl w:val="8CB09E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5D2F2443"/>
    <w:multiLevelType w:val="hybridMultilevel"/>
    <w:tmpl w:val="3C74BE40"/>
    <w:lvl w:ilvl="0" w:tplc="40882184">
      <w:start w:val="1"/>
      <w:numFmt w:val="bullet"/>
      <w:lvlText w:val=""/>
      <w:lvlJc w:val="left"/>
      <w:pPr>
        <w:ind w:left="720" w:hanging="360"/>
      </w:pPr>
      <w:rPr>
        <w:rFonts w:ascii="Wingdings" w:hAnsi="Wingdings" w:hint="default"/>
        <w:sz w:val="5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5D7803D7"/>
    <w:multiLevelType w:val="hybridMultilevel"/>
    <w:tmpl w:val="1654F5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69536CAF"/>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C0539D8"/>
    <w:multiLevelType w:val="hybridMultilevel"/>
    <w:tmpl w:val="030C5D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6F6E1079"/>
    <w:multiLevelType w:val="hybridMultilevel"/>
    <w:tmpl w:val="3D64B4F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38">
    <w:nsid w:val="6F82241D"/>
    <w:multiLevelType w:val="hybridMultilevel"/>
    <w:tmpl w:val="56F2E2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02639CA"/>
    <w:multiLevelType w:val="hybridMultilevel"/>
    <w:tmpl w:val="892C019C"/>
    <w:lvl w:ilvl="0" w:tplc="080A0017">
      <w:start w:val="1"/>
      <w:numFmt w:val="lowerLetter"/>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40">
    <w:nsid w:val="707B6234"/>
    <w:multiLevelType w:val="hybridMultilevel"/>
    <w:tmpl w:val="178CC554"/>
    <w:lvl w:ilvl="0" w:tplc="74BCD1A4">
      <w:start w:val="1"/>
      <w:numFmt w:val="upperRoman"/>
      <w:lvlText w:val="%1."/>
      <w:lvlJc w:val="left"/>
      <w:pPr>
        <w:ind w:left="1616" w:hanging="720"/>
      </w:pPr>
      <w:rPr>
        <w:rFonts w:hint="default"/>
      </w:rPr>
    </w:lvl>
    <w:lvl w:ilvl="1" w:tplc="080A0019" w:tentative="1">
      <w:start w:val="1"/>
      <w:numFmt w:val="lowerLetter"/>
      <w:lvlText w:val="%2."/>
      <w:lvlJc w:val="left"/>
      <w:pPr>
        <w:ind w:left="1976" w:hanging="360"/>
      </w:pPr>
    </w:lvl>
    <w:lvl w:ilvl="2" w:tplc="080A001B" w:tentative="1">
      <w:start w:val="1"/>
      <w:numFmt w:val="lowerRoman"/>
      <w:lvlText w:val="%3."/>
      <w:lvlJc w:val="right"/>
      <w:pPr>
        <w:ind w:left="2696" w:hanging="180"/>
      </w:pPr>
    </w:lvl>
    <w:lvl w:ilvl="3" w:tplc="080A000F" w:tentative="1">
      <w:start w:val="1"/>
      <w:numFmt w:val="decimal"/>
      <w:lvlText w:val="%4."/>
      <w:lvlJc w:val="left"/>
      <w:pPr>
        <w:ind w:left="3416" w:hanging="360"/>
      </w:pPr>
    </w:lvl>
    <w:lvl w:ilvl="4" w:tplc="080A0019" w:tentative="1">
      <w:start w:val="1"/>
      <w:numFmt w:val="lowerLetter"/>
      <w:lvlText w:val="%5."/>
      <w:lvlJc w:val="left"/>
      <w:pPr>
        <w:ind w:left="4136" w:hanging="360"/>
      </w:pPr>
    </w:lvl>
    <w:lvl w:ilvl="5" w:tplc="080A001B" w:tentative="1">
      <w:start w:val="1"/>
      <w:numFmt w:val="lowerRoman"/>
      <w:lvlText w:val="%6."/>
      <w:lvlJc w:val="right"/>
      <w:pPr>
        <w:ind w:left="4856" w:hanging="180"/>
      </w:pPr>
    </w:lvl>
    <w:lvl w:ilvl="6" w:tplc="080A000F" w:tentative="1">
      <w:start w:val="1"/>
      <w:numFmt w:val="decimal"/>
      <w:lvlText w:val="%7."/>
      <w:lvlJc w:val="left"/>
      <w:pPr>
        <w:ind w:left="5576" w:hanging="360"/>
      </w:pPr>
    </w:lvl>
    <w:lvl w:ilvl="7" w:tplc="080A0019" w:tentative="1">
      <w:start w:val="1"/>
      <w:numFmt w:val="lowerLetter"/>
      <w:lvlText w:val="%8."/>
      <w:lvlJc w:val="left"/>
      <w:pPr>
        <w:ind w:left="6296" w:hanging="360"/>
      </w:pPr>
    </w:lvl>
    <w:lvl w:ilvl="8" w:tplc="080A001B" w:tentative="1">
      <w:start w:val="1"/>
      <w:numFmt w:val="lowerRoman"/>
      <w:lvlText w:val="%9."/>
      <w:lvlJc w:val="right"/>
      <w:pPr>
        <w:ind w:left="7016" w:hanging="180"/>
      </w:pPr>
    </w:lvl>
  </w:abstractNum>
  <w:abstractNum w:abstractNumId="41">
    <w:nsid w:val="758379FB"/>
    <w:multiLevelType w:val="hybridMultilevel"/>
    <w:tmpl w:val="AE266B3E"/>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2">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start w:val="1"/>
      <w:numFmt w:val="bullet"/>
      <w:lvlText w:val="o"/>
      <w:lvlJc w:val="left"/>
      <w:pPr>
        <w:ind w:left="1789" w:hanging="360"/>
      </w:pPr>
      <w:rPr>
        <w:rFonts w:ascii="Courier New" w:hAnsi="Courier New" w:cs="Courier New" w:hint="default"/>
      </w:rPr>
    </w:lvl>
    <w:lvl w:ilvl="2" w:tplc="080A0005">
      <w:start w:val="1"/>
      <w:numFmt w:val="bullet"/>
      <w:lvlText w:val=""/>
      <w:lvlJc w:val="left"/>
      <w:pPr>
        <w:ind w:left="2509" w:hanging="360"/>
      </w:pPr>
      <w:rPr>
        <w:rFonts w:ascii="Wingdings" w:hAnsi="Wingdings" w:hint="default"/>
      </w:rPr>
    </w:lvl>
    <w:lvl w:ilvl="3" w:tplc="080A0001">
      <w:start w:val="1"/>
      <w:numFmt w:val="bullet"/>
      <w:lvlText w:val=""/>
      <w:lvlJc w:val="left"/>
      <w:pPr>
        <w:ind w:left="3229" w:hanging="360"/>
      </w:pPr>
      <w:rPr>
        <w:rFonts w:ascii="Symbol" w:hAnsi="Symbol" w:hint="default"/>
      </w:rPr>
    </w:lvl>
    <w:lvl w:ilvl="4" w:tplc="080A0003">
      <w:start w:val="1"/>
      <w:numFmt w:val="bullet"/>
      <w:lvlText w:val="o"/>
      <w:lvlJc w:val="left"/>
      <w:pPr>
        <w:ind w:left="3949" w:hanging="360"/>
      </w:pPr>
      <w:rPr>
        <w:rFonts w:ascii="Courier New" w:hAnsi="Courier New" w:cs="Courier New" w:hint="default"/>
      </w:rPr>
    </w:lvl>
    <w:lvl w:ilvl="5" w:tplc="080A0005">
      <w:start w:val="1"/>
      <w:numFmt w:val="bullet"/>
      <w:lvlText w:val=""/>
      <w:lvlJc w:val="left"/>
      <w:pPr>
        <w:ind w:left="4669" w:hanging="360"/>
      </w:pPr>
      <w:rPr>
        <w:rFonts w:ascii="Wingdings" w:hAnsi="Wingdings" w:hint="default"/>
      </w:rPr>
    </w:lvl>
    <w:lvl w:ilvl="6" w:tplc="080A0001">
      <w:start w:val="1"/>
      <w:numFmt w:val="bullet"/>
      <w:lvlText w:val=""/>
      <w:lvlJc w:val="left"/>
      <w:pPr>
        <w:ind w:left="5389" w:hanging="360"/>
      </w:pPr>
      <w:rPr>
        <w:rFonts w:ascii="Symbol" w:hAnsi="Symbol" w:hint="default"/>
      </w:rPr>
    </w:lvl>
    <w:lvl w:ilvl="7" w:tplc="080A0003">
      <w:start w:val="1"/>
      <w:numFmt w:val="bullet"/>
      <w:lvlText w:val="o"/>
      <w:lvlJc w:val="left"/>
      <w:pPr>
        <w:ind w:left="6109" w:hanging="360"/>
      </w:pPr>
      <w:rPr>
        <w:rFonts w:ascii="Courier New" w:hAnsi="Courier New" w:cs="Courier New" w:hint="default"/>
      </w:rPr>
    </w:lvl>
    <w:lvl w:ilvl="8" w:tplc="080A0005">
      <w:start w:val="1"/>
      <w:numFmt w:val="bullet"/>
      <w:lvlText w:val=""/>
      <w:lvlJc w:val="left"/>
      <w:pPr>
        <w:ind w:left="6829" w:hanging="360"/>
      </w:pPr>
      <w:rPr>
        <w:rFonts w:ascii="Wingdings" w:hAnsi="Wingdings" w:hint="default"/>
      </w:rPr>
    </w:lvl>
  </w:abstractNum>
  <w:abstractNum w:abstractNumId="43">
    <w:nsid w:val="7EA308DE"/>
    <w:multiLevelType w:val="hybridMultilevel"/>
    <w:tmpl w:val="52A4D82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8"/>
  </w:num>
  <w:num w:numId="2">
    <w:abstractNumId w:val="12"/>
  </w:num>
  <w:num w:numId="3">
    <w:abstractNumId w:val="14"/>
  </w:num>
  <w:num w:numId="4">
    <w:abstractNumId w:val="32"/>
  </w:num>
  <w:num w:numId="5">
    <w:abstractNumId w:val="38"/>
  </w:num>
  <w:num w:numId="6">
    <w:abstractNumId w:val="19"/>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num>
  <w:num w:numId="9">
    <w:abstractNumId w:val="35"/>
  </w:num>
  <w:num w:numId="10">
    <w:abstractNumId w:val="15"/>
  </w:num>
  <w:num w:numId="11">
    <w:abstractNumId w:val="13"/>
  </w:num>
  <w:num w:numId="12">
    <w:abstractNumId w:val="0"/>
  </w:num>
  <w:num w:numId="13">
    <w:abstractNumId w:val="41"/>
  </w:num>
  <w:num w:numId="14">
    <w:abstractNumId w:val="4"/>
  </w:num>
  <w:num w:numId="15">
    <w:abstractNumId w:val="6"/>
  </w:num>
  <w:num w:numId="1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2"/>
  </w:num>
  <w:num w:numId="18">
    <w:abstractNumId w:val="20"/>
  </w:num>
  <w:num w:numId="19">
    <w:abstractNumId w:val="9"/>
  </w:num>
  <w:num w:numId="20">
    <w:abstractNumId w:val="30"/>
  </w:num>
  <w:num w:numId="21">
    <w:abstractNumId w:val="27"/>
  </w:num>
  <w:num w:numId="22">
    <w:abstractNumId w:val="36"/>
  </w:num>
  <w:num w:numId="23">
    <w:abstractNumId w:val="39"/>
  </w:num>
  <w:num w:numId="24">
    <w:abstractNumId w:val="37"/>
  </w:num>
  <w:num w:numId="25">
    <w:abstractNumId w:val="28"/>
  </w:num>
  <w:num w:numId="2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num>
  <w:num w:numId="28">
    <w:abstractNumId w:val="42"/>
  </w:num>
  <w:num w:numId="29">
    <w:abstractNumId w:val="21"/>
  </w:num>
  <w:num w:numId="30">
    <w:abstractNumId w:val="40"/>
  </w:num>
  <w:num w:numId="31">
    <w:abstractNumId w:val="8"/>
  </w:num>
  <w:num w:numId="32">
    <w:abstractNumId w:val="10"/>
  </w:num>
  <w:num w:numId="33">
    <w:abstractNumId w:val="7"/>
  </w:num>
  <w:num w:numId="34">
    <w:abstractNumId w:val="34"/>
  </w:num>
  <w:num w:numId="35">
    <w:abstractNumId w:val="23"/>
  </w:num>
  <w:num w:numId="36">
    <w:abstractNumId w:val="33"/>
  </w:num>
  <w:num w:numId="37">
    <w:abstractNumId w:val="1"/>
  </w:num>
  <w:num w:numId="38">
    <w:abstractNumId w:val="17"/>
  </w:num>
  <w:num w:numId="39">
    <w:abstractNumId w:val="29"/>
  </w:num>
  <w:num w:numId="40">
    <w:abstractNumId w:val="31"/>
  </w:num>
  <w:num w:numId="41">
    <w:abstractNumId w:val="26"/>
  </w:num>
  <w:num w:numId="42">
    <w:abstractNumId w:val="11"/>
  </w:num>
  <w:num w:numId="43">
    <w:abstractNumId w:val="5"/>
  </w:num>
  <w:num w:numId="44">
    <w:abstractNumId w:val="16"/>
  </w:num>
  <w:num w:numId="45">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s-AR" w:vendorID="64" w:dllVersion="131078" w:nlCheck="1" w:checkStyle="1"/>
  <w:proofState w:spelling="clean" w:grammar="clean"/>
  <w:doNotTrackMoves/>
  <w:defaultTabStop w:val="709"/>
  <w:hyphenationZone w:val="425"/>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
  <w:rsids>
    <w:rsidRoot w:val="00C80F8C"/>
    <w:rsid w:val="000008A5"/>
    <w:rsid w:val="0000258A"/>
    <w:rsid w:val="000025F0"/>
    <w:rsid w:val="0000265E"/>
    <w:rsid w:val="000026CD"/>
    <w:rsid w:val="00002897"/>
    <w:rsid w:val="00002A00"/>
    <w:rsid w:val="00002E83"/>
    <w:rsid w:val="0000328A"/>
    <w:rsid w:val="000041B5"/>
    <w:rsid w:val="000046A7"/>
    <w:rsid w:val="00004C7A"/>
    <w:rsid w:val="000054EA"/>
    <w:rsid w:val="0000588F"/>
    <w:rsid w:val="000060C2"/>
    <w:rsid w:val="0000633D"/>
    <w:rsid w:val="00006728"/>
    <w:rsid w:val="00006EC0"/>
    <w:rsid w:val="00006F2F"/>
    <w:rsid w:val="00007558"/>
    <w:rsid w:val="000075A8"/>
    <w:rsid w:val="00007AF1"/>
    <w:rsid w:val="00007FD8"/>
    <w:rsid w:val="000104F0"/>
    <w:rsid w:val="000109F4"/>
    <w:rsid w:val="00011EDE"/>
    <w:rsid w:val="000123CB"/>
    <w:rsid w:val="00012A00"/>
    <w:rsid w:val="00013023"/>
    <w:rsid w:val="00013986"/>
    <w:rsid w:val="00013EBF"/>
    <w:rsid w:val="000142C0"/>
    <w:rsid w:val="00014E91"/>
    <w:rsid w:val="00015DDC"/>
    <w:rsid w:val="000160C6"/>
    <w:rsid w:val="00016A2B"/>
    <w:rsid w:val="00017746"/>
    <w:rsid w:val="0001796B"/>
    <w:rsid w:val="00017EBE"/>
    <w:rsid w:val="00020BD7"/>
    <w:rsid w:val="00020C9F"/>
    <w:rsid w:val="00021F54"/>
    <w:rsid w:val="00022013"/>
    <w:rsid w:val="000225F4"/>
    <w:rsid w:val="00022A73"/>
    <w:rsid w:val="00022DCF"/>
    <w:rsid w:val="00022E8B"/>
    <w:rsid w:val="00023233"/>
    <w:rsid w:val="000244C6"/>
    <w:rsid w:val="0002471C"/>
    <w:rsid w:val="00024A5F"/>
    <w:rsid w:val="00024E68"/>
    <w:rsid w:val="000254C2"/>
    <w:rsid w:val="00025DB0"/>
    <w:rsid w:val="0002685C"/>
    <w:rsid w:val="0002690E"/>
    <w:rsid w:val="00026A3C"/>
    <w:rsid w:val="00027195"/>
    <w:rsid w:val="0003033D"/>
    <w:rsid w:val="00030B10"/>
    <w:rsid w:val="0003134F"/>
    <w:rsid w:val="0003153C"/>
    <w:rsid w:val="000317FD"/>
    <w:rsid w:val="00031B70"/>
    <w:rsid w:val="00031C72"/>
    <w:rsid w:val="00031E7E"/>
    <w:rsid w:val="00032403"/>
    <w:rsid w:val="000333BC"/>
    <w:rsid w:val="0003355B"/>
    <w:rsid w:val="000336D0"/>
    <w:rsid w:val="000337B3"/>
    <w:rsid w:val="000339B9"/>
    <w:rsid w:val="00033C79"/>
    <w:rsid w:val="00033E94"/>
    <w:rsid w:val="00035676"/>
    <w:rsid w:val="00035CDF"/>
    <w:rsid w:val="00036439"/>
    <w:rsid w:val="00036B1A"/>
    <w:rsid w:val="00037DDE"/>
    <w:rsid w:val="00037FDC"/>
    <w:rsid w:val="0004120D"/>
    <w:rsid w:val="000415DD"/>
    <w:rsid w:val="00041959"/>
    <w:rsid w:val="00041A86"/>
    <w:rsid w:val="000423AF"/>
    <w:rsid w:val="00042714"/>
    <w:rsid w:val="00042A23"/>
    <w:rsid w:val="00042F6A"/>
    <w:rsid w:val="0004330A"/>
    <w:rsid w:val="00043943"/>
    <w:rsid w:val="0004425E"/>
    <w:rsid w:val="00044351"/>
    <w:rsid w:val="000446CF"/>
    <w:rsid w:val="00044856"/>
    <w:rsid w:val="000449C9"/>
    <w:rsid w:val="00044D0E"/>
    <w:rsid w:val="000454E2"/>
    <w:rsid w:val="000464A3"/>
    <w:rsid w:val="000465A8"/>
    <w:rsid w:val="00047111"/>
    <w:rsid w:val="00047A25"/>
    <w:rsid w:val="00047E38"/>
    <w:rsid w:val="00047E9E"/>
    <w:rsid w:val="00050FE1"/>
    <w:rsid w:val="00051ADD"/>
    <w:rsid w:val="00051B43"/>
    <w:rsid w:val="00051D2A"/>
    <w:rsid w:val="0005265B"/>
    <w:rsid w:val="000527F0"/>
    <w:rsid w:val="00052E1B"/>
    <w:rsid w:val="0005363B"/>
    <w:rsid w:val="00053A25"/>
    <w:rsid w:val="00053FA9"/>
    <w:rsid w:val="000546E2"/>
    <w:rsid w:val="00054CFB"/>
    <w:rsid w:val="000550D6"/>
    <w:rsid w:val="00055200"/>
    <w:rsid w:val="000558A1"/>
    <w:rsid w:val="00055BF6"/>
    <w:rsid w:val="00055E68"/>
    <w:rsid w:val="00056469"/>
    <w:rsid w:val="000568EF"/>
    <w:rsid w:val="00057476"/>
    <w:rsid w:val="00057716"/>
    <w:rsid w:val="00057C91"/>
    <w:rsid w:val="000606B4"/>
    <w:rsid w:val="000613E3"/>
    <w:rsid w:val="000618EE"/>
    <w:rsid w:val="00061D4C"/>
    <w:rsid w:val="00061E9B"/>
    <w:rsid w:val="00061EB4"/>
    <w:rsid w:val="00062501"/>
    <w:rsid w:val="0006258E"/>
    <w:rsid w:val="00062793"/>
    <w:rsid w:val="000628AA"/>
    <w:rsid w:val="00062C16"/>
    <w:rsid w:val="00062E20"/>
    <w:rsid w:val="00062FE6"/>
    <w:rsid w:val="000633BB"/>
    <w:rsid w:val="000636AD"/>
    <w:rsid w:val="00063AEF"/>
    <w:rsid w:val="00064245"/>
    <w:rsid w:val="000644B3"/>
    <w:rsid w:val="000646B0"/>
    <w:rsid w:val="00064D6F"/>
    <w:rsid w:val="0006590C"/>
    <w:rsid w:val="00065B50"/>
    <w:rsid w:val="00066A54"/>
    <w:rsid w:val="00066B22"/>
    <w:rsid w:val="00066D71"/>
    <w:rsid w:val="00067C7D"/>
    <w:rsid w:val="00070856"/>
    <w:rsid w:val="00071FC4"/>
    <w:rsid w:val="000725D3"/>
    <w:rsid w:val="0007261F"/>
    <w:rsid w:val="000728B7"/>
    <w:rsid w:val="00072954"/>
    <w:rsid w:val="00072CB3"/>
    <w:rsid w:val="00072F99"/>
    <w:rsid w:val="0007327E"/>
    <w:rsid w:val="000734E9"/>
    <w:rsid w:val="0007367D"/>
    <w:rsid w:val="00073A2F"/>
    <w:rsid w:val="0007436D"/>
    <w:rsid w:val="00074CF8"/>
    <w:rsid w:val="00075283"/>
    <w:rsid w:val="00075615"/>
    <w:rsid w:val="00075EA3"/>
    <w:rsid w:val="00077AC1"/>
    <w:rsid w:val="00077B79"/>
    <w:rsid w:val="00077BB8"/>
    <w:rsid w:val="00077BC0"/>
    <w:rsid w:val="0008043B"/>
    <w:rsid w:val="0008139C"/>
    <w:rsid w:val="00081B66"/>
    <w:rsid w:val="0008338D"/>
    <w:rsid w:val="00084079"/>
    <w:rsid w:val="0008420F"/>
    <w:rsid w:val="000847B2"/>
    <w:rsid w:val="00085229"/>
    <w:rsid w:val="0008542A"/>
    <w:rsid w:val="00085585"/>
    <w:rsid w:val="00085973"/>
    <w:rsid w:val="000861FF"/>
    <w:rsid w:val="0008668D"/>
    <w:rsid w:val="00086980"/>
    <w:rsid w:val="0008710F"/>
    <w:rsid w:val="00087D47"/>
    <w:rsid w:val="00090C67"/>
    <w:rsid w:val="00090CC8"/>
    <w:rsid w:val="000922B0"/>
    <w:rsid w:val="00092385"/>
    <w:rsid w:val="00092543"/>
    <w:rsid w:val="00092789"/>
    <w:rsid w:val="00092893"/>
    <w:rsid w:val="00092F37"/>
    <w:rsid w:val="00095302"/>
    <w:rsid w:val="0009541B"/>
    <w:rsid w:val="000955F6"/>
    <w:rsid w:val="00095950"/>
    <w:rsid w:val="0009628B"/>
    <w:rsid w:val="00096D57"/>
    <w:rsid w:val="000970F0"/>
    <w:rsid w:val="0009712E"/>
    <w:rsid w:val="00097B14"/>
    <w:rsid w:val="00097CBB"/>
    <w:rsid w:val="000A0195"/>
    <w:rsid w:val="000A06CB"/>
    <w:rsid w:val="000A0C7C"/>
    <w:rsid w:val="000A1149"/>
    <w:rsid w:val="000A1549"/>
    <w:rsid w:val="000A2B2B"/>
    <w:rsid w:val="000A2E1A"/>
    <w:rsid w:val="000A3399"/>
    <w:rsid w:val="000A3D63"/>
    <w:rsid w:val="000A4495"/>
    <w:rsid w:val="000A4664"/>
    <w:rsid w:val="000A4AAE"/>
    <w:rsid w:val="000A4E74"/>
    <w:rsid w:val="000A52A9"/>
    <w:rsid w:val="000A5939"/>
    <w:rsid w:val="000A5A68"/>
    <w:rsid w:val="000A66D7"/>
    <w:rsid w:val="000A6B97"/>
    <w:rsid w:val="000A6D1B"/>
    <w:rsid w:val="000A7958"/>
    <w:rsid w:val="000A7B48"/>
    <w:rsid w:val="000B11B2"/>
    <w:rsid w:val="000B126F"/>
    <w:rsid w:val="000B1715"/>
    <w:rsid w:val="000B17C5"/>
    <w:rsid w:val="000B17FD"/>
    <w:rsid w:val="000B20AC"/>
    <w:rsid w:val="000B2F55"/>
    <w:rsid w:val="000B3DC6"/>
    <w:rsid w:val="000B3EF0"/>
    <w:rsid w:val="000B3FFD"/>
    <w:rsid w:val="000B4067"/>
    <w:rsid w:val="000B432B"/>
    <w:rsid w:val="000B5041"/>
    <w:rsid w:val="000B5051"/>
    <w:rsid w:val="000B5A14"/>
    <w:rsid w:val="000B61F5"/>
    <w:rsid w:val="000B633D"/>
    <w:rsid w:val="000B6507"/>
    <w:rsid w:val="000B666B"/>
    <w:rsid w:val="000B676D"/>
    <w:rsid w:val="000B68DF"/>
    <w:rsid w:val="000B7784"/>
    <w:rsid w:val="000C0462"/>
    <w:rsid w:val="000C0695"/>
    <w:rsid w:val="000C100A"/>
    <w:rsid w:val="000C1C1F"/>
    <w:rsid w:val="000C1DC9"/>
    <w:rsid w:val="000C2214"/>
    <w:rsid w:val="000C2832"/>
    <w:rsid w:val="000C2900"/>
    <w:rsid w:val="000C2A4F"/>
    <w:rsid w:val="000C2B4A"/>
    <w:rsid w:val="000C2C13"/>
    <w:rsid w:val="000C2C6F"/>
    <w:rsid w:val="000C2FB4"/>
    <w:rsid w:val="000C3C58"/>
    <w:rsid w:val="000C4127"/>
    <w:rsid w:val="000C43BF"/>
    <w:rsid w:val="000C4453"/>
    <w:rsid w:val="000C4806"/>
    <w:rsid w:val="000C4DFA"/>
    <w:rsid w:val="000C53AD"/>
    <w:rsid w:val="000C53F2"/>
    <w:rsid w:val="000C5D37"/>
    <w:rsid w:val="000C607F"/>
    <w:rsid w:val="000C617F"/>
    <w:rsid w:val="000C6222"/>
    <w:rsid w:val="000C69D0"/>
    <w:rsid w:val="000C6AF9"/>
    <w:rsid w:val="000C774E"/>
    <w:rsid w:val="000C7771"/>
    <w:rsid w:val="000C7AF9"/>
    <w:rsid w:val="000C7D67"/>
    <w:rsid w:val="000C7F3D"/>
    <w:rsid w:val="000D075B"/>
    <w:rsid w:val="000D0DA0"/>
    <w:rsid w:val="000D1A6F"/>
    <w:rsid w:val="000D1B2D"/>
    <w:rsid w:val="000D21C4"/>
    <w:rsid w:val="000D2BC0"/>
    <w:rsid w:val="000D3E87"/>
    <w:rsid w:val="000D447F"/>
    <w:rsid w:val="000D5436"/>
    <w:rsid w:val="000D58EC"/>
    <w:rsid w:val="000D5D68"/>
    <w:rsid w:val="000D6ADD"/>
    <w:rsid w:val="000D6BA3"/>
    <w:rsid w:val="000D72D0"/>
    <w:rsid w:val="000D75A0"/>
    <w:rsid w:val="000E06D1"/>
    <w:rsid w:val="000E07B7"/>
    <w:rsid w:val="000E08CA"/>
    <w:rsid w:val="000E0B02"/>
    <w:rsid w:val="000E0D35"/>
    <w:rsid w:val="000E100D"/>
    <w:rsid w:val="000E1C5E"/>
    <w:rsid w:val="000E1C6A"/>
    <w:rsid w:val="000E255A"/>
    <w:rsid w:val="000E38D1"/>
    <w:rsid w:val="000E46D9"/>
    <w:rsid w:val="000E558F"/>
    <w:rsid w:val="000E5592"/>
    <w:rsid w:val="000E5C93"/>
    <w:rsid w:val="000E68DA"/>
    <w:rsid w:val="000E6C51"/>
    <w:rsid w:val="000E7182"/>
    <w:rsid w:val="000E71A3"/>
    <w:rsid w:val="000E72D5"/>
    <w:rsid w:val="000E74AC"/>
    <w:rsid w:val="000F0F1C"/>
    <w:rsid w:val="000F2185"/>
    <w:rsid w:val="000F22FE"/>
    <w:rsid w:val="000F251F"/>
    <w:rsid w:val="000F2B5F"/>
    <w:rsid w:val="000F2DAA"/>
    <w:rsid w:val="000F3899"/>
    <w:rsid w:val="000F3904"/>
    <w:rsid w:val="000F4AC2"/>
    <w:rsid w:val="000F4C20"/>
    <w:rsid w:val="000F4F47"/>
    <w:rsid w:val="000F54D4"/>
    <w:rsid w:val="000F55B8"/>
    <w:rsid w:val="000F55EC"/>
    <w:rsid w:val="000F5B87"/>
    <w:rsid w:val="000F62F8"/>
    <w:rsid w:val="000F6EFD"/>
    <w:rsid w:val="000F7133"/>
    <w:rsid w:val="000F750D"/>
    <w:rsid w:val="000F79EA"/>
    <w:rsid w:val="000F7B4E"/>
    <w:rsid w:val="00100BC0"/>
    <w:rsid w:val="0010196A"/>
    <w:rsid w:val="00101BFD"/>
    <w:rsid w:val="001027DA"/>
    <w:rsid w:val="001028C2"/>
    <w:rsid w:val="00102BE0"/>
    <w:rsid w:val="001030D5"/>
    <w:rsid w:val="00104BFE"/>
    <w:rsid w:val="00104E56"/>
    <w:rsid w:val="0010553A"/>
    <w:rsid w:val="00106268"/>
    <w:rsid w:val="001063BB"/>
    <w:rsid w:val="00106A20"/>
    <w:rsid w:val="00106B41"/>
    <w:rsid w:val="00106FBF"/>
    <w:rsid w:val="00107FBF"/>
    <w:rsid w:val="00111746"/>
    <w:rsid w:val="00111DBB"/>
    <w:rsid w:val="00111F07"/>
    <w:rsid w:val="00112988"/>
    <w:rsid w:val="00113015"/>
    <w:rsid w:val="001131FD"/>
    <w:rsid w:val="00113629"/>
    <w:rsid w:val="001136D3"/>
    <w:rsid w:val="001149CC"/>
    <w:rsid w:val="00114CC0"/>
    <w:rsid w:val="0011502F"/>
    <w:rsid w:val="0011507B"/>
    <w:rsid w:val="00115DB1"/>
    <w:rsid w:val="00115E6B"/>
    <w:rsid w:val="00116272"/>
    <w:rsid w:val="00116376"/>
    <w:rsid w:val="001166AB"/>
    <w:rsid w:val="00116D62"/>
    <w:rsid w:val="00117625"/>
    <w:rsid w:val="00120292"/>
    <w:rsid w:val="0012048A"/>
    <w:rsid w:val="00120983"/>
    <w:rsid w:val="00120ADA"/>
    <w:rsid w:val="00120C4B"/>
    <w:rsid w:val="00120D8D"/>
    <w:rsid w:val="00121773"/>
    <w:rsid w:val="00121BB3"/>
    <w:rsid w:val="00121CB5"/>
    <w:rsid w:val="00121F77"/>
    <w:rsid w:val="00122866"/>
    <w:rsid w:val="00124065"/>
    <w:rsid w:val="00124622"/>
    <w:rsid w:val="001246A7"/>
    <w:rsid w:val="001246D6"/>
    <w:rsid w:val="001247E8"/>
    <w:rsid w:val="00124F3F"/>
    <w:rsid w:val="00124F52"/>
    <w:rsid w:val="00125459"/>
    <w:rsid w:val="00125E62"/>
    <w:rsid w:val="0012616B"/>
    <w:rsid w:val="001270BF"/>
    <w:rsid w:val="00127558"/>
    <w:rsid w:val="00127E98"/>
    <w:rsid w:val="001300F6"/>
    <w:rsid w:val="00130303"/>
    <w:rsid w:val="00130665"/>
    <w:rsid w:val="00131065"/>
    <w:rsid w:val="00131466"/>
    <w:rsid w:val="00131979"/>
    <w:rsid w:val="00131ABC"/>
    <w:rsid w:val="00132178"/>
    <w:rsid w:val="001322D3"/>
    <w:rsid w:val="001323DC"/>
    <w:rsid w:val="001332E3"/>
    <w:rsid w:val="00133607"/>
    <w:rsid w:val="00133D6C"/>
    <w:rsid w:val="0013457A"/>
    <w:rsid w:val="00135211"/>
    <w:rsid w:val="001358BB"/>
    <w:rsid w:val="0013622C"/>
    <w:rsid w:val="001371A5"/>
    <w:rsid w:val="00137548"/>
    <w:rsid w:val="001376BF"/>
    <w:rsid w:val="001378F0"/>
    <w:rsid w:val="00137AEE"/>
    <w:rsid w:val="00137D02"/>
    <w:rsid w:val="00140252"/>
    <w:rsid w:val="001406EB"/>
    <w:rsid w:val="00140BE0"/>
    <w:rsid w:val="00140FA7"/>
    <w:rsid w:val="00141EE7"/>
    <w:rsid w:val="001425F5"/>
    <w:rsid w:val="001433DD"/>
    <w:rsid w:val="00144BB9"/>
    <w:rsid w:val="0014538F"/>
    <w:rsid w:val="00145F32"/>
    <w:rsid w:val="00146317"/>
    <w:rsid w:val="00146D8A"/>
    <w:rsid w:val="001471C8"/>
    <w:rsid w:val="0014732A"/>
    <w:rsid w:val="00147FCE"/>
    <w:rsid w:val="00150B44"/>
    <w:rsid w:val="00150BAE"/>
    <w:rsid w:val="00150CF7"/>
    <w:rsid w:val="0015161B"/>
    <w:rsid w:val="00151C8C"/>
    <w:rsid w:val="00151EC2"/>
    <w:rsid w:val="001528A8"/>
    <w:rsid w:val="00152D76"/>
    <w:rsid w:val="00152FDC"/>
    <w:rsid w:val="00153435"/>
    <w:rsid w:val="0015349A"/>
    <w:rsid w:val="00153F8E"/>
    <w:rsid w:val="001554A0"/>
    <w:rsid w:val="0015612E"/>
    <w:rsid w:val="001564C0"/>
    <w:rsid w:val="00156AD5"/>
    <w:rsid w:val="00156D01"/>
    <w:rsid w:val="00156ECA"/>
    <w:rsid w:val="00157A4F"/>
    <w:rsid w:val="0016023D"/>
    <w:rsid w:val="00160405"/>
    <w:rsid w:val="00160AB4"/>
    <w:rsid w:val="00160C20"/>
    <w:rsid w:val="00161318"/>
    <w:rsid w:val="00161607"/>
    <w:rsid w:val="00161664"/>
    <w:rsid w:val="00161908"/>
    <w:rsid w:val="00161A69"/>
    <w:rsid w:val="00161D33"/>
    <w:rsid w:val="001624E0"/>
    <w:rsid w:val="00162617"/>
    <w:rsid w:val="001626F3"/>
    <w:rsid w:val="00163E4C"/>
    <w:rsid w:val="001640BD"/>
    <w:rsid w:val="001642E9"/>
    <w:rsid w:val="0016439F"/>
    <w:rsid w:val="001646CE"/>
    <w:rsid w:val="0016493E"/>
    <w:rsid w:val="00164D1B"/>
    <w:rsid w:val="00165069"/>
    <w:rsid w:val="001657E8"/>
    <w:rsid w:val="00165B8D"/>
    <w:rsid w:val="00166410"/>
    <w:rsid w:val="00166D1D"/>
    <w:rsid w:val="00166F44"/>
    <w:rsid w:val="0016735C"/>
    <w:rsid w:val="00167677"/>
    <w:rsid w:val="001676B7"/>
    <w:rsid w:val="00167D9D"/>
    <w:rsid w:val="00170043"/>
    <w:rsid w:val="001701E7"/>
    <w:rsid w:val="00170DE2"/>
    <w:rsid w:val="0017174F"/>
    <w:rsid w:val="00171E23"/>
    <w:rsid w:val="00172612"/>
    <w:rsid w:val="00172EC4"/>
    <w:rsid w:val="001737DF"/>
    <w:rsid w:val="00175590"/>
    <w:rsid w:val="00175682"/>
    <w:rsid w:val="001757B6"/>
    <w:rsid w:val="00175805"/>
    <w:rsid w:val="00175CC8"/>
    <w:rsid w:val="00175EBB"/>
    <w:rsid w:val="00175FE0"/>
    <w:rsid w:val="001769F3"/>
    <w:rsid w:val="001779E0"/>
    <w:rsid w:val="00177BBD"/>
    <w:rsid w:val="00177E7F"/>
    <w:rsid w:val="00177F5F"/>
    <w:rsid w:val="00180098"/>
    <w:rsid w:val="00181250"/>
    <w:rsid w:val="00181D67"/>
    <w:rsid w:val="00182009"/>
    <w:rsid w:val="001821FD"/>
    <w:rsid w:val="001825CC"/>
    <w:rsid w:val="001826A7"/>
    <w:rsid w:val="001830EE"/>
    <w:rsid w:val="001834AE"/>
    <w:rsid w:val="00183ACB"/>
    <w:rsid w:val="00183CB1"/>
    <w:rsid w:val="00184684"/>
    <w:rsid w:val="00184A75"/>
    <w:rsid w:val="001854E0"/>
    <w:rsid w:val="00185B0F"/>
    <w:rsid w:val="00185D81"/>
    <w:rsid w:val="00185EEA"/>
    <w:rsid w:val="00186EDD"/>
    <w:rsid w:val="00187106"/>
    <w:rsid w:val="0018725D"/>
    <w:rsid w:val="0018726A"/>
    <w:rsid w:val="00187682"/>
    <w:rsid w:val="001900D7"/>
    <w:rsid w:val="00190687"/>
    <w:rsid w:val="00190BFD"/>
    <w:rsid w:val="0019130A"/>
    <w:rsid w:val="00191B16"/>
    <w:rsid w:val="00192B47"/>
    <w:rsid w:val="0019369B"/>
    <w:rsid w:val="00193D12"/>
    <w:rsid w:val="0019504F"/>
    <w:rsid w:val="00195288"/>
    <w:rsid w:val="0019536A"/>
    <w:rsid w:val="00195609"/>
    <w:rsid w:val="00195662"/>
    <w:rsid w:val="00195F6E"/>
    <w:rsid w:val="001962AC"/>
    <w:rsid w:val="00197E56"/>
    <w:rsid w:val="001A0054"/>
    <w:rsid w:val="001A14F4"/>
    <w:rsid w:val="001A19AF"/>
    <w:rsid w:val="001A1D0F"/>
    <w:rsid w:val="001A2717"/>
    <w:rsid w:val="001A280D"/>
    <w:rsid w:val="001A2917"/>
    <w:rsid w:val="001A2C39"/>
    <w:rsid w:val="001A2CBD"/>
    <w:rsid w:val="001A3095"/>
    <w:rsid w:val="001A328E"/>
    <w:rsid w:val="001A397C"/>
    <w:rsid w:val="001A3FEF"/>
    <w:rsid w:val="001A43AC"/>
    <w:rsid w:val="001A4549"/>
    <w:rsid w:val="001A474B"/>
    <w:rsid w:val="001A5211"/>
    <w:rsid w:val="001A59B8"/>
    <w:rsid w:val="001A78D9"/>
    <w:rsid w:val="001B0393"/>
    <w:rsid w:val="001B0793"/>
    <w:rsid w:val="001B1253"/>
    <w:rsid w:val="001B125C"/>
    <w:rsid w:val="001B12D9"/>
    <w:rsid w:val="001B15F4"/>
    <w:rsid w:val="001B1ABC"/>
    <w:rsid w:val="001B1D04"/>
    <w:rsid w:val="001B2536"/>
    <w:rsid w:val="001B27AD"/>
    <w:rsid w:val="001B2E89"/>
    <w:rsid w:val="001B3698"/>
    <w:rsid w:val="001B3C5C"/>
    <w:rsid w:val="001B449C"/>
    <w:rsid w:val="001B47B3"/>
    <w:rsid w:val="001B4E78"/>
    <w:rsid w:val="001B522E"/>
    <w:rsid w:val="001B5A4E"/>
    <w:rsid w:val="001B5CF1"/>
    <w:rsid w:val="001B626B"/>
    <w:rsid w:val="001B6521"/>
    <w:rsid w:val="001B6EFE"/>
    <w:rsid w:val="001C02EC"/>
    <w:rsid w:val="001C0777"/>
    <w:rsid w:val="001C08B6"/>
    <w:rsid w:val="001C13AC"/>
    <w:rsid w:val="001C218F"/>
    <w:rsid w:val="001C21AE"/>
    <w:rsid w:val="001C2264"/>
    <w:rsid w:val="001C2469"/>
    <w:rsid w:val="001C26E5"/>
    <w:rsid w:val="001C285A"/>
    <w:rsid w:val="001C3FB7"/>
    <w:rsid w:val="001C40A4"/>
    <w:rsid w:val="001C4310"/>
    <w:rsid w:val="001C45B4"/>
    <w:rsid w:val="001C4E80"/>
    <w:rsid w:val="001C55E0"/>
    <w:rsid w:val="001C6036"/>
    <w:rsid w:val="001C60DC"/>
    <w:rsid w:val="001C70A8"/>
    <w:rsid w:val="001C7515"/>
    <w:rsid w:val="001D0333"/>
    <w:rsid w:val="001D03A9"/>
    <w:rsid w:val="001D0D4A"/>
    <w:rsid w:val="001D1147"/>
    <w:rsid w:val="001D1592"/>
    <w:rsid w:val="001D197C"/>
    <w:rsid w:val="001D2165"/>
    <w:rsid w:val="001D2764"/>
    <w:rsid w:val="001D308C"/>
    <w:rsid w:val="001D30E5"/>
    <w:rsid w:val="001D3330"/>
    <w:rsid w:val="001D34BF"/>
    <w:rsid w:val="001D42AE"/>
    <w:rsid w:val="001D430E"/>
    <w:rsid w:val="001D48B4"/>
    <w:rsid w:val="001D4AA3"/>
    <w:rsid w:val="001D4DB5"/>
    <w:rsid w:val="001D4F82"/>
    <w:rsid w:val="001D4FCB"/>
    <w:rsid w:val="001D55E8"/>
    <w:rsid w:val="001D5716"/>
    <w:rsid w:val="001D6107"/>
    <w:rsid w:val="001D61F9"/>
    <w:rsid w:val="001D6F14"/>
    <w:rsid w:val="001D7279"/>
    <w:rsid w:val="001D73D9"/>
    <w:rsid w:val="001D78A9"/>
    <w:rsid w:val="001D7A1D"/>
    <w:rsid w:val="001D7A88"/>
    <w:rsid w:val="001D7C26"/>
    <w:rsid w:val="001D7D77"/>
    <w:rsid w:val="001E01E5"/>
    <w:rsid w:val="001E079B"/>
    <w:rsid w:val="001E0842"/>
    <w:rsid w:val="001E0A85"/>
    <w:rsid w:val="001E1048"/>
    <w:rsid w:val="001E1485"/>
    <w:rsid w:val="001E1DDD"/>
    <w:rsid w:val="001E1E29"/>
    <w:rsid w:val="001E1FBA"/>
    <w:rsid w:val="001E2265"/>
    <w:rsid w:val="001E2AF3"/>
    <w:rsid w:val="001E33CF"/>
    <w:rsid w:val="001E3434"/>
    <w:rsid w:val="001E36EF"/>
    <w:rsid w:val="001E38B1"/>
    <w:rsid w:val="001E3F74"/>
    <w:rsid w:val="001E3FB1"/>
    <w:rsid w:val="001E45E6"/>
    <w:rsid w:val="001E47C1"/>
    <w:rsid w:val="001E4855"/>
    <w:rsid w:val="001E6266"/>
    <w:rsid w:val="001E6314"/>
    <w:rsid w:val="001E644B"/>
    <w:rsid w:val="001E6975"/>
    <w:rsid w:val="001E6D9A"/>
    <w:rsid w:val="001E7550"/>
    <w:rsid w:val="001E7B88"/>
    <w:rsid w:val="001E7F57"/>
    <w:rsid w:val="001F0129"/>
    <w:rsid w:val="001F01FC"/>
    <w:rsid w:val="001F0238"/>
    <w:rsid w:val="001F0CAB"/>
    <w:rsid w:val="001F1EC5"/>
    <w:rsid w:val="001F1F43"/>
    <w:rsid w:val="001F2A8A"/>
    <w:rsid w:val="001F3670"/>
    <w:rsid w:val="001F429F"/>
    <w:rsid w:val="001F4B32"/>
    <w:rsid w:val="001F4BE7"/>
    <w:rsid w:val="001F4EAA"/>
    <w:rsid w:val="001F5124"/>
    <w:rsid w:val="001F5AC5"/>
    <w:rsid w:val="001F5B1C"/>
    <w:rsid w:val="001F6409"/>
    <w:rsid w:val="001F6D6E"/>
    <w:rsid w:val="001F6EC4"/>
    <w:rsid w:val="001F6F43"/>
    <w:rsid w:val="001F7C05"/>
    <w:rsid w:val="001F7F0F"/>
    <w:rsid w:val="001F7FB1"/>
    <w:rsid w:val="00200E18"/>
    <w:rsid w:val="00200E9B"/>
    <w:rsid w:val="00201538"/>
    <w:rsid w:val="002015C4"/>
    <w:rsid w:val="00201D37"/>
    <w:rsid w:val="00201EFA"/>
    <w:rsid w:val="00202781"/>
    <w:rsid w:val="002028D5"/>
    <w:rsid w:val="0020314B"/>
    <w:rsid w:val="002034BD"/>
    <w:rsid w:val="00204207"/>
    <w:rsid w:val="00204DE3"/>
    <w:rsid w:val="00204FDF"/>
    <w:rsid w:val="0020533C"/>
    <w:rsid w:val="0020564A"/>
    <w:rsid w:val="00205684"/>
    <w:rsid w:val="00205BDE"/>
    <w:rsid w:val="002064B3"/>
    <w:rsid w:val="00206EF4"/>
    <w:rsid w:val="002101D8"/>
    <w:rsid w:val="00210956"/>
    <w:rsid w:val="00210AF1"/>
    <w:rsid w:val="00212797"/>
    <w:rsid w:val="00212AD4"/>
    <w:rsid w:val="00212CDA"/>
    <w:rsid w:val="00212E8D"/>
    <w:rsid w:val="00213125"/>
    <w:rsid w:val="002141DB"/>
    <w:rsid w:val="0021511B"/>
    <w:rsid w:val="002156E0"/>
    <w:rsid w:val="00215701"/>
    <w:rsid w:val="002159F8"/>
    <w:rsid w:val="00215C9B"/>
    <w:rsid w:val="00215D98"/>
    <w:rsid w:val="00215DCB"/>
    <w:rsid w:val="00216EF2"/>
    <w:rsid w:val="002176D1"/>
    <w:rsid w:val="00217725"/>
    <w:rsid w:val="002178DB"/>
    <w:rsid w:val="0021793F"/>
    <w:rsid w:val="0022012C"/>
    <w:rsid w:val="0022088C"/>
    <w:rsid w:val="00220940"/>
    <w:rsid w:val="00220B7B"/>
    <w:rsid w:val="00220EA0"/>
    <w:rsid w:val="00221482"/>
    <w:rsid w:val="00221A3D"/>
    <w:rsid w:val="00221CBB"/>
    <w:rsid w:val="002223CE"/>
    <w:rsid w:val="002228CE"/>
    <w:rsid w:val="00222DA0"/>
    <w:rsid w:val="00222E6E"/>
    <w:rsid w:val="00222E7B"/>
    <w:rsid w:val="002235D2"/>
    <w:rsid w:val="00223E52"/>
    <w:rsid w:val="002248D9"/>
    <w:rsid w:val="00224F53"/>
    <w:rsid w:val="0022532E"/>
    <w:rsid w:val="002255E0"/>
    <w:rsid w:val="00225A03"/>
    <w:rsid w:val="00226145"/>
    <w:rsid w:val="00226CD8"/>
    <w:rsid w:val="00227335"/>
    <w:rsid w:val="0022780C"/>
    <w:rsid w:val="00227F49"/>
    <w:rsid w:val="00227FFD"/>
    <w:rsid w:val="00230127"/>
    <w:rsid w:val="00230439"/>
    <w:rsid w:val="00230597"/>
    <w:rsid w:val="0023085B"/>
    <w:rsid w:val="00230CB8"/>
    <w:rsid w:val="00231113"/>
    <w:rsid w:val="00232332"/>
    <w:rsid w:val="0023279B"/>
    <w:rsid w:val="00232BCF"/>
    <w:rsid w:val="0023377D"/>
    <w:rsid w:val="00233ECF"/>
    <w:rsid w:val="00233F58"/>
    <w:rsid w:val="002341CE"/>
    <w:rsid w:val="00234622"/>
    <w:rsid w:val="0023487A"/>
    <w:rsid w:val="0023574C"/>
    <w:rsid w:val="00235E84"/>
    <w:rsid w:val="002362D3"/>
    <w:rsid w:val="002373B0"/>
    <w:rsid w:val="002401C1"/>
    <w:rsid w:val="00240C02"/>
    <w:rsid w:val="002413DA"/>
    <w:rsid w:val="00241458"/>
    <w:rsid w:val="00241819"/>
    <w:rsid w:val="002419F3"/>
    <w:rsid w:val="00241C56"/>
    <w:rsid w:val="00242562"/>
    <w:rsid w:val="00242608"/>
    <w:rsid w:val="00242E0D"/>
    <w:rsid w:val="00242F07"/>
    <w:rsid w:val="002453C0"/>
    <w:rsid w:val="0024567F"/>
    <w:rsid w:val="002460C9"/>
    <w:rsid w:val="002460FF"/>
    <w:rsid w:val="002467A3"/>
    <w:rsid w:val="0024682A"/>
    <w:rsid w:val="0024732B"/>
    <w:rsid w:val="002475F7"/>
    <w:rsid w:val="0024785C"/>
    <w:rsid w:val="00247ADF"/>
    <w:rsid w:val="00247C7F"/>
    <w:rsid w:val="00247FF9"/>
    <w:rsid w:val="00250F99"/>
    <w:rsid w:val="00251009"/>
    <w:rsid w:val="00252AFC"/>
    <w:rsid w:val="002531E4"/>
    <w:rsid w:val="00253DE8"/>
    <w:rsid w:val="00254045"/>
    <w:rsid w:val="0025472A"/>
    <w:rsid w:val="002552B3"/>
    <w:rsid w:val="002556A0"/>
    <w:rsid w:val="002559D5"/>
    <w:rsid w:val="00255F02"/>
    <w:rsid w:val="00256CEB"/>
    <w:rsid w:val="00257594"/>
    <w:rsid w:val="0025785D"/>
    <w:rsid w:val="00257FDC"/>
    <w:rsid w:val="00260C82"/>
    <w:rsid w:val="002610E1"/>
    <w:rsid w:val="00261AD7"/>
    <w:rsid w:val="00263BFE"/>
    <w:rsid w:val="002653BD"/>
    <w:rsid w:val="00265CEC"/>
    <w:rsid w:val="00265D9D"/>
    <w:rsid w:val="00265F1F"/>
    <w:rsid w:val="002660D2"/>
    <w:rsid w:val="0027005C"/>
    <w:rsid w:val="0027008F"/>
    <w:rsid w:val="002702BD"/>
    <w:rsid w:val="00270404"/>
    <w:rsid w:val="00270723"/>
    <w:rsid w:val="00270CBB"/>
    <w:rsid w:val="0027142F"/>
    <w:rsid w:val="00271AD4"/>
    <w:rsid w:val="002724AC"/>
    <w:rsid w:val="00272629"/>
    <w:rsid w:val="002727E6"/>
    <w:rsid w:val="002729DA"/>
    <w:rsid w:val="00272BE2"/>
    <w:rsid w:val="002740AF"/>
    <w:rsid w:val="002743A2"/>
    <w:rsid w:val="0027448C"/>
    <w:rsid w:val="002747B1"/>
    <w:rsid w:val="00274C49"/>
    <w:rsid w:val="00274E55"/>
    <w:rsid w:val="00275106"/>
    <w:rsid w:val="002759EB"/>
    <w:rsid w:val="00275FC6"/>
    <w:rsid w:val="002766F9"/>
    <w:rsid w:val="00277316"/>
    <w:rsid w:val="00277453"/>
    <w:rsid w:val="00277DD9"/>
    <w:rsid w:val="0028019C"/>
    <w:rsid w:val="0028167B"/>
    <w:rsid w:val="00281AA4"/>
    <w:rsid w:val="0028266C"/>
    <w:rsid w:val="00282679"/>
    <w:rsid w:val="00283424"/>
    <w:rsid w:val="002843D9"/>
    <w:rsid w:val="002847ED"/>
    <w:rsid w:val="0028546D"/>
    <w:rsid w:val="002864B2"/>
    <w:rsid w:val="00286B88"/>
    <w:rsid w:val="00286DE5"/>
    <w:rsid w:val="00287E1C"/>
    <w:rsid w:val="00290904"/>
    <w:rsid w:val="00290C11"/>
    <w:rsid w:val="00290C9B"/>
    <w:rsid w:val="002910B6"/>
    <w:rsid w:val="00291CD6"/>
    <w:rsid w:val="00292081"/>
    <w:rsid w:val="00292588"/>
    <w:rsid w:val="00292DCD"/>
    <w:rsid w:val="002930AD"/>
    <w:rsid w:val="002930C5"/>
    <w:rsid w:val="002930F8"/>
    <w:rsid w:val="002931A0"/>
    <w:rsid w:val="0029397F"/>
    <w:rsid w:val="00293F4A"/>
    <w:rsid w:val="00294BD2"/>
    <w:rsid w:val="00294EE7"/>
    <w:rsid w:val="00296F09"/>
    <w:rsid w:val="00297165"/>
    <w:rsid w:val="00297453"/>
    <w:rsid w:val="00297A56"/>
    <w:rsid w:val="002A0A30"/>
    <w:rsid w:val="002A0D34"/>
    <w:rsid w:val="002A0DD8"/>
    <w:rsid w:val="002A1156"/>
    <w:rsid w:val="002A1348"/>
    <w:rsid w:val="002A157A"/>
    <w:rsid w:val="002A16E7"/>
    <w:rsid w:val="002A2814"/>
    <w:rsid w:val="002A3240"/>
    <w:rsid w:val="002A3253"/>
    <w:rsid w:val="002A3ABB"/>
    <w:rsid w:val="002A3B29"/>
    <w:rsid w:val="002A40A0"/>
    <w:rsid w:val="002A462C"/>
    <w:rsid w:val="002A4F20"/>
    <w:rsid w:val="002A4FBB"/>
    <w:rsid w:val="002A5A7C"/>
    <w:rsid w:val="002A5E0D"/>
    <w:rsid w:val="002A616A"/>
    <w:rsid w:val="002A707F"/>
    <w:rsid w:val="002A7ADC"/>
    <w:rsid w:val="002B0232"/>
    <w:rsid w:val="002B0E2D"/>
    <w:rsid w:val="002B1211"/>
    <w:rsid w:val="002B1EFF"/>
    <w:rsid w:val="002B1F09"/>
    <w:rsid w:val="002B2608"/>
    <w:rsid w:val="002B285A"/>
    <w:rsid w:val="002B29D7"/>
    <w:rsid w:val="002B2AF8"/>
    <w:rsid w:val="002B2F18"/>
    <w:rsid w:val="002B323A"/>
    <w:rsid w:val="002B38AB"/>
    <w:rsid w:val="002B578D"/>
    <w:rsid w:val="002B5A2B"/>
    <w:rsid w:val="002B60B8"/>
    <w:rsid w:val="002B60DC"/>
    <w:rsid w:val="002B6394"/>
    <w:rsid w:val="002B6E64"/>
    <w:rsid w:val="002B7094"/>
    <w:rsid w:val="002B7129"/>
    <w:rsid w:val="002B7695"/>
    <w:rsid w:val="002B7D32"/>
    <w:rsid w:val="002C0512"/>
    <w:rsid w:val="002C0CD3"/>
    <w:rsid w:val="002C12D5"/>
    <w:rsid w:val="002C135F"/>
    <w:rsid w:val="002C18C0"/>
    <w:rsid w:val="002C1C07"/>
    <w:rsid w:val="002C2724"/>
    <w:rsid w:val="002C34F0"/>
    <w:rsid w:val="002C3662"/>
    <w:rsid w:val="002C3A41"/>
    <w:rsid w:val="002C3B01"/>
    <w:rsid w:val="002C451D"/>
    <w:rsid w:val="002C4863"/>
    <w:rsid w:val="002C4987"/>
    <w:rsid w:val="002C6CE9"/>
    <w:rsid w:val="002C742B"/>
    <w:rsid w:val="002C783E"/>
    <w:rsid w:val="002C798F"/>
    <w:rsid w:val="002C79B8"/>
    <w:rsid w:val="002D0ADC"/>
    <w:rsid w:val="002D1C47"/>
    <w:rsid w:val="002D1F7F"/>
    <w:rsid w:val="002D2928"/>
    <w:rsid w:val="002D2D55"/>
    <w:rsid w:val="002D2E8E"/>
    <w:rsid w:val="002D30A0"/>
    <w:rsid w:val="002D32E2"/>
    <w:rsid w:val="002D334A"/>
    <w:rsid w:val="002D4F4B"/>
    <w:rsid w:val="002D51F7"/>
    <w:rsid w:val="002D52A2"/>
    <w:rsid w:val="002D5962"/>
    <w:rsid w:val="002D5D07"/>
    <w:rsid w:val="002D7159"/>
    <w:rsid w:val="002D7957"/>
    <w:rsid w:val="002D79D3"/>
    <w:rsid w:val="002E0326"/>
    <w:rsid w:val="002E1112"/>
    <w:rsid w:val="002E1339"/>
    <w:rsid w:val="002E1819"/>
    <w:rsid w:val="002E182B"/>
    <w:rsid w:val="002E1A06"/>
    <w:rsid w:val="002E1BB7"/>
    <w:rsid w:val="002E28FF"/>
    <w:rsid w:val="002E2A1E"/>
    <w:rsid w:val="002E2B3C"/>
    <w:rsid w:val="002E2C96"/>
    <w:rsid w:val="002E2E56"/>
    <w:rsid w:val="002E3112"/>
    <w:rsid w:val="002E355C"/>
    <w:rsid w:val="002E3746"/>
    <w:rsid w:val="002E39FB"/>
    <w:rsid w:val="002E45A1"/>
    <w:rsid w:val="002E4B41"/>
    <w:rsid w:val="002E5083"/>
    <w:rsid w:val="002E570A"/>
    <w:rsid w:val="002E5E0D"/>
    <w:rsid w:val="002E5E59"/>
    <w:rsid w:val="002E68B9"/>
    <w:rsid w:val="002E6DFA"/>
    <w:rsid w:val="002E79BD"/>
    <w:rsid w:val="002E7B6A"/>
    <w:rsid w:val="002F0740"/>
    <w:rsid w:val="002F0C82"/>
    <w:rsid w:val="002F0E65"/>
    <w:rsid w:val="002F18E7"/>
    <w:rsid w:val="002F1A28"/>
    <w:rsid w:val="002F1A7D"/>
    <w:rsid w:val="002F21D6"/>
    <w:rsid w:val="002F274B"/>
    <w:rsid w:val="002F281F"/>
    <w:rsid w:val="002F2934"/>
    <w:rsid w:val="002F29AD"/>
    <w:rsid w:val="002F3A15"/>
    <w:rsid w:val="002F3EDF"/>
    <w:rsid w:val="002F3F8B"/>
    <w:rsid w:val="002F45BC"/>
    <w:rsid w:val="002F5860"/>
    <w:rsid w:val="002F59FA"/>
    <w:rsid w:val="002F5CE4"/>
    <w:rsid w:val="002F60DF"/>
    <w:rsid w:val="002F6259"/>
    <w:rsid w:val="002F69BB"/>
    <w:rsid w:val="002F6E11"/>
    <w:rsid w:val="002F7564"/>
    <w:rsid w:val="002F7A42"/>
    <w:rsid w:val="002F7C96"/>
    <w:rsid w:val="00300D2C"/>
    <w:rsid w:val="003010C6"/>
    <w:rsid w:val="003014D5"/>
    <w:rsid w:val="003014F9"/>
    <w:rsid w:val="0030219F"/>
    <w:rsid w:val="00303671"/>
    <w:rsid w:val="00303AF8"/>
    <w:rsid w:val="00304085"/>
    <w:rsid w:val="0030426C"/>
    <w:rsid w:val="003044B2"/>
    <w:rsid w:val="00304BA5"/>
    <w:rsid w:val="003052CB"/>
    <w:rsid w:val="003056B1"/>
    <w:rsid w:val="00305F6C"/>
    <w:rsid w:val="00306604"/>
    <w:rsid w:val="00306BCD"/>
    <w:rsid w:val="0031045D"/>
    <w:rsid w:val="003109E6"/>
    <w:rsid w:val="00310EF9"/>
    <w:rsid w:val="003115D4"/>
    <w:rsid w:val="0031165B"/>
    <w:rsid w:val="0031182B"/>
    <w:rsid w:val="003123CB"/>
    <w:rsid w:val="00312CD1"/>
    <w:rsid w:val="00312D47"/>
    <w:rsid w:val="0031305F"/>
    <w:rsid w:val="00313499"/>
    <w:rsid w:val="003135FC"/>
    <w:rsid w:val="0031406E"/>
    <w:rsid w:val="00314A51"/>
    <w:rsid w:val="00315203"/>
    <w:rsid w:val="003154CE"/>
    <w:rsid w:val="00316C42"/>
    <w:rsid w:val="00317EC0"/>
    <w:rsid w:val="00320139"/>
    <w:rsid w:val="003204FC"/>
    <w:rsid w:val="00320CD2"/>
    <w:rsid w:val="00320DF4"/>
    <w:rsid w:val="00321325"/>
    <w:rsid w:val="00321CD2"/>
    <w:rsid w:val="00321D46"/>
    <w:rsid w:val="003226EE"/>
    <w:rsid w:val="00322956"/>
    <w:rsid w:val="00322B03"/>
    <w:rsid w:val="00322F4E"/>
    <w:rsid w:val="00323054"/>
    <w:rsid w:val="00323088"/>
    <w:rsid w:val="0032361C"/>
    <w:rsid w:val="00323F80"/>
    <w:rsid w:val="00324949"/>
    <w:rsid w:val="00324C3F"/>
    <w:rsid w:val="00324D82"/>
    <w:rsid w:val="0032570C"/>
    <w:rsid w:val="003259B8"/>
    <w:rsid w:val="00326BB0"/>
    <w:rsid w:val="00326E8E"/>
    <w:rsid w:val="00326F37"/>
    <w:rsid w:val="00327676"/>
    <w:rsid w:val="003277E0"/>
    <w:rsid w:val="00327DD4"/>
    <w:rsid w:val="00330120"/>
    <w:rsid w:val="00330180"/>
    <w:rsid w:val="00330C3B"/>
    <w:rsid w:val="00330D04"/>
    <w:rsid w:val="003310EB"/>
    <w:rsid w:val="0033134C"/>
    <w:rsid w:val="0033148E"/>
    <w:rsid w:val="00331A1A"/>
    <w:rsid w:val="00331D23"/>
    <w:rsid w:val="0033214C"/>
    <w:rsid w:val="003328F2"/>
    <w:rsid w:val="00332BD1"/>
    <w:rsid w:val="00333541"/>
    <w:rsid w:val="0033371A"/>
    <w:rsid w:val="0033392B"/>
    <w:rsid w:val="003343F4"/>
    <w:rsid w:val="003347AD"/>
    <w:rsid w:val="00334840"/>
    <w:rsid w:val="00335A01"/>
    <w:rsid w:val="00335D6D"/>
    <w:rsid w:val="00335EB8"/>
    <w:rsid w:val="00336276"/>
    <w:rsid w:val="0033635E"/>
    <w:rsid w:val="0033762B"/>
    <w:rsid w:val="003402BA"/>
    <w:rsid w:val="003405E8"/>
    <w:rsid w:val="003416A0"/>
    <w:rsid w:val="0034196C"/>
    <w:rsid w:val="003421CC"/>
    <w:rsid w:val="003426ED"/>
    <w:rsid w:val="00342818"/>
    <w:rsid w:val="00342E62"/>
    <w:rsid w:val="00342F46"/>
    <w:rsid w:val="003434BE"/>
    <w:rsid w:val="00343E6F"/>
    <w:rsid w:val="003442CD"/>
    <w:rsid w:val="003442F9"/>
    <w:rsid w:val="00345471"/>
    <w:rsid w:val="003455EA"/>
    <w:rsid w:val="00345C38"/>
    <w:rsid w:val="003464F8"/>
    <w:rsid w:val="003473CE"/>
    <w:rsid w:val="003474F9"/>
    <w:rsid w:val="003478EC"/>
    <w:rsid w:val="00347A55"/>
    <w:rsid w:val="00350FCE"/>
    <w:rsid w:val="00351CDC"/>
    <w:rsid w:val="00351F0F"/>
    <w:rsid w:val="003524B2"/>
    <w:rsid w:val="003526CF"/>
    <w:rsid w:val="00352D8A"/>
    <w:rsid w:val="00353134"/>
    <w:rsid w:val="00353139"/>
    <w:rsid w:val="00353174"/>
    <w:rsid w:val="00354355"/>
    <w:rsid w:val="0035481E"/>
    <w:rsid w:val="00354CDD"/>
    <w:rsid w:val="003552BF"/>
    <w:rsid w:val="00355650"/>
    <w:rsid w:val="003561CB"/>
    <w:rsid w:val="0035677A"/>
    <w:rsid w:val="003567C7"/>
    <w:rsid w:val="00356E5D"/>
    <w:rsid w:val="00357421"/>
    <w:rsid w:val="003576E8"/>
    <w:rsid w:val="00357994"/>
    <w:rsid w:val="0036004B"/>
    <w:rsid w:val="003604BD"/>
    <w:rsid w:val="003604F7"/>
    <w:rsid w:val="003605BA"/>
    <w:rsid w:val="00360675"/>
    <w:rsid w:val="003622CB"/>
    <w:rsid w:val="003628F4"/>
    <w:rsid w:val="0036306A"/>
    <w:rsid w:val="00364BC7"/>
    <w:rsid w:val="00365921"/>
    <w:rsid w:val="00365DB3"/>
    <w:rsid w:val="00366317"/>
    <w:rsid w:val="003663F5"/>
    <w:rsid w:val="00366DDB"/>
    <w:rsid w:val="00367536"/>
    <w:rsid w:val="0036781E"/>
    <w:rsid w:val="00367DBB"/>
    <w:rsid w:val="00367DDA"/>
    <w:rsid w:val="00370582"/>
    <w:rsid w:val="00370A22"/>
    <w:rsid w:val="00371F4F"/>
    <w:rsid w:val="00372082"/>
    <w:rsid w:val="003733D9"/>
    <w:rsid w:val="0037348F"/>
    <w:rsid w:val="003734EC"/>
    <w:rsid w:val="003736EC"/>
    <w:rsid w:val="00373E0C"/>
    <w:rsid w:val="00374253"/>
    <w:rsid w:val="003745A3"/>
    <w:rsid w:val="0037478B"/>
    <w:rsid w:val="0037495F"/>
    <w:rsid w:val="00374B8F"/>
    <w:rsid w:val="00374CA1"/>
    <w:rsid w:val="003753B8"/>
    <w:rsid w:val="00375D8B"/>
    <w:rsid w:val="00375E9F"/>
    <w:rsid w:val="003760AC"/>
    <w:rsid w:val="0037703B"/>
    <w:rsid w:val="00377100"/>
    <w:rsid w:val="00377654"/>
    <w:rsid w:val="0037796A"/>
    <w:rsid w:val="003801C2"/>
    <w:rsid w:val="003807A8"/>
    <w:rsid w:val="00380A53"/>
    <w:rsid w:val="003815E1"/>
    <w:rsid w:val="00382A1D"/>
    <w:rsid w:val="00382E84"/>
    <w:rsid w:val="00383658"/>
    <w:rsid w:val="00383839"/>
    <w:rsid w:val="00383898"/>
    <w:rsid w:val="0038391D"/>
    <w:rsid w:val="00383ACB"/>
    <w:rsid w:val="00384274"/>
    <w:rsid w:val="00385020"/>
    <w:rsid w:val="003850EC"/>
    <w:rsid w:val="003852EA"/>
    <w:rsid w:val="0038692F"/>
    <w:rsid w:val="0038708D"/>
    <w:rsid w:val="0038767F"/>
    <w:rsid w:val="003908D3"/>
    <w:rsid w:val="003921AF"/>
    <w:rsid w:val="00392757"/>
    <w:rsid w:val="0039284F"/>
    <w:rsid w:val="00392921"/>
    <w:rsid w:val="00392A69"/>
    <w:rsid w:val="00392AFA"/>
    <w:rsid w:val="00392B9D"/>
    <w:rsid w:val="003937C6"/>
    <w:rsid w:val="00393881"/>
    <w:rsid w:val="003943AD"/>
    <w:rsid w:val="0039481C"/>
    <w:rsid w:val="00394A80"/>
    <w:rsid w:val="00394C6A"/>
    <w:rsid w:val="00395514"/>
    <w:rsid w:val="00395B29"/>
    <w:rsid w:val="00396D14"/>
    <w:rsid w:val="00396E36"/>
    <w:rsid w:val="00397407"/>
    <w:rsid w:val="003A0091"/>
    <w:rsid w:val="003A021D"/>
    <w:rsid w:val="003A04C3"/>
    <w:rsid w:val="003A097E"/>
    <w:rsid w:val="003A0D57"/>
    <w:rsid w:val="003A0EC4"/>
    <w:rsid w:val="003A10A9"/>
    <w:rsid w:val="003A1C98"/>
    <w:rsid w:val="003A1DFE"/>
    <w:rsid w:val="003A228E"/>
    <w:rsid w:val="003A2718"/>
    <w:rsid w:val="003A3FBF"/>
    <w:rsid w:val="003A41C5"/>
    <w:rsid w:val="003A468A"/>
    <w:rsid w:val="003A4E64"/>
    <w:rsid w:val="003A52A9"/>
    <w:rsid w:val="003A546B"/>
    <w:rsid w:val="003A5BF1"/>
    <w:rsid w:val="003A6DCE"/>
    <w:rsid w:val="003A71DD"/>
    <w:rsid w:val="003A73F9"/>
    <w:rsid w:val="003A79AE"/>
    <w:rsid w:val="003A7A3C"/>
    <w:rsid w:val="003A7F6E"/>
    <w:rsid w:val="003B0016"/>
    <w:rsid w:val="003B0C64"/>
    <w:rsid w:val="003B211C"/>
    <w:rsid w:val="003B2660"/>
    <w:rsid w:val="003B28B7"/>
    <w:rsid w:val="003B3B43"/>
    <w:rsid w:val="003B40CF"/>
    <w:rsid w:val="003B443B"/>
    <w:rsid w:val="003B4C16"/>
    <w:rsid w:val="003B5491"/>
    <w:rsid w:val="003B5504"/>
    <w:rsid w:val="003B5716"/>
    <w:rsid w:val="003B59E4"/>
    <w:rsid w:val="003B5C9D"/>
    <w:rsid w:val="003B7AA0"/>
    <w:rsid w:val="003C0396"/>
    <w:rsid w:val="003C04E5"/>
    <w:rsid w:val="003C0544"/>
    <w:rsid w:val="003C0C03"/>
    <w:rsid w:val="003C0C4B"/>
    <w:rsid w:val="003C0F0A"/>
    <w:rsid w:val="003C20B9"/>
    <w:rsid w:val="003C22CD"/>
    <w:rsid w:val="003C2568"/>
    <w:rsid w:val="003C3640"/>
    <w:rsid w:val="003C3ACE"/>
    <w:rsid w:val="003C3D09"/>
    <w:rsid w:val="003C492A"/>
    <w:rsid w:val="003C549A"/>
    <w:rsid w:val="003C582F"/>
    <w:rsid w:val="003C5AD5"/>
    <w:rsid w:val="003C5BE8"/>
    <w:rsid w:val="003C5FA2"/>
    <w:rsid w:val="003C653B"/>
    <w:rsid w:val="003C65F0"/>
    <w:rsid w:val="003C687A"/>
    <w:rsid w:val="003C718E"/>
    <w:rsid w:val="003C736B"/>
    <w:rsid w:val="003D1122"/>
    <w:rsid w:val="003D1518"/>
    <w:rsid w:val="003D1C17"/>
    <w:rsid w:val="003D2BBA"/>
    <w:rsid w:val="003D2E78"/>
    <w:rsid w:val="003D2F4B"/>
    <w:rsid w:val="003D30D7"/>
    <w:rsid w:val="003D355C"/>
    <w:rsid w:val="003D392A"/>
    <w:rsid w:val="003D3A0C"/>
    <w:rsid w:val="003D3E9E"/>
    <w:rsid w:val="003D3EC8"/>
    <w:rsid w:val="003D3F11"/>
    <w:rsid w:val="003D3F99"/>
    <w:rsid w:val="003D4142"/>
    <w:rsid w:val="003D4F06"/>
    <w:rsid w:val="003D53DD"/>
    <w:rsid w:val="003D544E"/>
    <w:rsid w:val="003D5A25"/>
    <w:rsid w:val="003D5BE3"/>
    <w:rsid w:val="003D606B"/>
    <w:rsid w:val="003D63D4"/>
    <w:rsid w:val="003D63E5"/>
    <w:rsid w:val="003D6B0A"/>
    <w:rsid w:val="003D74A1"/>
    <w:rsid w:val="003D7948"/>
    <w:rsid w:val="003E05C7"/>
    <w:rsid w:val="003E0F14"/>
    <w:rsid w:val="003E1926"/>
    <w:rsid w:val="003E22CB"/>
    <w:rsid w:val="003E2402"/>
    <w:rsid w:val="003E2C19"/>
    <w:rsid w:val="003E349B"/>
    <w:rsid w:val="003E3832"/>
    <w:rsid w:val="003E3AFA"/>
    <w:rsid w:val="003E446F"/>
    <w:rsid w:val="003E4810"/>
    <w:rsid w:val="003E6C51"/>
    <w:rsid w:val="003E728E"/>
    <w:rsid w:val="003E77DB"/>
    <w:rsid w:val="003E7BF9"/>
    <w:rsid w:val="003E7D00"/>
    <w:rsid w:val="003F012C"/>
    <w:rsid w:val="003F01CE"/>
    <w:rsid w:val="003F05FB"/>
    <w:rsid w:val="003F0AD8"/>
    <w:rsid w:val="003F14A0"/>
    <w:rsid w:val="003F1D20"/>
    <w:rsid w:val="003F1D4C"/>
    <w:rsid w:val="003F1FF7"/>
    <w:rsid w:val="003F216F"/>
    <w:rsid w:val="003F2B44"/>
    <w:rsid w:val="003F38D6"/>
    <w:rsid w:val="003F4BAB"/>
    <w:rsid w:val="003F4DDF"/>
    <w:rsid w:val="003F4F0B"/>
    <w:rsid w:val="003F614E"/>
    <w:rsid w:val="003F623D"/>
    <w:rsid w:val="003F6CF0"/>
    <w:rsid w:val="003F7A46"/>
    <w:rsid w:val="00400224"/>
    <w:rsid w:val="00400574"/>
    <w:rsid w:val="004005B5"/>
    <w:rsid w:val="0040260F"/>
    <w:rsid w:val="0040268E"/>
    <w:rsid w:val="004027FA"/>
    <w:rsid w:val="00402A09"/>
    <w:rsid w:val="00402D6D"/>
    <w:rsid w:val="00402D8A"/>
    <w:rsid w:val="00402F3F"/>
    <w:rsid w:val="00402FAA"/>
    <w:rsid w:val="0040368C"/>
    <w:rsid w:val="0040454A"/>
    <w:rsid w:val="00404552"/>
    <w:rsid w:val="00404ADC"/>
    <w:rsid w:val="00404E42"/>
    <w:rsid w:val="0040561A"/>
    <w:rsid w:val="004057A1"/>
    <w:rsid w:val="0040599D"/>
    <w:rsid w:val="00405E19"/>
    <w:rsid w:val="00406028"/>
    <w:rsid w:val="0040615F"/>
    <w:rsid w:val="004063BC"/>
    <w:rsid w:val="00406744"/>
    <w:rsid w:val="00406BF2"/>
    <w:rsid w:val="00406EEC"/>
    <w:rsid w:val="00407744"/>
    <w:rsid w:val="004079B2"/>
    <w:rsid w:val="00410ACD"/>
    <w:rsid w:val="00410E81"/>
    <w:rsid w:val="00410F42"/>
    <w:rsid w:val="0041135E"/>
    <w:rsid w:val="0041180C"/>
    <w:rsid w:val="004125C6"/>
    <w:rsid w:val="00412944"/>
    <w:rsid w:val="00412BC2"/>
    <w:rsid w:val="00412D1A"/>
    <w:rsid w:val="004130E0"/>
    <w:rsid w:val="00413DA0"/>
    <w:rsid w:val="0041454B"/>
    <w:rsid w:val="00414A19"/>
    <w:rsid w:val="0041542A"/>
    <w:rsid w:val="004156EC"/>
    <w:rsid w:val="0041623F"/>
    <w:rsid w:val="00416281"/>
    <w:rsid w:val="00417988"/>
    <w:rsid w:val="00417DEC"/>
    <w:rsid w:val="00420E57"/>
    <w:rsid w:val="00420F39"/>
    <w:rsid w:val="0042113C"/>
    <w:rsid w:val="004222D4"/>
    <w:rsid w:val="00422477"/>
    <w:rsid w:val="0042247B"/>
    <w:rsid w:val="004224F4"/>
    <w:rsid w:val="00422715"/>
    <w:rsid w:val="00423153"/>
    <w:rsid w:val="004234DA"/>
    <w:rsid w:val="00423941"/>
    <w:rsid w:val="00423AA1"/>
    <w:rsid w:val="004246A4"/>
    <w:rsid w:val="00424C87"/>
    <w:rsid w:val="00424CE1"/>
    <w:rsid w:val="00424E6C"/>
    <w:rsid w:val="004251B6"/>
    <w:rsid w:val="004252B4"/>
    <w:rsid w:val="0042596D"/>
    <w:rsid w:val="0042598A"/>
    <w:rsid w:val="00425B70"/>
    <w:rsid w:val="00426161"/>
    <w:rsid w:val="0043077C"/>
    <w:rsid w:val="00430DA8"/>
    <w:rsid w:val="00431594"/>
    <w:rsid w:val="0043163B"/>
    <w:rsid w:val="00431B40"/>
    <w:rsid w:val="004325CE"/>
    <w:rsid w:val="00432DE2"/>
    <w:rsid w:val="0043310A"/>
    <w:rsid w:val="0043364B"/>
    <w:rsid w:val="0043395D"/>
    <w:rsid w:val="00433CF2"/>
    <w:rsid w:val="00434458"/>
    <w:rsid w:val="00434879"/>
    <w:rsid w:val="00434C7F"/>
    <w:rsid w:val="0043508A"/>
    <w:rsid w:val="0043548E"/>
    <w:rsid w:val="004356D0"/>
    <w:rsid w:val="00435CB4"/>
    <w:rsid w:val="00436020"/>
    <w:rsid w:val="004360B6"/>
    <w:rsid w:val="00436A22"/>
    <w:rsid w:val="00436F57"/>
    <w:rsid w:val="004372F3"/>
    <w:rsid w:val="00440391"/>
    <w:rsid w:val="00440475"/>
    <w:rsid w:val="00440705"/>
    <w:rsid w:val="00441A1C"/>
    <w:rsid w:val="00441D14"/>
    <w:rsid w:val="0044223C"/>
    <w:rsid w:val="004426FE"/>
    <w:rsid w:val="004429A8"/>
    <w:rsid w:val="00442CA8"/>
    <w:rsid w:val="00443475"/>
    <w:rsid w:val="004435D7"/>
    <w:rsid w:val="004438C4"/>
    <w:rsid w:val="00443B11"/>
    <w:rsid w:val="00443FDB"/>
    <w:rsid w:val="004444AB"/>
    <w:rsid w:val="0044466E"/>
    <w:rsid w:val="00444CAE"/>
    <w:rsid w:val="00445D59"/>
    <w:rsid w:val="004460D0"/>
    <w:rsid w:val="00447744"/>
    <w:rsid w:val="00447789"/>
    <w:rsid w:val="004479AC"/>
    <w:rsid w:val="00447C55"/>
    <w:rsid w:val="00450388"/>
    <w:rsid w:val="00451252"/>
    <w:rsid w:val="00451491"/>
    <w:rsid w:val="00451515"/>
    <w:rsid w:val="00452910"/>
    <w:rsid w:val="00453185"/>
    <w:rsid w:val="004536A9"/>
    <w:rsid w:val="0045460F"/>
    <w:rsid w:val="00454B3A"/>
    <w:rsid w:val="00455095"/>
    <w:rsid w:val="00455213"/>
    <w:rsid w:val="00455350"/>
    <w:rsid w:val="00456EDA"/>
    <w:rsid w:val="00457A14"/>
    <w:rsid w:val="00457BB8"/>
    <w:rsid w:val="00457EEE"/>
    <w:rsid w:val="00460083"/>
    <w:rsid w:val="00460A6E"/>
    <w:rsid w:val="00462595"/>
    <w:rsid w:val="00462BCF"/>
    <w:rsid w:val="004631D8"/>
    <w:rsid w:val="004633DA"/>
    <w:rsid w:val="004639C1"/>
    <w:rsid w:val="00463FD6"/>
    <w:rsid w:val="00464E47"/>
    <w:rsid w:val="0046557C"/>
    <w:rsid w:val="004656C4"/>
    <w:rsid w:val="00465A64"/>
    <w:rsid w:val="00466005"/>
    <w:rsid w:val="00466E30"/>
    <w:rsid w:val="004672B1"/>
    <w:rsid w:val="004678F1"/>
    <w:rsid w:val="00467FDD"/>
    <w:rsid w:val="004718FD"/>
    <w:rsid w:val="00471C89"/>
    <w:rsid w:val="00472203"/>
    <w:rsid w:val="00472B2F"/>
    <w:rsid w:val="00472EEC"/>
    <w:rsid w:val="00473992"/>
    <w:rsid w:val="004746D0"/>
    <w:rsid w:val="00474CAE"/>
    <w:rsid w:val="0047558D"/>
    <w:rsid w:val="0047601E"/>
    <w:rsid w:val="0047651B"/>
    <w:rsid w:val="004767EC"/>
    <w:rsid w:val="00477BCB"/>
    <w:rsid w:val="00480259"/>
    <w:rsid w:val="00480337"/>
    <w:rsid w:val="0048068F"/>
    <w:rsid w:val="00480967"/>
    <w:rsid w:val="004809DF"/>
    <w:rsid w:val="00480FD0"/>
    <w:rsid w:val="004810CC"/>
    <w:rsid w:val="00481E81"/>
    <w:rsid w:val="004821F9"/>
    <w:rsid w:val="004825A2"/>
    <w:rsid w:val="0048271E"/>
    <w:rsid w:val="00482B20"/>
    <w:rsid w:val="00483122"/>
    <w:rsid w:val="004836DF"/>
    <w:rsid w:val="00483AF3"/>
    <w:rsid w:val="00484100"/>
    <w:rsid w:val="004841A7"/>
    <w:rsid w:val="00484642"/>
    <w:rsid w:val="004855BC"/>
    <w:rsid w:val="004857CA"/>
    <w:rsid w:val="0048603B"/>
    <w:rsid w:val="004864D1"/>
    <w:rsid w:val="0048694F"/>
    <w:rsid w:val="004873C3"/>
    <w:rsid w:val="004901B6"/>
    <w:rsid w:val="00490366"/>
    <w:rsid w:val="004909C1"/>
    <w:rsid w:val="00490CDA"/>
    <w:rsid w:val="0049174C"/>
    <w:rsid w:val="00491FBC"/>
    <w:rsid w:val="00492456"/>
    <w:rsid w:val="00492831"/>
    <w:rsid w:val="00492A12"/>
    <w:rsid w:val="00492D24"/>
    <w:rsid w:val="004935D2"/>
    <w:rsid w:val="00493E3D"/>
    <w:rsid w:val="00493E71"/>
    <w:rsid w:val="00493F71"/>
    <w:rsid w:val="00494D8E"/>
    <w:rsid w:val="00495278"/>
    <w:rsid w:val="00495455"/>
    <w:rsid w:val="00495796"/>
    <w:rsid w:val="00495809"/>
    <w:rsid w:val="00495E84"/>
    <w:rsid w:val="00497D47"/>
    <w:rsid w:val="00497FC5"/>
    <w:rsid w:val="004A04DD"/>
    <w:rsid w:val="004A087A"/>
    <w:rsid w:val="004A088B"/>
    <w:rsid w:val="004A1423"/>
    <w:rsid w:val="004A40F2"/>
    <w:rsid w:val="004A45F9"/>
    <w:rsid w:val="004A4A3B"/>
    <w:rsid w:val="004A506A"/>
    <w:rsid w:val="004A5FA9"/>
    <w:rsid w:val="004A61CA"/>
    <w:rsid w:val="004A6217"/>
    <w:rsid w:val="004A6BB5"/>
    <w:rsid w:val="004A6CD2"/>
    <w:rsid w:val="004A6D90"/>
    <w:rsid w:val="004A7031"/>
    <w:rsid w:val="004A7AEE"/>
    <w:rsid w:val="004B090C"/>
    <w:rsid w:val="004B1A91"/>
    <w:rsid w:val="004B2086"/>
    <w:rsid w:val="004B2305"/>
    <w:rsid w:val="004B2C2F"/>
    <w:rsid w:val="004B2E59"/>
    <w:rsid w:val="004B3947"/>
    <w:rsid w:val="004B3B51"/>
    <w:rsid w:val="004B3DAC"/>
    <w:rsid w:val="004B4CB8"/>
    <w:rsid w:val="004B597B"/>
    <w:rsid w:val="004B5AC6"/>
    <w:rsid w:val="004B5B55"/>
    <w:rsid w:val="004B5C8D"/>
    <w:rsid w:val="004B5D0B"/>
    <w:rsid w:val="004B60B8"/>
    <w:rsid w:val="004B674C"/>
    <w:rsid w:val="004B6890"/>
    <w:rsid w:val="004B6BE3"/>
    <w:rsid w:val="004B705B"/>
    <w:rsid w:val="004B7285"/>
    <w:rsid w:val="004B7691"/>
    <w:rsid w:val="004B7782"/>
    <w:rsid w:val="004B7AE7"/>
    <w:rsid w:val="004B7EDD"/>
    <w:rsid w:val="004C060B"/>
    <w:rsid w:val="004C0779"/>
    <w:rsid w:val="004C1AE2"/>
    <w:rsid w:val="004C202E"/>
    <w:rsid w:val="004C2719"/>
    <w:rsid w:val="004C4245"/>
    <w:rsid w:val="004C45EE"/>
    <w:rsid w:val="004C597A"/>
    <w:rsid w:val="004C5CF9"/>
    <w:rsid w:val="004C5DF9"/>
    <w:rsid w:val="004C64C2"/>
    <w:rsid w:val="004C652E"/>
    <w:rsid w:val="004C7286"/>
    <w:rsid w:val="004C771C"/>
    <w:rsid w:val="004D062E"/>
    <w:rsid w:val="004D06D1"/>
    <w:rsid w:val="004D0752"/>
    <w:rsid w:val="004D0A26"/>
    <w:rsid w:val="004D0E38"/>
    <w:rsid w:val="004D0F05"/>
    <w:rsid w:val="004D14B9"/>
    <w:rsid w:val="004D220E"/>
    <w:rsid w:val="004D227C"/>
    <w:rsid w:val="004D22AD"/>
    <w:rsid w:val="004D251F"/>
    <w:rsid w:val="004D2AAD"/>
    <w:rsid w:val="004D44C8"/>
    <w:rsid w:val="004D4829"/>
    <w:rsid w:val="004D4EEC"/>
    <w:rsid w:val="004D546C"/>
    <w:rsid w:val="004D5B01"/>
    <w:rsid w:val="004D5D80"/>
    <w:rsid w:val="004D5EF3"/>
    <w:rsid w:val="004D6483"/>
    <w:rsid w:val="004D6B55"/>
    <w:rsid w:val="004E0611"/>
    <w:rsid w:val="004E1194"/>
    <w:rsid w:val="004E2E1D"/>
    <w:rsid w:val="004E2FC6"/>
    <w:rsid w:val="004E3429"/>
    <w:rsid w:val="004E34E5"/>
    <w:rsid w:val="004E35E4"/>
    <w:rsid w:val="004E38AF"/>
    <w:rsid w:val="004E4332"/>
    <w:rsid w:val="004E49DF"/>
    <w:rsid w:val="004E54B5"/>
    <w:rsid w:val="004E5727"/>
    <w:rsid w:val="004E5A11"/>
    <w:rsid w:val="004E6445"/>
    <w:rsid w:val="004E66B3"/>
    <w:rsid w:val="004E6C22"/>
    <w:rsid w:val="004E7738"/>
    <w:rsid w:val="004E7E86"/>
    <w:rsid w:val="004E7F4E"/>
    <w:rsid w:val="004F00D5"/>
    <w:rsid w:val="004F033F"/>
    <w:rsid w:val="004F08E9"/>
    <w:rsid w:val="004F0AA1"/>
    <w:rsid w:val="004F1E8F"/>
    <w:rsid w:val="004F2186"/>
    <w:rsid w:val="004F2412"/>
    <w:rsid w:val="004F266A"/>
    <w:rsid w:val="004F28E9"/>
    <w:rsid w:val="004F2952"/>
    <w:rsid w:val="004F37EB"/>
    <w:rsid w:val="004F47A8"/>
    <w:rsid w:val="004F4901"/>
    <w:rsid w:val="004F4C74"/>
    <w:rsid w:val="004F542F"/>
    <w:rsid w:val="004F5C0F"/>
    <w:rsid w:val="004F73FB"/>
    <w:rsid w:val="004F768B"/>
    <w:rsid w:val="004F7BFF"/>
    <w:rsid w:val="005003FA"/>
    <w:rsid w:val="00500B8C"/>
    <w:rsid w:val="005017C0"/>
    <w:rsid w:val="00501881"/>
    <w:rsid w:val="00502DA2"/>
    <w:rsid w:val="00502E1B"/>
    <w:rsid w:val="00502F43"/>
    <w:rsid w:val="00503C51"/>
    <w:rsid w:val="0050435C"/>
    <w:rsid w:val="005045D8"/>
    <w:rsid w:val="00504829"/>
    <w:rsid w:val="00504A63"/>
    <w:rsid w:val="00505143"/>
    <w:rsid w:val="005055E4"/>
    <w:rsid w:val="00505E88"/>
    <w:rsid w:val="00506111"/>
    <w:rsid w:val="00506349"/>
    <w:rsid w:val="005071D8"/>
    <w:rsid w:val="005072B6"/>
    <w:rsid w:val="005076BE"/>
    <w:rsid w:val="00507CD8"/>
    <w:rsid w:val="00507ED8"/>
    <w:rsid w:val="00510359"/>
    <w:rsid w:val="0051056F"/>
    <w:rsid w:val="005107B7"/>
    <w:rsid w:val="00510993"/>
    <w:rsid w:val="00510DE0"/>
    <w:rsid w:val="00512195"/>
    <w:rsid w:val="00512968"/>
    <w:rsid w:val="00512E58"/>
    <w:rsid w:val="005134D5"/>
    <w:rsid w:val="005135F1"/>
    <w:rsid w:val="0051376A"/>
    <w:rsid w:val="00513F30"/>
    <w:rsid w:val="00514076"/>
    <w:rsid w:val="00514674"/>
    <w:rsid w:val="0051490E"/>
    <w:rsid w:val="00514973"/>
    <w:rsid w:val="005151A5"/>
    <w:rsid w:val="005154C2"/>
    <w:rsid w:val="00515565"/>
    <w:rsid w:val="00515E79"/>
    <w:rsid w:val="00516405"/>
    <w:rsid w:val="00517F8D"/>
    <w:rsid w:val="00520CA8"/>
    <w:rsid w:val="00521291"/>
    <w:rsid w:val="005215F0"/>
    <w:rsid w:val="00521CC2"/>
    <w:rsid w:val="0052232E"/>
    <w:rsid w:val="00522397"/>
    <w:rsid w:val="00522A1D"/>
    <w:rsid w:val="00523636"/>
    <w:rsid w:val="0052391C"/>
    <w:rsid w:val="005251DD"/>
    <w:rsid w:val="00525242"/>
    <w:rsid w:val="0052578D"/>
    <w:rsid w:val="00525D52"/>
    <w:rsid w:val="00525ED0"/>
    <w:rsid w:val="00526CD3"/>
    <w:rsid w:val="005271AC"/>
    <w:rsid w:val="0052736F"/>
    <w:rsid w:val="00527D00"/>
    <w:rsid w:val="00530750"/>
    <w:rsid w:val="005313A1"/>
    <w:rsid w:val="005314EA"/>
    <w:rsid w:val="005319F2"/>
    <w:rsid w:val="00531D6E"/>
    <w:rsid w:val="0053206A"/>
    <w:rsid w:val="00532191"/>
    <w:rsid w:val="005321B3"/>
    <w:rsid w:val="00532293"/>
    <w:rsid w:val="00532734"/>
    <w:rsid w:val="0053312C"/>
    <w:rsid w:val="00533289"/>
    <w:rsid w:val="00534597"/>
    <w:rsid w:val="0053469A"/>
    <w:rsid w:val="00534847"/>
    <w:rsid w:val="005349EA"/>
    <w:rsid w:val="0053543F"/>
    <w:rsid w:val="005356F6"/>
    <w:rsid w:val="0053596E"/>
    <w:rsid w:val="00535997"/>
    <w:rsid w:val="005363B1"/>
    <w:rsid w:val="00536557"/>
    <w:rsid w:val="00536915"/>
    <w:rsid w:val="00536B5A"/>
    <w:rsid w:val="00537422"/>
    <w:rsid w:val="005377CF"/>
    <w:rsid w:val="005405C4"/>
    <w:rsid w:val="005406A4"/>
    <w:rsid w:val="00540F26"/>
    <w:rsid w:val="005414CB"/>
    <w:rsid w:val="00541A1C"/>
    <w:rsid w:val="00541D5C"/>
    <w:rsid w:val="00541E07"/>
    <w:rsid w:val="005424CA"/>
    <w:rsid w:val="005429CB"/>
    <w:rsid w:val="00542A86"/>
    <w:rsid w:val="00542CBE"/>
    <w:rsid w:val="00542E83"/>
    <w:rsid w:val="00543224"/>
    <w:rsid w:val="00543CC6"/>
    <w:rsid w:val="005446F5"/>
    <w:rsid w:val="00544C69"/>
    <w:rsid w:val="0054525B"/>
    <w:rsid w:val="00545557"/>
    <w:rsid w:val="00545A2E"/>
    <w:rsid w:val="005465AB"/>
    <w:rsid w:val="00546C2E"/>
    <w:rsid w:val="0054716E"/>
    <w:rsid w:val="0054754C"/>
    <w:rsid w:val="00547BC3"/>
    <w:rsid w:val="00547D0B"/>
    <w:rsid w:val="00550E43"/>
    <w:rsid w:val="00551A22"/>
    <w:rsid w:val="00551ECF"/>
    <w:rsid w:val="0055235E"/>
    <w:rsid w:val="005529BF"/>
    <w:rsid w:val="00552FCF"/>
    <w:rsid w:val="0055374D"/>
    <w:rsid w:val="0055375E"/>
    <w:rsid w:val="00553A6B"/>
    <w:rsid w:val="00553FB2"/>
    <w:rsid w:val="00554CDC"/>
    <w:rsid w:val="0055507D"/>
    <w:rsid w:val="005555B6"/>
    <w:rsid w:val="00555AEC"/>
    <w:rsid w:val="00555C12"/>
    <w:rsid w:val="00555F0D"/>
    <w:rsid w:val="005560E0"/>
    <w:rsid w:val="0055647C"/>
    <w:rsid w:val="0055676A"/>
    <w:rsid w:val="0055797E"/>
    <w:rsid w:val="00557A90"/>
    <w:rsid w:val="00557B6A"/>
    <w:rsid w:val="0056137D"/>
    <w:rsid w:val="00561B68"/>
    <w:rsid w:val="00561FC0"/>
    <w:rsid w:val="00561FDC"/>
    <w:rsid w:val="00562849"/>
    <w:rsid w:val="005628B0"/>
    <w:rsid w:val="0056290A"/>
    <w:rsid w:val="00564311"/>
    <w:rsid w:val="00564773"/>
    <w:rsid w:val="0056486B"/>
    <w:rsid w:val="00564BED"/>
    <w:rsid w:val="00564E58"/>
    <w:rsid w:val="00565584"/>
    <w:rsid w:val="0056625C"/>
    <w:rsid w:val="0056632B"/>
    <w:rsid w:val="00566E70"/>
    <w:rsid w:val="00567880"/>
    <w:rsid w:val="00567DF8"/>
    <w:rsid w:val="0057021D"/>
    <w:rsid w:val="00570375"/>
    <w:rsid w:val="0057094C"/>
    <w:rsid w:val="00571503"/>
    <w:rsid w:val="00571728"/>
    <w:rsid w:val="00571B8B"/>
    <w:rsid w:val="00571E5C"/>
    <w:rsid w:val="005721BD"/>
    <w:rsid w:val="005722C2"/>
    <w:rsid w:val="00572D72"/>
    <w:rsid w:val="0057305F"/>
    <w:rsid w:val="005743E7"/>
    <w:rsid w:val="00574774"/>
    <w:rsid w:val="00574A7B"/>
    <w:rsid w:val="00575F20"/>
    <w:rsid w:val="00576B1B"/>
    <w:rsid w:val="00576BEF"/>
    <w:rsid w:val="00576C21"/>
    <w:rsid w:val="00576EBA"/>
    <w:rsid w:val="005774A6"/>
    <w:rsid w:val="005774DB"/>
    <w:rsid w:val="00577656"/>
    <w:rsid w:val="00577849"/>
    <w:rsid w:val="00577F5C"/>
    <w:rsid w:val="005806E5"/>
    <w:rsid w:val="00581F80"/>
    <w:rsid w:val="0058283F"/>
    <w:rsid w:val="00583151"/>
    <w:rsid w:val="00583CBF"/>
    <w:rsid w:val="00583FFA"/>
    <w:rsid w:val="005843B8"/>
    <w:rsid w:val="00584500"/>
    <w:rsid w:val="0058673A"/>
    <w:rsid w:val="00586A9F"/>
    <w:rsid w:val="00586F53"/>
    <w:rsid w:val="00587C28"/>
    <w:rsid w:val="00587DB7"/>
    <w:rsid w:val="00590436"/>
    <w:rsid w:val="005905BE"/>
    <w:rsid w:val="00590B67"/>
    <w:rsid w:val="00591EBB"/>
    <w:rsid w:val="005925F3"/>
    <w:rsid w:val="0059283C"/>
    <w:rsid w:val="00592C49"/>
    <w:rsid w:val="005931D7"/>
    <w:rsid w:val="0059325B"/>
    <w:rsid w:val="005933D6"/>
    <w:rsid w:val="00593535"/>
    <w:rsid w:val="00593857"/>
    <w:rsid w:val="0059401A"/>
    <w:rsid w:val="005942DF"/>
    <w:rsid w:val="00594446"/>
    <w:rsid w:val="005945A4"/>
    <w:rsid w:val="0059475B"/>
    <w:rsid w:val="00594C1D"/>
    <w:rsid w:val="0059512E"/>
    <w:rsid w:val="0059570E"/>
    <w:rsid w:val="0059663D"/>
    <w:rsid w:val="00596BF0"/>
    <w:rsid w:val="005A0144"/>
    <w:rsid w:val="005A0A15"/>
    <w:rsid w:val="005A0B26"/>
    <w:rsid w:val="005A0DD9"/>
    <w:rsid w:val="005A14E6"/>
    <w:rsid w:val="005A1BA8"/>
    <w:rsid w:val="005A1F9F"/>
    <w:rsid w:val="005A2186"/>
    <w:rsid w:val="005A4B84"/>
    <w:rsid w:val="005A4D1B"/>
    <w:rsid w:val="005A523C"/>
    <w:rsid w:val="005A5D7B"/>
    <w:rsid w:val="005A7195"/>
    <w:rsid w:val="005A7E33"/>
    <w:rsid w:val="005B0786"/>
    <w:rsid w:val="005B12C5"/>
    <w:rsid w:val="005B1384"/>
    <w:rsid w:val="005B1571"/>
    <w:rsid w:val="005B1BAB"/>
    <w:rsid w:val="005B1DCF"/>
    <w:rsid w:val="005B23C8"/>
    <w:rsid w:val="005B331F"/>
    <w:rsid w:val="005B442E"/>
    <w:rsid w:val="005B6571"/>
    <w:rsid w:val="005B6747"/>
    <w:rsid w:val="005B6AFF"/>
    <w:rsid w:val="005B6C71"/>
    <w:rsid w:val="005B70A2"/>
    <w:rsid w:val="005B7AD1"/>
    <w:rsid w:val="005C0DCA"/>
    <w:rsid w:val="005C1FEE"/>
    <w:rsid w:val="005C21E7"/>
    <w:rsid w:val="005C267D"/>
    <w:rsid w:val="005C295E"/>
    <w:rsid w:val="005C2995"/>
    <w:rsid w:val="005C2F07"/>
    <w:rsid w:val="005C3141"/>
    <w:rsid w:val="005C3597"/>
    <w:rsid w:val="005C45D2"/>
    <w:rsid w:val="005C4BAD"/>
    <w:rsid w:val="005C5151"/>
    <w:rsid w:val="005C54BB"/>
    <w:rsid w:val="005C57AE"/>
    <w:rsid w:val="005C6109"/>
    <w:rsid w:val="005C6463"/>
    <w:rsid w:val="005C647A"/>
    <w:rsid w:val="005C6834"/>
    <w:rsid w:val="005C6980"/>
    <w:rsid w:val="005C6CB1"/>
    <w:rsid w:val="005C6D2D"/>
    <w:rsid w:val="005C71FF"/>
    <w:rsid w:val="005C7459"/>
    <w:rsid w:val="005C748D"/>
    <w:rsid w:val="005C7B8A"/>
    <w:rsid w:val="005C7BF6"/>
    <w:rsid w:val="005C7E19"/>
    <w:rsid w:val="005D0128"/>
    <w:rsid w:val="005D0DCB"/>
    <w:rsid w:val="005D0FD8"/>
    <w:rsid w:val="005D1149"/>
    <w:rsid w:val="005D169A"/>
    <w:rsid w:val="005D1A4B"/>
    <w:rsid w:val="005D1B56"/>
    <w:rsid w:val="005D1CAE"/>
    <w:rsid w:val="005D272E"/>
    <w:rsid w:val="005D2966"/>
    <w:rsid w:val="005D3E32"/>
    <w:rsid w:val="005D46EE"/>
    <w:rsid w:val="005D4B10"/>
    <w:rsid w:val="005D5829"/>
    <w:rsid w:val="005D5D49"/>
    <w:rsid w:val="005D5EC5"/>
    <w:rsid w:val="005D64DA"/>
    <w:rsid w:val="005D7418"/>
    <w:rsid w:val="005D7558"/>
    <w:rsid w:val="005E0421"/>
    <w:rsid w:val="005E0559"/>
    <w:rsid w:val="005E0668"/>
    <w:rsid w:val="005E0B7F"/>
    <w:rsid w:val="005E0DF3"/>
    <w:rsid w:val="005E1D28"/>
    <w:rsid w:val="005E2992"/>
    <w:rsid w:val="005E2AF7"/>
    <w:rsid w:val="005E336C"/>
    <w:rsid w:val="005E3AB6"/>
    <w:rsid w:val="005E4AF2"/>
    <w:rsid w:val="005E4B08"/>
    <w:rsid w:val="005E4DDB"/>
    <w:rsid w:val="005E63B2"/>
    <w:rsid w:val="005E654B"/>
    <w:rsid w:val="005E6947"/>
    <w:rsid w:val="005E6E3C"/>
    <w:rsid w:val="005E7155"/>
    <w:rsid w:val="005E7228"/>
    <w:rsid w:val="005E7383"/>
    <w:rsid w:val="005E740C"/>
    <w:rsid w:val="005E7646"/>
    <w:rsid w:val="005E7DA8"/>
    <w:rsid w:val="005F02F1"/>
    <w:rsid w:val="005F0962"/>
    <w:rsid w:val="005F09E6"/>
    <w:rsid w:val="005F0E0A"/>
    <w:rsid w:val="005F1C83"/>
    <w:rsid w:val="005F1E1A"/>
    <w:rsid w:val="005F2534"/>
    <w:rsid w:val="005F28D3"/>
    <w:rsid w:val="005F2A5D"/>
    <w:rsid w:val="005F2BDA"/>
    <w:rsid w:val="005F3421"/>
    <w:rsid w:val="005F4830"/>
    <w:rsid w:val="005F48A8"/>
    <w:rsid w:val="005F4A88"/>
    <w:rsid w:val="005F50D7"/>
    <w:rsid w:val="005F54BC"/>
    <w:rsid w:val="005F56AF"/>
    <w:rsid w:val="005F6AA0"/>
    <w:rsid w:val="00601150"/>
    <w:rsid w:val="006011C5"/>
    <w:rsid w:val="00601329"/>
    <w:rsid w:val="006017E2"/>
    <w:rsid w:val="00602A6F"/>
    <w:rsid w:val="006044B8"/>
    <w:rsid w:val="00604940"/>
    <w:rsid w:val="00604AE6"/>
    <w:rsid w:val="00605BE2"/>
    <w:rsid w:val="0060628C"/>
    <w:rsid w:val="006064F4"/>
    <w:rsid w:val="00606759"/>
    <w:rsid w:val="006079D6"/>
    <w:rsid w:val="00607B93"/>
    <w:rsid w:val="00610C11"/>
    <w:rsid w:val="00611280"/>
    <w:rsid w:val="00611B99"/>
    <w:rsid w:val="00611C39"/>
    <w:rsid w:val="00612329"/>
    <w:rsid w:val="00612635"/>
    <w:rsid w:val="00612762"/>
    <w:rsid w:val="00612BD9"/>
    <w:rsid w:val="00612E97"/>
    <w:rsid w:val="00613633"/>
    <w:rsid w:val="006138A9"/>
    <w:rsid w:val="00613AB3"/>
    <w:rsid w:val="00613DEA"/>
    <w:rsid w:val="00613E66"/>
    <w:rsid w:val="00613E98"/>
    <w:rsid w:val="00614B17"/>
    <w:rsid w:val="00615999"/>
    <w:rsid w:val="00615AA6"/>
    <w:rsid w:val="00615B13"/>
    <w:rsid w:val="0061607B"/>
    <w:rsid w:val="006160FE"/>
    <w:rsid w:val="00616F15"/>
    <w:rsid w:val="00617087"/>
    <w:rsid w:val="006170B9"/>
    <w:rsid w:val="006170DA"/>
    <w:rsid w:val="0061732F"/>
    <w:rsid w:val="0061758F"/>
    <w:rsid w:val="0062069D"/>
    <w:rsid w:val="0062208D"/>
    <w:rsid w:val="00622581"/>
    <w:rsid w:val="00622C67"/>
    <w:rsid w:val="00622FD8"/>
    <w:rsid w:val="006238C9"/>
    <w:rsid w:val="00623C2A"/>
    <w:rsid w:val="00623D81"/>
    <w:rsid w:val="00623E0D"/>
    <w:rsid w:val="0062454D"/>
    <w:rsid w:val="00624FE2"/>
    <w:rsid w:val="006253A5"/>
    <w:rsid w:val="00625D6F"/>
    <w:rsid w:val="00625FD4"/>
    <w:rsid w:val="0062602A"/>
    <w:rsid w:val="0062608C"/>
    <w:rsid w:val="006269D2"/>
    <w:rsid w:val="00626D7E"/>
    <w:rsid w:val="006270D4"/>
    <w:rsid w:val="006271B3"/>
    <w:rsid w:val="006271FC"/>
    <w:rsid w:val="00627EC5"/>
    <w:rsid w:val="0063015E"/>
    <w:rsid w:val="00630876"/>
    <w:rsid w:val="00631622"/>
    <w:rsid w:val="00631B28"/>
    <w:rsid w:val="0063355C"/>
    <w:rsid w:val="0063386B"/>
    <w:rsid w:val="00633A1F"/>
    <w:rsid w:val="00633A73"/>
    <w:rsid w:val="006340C7"/>
    <w:rsid w:val="00634138"/>
    <w:rsid w:val="00634485"/>
    <w:rsid w:val="00634511"/>
    <w:rsid w:val="00634890"/>
    <w:rsid w:val="00634E48"/>
    <w:rsid w:val="00635154"/>
    <w:rsid w:val="006359A6"/>
    <w:rsid w:val="00635E0E"/>
    <w:rsid w:val="00636140"/>
    <w:rsid w:val="00637B99"/>
    <w:rsid w:val="00637D80"/>
    <w:rsid w:val="00640222"/>
    <w:rsid w:val="006404C5"/>
    <w:rsid w:val="00640727"/>
    <w:rsid w:val="00640AF2"/>
    <w:rsid w:val="0064155A"/>
    <w:rsid w:val="00641BB8"/>
    <w:rsid w:val="006433AB"/>
    <w:rsid w:val="00643765"/>
    <w:rsid w:val="00644195"/>
    <w:rsid w:val="0064542C"/>
    <w:rsid w:val="006457A5"/>
    <w:rsid w:val="00645FF2"/>
    <w:rsid w:val="00646DD0"/>
    <w:rsid w:val="00647210"/>
    <w:rsid w:val="006473A5"/>
    <w:rsid w:val="0064794B"/>
    <w:rsid w:val="00647F42"/>
    <w:rsid w:val="00650174"/>
    <w:rsid w:val="006505CC"/>
    <w:rsid w:val="006509D6"/>
    <w:rsid w:val="00651AEC"/>
    <w:rsid w:val="0065218E"/>
    <w:rsid w:val="00652354"/>
    <w:rsid w:val="00652941"/>
    <w:rsid w:val="0065382F"/>
    <w:rsid w:val="0065388C"/>
    <w:rsid w:val="00653CF4"/>
    <w:rsid w:val="006546AC"/>
    <w:rsid w:val="00655403"/>
    <w:rsid w:val="00655596"/>
    <w:rsid w:val="0065631D"/>
    <w:rsid w:val="0065642B"/>
    <w:rsid w:val="006565A2"/>
    <w:rsid w:val="00656BBE"/>
    <w:rsid w:val="00656CBA"/>
    <w:rsid w:val="00656EB8"/>
    <w:rsid w:val="00657406"/>
    <w:rsid w:val="006578F2"/>
    <w:rsid w:val="00660118"/>
    <w:rsid w:val="00660136"/>
    <w:rsid w:val="0066098F"/>
    <w:rsid w:val="0066224A"/>
    <w:rsid w:val="00662929"/>
    <w:rsid w:val="00662A81"/>
    <w:rsid w:val="00662E7F"/>
    <w:rsid w:val="0066328F"/>
    <w:rsid w:val="006635DB"/>
    <w:rsid w:val="00664060"/>
    <w:rsid w:val="00664658"/>
    <w:rsid w:val="006650E0"/>
    <w:rsid w:val="00665723"/>
    <w:rsid w:val="00665A47"/>
    <w:rsid w:val="0066688F"/>
    <w:rsid w:val="00666CC4"/>
    <w:rsid w:val="00666DA9"/>
    <w:rsid w:val="006673CA"/>
    <w:rsid w:val="006679BC"/>
    <w:rsid w:val="00667C46"/>
    <w:rsid w:val="00667C5C"/>
    <w:rsid w:val="00670240"/>
    <w:rsid w:val="00670A10"/>
    <w:rsid w:val="00670CC2"/>
    <w:rsid w:val="00670FB6"/>
    <w:rsid w:val="006711CB"/>
    <w:rsid w:val="0067124E"/>
    <w:rsid w:val="00671B0E"/>
    <w:rsid w:val="0067335C"/>
    <w:rsid w:val="00673A51"/>
    <w:rsid w:val="00673A9F"/>
    <w:rsid w:val="00673E2D"/>
    <w:rsid w:val="00674367"/>
    <w:rsid w:val="00674DAF"/>
    <w:rsid w:val="006750BA"/>
    <w:rsid w:val="00675509"/>
    <w:rsid w:val="006756B8"/>
    <w:rsid w:val="0067612B"/>
    <w:rsid w:val="00676933"/>
    <w:rsid w:val="00676D9E"/>
    <w:rsid w:val="00676DE3"/>
    <w:rsid w:val="0067733E"/>
    <w:rsid w:val="0067797F"/>
    <w:rsid w:val="00677D71"/>
    <w:rsid w:val="0068007F"/>
    <w:rsid w:val="006801D4"/>
    <w:rsid w:val="006808E7"/>
    <w:rsid w:val="00680D81"/>
    <w:rsid w:val="00680F91"/>
    <w:rsid w:val="0068120B"/>
    <w:rsid w:val="00681AC4"/>
    <w:rsid w:val="00681BBD"/>
    <w:rsid w:val="00681D62"/>
    <w:rsid w:val="00682357"/>
    <w:rsid w:val="0068241F"/>
    <w:rsid w:val="0068264A"/>
    <w:rsid w:val="00682BE9"/>
    <w:rsid w:val="00682EA5"/>
    <w:rsid w:val="006836CA"/>
    <w:rsid w:val="00684125"/>
    <w:rsid w:val="00684A1C"/>
    <w:rsid w:val="006852FD"/>
    <w:rsid w:val="00686102"/>
    <w:rsid w:val="0068633E"/>
    <w:rsid w:val="00686869"/>
    <w:rsid w:val="006868B0"/>
    <w:rsid w:val="00686FEE"/>
    <w:rsid w:val="0069069F"/>
    <w:rsid w:val="00691932"/>
    <w:rsid w:val="00692F31"/>
    <w:rsid w:val="00692F64"/>
    <w:rsid w:val="006930D5"/>
    <w:rsid w:val="00693490"/>
    <w:rsid w:val="00693878"/>
    <w:rsid w:val="00693A79"/>
    <w:rsid w:val="00693E86"/>
    <w:rsid w:val="00694012"/>
    <w:rsid w:val="0069473D"/>
    <w:rsid w:val="006957B1"/>
    <w:rsid w:val="00696111"/>
    <w:rsid w:val="006961B7"/>
    <w:rsid w:val="00697028"/>
    <w:rsid w:val="006978CD"/>
    <w:rsid w:val="00697C3B"/>
    <w:rsid w:val="00697E10"/>
    <w:rsid w:val="006A0157"/>
    <w:rsid w:val="006A02F2"/>
    <w:rsid w:val="006A0D0E"/>
    <w:rsid w:val="006A0DC7"/>
    <w:rsid w:val="006A1092"/>
    <w:rsid w:val="006A1546"/>
    <w:rsid w:val="006A1AF4"/>
    <w:rsid w:val="006A1BFC"/>
    <w:rsid w:val="006A1FD3"/>
    <w:rsid w:val="006A29B9"/>
    <w:rsid w:val="006A30E8"/>
    <w:rsid w:val="006A313B"/>
    <w:rsid w:val="006A497F"/>
    <w:rsid w:val="006A5B63"/>
    <w:rsid w:val="006A6BEF"/>
    <w:rsid w:val="006A71F6"/>
    <w:rsid w:val="006A7765"/>
    <w:rsid w:val="006B03BE"/>
    <w:rsid w:val="006B0914"/>
    <w:rsid w:val="006B0962"/>
    <w:rsid w:val="006B0C8E"/>
    <w:rsid w:val="006B0F00"/>
    <w:rsid w:val="006B0FB9"/>
    <w:rsid w:val="006B1DBD"/>
    <w:rsid w:val="006B1DC7"/>
    <w:rsid w:val="006B235C"/>
    <w:rsid w:val="006B28E8"/>
    <w:rsid w:val="006B298B"/>
    <w:rsid w:val="006B39E2"/>
    <w:rsid w:val="006B3F4F"/>
    <w:rsid w:val="006B4664"/>
    <w:rsid w:val="006B4B50"/>
    <w:rsid w:val="006B4B70"/>
    <w:rsid w:val="006B4F95"/>
    <w:rsid w:val="006B51F8"/>
    <w:rsid w:val="006B5DAA"/>
    <w:rsid w:val="006B5EC8"/>
    <w:rsid w:val="006B6680"/>
    <w:rsid w:val="006B6852"/>
    <w:rsid w:val="006B689F"/>
    <w:rsid w:val="006B77AD"/>
    <w:rsid w:val="006C140F"/>
    <w:rsid w:val="006C1A39"/>
    <w:rsid w:val="006C2427"/>
    <w:rsid w:val="006C24F6"/>
    <w:rsid w:val="006C2BE2"/>
    <w:rsid w:val="006C2EF9"/>
    <w:rsid w:val="006C2FB3"/>
    <w:rsid w:val="006C3E4C"/>
    <w:rsid w:val="006C4797"/>
    <w:rsid w:val="006C5127"/>
    <w:rsid w:val="006C53E6"/>
    <w:rsid w:val="006C56AC"/>
    <w:rsid w:val="006C5C5E"/>
    <w:rsid w:val="006C69FF"/>
    <w:rsid w:val="006C6A74"/>
    <w:rsid w:val="006C6E05"/>
    <w:rsid w:val="006C7581"/>
    <w:rsid w:val="006C767D"/>
    <w:rsid w:val="006D047D"/>
    <w:rsid w:val="006D071E"/>
    <w:rsid w:val="006D0C2A"/>
    <w:rsid w:val="006D0E52"/>
    <w:rsid w:val="006D1488"/>
    <w:rsid w:val="006D1B0A"/>
    <w:rsid w:val="006D201B"/>
    <w:rsid w:val="006D2023"/>
    <w:rsid w:val="006D2625"/>
    <w:rsid w:val="006D2CA2"/>
    <w:rsid w:val="006D2D7F"/>
    <w:rsid w:val="006D3972"/>
    <w:rsid w:val="006D4392"/>
    <w:rsid w:val="006D4A76"/>
    <w:rsid w:val="006D4D7E"/>
    <w:rsid w:val="006D5B86"/>
    <w:rsid w:val="006D6201"/>
    <w:rsid w:val="006D6E39"/>
    <w:rsid w:val="006D7EA2"/>
    <w:rsid w:val="006D7EEB"/>
    <w:rsid w:val="006D7F59"/>
    <w:rsid w:val="006E0836"/>
    <w:rsid w:val="006E1976"/>
    <w:rsid w:val="006E1BB0"/>
    <w:rsid w:val="006E25F7"/>
    <w:rsid w:val="006E33F7"/>
    <w:rsid w:val="006E3C33"/>
    <w:rsid w:val="006E410B"/>
    <w:rsid w:val="006E4335"/>
    <w:rsid w:val="006E44EB"/>
    <w:rsid w:val="006E4C49"/>
    <w:rsid w:val="006E55AA"/>
    <w:rsid w:val="006E61FC"/>
    <w:rsid w:val="006E6389"/>
    <w:rsid w:val="006E68E3"/>
    <w:rsid w:val="006E6ACF"/>
    <w:rsid w:val="006E6CFD"/>
    <w:rsid w:val="006E6E7C"/>
    <w:rsid w:val="006E71A4"/>
    <w:rsid w:val="006E79F3"/>
    <w:rsid w:val="006F0727"/>
    <w:rsid w:val="006F091B"/>
    <w:rsid w:val="006F0A93"/>
    <w:rsid w:val="006F0BAE"/>
    <w:rsid w:val="006F0F3C"/>
    <w:rsid w:val="006F2C5A"/>
    <w:rsid w:val="006F3059"/>
    <w:rsid w:val="006F30F8"/>
    <w:rsid w:val="006F3599"/>
    <w:rsid w:val="006F3D42"/>
    <w:rsid w:val="006F3F86"/>
    <w:rsid w:val="006F4369"/>
    <w:rsid w:val="006F4D1A"/>
    <w:rsid w:val="006F55F2"/>
    <w:rsid w:val="006F5A76"/>
    <w:rsid w:val="006F5AB6"/>
    <w:rsid w:val="006F5AD6"/>
    <w:rsid w:val="006F5F90"/>
    <w:rsid w:val="006F61D7"/>
    <w:rsid w:val="006F7279"/>
    <w:rsid w:val="006F7A70"/>
    <w:rsid w:val="007001DA"/>
    <w:rsid w:val="00700436"/>
    <w:rsid w:val="007004CA"/>
    <w:rsid w:val="00700CBB"/>
    <w:rsid w:val="00700FF5"/>
    <w:rsid w:val="00701189"/>
    <w:rsid w:val="007017EB"/>
    <w:rsid w:val="00701E0E"/>
    <w:rsid w:val="0070224A"/>
    <w:rsid w:val="00702909"/>
    <w:rsid w:val="00703168"/>
    <w:rsid w:val="00703C28"/>
    <w:rsid w:val="007042CF"/>
    <w:rsid w:val="0070431A"/>
    <w:rsid w:val="007047FD"/>
    <w:rsid w:val="0070528E"/>
    <w:rsid w:val="00705741"/>
    <w:rsid w:val="00706383"/>
    <w:rsid w:val="007066E2"/>
    <w:rsid w:val="00707F2D"/>
    <w:rsid w:val="00710016"/>
    <w:rsid w:val="00710255"/>
    <w:rsid w:val="00710841"/>
    <w:rsid w:val="00710A2A"/>
    <w:rsid w:val="00711743"/>
    <w:rsid w:val="00711DE7"/>
    <w:rsid w:val="007123ED"/>
    <w:rsid w:val="0071255C"/>
    <w:rsid w:val="00712DF1"/>
    <w:rsid w:val="00712EE0"/>
    <w:rsid w:val="00713770"/>
    <w:rsid w:val="0071434B"/>
    <w:rsid w:val="007143E0"/>
    <w:rsid w:val="0071494D"/>
    <w:rsid w:val="00716124"/>
    <w:rsid w:val="007161A6"/>
    <w:rsid w:val="00716989"/>
    <w:rsid w:val="00716F76"/>
    <w:rsid w:val="0071714C"/>
    <w:rsid w:val="00717401"/>
    <w:rsid w:val="00717925"/>
    <w:rsid w:val="00717BD1"/>
    <w:rsid w:val="00720263"/>
    <w:rsid w:val="00720E0F"/>
    <w:rsid w:val="00721D05"/>
    <w:rsid w:val="007220B8"/>
    <w:rsid w:val="007221C6"/>
    <w:rsid w:val="00722614"/>
    <w:rsid w:val="007226F6"/>
    <w:rsid w:val="0072346E"/>
    <w:rsid w:val="00723616"/>
    <w:rsid w:val="00723AE2"/>
    <w:rsid w:val="00723C97"/>
    <w:rsid w:val="00723D0D"/>
    <w:rsid w:val="00723D41"/>
    <w:rsid w:val="00724111"/>
    <w:rsid w:val="0072452F"/>
    <w:rsid w:val="00724EC4"/>
    <w:rsid w:val="00725193"/>
    <w:rsid w:val="007253FF"/>
    <w:rsid w:val="007256C8"/>
    <w:rsid w:val="007257BF"/>
    <w:rsid w:val="007263FB"/>
    <w:rsid w:val="00726440"/>
    <w:rsid w:val="007267E8"/>
    <w:rsid w:val="00726A39"/>
    <w:rsid w:val="00726D8F"/>
    <w:rsid w:val="007304F5"/>
    <w:rsid w:val="00730974"/>
    <w:rsid w:val="00730A1E"/>
    <w:rsid w:val="007312A1"/>
    <w:rsid w:val="00731954"/>
    <w:rsid w:val="00732266"/>
    <w:rsid w:val="007328BA"/>
    <w:rsid w:val="00732FA0"/>
    <w:rsid w:val="007330C3"/>
    <w:rsid w:val="0073311C"/>
    <w:rsid w:val="007344E5"/>
    <w:rsid w:val="007347F5"/>
    <w:rsid w:val="0073525E"/>
    <w:rsid w:val="007353F0"/>
    <w:rsid w:val="00735930"/>
    <w:rsid w:val="00735F72"/>
    <w:rsid w:val="00736B73"/>
    <w:rsid w:val="00736C06"/>
    <w:rsid w:val="00740052"/>
    <w:rsid w:val="007400E8"/>
    <w:rsid w:val="00740238"/>
    <w:rsid w:val="00740494"/>
    <w:rsid w:val="00740AFD"/>
    <w:rsid w:val="00741046"/>
    <w:rsid w:val="007410AA"/>
    <w:rsid w:val="00741570"/>
    <w:rsid w:val="007416A3"/>
    <w:rsid w:val="00741AB6"/>
    <w:rsid w:val="00742EDD"/>
    <w:rsid w:val="007431A4"/>
    <w:rsid w:val="00743F63"/>
    <w:rsid w:val="00744446"/>
    <w:rsid w:val="00744BA4"/>
    <w:rsid w:val="00745354"/>
    <w:rsid w:val="007458B3"/>
    <w:rsid w:val="007465F0"/>
    <w:rsid w:val="00746708"/>
    <w:rsid w:val="00747261"/>
    <w:rsid w:val="00747331"/>
    <w:rsid w:val="00747F64"/>
    <w:rsid w:val="00750D6F"/>
    <w:rsid w:val="00750F1A"/>
    <w:rsid w:val="00751099"/>
    <w:rsid w:val="00752248"/>
    <w:rsid w:val="007523B1"/>
    <w:rsid w:val="00752A67"/>
    <w:rsid w:val="00752E1F"/>
    <w:rsid w:val="0075343A"/>
    <w:rsid w:val="00753688"/>
    <w:rsid w:val="00753E3E"/>
    <w:rsid w:val="00754ECB"/>
    <w:rsid w:val="00755188"/>
    <w:rsid w:val="007566BA"/>
    <w:rsid w:val="00756B7E"/>
    <w:rsid w:val="00756CF1"/>
    <w:rsid w:val="00756F19"/>
    <w:rsid w:val="007571CA"/>
    <w:rsid w:val="007575DF"/>
    <w:rsid w:val="0075778E"/>
    <w:rsid w:val="00757974"/>
    <w:rsid w:val="007602FC"/>
    <w:rsid w:val="007615FB"/>
    <w:rsid w:val="00761A77"/>
    <w:rsid w:val="007626AB"/>
    <w:rsid w:val="00762EBE"/>
    <w:rsid w:val="007631BF"/>
    <w:rsid w:val="007631D9"/>
    <w:rsid w:val="007636B4"/>
    <w:rsid w:val="007637A7"/>
    <w:rsid w:val="00763C13"/>
    <w:rsid w:val="007642A9"/>
    <w:rsid w:val="0076517B"/>
    <w:rsid w:val="00766985"/>
    <w:rsid w:val="00766C69"/>
    <w:rsid w:val="00766F36"/>
    <w:rsid w:val="00767A22"/>
    <w:rsid w:val="00767B3E"/>
    <w:rsid w:val="00770379"/>
    <w:rsid w:val="00770433"/>
    <w:rsid w:val="007707A0"/>
    <w:rsid w:val="00770A6A"/>
    <w:rsid w:val="00770E25"/>
    <w:rsid w:val="00771077"/>
    <w:rsid w:val="00771858"/>
    <w:rsid w:val="00772EB1"/>
    <w:rsid w:val="007731FC"/>
    <w:rsid w:val="0077398E"/>
    <w:rsid w:val="00773CFD"/>
    <w:rsid w:val="00773E39"/>
    <w:rsid w:val="00773E88"/>
    <w:rsid w:val="007747E8"/>
    <w:rsid w:val="00774904"/>
    <w:rsid w:val="00774E92"/>
    <w:rsid w:val="0077546D"/>
    <w:rsid w:val="00775764"/>
    <w:rsid w:val="00775786"/>
    <w:rsid w:val="00775A50"/>
    <w:rsid w:val="00775EAC"/>
    <w:rsid w:val="00775F47"/>
    <w:rsid w:val="007762FF"/>
    <w:rsid w:val="00776418"/>
    <w:rsid w:val="0077675A"/>
    <w:rsid w:val="00777972"/>
    <w:rsid w:val="00777BCE"/>
    <w:rsid w:val="00777DC5"/>
    <w:rsid w:val="00777EF8"/>
    <w:rsid w:val="00777F9D"/>
    <w:rsid w:val="00780B64"/>
    <w:rsid w:val="00780BA2"/>
    <w:rsid w:val="007811A7"/>
    <w:rsid w:val="007817E0"/>
    <w:rsid w:val="00781905"/>
    <w:rsid w:val="00781CF8"/>
    <w:rsid w:val="00782100"/>
    <w:rsid w:val="00782558"/>
    <w:rsid w:val="00782C2E"/>
    <w:rsid w:val="00782CD2"/>
    <w:rsid w:val="00784081"/>
    <w:rsid w:val="00784B31"/>
    <w:rsid w:val="0078534B"/>
    <w:rsid w:val="00785735"/>
    <w:rsid w:val="00786260"/>
    <w:rsid w:val="0078687F"/>
    <w:rsid w:val="007875A2"/>
    <w:rsid w:val="00787662"/>
    <w:rsid w:val="00790A00"/>
    <w:rsid w:val="00790CA5"/>
    <w:rsid w:val="00790CE5"/>
    <w:rsid w:val="00791C00"/>
    <w:rsid w:val="00791E3B"/>
    <w:rsid w:val="007925D7"/>
    <w:rsid w:val="0079262C"/>
    <w:rsid w:val="00792819"/>
    <w:rsid w:val="00792979"/>
    <w:rsid w:val="007930FE"/>
    <w:rsid w:val="00793619"/>
    <w:rsid w:val="00793670"/>
    <w:rsid w:val="007943FF"/>
    <w:rsid w:val="00794540"/>
    <w:rsid w:val="00794939"/>
    <w:rsid w:val="00795322"/>
    <w:rsid w:val="00795DB8"/>
    <w:rsid w:val="00796094"/>
    <w:rsid w:val="00797B84"/>
    <w:rsid w:val="00797B98"/>
    <w:rsid w:val="007A059E"/>
    <w:rsid w:val="007A09B0"/>
    <w:rsid w:val="007A15A9"/>
    <w:rsid w:val="007A18D5"/>
    <w:rsid w:val="007A2245"/>
    <w:rsid w:val="007A227B"/>
    <w:rsid w:val="007A2AB1"/>
    <w:rsid w:val="007A2F02"/>
    <w:rsid w:val="007A30B1"/>
    <w:rsid w:val="007A356D"/>
    <w:rsid w:val="007A3822"/>
    <w:rsid w:val="007A39BA"/>
    <w:rsid w:val="007A3B0A"/>
    <w:rsid w:val="007A4A82"/>
    <w:rsid w:val="007A4FB6"/>
    <w:rsid w:val="007A520F"/>
    <w:rsid w:val="007A537D"/>
    <w:rsid w:val="007A55AA"/>
    <w:rsid w:val="007A5E71"/>
    <w:rsid w:val="007A646F"/>
    <w:rsid w:val="007A700F"/>
    <w:rsid w:val="007A76CC"/>
    <w:rsid w:val="007A7982"/>
    <w:rsid w:val="007A79DA"/>
    <w:rsid w:val="007A7C89"/>
    <w:rsid w:val="007A7FA6"/>
    <w:rsid w:val="007B01E2"/>
    <w:rsid w:val="007B0311"/>
    <w:rsid w:val="007B0B8B"/>
    <w:rsid w:val="007B141A"/>
    <w:rsid w:val="007B156B"/>
    <w:rsid w:val="007B1AEE"/>
    <w:rsid w:val="007B1DCE"/>
    <w:rsid w:val="007B1E73"/>
    <w:rsid w:val="007B1EBC"/>
    <w:rsid w:val="007B2194"/>
    <w:rsid w:val="007B21F2"/>
    <w:rsid w:val="007B261B"/>
    <w:rsid w:val="007B2B6A"/>
    <w:rsid w:val="007B2C17"/>
    <w:rsid w:val="007B2F2C"/>
    <w:rsid w:val="007B314D"/>
    <w:rsid w:val="007B33F9"/>
    <w:rsid w:val="007B341A"/>
    <w:rsid w:val="007B3885"/>
    <w:rsid w:val="007B3CAD"/>
    <w:rsid w:val="007B4C03"/>
    <w:rsid w:val="007B564E"/>
    <w:rsid w:val="007B57FB"/>
    <w:rsid w:val="007B5AF9"/>
    <w:rsid w:val="007B5C61"/>
    <w:rsid w:val="007B6A1B"/>
    <w:rsid w:val="007B6A47"/>
    <w:rsid w:val="007B6AD8"/>
    <w:rsid w:val="007B7F32"/>
    <w:rsid w:val="007C0CC6"/>
    <w:rsid w:val="007C13B7"/>
    <w:rsid w:val="007C13E3"/>
    <w:rsid w:val="007C1493"/>
    <w:rsid w:val="007C1FBE"/>
    <w:rsid w:val="007C2056"/>
    <w:rsid w:val="007C250D"/>
    <w:rsid w:val="007C2BC5"/>
    <w:rsid w:val="007C2C4B"/>
    <w:rsid w:val="007C46D7"/>
    <w:rsid w:val="007C4AA6"/>
    <w:rsid w:val="007C500D"/>
    <w:rsid w:val="007C644A"/>
    <w:rsid w:val="007C64DA"/>
    <w:rsid w:val="007C6664"/>
    <w:rsid w:val="007C6691"/>
    <w:rsid w:val="007C673D"/>
    <w:rsid w:val="007C6991"/>
    <w:rsid w:val="007C6E51"/>
    <w:rsid w:val="007C744C"/>
    <w:rsid w:val="007C74F6"/>
    <w:rsid w:val="007C7ACB"/>
    <w:rsid w:val="007C7DB0"/>
    <w:rsid w:val="007D0F53"/>
    <w:rsid w:val="007D11ED"/>
    <w:rsid w:val="007D1283"/>
    <w:rsid w:val="007D151C"/>
    <w:rsid w:val="007D1D94"/>
    <w:rsid w:val="007D2170"/>
    <w:rsid w:val="007D2616"/>
    <w:rsid w:val="007D2BC3"/>
    <w:rsid w:val="007D3437"/>
    <w:rsid w:val="007D382E"/>
    <w:rsid w:val="007D3CE4"/>
    <w:rsid w:val="007D44BA"/>
    <w:rsid w:val="007D46F7"/>
    <w:rsid w:val="007D4FF9"/>
    <w:rsid w:val="007D506C"/>
    <w:rsid w:val="007D5250"/>
    <w:rsid w:val="007D5937"/>
    <w:rsid w:val="007D59C9"/>
    <w:rsid w:val="007D5E62"/>
    <w:rsid w:val="007D5FCF"/>
    <w:rsid w:val="007D6583"/>
    <w:rsid w:val="007D66DD"/>
    <w:rsid w:val="007D6867"/>
    <w:rsid w:val="007D6C89"/>
    <w:rsid w:val="007D6D1F"/>
    <w:rsid w:val="007D6E4E"/>
    <w:rsid w:val="007D7B8B"/>
    <w:rsid w:val="007D7BEF"/>
    <w:rsid w:val="007D7E2B"/>
    <w:rsid w:val="007E02A5"/>
    <w:rsid w:val="007E050D"/>
    <w:rsid w:val="007E1641"/>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75A5"/>
    <w:rsid w:val="007E7685"/>
    <w:rsid w:val="007F079E"/>
    <w:rsid w:val="007F1CB7"/>
    <w:rsid w:val="007F21F8"/>
    <w:rsid w:val="007F28C5"/>
    <w:rsid w:val="007F2E0E"/>
    <w:rsid w:val="007F414D"/>
    <w:rsid w:val="007F4D6F"/>
    <w:rsid w:val="007F4DA5"/>
    <w:rsid w:val="007F502F"/>
    <w:rsid w:val="007F53AA"/>
    <w:rsid w:val="007F75A8"/>
    <w:rsid w:val="00801018"/>
    <w:rsid w:val="008011A7"/>
    <w:rsid w:val="008014D3"/>
    <w:rsid w:val="00801A6C"/>
    <w:rsid w:val="00802451"/>
    <w:rsid w:val="0080273A"/>
    <w:rsid w:val="00802E93"/>
    <w:rsid w:val="00803682"/>
    <w:rsid w:val="00803C89"/>
    <w:rsid w:val="00804212"/>
    <w:rsid w:val="00804442"/>
    <w:rsid w:val="00804B03"/>
    <w:rsid w:val="008059FF"/>
    <w:rsid w:val="00805A5B"/>
    <w:rsid w:val="00805CAE"/>
    <w:rsid w:val="00805E83"/>
    <w:rsid w:val="00806C71"/>
    <w:rsid w:val="00806D9B"/>
    <w:rsid w:val="0080775D"/>
    <w:rsid w:val="008079A9"/>
    <w:rsid w:val="00807DA0"/>
    <w:rsid w:val="00810766"/>
    <w:rsid w:val="008117CC"/>
    <w:rsid w:val="00811E51"/>
    <w:rsid w:val="00812866"/>
    <w:rsid w:val="008141B5"/>
    <w:rsid w:val="00814411"/>
    <w:rsid w:val="00814680"/>
    <w:rsid w:val="008149DF"/>
    <w:rsid w:val="00814DF6"/>
    <w:rsid w:val="0081500E"/>
    <w:rsid w:val="0081501A"/>
    <w:rsid w:val="00815152"/>
    <w:rsid w:val="0081524F"/>
    <w:rsid w:val="00815514"/>
    <w:rsid w:val="00815DC6"/>
    <w:rsid w:val="00815F8D"/>
    <w:rsid w:val="00816685"/>
    <w:rsid w:val="0081688A"/>
    <w:rsid w:val="00816903"/>
    <w:rsid w:val="00816A6B"/>
    <w:rsid w:val="008170E4"/>
    <w:rsid w:val="008170FC"/>
    <w:rsid w:val="008175CE"/>
    <w:rsid w:val="0081786A"/>
    <w:rsid w:val="008178E3"/>
    <w:rsid w:val="00817CC5"/>
    <w:rsid w:val="00817F88"/>
    <w:rsid w:val="00820488"/>
    <w:rsid w:val="00820B21"/>
    <w:rsid w:val="00820B9B"/>
    <w:rsid w:val="00820D1B"/>
    <w:rsid w:val="00822643"/>
    <w:rsid w:val="0082293F"/>
    <w:rsid w:val="00822E25"/>
    <w:rsid w:val="008236E8"/>
    <w:rsid w:val="00824389"/>
    <w:rsid w:val="00824392"/>
    <w:rsid w:val="008245DA"/>
    <w:rsid w:val="008256D6"/>
    <w:rsid w:val="0082576A"/>
    <w:rsid w:val="00826BFD"/>
    <w:rsid w:val="00827092"/>
    <w:rsid w:val="0082710A"/>
    <w:rsid w:val="00827366"/>
    <w:rsid w:val="00827A68"/>
    <w:rsid w:val="008306AF"/>
    <w:rsid w:val="00830EC9"/>
    <w:rsid w:val="008312E0"/>
    <w:rsid w:val="00831D36"/>
    <w:rsid w:val="00831DA4"/>
    <w:rsid w:val="00831EB3"/>
    <w:rsid w:val="00831FA8"/>
    <w:rsid w:val="00831FBF"/>
    <w:rsid w:val="008320A5"/>
    <w:rsid w:val="00832810"/>
    <w:rsid w:val="00832E2C"/>
    <w:rsid w:val="00833070"/>
    <w:rsid w:val="008331B6"/>
    <w:rsid w:val="008345ED"/>
    <w:rsid w:val="00835248"/>
    <w:rsid w:val="00835927"/>
    <w:rsid w:val="00835DF1"/>
    <w:rsid w:val="008367EE"/>
    <w:rsid w:val="0083699C"/>
    <w:rsid w:val="00836B16"/>
    <w:rsid w:val="00836EA5"/>
    <w:rsid w:val="00837CE4"/>
    <w:rsid w:val="00837D19"/>
    <w:rsid w:val="00840312"/>
    <w:rsid w:val="008403E9"/>
    <w:rsid w:val="008404D4"/>
    <w:rsid w:val="0084074D"/>
    <w:rsid w:val="00840B86"/>
    <w:rsid w:val="00840ECD"/>
    <w:rsid w:val="00840FBE"/>
    <w:rsid w:val="0084104F"/>
    <w:rsid w:val="00841E4A"/>
    <w:rsid w:val="008422EC"/>
    <w:rsid w:val="00842C7F"/>
    <w:rsid w:val="00844279"/>
    <w:rsid w:val="0084429F"/>
    <w:rsid w:val="008448E0"/>
    <w:rsid w:val="00844916"/>
    <w:rsid w:val="00845238"/>
    <w:rsid w:val="00845969"/>
    <w:rsid w:val="00845A61"/>
    <w:rsid w:val="008465C6"/>
    <w:rsid w:val="008467B8"/>
    <w:rsid w:val="008469EE"/>
    <w:rsid w:val="00847359"/>
    <w:rsid w:val="00847A4A"/>
    <w:rsid w:val="00850321"/>
    <w:rsid w:val="008505AA"/>
    <w:rsid w:val="0085064A"/>
    <w:rsid w:val="00851C51"/>
    <w:rsid w:val="008526EF"/>
    <w:rsid w:val="00852F55"/>
    <w:rsid w:val="0085347F"/>
    <w:rsid w:val="00853608"/>
    <w:rsid w:val="00853AB4"/>
    <w:rsid w:val="008542F2"/>
    <w:rsid w:val="00854AA7"/>
    <w:rsid w:val="008556EF"/>
    <w:rsid w:val="00855743"/>
    <w:rsid w:val="00855B1B"/>
    <w:rsid w:val="00855F9F"/>
    <w:rsid w:val="00855FA9"/>
    <w:rsid w:val="00856033"/>
    <w:rsid w:val="008564C8"/>
    <w:rsid w:val="00856541"/>
    <w:rsid w:val="0085683B"/>
    <w:rsid w:val="00857082"/>
    <w:rsid w:val="008570AA"/>
    <w:rsid w:val="00857699"/>
    <w:rsid w:val="008577A8"/>
    <w:rsid w:val="008602B6"/>
    <w:rsid w:val="008603DA"/>
    <w:rsid w:val="0086079C"/>
    <w:rsid w:val="00861605"/>
    <w:rsid w:val="00861EF3"/>
    <w:rsid w:val="008625E1"/>
    <w:rsid w:val="00862F05"/>
    <w:rsid w:val="00863007"/>
    <w:rsid w:val="00863151"/>
    <w:rsid w:val="008632C9"/>
    <w:rsid w:val="008635A5"/>
    <w:rsid w:val="00863A49"/>
    <w:rsid w:val="00864429"/>
    <w:rsid w:val="008644CB"/>
    <w:rsid w:val="008648F0"/>
    <w:rsid w:val="00864A03"/>
    <w:rsid w:val="00864BAF"/>
    <w:rsid w:val="008652F0"/>
    <w:rsid w:val="00865318"/>
    <w:rsid w:val="00865519"/>
    <w:rsid w:val="00865C3C"/>
    <w:rsid w:val="00865C74"/>
    <w:rsid w:val="008661A4"/>
    <w:rsid w:val="008668EA"/>
    <w:rsid w:val="008669AB"/>
    <w:rsid w:val="00866DBF"/>
    <w:rsid w:val="008677B6"/>
    <w:rsid w:val="00867A8D"/>
    <w:rsid w:val="00867BA9"/>
    <w:rsid w:val="00867C07"/>
    <w:rsid w:val="00867D3D"/>
    <w:rsid w:val="00870190"/>
    <w:rsid w:val="00870DC0"/>
    <w:rsid w:val="00871372"/>
    <w:rsid w:val="008716B7"/>
    <w:rsid w:val="0087187C"/>
    <w:rsid w:val="008718F3"/>
    <w:rsid w:val="00871A0A"/>
    <w:rsid w:val="00872A08"/>
    <w:rsid w:val="0087324A"/>
    <w:rsid w:val="008741A6"/>
    <w:rsid w:val="00874368"/>
    <w:rsid w:val="008744AE"/>
    <w:rsid w:val="008765F6"/>
    <w:rsid w:val="00876B6F"/>
    <w:rsid w:val="00876E10"/>
    <w:rsid w:val="00876E5C"/>
    <w:rsid w:val="00877DA5"/>
    <w:rsid w:val="00877F14"/>
    <w:rsid w:val="00880852"/>
    <w:rsid w:val="00881598"/>
    <w:rsid w:val="00881F95"/>
    <w:rsid w:val="00882F26"/>
    <w:rsid w:val="008831C0"/>
    <w:rsid w:val="0088335C"/>
    <w:rsid w:val="00883602"/>
    <w:rsid w:val="008838AA"/>
    <w:rsid w:val="00883C9C"/>
    <w:rsid w:val="008842F0"/>
    <w:rsid w:val="008851BF"/>
    <w:rsid w:val="0088574B"/>
    <w:rsid w:val="0088594E"/>
    <w:rsid w:val="0088649D"/>
    <w:rsid w:val="0088649F"/>
    <w:rsid w:val="00886768"/>
    <w:rsid w:val="00886E26"/>
    <w:rsid w:val="008875A6"/>
    <w:rsid w:val="008876FD"/>
    <w:rsid w:val="00887A19"/>
    <w:rsid w:val="00890136"/>
    <w:rsid w:val="00890917"/>
    <w:rsid w:val="0089181D"/>
    <w:rsid w:val="0089193E"/>
    <w:rsid w:val="0089272F"/>
    <w:rsid w:val="00892774"/>
    <w:rsid w:val="008929EC"/>
    <w:rsid w:val="00892AFC"/>
    <w:rsid w:val="0089336B"/>
    <w:rsid w:val="00893451"/>
    <w:rsid w:val="008950DB"/>
    <w:rsid w:val="00895B09"/>
    <w:rsid w:val="00895D8A"/>
    <w:rsid w:val="00895E48"/>
    <w:rsid w:val="008978A4"/>
    <w:rsid w:val="008A040A"/>
    <w:rsid w:val="008A06A4"/>
    <w:rsid w:val="008A0B47"/>
    <w:rsid w:val="008A1390"/>
    <w:rsid w:val="008A1FD4"/>
    <w:rsid w:val="008A2762"/>
    <w:rsid w:val="008A29B1"/>
    <w:rsid w:val="008A29CE"/>
    <w:rsid w:val="008A2C94"/>
    <w:rsid w:val="008A3331"/>
    <w:rsid w:val="008A353E"/>
    <w:rsid w:val="008A3B8A"/>
    <w:rsid w:val="008A3E74"/>
    <w:rsid w:val="008A3FF9"/>
    <w:rsid w:val="008A4488"/>
    <w:rsid w:val="008A4873"/>
    <w:rsid w:val="008A5B0A"/>
    <w:rsid w:val="008A622A"/>
    <w:rsid w:val="008A6446"/>
    <w:rsid w:val="008A78C5"/>
    <w:rsid w:val="008B0019"/>
    <w:rsid w:val="008B00B8"/>
    <w:rsid w:val="008B0908"/>
    <w:rsid w:val="008B11CC"/>
    <w:rsid w:val="008B1339"/>
    <w:rsid w:val="008B1DD6"/>
    <w:rsid w:val="008B225B"/>
    <w:rsid w:val="008B2317"/>
    <w:rsid w:val="008B2966"/>
    <w:rsid w:val="008B34DD"/>
    <w:rsid w:val="008B39BD"/>
    <w:rsid w:val="008B5001"/>
    <w:rsid w:val="008B63C9"/>
    <w:rsid w:val="008B6925"/>
    <w:rsid w:val="008B700A"/>
    <w:rsid w:val="008B71B5"/>
    <w:rsid w:val="008B7526"/>
    <w:rsid w:val="008C01A1"/>
    <w:rsid w:val="008C1343"/>
    <w:rsid w:val="008C201B"/>
    <w:rsid w:val="008C2DDE"/>
    <w:rsid w:val="008C35C0"/>
    <w:rsid w:val="008C3786"/>
    <w:rsid w:val="008C3913"/>
    <w:rsid w:val="008C3ECF"/>
    <w:rsid w:val="008C3FBC"/>
    <w:rsid w:val="008C3FD5"/>
    <w:rsid w:val="008C3FDA"/>
    <w:rsid w:val="008C41C7"/>
    <w:rsid w:val="008C45F4"/>
    <w:rsid w:val="008C473A"/>
    <w:rsid w:val="008C4836"/>
    <w:rsid w:val="008C48E7"/>
    <w:rsid w:val="008C5DDA"/>
    <w:rsid w:val="008C5E44"/>
    <w:rsid w:val="008C5ECF"/>
    <w:rsid w:val="008C6296"/>
    <w:rsid w:val="008C737C"/>
    <w:rsid w:val="008C7D57"/>
    <w:rsid w:val="008D112A"/>
    <w:rsid w:val="008D12C0"/>
    <w:rsid w:val="008D1526"/>
    <w:rsid w:val="008D15E0"/>
    <w:rsid w:val="008D2354"/>
    <w:rsid w:val="008D2B26"/>
    <w:rsid w:val="008D326D"/>
    <w:rsid w:val="008D420E"/>
    <w:rsid w:val="008D48AF"/>
    <w:rsid w:val="008D4B3D"/>
    <w:rsid w:val="008D4CA9"/>
    <w:rsid w:val="008D535D"/>
    <w:rsid w:val="008D564E"/>
    <w:rsid w:val="008D589C"/>
    <w:rsid w:val="008D5C72"/>
    <w:rsid w:val="008D5E09"/>
    <w:rsid w:val="008D6050"/>
    <w:rsid w:val="008D68C3"/>
    <w:rsid w:val="008D7678"/>
    <w:rsid w:val="008D773B"/>
    <w:rsid w:val="008D7748"/>
    <w:rsid w:val="008D7D66"/>
    <w:rsid w:val="008D7EDA"/>
    <w:rsid w:val="008D7FA9"/>
    <w:rsid w:val="008E00CD"/>
    <w:rsid w:val="008E0597"/>
    <w:rsid w:val="008E06FC"/>
    <w:rsid w:val="008E0942"/>
    <w:rsid w:val="008E1A1B"/>
    <w:rsid w:val="008E1A8A"/>
    <w:rsid w:val="008E1B4E"/>
    <w:rsid w:val="008E1CFD"/>
    <w:rsid w:val="008E1DC2"/>
    <w:rsid w:val="008E26FC"/>
    <w:rsid w:val="008E2969"/>
    <w:rsid w:val="008E2D60"/>
    <w:rsid w:val="008E3662"/>
    <w:rsid w:val="008E3D18"/>
    <w:rsid w:val="008E4388"/>
    <w:rsid w:val="008E43D6"/>
    <w:rsid w:val="008E4E7F"/>
    <w:rsid w:val="008E4FBA"/>
    <w:rsid w:val="008E5500"/>
    <w:rsid w:val="008E5682"/>
    <w:rsid w:val="008E5A39"/>
    <w:rsid w:val="008E628A"/>
    <w:rsid w:val="008E7111"/>
    <w:rsid w:val="008F02C3"/>
    <w:rsid w:val="008F05DF"/>
    <w:rsid w:val="008F0748"/>
    <w:rsid w:val="008F0CD9"/>
    <w:rsid w:val="008F1368"/>
    <w:rsid w:val="008F16AC"/>
    <w:rsid w:val="008F1EC6"/>
    <w:rsid w:val="008F2A72"/>
    <w:rsid w:val="008F2E51"/>
    <w:rsid w:val="008F35D8"/>
    <w:rsid w:val="008F3609"/>
    <w:rsid w:val="008F3E39"/>
    <w:rsid w:val="008F4049"/>
    <w:rsid w:val="008F411A"/>
    <w:rsid w:val="008F424E"/>
    <w:rsid w:val="008F4309"/>
    <w:rsid w:val="008F437C"/>
    <w:rsid w:val="008F4D68"/>
    <w:rsid w:val="008F4E04"/>
    <w:rsid w:val="008F4F7D"/>
    <w:rsid w:val="008F5255"/>
    <w:rsid w:val="008F5667"/>
    <w:rsid w:val="008F5901"/>
    <w:rsid w:val="008F5EEB"/>
    <w:rsid w:val="008F6701"/>
    <w:rsid w:val="008F6A7E"/>
    <w:rsid w:val="008F6D10"/>
    <w:rsid w:val="008F6E71"/>
    <w:rsid w:val="008F73C7"/>
    <w:rsid w:val="00900DA1"/>
    <w:rsid w:val="00900F9F"/>
    <w:rsid w:val="00901261"/>
    <w:rsid w:val="009012A7"/>
    <w:rsid w:val="00901F18"/>
    <w:rsid w:val="009020DA"/>
    <w:rsid w:val="009022B6"/>
    <w:rsid w:val="00902410"/>
    <w:rsid w:val="009027DB"/>
    <w:rsid w:val="00902A0B"/>
    <w:rsid w:val="00902C31"/>
    <w:rsid w:val="00902CD7"/>
    <w:rsid w:val="009030D7"/>
    <w:rsid w:val="00903B60"/>
    <w:rsid w:val="009054F7"/>
    <w:rsid w:val="00905581"/>
    <w:rsid w:val="00905693"/>
    <w:rsid w:val="00905B09"/>
    <w:rsid w:val="00905B13"/>
    <w:rsid w:val="00905B9C"/>
    <w:rsid w:val="00906A95"/>
    <w:rsid w:val="0090705B"/>
    <w:rsid w:val="009074AD"/>
    <w:rsid w:val="00910BF0"/>
    <w:rsid w:val="00910EFB"/>
    <w:rsid w:val="00910FAF"/>
    <w:rsid w:val="00911033"/>
    <w:rsid w:val="00911129"/>
    <w:rsid w:val="00911151"/>
    <w:rsid w:val="00911D17"/>
    <w:rsid w:val="00911E3E"/>
    <w:rsid w:val="009123D8"/>
    <w:rsid w:val="00912424"/>
    <w:rsid w:val="009129C6"/>
    <w:rsid w:val="00912DF0"/>
    <w:rsid w:val="009132E4"/>
    <w:rsid w:val="00913850"/>
    <w:rsid w:val="009139EA"/>
    <w:rsid w:val="00913B12"/>
    <w:rsid w:val="00913C85"/>
    <w:rsid w:val="00913E2D"/>
    <w:rsid w:val="0091420B"/>
    <w:rsid w:val="00914863"/>
    <w:rsid w:val="00914B51"/>
    <w:rsid w:val="00914C1D"/>
    <w:rsid w:val="00914EEA"/>
    <w:rsid w:val="009157EA"/>
    <w:rsid w:val="00915BDB"/>
    <w:rsid w:val="0091603B"/>
    <w:rsid w:val="009164CA"/>
    <w:rsid w:val="00916A02"/>
    <w:rsid w:val="00916B23"/>
    <w:rsid w:val="00916DDD"/>
    <w:rsid w:val="00917A4C"/>
    <w:rsid w:val="00917A67"/>
    <w:rsid w:val="00920678"/>
    <w:rsid w:val="00920947"/>
    <w:rsid w:val="00922191"/>
    <w:rsid w:val="0092226E"/>
    <w:rsid w:val="00922BAC"/>
    <w:rsid w:val="00923009"/>
    <w:rsid w:val="00923640"/>
    <w:rsid w:val="00923900"/>
    <w:rsid w:val="00923E4E"/>
    <w:rsid w:val="00923E89"/>
    <w:rsid w:val="009246E5"/>
    <w:rsid w:val="00926554"/>
    <w:rsid w:val="00926C88"/>
    <w:rsid w:val="00926DDC"/>
    <w:rsid w:val="00927525"/>
    <w:rsid w:val="00927577"/>
    <w:rsid w:val="00927999"/>
    <w:rsid w:val="00927AFB"/>
    <w:rsid w:val="00927BD5"/>
    <w:rsid w:val="00931194"/>
    <w:rsid w:val="0093124D"/>
    <w:rsid w:val="009314FE"/>
    <w:rsid w:val="009317DB"/>
    <w:rsid w:val="0093204F"/>
    <w:rsid w:val="009332D9"/>
    <w:rsid w:val="00933F8F"/>
    <w:rsid w:val="00934200"/>
    <w:rsid w:val="0093427C"/>
    <w:rsid w:val="009348FC"/>
    <w:rsid w:val="0093517B"/>
    <w:rsid w:val="00935943"/>
    <w:rsid w:val="00936631"/>
    <w:rsid w:val="00936BBC"/>
    <w:rsid w:val="00936C1A"/>
    <w:rsid w:val="00936EED"/>
    <w:rsid w:val="00937DB0"/>
    <w:rsid w:val="00937F6C"/>
    <w:rsid w:val="0094077F"/>
    <w:rsid w:val="00940972"/>
    <w:rsid w:val="00940CDA"/>
    <w:rsid w:val="00940D58"/>
    <w:rsid w:val="009410B1"/>
    <w:rsid w:val="00941567"/>
    <w:rsid w:val="009418EA"/>
    <w:rsid w:val="0094215F"/>
    <w:rsid w:val="0094237F"/>
    <w:rsid w:val="00942844"/>
    <w:rsid w:val="0094327C"/>
    <w:rsid w:val="00943778"/>
    <w:rsid w:val="009437EF"/>
    <w:rsid w:val="00943A1C"/>
    <w:rsid w:val="00943BBB"/>
    <w:rsid w:val="009441B1"/>
    <w:rsid w:val="0094430C"/>
    <w:rsid w:val="00944D4B"/>
    <w:rsid w:val="00944F4A"/>
    <w:rsid w:val="00944FCF"/>
    <w:rsid w:val="009455A8"/>
    <w:rsid w:val="00945F01"/>
    <w:rsid w:val="00946543"/>
    <w:rsid w:val="00946719"/>
    <w:rsid w:val="00946A34"/>
    <w:rsid w:val="00947988"/>
    <w:rsid w:val="00947C72"/>
    <w:rsid w:val="00947CF2"/>
    <w:rsid w:val="00947EE6"/>
    <w:rsid w:val="009507C2"/>
    <w:rsid w:val="00950BCA"/>
    <w:rsid w:val="00950F35"/>
    <w:rsid w:val="00952203"/>
    <w:rsid w:val="00952DFE"/>
    <w:rsid w:val="009537A0"/>
    <w:rsid w:val="00953838"/>
    <w:rsid w:val="009539AE"/>
    <w:rsid w:val="00953A6E"/>
    <w:rsid w:val="009548C2"/>
    <w:rsid w:val="009548CA"/>
    <w:rsid w:val="00955F29"/>
    <w:rsid w:val="00955FE5"/>
    <w:rsid w:val="009579DF"/>
    <w:rsid w:val="00957D35"/>
    <w:rsid w:val="00960B9B"/>
    <w:rsid w:val="00960DC7"/>
    <w:rsid w:val="009613A2"/>
    <w:rsid w:val="00961AF3"/>
    <w:rsid w:val="00961B82"/>
    <w:rsid w:val="00961CA2"/>
    <w:rsid w:val="00961DB2"/>
    <w:rsid w:val="00962058"/>
    <w:rsid w:val="009621DF"/>
    <w:rsid w:val="00962209"/>
    <w:rsid w:val="009626F1"/>
    <w:rsid w:val="00962A1E"/>
    <w:rsid w:val="00962B7C"/>
    <w:rsid w:val="00962E80"/>
    <w:rsid w:val="00963808"/>
    <w:rsid w:val="00964260"/>
    <w:rsid w:val="00964876"/>
    <w:rsid w:val="00964919"/>
    <w:rsid w:val="009650C3"/>
    <w:rsid w:val="009655D7"/>
    <w:rsid w:val="009659EF"/>
    <w:rsid w:val="00965D0D"/>
    <w:rsid w:val="00965E02"/>
    <w:rsid w:val="00966451"/>
    <w:rsid w:val="009664D0"/>
    <w:rsid w:val="00966A73"/>
    <w:rsid w:val="00967345"/>
    <w:rsid w:val="0096752B"/>
    <w:rsid w:val="00967B92"/>
    <w:rsid w:val="00967D92"/>
    <w:rsid w:val="00967F3B"/>
    <w:rsid w:val="00970496"/>
    <w:rsid w:val="00970897"/>
    <w:rsid w:val="00970E84"/>
    <w:rsid w:val="00970EA0"/>
    <w:rsid w:val="009717ED"/>
    <w:rsid w:val="00971B75"/>
    <w:rsid w:val="0097283E"/>
    <w:rsid w:val="00972F05"/>
    <w:rsid w:val="009739DD"/>
    <w:rsid w:val="009739F6"/>
    <w:rsid w:val="00973BFF"/>
    <w:rsid w:val="00973D02"/>
    <w:rsid w:val="00974465"/>
    <w:rsid w:val="009749E3"/>
    <w:rsid w:val="00975616"/>
    <w:rsid w:val="0097580B"/>
    <w:rsid w:val="00975EB9"/>
    <w:rsid w:val="009776B8"/>
    <w:rsid w:val="00977935"/>
    <w:rsid w:val="00977EBC"/>
    <w:rsid w:val="009805B5"/>
    <w:rsid w:val="00980E78"/>
    <w:rsid w:val="009813F7"/>
    <w:rsid w:val="00981DD0"/>
    <w:rsid w:val="009823F1"/>
    <w:rsid w:val="009827C2"/>
    <w:rsid w:val="00982EE5"/>
    <w:rsid w:val="0098313A"/>
    <w:rsid w:val="0098399C"/>
    <w:rsid w:val="009840D9"/>
    <w:rsid w:val="0098434B"/>
    <w:rsid w:val="00984591"/>
    <w:rsid w:val="00984CFE"/>
    <w:rsid w:val="00985B04"/>
    <w:rsid w:val="00985DC3"/>
    <w:rsid w:val="00985E27"/>
    <w:rsid w:val="009861A9"/>
    <w:rsid w:val="0098667C"/>
    <w:rsid w:val="00986820"/>
    <w:rsid w:val="00986F93"/>
    <w:rsid w:val="00987ACA"/>
    <w:rsid w:val="00987B0D"/>
    <w:rsid w:val="00990AF2"/>
    <w:rsid w:val="00990BC0"/>
    <w:rsid w:val="00990E33"/>
    <w:rsid w:val="00990FB1"/>
    <w:rsid w:val="00991261"/>
    <w:rsid w:val="0099157D"/>
    <w:rsid w:val="0099177D"/>
    <w:rsid w:val="009928CB"/>
    <w:rsid w:val="00993500"/>
    <w:rsid w:val="00993770"/>
    <w:rsid w:val="009941A8"/>
    <w:rsid w:val="00995B06"/>
    <w:rsid w:val="0099621E"/>
    <w:rsid w:val="009963B4"/>
    <w:rsid w:val="00996794"/>
    <w:rsid w:val="00996AB3"/>
    <w:rsid w:val="00997316"/>
    <w:rsid w:val="009979DE"/>
    <w:rsid w:val="00997A76"/>
    <w:rsid w:val="00997AB2"/>
    <w:rsid w:val="00997C8D"/>
    <w:rsid w:val="00997CE9"/>
    <w:rsid w:val="00997D5B"/>
    <w:rsid w:val="009A0245"/>
    <w:rsid w:val="009A05D8"/>
    <w:rsid w:val="009A0628"/>
    <w:rsid w:val="009A0EE3"/>
    <w:rsid w:val="009A19AF"/>
    <w:rsid w:val="009A1C6B"/>
    <w:rsid w:val="009A274E"/>
    <w:rsid w:val="009A30EF"/>
    <w:rsid w:val="009A3CAE"/>
    <w:rsid w:val="009A415B"/>
    <w:rsid w:val="009A5A47"/>
    <w:rsid w:val="009A662F"/>
    <w:rsid w:val="009A6A7F"/>
    <w:rsid w:val="009A6EB9"/>
    <w:rsid w:val="009A729F"/>
    <w:rsid w:val="009A7391"/>
    <w:rsid w:val="009A7793"/>
    <w:rsid w:val="009A7EC9"/>
    <w:rsid w:val="009B0B6A"/>
    <w:rsid w:val="009B0C33"/>
    <w:rsid w:val="009B103A"/>
    <w:rsid w:val="009B15F2"/>
    <w:rsid w:val="009B1AA6"/>
    <w:rsid w:val="009B1F72"/>
    <w:rsid w:val="009B1FA7"/>
    <w:rsid w:val="009B2269"/>
    <w:rsid w:val="009B28E5"/>
    <w:rsid w:val="009B29BF"/>
    <w:rsid w:val="009B2ABF"/>
    <w:rsid w:val="009B3276"/>
    <w:rsid w:val="009B36A5"/>
    <w:rsid w:val="009B3BAC"/>
    <w:rsid w:val="009B4827"/>
    <w:rsid w:val="009B4982"/>
    <w:rsid w:val="009B4D74"/>
    <w:rsid w:val="009B506E"/>
    <w:rsid w:val="009B5BC1"/>
    <w:rsid w:val="009B756F"/>
    <w:rsid w:val="009B7C7B"/>
    <w:rsid w:val="009C0DF7"/>
    <w:rsid w:val="009C1CDE"/>
    <w:rsid w:val="009C2718"/>
    <w:rsid w:val="009C2BF8"/>
    <w:rsid w:val="009C2DCB"/>
    <w:rsid w:val="009C34D3"/>
    <w:rsid w:val="009C36D2"/>
    <w:rsid w:val="009C44F7"/>
    <w:rsid w:val="009C4EB4"/>
    <w:rsid w:val="009C622E"/>
    <w:rsid w:val="009C6744"/>
    <w:rsid w:val="009C6DB0"/>
    <w:rsid w:val="009D00C1"/>
    <w:rsid w:val="009D0ED6"/>
    <w:rsid w:val="009D0F71"/>
    <w:rsid w:val="009D11BE"/>
    <w:rsid w:val="009D1831"/>
    <w:rsid w:val="009D201E"/>
    <w:rsid w:val="009D27E2"/>
    <w:rsid w:val="009D294A"/>
    <w:rsid w:val="009D2EC8"/>
    <w:rsid w:val="009D2EDB"/>
    <w:rsid w:val="009D374B"/>
    <w:rsid w:val="009D3EC7"/>
    <w:rsid w:val="009D5C26"/>
    <w:rsid w:val="009D60EF"/>
    <w:rsid w:val="009D617D"/>
    <w:rsid w:val="009D6335"/>
    <w:rsid w:val="009D6755"/>
    <w:rsid w:val="009D6B5A"/>
    <w:rsid w:val="009D7256"/>
    <w:rsid w:val="009D7303"/>
    <w:rsid w:val="009D79B3"/>
    <w:rsid w:val="009D7EB2"/>
    <w:rsid w:val="009E0232"/>
    <w:rsid w:val="009E0403"/>
    <w:rsid w:val="009E04FD"/>
    <w:rsid w:val="009E2354"/>
    <w:rsid w:val="009E23CA"/>
    <w:rsid w:val="009E29D0"/>
    <w:rsid w:val="009E2D79"/>
    <w:rsid w:val="009E333F"/>
    <w:rsid w:val="009E37B2"/>
    <w:rsid w:val="009E3AFE"/>
    <w:rsid w:val="009E3EB1"/>
    <w:rsid w:val="009E44AB"/>
    <w:rsid w:val="009E4748"/>
    <w:rsid w:val="009E4E1F"/>
    <w:rsid w:val="009E4FDB"/>
    <w:rsid w:val="009E5A74"/>
    <w:rsid w:val="009E5B2F"/>
    <w:rsid w:val="009E640E"/>
    <w:rsid w:val="009E6ABE"/>
    <w:rsid w:val="009E7309"/>
    <w:rsid w:val="009E7ADB"/>
    <w:rsid w:val="009F0222"/>
    <w:rsid w:val="009F042F"/>
    <w:rsid w:val="009F07E0"/>
    <w:rsid w:val="009F0961"/>
    <w:rsid w:val="009F0B42"/>
    <w:rsid w:val="009F0D06"/>
    <w:rsid w:val="009F0EA8"/>
    <w:rsid w:val="009F150F"/>
    <w:rsid w:val="009F19D4"/>
    <w:rsid w:val="009F1AB6"/>
    <w:rsid w:val="009F1CCE"/>
    <w:rsid w:val="009F2046"/>
    <w:rsid w:val="009F23C2"/>
    <w:rsid w:val="009F2705"/>
    <w:rsid w:val="009F2CCB"/>
    <w:rsid w:val="009F40B2"/>
    <w:rsid w:val="009F42AA"/>
    <w:rsid w:val="009F473C"/>
    <w:rsid w:val="009F4A50"/>
    <w:rsid w:val="009F5384"/>
    <w:rsid w:val="009F5915"/>
    <w:rsid w:val="009F5E8B"/>
    <w:rsid w:val="009F65C8"/>
    <w:rsid w:val="009F66F6"/>
    <w:rsid w:val="009F68BC"/>
    <w:rsid w:val="009F6BD2"/>
    <w:rsid w:val="009F6E60"/>
    <w:rsid w:val="009F6F9F"/>
    <w:rsid w:val="009F7C28"/>
    <w:rsid w:val="00A00E64"/>
    <w:rsid w:val="00A01032"/>
    <w:rsid w:val="00A01E11"/>
    <w:rsid w:val="00A0253F"/>
    <w:rsid w:val="00A02787"/>
    <w:rsid w:val="00A033DA"/>
    <w:rsid w:val="00A04476"/>
    <w:rsid w:val="00A04CFA"/>
    <w:rsid w:val="00A05730"/>
    <w:rsid w:val="00A059CF"/>
    <w:rsid w:val="00A060F8"/>
    <w:rsid w:val="00A0756F"/>
    <w:rsid w:val="00A07627"/>
    <w:rsid w:val="00A11024"/>
    <w:rsid w:val="00A11233"/>
    <w:rsid w:val="00A11619"/>
    <w:rsid w:val="00A11B39"/>
    <w:rsid w:val="00A11C34"/>
    <w:rsid w:val="00A127A4"/>
    <w:rsid w:val="00A1302E"/>
    <w:rsid w:val="00A13637"/>
    <w:rsid w:val="00A13741"/>
    <w:rsid w:val="00A1375F"/>
    <w:rsid w:val="00A139D8"/>
    <w:rsid w:val="00A1493B"/>
    <w:rsid w:val="00A14A4E"/>
    <w:rsid w:val="00A166EE"/>
    <w:rsid w:val="00A16D9E"/>
    <w:rsid w:val="00A2014B"/>
    <w:rsid w:val="00A20EF5"/>
    <w:rsid w:val="00A21103"/>
    <w:rsid w:val="00A2148F"/>
    <w:rsid w:val="00A21640"/>
    <w:rsid w:val="00A2167C"/>
    <w:rsid w:val="00A21711"/>
    <w:rsid w:val="00A21B39"/>
    <w:rsid w:val="00A21C1C"/>
    <w:rsid w:val="00A21CFC"/>
    <w:rsid w:val="00A2220E"/>
    <w:rsid w:val="00A2270F"/>
    <w:rsid w:val="00A2318E"/>
    <w:rsid w:val="00A2325A"/>
    <w:rsid w:val="00A23E37"/>
    <w:rsid w:val="00A24024"/>
    <w:rsid w:val="00A2402B"/>
    <w:rsid w:val="00A243A0"/>
    <w:rsid w:val="00A24A09"/>
    <w:rsid w:val="00A2556F"/>
    <w:rsid w:val="00A25ADE"/>
    <w:rsid w:val="00A264D3"/>
    <w:rsid w:val="00A2674B"/>
    <w:rsid w:val="00A26DA4"/>
    <w:rsid w:val="00A277C8"/>
    <w:rsid w:val="00A2780F"/>
    <w:rsid w:val="00A27EC7"/>
    <w:rsid w:val="00A30049"/>
    <w:rsid w:val="00A30326"/>
    <w:rsid w:val="00A30674"/>
    <w:rsid w:val="00A30E80"/>
    <w:rsid w:val="00A310B5"/>
    <w:rsid w:val="00A3120A"/>
    <w:rsid w:val="00A315E3"/>
    <w:rsid w:val="00A31743"/>
    <w:rsid w:val="00A317FC"/>
    <w:rsid w:val="00A3183F"/>
    <w:rsid w:val="00A318F1"/>
    <w:rsid w:val="00A31908"/>
    <w:rsid w:val="00A326B5"/>
    <w:rsid w:val="00A327E0"/>
    <w:rsid w:val="00A33089"/>
    <w:rsid w:val="00A3348E"/>
    <w:rsid w:val="00A33C52"/>
    <w:rsid w:val="00A33C9D"/>
    <w:rsid w:val="00A3447A"/>
    <w:rsid w:val="00A35172"/>
    <w:rsid w:val="00A356F2"/>
    <w:rsid w:val="00A3617A"/>
    <w:rsid w:val="00A3689D"/>
    <w:rsid w:val="00A37C30"/>
    <w:rsid w:val="00A40452"/>
    <w:rsid w:val="00A40899"/>
    <w:rsid w:val="00A41149"/>
    <w:rsid w:val="00A41626"/>
    <w:rsid w:val="00A416DA"/>
    <w:rsid w:val="00A41A00"/>
    <w:rsid w:val="00A41CEF"/>
    <w:rsid w:val="00A430EB"/>
    <w:rsid w:val="00A435B3"/>
    <w:rsid w:val="00A43ED6"/>
    <w:rsid w:val="00A44157"/>
    <w:rsid w:val="00A44239"/>
    <w:rsid w:val="00A44768"/>
    <w:rsid w:val="00A44DC1"/>
    <w:rsid w:val="00A451FF"/>
    <w:rsid w:val="00A45495"/>
    <w:rsid w:val="00A45DBB"/>
    <w:rsid w:val="00A46288"/>
    <w:rsid w:val="00A462EE"/>
    <w:rsid w:val="00A464E2"/>
    <w:rsid w:val="00A468EC"/>
    <w:rsid w:val="00A476EF"/>
    <w:rsid w:val="00A506A9"/>
    <w:rsid w:val="00A50948"/>
    <w:rsid w:val="00A51621"/>
    <w:rsid w:val="00A51681"/>
    <w:rsid w:val="00A525E0"/>
    <w:rsid w:val="00A52823"/>
    <w:rsid w:val="00A52DF0"/>
    <w:rsid w:val="00A535FE"/>
    <w:rsid w:val="00A53691"/>
    <w:rsid w:val="00A54110"/>
    <w:rsid w:val="00A550CD"/>
    <w:rsid w:val="00A55945"/>
    <w:rsid w:val="00A560FD"/>
    <w:rsid w:val="00A56129"/>
    <w:rsid w:val="00A56AE1"/>
    <w:rsid w:val="00A57335"/>
    <w:rsid w:val="00A57AD7"/>
    <w:rsid w:val="00A57C21"/>
    <w:rsid w:val="00A57CBA"/>
    <w:rsid w:val="00A57EAE"/>
    <w:rsid w:val="00A60552"/>
    <w:rsid w:val="00A60B7A"/>
    <w:rsid w:val="00A61848"/>
    <w:rsid w:val="00A61970"/>
    <w:rsid w:val="00A62001"/>
    <w:rsid w:val="00A6216D"/>
    <w:rsid w:val="00A62F19"/>
    <w:rsid w:val="00A6338B"/>
    <w:rsid w:val="00A63567"/>
    <w:rsid w:val="00A635DE"/>
    <w:rsid w:val="00A63958"/>
    <w:rsid w:val="00A640E4"/>
    <w:rsid w:val="00A6429F"/>
    <w:rsid w:val="00A651C5"/>
    <w:rsid w:val="00A65B4D"/>
    <w:rsid w:val="00A65C19"/>
    <w:rsid w:val="00A65D16"/>
    <w:rsid w:val="00A66398"/>
    <w:rsid w:val="00A66DD5"/>
    <w:rsid w:val="00A66E61"/>
    <w:rsid w:val="00A6702C"/>
    <w:rsid w:val="00A67228"/>
    <w:rsid w:val="00A67612"/>
    <w:rsid w:val="00A703DA"/>
    <w:rsid w:val="00A705A7"/>
    <w:rsid w:val="00A71567"/>
    <w:rsid w:val="00A71A19"/>
    <w:rsid w:val="00A71CD7"/>
    <w:rsid w:val="00A72439"/>
    <w:rsid w:val="00A725B5"/>
    <w:rsid w:val="00A72DEC"/>
    <w:rsid w:val="00A72FE9"/>
    <w:rsid w:val="00A7350D"/>
    <w:rsid w:val="00A73C1E"/>
    <w:rsid w:val="00A74C7C"/>
    <w:rsid w:val="00A75489"/>
    <w:rsid w:val="00A75EE0"/>
    <w:rsid w:val="00A766B4"/>
    <w:rsid w:val="00A76DA1"/>
    <w:rsid w:val="00A770A2"/>
    <w:rsid w:val="00A77A85"/>
    <w:rsid w:val="00A81140"/>
    <w:rsid w:val="00A81414"/>
    <w:rsid w:val="00A81A4A"/>
    <w:rsid w:val="00A82368"/>
    <w:rsid w:val="00A82C9E"/>
    <w:rsid w:val="00A839A4"/>
    <w:rsid w:val="00A83B78"/>
    <w:rsid w:val="00A84060"/>
    <w:rsid w:val="00A84169"/>
    <w:rsid w:val="00A846A0"/>
    <w:rsid w:val="00A846BC"/>
    <w:rsid w:val="00A84790"/>
    <w:rsid w:val="00A84AC9"/>
    <w:rsid w:val="00A84D7E"/>
    <w:rsid w:val="00A8527E"/>
    <w:rsid w:val="00A857BC"/>
    <w:rsid w:val="00A85CA7"/>
    <w:rsid w:val="00A85CB9"/>
    <w:rsid w:val="00A85EFA"/>
    <w:rsid w:val="00A8655A"/>
    <w:rsid w:val="00A86773"/>
    <w:rsid w:val="00A8775B"/>
    <w:rsid w:val="00A903D4"/>
    <w:rsid w:val="00A905D7"/>
    <w:rsid w:val="00A90A3C"/>
    <w:rsid w:val="00A90B2C"/>
    <w:rsid w:val="00A91552"/>
    <w:rsid w:val="00A91766"/>
    <w:rsid w:val="00A91863"/>
    <w:rsid w:val="00A9247A"/>
    <w:rsid w:val="00A92CEB"/>
    <w:rsid w:val="00A92E17"/>
    <w:rsid w:val="00A931CE"/>
    <w:rsid w:val="00A9392A"/>
    <w:rsid w:val="00A9472B"/>
    <w:rsid w:val="00A94AC3"/>
    <w:rsid w:val="00A94E17"/>
    <w:rsid w:val="00A9538C"/>
    <w:rsid w:val="00A95556"/>
    <w:rsid w:val="00A957B8"/>
    <w:rsid w:val="00A957C8"/>
    <w:rsid w:val="00A957ED"/>
    <w:rsid w:val="00A95AF4"/>
    <w:rsid w:val="00A966B6"/>
    <w:rsid w:val="00AA034F"/>
    <w:rsid w:val="00AA0505"/>
    <w:rsid w:val="00AA0561"/>
    <w:rsid w:val="00AA0A8A"/>
    <w:rsid w:val="00AA0F9F"/>
    <w:rsid w:val="00AA1022"/>
    <w:rsid w:val="00AA140F"/>
    <w:rsid w:val="00AA1ED9"/>
    <w:rsid w:val="00AA1F9E"/>
    <w:rsid w:val="00AA28EA"/>
    <w:rsid w:val="00AA2E0D"/>
    <w:rsid w:val="00AA339E"/>
    <w:rsid w:val="00AA390E"/>
    <w:rsid w:val="00AA3C87"/>
    <w:rsid w:val="00AA44D3"/>
    <w:rsid w:val="00AA48A5"/>
    <w:rsid w:val="00AA4926"/>
    <w:rsid w:val="00AA53AA"/>
    <w:rsid w:val="00AA564D"/>
    <w:rsid w:val="00AA5C2A"/>
    <w:rsid w:val="00AA68CF"/>
    <w:rsid w:val="00AA6C3A"/>
    <w:rsid w:val="00AA6EBE"/>
    <w:rsid w:val="00AA6EFC"/>
    <w:rsid w:val="00AA7019"/>
    <w:rsid w:val="00AA7310"/>
    <w:rsid w:val="00AA766D"/>
    <w:rsid w:val="00AA76CF"/>
    <w:rsid w:val="00AA7844"/>
    <w:rsid w:val="00AB0425"/>
    <w:rsid w:val="00AB0613"/>
    <w:rsid w:val="00AB0828"/>
    <w:rsid w:val="00AB159D"/>
    <w:rsid w:val="00AB17BA"/>
    <w:rsid w:val="00AB1847"/>
    <w:rsid w:val="00AB272D"/>
    <w:rsid w:val="00AB2802"/>
    <w:rsid w:val="00AB2C63"/>
    <w:rsid w:val="00AB412E"/>
    <w:rsid w:val="00AB4B9D"/>
    <w:rsid w:val="00AB4D70"/>
    <w:rsid w:val="00AB4E3C"/>
    <w:rsid w:val="00AB5702"/>
    <w:rsid w:val="00AB61B4"/>
    <w:rsid w:val="00AB64B8"/>
    <w:rsid w:val="00AB6C73"/>
    <w:rsid w:val="00AB6CE1"/>
    <w:rsid w:val="00AB7158"/>
    <w:rsid w:val="00AB7563"/>
    <w:rsid w:val="00AB76BB"/>
    <w:rsid w:val="00AB78FA"/>
    <w:rsid w:val="00AB7D26"/>
    <w:rsid w:val="00AC0987"/>
    <w:rsid w:val="00AC0B68"/>
    <w:rsid w:val="00AC0C4F"/>
    <w:rsid w:val="00AC11DF"/>
    <w:rsid w:val="00AC1913"/>
    <w:rsid w:val="00AC1DC3"/>
    <w:rsid w:val="00AC1F74"/>
    <w:rsid w:val="00AC2260"/>
    <w:rsid w:val="00AC2F9C"/>
    <w:rsid w:val="00AC3EFF"/>
    <w:rsid w:val="00AC45BA"/>
    <w:rsid w:val="00AC4617"/>
    <w:rsid w:val="00AC472E"/>
    <w:rsid w:val="00AC4F7E"/>
    <w:rsid w:val="00AC50B6"/>
    <w:rsid w:val="00AC5434"/>
    <w:rsid w:val="00AC5497"/>
    <w:rsid w:val="00AC56B7"/>
    <w:rsid w:val="00AC5A11"/>
    <w:rsid w:val="00AC5DE9"/>
    <w:rsid w:val="00AC6346"/>
    <w:rsid w:val="00AC65AA"/>
    <w:rsid w:val="00AC6A06"/>
    <w:rsid w:val="00AC70C9"/>
    <w:rsid w:val="00AC77B0"/>
    <w:rsid w:val="00AC7B97"/>
    <w:rsid w:val="00AC7C43"/>
    <w:rsid w:val="00AC7CC2"/>
    <w:rsid w:val="00AD042C"/>
    <w:rsid w:val="00AD0F30"/>
    <w:rsid w:val="00AD15E0"/>
    <w:rsid w:val="00AD18F9"/>
    <w:rsid w:val="00AD1E06"/>
    <w:rsid w:val="00AD1EF1"/>
    <w:rsid w:val="00AD1F3A"/>
    <w:rsid w:val="00AD1F41"/>
    <w:rsid w:val="00AD2090"/>
    <w:rsid w:val="00AD28BC"/>
    <w:rsid w:val="00AD2EC9"/>
    <w:rsid w:val="00AD2F55"/>
    <w:rsid w:val="00AD370C"/>
    <w:rsid w:val="00AD43BD"/>
    <w:rsid w:val="00AD48BB"/>
    <w:rsid w:val="00AD5AF1"/>
    <w:rsid w:val="00AD5D99"/>
    <w:rsid w:val="00AD6316"/>
    <w:rsid w:val="00AD65CD"/>
    <w:rsid w:val="00AD66B5"/>
    <w:rsid w:val="00AD6AAF"/>
    <w:rsid w:val="00AD743B"/>
    <w:rsid w:val="00AE0492"/>
    <w:rsid w:val="00AE07B5"/>
    <w:rsid w:val="00AE0C17"/>
    <w:rsid w:val="00AE18D5"/>
    <w:rsid w:val="00AE26E7"/>
    <w:rsid w:val="00AE27B1"/>
    <w:rsid w:val="00AE281B"/>
    <w:rsid w:val="00AE2FE6"/>
    <w:rsid w:val="00AE3DC4"/>
    <w:rsid w:val="00AE4585"/>
    <w:rsid w:val="00AE45DB"/>
    <w:rsid w:val="00AE4B07"/>
    <w:rsid w:val="00AE5631"/>
    <w:rsid w:val="00AE67F7"/>
    <w:rsid w:val="00AE6C84"/>
    <w:rsid w:val="00AE6EA9"/>
    <w:rsid w:val="00AE6F5F"/>
    <w:rsid w:val="00AE7F1F"/>
    <w:rsid w:val="00AE7F31"/>
    <w:rsid w:val="00AF0034"/>
    <w:rsid w:val="00AF0113"/>
    <w:rsid w:val="00AF1159"/>
    <w:rsid w:val="00AF156F"/>
    <w:rsid w:val="00AF1B03"/>
    <w:rsid w:val="00AF2340"/>
    <w:rsid w:val="00AF2575"/>
    <w:rsid w:val="00AF2BAE"/>
    <w:rsid w:val="00AF320B"/>
    <w:rsid w:val="00AF354B"/>
    <w:rsid w:val="00AF42BB"/>
    <w:rsid w:val="00AF5032"/>
    <w:rsid w:val="00AF5780"/>
    <w:rsid w:val="00AF5801"/>
    <w:rsid w:val="00AF5EF6"/>
    <w:rsid w:val="00AF6C24"/>
    <w:rsid w:val="00AF6E7F"/>
    <w:rsid w:val="00AF7575"/>
    <w:rsid w:val="00AF7949"/>
    <w:rsid w:val="00AF7A0B"/>
    <w:rsid w:val="00AF7B90"/>
    <w:rsid w:val="00B01153"/>
    <w:rsid w:val="00B01545"/>
    <w:rsid w:val="00B0168D"/>
    <w:rsid w:val="00B018E7"/>
    <w:rsid w:val="00B020EB"/>
    <w:rsid w:val="00B0244B"/>
    <w:rsid w:val="00B02D12"/>
    <w:rsid w:val="00B031BD"/>
    <w:rsid w:val="00B03E19"/>
    <w:rsid w:val="00B040E3"/>
    <w:rsid w:val="00B04104"/>
    <w:rsid w:val="00B045AD"/>
    <w:rsid w:val="00B057A7"/>
    <w:rsid w:val="00B0677A"/>
    <w:rsid w:val="00B06D88"/>
    <w:rsid w:val="00B073C8"/>
    <w:rsid w:val="00B07510"/>
    <w:rsid w:val="00B07B4E"/>
    <w:rsid w:val="00B07E37"/>
    <w:rsid w:val="00B10086"/>
    <w:rsid w:val="00B107AE"/>
    <w:rsid w:val="00B11130"/>
    <w:rsid w:val="00B111FA"/>
    <w:rsid w:val="00B1168D"/>
    <w:rsid w:val="00B117F2"/>
    <w:rsid w:val="00B11BB4"/>
    <w:rsid w:val="00B11DDC"/>
    <w:rsid w:val="00B11F86"/>
    <w:rsid w:val="00B122CA"/>
    <w:rsid w:val="00B12535"/>
    <w:rsid w:val="00B1312B"/>
    <w:rsid w:val="00B13AD8"/>
    <w:rsid w:val="00B13B9C"/>
    <w:rsid w:val="00B1458C"/>
    <w:rsid w:val="00B14AC4"/>
    <w:rsid w:val="00B1579E"/>
    <w:rsid w:val="00B15EF9"/>
    <w:rsid w:val="00B15F43"/>
    <w:rsid w:val="00B162E4"/>
    <w:rsid w:val="00B172FD"/>
    <w:rsid w:val="00B17371"/>
    <w:rsid w:val="00B1748C"/>
    <w:rsid w:val="00B17BDF"/>
    <w:rsid w:val="00B20602"/>
    <w:rsid w:val="00B20BC5"/>
    <w:rsid w:val="00B2226C"/>
    <w:rsid w:val="00B2247C"/>
    <w:rsid w:val="00B2286E"/>
    <w:rsid w:val="00B23010"/>
    <w:rsid w:val="00B240D0"/>
    <w:rsid w:val="00B244BD"/>
    <w:rsid w:val="00B24DBF"/>
    <w:rsid w:val="00B2544D"/>
    <w:rsid w:val="00B257FC"/>
    <w:rsid w:val="00B259C8"/>
    <w:rsid w:val="00B2622D"/>
    <w:rsid w:val="00B271AA"/>
    <w:rsid w:val="00B277B4"/>
    <w:rsid w:val="00B30207"/>
    <w:rsid w:val="00B3074B"/>
    <w:rsid w:val="00B30B2F"/>
    <w:rsid w:val="00B310EE"/>
    <w:rsid w:val="00B313B7"/>
    <w:rsid w:val="00B313ED"/>
    <w:rsid w:val="00B31734"/>
    <w:rsid w:val="00B320FC"/>
    <w:rsid w:val="00B32425"/>
    <w:rsid w:val="00B32746"/>
    <w:rsid w:val="00B32CB6"/>
    <w:rsid w:val="00B32FE2"/>
    <w:rsid w:val="00B33EC7"/>
    <w:rsid w:val="00B34C7B"/>
    <w:rsid w:val="00B35A38"/>
    <w:rsid w:val="00B35AE6"/>
    <w:rsid w:val="00B36189"/>
    <w:rsid w:val="00B36708"/>
    <w:rsid w:val="00B36DCE"/>
    <w:rsid w:val="00B37745"/>
    <w:rsid w:val="00B403B0"/>
    <w:rsid w:val="00B40B8E"/>
    <w:rsid w:val="00B40B99"/>
    <w:rsid w:val="00B41D98"/>
    <w:rsid w:val="00B41F2A"/>
    <w:rsid w:val="00B4208D"/>
    <w:rsid w:val="00B422AF"/>
    <w:rsid w:val="00B424CE"/>
    <w:rsid w:val="00B4296F"/>
    <w:rsid w:val="00B42B49"/>
    <w:rsid w:val="00B42EEC"/>
    <w:rsid w:val="00B4329E"/>
    <w:rsid w:val="00B43884"/>
    <w:rsid w:val="00B444BC"/>
    <w:rsid w:val="00B45204"/>
    <w:rsid w:val="00B4520E"/>
    <w:rsid w:val="00B4556B"/>
    <w:rsid w:val="00B45795"/>
    <w:rsid w:val="00B458A7"/>
    <w:rsid w:val="00B45B35"/>
    <w:rsid w:val="00B46087"/>
    <w:rsid w:val="00B468C5"/>
    <w:rsid w:val="00B47701"/>
    <w:rsid w:val="00B479AE"/>
    <w:rsid w:val="00B47F2A"/>
    <w:rsid w:val="00B47FE5"/>
    <w:rsid w:val="00B512E2"/>
    <w:rsid w:val="00B5182D"/>
    <w:rsid w:val="00B51A4D"/>
    <w:rsid w:val="00B51B64"/>
    <w:rsid w:val="00B51CE8"/>
    <w:rsid w:val="00B51F55"/>
    <w:rsid w:val="00B52542"/>
    <w:rsid w:val="00B52646"/>
    <w:rsid w:val="00B5283C"/>
    <w:rsid w:val="00B52E43"/>
    <w:rsid w:val="00B52F35"/>
    <w:rsid w:val="00B5306D"/>
    <w:rsid w:val="00B532B0"/>
    <w:rsid w:val="00B539F4"/>
    <w:rsid w:val="00B53D51"/>
    <w:rsid w:val="00B53DDD"/>
    <w:rsid w:val="00B53F59"/>
    <w:rsid w:val="00B54512"/>
    <w:rsid w:val="00B54876"/>
    <w:rsid w:val="00B54939"/>
    <w:rsid w:val="00B551A5"/>
    <w:rsid w:val="00B551B4"/>
    <w:rsid w:val="00B55972"/>
    <w:rsid w:val="00B55BF1"/>
    <w:rsid w:val="00B56218"/>
    <w:rsid w:val="00B57D62"/>
    <w:rsid w:val="00B57E2A"/>
    <w:rsid w:val="00B57FE5"/>
    <w:rsid w:val="00B600B2"/>
    <w:rsid w:val="00B61C6C"/>
    <w:rsid w:val="00B621C6"/>
    <w:rsid w:val="00B626DA"/>
    <w:rsid w:val="00B62A7E"/>
    <w:rsid w:val="00B6347F"/>
    <w:rsid w:val="00B64959"/>
    <w:rsid w:val="00B653D3"/>
    <w:rsid w:val="00B65923"/>
    <w:rsid w:val="00B65CF5"/>
    <w:rsid w:val="00B661B4"/>
    <w:rsid w:val="00B66639"/>
    <w:rsid w:val="00B6672B"/>
    <w:rsid w:val="00B66776"/>
    <w:rsid w:val="00B66D4D"/>
    <w:rsid w:val="00B7008A"/>
    <w:rsid w:val="00B7051B"/>
    <w:rsid w:val="00B70603"/>
    <w:rsid w:val="00B70BE2"/>
    <w:rsid w:val="00B70D5D"/>
    <w:rsid w:val="00B70F43"/>
    <w:rsid w:val="00B7136F"/>
    <w:rsid w:val="00B71D0B"/>
    <w:rsid w:val="00B72298"/>
    <w:rsid w:val="00B72EFD"/>
    <w:rsid w:val="00B7314B"/>
    <w:rsid w:val="00B74B16"/>
    <w:rsid w:val="00B74E84"/>
    <w:rsid w:val="00B75029"/>
    <w:rsid w:val="00B75197"/>
    <w:rsid w:val="00B7536D"/>
    <w:rsid w:val="00B75C54"/>
    <w:rsid w:val="00B76130"/>
    <w:rsid w:val="00B76548"/>
    <w:rsid w:val="00B76607"/>
    <w:rsid w:val="00B775DF"/>
    <w:rsid w:val="00B77A3F"/>
    <w:rsid w:val="00B77C4F"/>
    <w:rsid w:val="00B8014D"/>
    <w:rsid w:val="00B80592"/>
    <w:rsid w:val="00B807F8"/>
    <w:rsid w:val="00B80AEA"/>
    <w:rsid w:val="00B81C6A"/>
    <w:rsid w:val="00B820BE"/>
    <w:rsid w:val="00B82286"/>
    <w:rsid w:val="00B82511"/>
    <w:rsid w:val="00B827DF"/>
    <w:rsid w:val="00B827F4"/>
    <w:rsid w:val="00B82F91"/>
    <w:rsid w:val="00B8359B"/>
    <w:rsid w:val="00B83895"/>
    <w:rsid w:val="00B84311"/>
    <w:rsid w:val="00B8484A"/>
    <w:rsid w:val="00B849A7"/>
    <w:rsid w:val="00B8508B"/>
    <w:rsid w:val="00B8513C"/>
    <w:rsid w:val="00B85167"/>
    <w:rsid w:val="00B85A5E"/>
    <w:rsid w:val="00B86264"/>
    <w:rsid w:val="00B86DA3"/>
    <w:rsid w:val="00B873D0"/>
    <w:rsid w:val="00B87819"/>
    <w:rsid w:val="00B8792A"/>
    <w:rsid w:val="00B902E8"/>
    <w:rsid w:val="00B905B9"/>
    <w:rsid w:val="00B909BE"/>
    <w:rsid w:val="00B90BE6"/>
    <w:rsid w:val="00B90BF5"/>
    <w:rsid w:val="00B91454"/>
    <w:rsid w:val="00B914C9"/>
    <w:rsid w:val="00B91B9B"/>
    <w:rsid w:val="00B9215F"/>
    <w:rsid w:val="00B92710"/>
    <w:rsid w:val="00B931AC"/>
    <w:rsid w:val="00B93790"/>
    <w:rsid w:val="00B93A62"/>
    <w:rsid w:val="00B93B76"/>
    <w:rsid w:val="00B93C07"/>
    <w:rsid w:val="00B94045"/>
    <w:rsid w:val="00B94C04"/>
    <w:rsid w:val="00B94EB1"/>
    <w:rsid w:val="00B955DF"/>
    <w:rsid w:val="00B95FBB"/>
    <w:rsid w:val="00B96406"/>
    <w:rsid w:val="00B9650D"/>
    <w:rsid w:val="00B966F1"/>
    <w:rsid w:val="00B97192"/>
    <w:rsid w:val="00B97419"/>
    <w:rsid w:val="00B97883"/>
    <w:rsid w:val="00B97A0D"/>
    <w:rsid w:val="00BA0A3E"/>
    <w:rsid w:val="00BA11A9"/>
    <w:rsid w:val="00BA1C82"/>
    <w:rsid w:val="00BA20C4"/>
    <w:rsid w:val="00BA2445"/>
    <w:rsid w:val="00BA2582"/>
    <w:rsid w:val="00BA2714"/>
    <w:rsid w:val="00BA33EC"/>
    <w:rsid w:val="00BA35C1"/>
    <w:rsid w:val="00BA7149"/>
    <w:rsid w:val="00BA723D"/>
    <w:rsid w:val="00BA7298"/>
    <w:rsid w:val="00BA76B6"/>
    <w:rsid w:val="00BA79E9"/>
    <w:rsid w:val="00BB093D"/>
    <w:rsid w:val="00BB0A85"/>
    <w:rsid w:val="00BB13AD"/>
    <w:rsid w:val="00BB1EE1"/>
    <w:rsid w:val="00BB2364"/>
    <w:rsid w:val="00BB35EE"/>
    <w:rsid w:val="00BB3823"/>
    <w:rsid w:val="00BB3883"/>
    <w:rsid w:val="00BB3C9D"/>
    <w:rsid w:val="00BB445A"/>
    <w:rsid w:val="00BB46DF"/>
    <w:rsid w:val="00BB4778"/>
    <w:rsid w:val="00BB499D"/>
    <w:rsid w:val="00BB4D21"/>
    <w:rsid w:val="00BB57A0"/>
    <w:rsid w:val="00BB5DCD"/>
    <w:rsid w:val="00BB79B4"/>
    <w:rsid w:val="00BC0183"/>
    <w:rsid w:val="00BC07E0"/>
    <w:rsid w:val="00BC0A60"/>
    <w:rsid w:val="00BC1900"/>
    <w:rsid w:val="00BC1BB3"/>
    <w:rsid w:val="00BC224A"/>
    <w:rsid w:val="00BC22E3"/>
    <w:rsid w:val="00BC27D4"/>
    <w:rsid w:val="00BC2A6E"/>
    <w:rsid w:val="00BC2A90"/>
    <w:rsid w:val="00BC3A8A"/>
    <w:rsid w:val="00BC3F7E"/>
    <w:rsid w:val="00BC45B2"/>
    <w:rsid w:val="00BC4729"/>
    <w:rsid w:val="00BC5979"/>
    <w:rsid w:val="00BC6735"/>
    <w:rsid w:val="00BC770A"/>
    <w:rsid w:val="00BC7C75"/>
    <w:rsid w:val="00BD0542"/>
    <w:rsid w:val="00BD05CA"/>
    <w:rsid w:val="00BD0F19"/>
    <w:rsid w:val="00BD13F2"/>
    <w:rsid w:val="00BD1E82"/>
    <w:rsid w:val="00BD23E1"/>
    <w:rsid w:val="00BD2733"/>
    <w:rsid w:val="00BD2AE7"/>
    <w:rsid w:val="00BD3A1B"/>
    <w:rsid w:val="00BD3D97"/>
    <w:rsid w:val="00BD44FE"/>
    <w:rsid w:val="00BD4B33"/>
    <w:rsid w:val="00BD4F5C"/>
    <w:rsid w:val="00BD5362"/>
    <w:rsid w:val="00BD5937"/>
    <w:rsid w:val="00BD5B6A"/>
    <w:rsid w:val="00BD5D75"/>
    <w:rsid w:val="00BD6296"/>
    <w:rsid w:val="00BD66FC"/>
    <w:rsid w:val="00BD6EC9"/>
    <w:rsid w:val="00BD7483"/>
    <w:rsid w:val="00BD7CBB"/>
    <w:rsid w:val="00BD7CF0"/>
    <w:rsid w:val="00BE0399"/>
    <w:rsid w:val="00BE04C1"/>
    <w:rsid w:val="00BE067D"/>
    <w:rsid w:val="00BE0740"/>
    <w:rsid w:val="00BE173C"/>
    <w:rsid w:val="00BE214A"/>
    <w:rsid w:val="00BE215C"/>
    <w:rsid w:val="00BE28B0"/>
    <w:rsid w:val="00BE3446"/>
    <w:rsid w:val="00BE45C6"/>
    <w:rsid w:val="00BE48D7"/>
    <w:rsid w:val="00BE4C50"/>
    <w:rsid w:val="00BE53F7"/>
    <w:rsid w:val="00BE6432"/>
    <w:rsid w:val="00BE6516"/>
    <w:rsid w:val="00BE6C6B"/>
    <w:rsid w:val="00BE6CA4"/>
    <w:rsid w:val="00BE7A84"/>
    <w:rsid w:val="00BE7C2A"/>
    <w:rsid w:val="00BE7D70"/>
    <w:rsid w:val="00BE7E7B"/>
    <w:rsid w:val="00BF04BB"/>
    <w:rsid w:val="00BF08F5"/>
    <w:rsid w:val="00BF0939"/>
    <w:rsid w:val="00BF11BC"/>
    <w:rsid w:val="00BF198B"/>
    <w:rsid w:val="00BF242E"/>
    <w:rsid w:val="00BF26E9"/>
    <w:rsid w:val="00BF2E72"/>
    <w:rsid w:val="00BF402A"/>
    <w:rsid w:val="00BF4087"/>
    <w:rsid w:val="00BF4931"/>
    <w:rsid w:val="00BF49C6"/>
    <w:rsid w:val="00BF4C9B"/>
    <w:rsid w:val="00BF520E"/>
    <w:rsid w:val="00BF5514"/>
    <w:rsid w:val="00BF564F"/>
    <w:rsid w:val="00BF6B76"/>
    <w:rsid w:val="00BF6E95"/>
    <w:rsid w:val="00BF714F"/>
    <w:rsid w:val="00BF77F3"/>
    <w:rsid w:val="00BF780D"/>
    <w:rsid w:val="00BF7837"/>
    <w:rsid w:val="00BF7944"/>
    <w:rsid w:val="00BF7D64"/>
    <w:rsid w:val="00BF7F89"/>
    <w:rsid w:val="00C003F2"/>
    <w:rsid w:val="00C00901"/>
    <w:rsid w:val="00C00D51"/>
    <w:rsid w:val="00C0161D"/>
    <w:rsid w:val="00C02182"/>
    <w:rsid w:val="00C02547"/>
    <w:rsid w:val="00C03F7A"/>
    <w:rsid w:val="00C0436A"/>
    <w:rsid w:val="00C0486E"/>
    <w:rsid w:val="00C04CCB"/>
    <w:rsid w:val="00C052B7"/>
    <w:rsid w:val="00C057BF"/>
    <w:rsid w:val="00C0585D"/>
    <w:rsid w:val="00C05C01"/>
    <w:rsid w:val="00C06F89"/>
    <w:rsid w:val="00C07011"/>
    <w:rsid w:val="00C07FC5"/>
    <w:rsid w:val="00C10812"/>
    <w:rsid w:val="00C108DF"/>
    <w:rsid w:val="00C11597"/>
    <w:rsid w:val="00C125A7"/>
    <w:rsid w:val="00C12D95"/>
    <w:rsid w:val="00C13E34"/>
    <w:rsid w:val="00C1421C"/>
    <w:rsid w:val="00C145C7"/>
    <w:rsid w:val="00C14A98"/>
    <w:rsid w:val="00C14B05"/>
    <w:rsid w:val="00C152A8"/>
    <w:rsid w:val="00C15C58"/>
    <w:rsid w:val="00C16092"/>
    <w:rsid w:val="00C162C5"/>
    <w:rsid w:val="00C16DE2"/>
    <w:rsid w:val="00C171C5"/>
    <w:rsid w:val="00C17639"/>
    <w:rsid w:val="00C20432"/>
    <w:rsid w:val="00C2054E"/>
    <w:rsid w:val="00C2059F"/>
    <w:rsid w:val="00C20FE9"/>
    <w:rsid w:val="00C227A2"/>
    <w:rsid w:val="00C22D67"/>
    <w:rsid w:val="00C2339E"/>
    <w:rsid w:val="00C23560"/>
    <w:rsid w:val="00C236F0"/>
    <w:rsid w:val="00C24971"/>
    <w:rsid w:val="00C252A2"/>
    <w:rsid w:val="00C25439"/>
    <w:rsid w:val="00C25553"/>
    <w:rsid w:val="00C255DF"/>
    <w:rsid w:val="00C266A8"/>
    <w:rsid w:val="00C26AA3"/>
    <w:rsid w:val="00C26DD8"/>
    <w:rsid w:val="00C27064"/>
    <w:rsid w:val="00C2731F"/>
    <w:rsid w:val="00C30DCA"/>
    <w:rsid w:val="00C32263"/>
    <w:rsid w:val="00C32CA7"/>
    <w:rsid w:val="00C3378D"/>
    <w:rsid w:val="00C33CC0"/>
    <w:rsid w:val="00C34458"/>
    <w:rsid w:val="00C34D8B"/>
    <w:rsid w:val="00C34EC6"/>
    <w:rsid w:val="00C34EFF"/>
    <w:rsid w:val="00C350D4"/>
    <w:rsid w:val="00C355C2"/>
    <w:rsid w:val="00C355F5"/>
    <w:rsid w:val="00C36ABA"/>
    <w:rsid w:val="00C37D77"/>
    <w:rsid w:val="00C40542"/>
    <w:rsid w:val="00C40603"/>
    <w:rsid w:val="00C40977"/>
    <w:rsid w:val="00C4098D"/>
    <w:rsid w:val="00C40A42"/>
    <w:rsid w:val="00C416A1"/>
    <w:rsid w:val="00C41784"/>
    <w:rsid w:val="00C41B10"/>
    <w:rsid w:val="00C41F05"/>
    <w:rsid w:val="00C421C2"/>
    <w:rsid w:val="00C4230D"/>
    <w:rsid w:val="00C423FC"/>
    <w:rsid w:val="00C43937"/>
    <w:rsid w:val="00C43A32"/>
    <w:rsid w:val="00C43D02"/>
    <w:rsid w:val="00C441CD"/>
    <w:rsid w:val="00C4548E"/>
    <w:rsid w:val="00C45C4C"/>
    <w:rsid w:val="00C4630A"/>
    <w:rsid w:val="00C4700C"/>
    <w:rsid w:val="00C507F4"/>
    <w:rsid w:val="00C51A3E"/>
    <w:rsid w:val="00C51BDD"/>
    <w:rsid w:val="00C524BC"/>
    <w:rsid w:val="00C52B72"/>
    <w:rsid w:val="00C53506"/>
    <w:rsid w:val="00C5359C"/>
    <w:rsid w:val="00C536F2"/>
    <w:rsid w:val="00C53A0E"/>
    <w:rsid w:val="00C53C4A"/>
    <w:rsid w:val="00C54DDD"/>
    <w:rsid w:val="00C550F0"/>
    <w:rsid w:val="00C56191"/>
    <w:rsid w:val="00C563FC"/>
    <w:rsid w:val="00C569C1"/>
    <w:rsid w:val="00C56E89"/>
    <w:rsid w:val="00C56EB4"/>
    <w:rsid w:val="00C574EA"/>
    <w:rsid w:val="00C57DE6"/>
    <w:rsid w:val="00C601B1"/>
    <w:rsid w:val="00C60F50"/>
    <w:rsid w:val="00C6133E"/>
    <w:rsid w:val="00C6151D"/>
    <w:rsid w:val="00C61D1F"/>
    <w:rsid w:val="00C61F59"/>
    <w:rsid w:val="00C62385"/>
    <w:rsid w:val="00C62B05"/>
    <w:rsid w:val="00C6338C"/>
    <w:rsid w:val="00C63735"/>
    <w:rsid w:val="00C63EDE"/>
    <w:rsid w:val="00C649F1"/>
    <w:rsid w:val="00C66C21"/>
    <w:rsid w:val="00C671F7"/>
    <w:rsid w:val="00C673CF"/>
    <w:rsid w:val="00C677E6"/>
    <w:rsid w:val="00C67A90"/>
    <w:rsid w:val="00C70810"/>
    <w:rsid w:val="00C70FB7"/>
    <w:rsid w:val="00C71373"/>
    <w:rsid w:val="00C71401"/>
    <w:rsid w:val="00C71888"/>
    <w:rsid w:val="00C724A7"/>
    <w:rsid w:val="00C7267B"/>
    <w:rsid w:val="00C72785"/>
    <w:rsid w:val="00C72FC7"/>
    <w:rsid w:val="00C73084"/>
    <w:rsid w:val="00C733DB"/>
    <w:rsid w:val="00C748B8"/>
    <w:rsid w:val="00C74D84"/>
    <w:rsid w:val="00C75787"/>
    <w:rsid w:val="00C75A16"/>
    <w:rsid w:val="00C75EC5"/>
    <w:rsid w:val="00C75F3B"/>
    <w:rsid w:val="00C764CF"/>
    <w:rsid w:val="00C765CD"/>
    <w:rsid w:val="00C7715E"/>
    <w:rsid w:val="00C7788E"/>
    <w:rsid w:val="00C778B4"/>
    <w:rsid w:val="00C779D8"/>
    <w:rsid w:val="00C77AAA"/>
    <w:rsid w:val="00C801B1"/>
    <w:rsid w:val="00C804BE"/>
    <w:rsid w:val="00C80F8C"/>
    <w:rsid w:val="00C813CF"/>
    <w:rsid w:val="00C8219A"/>
    <w:rsid w:val="00C835BF"/>
    <w:rsid w:val="00C83685"/>
    <w:rsid w:val="00C8430A"/>
    <w:rsid w:val="00C843CE"/>
    <w:rsid w:val="00C84D0D"/>
    <w:rsid w:val="00C857D8"/>
    <w:rsid w:val="00C85EF1"/>
    <w:rsid w:val="00C85FDE"/>
    <w:rsid w:val="00C86DC7"/>
    <w:rsid w:val="00C86DDC"/>
    <w:rsid w:val="00C874FB"/>
    <w:rsid w:val="00C87924"/>
    <w:rsid w:val="00C9040D"/>
    <w:rsid w:val="00C90E6D"/>
    <w:rsid w:val="00C917C7"/>
    <w:rsid w:val="00C919C5"/>
    <w:rsid w:val="00C91E7D"/>
    <w:rsid w:val="00C92FBA"/>
    <w:rsid w:val="00C92FC4"/>
    <w:rsid w:val="00C9333A"/>
    <w:rsid w:val="00C934EE"/>
    <w:rsid w:val="00C93FD5"/>
    <w:rsid w:val="00C94744"/>
    <w:rsid w:val="00C9571F"/>
    <w:rsid w:val="00C95979"/>
    <w:rsid w:val="00C95B7B"/>
    <w:rsid w:val="00C967C2"/>
    <w:rsid w:val="00CA0E4C"/>
    <w:rsid w:val="00CA0FD7"/>
    <w:rsid w:val="00CA0FFF"/>
    <w:rsid w:val="00CA1AF4"/>
    <w:rsid w:val="00CA217B"/>
    <w:rsid w:val="00CA2D89"/>
    <w:rsid w:val="00CA328C"/>
    <w:rsid w:val="00CA40D9"/>
    <w:rsid w:val="00CA421E"/>
    <w:rsid w:val="00CA4AE4"/>
    <w:rsid w:val="00CA4FFF"/>
    <w:rsid w:val="00CA538C"/>
    <w:rsid w:val="00CA574E"/>
    <w:rsid w:val="00CA5C7C"/>
    <w:rsid w:val="00CA5F76"/>
    <w:rsid w:val="00CA66DA"/>
    <w:rsid w:val="00CA6B3E"/>
    <w:rsid w:val="00CA7AC5"/>
    <w:rsid w:val="00CA7F00"/>
    <w:rsid w:val="00CB022E"/>
    <w:rsid w:val="00CB05C2"/>
    <w:rsid w:val="00CB0700"/>
    <w:rsid w:val="00CB0A14"/>
    <w:rsid w:val="00CB0D34"/>
    <w:rsid w:val="00CB14A3"/>
    <w:rsid w:val="00CB1932"/>
    <w:rsid w:val="00CB22AE"/>
    <w:rsid w:val="00CB28A0"/>
    <w:rsid w:val="00CB294E"/>
    <w:rsid w:val="00CB3007"/>
    <w:rsid w:val="00CB314D"/>
    <w:rsid w:val="00CB3319"/>
    <w:rsid w:val="00CB3426"/>
    <w:rsid w:val="00CB38EF"/>
    <w:rsid w:val="00CB4447"/>
    <w:rsid w:val="00CB51FB"/>
    <w:rsid w:val="00CB5833"/>
    <w:rsid w:val="00CB6118"/>
    <w:rsid w:val="00CB6497"/>
    <w:rsid w:val="00CB6556"/>
    <w:rsid w:val="00CB70A1"/>
    <w:rsid w:val="00CB74B8"/>
    <w:rsid w:val="00CB75B4"/>
    <w:rsid w:val="00CB77B0"/>
    <w:rsid w:val="00CB7A9F"/>
    <w:rsid w:val="00CB7BD0"/>
    <w:rsid w:val="00CC099B"/>
    <w:rsid w:val="00CC0C98"/>
    <w:rsid w:val="00CC1351"/>
    <w:rsid w:val="00CC2167"/>
    <w:rsid w:val="00CC2ADC"/>
    <w:rsid w:val="00CC3126"/>
    <w:rsid w:val="00CC369E"/>
    <w:rsid w:val="00CC3E12"/>
    <w:rsid w:val="00CC45D7"/>
    <w:rsid w:val="00CC4AB6"/>
    <w:rsid w:val="00CC4D5D"/>
    <w:rsid w:val="00CC5104"/>
    <w:rsid w:val="00CC52FF"/>
    <w:rsid w:val="00CC53DC"/>
    <w:rsid w:val="00CC55EF"/>
    <w:rsid w:val="00CC56D5"/>
    <w:rsid w:val="00CC5913"/>
    <w:rsid w:val="00CC5CB4"/>
    <w:rsid w:val="00CC5E19"/>
    <w:rsid w:val="00CC608A"/>
    <w:rsid w:val="00CC6AB2"/>
    <w:rsid w:val="00CC7872"/>
    <w:rsid w:val="00CC7BDB"/>
    <w:rsid w:val="00CC7D0C"/>
    <w:rsid w:val="00CD0754"/>
    <w:rsid w:val="00CD121D"/>
    <w:rsid w:val="00CD1A7C"/>
    <w:rsid w:val="00CD22CF"/>
    <w:rsid w:val="00CD2319"/>
    <w:rsid w:val="00CD290E"/>
    <w:rsid w:val="00CD2DE8"/>
    <w:rsid w:val="00CD39AB"/>
    <w:rsid w:val="00CD39D7"/>
    <w:rsid w:val="00CD3AEA"/>
    <w:rsid w:val="00CD3DDA"/>
    <w:rsid w:val="00CD4055"/>
    <w:rsid w:val="00CD4BF1"/>
    <w:rsid w:val="00CD4CD7"/>
    <w:rsid w:val="00CD522C"/>
    <w:rsid w:val="00CD53BE"/>
    <w:rsid w:val="00CD5C5E"/>
    <w:rsid w:val="00CD5EA2"/>
    <w:rsid w:val="00CD5F74"/>
    <w:rsid w:val="00CD6357"/>
    <w:rsid w:val="00CD6F5D"/>
    <w:rsid w:val="00CD6FCD"/>
    <w:rsid w:val="00CD77B4"/>
    <w:rsid w:val="00CD7898"/>
    <w:rsid w:val="00CE017F"/>
    <w:rsid w:val="00CE094D"/>
    <w:rsid w:val="00CE0EA7"/>
    <w:rsid w:val="00CE0F74"/>
    <w:rsid w:val="00CE100B"/>
    <w:rsid w:val="00CE128B"/>
    <w:rsid w:val="00CE14A0"/>
    <w:rsid w:val="00CE1C3C"/>
    <w:rsid w:val="00CE1D27"/>
    <w:rsid w:val="00CE2884"/>
    <w:rsid w:val="00CE343F"/>
    <w:rsid w:val="00CE37E4"/>
    <w:rsid w:val="00CE3CAA"/>
    <w:rsid w:val="00CE495A"/>
    <w:rsid w:val="00CE4ED8"/>
    <w:rsid w:val="00CE560D"/>
    <w:rsid w:val="00CE577F"/>
    <w:rsid w:val="00CE587F"/>
    <w:rsid w:val="00CE5CFC"/>
    <w:rsid w:val="00CE7163"/>
    <w:rsid w:val="00CE720B"/>
    <w:rsid w:val="00CE7A2C"/>
    <w:rsid w:val="00CE7C6E"/>
    <w:rsid w:val="00CF08B0"/>
    <w:rsid w:val="00CF0C23"/>
    <w:rsid w:val="00CF0DAD"/>
    <w:rsid w:val="00CF1264"/>
    <w:rsid w:val="00CF175F"/>
    <w:rsid w:val="00CF1933"/>
    <w:rsid w:val="00CF19BD"/>
    <w:rsid w:val="00CF1D8A"/>
    <w:rsid w:val="00CF212D"/>
    <w:rsid w:val="00CF2131"/>
    <w:rsid w:val="00CF23B8"/>
    <w:rsid w:val="00CF268C"/>
    <w:rsid w:val="00CF26F9"/>
    <w:rsid w:val="00CF30B2"/>
    <w:rsid w:val="00CF3BA6"/>
    <w:rsid w:val="00CF3C1A"/>
    <w:rsid w:val="00CF5A72"/>
    <w:rsid w:val="00CF5B6A"/>
    <w:rsid w:val="00CF6421"/>
    <w:rsid w:val="00CF7515"/>
    <w:rsid w:val="00D00664"/>
    <w:rsid w:val="00D00A64"/>
    <w:rsid w:val="00D00B6E"/>
    <w:rsid w:val="00D014AE"/>
    <w:rsid w:val="00D01D8E"/>
    <w:rsid w:val="00D023BF"/>
    <w:rsid w:val="00D0320A"/>
    <w:rsid w:val="00D034AE"/>
    <w:rsid w:val="00D03D86"/>
    <w:rsid w:val="00D041DB"/>
    <w:rsid w:val="00D060F4"/>
    <w:rsid w:val="00D06221"/>
    <w:rsid w:val="00D07B90"/>
    <w:rsid w:val="00D07DE6"/>
    <w:rsid w:val="00D10920"/>
    <w:rsid w:val="00D10BB0"/>
    <w:rsid w:val="00D10C69"/>
    <w:rsid w:val="00D11A5A"/>
    <w:rsid w:val="00D12978"/>
    <w:rsid w:val="00D12C93"/>
    <w:rsid w:val="00D1422D"/>
    <w:rsid w:val="00D14572"/>
    <w:rsid w:val="00D148A0"/>
    <w:rsid w:val="00D14A1A"/>
    <w:rsid w:val="00D159D4"/>
    <w:rsid w:val="00D15E8B"/>
    <w:rsid w:val="00D16391"/>
    <w:rsid w:val="00D16559"/>
    <w:rsid w:val="00D16CAB"/>
    <w:rsid w:val="00D16EF4"/>
    <w:rsid w:val="00D17EAC"/>
    <w:rsid w:val="00D17ECD"/>
    <w:rsid w:val="00D20212"/>
    <w:rsid w:val="00D205A3"/>
    <w:rsid w:val="00D20A11"/>
    <w:rsid w:val="00D212DF"/>
    <w:rsid w:val="00D21D91"/>
    <w:rsid w:val="00D22638"/>
    <w:rsid w:val="00D22B05"/>
    <w:rsid w:val="00D23C5B"/>
    <w:rsid w:val="00D2486D"/>
    <w:rsid w:val="00D24B37"/>
    <w:rsid w:val="00D253F8"/>
    <w:rsid w:val="00D255A8"/>
    <w:rsid w:val="00D25733"/>
    <w:rsid w:val="00D25D8E"/>
    <w:rsid w:val="00D26144"/>
    <w:rsid w:val="00D278B8"/>
    <w:rsid w:val="00D30461"/>
    <w:rsid w:val="00D30561"/>
    <w:rsid w:val="00D30DB1"/>
    <w:rsid w:val="00D31BB0"/>
    <w:rsid w:val="00D31DB2"/>
    <w:rsid w:val="00D33A00"/>
    <w:rsid w:val="00D34366"/>
    <w:rsid w:val="00D34690"/>
    <w:rsid w:val="00D348AC"/>
    <w:rsid w:val="00D34FEF"/>
    <w:rsid w:val="00D35447"/>
    <w:rsid w:val="00D35470"/>
    <w:rsid w:val="00D36AD2"/>
    <w:rsid w:val="00D36B6B"/>
    <w:rsid w:val="00D36C25"/>
    <w:rsid w:val="00D36CAC"/>
    <w:rsid w:val="00D371D0"/>
    <w:rsid w:val="00D375BF"/>
    <w:rsid w:val="00D37DF9"/>
    <w:rsid w:val="00D400A6"/>
    <w:rsid w:val="00D4064B"/>
    <w:rsid w:val="00D41106"/>
    <w:rsid w:val="00D41270"/>
    <w:rsid w:val="00D41507"/>
    <w:rsid w:val="00D41D47"/>
    <w:rsid w:val="00D422A1"/>
    <w:rsid w:val="00D43343"/>
    <w:rsid w:val="00D43A22"/>
    <w:rsid w:val="00D43DD3"/>
    <w:rsid w:val="00D440CC"/>
    <w:rsid w:val="00D44420"/>
    <w:rsid w:val="00D44655"/>
    <w:rsid w:val="00D446DF"/>
    <w:rsid w:val="00D4474E"/>
    <w:rsid w:val="00D448BA"/>
    <w:rsid w:val="00D44C70"/>
    <w:rsid w:val="00D4518A"/>
    <w:rsid w:val="00D457D4"/>
    <w:rsid w:val="00D4624B"/>
    <w:rsid w:val="00D46729"/>
    <w:rsid w:val="00D46933"/>
    <w:rsid w:val="00D46EFB"/>
    <w:rsid w:val="00D476E8"/>
    <w:rsid w:val="00D47997"/>
    <w:rsid w:val="00D47B4D"/>
    <w:rsid w:val="00D47E63"/>
    <w:rsid w:val="00D5022C"/>
    <w:rsid w:val="00D50409"/>
    <w:rsid w:val="00D50504"/>
    <w:rsid w:val="00D50658"/>
    <w:rsid w:val="00D50AE3"/>
    <w:rsid w:val="00D50C8F"/>
    <w:rsid w:val="00D50FD0"/>
    <w:rsid w:val="00D511C9"/>
    <w:rsid w:val="00D51347"/>
    <w:rsid w:val="00D514EE"/>
    <w:rsid w:val="00D51725"/>
    <w:rsid w:val="00D517F1"/>
    <w:rsid w:val="00D526C7"/>
    <w:rsid w:val="00D52767"/>
    <w:rsid w:val="00D53CF7"/>
    <w:rsid w:val="00D53E8C"/>
    <w:rsid w:val="00D53FB7"/>
    <w:rsid w:val="00D5480B"/>
    <w:rsid w:val="00D54AF1"/>
    <w:rsid w:val="00D54E64"/>
    <w:rsid w:val="00D5530D"/>
    <w:rsid w:val="00D55B77"/>
    <w:rsid w:val="00D566DF"/>
    <w:rsid w:val="00D57CB6"/>
    <w:rsid w:val="00D60074"/>
    <w:rsid w:val="00D60251"/>
    <w:rsid w:val="00D607A2"/>
    <w:rsid w:val="00D611EE"/>
    <w:rsid w:val="00D61478"/>
    <w:rsid w:val="00D61554"/>
    <w:rsid w:val="00D61DE5"/>
    <w:rsid w:val="00D62461"/>
    <w:rsid w:val="00D62A02"/>
    <w:rsid w:val="00D64204"/>
    <w:rsid w:val="00D642C4"/>
    <w:rsid w:val="00D6540E"/>
    <w:rsid w:val="00D65AEB"/>
    <w:rsid w:val="00D6610B"/>
    <w:rsid w:val="00D66DEF"/>
    <w:rsid w:val="00D67464"/>
    <w:rsid w:val="00D67770"/>
    <w:rsid w:val="00D67B93"/>
    <w:rsid w:val="00D71480"/>
    <w:rsid w:val="00D7177B"/>
    <w:rsid w:val="00D7223A"/>
    <w:rsid w:val="00D72581"/>
    <w:rsid w:val="00D72689"/>
    <w:rsid w:val="00D7271E"/>
    <w:rsid w:val="00D72A1B"/>
    <w:rsid w:val="00D72A7D"/>
    <w:rsid w:val="00D72E97"/>
    <w:rsid w:val="00D730A4"/>
    <w:rsid w:val="00D7388B"/>
    <w:rsid w:val="00D739C6"/>
    <w:rsid w:val="00D73F30"/>
    <w:rsid w:val="00D73FD7"/>
    <w:rsid w:val="00D7433B"/>
    <w:rsid w:val="00D748BB"/>
    <w:rsid w:val="00D74944"/>
    <w:rsid w:val="00D75113"/>
    <w:rsid w:val="00D756C2"/>
    <w:rsid w:val="00D75A67"/>
    <w:rsid w:val="00D75F1C"/>
    <w:rsid w:val="00D76259"/>
    <w:rsid w:val="00D774E5"/>
    <w:rsid w:val="00D77927"/>
    <w:rsid w:val="00D77A5E"/>
    <w:rsid w:val="00D77A78"/>
    <w:rsid w:val="00D812BF"/>
    <w:rsid w:val="00D8180F"/>
    <w:rsid w:val="00D8259E"/>
    <w:rsid w:val="00D83396"/>
    <w:rsid w:val="00D8363F"/>
    <w:rsid w:val="00D83902"/>
    <w:rsid w:val="00D8432A"/>
    <w:rsid w:val="00D849A5"/>
    <w:rsid w:val="00D84ABB"/>
    <w:rsid w:val="00D84F12"/>
    <w:rsid w:val="00D8682D"/>
    <w:rsid w:val="00D86DB5"/>
    <w:rsid w:val="00D87A8E"/>
    <w:rsid w:val="00D9016A"/>
    <w:rsid w:val="00D90F34"/>
    <w:rsid w:val="00D91286"/>
    <w:rsid w:val="00D91438"/>
    <w:rsid w:val="00D9186C"/>
    <w:rsid w:val="00D91E6A"/>
    <w:rsid w:val="00D91F4E"/>
    <w:rsid w:val="00D9206C"/>
    <w:rsid w:val="00D920E3"/>
    <w:rsid w:val="00D92984"/>
    <w:rsid w:val="00D92BD7"/>
    <w:rsid w:val="00D9389A"/>
    <w:rsid w:val="00D93976"/>
    <w:rsid w:val="00D93CAF"/>
    <w:rsid w:val="00D94B2E"/>
    <w:rsid w:val="00D95268"/>
    <w:rsid w:val="00D952FA"/>
    <w:rsid w:val="00D9541E"/>
    <w:rsid w:val="00D96A9B"/>
    <w:rsid w:val="00D9736C"/>
    <w:rsid w:val="00D9765D"/>
    <w:rsid w:val="00D9778C"/>
    <w:rsid w:val="00D977AF"/>
    <w:rsid w:val="00DA015F"/>
    <w:rsid w:val="00DA0234"/>
    <w:rsid w:val="00DA049F"/>
    <w:rsid w:val="00DA0C95"/>
    <w:rsid w:val="00DA10A8"/>
    <w:rsid w:val="00DA1918"/>
    <w:rsid w:val="00DA1DE7"/>
    <w:rsid w:val="00DA2987"/>
    <w:rsid w:val="00DA2DD6"/>
    <w:rsid w:val="00DA3028"/>
    <w:rsid w:val="00DA3205"/>
    <w:rsid w:val="00DA387F"/>
    <w:rsid w:val="00DA3DCE"/>
    <w:rsid w:val="00DA4230"/>
    <w:rsid w:val="00DA4519"/>
    <w:rsid w:val="00DA457D"/>
    <w:rsid w:val="00DA4CD1"/>
    <w:rsid w:val="00DA4F2C"/>
    <w:rsid w:val="00DA5165"/>
    <w:rsid w:val="00DA563C"/>
    <w:rsid w:val="00DA58C3"/>
    <w:rsid w:val="00DA6336"/>
    <w:rsid w:val="00DA6C7E"/>
    <w:rsid w:val="00DA7675"/>
    <w:rsid w:val="00DA7E3E"/>
    <w:rsid w:val="00DA7E7C"/>
    <w:rsid w:val="00DB0115"/>
    <w:rsid w:val="00DB07A9"/>
    <w:rsid w:val="00DB0A64"/>
    <w:rsid w:val="00DB1878"/>
    <w:rsid w:val="00DB1B18"/>
    <w:rsid w:val="00DB1F38"/>
    <w:rsid w:val="00DB20B1"/>
    <w:rsid w:val="00DB26B9"/>
    <w:rsid w:val="00DB2967"/>
    <w:rsid w:val="00DB29D7"/>
    <w:rsid w:val="00DB2C3C"/>
    <w:rsid w:val="00DB2C8A"/>
    <w:rsid w:val="00DB33F8"/>
    <w:rsid w:val="00DB38FF"/>
    <w:rsid w:val="00DB3DDC"/>
    <w:rsid w:val="00DB4197"/>
    <w:rsid w:val="00DB4FA7"/>
    <w:rsid w:val="00DB5EC6"/>
    <w:rsid w:val="00DB63E0"/>
    <w:rsid w:val="00DB63FB"/>
    <w:rsid w:val="00DB6554"/>
    <w:rsid w:val="00DB70F1"/>
    <w:rsid w:val="00DB7976"/>
    <w:rsid w:val="00DB7B10"/>
    <w:rsid w:val="00DC038A"/>
    <w:rsid w:val="00DC03BB"/>
    <w:rsid w:val="00DC08F2"/>
    <w:rsid w:val="00DC09C5"/>
    <w:rsid w:val="00DC0A73"/>
    <w:rsid w:val="00DC1A69"/>
    <w:rsid w:val="00DC1D35"/>
    <w:rsid w:val="00DC27BD"/>
    <w:rsid w:val="00DC29EE"/>
    <w:rsid w:val="00DC2F57"/>
    <w:rsid w:val="00DC31DF"/>
    <w:rsid w:val="00DC3223"/>
    <w:rsid w:val="00DC32D0"/>
    <w:rsid w:val="00DC373B"/>
    <w:rsid w:val="00DC3B5E"/>
    <w:rsid w:val="00DC40D8"/>
    <w:rsid w:val="00DC41C8"/>
    <w:rsid w:val="00DC492F"/>
    <w:rsid w:val="00DC4CA2"/>
    <w:rsid w:val="00DC4D94"/>
    <w:rsid w:val="00DC4E59"/>
    <w:rsid w:val="00DC4FD1"/>
    <w:rsid w:val="00DC5D75"/>
    <w:rsid w:val="00DC6E2E"/>
    <w:rsid w:val="00DC70DE"/>
    <w:rsid w:val="00DC7579"/>
    <w:rsid w:val="00DC76FF"/>
    <w:rsid w:val="00DC79CF"/>
    <w:rsid w:val="00DC7B79"/>
    <w:rsid w:val="00DC7F94"/>
    <w:rsid w:val="00DD022B"/>
    <w:rsid w:val="00DD0A94"/>
    <w:rsid w:val="00DD0D57"/>
    <w:rsid w:val="00DD1CC3"/>
    <w:rsid w:val="00DD1F1E"/>
    <w:rsid w:val="00DD242C"/>
    <w:rsid w:val="00DD298D"/>
    <w:rsid w:val="00DD2B60"/>
    <w:rsid w:val="00DD2BC1"/>
    <w:rsid w:val="00DD3673"/>
    <w:rsid w:val="00DD3ACD"/>
    <w:rsid w:val="00DD463E"/>
    <w:rsid w:val="00DD5205"/>
    <w:rsid w:val="00DD589B"/>
    <w:rsid w:val="00DD58C9"/>
    <w:rsid w:val="00DD5F58"/>
    <w:rsid w:val="00DD642E"/>
    <w:rsid w:val="00DD6881"/>
    <w:rsid w:val="00DD6DED"/>
    <w:rsid w:val="00DD7161"/>
    <w:rsid w:val="00DD72E4"/>
    <w:rsid w:val="00DD739D"/>
    <w:rsid w:val="00DD777D"/>
    <w:rsid w:val="00DE0088"/>
    <w:rsid w:val="00DE0132"/>
    <w:rsid w:val="00DE0781"/>
    <w:rsid w:val="00DE121A"/>
    <w:rsid w:val="00DE143F"/>
    <w:rsid w:val="00DE1D5C"/>
    <w:rsid w:val="00DE3177"/>
    <w:rsid w:val="00DE3A77"/>
    <w:rsid w:val="00DE3E34"/>
    <w:rsid w:val="00DE3FAE"/>
    <w:rsid w:val="00DE43CA"/>
    <w:rsid w:val="00DE47B5"/>
    <w:rsid w:val="00DE4856"/>
    <w:rsid w:val="00DE4868"/>
    <w:rsid w:val="00DE491E"/>
    <w:rsid w:val="00DE5140"/>
    <w:rsid w:val="00DE5A70"/>
    <w:rsid w:val="00DE5DA6"/>
    <w:rsid w:val="00DE6529"/>
    <w:rsid w:val="00DE6DC2"/>
    <w:rsid w:val="00DE75D3"/>
    <w:rsid w:val="00DE7626"/>
    <w:rsid w:val="00DE7670"/>
    <w:rsid w:val="00DE777B"/>
    <w:rsid w:val="00DE7920"/>
    <w:rsid w:val="00DE7D7C"/>
    <w:rsid w:val="00DF0034"/>
    <w:rsid w:val="00DF1C97"/>
    <w:rsid w:val="00DF1D8C"/>
    <w:rsid w:val="00DF280F"/>
    <w:rsid w:val="00DF2858"/>
    <w:rsid w:val="00DF2862"/>
    <w:rsid w:val="00DF2D90"/>
    <w:rsid w:val="00DF306F"/>
    <w:rsid w:val="00DF317C"/>
    <w:rsid w:val="00DF3808"/>
    <w:rsid w:val="00DF3AE3"/>
    <w:rsid w:val="00DF46FC"/>
    <w:rsid w:val="00DF4780"/>
    <w:rsid w:val="00DF54B5"/>
    <w:rsid w:val="00DF6138"/>
    <w:rsid w:val="00DF65FB"/>
    <w:rsid w:val="00DF671C"/>
    <w:rsid w:val="00DF6CCB"/>
    <w:rsid w:val="00DF73B1"/>
    <w:rsid w:val="00DF7501"/>
    <w:rsid w:val="00DF7A96"/>
    <w:rsid w:val="00DF7AD5"/>
    <w:rsid w:val="00DF7B6F"/>
    <w:rsid w:val="00DF7CD7"/>
    <w:rsid w:val="00DF7EB8"/>
    <w:rsid w:val="00E001FC"/>
    <w:rsid w:val="00E003F7"/>
    <w:rsid w:val="00E00DCC"/>
    <w:rsid w:val="00E01355"/>
    <w:rsid w:val="00E01B94"/>
    <w:rsid w:val="00E01D16"/>
    <w:rsid w:val="00E02F72"/>
    <w:rsid w:val="00E03B27"/>
    <w:rsid w:val="00E040ED"/>
    <w:rsid w:val="00E044F7"/>
    <w:rsid w:val="00E0504C"/>
    <w:rsid w:val="00E05879"/>
    <w:rsid w:val="00E05A73"/>
    <w:rsid w:val="00E0755D"/>
    <w:rsid w:val="00E07710"/>
    <w:rsid w:val="00E07ED2"/>
    <w:rsid w:val="00E10CC9"/>
    <w:rsid w:val="00E110F8"/>
    <w:rsid w:val="00E120FD"/>
    <w:rsid w:val="00E12B9D"/>
    <w:rsid w:val="00E13B19"/>
    <w:rsid w:val="00E149E9"/>
    <w:rsid w:val="00E14FC1"/>
    <w:rsid w:val="00E15A4A"/>
    <w:rsid w:val="00E15BE0"/>
    <w:rsid w:val="00E15C58"/>
    <w:rsid w:val="00E15F30"/>
    <w:rsid w:val="00E16208"/>
    <w:rsid w:val="00E16513"/>
    <w:rsid w:val="00E16B06"/>
    <w:rsid w:val="00E172D0"/>
    <w:rsid w:val="00E17435"/>
    <w:rsid w:val="00E1761A"/>
    <w:rsid w:val="00E17E39"/>
    <w:rsid w:val="00E17EFF"/>
    <w:rsid w:val="00E200E4"/>
    <w:rsid w:val="00E20286"/>
    <w:rsid w:val="00E204D2"/>
    <w:rsid w:val="00E205FC"/>
    <w:rsid w:val="00E20628"/>
    <w:rsid w:val="00E20649"/>
    <w:rsid w:val="00E20934"/>
    <w:rsid w:val="00E20CC6"/>
    <w:rsid w:val="00E20CF0"/>
    <w:rsid w:val="00E210D1"/>
    <w:rsid w:val="00E21B1D"/>
    <w:rsid w:val="00E22056"/>
    <w:rsid w:val="00E22E3B"/>
    <w:rsid w:val="00E22FEE"/>
    <w:rsid w:val="00E23838"/>
    <w:rsid w:val="00E23CBD"/>
    <w:rsid w:val="00E23D31"/>
    <w:rsid w:val="00E2418A"/>
    <w:rsid w:val="00E242F2"/>
    <w:rsid w:val="00E2473D"/>
    <w:rsid w:val="00E252AD"/>
    <w:rsid w:val="00E25BCA"/>
    <w:rsid w:val="00E26180"/>
    <w:rsid w:val="00E26508"/>
    <w:rsid w:val="00E265DC"/>
    <w:rsid w:val="00E26DF6"/>
    <w:rsid w:val="00E27E55"/>
    <w:rsid w:val="00E27EEF"/>
    <w:rsid w:val="00E30676"/>
    <w:rsid w:val="00E309E9"/>
    <w:rsid w:val="00E30B7B"/>
    <w:rsid w:val="00E30C45"/>
    <w:rsid w:val="00E314FE"/>
    <w:rsid w:val="00E31FA6"/>
    <w:rsid w:val="00E32053"/>
    <w:rsid w:val="00E3275E"/>
    <w:rsid w:val="00E328E4"/>
    <w:rsid w:val="00E32ADE"/>
    <w:rsid w:val="00E32AF2"/>
    <w:rsid w:val="00E32EC8"/>
    <w:rsid w:val="00E33726"/>
    <w:rsid w:val="00E33D93"/>
    <w:rsid w:val="00E33DBF"/>
    <w:rsid w:val="00E33E6D"/>
    <w:rsid w:val="00E3421B"/>
    <w:rsid w:val="00E34344"/>
    <w:rsid w:val="00E346B1"/>
    <w:rsid w:val="00E34897"/>
    <w:rsid w:val="00E34C8A"/>
    <w:rsid w:val="00E34EF4"/>
    <w:rsid w:val="00E36139"/>
    <w:rsid w:val="00E36260"/>
    <w:rsid w:val="00E37269"/>
    <w:rsid w:val="00E3749A"/>
    <w:rsid w:val="00E37C88"/>
    <w:rsid w:val="00E37D1E"/>
    <w:rsid w:val="00E4075E"/>
    <w:rsid w:val="00E4127D"/>
    <w:rsid w:val="00E4192D"/>
    <w:rsid w:val="00E41A1C"/>
    <w:rsid w:val="00E422A0"/>
    <w:rsid w:val="00E42905"/>
    <w:rsid w:val="00E42F0C"/>
    <w:rsid w:val="00E42F1E"/>
    <w:rsid w:val="00E43258"/>
    <w:rsid w:val="00E433F5"/>
    <w:rsid w:val="00E43E23"/>
    <w:rsid w:val="00E44599"/>
    <w:rsid w:val="00E44C26"/>
    <w:rsid w:val="00E45A0A"/>
    <w:rsid w:val="00E45EB3"/>
    <w:rsid w:val="00E463ED"/>
    <w:rsid w:val="00E468BF"/>
    <w:rsid w:val="00E46C91"/>
    <w:rsid w:val="00E46EAF"/>
    <w:rsid w:val="00E4702B"/>
    <w:rsid w:val="00E4735C"/>
    <w:rsid w:val="00E475D2"/>
    <w:rsid w:val="00E4783B"/>
    <w:rsid w:val="00E47C5C"/>
    <w:rsid w:val="00E47DF2"/>
    <w:rsid w:val="00E47E04"/>
    <w:rsid w:val="00E47F88"/>
    <w:rsid w:val="00E501C2"/>
    <w:rsid w:val="00E50780"/>
    <w:rsid w:val="00E50CDB"/>
    <w:rsid w:val="00E50E9E"/>
    <w:rsid w:val="00E518FF"/>
    <w:rsid w:val="00E5222F"/>
    <w:rsid w:val="00E5239F"/>
    <w:rsid w:val="00E52DD5"/>
    <w:rsid w:val="00E5313E"/>
    <w:rsid w:val="00E53410"/>
    <w:rsid w:val="00E53498"/>
    <w:rsid w:val="00E53979"/>
    <w:rsid w:val="00E5460E"/>
    <w:rsid w:val="00E5559D"/>
    <w:rsid w:val="00E55C0B"/>
    <w:rsid w:val="00E5610C"/>
    <w:rsid w:val="00E5626A"/>
    <w:rsid w:val="00E5676C"/>
    <w:rsid w:val="00E56E8D"/>
    <w:rsid w:val="00E56EE0"/>
    <w:rsid w:val="00E573F7"/>
    <w:rsid w:val="00E6045D"/>
    <w:rsid w:val="00E60C8B"/>
    <w:rsid w:val="00E612B9"/>
    <w:rsid w:val="00E6162E"/>
    <w:rsid w:val="00E61783"/>
    <w:rsid w:val="00E61932"/>
    <w:rsid w:val="00E62222"/>
    <w:rsid w:val="00E622BA"/>
    <w:rsid w:val="00E622C9"/>
    <w:rsid w:val="00E6340C"/>
    <w:rsid w:val="00E6345F"/>
    <w:rsid w:val="00E6350C"/>
    <w:rsid w:val="00E636BB"/>
    <w:rsid w:val="00E63C21"/>
    <w:rsid w:val="00E63CFD"/>
    <w:rsid w:val="00E642D2"/>
    <w:rsid w:val="00E64308"/>
    <w:rsid w:val="00E64F7C"/>
    <w:rsid w:val="00E650AB"/>
    <w:rsid w:val="00E65D1E"/>
    <w:rsid w:val="00E65E3A"/>
    <w:rsid w:val="00E66083"/>
    <w:rsid w:val="00E6742C"/>
    <w:rsid w:val="00E676A4"/>
    <w:rsid w:val="00E67DC4"/>
    <w:rsid w:val="00E7065A"/>
    <w:rsid w:val="00E70A61"/>
    <w:rsid w:val="00E70D08"/>
    <w:rsid w:val="00E71060"/>
    <w:rsid w:val="00E71075"/>
    <w:rsid w:val="00E71201"/>
    <w:rsid w:val="00E714FC"/>
    <w:rsid w:val="00E71A52"/>
    <w:rsid w:val="00E72105"/>
    <w:rsid w:val="00E72B1C"/>
    <w:rsid w:val="00E72C63"/>
    <w:rsid w:val="00E73552"/>
    <w:rsid w:val="00E736AA"/>
    <w:rsid w:val="00E73A3B"/>
    <w:rsid w:val="00E75068"/>
    <w:rsid w:val="00E7586C"/>
    <w:rsid w:val="00E76B3A"/>
    <w:rsid w:val="00E76BC6"/>
    <w:rsid w:val="00E80488"/>
    <w:rsid w:val="00E808C7"/>
    <w:rsid w:val="00E80B7F"/>
    <w:rsid w:val="00E81572"/>
    <w:rsid w:val="00E816E0"/>
    <w:rsid w:val="00E81912"/>
    <w:rsid w:val="00E82955"/>
    <w:rsid w:val="00E832F8"/>
    <w:rsid w:val="00E8383B"/>
    <w:rsid w:val="00E838E2"/>
    <w:rsid w:val="00E839A1"/>
    <w:rsid w:val="00E84715"/>
    <w:rsid w:val="00E84813"/>
    <w:rsid w:val="00E848B6"/>
    <w:rsid w:val="00E84EE1"/>
    <w:rsid w:val="00E857BB"/>
    <w:rsid w:val="00E8663E"/>
    <w:rsid w:val="00E8666F"/>
    <w:rsid w:val="00E86E4F"/>
    <w:rsid w:val="00E87645"/>
    <w:rsid w:val="00E87716"/>
    <w:rsid w:val="00E9151F"/>
    <w:rsid w:val="00E91588"/>
    <w:rsid w:val="00E915CC"/>
    <w:rsid w:val="00E91D9A"/>
    <w:rsid w:val="00E9246E"/>
    <w:rsid w:val="00E92585"/>
    <w:rsid w:val="00E925FB"/>
    <w:rsid w:val="00E9369B"/>
    <w:rsid w:val="00E947D0"/>
    <w:rsid w:val="00E94F26"/>
    <w:rsid w:val="00E958A5"/>
    <w:rsid w:val="00E96568"/>
    <w:rsid w:val="00E96AC5"/>
    <w:rsid w:val="00E96BE8"/>
    <w:rsid w:val="00E96CDD"/>
    <w:rsid w:val="00E96EA4"/>
    <w:rsid w:val="00EA0839"/>
    <w:rsid w:val="00EA0ECA"/>
    <w:rsid w:val="00EA0F34"/>
    <w:rsid w:val="00EA1079"/>
    <w:rsid w:val="00EA131F"/>
    <w:rsid w:val="00EA1414"/>
    <w:rsid w:val="00EA1D12"/>
    <w:rsid w:val="00EA1ECC"/>
    <w:rsid w:val="00EA1EE4"/>
    <w:rsid w:val="00EA23FF"/>
    <w:rsid w:val="00EA27D1"/>
    <w:rsid w:val="00EA2F4B"/>
    <w:rsid w:val="00EA4949"/>
    <w:rsid w:val="00EA4B56"/>
    <w:rsid w:val="00EA50AB"/>
    <w:rsid w:val="00EA52F7"/>
    <w:rsid w:val="00EA57A9"/>
    <w:rsid w:val="00EA5899"/>
    <w:rsid w:val="00EA5992"/>
    <w:rsid w:val="00EA652B"/>
    <w:rsid w:val="00EA66BB"/>
    <w:rsid w:val="00EA6EDA"/>
    <w:rsid w:val="00EA706D"/>
    <w:rsid w:val="00EA729E"/>
    <w:rsid w:val="00EB0013"/>
    <w:rsid w:val="00EB0828"/>
    <w:rsid w:val="00EB0940"/>
    <w:rsid w:val="00EB1644"/>
    <w:rsid w:val="00EB1F03"/>
    <w:rsid w:val="00EB2BC1"/>
    <w:rsid w:val="00EB3302"/>
    <w:rsid w:val="00EB34EA"/>
    <w:rsid w:val="00EB3635"/>
    <w:rsid w:val="00EB3895"/>
    <w:rsid w:val="00EB456A"/>
    <w:rsid w:val="00EB4F8F"/>
    <w:rsid w:val="00EB54A7"/>
    <w:rsid w:val="00EB5645"/>
    <w:rsid w:val="00EB6371"/>
    <w:rsid w:val="00EB648C"/>
    <w:rsid w:val="00EB64EB"/>
    <w:rsid w:val="00EB6691"/>
    <w:rsid w:val="00EB6711"/>
    <w:rsid w:val="00EB6A83"/>
    <w:rsid w:val="00EB6E85"/>
    <w:rsid w:val="00EB6FA9"/>
    <w:rsid w:val="00EB7686"/>
    <w:rsid w:val="00EB7F61"/>
    <w:rsid w:val="00EC04D8"/>
    <w:rsid w:val="00EC1280"/>
    <w:rsid w:val="00EC26E1"/>
    <w:rsid w:val="00EC298C"/>
    <w:rsid w:val="00EC2C26"/>
    <w:rsid w:val="00EC3861"/>
    <w:rsid w:val="00EC509C"/>
    <w:rsid w:val="00EC5301"/>
    <w:rsid w:val="00EC5CA8"/>
    <w:rsid w:val="00EC64B5"/>
    <w:rsid w:val="00EC685F"/>
    <w:rsid w:val="00EC715C"/>
    <w:rsid w:val="00EC761D"/>
    <w:rsid w:val="00ED059D"/>
    <w:rsid w:val="00ED0A62"/>
    <w:rsid w:val="00ED0EFD"/>
    <w:rsid w:val="00ED1F7C"/>
    <w:rsid w:val="00ED2644"/>
    <w:rsid w:val="00ED2D9C"/>
    <w:rsid w:val="00ED360F"/>
    <w:rsid w:val="00ED37A6"/>
    <w:rsid w:val="00ED3EC5"/>
    <w:rsid w:val="00ED4566"/>
    <w:rsid w:val="00ED4E8E"/>
    <w:rsid w:val="00ED4F9F"/>
    <w:rsid w:val="00ED5205"/>
    <w:rsid w:val="00ED5486"/>
    <w:rsid w:val="00ED5A04"/>
    <w:rsid w:val="00ED5C29"/>
    <w:rsid w:val="00ED6530"/>
    <w:rsid w:val="00ED670A"/>
    <w:rsid w:val="00ED6990"/>
    <w:rsid w:val="00ED6B01"/>
    <w:rsid w:val="00ED6D3A"/>
    <w:rsid w:val="00ED72CB"/>
    <w:rsid w:val="00ED73CC"/>
    <w:rsid w:val="00ED7A08"/>
    <w:rsid w:val="00EE0888"/>
    <w:rsid w:val="00EE0CD9"/>
    <w:rsid w:val="00EE0FBD"/>
    <w:rsid w:val="00EE1129"/>
    <w:rsid w:val="00EE1B24"/>
    <w:rsid w:val="00EE1C12"/>
    <w:rsid w:val="00EE1C1E"/>
    <w:rsid w:val="00EE1EE0"/>
    <w:rsid w:val="00EE2260"/>
    <w:rsid w:val="00EE2AB3"/>
    <w:rsid w:val="00EE3398"/>
    <w:rsid w:val="00EE3CB6"/>
    <w:rsid w:val="00EE4801"/>
    <w:rsid w:val="00EE4CD3"/>
    <w:rsid w:val="00EE4D66"/>
    <w:rsid w:val="00EE50D3"/>
    <w:rsid w:val="00EE5AB7"/>
    <w:rsid w:val="00EE76EB"/>
    <w:rsid w:val="00EE77DC"/>
    <w:rsid w:val="00EE7A5A"/>
    <w:rsid w:val="00EE7AD7"/>
    <w:rsid w:val="00EE7F79"/>
    <w:rsid w:val="00EF06BF"/>
    <w:rsid w:val="00EF06C6"/>
    <w:rsid w:val="00EF101D"/>
    <w:rsid w:val="00EF1C96"/>
    <w:rsid w:val="00EF1DAE"/>
    <w:rsid w:val="00EF1F1B"/>
    <w:rsid w:val="00EF377C"/>
    <w:rsid w:val="00EF3D86"/>
    <w:rsid w:val="00EF3DC2"/>
    <w:rsid w:val="00EF3E64"/>
    <w:rsid w:val="00EF3EB6"/>
    <w:rsid w:val="00EF4240"/>
    <w:rsid w:val="00EF5FD3"/>
    <w:rsid w:val="00EF5FEF"/>
    <w:rsid w:val="00EF6383"/>
    <w:rsid w:val="00EF645D"/>
    <w:rsid w:val="00EF6910"/>
    <w:rsid w:val="00EF7031"/>
    <w:rsid w:val="00EF7198"/>
    <w:rsid w:val="00EF7982"/>
    <w:rsid w:val="00EF7AE9"/>
    <w:rsid w:val="00F00DAC"/>
    <w:rsid w:val="00F01AB5"/>
    <w:rsid w:val="00F01DBA"/>
    <w:rsid w:val="00F0219A"/>
    <w:rsid w:val="00F025F3"/>
    <w:rsid w:val="00F02687"/>
    <w:rsid w:val="00F02ADE"/>
    <w:rsid w:val="00F03506"/>
    <w:rsid w:val="00F0389E"/>
    <w:rsid w:val="00F03AB4"/>
    <w:rsid w:val="00F043D1"/>
    <w:rsid w:val="00F045B2"/>
    <w:rsid w:val="00F04CB4"/>
    <w:rsid w:val="00F04D59"/>
    <w:rsid w:val="00F05007"/>
    <w:rsid w:val="00F05412"/>
    <w:rsid w:val="00F05839"/>
    <w:rsid w:val="00F05FE2"/>
    <w:rsid w:val="00F067FC"/>
    <w:rsid w:val="00F06B31"/>
    <w:rsid w:val="00F06D75"/>
    <w:rsid w:val="00F071B6"/>
    <w:rsid w:val="00F076B0"/>
    <w:rsid w:val="00F1005B"/>
    <w:rsid w:val="00F108C6"/>
    <w:rsid w:val="00F114C2"/>
    <w:rsid w:val="00F11623"/>
    <w:rsid w:val="00F11E14"/>
    <w:rsid w:val="00F11E66"/>
    <w:rsid w:val="00F128EA"/>
    <w:rsid w:val="00F12ABA"/>
    <w:rsid w:val="00F130EE"/>
    <w:rsid w:val="00F13D3C"/>
    <w:rsid w:val="00F147AC"/>
    <w:rsid w:val="00F14D7D"/>
    <w:rsid w:val="00F15864"/>
    <w:rsid w:val="00F15DEB"/>
    <w:rsid w:val="00F15FC2"/>
    <w:rsid w:val="00F15FED"/>
    <w:rsid w:val="00F1614C"/>
    <w:rsid w:val="00F164F8"/>
    <w:rsid w:val="00F16ADE"/>
    <w:rsid w:val="00F17345"/>
    <w:rsid w:val="00F17AC9"/>
    <w:rsid w:val="00F212DD"/>
    <w:rsid w:val="00F218FF"/>
    <w:rsid w:val="00F2244C"/>
    <w:rsid w:val="00F235BC"/>
    <w:rsid w:val="00F238F9"/>
    <w:rsid w:val="00F23A32"/>
    <w:rsid w:val="00F25009"/>
    <w:rsid w:val="00F25738"/>
    <w:rsid w:val="00F261E6"/>
    <w:rsid w:val="00F266B1"/>
    <w:rsid w:val="00F26CDA"/>
    <w:rsid w:val="00F27831"/>
    <w:rsid w:val="00F27ADA"/>
    <w:rsid w:val="00F27D1B"/>
    <w:rsid w:val="00F30154"/>
    <w:rsid w:val="00F30B2E"/>
    <w:rsid w:val="00F310CE"/>
    <w:rsid w:val="00F31281"/>
    <w:rsid w:val="00F31AAA"/>
    <w:rsid w:val="00F31E00"/>
    <w:rsid w:val="00F3224B"/>
    <w:rsid w:val="00F32A4F"/>
    <w:rsid w:val="00F32AA4"/>
    <w:rsid w:val="00F32B2F"/>
    <w:rsid w:val="00F33560"/>
    <w:rsid w:val="00F33C10"/>
    <w:rsid w:val="00F3460E"/>
    <w:rsid w:val="00F35168"/>
    <w:rsid w:val="00F369F8"/>
    <w:rsid w:val="00F3712D"/>
    <w:rsid w:val="00F37384"/>
    <w:rsid w:val="00F40701"/>
    <w:rsid w:val="00F407CB"/>
    <w:rsid w:val="00F408A1"/>
    <w:rsid w:val="00F408E3"/>
    <w:rsid w:val="00F40912"/>
    <w:rsid w:val="00F413DE"/>
    <w:rsid w:val="00F41917"/>
    <w:rsid w:val="00F43AFE"/>
    <w:rsid w:val="00F4485A"/>
    <w:rsid w:val="00F44AF6"/>
    <w:rsid w:val="00F44E39"/>
    <w:rsid w:val="00F452B7"/>
    <w:rsid w:val="00F45528"/>
    <w:rsid w:val="00F456AB"/>
    <w:rsid w:val="00F45780"/>
    <w:rsid w:val="00F4732B"/>
    <w:rsid w:val="00F478CD"/>
    <w:rsid w:val="00F47F19"/>
    <w:rsid w:val="00F50049"/>
    <w:rsid w:val="00F50057"/>
    <w:rsid w:val="00F504D2"/>
    <w:rsid w:val="00F50E53"/>
    <w:rsid w:val="00F50EB0"/>
    <w:rsid w:val="00F50FA4"/>
    <w:rsid w:val="00F511DA"/>
    <w:rsid w:val="00F515D2"/>
    <w:rsid w:val="00F51642"/>
    <w:rsid w:val="00F5174C"/>
    <w:rsid w:val="00F51BFF"/>
    <w:rsid w:val="00F52126"/>
    <w:rsid w:val="00F521B2"/>
    <w:rsid w:val="00F52383"/>
    <w:rsid w:val="00F52B2C"/>
    <w:rsid w:val="00F52CBC"/>
    <w:rsid w:val="00F52F48"/>
    <w:rsid w:val="00F5331E"/>
    <w:rsid w:val="00F539CC"/>
    <w:rsid w:val="00F540C0"/>
    <w:rsid w:val="00F541E1"/>
    <w:rsid w:val="00F5458A"/>
    <w:rsid w:val="00F54718"/>
    <w:rsid w:val="00F547BE"/>
    <w:rsid w:val="00F547F5"/>
    <w:rsid w:val="00F55473"/>
    <w:rsid w:val="00F55505"/>
    <w:rsid w:val="00F555C0"/>
    <w:rsid w:val="00F55EBC"/>
    <w:rsid w:val="00F56093"/>
    <w:rsid w:val="00F564CE"/>
    <w:rsid w:val="00F567DB"/>
    <w:rsid w:val="00F575DD"/>
    <w:rsid w:val="00F614DD"/>
    <w:rsid w:val="00F62034"/>
    <w:rsid w:val="00F621F3"/>
    <w:rsid w:val="00F62AAE"/>
    <w:rsid w:val="00F62AF0"/>
    <w:rsid w:val="00F6315F"/>
    <w:rsid w:val="00F63352"/>
    <w:rsid w:val="00F640FB"/>
    <w:rsid w:val="00F64B57"/>
    <w:rsid w:val="00F64B73"/>
    <w:rsid w:val="00F64F8E"/>
    <w:rsid w:val="00F654AB"/>
    <w:rsid w:val="00F65A28"/>
    <w:rsid w:val="00F65B64"/>
    <w:rsid w:val="00F65F06"/>
    <w:rsid w:val="00F66025"/>
    <w:rsid w:val="00F66210"/>
    <w:rsid w:val="00F662D3"/>
    <w:rsid w:val="00F662EE"/>
    <w:rsid w:val="00F663BB"/>
    <w:rsid w:val="00F6644C"/>
    <w:rsid w:val="00F6671E"/>
    <w:rsid w:val="00F66C5F"/>
    <w:rsid w:val="00F66CDA"/>
    <w:rsid w:val="00F7024E"/>
    <w:rsid w:val="00F705FE"/>
    <w:rsid w:val="00F70754"/>
    <w:rsid w:val="00F710AB"/>
    <w:rsid w:val="00F7149E"/>
    <w:rsid w:val="00F714AC"/>
    <w:rsid w:val="00F71583"/>
    <w:rsid w:val="00F71D98"/>
    <w:rsid w:val="00F71FA2"/>
    <w:rsid w:val="00F71FE6"/>
    <w:rsid w:val="00F7200F"/>
    <w:rsid w:val="00F72493"/>
    <w:rsid w:val="00F72E59"/>
    <w:rsid w:val="00F73129"/>
    <w:rsid w:val="00F73EC4"/>
    <w:rsid w:val="00F745D1"/>
    <w:rsid w:val="00F74E4E"/>
    <w:rsid w:val="00F74FF2"/>
    <w:rsid w:val="00F75600"/>
    <w:rsid w:val="00F757B3"/>
    <w:rsid w:val="00F75C16"/>
    <w:rsid w:val="00F75F32"/>
    <w:rsid w:val="00F7794C"/>
    <w:rsid w:val="00F77BFA"/>
    <w:rsid w:val="00F8044C"/>
    <w:rsid w:val="00F80560"/>
    <w:rsid w:val="00F80841"/>
    <w:rsid w:val="00F80DC2"/>
    <w:rsid w:val="00F81FCF"/>
    <w:rsid w:val="00F82134"/>
    <w:rsid w:val="00F822B2"/>
    <w:rsid w:val="00F822BE"/>
    <w:rsid w:val="00F82627"/>
    <w:rsid w:val="00F827D7"/>
    <w:rsid w:val="00F828E2"/>
    <w:rsid w:val="00F836BA"/>
    <w:rsid w:val="00F83D96"/>
    <w:rsid w:val="00F83EA1"/>
    <w:rsid w:val="00F842A4"/>
    <w:rsid w:val="00F84760"/>
    <w:rsid w:val="00F8531B"/>
    <w:rsid w:val="00F8561A"/>
    <w:rsid w:val="00F85E1E"/>
    <w:rsid w:val="00F85FB2"/>
    <w:rsid w:val="00F86A17"/>
    <w:rsid w:val="00F86B2F"/>
    <w:rsid w:val="00F8715B"/>
    <w:rsid w:val="00F87384"/>
    <w:rsid w:val="00F8760C"/>
    <w:rsid w:val="00F879E5"/>
    <w:rsid w:val="00F87BD0"/>
    <w:rsid w:val="00F90BE1"/>
    <w:rsid w:val="00F913D6"/>
    <w:rsid w:val="00F915EF"/>
    <w:rsid w:val="00F91A00"/>
    <w:rsid w:val="00F92094"/>
    <w:rsid w:val="00F92139"/>
    <w:rsid w:val="00F9261C"/>
    <w:rsid w:val="00F928D1"/>
    <w:rsid w:val="00F93087"/>
    <w:rsid w:val="00F930EF"/>
    <w:rsid w:val="00F9402A"/>
    <w:rsid w:val="00F9454F"/>
    <w:rsid w:val="00F94593"/>
    <w:rsid w:val="00F9477D"/>
    <w:rsid w:val="00F95E33"/>
    <w:rsid w:val="00F960EC"/>
    <w:rsid w:val="00F969DB"/>
    <w:rsid w:val="00F96A5D"/>
    <w:rsid w:val="00F96C31"/>
    <w:rsid w:val="00F96E7D"/>
    <w:rsid w:val="00F96EF1"/>
    <w:rsid w:val="00F97398"/>
    <w:rsid w:val="00FA041E"/>
    <w:rsid w:val="00FA0690"/>
    <w:rsid w:val="00FA06CA"/>
    <w:rsid w:val="00FA1A30"/>
    <w:rsid w:val="00FA1B03"/>
    <w:rsid w:val="00FA229C"/>
    <w:rsid w:val="00FA22A4"/>
    <w:rsid w:val="00FA22CC"/>
    <w:rsid w:val="00FA259E"/>
    <w:rsid w:val="00FA2637"/>
    <w:rsid w:val="00FA3A26"/>
    <w:rsid w:val="00FA3A48"/>
    <w:rsid w:val="00FA3BF4"/>
    <w:rsid w:val="00FA4C3D"/>
    <w:rsid w:val="00FA528A"/>
    <w:rsid w:val="00FA532C"/>
    <w:rsid w:val="00FA55CB"/>
    <w:rsid w:val="00FA6EF0"/>
    <w:rsid w:val="00FA7B36"/>
    <w:rsid w:val="00FB0039"/>
    <w:rsid w:val="00FB080F"/>
    <w:rsid w:val="00FB0FB2"/>
    <w:rsid w:val="00FB1331"/>
    <w:rsid w:val="00FB1993"/>
    <w:rsid w:val="00FB238F"/>
    <w:rsid w:val="00FB271D"/>
    <w:rsid w:val="00FB2905"/>
    <w:rsid w:val="00FB29DB"/>
    <w:rsid w:val="00FB3456"/>
    <w:rsid w:val="00FB3596"/>
    <w:rsid w:val="00FB3ECF"/>
    <w:rsid w:val="00FB48D6"/>
    <w:rsid w:val="00FB509D"/>
    <w:rsid w:val="00FB5365"/>
    <w:rsid w:val="00FB5C39"/>
    <w:rsid w:val="00FB637B"/>
    <w:rsid w:val="00FB6B8E"/>
    <w:rsid w:val="00FB6E80"/>
    <w:rsid w:val="00FB6EF3"/>
    <w:rsid w:val="00FB72D9"/>
    <w:rsid w:val="00FB7BC0"/>
    <w:rsid w:val="00FB7D7B"/>
    <w:rsid w:val="00FC013D"/>
    <w:rsid w:val="00FC09B1"/>
    <w:rsid w:val="00FC0D3F"/>
    <w:rsid w:val="00FC0D78"/>
    <w:rsid w:val="00FC157F"/>
    <w:rsid w:val="00FC1687"/>
    <w:rsid w:val="00FC2361"/>
    <w:rsid w:val="00FC28DB"/>
    <w:rsid w:val="00FC3263"/>
    <w:rsid w:val="00FC4A02"/>
    <w:rsid w:val="00FC4A45"/>
    <w:rsid w:val="00FC52D9"/>
    <w:rsid w:val="00FC5C23"/>
    <w:rsid w:val="00FC63D5"/>
    <w:rsid w:val="00FC6581"/>
    <w:rsid w:val="00FC675E"/>
    <w:rsid w:val="00FC682F"/>
    <w:rsid w:val="00FC6BD0"/>
    <w:rsid w:val="00FC7DF3"/>
    <w:rsid w:val="00FD00F7"/>
    <w:rsid w:val="00FD0744"/>
    <w:rsid w:val="00FD15D9"/>
    <w:rsid w:val="00FD22CB"/>
    <w:rsid w:val="00FD387E"/>
    <w:rsid w:val="00FD3CA5"/>
    <w:rsid w:val="00FD3CB1"/>
    <w:rsid w:val="00FD41F6"/>
    <w:rsid w:val="00FD50ED"/>
    <w:rsid w:val="00FD5206"/>
    <w:rsid w:val="00FD5889"/>
    <w:rsid w:val="00FD5A53"/>
    <w:rsid w:val="00FD645D"/>
    <w:rsid w:val="00FD6506"/>
    <w:rsid w:val="00FD6D3C"/>
    <w:rsid w:val="00FD6F87"/>
    <w:rsid w:val="00FD736A"/>
    <w:rsid w:val="00FD78AF"/>
    <w:rsid w:val="00FE021D"/>
    <w:rsid w:val="00FE0D14"/>
    <w:rsid w:val="00FE135A"/>
    <w:rsid w:val="00FE221C"/>
    <w:rsid w:val="00FE22DF"/>
    <w:rsid w:val="00FE23AD"/>
    <w:rsid w:val="00FE24D0"/>
    <w:rsid w:val="00FE2F48"/>
    <w:rsid w:val="00FE307C"/>
    <w:rsid w:val="00FE435E"/>
    <w:rsid w:val="00FE49AC"/>
    <w:rsid w:val="00FE4EC9"/>
    <w:rsid w:val="00FE4FB6"/>
    <w:rsid w:val="00FE4FE2"/>
    <w:rsid w:val="00FE5042"/>
    <w:rsid w:val="00FE556C"/>
    <w:rsid w:val="00FE6082"/>
    <w:rsid w:val="00FE685C"/>
    <w:rsid w:val="00FF0610"/>
    <w:rsid w:val="00FF08B7"/>
    <w:rsid w:val="00FF0A60"/>
    <w:rsid w:val="00FF1A93"/>
    <w:rsid w:val="00FF200F"/>
    <w:rsid w:val="00FF2316"/>
    <w:rsid w:val="00FF25D7"/>
    <w:rsid w:val="00FF3111"/>
    <w:rsid w:val="00FF40E7"/>
    <w:rsid w:val="00FF4AF4"/>
    <w:rsid w:val="00FF4D2F"/>
    <w:rsid w:val="00FF5232"/>
    <w:rsid w:val="00FF5D54"/>
    <w:rsid w:val="00FF61F3"/>
    <w:rsid w:val="00FF62F6"/>
    <w:rsid w:val="00FF7502"/>
    <w:rsid w:val="00FF78D5"/>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5:docId w15:val="{76E8FFF5-9344-44E7-9507-FD304D0AC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00CD"/>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59"/>
    <w:rsid w:val="00AA48A5"/>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1"/>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2"/>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1D2165"/>
    <w:rPr>
      <w:rFonts w:asciiTheme="minorHAnsi" w:eastAsia="Cambria" w:hAnsiTheme="minorHAnsi" w:cstheme="minorBidi"/>
      <w:sz w:val="20"/>
      <w:szCs w:val="20"/>
      <w:lang w:eastAsia="en-US"/>
    </w:rPr>
  </w:style>
  <w:style w:type="paragraph" w:customStyle="1" w:styleId="paragraph">
    <w:name w:val="paragraph"/>
    <w:basedOn w:val="Normal"/>
    <w:rsid w:val="00004C7A"/>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59"/>
    <w:rsid w:val="00555C12"/>
    <w:rPr>
      <w:rFonts w:ascii="Calibri" w:eastAsia="Calibri" w:hAnsi="Calibri" w:cs="Times New Roman"/>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177F5F"/>
    <w:rPr>
      <w:rFonts w:eastAsia="Calibr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
    <w:name w:val="Sin lista1"/>
    <w:next w:val="Sinlista"/>
    <w:uiPriority w:val="99"/>
    <w:semiHidden/>
    <w:unhideWhenUsed/>
    <w:rsid w:val="00B909BE"/>
  </w:style>
  <w:style w:type="table" w:customStyle="1" w:styleId="Tablaconcuadrcula3">
    <w:name w:val="Tabla con cuadrícula3"/>
    <w:basedOn w:val="Tablanormal"/>
    <w:next w:val="Tablaconcuadrcula"/>
    <w:uiPriority w:val="59"/>
    <w:rsid w:val="00B909BE"/>
    <w:rPr>
      <w:rFonts w:eastAsia="Calibr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3825">
      <w:bodyDiv w:val="1"/>
      <w:marLeft w:val="0"/>
      <w:marRight w:val="0"/>
      <w:marTop w:val="0"/>
      <w:marBottom w:val="0"/>
      <w:divBdr>
        <w:top w:val="none" w:sz="0" w:space="0" w:color="auto"/>
        <w:left w:val="none" w:sz="0" w:space="0" w:color="auto"/>
        <w:bottom w:val="none" w:sz="0" w:space="0" w:color="auto"/>
        <w:right w:val="none" w:sz="0" w:space="0" w:color="auto"/>
      </w:divBdr>
    </w:div>
    <w:div w:id="7415351">
      <w:bodyDiv w:val="1"/>
      <w:marLeft w:val="0"/>
      <w:marRight w:val="0"/>
      <w:marTop w:val="0"/>
      <w:marBottom w:val="0"/>
      <w:divBdr>
        <w:top w:val="none" w:sz="0" w:space="0" w:color="auto"/>
        <w:left w:val="none" w:sz="0" w:space="0" w:color="auto"/>
        <w:bottom w:val="none" w:sz="0" w:space="0" w:color="auto"/>
        <w:right w:val="none" w:sz="0" w:space="0" w:color="auto"/>
      </w:divBdr>
    </w:div>
    <w:div w:id="13309417">
      <w:bodyDiv w:val="1"/>
      <w:marLeft w:val="0"/>
      <w:marRight w:val="0"/>
      <w:marTop w:val="0"/>
      <w:marBottom w:val="0"/>
      <w:divBdr>
        <w:top w:val="none" w:sz="0" w:space="0" w:color="auto"/>
        <w:left w:val="none" w:sz="0" w:space="0" w:color="auto"/>
        <w:bottom w:val="none" w:sz="0" w:space="0" w:color="auto"/>
        <w:right w:val="none" w:sz="0" w:space="0" w:color="auto"/>
      </w:divBdr>
    </w:div>
    <w:div w:id="17434613">
      <w:bodyDiv w:val="1"/>
      <w:marLeft w:val="0"/>
      <w:marRight w:val="0"/>
      <w:marTop w:val="0"/>
      <w:marBottom w:val="0"/>
      <w:divBdr>
        <w:top w:val="none" w:sz="0" w:space="0" w:color="auto"/>
        <w:left w:val="none" w:sz="0" w:space="0" w:color="auto"/>
        <w:bottom w:val="none" w:sz="0" w:space="0" w:color="auto"/>
        <w:right w:val="none" w:sz="0" w:space="0" w:color="auto"/>
      </w:divBdr>
    </w:div>
    <w:div w:id="19861476">
      <w:bodyDiv w:val="1"/>
      <w:marLeft w:val="0"/>
      <w:marRight w:val="0"/>
      <w:marTop w:val="0"/>
      <w:marBottom w:val="0"/>
      <w:divBdr>
        <w:top w:val="none" w:sz="0" w:space="0" w:color="auto"/>
        <w:left w:val="none" w:sz="0" w:space="0" w:color="auto"/>
        <w:bottom w:val="none" w:sz="0" w:space="0" w:color="auto"/>
        <w:right w:val="none" w:sz="0" w:space="0" w:color="auto"/>
      </w:divBdr>
    </w:div>
    <w:div w:id="29763355">
      <w:bodyDiv w:val="1"/>
      <w:marLeft w:val="0"/>
      <w:marRight w:val="0"/>
      <w:marTop w:val="0"/>
      <w:marBottom w:val="0"/>
      <w:divBdr>
        <w:top w:val="none" w:sz="0" w:space="0" w:color="auto"/>
        <w:left w:val="none" w:sz="0" w:space="0" w:color="auto"/>
        <w:bottom w:val="none" w:sz="0" w:space="0" w:color="auto"/>
        <w:right w:val="none" w:sz="0" w:space="0" w:color="auto"/>
      </w:divBdr>
    </w:div>
    <w:div w:id="32119446">
      <w:bodyDiv w:val="1"/>
      <w:marLeft w:val="0"/>
      <w:marRight w:val="0"/>
      <w:marTop w:val="0"/>
      <w:marBottom w:val="0"/>
      <w:divBdr>
        <w:top w:val="none" w:sz="0" w:space="0" w:color="auto"/>
        <w:left w:val="none" w:sz="0" w:space="0" w:color="auto"/>
        <w:bottom w:val="none" w:sz="0" w:space="0" w:color="auto"/>
        <w:right w:val="none" w:sz="0" w:space="0" w:color="auto"/>
      </w:divBdr>
    </w:div>
    <w:div w:id="45224489">
      <w:bodyDiv w:val="1"/>
      <w:marLeft w:val="0"/>
      <w:marRight w:val="0"/>
      <w:marTop w:val="0"/>
      <w:marBottom w:val="0"/>
      <w:divBdr>
        <w:top w:val="none" w:sz="0" w:space="0" w:color="auto"/>
        <w:left w:val="none" w:sz="0" w:space="0" w:color="auto"/>
        <w:bottom w:val="none" w:sz="0" w:space="0" w:color="auto"/>
        <w:right w:val="none" w:sz="0" w:space="0" w:color="auto"/>
      </w:divBdr>
    </w:div>
    <w:div w:id="52431554">
      <w:bodyDiv w:val="1"/>
      <w:marLeft w:val="0"/>
      <w:marRight w:val="0"/>
      <w:marTop w:val="0"/>
      <w:marBottom w:val="0"/>
      <w:divBdr>
        <w:top w:val="none" w:sz="0" w:space="0" w:color="auto"/>
        <w:left w:val="none" w:sz="0" w:space="0" w:color="auto"/>
        <w:bottom w:val="none" w:sz="0" w:space="0" w:color="auto"/>
        <w:right w:val="none" w:sz="0" w:space="0" w:color="auto"/>
      </w:divBdr>
    </w:div>
    <w:div w:id="59669955">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93331375">
      <w:bodyDiv w:val="1"/>
      <w:marLeft w:val="0"/>
      <w:marRight w:val="0"/>
      <w:marTop w:val="0"/>
      <w:marBottom w:val="0"/>
      <w:divBdr>
        <w:top w:val="none" w:sz="0" w:space="0" w:color="auto"/>
        <w:left w:val="none" w:sz="0" w:space="0" w:color="auto"/>
        <w:bottom w:val="none" w:sz="0" w:space="0" w:color="auto"/>
        <w:right w:val="none" w:sz="0" w:space="0" w:color="auto"/>
      </w:divBdr>
    </w:div>
    <w:div w:id="95565612">
      <w:bodyDiv w:val="1"/>
      <w:marLeft w:val="0"/>
      <w:marRight w:val="0"/>
      <w:marTop w:val="0"/>
      <w:marBottom w:val="0"/>
      <w:divBdr>
        <w:top w:val="none" w:sz="0" w:space="0" w:color="auto"/>
        <w:left w:val="none" w:sz="0" w:space="0" w:color="auto"/>
        <w:bottom w:val="none" w:sz="0" w:space="0" w:color="auto"/>
        <w:right w:val="none" w:sz="0" w:space="0" w:color="auto"/>
      </w:divBdr>
      <w:divsChild>
        <w:div w:id="12583552">
          <w:marLeft w:val="0"/>
          <w:marRight w:val="0"/>
          <w:marTop w:val="0"/>
          <w:marBottom w:val="101"/>
          <w:divBdr>
            <w:top w:val="none" w:sz="0" w:space="0" w:color="auto"/>
            <w:left w:val="none" w:sz="0" w:space="0" w:color="auto"/>
            <w:bottom w:val="none" w:sz="0" w:space="0" w:color="auto"/>
            <w:right w:val="none" w:sz="0" w:space="0" w:color="auto"/>
          </w:divBdr>
        </w:div>
        <w:div w:id="42294892">
          <w:marLeft w:val="0"/>
          <w:marRight w:val="0"/>
          <w:marTop w:val="0"/>
          <w:marBottom w:val="101"/>
          <w:divBdr>
            <w:top w:val="none" w:sz="0" w:space="0" w:color="auto"/>
            <w:left w:val="none" w:sz="0" w:space="0" w:color="auto"/>
            <w:bottom w:val="none" w:sz="0" w:space="0" w:color="auto"/>
            <w:right w:val="none" w:sz="0" w:space="0" w:color="auto"/>
          </w:divBdr>
        </w:div>
        <w:div w:id="54008293">
          <w:marLeft w:val="0"/>
          <w:marRight w:val="0"/>
          <w:marTop w:val="0"/>
          <w:marBottom w:val="101"/>
          <w:divBdr>
            <w:top w:val="none" w:sz="0" w:space="0" w:color="auto"/>
            <w:left w:val="none" w:sz="0" w:space="0" w:color="auto"/>
            <w:bottom w:val="none" w:sz="0" w:space="0" w:color="auto"/>
            <w:right w:val="none" w:sz="0" w:space="0" w:color="auto"/>
          </w:divBdr>
        </w:div>
        <w:div w:id="210073153">
          <w:marLeft w:val="0"/>
          <w:marRight w:val="0"/>
          <w:marTop w:val="0"/>
          <w:marBottom w:val="101"/>
          <w:divBdr>
            <w:top w:val="none" w:sz="0" w:space="0" w:color="auto"/>
            <w:left w:val="none" w:sz="0" w:space="0" w:color="auto"/>
            <w:bottom w:val="none" w:sz="0" w:space="0" w:color="auto"/>
            <w:right w:val="none" w:sz="0" w:space="0" w:color="auto"/>
          </w:divBdr>
        </w:div>
        <w:div w:id="338117306">
          <w:marLeft w:val="0"/>
          <w:marRight w:val="0"/>
          <w:marTop w:val="0"/>
          <w:marBottom w:val="101"/>
          <w:divBdr>
            <w:top w:val="none" w:sz="0" w:space="0" w:color="auto"/>
            <w:left w:val="none" w:sz="0" w:space="0" w:color="auto"/>
            <w:bottom w:val="none" w:sz="0" w:space="0" w:color="auto"/>
            <w:right w:val="none" w:sz="0" w:space="0" w:color="auto"/>
          </w:divBdr>
        </w:div>
        <w:div w:id="1283271220">
          <w:marLeft w:val="0"/>
          <w:marRight w:val="0"/>
          <w:marTop w:val="101"/>
          <w:marBottom w:val="101"/>
          <w:divBdr>
            <w:top w:val="none" w:sz="0" w:space="0" w:color="auto"/>
            <w:left w:val="none" w:sz="0" w:space="0" w:color="auto"/>
            <w:bottom w:val="none" w:sz="0" w:space="0" w:color="auto"/>
            <w:right w:val="none" w:sz="0" w:space="0" w:color="auto"/>
          </w:divBdr>
        </w:div>
        <w:div w:id="1506747001">
          <w:marLeft w:val="0"/>
          <w:marRight w:val="0"/>
          <w:marTop w:val="0"/>
          <w:marBottom w:val="101"/>
          <w:divBdr>
            <w:top w:val="none" w:sz="0" w:space="0" w:color="auto"/>
            <w:left w:val="none" w:sz="0" w:space="0" w:color="auto"/>
            <w:bottom w:val="none" w:sz="0" w:space="0" w:color="auto"/>
            <w:right w:val="none" w:sz="0" w:space="0" w:color="auto"/>
          </w:divBdr>
        </w:div>
        <w:div w:id="2142459306">
          <w:marLeft w:val="0"/>
          <w:marRight w:val="0"/>
          <w:marTop w:val="0"/>
          <w:marBottom w:val="101"/>
          <w:divBdr>
            <w:top w:val="none" w:sz="0" w:space="0" w:color="auto"/>
            <w:left w:val="none" w:sz="0" w:space="0" w:color="auto"/>
            <w:bottom w:val="none" w:sz="0" w:space="0" w:color="auto"/>
            <w:right w:val="none" w:sz="0" w:space="0" w:color="auto"/>
          </w:divBdr>
        </w:div>
      </w:divsChild>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01271210">
      <w:bodyDiv w:val="1"/>
      <w:marLeft w:val="0"/>
      <w:marRight w:val="0"/>
      <w:marTop w:val="0"/>
      <w:marBottom w:val="0"/>
      <w:divBdr>
        <w:top w:val="none" w:sz="0" w:space="0" w:color="auto"/>
        <w:left w:val="none" w:sz="0" w:space="0" w:color="auto"/>
        <w:bottom w:val="none" w:sz="0" w:space="0" w:color="auto"/>
        <w:right w:val="none" w:sz="0" w:space="0" w:color="auto"/>
      </w:divBdr>
    </w:div>
    <w:div w:id="105581824">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27287644">
      <w:bodyDiv w:val="1"/>
      <w:marLeft w:val="0"/>
      <w:marRight w:val="0"/>
      <w:marTop w:val="0"/>
      <w:marBottom w:val="0"/>
      <w:divBdr>
        <w:top w:val="none" w:sz="0" w:space="0" w:color="auto"/>
        <w:left w:val="none" w:sz="0" w:space="0" w:color="auto"/>
        <w:bottom w:val="none" w:sz="0" w:space="0" w:color="auto"/>
        <w:right w:val="none" w:sz="0" w:space="0" w:color="auto"/>
      </w:divBdr>
    </w:div>
    <w:div w:id="129444878">
      <w:bodyDiv w:val="1"/>
      <w:marLeft w:val="0"/>
      <w:marRight w:val="0"/>
      <w:marTop w:val="0"/>
      <w:marBottom w:val="0"/>
      <w:divBdr>
        <w:top w:val="none" w:sz="0" w:space="0" w:color="auto"/>
        <w:left w:val="none" w:sz="0" w:space="0" w:color="auto"/>
        <w:bottom w:val="none" w:sz="0" w:space="0" w:color="auto"/>
        <w:right w:val="none" w:sz="0" w:space="0" w:color="auto"/>
      </w:divBdr>
    </w:div>
    <w:div w:id="131992770">
      <w:bodyDiv w:val="1"/>
      <w:marLeft w:val="0"/>
      <w:marRight w:val="0"/>
      <w:marTop w:val="0"/>
      <w:marBottom w:val="0"/>
      <w:divBdr>
        <w:top w:val="none" w:sz="0" w:space="0" w:color="auto"/>
        <w:left w:val="none" w:sz="0" w:space="0" w:color="auto"/>
        <w:bottom w:val="none" w:sz="0" w:space="0" w:color="auto"/>
        <w:right w:val="none" w:sz="0" w:space="0" w:color="auto"/>
      </w:divBdr>
    </w:div>
    <w:div w:id="149180172">
      <w:bodyDiv w:val="1"/>
      <w:marLeft w:val="0"/>
      <w:marRight w:val="0"/>
      <w:marTop w:val="0"/>
      <w:marBottom w:val="0"/>
      <w:divBdr>
        <w:top w:val="none" w:sz="0" w:space="0" w:color="auto"/>
        <w:left w:val="none" w:sz="0" w:space="0" w:color="auto"/>
        <w:bottom w:val="none" w:sz="0" w:space="0" w:color="auto"/>
        <w:right w:val="none" w:sz="0" w:space="0" w:color="auto"/>
      </w:divBdr>
    </w:div>
    <w:div w:id="182865957">
      <w:bodyDiv w:val="1"/>
      <w:marLeft w:val="0"/>
      <w:marRight w:val="0"/>
      <w:marTop w:val="0"/>
      <w:marBottom w:val="0"/>
      <w:divBdr>
        <w:top w:val="none" w:sz="0" w:space="0" w:color="auto"/>
        <w:left w:val="none" w:sz="0" w:space="0" w:color="auto"/>
        <w:bottom w:val="none" w:sz="0" w:space="0" w:color="auto"/>
        <w:right w:val="none" w:sz="0" w:space="0" w:color="auto"/>
      </w:divBdr>
    </w:div>
    <w:div w:id="186675166">
      <w:bodyDiv w:val="1"/>
      <w:marLeft w:val="0"/>
      <w:marRight w:val="0"/>
      <w:marTop w:val="0"/>
      <w:marBottom w:val="0"/>
      <w:divBdr>
        <w:top w:val="none" w:sz="0" w:space="0" w:color="auto"/>
        <w:left w:val="none" w:sz="0" w:space="0" w:color="auto"/>
        <w:bottom w:val="none" w:sz="0" w:space="0" w:color="auto"/>
        <w:right w:val="none" w:sz="0" w:space="0" w:color="auto"/>
      </w:divBdr>
    </w:div>
    <w:div w:id="187137944">
      <w:bodyDiv w:val="1"/>
      <w:marLeft w:val="0"/>
      <w:marRight w:val="0"/>
      <w:marTop w:val="0"/>
      <w:marBottom w:val="0"/>
      <w:divBdr>
        <w:top w:val="none" w:sz="0" w:space="0" w:color="auto"/>
        <w:left w:val="none" w:sz="0" w:space="0" w:color="auto"/>
        <w:bottom w:val="none" w:sz="0" w:space="0" w:color="auto"/>
        <w:right w:val="none" w:sz="0" w:space="0" w:color="auto"/>
      </w:divBdr>
    </w:div>
    <w:div w:id="200215527">
      <w:bodyDiv w:val="1"/>
      <w:marLeft w:val="0"/>
      <w:marRight w:val="0"/>
      <w:marTop w:val="0"/>
      <w:marBottom w:val="0"/>
      <w:divBdr>
        <w:top w:val="none" w:sz="0" w:space="0" w:color="auto"/>
        <w:left w:val="none" w:sz="0" w:space="0" w:color="auto"/>
        <w:bottom w:val="none" w:sz="0" w:space="0" w:color="auto"/>
        <w:right w:val="none" w:sz="0" w:space="0" w:color="auto"/>
      </w:divBdr>
    </w:div>
    <w:div w:id="204488720">
      <w:bodyDiv w:val="1"/>
      <w:marLeft w:val="0"/>
      <w:marRight w:val="0"/>
      <w:marTop w:val="0"/>
      <w:marBottom w:val="0"/>
      <w:divBdr>
        <w:top w:val="none" w:sz="0" w:space="0" w:color="auto"/>
        <w:left w:val="none" w:sz="0" w:space="0" w:color="auto"/>
        <w:bottom w:val="none" w:sz="0" w:space="0" w:color="auto"/>
        <w:right w:val="none" w:sz="0" w:space="0" w:color="auto"/>
      </w:divBdr>
    </w:div>
    <w:div w:id="211813069">
      <w:bodyDiv w:val="1"/>
      <w:marLeft w:val="0"/>
      <w:marRight w:val="0"/>
      <w:marTop w:val="0"/>
      <w:marBottom w:val="0"/>
      <w:divBdr>
        <w:top w:val="none" w:sz="0" w:space="0" w:color="auto"/>
        <w:left w:val="none" w:sz="0" w:space="0" w:color="auto"/>
        <w:bottom w:val="none" w:sz="0" w:space="0" w:color="auto"/>
        <w:right w:val="none" w:sz="0" w:space="0" w:color="auto"/>
      </w:divBdr>
    </w:div>
    <w:div w:id="215968621">
      <w:bodyDiv w:val="1"/>
      <w:marLeft w:val="0"/>
      <w:marRight w:val="0"/>
      <w:marTop w:val="0"/>
      <w:marBottom w:val="0"/>
      <w:divBdr>
        <w:top w:val="none" w:sz="0" w:space="0" w:color="auto"/>
        <w:left w:val="none" w:sz="0" w:space="0" w:color="auto"/>
        <w:bottom w:val="none" w:sz="0" w:space="0" w:color="auto"/>
        <w:right w:val="none" w:sz="0" w:space="0" w:color="auto"/>
      </w:divBdr>
    </w:div>
    <w:div w:id="232811671">
      <w:bodyDiv w:val="1"/>
      <w:marLeft w:val="0"/>
      <w:marRight w:val="0"/>
      <w:marTop w:val="0"/>
      <w:marBottom w:val="0"/>
      <w:divBdr>
        <w:top w:val="none" w:sz="0" w:space="0" w:color="auto"/>
        <w:left w:val="none" w:sz="0" w:space="0" w:color="auto"/>
        <w:bottom w:val="none" w:sz="0" w:space="0" w:color="auto"/>
        <w:right w:val="none" w:sz="0" w:space="0" w:color="auto"/>
      </w:divBdr>
    </w:div>
    <w:div w:id="24623173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48127280">
      <w:bodyDiv w:val="1"/>
      <w:marLeft w:val="0"/>
      <w:marRight w:val="0"/>
      <w:marTop w:val="0"/>
      <w:marBottom w:val="0"/>
      <w:divBdr>
        <w:top w:val="none" w:sz="0" w:space="0" w:color="auto"/>
        <w:left w:val="none" w:sz="0" w:space="0" w:color="auto"/>
        <w:bottom w:val="none" w:sz="0" w:space="0" w:color="auto"/>
        <w:right w:val="none" w:sz="0" w:space="0" w:color="auto"/>
      </w:divBdr>
    </w:div>
    <w:div w:id="278874173">
      <w:bodyDiv w:val="1"/>
      <w:marLeft w:val="0"/>
      <w:marRight w:val="0"/>
      <w:marTop w:val="0"/>
      <w:marBottom w:val="0"/>
      <w:divBdr>
        <w:top w:val="none" w:sz="0" w:space="0" w:color="auto"/>
        <w:left w:val="none" w:sz="0" w:space="0" w:color="auto"/>
        <w:bottom w:val="none" w:sz="0" w:space="0" w:color="auto"/>
        <w:right w:val="none" w:sz="0" w:space="0" w:color="auto"/>
      </w:divBdr>
    </w:div>
    <w:div w:id="281428320">
      <w:bodyDiv w:val="1"/>
      <w:marLeft w:val="0"/>
      <w:marRight w:val="0"/>
      <w:marTop w:val="0"/>
      <w:marBottom w:val="0"/>
      <w:divBdr>
        <w:top w:val="none" w:sz="0" w:space="0" w:color="auto"/>
        <w:left w:val="none" w:sz="0" w:space="0" w:color="auto"/>
        <w:bottom w:val="none" w:sz="0" w:space="0" w:color="auto"/>
        <w:right w:val="none" w:sz="0" w:space="0" w:color="auto"/>
      </w:divBdr>
    </w:div>
    <w:div w:id="299652669">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08248124">
      <w:bodyDiv w:val="1"/>
      <w:marLeft w:val="0"/>
      <w:marRight w:val="0"/>
      <w:marTop w:val="0"/>
      <w:marBottom w:val="0"/>
      <w:divBdr>
        <w:top w:val="none" w:sz="0" w:space="0" w:color="auto"/>
        <w:left w:val="none" w:sz="0" w:space="0" w:color="auto"/>
        <w:bottom w:val="none" w:sz="0" w:space="0" w:color="auto"/>
        <w:right w:val="none" w:sz="0" w:space="0" w:color="auto"/>
      </w:divBdr>
    </w:div>
    <w:div w:id="320694554">
      <w:bodyDiv w:val="1"/>
      <w:marLeft w:val="0"/>
      <w:marRight w:val="0"/>
      <w:marTop w:val="0"/>
      <w:marBottom w:val="0"/>
      <w:divBdr>
        <w:top w:val="none" w:sz="0" w:space="0" w:color="auto"/>
        <w:left w:val="none" w:sz="0" w:space="0" w:color="auto"/>
        <w:bottom w:val="none" w:sz="0" w:space="0" w:color="auto"/>
        <w:right w:val="none" w:sz="0" w:space="0" w:color="auto"/>
      </w:divBdr>
    </w:div>
    <w:div w:id="321470527">
      <w:bodyDiv w:val="1"/>
      <w:marLeft w:val="0"/>
      <w:marRight w:val="0"/>
      <w:marTop w:val="0"/>
      <w:marBottom w:val="0"/>
      <w:divBdr>
        <w:top w:val="none" w:sz="0" w:space="0" w:color="auto"/>
        <w:left w:val="none" w:sz="0" w:space="0" w:color="auto"/>
        <w:bottom w:val="none" w:sz="0" w:space="0" w:color="auto"/>
        <w:right w:val="none" w:sz="0" w:space="0" w:color="auto"/>
      </w:divBdr>
    </w:div>
    <w:div w:id="325791365">
      <w:bodyDiv w:val="1"/>
      <w:marLeft w:val="0"/>
      <w:marRight w:val="0"/>
      <w:marTop w:val="0"/>
      <w:marBottom w:val="0"/>
      <w:divBdr>
        <w:top w:val="none" w:sz="0" w:space="0" w:color="auto"/>
        <w:left w:val="none" w:sz="0" w:space="0" w:color="auto"/>
        <w:bottom w:val="none" w:sz="0" w:space="0" w:color="auto"/>
        <w:right w:val="none" w:sz="0" w:space="0" w:color="auto"/>
      </w:divBdr>
    </w:div>
    <w:div w:id="331762968">
      <w:bodyDiv w:val="1"/>
      <w:marLeft w:val="0"/>
      <w:marRight w:val="0"/>
      <w:marTop w:val="0"/>
      <w:marBottom w:val="0"/>
      <w:divBdr>
        <w:top w:val="none" w:sz="0" w:space="0" w:color="auto"/>
        <w:left w:val="none" w:sz="0" w:space="0" w:color="auto"/>
        <w:bottom w:val="none" w:sz="0" w:space="0" w:color="auto"/>
        <w:right w:val="none" w:sz="0" w:space="0" w:color="auto"/>
      </w:divBdr>
    </w:div>
    <w:div w:id="332031540">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56005455">
      <w:bodyDiv w:val="1"/>
      <w:marLeft w:val="0"/>
      <w:marRight w:val="0"/>
      <w:marTop w:val="0"/>
      <w:marBottom w:val="0"/>
      <w:divBdr>
        <w:top w:val="none" w:sz="0" w:space="0" w:color="auto"/>
        <w:left w:val="none" w:sz="0" w:space="0" w:color="auto"/>
        <w:bottom w:val="none" w:sz="0" w:space="0" w:color="auto"/>
        <w:right w:val="none" w:sz="0" w:space="0" w:color="auto"/>
      </w:divBdr>
    </w:div>
    <w:div w:id="358165656">
      <w:bodyDiv w:val="1"/>
      <w:marLeft w:val="0"/>
      <w:marRight w:val="0"/>
      <w:marTop w:val="0"/>
      <w:marBottom w:val="0"/>
      <w:divBdr>
        <w:top w:val="none" w:sz="0" w:space="0" w:color="auto"/>
        <w:left w:val="none" w:sz="0" w:space="0" w:color="auto"/>
        <w:bottom w:val="none" w:sz="0" w:space="0" w:color="auto"/>
        <w:right w:val="none" w:sz="0" w:space="0" w:color="auto"/>
      </w:divBdr>
    </w:div>
    <w:div w:id="371610413">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05567274">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3843912">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25929769">
      <w:bodyDiv w:val="1"/>
      <w:marLeft w:val="0"/>
      <w:marRight w:val="0"/>
      <w:marTop w:val="0"/>
      <w:marBottom w:val="0"/>
      <w:divBdr>
        <w:top w:val="none" w:sz="0" w:space="0" w:color="auto"/>
        <w:left w:val="none" w:sz="0" w:space="0" w:color="auto"/>
        <w:bottom w:val="none" w:sz="0" w:space="0" w:color="auto"/>
        <w:right w:val="none" w:sz="0" w:space="0" w:color="auto"/>
      </w:divBdr>
    </w:div>
    <w:div w:id="433987620">
      <w:bodyDiv w:val="1"/>
      <w:marLeft w:val="0"/>
      <w:marRight w:val="0"/>
      <w:marTop w:val="0"/>
      <w:marBottom w:val="0"/>
      <w:divBdr>
        <w:top w:val="none" w:sz="0" w:space="0" w:color="auto"/>
        <w:left w:val="none" w:sz="0" w:space="0" w:color="auto"/>
        <w:bottom w:val="none" w:sz="0" w:space="0" w:color="auto"/>
        <w:right w:val="none" w:sz="0" w:space="0" w:color="auto"/>
      </w:divBdr>
    </w:div>
    <w:div w:id="444080586">
      <w:bodyDiv w:val="1"/>
      <w:marLeft w:val="0"/>
      <w:marRight w:val="0"/>
      <w:marTop w:val="0"/>
      <w:marBottom w:val="0"/>
      <w:divBdr>
        <w:top w:val="none" w:sz="0" w:space="0" w:color="auto"/>
        <w:left w:val="none" w:sz="0" w:space="0" w:color="auto"/>
        <w:bottom w:val="none" w:sz="0" w:space="0" w:color="auto"/>
        <w:right w:val="none" w:sz="0" w:space="0" w:color="auto"/>
      </w:divBdr>
    </w:div>
    <w:div w:id="445391321">
      <w:bodyDiv w:val="1"/>
      <w:marLeft w:val="0"/>
      <w:marRight w:val="0"/>
      <w:marTop w:val="0"/>
      <w:marBottom w:val="0"/>
      <w:divBdr>
        <w:top w:val="none" w:sz="0" w:space="0" w:color="auto"/>
        <w:left w:val="none" w:sz="0" w:space="0" w:color="auto"/>
        <w:bottom w:val="none" w:sz="0" w:space="0" w:color="auto"/>
        <w:right w:val="none" w:sz="0" w:space="0" w:color="auto"/>
      </w:divBdr>
    </w:div>
    <w:div w:id="447819781">
      <w:bodyDiv w:val="1"/>
      <w:marLeft w:val="0"/>
      <w:marRight w:val="0"/>
      <w:marTop w:val="0"/>
      <w:marBottom w:val="0"/>
      <w:divBdr>
        <w:top w:val="none" w:sz="0" w:space="0" w:color="auto"/>
        <w:left w:val="none" w:sz="0" w:space="0" w:color="auto"/>
        <w:bottom w:val="none" w:sz="0" w:space="0" w:color="auto"/>
        <w:right w:val="none" w:sz="0" w:space="0" w:color="auto"/>
      </w:divBdr>
      <w:divsChild>
        <w:div w:id="232006739">
          <w:marLeft w:val="0"/>
          <w:marRight w:val="0"/>
          <w:marTop w:val="0"/>
          <w:marBottom w:val="0"/>
          <w:divBdr>
            <w:top w:val="none" w:sz="0" w:space="0" w:color="auto"/>
            <w:left w:val="none" w:sz="0" w:space="0" w:color="auto"/>
            <w:bottom w:val="none" w:sz="0" w:space="0" w:color="auto"/>
            <w:right w:val="none" w:sz="0" w:space="0" w:color="auto"/>
          </w:divBdr>
        </w:div>
        <w:div w:id="424614619">
          <w:marLeft w:val="0"/>
          <w:marRight w:val="0"/>
          <w:marTop w:val="0"/>
          <w:marBottom w:val="0"/>
          <w:divBdr>
            <w:top w:val="none" w:sz="0" w:space="0" w:color="auto"/>
            <w:left w:val="none" w:sz="0" w:space="0" w:color="auto"/>
            <w:bottom w:val="none" w:sz="0" w:space="0" w:color="auto"/>
            <w:right w:val="none" w:sz="0" w:space="0" w:color="auto"/>
          </w:divBdr>
        </w:div>
        <w:div w:id="754132585">
          <w:marLeft w:val="0"/>
          <w:marRight w:val="0"/>
          <w:marTop w:val="0"/>
          <w:marBottom w:val="0"/>
          <w:divBdr>
            <w:top w:val="none" w:sz="0" w:space="0" w:color="auto"/>
            <w:left w:val="none" w:sz="0" w:space="0" w:color="auto"/>
            <w:bottom w:val="none" w:sz="0" w:space="0" w:color="auto"/>
            <w:right w:val="none" w:sz="0" w:space="0" w:color="auto"/>
          </w:divBdr>
        </w:div>
        <w:div w:id="1422987038">
          <w:marLeft w:val="0"/>
          <w:marRight w:val="0"/>
          <w:marTop w:val="0"/>
          <w:marBottom w:val="0"/>
          <w:divBdr>
            <w:top w:val="none" w:sz="0" w:space="0" w:color="auto"/>
            <w:left w:val="none" w:sz="0" w:space="0" w:color="auto"/>
            <w:bottom w:val="none" w:sz="0" w:space="0" w:color="auto"/>
            <w:right w:val="none" w:sz="0" w:space="0" w:color="auto"/>
          </w:divBdr>
        </w:div>
        <w:div w:id="1450201840">
          <w:marLeft w:val="0"/>
          <w:marRight w:val="0"/>
          <w:marTop w:val="0"/>
          <w:marBottom w:val="0"/>
          <w:divBdr>
            <w:top w:val="none" w:sz="0" w:space="0" w:color="auto"/>
            <w:left w:val="none" w:sz="0" w:space="0" w:color="auto"/>
            <w:bottom w:val="none" w:sz="0" w:space="0" w:color="auto"/>
            <w:right w:val="none" w:sz="0" w:space="0" w:color="auto"/>
          </w:divBdr>
        </w:div>
        <w:div w:id="1789081068">
          <w:marLeft w:val="0"/>
          <w:marRight w:val="0"/>
          <w:marTop w:val="0"/>
          <w:marBottom w:val="0"/>
          <w:divBdr>
            <w:top w:val="none" w:sz="0" w:space="0" w:color="auto"/>
            <w:left w:val="none" w:sz="0" w:space="0" w:color="auto"/>
            <w:bottom w:val="none" w:sz="0" w:space="0" w:color="auto"/>
            <w:right w:val="none" w:sz="0" w:space="0" w:color="auto"/>
          </w:divBdr>
          <w:divsChild>
            <w:div w:id="1400011097">
              <w:marLeft w:val="0"/>
              <w:marRight w:val="0"/>
              <w:marTop w:val="0"/>
              <w:marBottom w:val="0"/>
              <w:divBdr>
                <w:top w:val="none" w:sz="0" w:space="0" w:color="auto"/>
                <w:left w:val="none" w:sz="0" w:space="0" w:color="auto"/>
                <w:bottom w:val="none" w:sz="0" w:space="0" w:color="auto"/>
                <w:right w:val="none" w:sz="0" w:space="0" w:color="auto"/>
              </w:divBdr>
            </w:div>
            <w:div w:id="203760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82681">
      <w:bodyDiv w:val="1"/>
      <w:marLeft w:val="0"/>
      <w:marRight w:val="0"/>
      <w:marTop w:val="0"/>
      <w:marBottom w:val="0"/>
      <w:divBdr>
        <w:top w:val="none" w:sz="0" w:space="0" w:color="auto"/>
        <w:left w:val="none" w:sz="0" w:space="0" w:color="auto"/>
        <w:bottom w:val="none" w:sz="0" w:space="0" w:color="auto"/>
        <w:right w:val="none" w:sz="0" w:space="0" w:color="auto"/>
      </w:divBdr>
    </w:div>
    <w:div w:id="462234619">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506791887">
      <w:bodyDiv w:val="1"/>
      <w:marLeft w:val="0"/>
      <w:marRight w:val="0"/>
      <w:marTop w:val="0"/>
      <w:marBottom w:val="0"/>
      <w:divBdr>
        <w:top w:val="none" w:sz="0" w:space="0" w:color="auto"/>
        <w:left w:val="none" w:sz="0" w:space="0" w:color="auto"/>
        <w:bottom w:val="none" w:sz="0" w:space="0" w:color="auto"/>
        <w:right w:val="none" w:sz="0" w:space="0" w:color="auto"/>
      </w:divBdr>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20243307">
      <w:bodyDiv w:val="1"/>
      <w:marLeft w:val="0"/>
      <w:marRight w:val="0"/>
      <w:marTop w:val="0"/>
      <w:marBottom w:val="0"/>
      <w:divBdr>
        <w:top w:val="none" w:sz="0" w:space="0" w:color="auto"/>
        <w:left w:val="none" w:sz="0" w:space="0" w:color="auto"/>
        <w:bottom w:val="none" w:sz="0" w:space="0" w:color="auto"/>
        <w:right w:val="none" w:sz="0" w:space="0" w:color="auto"/>
      </w:divBdr>
    </w:div>
    <w:div w:id="523785612">
      <w:bodyDiv w:val="1"/>
      <w:marLeft w:val="0"/>
      <w:marRight w:val="0"/>
      <w:marTop w:val="0"/>
      <w:marBottom w:val="0"/>
      <w:divBdr>
        <w:top w:val="none" w:sz="0" w:space="0" w:color="auto"/>
        <w:left w:val="none" w:sz="0" w:space="0" w:color="auto"/>
        <w:bottom w:val="none" w:sz="0" w:space="0" w:color="auto"/>
        <w:right w:val="none" w:sz="0" w:space="0" w:color="auto"/>
      </w:divBdr>
    </w:div>
    <w:div w:id="538975748">
      <w:bodyDiv w:val="1"/>
      <w:marLeft w:val="0"/>
      <w:marRight w:val="0"/>
      <w:marTop w:val="0"/>
      <w:marBottom w:val="0"/>
      <w:divBdr>
        <w:top w:val="none" w:sz="0" w:space="0" w:color="auto"/>
        <w:left w:val="none" w:sz="0" w:space="0" w:color="auto"/>
        <w:bottom w:val="none" w:sz="0" w:space="0" w:color="auto"/>
        <w:right w:val="none" w:sz="0" w:space="0" w:color="auto"/>
      </w:divBdr>
    </w:div>
    <w:div w:id="557667372">
      <w:bodyDiv w:val="1"/>
      <w:marLeft w:val="0"/>
      <w:marRight w:val="0"/>
      <w:marTop w:val="0"/>
      <w:marBottom w:val="0"/>
      <w:divBdr>
        <w:top w:val="none" w:sz="0" w:space="0" w:color="auto"/>
        <w:left w:val="none" w:sz="0" w:space="0" w:color="auto"/>
        <w:bottom w:val="none" w:sz="0" w:space="0" w:color="auto"/>
        <w:right w:val="none" w:sz="0" w:space="0" w:color="auto"/>
      </w:divBdr>
      <w:divsChild>
        <w:div w:id="1655598609">
          <w:marLeft w:val="0"/>
          <w:marRight w:val="0"/>
          <w:marTop w:val="0"/>
          <w:marBottom w:val="0"/>
          <w:divBdr>
            <w:top w:val="none" w:sz="0" w:space="0" w:color="auto"/>
            <w:left w:val="none" w:sz="0" w:space="0" w:color="auto"/>
            <w:bottom w:val="none" w:sz="0" w:space="0" w:color="auto"/>
            <w:right w:val="none" w:sz="0" w:space="0" w:color="auto"/>
          </w:divBdr>
        </w:div>
      </w:divsChild>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76862303">
      <w:bodyDiv w:val="1"/>
      <w:marLeft w:val="0"/>
      <w:marRight w:val="0"/>
      <w:marTop w:val="0"/>
      <w:marBottom w:val="0"/>
      <w:divBdr>
        <w:top w:val="none" w:sz="0" w:space="0" w:color="auto"/>
        <w:left w:val="none" w:sz="0" w:space="0" w:color="auto"/>
        <w:bottom w:val="none" w:sz="0" w:space="0" w:color="auto"/>
        <w:right w:val="none" w:sz="0" w:space="0" w:color="auto"/>
      </w:divBdr>
    </w:div>
    <w:div w:id="578443470">
      <w:bodyDiv w:val="1"/>
      <w:marLeft w:val="0"/>
      <w:marRight w:val="0"/>
      <w:marTop w:val="0"/>
      <w:marBottom w:val="0"/>
      <w:divBdr>
        <w:top w:val="none" w:sz="0" w:space="0" w:color="auto"/>
        <w:left w:val="none" w:sz="0" w:space="0" w:color="auto"/>
        <w:bottom w:val="none" w:sz="0" w:space="0" w:color="auto"/>
        <w:right w:val="none" w:sz="0" w:space="0" w:color="auto"/>
      </w:divBdr>
    </w:div>
    <w:div w:id="588199060">
      <w:bodyDiv w:val="1"/>
      <w:marLeft w:val="0"/>
      <w:marRight w:val="0"/>
      <w:marTop w:val="0"/>
      <w:marBottom w:val="0"/>
      <w:divBdr>
        <w:top w:val="none" w:sz="0" w:space="0" w:color="auto"/>
        <w:left w:val="none" w:sz="0" w:space="0" w:color="auto"/>
        <w:bottom w:val="none" w:sz="0" w:space="0" w:color="auto"/>
        <w:right w:val="none" w:sz="0" w:space="0" w:color="auto"/>
      </w:divBdr>
    </w:div>
    <w:div w:id="592857969">
      <w:bodyDiv w:val="1"/>
      <w:marLeft w:val="0"/>
      <w:marRight w:val="0"/>
      <w:marTop w:val="0"/>
      <w:marBottom w:val="0"/>
      <w:divBdr>
        <w:top w:val="none" w:sz="0" w:space="0" w:color="auto"/>
        <w:left w:val="none" w:sz="0" w:space="0" w:color="auto"/>
        <w:bottom w:val="none" w:sz="0" w:space="0" w:color="auto"/>
        <w:right w:val="none" w:sz="0" w:space="0" w:color="auto"/>
      </w:divBdr>
    </w:div>
    <w:div w:id="597181422">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3904549">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6411">
      <w:bodyDiv w:val="1"/>
      <w:marLeft w:val="0"/>
      <w:marRight w:val="0"/>
      <w:marTop w:val="0"/>
      <w:marBottom w:val="0"/>
      <w:divBdr>
        <w:top w:val="none" w:sz="0" w:space="0" w:color="auto"/>
        <w:left w:val="none" w:sz="0" w:space="0" w:color="auto"/>
        <w:bottom w:val="none" w:sz="0" w:space="0" w:color="auto"/>
        <w:right w:val="none" w:sz="0" w:space="0" w:color="auto"/>
      </w:divBdr>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28978415">
      <w:bodyDiv w:val="1"/>
      <w:marLeft w:val="0"/>
      <w:marRight w:val="0"/>
      <w:marTop w:val="0"/>
      <w:marBottom w:val="0"/>
      <w:divBdr>
        <w:top w:val="none" w:sz="0" w:space="0" w:color="auto"/>
        <w:left w:val="none" w:sz="0" w:space="0" w:color="auto"/>
        <w:bottom w:val="none" w:sz="0" w:space="0" w:color="auto"/>
        <w:right w:val="none" w:sz="0" w:space="0" w:color="auto"/>
      </w:divBdr>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79430700">
      <w:bodyDiv w:val="1"/>
      <w:marLeft w:val="0"/>
      <w:marRight w:val="0"/>
      <w:marTop w:val="0"/>
      <w:marBottom w:val="0"/>
      <w:divBdr>
        <w:top w:val="none" w:sz="0" w:space="0" w:color="auto"/>
        <w:left w:val="none" w:sz="0" w:space="0" w:color="auto"/>
        <w:bottom w:val="none" w:sz="0" w:space="0" w:color="auto"/>
        <w:right w:val="none" w:sz="0" w:space="0" w:color="auto"/>
      </w:divBdr>
    </w:div>
    <w:div w:id="687831463">
      <w:bodyDiv w:val="1"/>
      <w:marLeft w:val="0"/>
      <w:marRight w:val="0"/>
      <w:marTop w:val="0"/>
      <w:marBottom w:val="0"/>
      <w:divBdr>
        <w:top w:val="none" w:sz="0" w:space="0" w:color="auto"/>
        <w:left w:val="none" w:sz="0" w:space="0" w:color="auto"/>
        <w:bottom w:val="none" w:sz="0" w:space="0" w:color="auto"/>
        <w:right w:val="none" w:sz="0" w:space="0" w:color="auto"/>
      </w:divBdr>
    </w:div>
    <w:div w:id="692465352">
      <w:bodyDiv w:val="1"/>
      <w:marLeft w:val="0"/>
      <w:marRight w:val="0"/>
      <w:marTop w:val="0"/>
      <w:marBottom w:val="0"/>
      <w:divBdr>
        <w:top w:val="none" w:sz="0" w:space="0" w:color="auto"/>
        <w:left w:val="none" w:sz="0" w:space="0" w:color="auto"/>
        <w:bottom w:val="none" w:sz="0" w:space="0" w:color="auto"/>
        <w:right w:val="none" w:sz="0" w:space="0" w:color="auto"/>
      </w:divBdr>
    </w:div>
    <w:div w:id="695158676">
      <w:bodyDiv w:val="1"/>
      <w:marLeft w:val="0"/>
      <w:marRight w:val="0"/>
      <w:marTop w:val="0"/>
      <w:marBottom w:val="0"/>
      <w:divBdr>
        <w:top w:val="none" w:sz="0" w:space="0" w:color="auto"/>
        <w:left w:val="none" w:sz="0" w:space="0" w:color="auto"/>
        <w:bottom w:val="none" w:sz="0" w:space="0" w:color="auto"/>
        <w:right w:val="none" w:sz="0" w:space="0" w:color="auto"/>
      </w:divBdr>
    </w:div>
    <w:div w:id="697580514">
      <w:bodyDiv w:val="1"/>
      <w:marLeft w:val="0"/>
      <w:marRight w:val="0"/>
      <w:marTop w:val="0"/>
      <w:marBottom w:val="0"/>
      <w:divBdr>
        <w:top w:val="none" w:sz="0" w:space="0" w:color="auto"/>
        <w:left w:val="none" w:sz="0" w:space="0" w:color="auto"/>
        <w:bottom w:val="none" w:sz="0" w:space="0" w:color="auto"/>
        <w:right w:val="none" w:sz="0" w:space="0" w:color="auto"/>
      </w:divBdr>
    </w:div>
    <w:div w:id="698505139">
      <w:bodyDiv w:val="1"/>
      <w:marLeft w:val="0"/>
      <w:marRight w:val="0"/>
      <w:marTop w:val="0"/>
      <w:marBottom w:val="0"/>
      <w:divBdr>
        <w:top w:val="none" w:sz="0" w:space="0" w:color="auto"/>
        <w:left w:val="none" w:sz="0" w:space="0" w:color="auto"/>
        <w:bottom w:val="none" w:sz="0" w:space="0" w:color="auto"/>
        <w:right w:val="none" w:sz="0" w:space="0" w:color="auto"/>
      </w:divBdr>
    </w:div>
    <w:div w:id="705715011">
      <w:bodyDiv w:val="1"/>
      <w:marLeft w:val="0"/>
      <w:marRight w:val="0"/>
      <w:marTop w:val="0"/>
      <w:marBottom w:val="0"/>
      <w:divBdr>
        <w:top w:val="none" w:sz="0" w:space="0" w:color="auto"/>
        <w:left w:val="none" w:sz="0" w:space="0" w:color="auto"/>
        <w:bottom w:val="none" w:sz="0" w:space="0" w:color="auto"/>
        <w:right w:val="none" w:sz="0" w:space="0" w:color="auto"/>
      </w:divBdr>
    </w:div>
    <w:div w:id="706569312">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17438847">
      <w:bodyDiv w:val="1"/>
      <w:marLeft w:val="0"/>
      <w:marRight w:val="0"/>
      <w:marTop w:val="0"/>
      <w:marBottom w:val="0"/>
      <w:divBdr>
        <w:top w:val="none" w:sz="0" w:space="0" w:color="auto"/>
        <w:left w:val="none" w:sz="0" w:space="0" w:color="auto"/>
        <w:bottom w:val="none" w:sz="0" w:space="0" w:color="auto"/>
        <w:right w:val="none" w:sz="0" w:space="0" w:color="auto"/>
      </w:divBdr>
    </w:div>
    <w:div w:id="736051710">
      <w:bodyDiv w:val="1"/>
      <w:marLeft w:val="0"/>
      <w:marRight w:val="0"/>
      <w:marTop w:val="0"/>
      <w:marBottom w:val="0"/>
      <w:divBdr>
        <w:top w:val="none" w:sz="0" w:space="0" w:color="auto"/>
        <w:left w:val="none" w:sz="0" w:space="0" w:color="auto"/>
        <w:bottom w:val="none" w:sz="0" w:space="0" w:color="auto"/>
        <w:right w:val="none" w:sz="0" w:space="0" w:color="auto"/>
      </w:divBdr>
    </w:div>
    <w:div w:id="738747888">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67697752">
      <w:bodyDiv w:val="1"/>
      <w:marLeft w:val="0"/>
      <w:marRight w:val="0"/>
      <w:marTop w:val="0"/>
      <w:marBottom w:val="0"/>
      <w:divBdr>
        <w:top w:val="none" w:sz="0" w:space="0" w:color="auto"/>
        <w:left w:val="none" w:sz="0" w:space="0" w:color="auto"/>
        <w:bottom w:val="none" w:sz="0" w:space="0" w:color="auto"/>
        <w:right w:val="none" w:sz="0" w:space="0" w:color="auto"/>
      </w:divBdr>
    </w:div>
    <w:div w:id="779375591">
      <w:bodyDiv w:val="1"/>
      <w:marLeft w:val="0"/>
      <w:marRight w:val="0"/>
      <w:marTop w:val="0"/>
      <w:marBottom w:val="0"/>
      <w:divBdr>
        <w:top w:val="none" w:sz="0" w:space="0" w:color="auto"/>
        <w:left w:val="none" w:sz="0" w:space="0" w:color="auto"/>
        <w:bottom w:val="none" w:sz="0" w:space="0" w:color="auto"/>
        <w:right w:val="none" w:sz="0" w:space="0" w:color="auto"/>
      </w:divBdr>
    </w:div>
    <w:div w:id="779959174">
      <w:bodyDiv w:val="1"/>
      <w:marLeft w:val="0"/>
      <w:marRight w:val="0"/>
      <w:marTop w:val="0"/>
      <w:marBottom w:val="0"/>
      <w:divBdr>
        <w:top w:val="none" w:sz="0" w:space="0" w:color="auto"/>
        <w:left w:val="none" w:sz="0" w:space="0" w:color="auto"/>
        <w:bottom w:val="none" w:sz="0" w:space="0" w:color="auto"/>
        <w:right w:val="none" w:sz="0" w:space="0" w:color="auto"/>
      </w:divBdr>
    </w:div>
    <w:div w:id="815494226">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3547124">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2573744">
      <w:bodyDiv w:val="1"/>
      <w:marLeft w:val="0"/>
      <w:marRight w:val="0"/>
      <w:marTop w:val="0"/>
      <w:marBottom w:val="0"/>
      <w:divBdr>
        <w:top w:val="none" w:sz="0" w:space="0" w:color="auto"/>
        <w:left w:val="none" w:sz="0" w:space="0" w:color="auto"/>
        <w:bottom w:val="none" w:sz="0" w:space="0" w:color="auto"/>
        <w:right w:val="none" w:sz="0" w:space="0" w:color="auto"/>
      </w:divBdr>
    </w:div>
    <w:div w:id="837619504">
      <w:bodyDiv w:val="1"/>
      <w:marLeft w:val="0"/>
      <w:marRight w:val="0"/>
      <w:marTop w:val="0"/>
      <w:marBottom w:val="0"/>
      <w:divBdr>
        <w:top w:val="none" w:sz="0" w:space="0" w:color="auto"/>
        <w:left w:val="none" w:sz="0" w:space="0" w:color="auto"/>
        <w:bottom w:val="none" w:sz="0" w:space="0" w:color="auto"/>
        <w:right w:val="none" w:sz="0" w:space="0" w:color="auto"/>
      </w:divBdr>
    </w:div>
    <w:div w:id="841430471">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88763571">
      <w:bodyDiv w:val="1"/>
      <w:marLeft w:val="0"/>
      <w:marRight w:val="0"/>
      <w:marTop w:val="0"/>
      <w:marBottom w:val="0"/>
      <w:divBdr>
        <w:top w:val="none" w:sz="0" w:space="0" w:color="auto"/>
        <w:left w:val="none" w:sz="0" w:space="0" w:color="auto"/>
        <w:bottom w:val="none" w:sz="0" w:space="0" w:color="auto"/>
        <w:right w:val="none" w:sz="0" w:space="0" w:color="auto"/>
      </w:divBdr>
    </w:div>
    <w:div w:id="894778605">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41301283">
      <w:bodyDiv w:val="1"/>
      <w:marLeft w:val="0"/>
      <w:marRight w:val="0"/>
      <w:marTop w:val="0"/>
      <w:marBottom w:val="0"/>
      <w:divBdr>
        <w:top w:val="none" w:sz="0" w:space="0" w:color="auto"/>
        <w:left w:val="none" w:sz="0" w:space="0" w:color="auto"/>
        <w:bottom w:val="none" w:sz="0" w:space="0" w:color="auto"/>
        <w:right w:val="none" w:sz="0" w:space="0" w:color="auto"/>
      </w:divBdr>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2196184">
      <w:bodyDiv w:val="1"/>
      <w:marLeft w:val="0"/>
      <w:marRight w:val="0"/>
      <w:marTop w:val="0"/>
      <w:marBottom w:val="0"/>
      <w:divBdr>
        <w:top w:val="none" w:sz="0" w:space="0" w:color="auto"/>
        <w:left w:val="none" w:sz="0" w:space="0" w:color="auto"/>
        <w:bottom w:val="none" w:sz="0" w:space="0" w:color="auto"/>
        <w:right w:val="none" w:sz="0" w:space="0" w:color="auto"/>
      </w:divBdr>
    </w:div>
    <w:div w:id="984504770">
      <w:bodyDiv w:val="1"/>
      <w:marLeft w:val="0"/>
      <w:marRight w:val="0"/>
      <w:marTop w:val="0"/>
      <w:marBottom w:val="0"/>
      <w:divBdr>
        <w:top w:val="none" w:sz="0" w:space="0" w:color="auto"/>
        <w:left w:val="none" w:sz="0" w:space="0" w:color="auto"/>
        <w:bottom w:val="none" w:sz="0" w:space="0" w:color="auto"/>
        <w:right w:val="none" w:sz="0" w:space="0" w:color="auto"/>
      </w:divBdr>
    </w:div>
    <w:div w:id="993724763">
      <w:bodyDiv w:val="1"/>
      <w:marLeft w:val="0"/>
      <w:marRight w:val="0"/>
      <w:marTop w:val="0"/>
      <w:marBottom w:val="0"/>
      <w:divBdr>
        <w:top w:val="none" w:sz="0" w:space="0" w:color="auto"/>
        <w:left w:val="none" w:sz="0" w:space="0" w:color="auto"/>
        <w:bottom w:val="none" w:sz="0" w:space="0" w:color="auto"/>
        <w:right w:val="none" w:sz="0" w:space="0" w:color="auto"/>
      </w:divBdr>
    </w:div>
    <w:div w:id="1016268751">
      <w:bodyDiv w:val="1"/>
      <w:marLeft w:val="0"/>
      <w:marRight w:val="0"/>
      <w:marTop w:val="0"/>
      <w:marBottom w:val="0"/>
      <w:divBdr>
        <w:top w:val="none" w:sz="0" w:space="0" w:color="auto"/>
        <w:left w:val="none" w:sz="0" w:space="0" w:color="auto"/>
        <w:bottom w:val="none" w:sz="0" w:space="0" w:color="auto"/>
        <w:right w:val="none" w:sz="0" w:space="0" w:color="auto"/>
      </w:divBdr>
    </w:div>
    <w:div w:id="1018501845">
      <w:bodyDiv w:val="1"/>
      <w:marLeft w:val="0"/>
      <w:marRight w:val="0"/>
      <w:marTop w:val="0"/>
      <w:marBottom w:val="0"/>
      <w:divBdr>
        <w:top w:val="none" w:sz="0" w:space="0" w:color="auto"/>
        <w:left w:val="none" w:sz="0" w:space="0" w:color="auto"/>
        <w:bottom w:val="none" w:sz="0" w:space="0" w:color="auto"/>
        <w:right w:val="none" w:sz="0" w:space="0" w:color="auto"/>
      </w:divBdr>
    </w:div>
    <w:div w:id="1021738481">
      <w:bodyDiv w:val="1"/>
      <w:marLeft w:val="0"/>
      <w:marRight w:val="0"/>
      <w:marTop w:val="0"/>
      <w:marBottom w:val="0"/>
      <w:divBdr>
        <w:top w:val="none" w:sz="0" w:space="0" w:color="auto"/>
        <w:left w:val="none" w:sz="0" w:space="0" w:color="auto"/>
        <w:bottom w:val="none" w:sz="0" w:space="0" w:color="auto"/>
        <w:right w:val="none" w:sz="0" w:space="0" w:color="auto"/>
      </w:divBdr>
    </w:div>
    <w:div w:id="1028146691">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57901615">
      <w:bodyDiv w:val="1"/>
      <w:marLeft w:val="0"/>
      <w:marRight w:val="0"/>
      <w:marTop w:val="0"/>
      <w:marBottom w:val="0"/>
      <w:divBdr>
        <w:top w:val="none" w:sz="0" w:space="0" w:color="auto"/>
        <w:left w:val="none" w:sz="0" w:space="0" w:color="auto"/>
        <w:bottom w:val="none" w:sz="0" w:space="0" w:color="auto"/>
        <w:right w:val="none" w:sz="0" w:space="0" w:color="auto"/>
      </w:divBdr>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6668614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87267687">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5999531">
      <w:bodyDiv w:val="1"/>
      <w:marLeft w:val="0"/>
      <w:marRight w:val="0"/>
      <w:marTop w:val="0"/>
      <w:marBottom w:val="0"/>
      <w:divBdr>
        <w:top w:val="none" w:sz="0" w:space="0" w:color="auto"/>
        <w:left w:val="none" w:sz="0" w:space="0" w:color="auto"/>
        <w:bottom w:val="none" w:sz="0" w:space="0" w:color="auto"/>
        <w:right w:val="none" w:sz="0" w:space="0" w:color="auto"/>
      </w:divBdr>
    </w:div>
    <w:div w:id="1106265776">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09666621">
      <w:bodyDiv w:val="1"/>
      <w:marLeft w:val="0"/>
      <w:marRight w:val="0"/>
      <w:marTop w:val="0"/>
      <w:marBottom w:val="0"/>
      <w:divBdr>
        <w:top w:val="none" w:sz="0" w:space="0" w:color="auto"/>
        <w:left w:val="none" w:sz="0" w:space="0" w:color="auto"/>
        <w:bottom w:val="none" w:sz="0" w:space="0" w:color="auto"/>
        <w:right w:val="none" w:sz="0" w:space="0" w:color="auto"/>
      </w:divBdr>
      <w:divsChild>
        <w:div w:id="64694600">
          <w:marLeft w:val="0"/>
          <w:marRight w:val="0"/>
          <w:marTop w:val="0"/>
          <w:marBottom w:val="101"/>
          <w:divBdr>
            <w:top w:val="none" w:sz="0" w:space="0" w:color="auto"/>
            <w:left w:val="none" w:sz="0" w:space="0" w:color="auto"/>
            <w:bottom w:val="none" w:sz="0" w:space="0" w:color="auto"/>
            <w:right w:val="none" w:sz="0" w:space="0" w:color="auto"/>
          </w:divBdr>
        </w:div>
        <w:div w:id="240070679">
          <w:marLeft w:val="0"/>
          <w:marRight w:val="0"/>
          <w:marTop w:val="0"/>
          <w:marBottom w:val="101"/>
          <w:divBdr>
            <w:top w:val="none" w:sz="0" w:space="0" w:color="auto"/>
            <w:left w:val="none" w:sz="0" w:space="0" w:color="auto"/>
            <w:bottom w:val="none" w:sz="0" w:space="0" w:color="auto"/>
            <w:right w:val="none" w:sz="0" w:space="0" w:color="auto"/>
          </w:divBdr>
        </w:div>
        <w:div w:id="266472392">
          <w:marLeft w:val="0"/>
          <w:marRight w:val="0"/>
          <w:marTop w:val="0"/>
          <w:marBottom w:val="101"/>
          <w:divBdr>
            <w:top w:val="none" w:sz="0" w:space="0" w:color="auto"/>
            <w:left w:val="none" w:sz="0" w:space="0" w:color="auto"/>
            <w:bottom w:val="none" w:sz="0" w:space="0" w:color="auto"/>
            <w:right w:val="none" w:sz="0" w:space="0" w:color="auto"/>
          </w:divBdr>
        </w:div>
        <w:div w:id="1185749985">
          <w:marLeft w:val="0"/>
          <w:marRight w:val="0"/>
          <w:marTop w:val="0"/>
          <w:marBottom w:val="101"/>
          <w:divBdr>
            <w:top w:val="none" w:sz="0" w:space="0" w:color="auto"/>
            <w:left w:val="none" w:sz="0" w:space="0" w:color="auto"/>
            <w:bottom w:val="none" w:sz="0" w:space="0" w:color="auto"/>
            <w:right w:val="none" w:sz="0" w:space="0" w:color="auto"/>
          </w:divBdr>
        </w:div>
        <w:div w:id="1386566435">
          <w:marLeft w:val="0"/>
          <w:marRight w:val="0"/>
          <w:marTop w:val="0"/>
          <w:marBottom w:val="101"/>
          <w:divBdr>
            <w:top w:val="none" w:sz="0" w:space="0" w:color="auto"/>
            <w:left w:val="none" w:sz="0" w:space="0" w:color="auto"/>
            <w:bottom w:val="none" w:sz="0" w:space="0" w:color="auto"/>
            <w:right w:val="none" w:sz="0" w:space="0" w:color="auto"/>
          </w:divBdr>
        </w:div>
        <w:div w:id="1916477250">
          <w:marLeft w:val="0"/>
          <w:marRight w:val="0"/>
          <w:marTop w:val="101"/>
          <w:marBottom w:val="101"/>
          <w:divBdr>
            <w:top w:val="none" w:sz="0" w:space="0" w:color="auto"/>
            <w:left w:val="none" w:sz="0" w:space="0" w:color="auto"/>
            <w:bottom w:val="none" w:sz="0" w:space="0" w:color="auto"/>
            <w:right w:val="none" w:sz="0" w:space="0" w:color="auto"/>
          </w:divBdr>
        </w:div>
        <w:div w:id="2074624051">
          <w:marLeft w:val="0"/>
          <w:marRight w:val="0"/>
          <w:marTop w:val="0"/>
          <w:marBottom w:val="101"/>
          <w:divBdr>
            <w:top w:val="none" w:sz="0" w:space="0" w:color="auto"/>
            <w:left w:val="none" w:sz="0" w:space="0" w:color="auto"/>
            <w:bottom w:val="none" w:sz="0" w:space="0" w:color="auto"/>
            <w:right w:val="none" w:sz="0" w:space="0" w:color="auto"/>
          </w:divBdr>
        </w:div>
        <w:div w:id="2115902824">
          <w:marLeft w:val="0"/>
          <w:marRight w:val="0"/>
          <w:marTop w:val="0"/>
          <w:marBottom w:val="101"/>
          <w:divBdr>
            <w:top w:val="none" w:sz="0" w:space="0" w:color="auto"/>
            <w:left w:val="none" w:sz="0" w:space="0" w:color="auto"/>
            <w:bottom w:val="none" w:sz="0" w:space="0" w:color="auto"/>
            <w:right w:val="none" w:sz="0" w:space="0" w:color="auto"/>
          </w:divBdr>
        </w:div>
      </w:divsChild>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14322829">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35832330">
      <w:bodyDiv w:val="1"/>
      <w:marLeft w:val="0"/>
      <w:marRight w:val="0"/>
      <w:marTop w:val="0"/>
      <w:marBottom w:val="0"/>
      <w:divBdr>
        <w:top w:val="none" w:sz="0" w:space="0" w:color="auto"/>
        <w:left w:val="none" w:sz="0" w:space="0" w:color="auto"/>
        <w:bottom w:val="none" w:sz="0" w:space="0" w:color="auto"/>
        <w:right w:val="none" w:sz="0" w:space="0" w:color="auto"/>
      </w:divBdr>
    </w:div>
    <w:div w:id="1138381319">
      <w:bodyDiv w:val="1"/>
      <w:marLeft w:val="0"/>
      <w:marRight w:val="0"/>
      <w:marTop w:val="0"/>
      <w:marBottom w:val="0"/>
      <w:divBdr>
        <w:top w:val="none" w:sz="0" w:space="0" w:color="auto"/>
        <w:left w:val="none" w:sz="0" w:space="0" w:color="auto"/>
        <w:bottom w:val="none" w:sz="0" w:space="0" w:color="auto"/>
        <w:right w:val="none" w:sz="0" w:space="0" w:color="auto"/>
      </w:divBdr>
    </w:div>
    <w:div w:id="1163858389">
      <w:bodyDiv w:val="1"/>
      <w:marLeft w:val="0"/>
      <w:marRight w:val="0"/>
      <w:marTop w:val="0"/>
      <w:marBottom w:val="0"/>
      <w:divBdr>
        <w:top w:val="none" w:sz="0" w:space="0" w:color="auto"/>
        <w:left w:val="none" w:sz="0" w:space="0" w:color="auto"/>
        <w:bottom w:val="none" w:sz="0" w:space="0" w:color="auto"/>
        <w:right w:val="none" w:sz="0" w:space="0" w:color="auto"/>
      </w:divBdr>
    </w:div>
    <w:div w:id="1175152606">
      <w:bodyDiv w:val="1"/>
      <w:marLeft w:val="0"/>
      <w:marRight w:val="0"/>
      <w:marTop w:val="0"/>
      <w:marBottom w:val="0"/>
      <w:divBdr>
        <w:top w:val="none" w:sz="0" w:space="0" w:color="auto"/>
        <w:left w:val="none" w:sz="0" w:space="0" w:color="auto"/>
        <w:bottom w:val="none" w:sz="0" w:space="0" w:color="auto"/>
        <w:right w:val="none" w:sz="0" w:space="0" w:color="auto"/>
      </w:divBdr>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191528987">
      <w:bodyDiv w:val="1"/>
      <w:marLeft w:val="0"/>
      <w:marRight w:val="0"/>
      <w:marTop w:val="0"/>
      <w:marBottom w:val="0"/>
      <w:divBdr>
        <w:top w:val="none" w:sz="0" w:space="0" w:color="auto"/>
        <w:left w:val="none" w:sz="0" w:space="0" w:color="auto"/>
        <w:bottom w:val="none" w:sz="0" w:space="0" w:color="auto"/>
        <w:right w:val="none" w:sz="0" w:space="0" w:color="auto"/>
      </w:divBdr>
    </w:div>
    <w:div w:id="1193808140">
      <w:bodyDiv w:val="1"/>
      <w:marLeft w:val="0"/>
      <w:marRight w:val="0"/>
      <w:marTop w:val="0"/>
      <w:marBottom w:val="0"/>
      <w:divBdr>
        <w:top w:val="none" w:sz="0" w:space="0" w:color="auto"/>
        <w:left w:val="none" w:sz="0" w:space="0" w:color="auto"/>
        <w:bottom w:val="none" w:sz="0" w:space="0" w:color="auto"/>
        <w:right w:val="none" w:sz="0" w:space="0" w:color="auto"/>
      </w:divBdr>
      <w:divsChild>
        <w:div w:id="1769696809">
          <w:marLeft w:val="0"/>
          <w:marRight w:val="0"/>
          <w:marTop w:val="0"/>
          <w:marBottom w:val="0"/>
          <w:divBdr>
            <w:top w:val="none" w:sz="0" w:space="0" w:color="auto"/>
            <w:left w:val="none" w:sz="0" w:space="0" w:color="auto"/>
            <w:bottom w:val="none" w:sz="0" w:space="0" w:color="auto"/>
            <w:right w:val="none" w:sz="0" w:space="0" w:color="auto"/>
          </w:divBdr>
          <w:divsChild>
            <w:div w:id="513961587">
              <w:marLeft w:val="0"/>
              <w:marRight w:val="0"/>
              <w:marTop w:val="0"/>
              <w:marBottom w:val="0"/>
              <w:divBdr>
                <w:top w:val="none" w:sz="0" w:space="0" w:color="auto"/>
                <w:left w:val="none" w:sz="0" w:space="0" w:color="auto"/>
                <w:bottom w:val="none" w:sz="0" w:space="0" w:color="auto"/>
                <w:right w:val="none" w:sz="0" w:space="0" w:color="auto"/>
              </w:divBdr>
            </w:div>
            <w:div w:id="1457141780">
              <w:marLeft w:val="0"/>
              <w:marRight w:val="0"/>
              <w:marTop w:val="0"/>
              <w:marBottom w:val="0"/>
              <w:divBdr>
                <w:top w:val="none" w:sz="0" w:space="0" w:color="auto"/>
                <w:left w:val="none" w:sz="0" w:space="0" w:color="auto"/>
                <w:bottom w:val="none" w:sz="0" w:space="0" w:color="auto"/>
                <w:right w:val="none" w:sz="0" w:space="0" w:color="auto"/>
              </w:divBdr>
              <w:divsChild>
                <w:div w:id="1785922883">
                  <w:marLeft w:val="0"/>
                  <w:marRight w:val="0"/>
                  <w:marTop w:val="0"/>
                  <w:marBottom w:val="0"/>
                  <w:divBdr>
                    <w:top w:val="none" w:sz="0" w:space="0" w:color="auto"/>
                    <w:left w:val="none" w:sz="0" w:space="0" w:color="auto"/>
                    <w:bottom w:val="none" w:sz="0" w:space="0" w:color="auto"/>
                    <w:right w:val="none" w:sz="0" w:space="0" w:color="auto"/>
                  </w:divBdr>
                </w:div>
                <w:div w:id="1997033817">
                  <w:marLeft w:val="0"/>
                  <w:marRight w:val="0"/>
                  <w:marTop w:val="0"/>
                  <w:marBottom w:val="0"/>
                  <w:divBdr>
                    <w:top w:val="none" w:sz="0" w:space="0" w:color="auto"/>
                    <w:left w:val="none" w:sz="0" w:space="0" w:color="auto"/>
                    <w:bottom w:val="none" w:sz="0" w:space="0" w:color="auto"/>
                    <w:right w:val="none" w:sz="0" w:space="0" w:color="auto"/>
                  </w:divBdr>
                </w:div>
                <w:div w:id="1852253881">
                  <w:marLeft w:val="0"/>
                  <w:marRight w:val="0"/>
                  <w:marTop w:val="0"/>
                  <w:marBottom w:val="0"/>
                  <w:divBdr>
                    <w:top w:val="none" w:sz="0" w:space="0" w:color="auto"/>
                    <w:left w:val="none" w:sz="0" w:space="0" w:color="auto"/>
                    <w:bottom w:val="none" w:sz="0" w:space="0" w:color="auto"/>
                    <w:right w:val="none" w:sz="0" w:space="0" w:color="auto"/>
                  </w:divBdr>
                </w:div>
                <w:div w:id="14682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892827">
      <w:bodyDiv w:val="1"/>
      <w:marLeft w:val="0"/>
      <w:marRight w:val="0"/>
      <w:marTop w:val="0"/>
      <w:marBottom w:val="0"/>
      <w:divBdr>
        <w:top w:val="none" w:sz="0" w:space="0" w:color="auto"/>
        <w:left w:val="none" w:sz="0" w:space="0" w:color="auto"/>
        <w:bottom w:val="none" w:sz="0" w:space="0" w:color="auto"/>
        <w:right w:val="none" w:sz="0" w:space="0" w:color="auto"/>
      </w:divBdr>
    </w:div>
    <w:div w:id="1203636878">
      <w:bodyDiv w:val="1"/>
      <w:marLeft w:val="0"/>
      <w:marRight w:val="0"/>
      <w:marTop w:val="0"/>
      <w:marBottom w:val="0"/>
      <w:divBdr>
        <w:top w:val="none" w:sz="0" w:space="0" w:color="auto"/>
        <w:left w:val="none" w:sz="0" w:space="0" w:color="auto"/>
        <w:bottom w:val="none" w:sz="0" w:space="0" w:color="auto"/>
        <w:right w:val="none" w:sz="0" w:space="0" w:color="auto"/>
      </w:divBdr>
    </w:div>
    <w:div w:id="1204098208">
      <w:bodyDiv w:val="1"/>
      <w:marLeft w:val="0"/>
      <w:marRight w:val="0"/>
      <w:marTop w:val="0"/>
      <w:marBottom w:val="0"/>
      <w:divBdr>
        <w:top w:val="none" w:sz="0" w:space="0" w:color="auto"/>
        <w:left w:val="none" w:sz="0" w:space="0" w:color="auto"/>
        <w:bottom w:val="none" w:sz="0" w:space="0" w:color="auto"/>
        <w:right w:val="none" w:sz="0" w:space="0" w:color="auto"/>
      </w:divBdr>
    </w:div>
    <w:div w:id="1211920281">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52936588">
      <w:bodyDiv w:val="1"/>
      <w:marLeft w:val="0"/>
      <w:marRight w:val="0"/>
      <w:marTop w:val="0"/>
      <w:marBottom w:val="0"/>
      <w:divBdr>
        <w:top w:val="none" w:sz="0" w:space="0" w:color="auto"/>
        <w:left w:val="none" w:sz="0" w:space="0" w:color="auto"/>
        <w:bottom w:val="none" w:sz="0" w:space="0" w:color="auto"/>
        <w:right w:val="none" w:sz="0" w:space="0" w:color="auto"/>
      </w:divBdr>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65266585">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87782933">
      <w:bodyDiv w:val="1"/>
      <w:marLeft w:val="0"/>
      <w:marRight w:val="0"/>
      <w:marTop w:val="0"/>
      <w:marBottom w:val="0"/>
      <w:divBdr>
        <w:top w:val="none" w:sz="0" w:space="0" w:color="auto"/>
        <w:left w:val="none" w:sz="0" w:space="0" w:color="auto"/>
        <w:bottom w:val="none" w:sz="0" w:space="0" w:color="auto"/>
        <w:right w:val="none" w:sz="0" w:space="0" w:color="auto"/>
      </w:divBdr>
    </w:div>
    <w:div w:id="1298102849">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16227595">
      <w:bodyDiv w:val="1"/>
      <w:marLeft w:val="0"/>
      <w:marRight w:val="0"/>
      <w:marTop w:val="0"/>
      <w:marBottom w:val="0"/>
      <w:divBdr>
        <w:top w:val="none" w:sz="0" w:space="0" w:color="auto"/>
        <w:left w:val="none" w:sz="0" w:space="0" w:color="auto"/>
        <w:bottom w:val="none" w:sz="0" w:space="0" w:color="auto"/>
        <w:right w:val="none" w:sz="0" w:space="0" w:color="auto"/>
      </w:divBdr>
    </w:div>
    <w:div w:id="1347051708">
      <w:bodyDiv w:val="1"/>
      <w:marLeft w:val="0"/>
      <w:marRight w:val="0"/>
      <w:marTop w:val="0"/>
      <w:marBottom w:val="0"/>
      <w:divBdr>
        <w:top w:val="none" w:sz="0" w:space="0" w:color="auto"/>
        <w:left w:val="none" w:sz="0" w:space="0" w:color="auto"/>
        <w:bottom w:val="none" w:sz="0" w:space="0" w:color="auto"/>
        <w:right w:val="none" w:sz="0" w:space="0" w:color="auto"/>
      </w:divBdr>
    </w:div>
    <w:div w:id="1352805812">
      <w:bodyDiv w:val="1"/>
      <w:marLeft w:val="0"/>
      <w:marRight w:val="0"/>
      <w:marTop w:val="0"/>
      <w:marBottom w:val="0"/>
      <w:divBdr>
        <w:top w:val="none" w:sz="0" w:space="0" w:color="auto"/>
        <w:left w:val="none" w:sz="0" w:space="0" w:color="auto"/>
        <w:bottom w:val="none" w:sz="0" w:space="0" w:color="auto"/>
        <w:right w:val="none" w:sz="0" w:space="0" w:color="auto"/>
      </w:divBdr>
    </w:div>
    <w:div w:id="1355427572">
      <w:bodyDiv w:val="1"/>
      <w:marLeft w:val="0"/>
      <w:marRight w:val="0"/>
      <w:marTop w:val="0"/>
      <w:marBottom w:val="0"/>
      <w:divBdr>
        <w:top w:val="none" w:sz="0" w:space="0" w:color="auto"/>
        <w:left w:val="none" w:sz="0" w:space="0" w:color="auto"/>
        <w:bottom w:val="none" w:sz="0" w:space="0" w:color="auto"/>
        <w:right w:val="none" w:sz="0" w:space="0" w:color="auto"/>
      </w:divBdr>
    </w:div>
    <w:div w:id="1360620710">
      <w:bodyDiv w:val="1"/>
      <w:marLeft w:val="0"/>
      <w:marRight w:val="0"/>
      <w:marTop w:val="0"/>
      <w:marBottom w:val="0"/>
      <w:divBdr>
        <w:top w:val="none" w:sz="0" w:space="0" w:color="auto"/>
        <w:left w:val="none" w:sz="0" w:space="0" w:color="auto"/>
        <w:bottom w:val="none" w:sz="0" w:space="0" w:color="auto"/>
        <w:right w:val="none" w:sz="0" w:space="0" w:color="auto"/>
      </w:divBdr>
    </w:div>
    <w:div w:id="1368028089">
      <w:bodyDiv w:val="1"/>
      <w:marLeft w:val="0"/>
      <w:marRight w:val="0"/>
      <w:marTop w:val="0"/>
      <w:marBottom w:val="0"/>
      <w:divBdr>
        <w:top w:val="none" w:sz="0" w:space="0" w:color="auto"/>
        <w:left w:val="none" w:sz="0" w:space="0" w:color="auto"/>
        <w:bottom w:val="none" w:sz="0" w:space="0" w:color="auto"/>
        <w:right w:val="none" w:sz="0" w:space="0" w:color="auto"/>
      </w:divBdr>
    </w:div>
    <w:div w:id="1371030659">
      <w:bodyDiv w:val="1"/>
      <w:marLeft w:val="0"/>
      <w:marRight w:val="0"/>
      <w:marTop w:val="0"/>
      <w:marBottom w:val="0"/>
      <w:divBdr>
        <w:top w:val="none" w:sz="0" w:space="0" w:color="auto"/>
        <w:left w:val="none" w:sz="0" w:space="0" w:color="auto"/>
        <w:bottom w:val="none" w:sz="0" w:space="0" w:color="auto"/>
        <w:right w:val="none" w:sz="0" w:space="0" w:color="auto"/>
      </w:divBdr>
    </w:div>
    <w:div w:id="1381977517">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1881838">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03404340">
      <w:bodyDiv w:val="1"/>
      <w:marLeft w:val="0"/>
      <w:marRight w:val="0"/>
      <w:marTop w:val="0"/>
      <w:marBottom w:val="0"/>
      <w:divBdr>
        <w:top w:val="none" w:sz="0" w:space="0" w:color="auto"/>
        <w:left w:val="none" w:sz="0" w:space="0" w:color="auto"/>
        <w:bottom w:val="none" w:sz="0" w:space="0" w:color="auto"/>
        <w:right w:val="none" w:sz="0" w:space="0" w:color="auto"/>
      </w:divBdr>
    </w:div>
    <w:div w:id="1408382671">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15470644">
      <w:bodyDiv w:val="1"/>
      <w:marLeft w:val="0"/>
      <w:marRight w:val="0"/>
      <w:marTop w:val="0"/>
      <w:marBottom w:val="0"/>
      <w:divBdr>
        <w:top w:val="none" w:sz="0" w:space="0" w:color="auto"/>
        <w:left w:val="none" w:sz="0" w:space="0" w:color="auto"/>
        <w:bottom w:val="none" w:sz="0" w:space="0" w:color="auto"/>
        <w:right w:val="none" w:sz="0" w:space="0" w:color="auto"/>
      </w:divBdr>
    </w:div>
    <w:div w:id="1426537671">
      <w:bodyDiv w:val="1"/>
      <w:marLeft w:val="0"/>
      <w:marRight w:val="0"/>
      <w:marTop w:val="0"/>
      <w:marBottom w:val="0"/>
      <w:divBdr>
        <w:top w:val="none" w:sz="0" w:space="0" w:color="auto"/>
        <w:left w:val="none" w:sz="0" w:space="0" w:color="auto"/>
        <w:bottom w:val="none" w:sz="0" w:space="0" w:color="auto"/>
        <w:right w:val="none" w:sz="0" w:space="0" w:color="auto"/>
      </w:divBdr>
    </w:div>
    <w:div w:id="1451164861">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459840605">
      <w:bodyDiv w:val="1"/>
      <w:marLeft w:val="0"/>
      <w:marRight w:val="0"/>
      <w:marTop w:val="0"/>
      <w:marBottom w:val="0"/>
      <w:divBdr>
        <w:top w:val="none" w:sz="0" w:space="0" w:color="auto"/>
        <w:left w:val="none" w:sz="0" w:space="0" w:color="auto"/>
        <w:bottom w:val="none" w:sz="0" w:space="0" w:color="auto"/>
        <w:right w:val="none" w:sz="0" w:space="0" w:color="auto"/>
      </w:divBdr>
    </w:div>
    <w:div w:id="1465081865">
      <w:bodyDiv w:val="1"/>
      <w:marLeft w:val="0"/>
      <w:marRight w:val="0"/>
      <w:marTop w:val="0"/>
      <w:marBottom w:val="0"/>
      <w:divBdr>
        <w:top w:val="none" w:sz="0" w:space="0" w:color="auto"/>
        <w:left w:val="none" w:sz="0" w:space="0" w:color="auto"/>
        <w:bottom w:val="none" w:sz="0" w:space="0" w:color="auto"/>
        <w:right w:val="none" w:sz="0" w:space="0" w:color="auto"/>
      </w:divBdr>
    </w:div>
    <w:div w:id="1508402490">
      <w:bodyDiv w:val="1"/>
      <w:marLeft w:val="0"/>
      <w:marRight w:val="0"/>
      <w:marTop w:val="0"/>
      <w:marBottom w:val="0"/>
      <w:divBdr>
        <w:top w:val="none" w:sz="0" w:space="0" w:color="auto"/>
        <w:left w:val="none" w:sz="0" w:space="0" w:color="auto"/>
        <w:bottom w:val="none" w:sz="0" w:space="0" w:color="auto"/>
        <w:right w:val="none" w:sz="0" w:space="0" w:color="auto"/>
      </w:divBdr>
    </w:div>
    <w:div w:id="1531143762">
      <w:bodyDiv w:val="1"/>
      <w:marLeft w:val="0"/>
      <w:marRight w:val="0"/>
      <w:marTop w:val="0"/>
      <w:marBottom w:val="0"/>
      <w:divBdr>
        <w:top w:val="none" w:sz="0" w:space="0" w:color="auto"/>
        <w:left w:val="none" w:sz="0" w:space="0" w:color="auto"/>
        <w:bottom w:val="none" w:sz="0" w:space="0" w:color="auto"/>
        <w:right w:val="none" w:sz="0" w:space="0" w:color="auto"/>
      </w:divBdr>
    </w:div>
    <w:div w:id="1541479384">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5143342">
      <w:bodyDiv w:val="1"/>
      <w:marLeft w:val="0"/>
      <w:marRight w:val="0"/>
      <w:marTop w:val="0"/>
      <w:marBottom w:val="0"/>
      <w:divBdr>
        <w:top w:val="none" w:sz="0" w:space="0" w:color="auto"/>
        <w:left w:val="none" w:sz="0" w:space="0" w:color="auto"/>
        <w:bottom w:val="none" w:sz="0" w:space="0" w:color="auto"/>
        <w:right w:val="none" w:sz="0" w:space="0" w:color="auto"/>
      </w:divBdr>
    </w:div>
    <w:div w:id="1546872482">
      <w:bodyDiv w:val="1"/>
      <w:marLeft w:val="0"/>
      <w:marRight w:val="0"/>
      <w:marTop w:val="0"/>
      <w:marBottom w:val="0"/>
      <w:divBdr>
        <w:top w:val="none" w:sz="0" w:space="0" w:color="auto"/>
        <w:left w:val="none" w:sz="0" w:space="0" w:color="auto"/>
        <w:bottom w:val="none" w:sz="0" w:space="0" w:color="auto"/>
        <w:right w:val="none" w:sz="0" w:space="0" w:color="auto"/>
      </w:divBdr>
    </w:div>
    <w:div w:id="1550607632">
      <w:bodyDiv w:val="1"/>
      <w:marLeft w:val="0"/>
      <w:marRight w:val="0"/>
      <w:marTop w:val="0"/>
      <w:marBottom w:val="0"/>
      <w:divBdr>
        <w:top w:val="none" w:sz="0" w:space="0" w:color="auto"/>
        <w:left w:val="none" w:sz="0" w:space="0" w:color="auto"/>
        <w:bottom w:val="none" w:sz="0" w:space="0" w:color="auto"/>
        <w:right w:val="none" w:sz="0" w:space="0" w:color="auto"/>
      </w:divBdr>
    </w:div>
    <w:div w:id="1560941968">
      <w:bodyDiv w:val="1"/>
      <w:marLeft w:val="0"/>
      <w:marRight w:val="0"/>
      <w:marTop w:val="0"/>
      <w:marBottom w:val="0"/>
      <w:divBdr>
        <w:top w:val="none" w:sz="0" w:space="0" w:color="auto"/>
        <w:left w:val="none" w:sz="0" w:space="0" w:color="auto"/>
        <w:bottom w:val="none" w:sz="0" w:space="0" w:color="auto"/>
        <w:right w:val="none" w:sz="0" w:space="0" w:color="auto"/>
      </w:divBdr>
    </w:div>
    <w:div w:id="1561480589">
      <w:bodyDiv w:val="1"/>
      <w:marLeft w:val="0"/>
      <w:marRight w:val="0"/>
      <w:marTop w:val="0"/>
      <w:marBottom w:val="0"/>
      <w:divBdr>
        <w:top w:val="none" w:sz="0" w:space="0" w:color="auto"/>
        <w:left w:val="none" w:sz="0" w:space="0" w:color="auto"/>
        <w:bottom w:val="none" w:sz="0" w:space="0" w:color="auto"/>
        <w:right w:val="none" w:sz="0" w:space="0" w:color="auto"/>
      </w:divBdr>
    </w:div>
    <w:div w:id="1566838156">
      <w:bodyDiv w:val="1"/>
      <w:marLeft w:val="0"/>
      <w:marRight w:val="0"/>
      <w:marTop w:val="0"/>
      <w:marBottom w:val="0"/>
      <w:divBdr>
        <w:top w:val="none" w:sz="0" w:space="0" w:color="auto"/>
        <w:left w:val="none" w:sz="0" w:space="0" w:color="auto"/>
        <w:bottom w:val="none" w:sz="0" w:space="0" w:color="auto"/>
        <w:right w:val="none" w:sz="0" w:space="0" w:color="auto"/>
      </w:divBdr>
    </w:div>
    <w:div w:id="1592592106">
      <w:bodyDiv w:val="1"/>
      <w:marLeft w:val="0"/>
      <w:marRight w:val="0"/>
      <w:marTop w:val="0"/>
      <w:marBottom w:val="0"/>
      <w:divBdr>
        <w:top w:val="none" w:sz="0" w:space="0" w:color="auto"/>
        <w:left w:val="none" w:sz="0" w:space="0" w:color="auto"/>
        <w:bottom w:val="none" w:sz="0" w:space="0" w:color="auto"/>
        <w:right w:val="none" w:sz="0" w:space="0" w:color="auto"/>
      </w:divBdr>
    </w:div>
    <w:div w:id="1594163829">
      <w:bodyDiv w:val="1"/>
      <w:marLeft w:val="0"/>
      <w:marRight w:val="0"/>
      <w:marTop w:val="0"/>
      <w:marBottom w:val="0"/>
      <w:divBdr>
        <w:top w:val="none" w:sz="0" w:space="0" w:color="auto"/>
        <w:left w:val="none" w:sz="0" w:space="0" w:color="auto"/>
        <w:bottom w:val="none" w:sz="0" w:space="0" w:color="auto"/>
        <w:right w:val="none" w:sz="0" w:space="0" w:color="auto"/>
      </w:divBdr>
      <w:divsChild>
        <w:div w:id="763112413">
          <w:marLeft w:val="0"/>
          <w:marRight w:val="0"/>
          <w:marTop w:val="0"/>
          <w:marBottom w:val="0"/>
          <w:divBdr>
            <w:top w:val="none" w:sz="0" w:space="0" w:color="auto"/>
            <w:left w:val="none" w:sz="0" w:space="0" w:color="auto"/>
            <w:bottom w:val="none" w:sz="0" w:space="0" w:color="auto"/>
            <w:right w:val="none" w:sz="0" w:space="0" w:color="auto"/>
          </w:divBdr>
        </w:div>
      </w:divsChild>
    </w:div>
    <w:div w:id="1595820278">
      <w:bodyDiv w:val="1"/>
      <w:marLeft w:val="0"/>
      <w:marRight w:val="0"/>
      <w:marTop w:val="0"/>
      <w:marBottom w:val="0"/>
      <w:divBdr>
        <w:top w:val="none" w:sz="0" w:space="0" w:color="auto"/>
        <w:left w:val="none" w:sz="0" w:space="0" w:color="auto"/>
        <w:bottom w:val="none" w:sz="0" w:space="0" w:color="auto"/>
        <w:right w:val="none" w:sz="0" w:space="0" w:color="auto"/>
      </w:divBdr>
    </w:div>
    <w:div w:id="1608459773">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29773965">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31087639">
      <w:bodyDiv w:val="1"/>
      <w:marLeft w:val="0"/>
      <w:marRight w:val="0"/>
      <w:marTop w:val="0"/>
      <w:marBottom w:val="0"/>
      <w:divBdr>
        <w:top w:val="none" w:sz="0" w:space="0" w:color="auto"/>
        <w:left w:val="none" w:sz="0" w:space="0" w:color="auto"/>
        <w:bottom w:val="none" w:sz="0" w:space="0" w:color="auto"/>
        <w:right w:val="none" w:sz="0" w:space="0" w:color="auto"/>
      </w:divBdr>
    </w:div>
    <w:div w:id="1633294260">
      <w:bodyDiv w:val="1"/>
      <w:marLeft w:val="0"/>
      <w:marRight w:val="0"/>
      <w:marTop w:val="0"/>
      <w:marBottom w:val="0"/>
      <w:divBdr>
        <w:top w:val="none" w:sz="0" w:space="0" w:color="auto"/>
        <w:left w:val="none" w:sz="0" w:space="0" w:color="auto"/>
        <w:bottom w:val="none" w:sz="0" w:space="0" w:color="auto"/>
        <w:right w:val="none" w:sz="0" w:space="0" w:color="auto"/>
      </w:divBdr>
    </w:div>
    <w:div w:id="1652638778">
      <w:bodyDiv w:val="1"/>
      <w:marLeft w:val="0"/>
      <w:marRight w:val="0"/>
      <w:marTop w:val="0"/>
      <w:marBottom w:val="0"/>
      <w:divBdr>
        <w:top w:val="none" w:sz="0" w:space="0" w:color="auto"/>
        <w:left w:val="none" w:sz="0" w:space="0" w:color="auto"/>
        <w:bottom w:val="none" w:sz="0" w:space="0" w:color="auto"/>
        <w:right w:val="none" w:sz="0" w:space="0" w:color="auto"/>
      </w:divBdr>
    </w:div>
    <w:div w:id="1653830885">
      <w:bodyDiv w:val="1"/>
      <w:marLeft w:val="0"/>
      <w:marRight w:val="0"/>
      <w:marTop w:val="0"/>
      <w:marBottom w:val="0"/>
      <w:divBdr>
        <w:top w:val="none" w:sz="0" w:space="0" w:color="auto"/>
        <w:left w:val="none" w:sz="0" w:space="0" w:color="auto"/>
        <w:bottom w:val="none" w:sz="0" w:space="0" w:color="auto"/>
        <w:right w:val="none" w:sz="0" w:space="0" w:color="auto"/>
      </w:divBdr>
    </w:div>
    <w:div w:id="1654020652">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3677225">
      <w:bodyDiv w:val="1"/>
      <w:marLeft w:val="0"/>
      <w:marRight w:val="0"/>
      <w:marTop w:val="0"/>
      <w:marBottom w:val="0"/>
      <w:divBdr>
        <w:top w:val="none" w:sz="0" w:space="0" w:color="auto"/>
        <w:left w:val="none" w:sz="0" w:space="0" w:color="auto"/>
        <w:bottom w:val="none" w:sz="0" w:space="0" w:color="auto"/>
        <w:right w:val="none" w:sz="0" w:space="0" w:color="auto"/>
      </w:divBdr>
    </w:div>
    <w:div w:id="1673987326">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0645445">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34035744">
      <w:bodyDiv w:val="1"/>
      <w:marLeft w:val="0"/>
      <w:marRight w:val="0"/>
      <w:marTop w:val="0"/>
      <w:marBottom w:val="0"/>
      <w:divBdr>
        <w:top w:val="none" w:sz="0" w:space="0" w:color="auto"/>
        <w:left w:val="none" w:sz="0" w:space="0" w:color="auto"/>
        <w:bottom w:val="none" w:sz="0" w:space="0" w:color="auto"/>
        <w:right w:val="none" w:sz="0" w:space="0" w:color="auto"/>
      </w:divBdr>
    </w:div>
    <w:div w:id="1735279476">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8724523">
      <w:bodyDiv w:val="1"/>
      <w:marLeft w:val="0"/>
      <w:marRight w:val="0"/>
      <w:marTop w:val="0"/>
      <w:marBottom w:val="0"/>
      <w:divBdr>
        <w:top w:val="none" w:sz="0" w:space="0" w:color="auto"/>
        <w:left w:val="none" w:sz="0" w:space="0" w:color="auto"/>
        <w:bottom w:val="none" w:sz="0" w:space="0" w:color="auto"/>
        <w:right w:val="none" w:sz="0" w:space="0" w:color="auto"/>
      </w:divBdr>
    </w:div>
    <w:div w:id="1760447611">
      <w:bodyDiv w:val="1"/>
      <w:marLeft w:val="0"/>
      <w:marRight w:val="0"/>
      <w:marTop w:val="0"/>
      <w:marBottom w:val="0"/>
      <w:divBdr>
        <w:top w:val="none" w:sz="0" w:space="0" w:color="auto"/>
        <w:left w:val="none" w:sz="0" w:space="0" w:color="auto"/>
        <w:bottom w:val="none" w:sz="0" w:space="0" w:color="auto"/>
        <w:right w:val="none" w:sz="0" w:space="0" w:color="auto"/>
      </w:divBdr>
    </w:div>
    <w:div w:id="1760515711">
      <w:bodyDiv w:val="1"/>
      <w:marLeft w:val="0"/>
      <w:marRight w:val="0"/>
      <w:marTop w:val="0"/>
      <w:marBottom w:val="0"/>
      <w:divBdr>
        <w:top w:val="none" w:sz="0" w:space="0" w:color="auto"/>
        <w:left w:val="none" w:sz="0" w:space="0" w:color="auto"/>
        <w:bottom w:val="none" w:sz="0" w:space="0" w:color="auto"/>
        <w:right w:val="none" w:sz="0" w:space="0" w:color="auto"/>
      </w:divBdr>
    </w:div>
    <w:div w:id="1766533391">
      <w:bodyDiv w:val="1"/>
      <w:marLeft w:val="0"/>
      <w:marRight w:val="0"/>
      <w:marTop w:val="0"/>
      <w:marBottom w:val="0"/>
      <w:divBdr>
        <w:top w:val="none" w:sz="0" w:space="0" w:color="auto"/>
        <w:left w:val="none" w:sz="0" w:space="0" w:color="auto"/>
        <w:bottom w:val="none" w:sz="0" w:space="0" w:color="auto"/>
        <w:right w:val="none" w:sz="0" w:space="0" w:color="auto"/>
      </w:divBdr>
    </w:div>
    <w:div w:id="1775319060">
      <w:bodyDiv w:val="1"/>
      <w:marLeft w:val="0"/>
      <w:marRight w:val="0"/>
      <w:marTop w:val="0"/>
      <w:marBottom w:val="0"/>
      <w:divBdr>
        <w:top w:val="none" w:sz="0" w:space="0" w:color="auto"/>
        <w:left w:val="none" w:sz="0" w:space="0" w:color="auto"/>
        <w:bottom w:val="none" w:sz="0" w:space="0" w:color="auto"/>
        <w:right w:val="none" w:sz="0" w:space="0" w:color="auto"/>
      </w:divBdr>
    </w:div>
    <w:div w:id="1778672057">
      <w:bodyDiv w:val="1"/>
      <w:marLeft w:val="0"/>
      <w:marRight w:val="0"/>
      <w:marTop w:val="0"/>
      <w:marBottom w:val="0"/>
      <w:divBdr>
        <w:top w:val="none" w:sz="0" w:space="0" w:color="auto"/>
        <w:left w:val="none" w:sz="0" w:space="0" w:color="auto"/>
        <w:bottom w:val="none" w:sz="0" w:space="0" w:color="auto"/>
        <w:right w:val="none" w:sz="0" w:space="0" w:color="auto"/>
      </w:divBdr>
    </w:div>
    <w:div w:id="1798445621">
      <w:bodyDiv w:val="1"/>
      <w:marLeft w:val="0"/>
      <w:marRight w:val="0"/>
      <w:marTop w:val="0"/>
      <w:marBottom w:val="0"/>
      <w:divBdr>
        <w:top w:val="none" w:sz="0" w:space="0" w:color="auto"/>
        <w:left w:val="none" w:sz="0" w:space="0" w:color="auto"/>
        <w:bottom w:val="none" w:sz="0" w:space="0" w:color="auto"/>
        <w:right w:val="none" w:sz="0" w:space="0" w:color="auto"/>
      </w:divBdr>
    </w:div>
    <w:div w:id="1800343087">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14060659">
      <w:bodyDiv w:val="1"/>
      <w:marLeft w:val="0"/>
      <w:marRight w:val="0"/>
      <w:marTop w:val="0"/>
      <w:marBottom w:val="0"/>
      <w:divBdr>
        <w:top w:val="none" w:sz="0" w:space="0" w:color="auto"/>
        <w:left w:val="none" w:sz="0" w:space="0" w:color="auto"/>
        <w:bottom w:val="none" w:sz="0" w:space="0" w:color="auto"/>
        <w:right w:val="none" w:sz="0" w:space="0" w:color="auto"/>
      </w:divBdr>
    </w:div>
    <w:div w:id="1819957617">
      <w:bodyDiv w:val="1"/>
      <w:marLeft w:val="0"/>
      <w:marRight w:val="0"/>
      <w:marTop w:val="0"/>
      <w:marBottom w:val="0"/>
      <w:divBdr>
        <w:top w:val="none" w:sz="0" w:space="0" w:color="auto"/>
        <w:left w:val="none" w:sz="0" w:space="0" w:color="auto"/>
        <w:bottom w:val="none" w:sz="0" w:space="0" w:color="auto"/>
        <w:right w:val="none" w:sz="0" w:space="0" w:color="auto"/>
      </w:divBdr>
    </w:div>
    <w:div w:id="1826436048">
      <w:bodyDiv w:val="1"/>
      <w:marLeft w:val="0"/>
      <w:marRight w:val="0"/>
      <w:marTop w:val="0"/>
      <w:marBottom w:val="0"/>
      <w:divBdr>
        <w:top w:val="none" w:sz="0" w:space="0" w:color="auto"/>
        <w:left w:val="none" w:sz="0" w:space="0" w:color="auto"/>
        <w:bottom w:val="none" w:sz="0" w:space="0" w:color="auto"/>
        <w:right w:val="none" w:sz="0" w:space="0" w:color="auto"/>
      </w:divBdr>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7012232">
      <w:bodyDiv w:val="1"/>
      <w:marLeft w:val="0"/>
      <w:marRight w:val="0"/>
      <w:marTop w:val="0"/>
      <w:marBottom w:val="0"/>
      <w:divBdr>
        <w:top w:val="none" w:sz="0" w:space="0" w:color="auto"/>
        <w:left w:val="none" w:sz="0" w:space="0" w:color="auto"/>
        <w:bottom w:val="none" w:sz="0" w:space="0" w:color="auto"/>
        <w:right w:val="none" w:sz="0" w:space="0" w:color="auto"/>
      </w:divBdr>
    </w:div>
    <w:div w:id="1849099219">
      <w:bodyDiv w:val="1"/>
      <w:marLeft w:val="0"/>
      <w:marRight w:val="0"/>
      <w:marTop w:val="0"/>
      <w:marBottom w:val="0"/>
      <w:divBdr>
        <w:top w:val="none" w:sz="0" w:space="0" w:color="auto"/>
        <w:left w:val="none" w:sz="0" w:space="0" w:color="auto"/>
        <w:bottom w:val="none" w:sz="0" w:space="0" w:color="auto"/>
        <w:right w:val="none" w:sz="0" w:space="0" w:color="auto"/>
      </w:divBdr>
    </w:div>
    <w:div w:id="1854569413">
      <w:bodyDiv w:val="1"/>
      <w:marLeft w:val="0"/>
      <w:marRight w:val="0"/>
      <w:marTop w:val="0"/>
      <w:marBottom w:val="0"/>
      <w:divBdr>
        <w:top w:val="none" w:sz="0" w:space="0" w:color="auto"/>
        <w:left w:val="none" w:sz="0" w:space="0" w:color="auto"/>
        <w:bottom w:val="none" w:sz="0" w:space="0" w:color="auto"/>
        <w:right w:val="none" w:sz="0" w:space="0" w:color="auto"/>
      </w:divBdr>
    </w:div>
    <w:div w:id="1859999106">
      <w:bodyDiv w:val="1"/>
      <w:marLeft w:val="0"/>
      <w:marRight w:val="0"/>
      <w:marTop w:val="0"/>
      <w:marBottom w:val="0"/>
      <w:divBdr>
        <w:top w:val="none" w:sz="0" w:space="0" w:color="auto"/>
        <w:left w:val="none" w:sz="0" w:space="0" w:color="auto"/>
        <w:bottom w:val="none" w:sz="0" w:space="0" w:color="auto"/>
        <w:right w:val="none" w:sz="0" w:space="0" w:color="auto"/>
      </w:divBdr>
    </w:div>
    <w:div w:id="1874607344">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12079821">
      <w:bodyDiv w:val="1"/>
      <w:marLeft w:val="0"/>
      <w:marRight w:val="0"/>
      <w:marTop w:val="0"/>
      <w:marBottom w:val="0"/>
      <w:divBdr>
        <w:top w:val="none" w:sz="0" w:space="0" w:color="auto"/>
        <w:left w:val="none" w:sz="0" w:space="0" w:color="auto"/>
        <w:bottom w:val="none" w:sz="0" w:space="0" w:color="auto"/>
        <w:right w:val="none" w:sz="0" w:space="0" w:color="auto"/>
      </w:divBdr>
    </w:div>
    <w:div w:id="1918321279">
      <w:bodyDiv w:val="1"/>
      <w:marLeft w:val="0"/>
      <w:marRight w:val="0"/>
      <w:marTop w:val="0"/>
      <w:marBottom w:val="0"/>
      <w:divBdr>
        <w:top w:val="none" w:sz="0" w:space="0" w:color="auto"/>
        <w:left w:val="none" w:sz="0" w:space="0" w:color="auto"/>
        <w:bottom w:val="none" w:sz="0" w:space="0" w:color="auto"/>
        <w:right w:val="none" w:sz="0" w:space="0" w:color="auto"/>
      </w:divBdr>
    </w:div>
    <w:div w:id="1925069899">
      <w:bodyDiv w:val="1"/>
      <w:marLeft w:val="0"/>
      <w:marRight w:val="0"/>
      <w:marTop w:val="0"/>
      <w:marBottom w:val="0"/>
      <w:divBdr>
        <w:top w:val="none" w:sz="0" w:space="0" w:color="auto"/>
        <w:left w:val="none" w:sz="0" w:space="0" w:color="auto"/>
        <w:bottom w:val="none" w:sz="0" w:space="0" w:color="auto"/>
        <w:right w:val="none" w:sz="0" w:space="0" w:color="auto"/>
      </w:divBdr>
    </w:div>
    <w:div w:id="1932736702">
      <w:bodyDiv w:val="1"/>
      <w:marLeft w:val="0"/>
      <w:marRight w:val="0"/>
      <w:marTop w:val="0"/>
      <w:marBottom w:val="0"/>
      <w:divBdr>
        <w:top w:val="none" w:sz="0" w:space="0" w:color="auto"/>
        <w:left w:val="none" w:sz="0" w:space="0" w:color="auto"/>
        <w:bottom w:val="none" w:sz="0" w:space="0" w:color="auto"/>
        <w:right w:val="none" w:sz="0" w:space="0" w:color="auto"/>
      </w:divBdr>
    </w:div>
    <w:div w:id="1936863219">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59413704">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00384380">
      <w:bodyDiv w:val="1"/>
      <w:marLeft w:val="0"/>
      <w:marRight w:val="0"/>
      <w:marTop w:val="0"/>
      <w:marBottom w:val="0"/>
      <w:divBdr>
        <w:top w:val="none" w:sz="0" w:space="0" w:color="auto"/>
        <w:left w:val="none" w:sz="0" w:space="0" w:color="auto"/>
        <w:bottom w:val="none" w:sz="0" w:space="0" w:color="auto"/>
        <w:right w:val="none" w:sz="0" w:space="0" w:color="auto"/>
      </w:divBdr>
    </w:div>
    <w:div w:id="2020891181">
      <w:bodyDiv w:val="1"/>
      <w:marLeft w:val="0"/>
      <w:marRight w:val="0"/>
      <w:marTop w:val="0"/>
      <w:marBottom w:val="0"/>
      <w:divBdr>
        <w:top w:val="none" w:sz="0" w:space="0" w:color="auto"/>
        <w:left w:val="none" w:sz="0" w:space="0" w:color="auto"/>
        <w:bottom w:val="none" w:sz="0" w:space="0" w:color="auto"/>
        <w:right w:val="none" w:sz="0" w:space="0" w:color="auto"/>
      </w:divBdr>
    </w:div>
    <w:div w:id="2030334367">
      <w:bodyDiv w:val="1"/>
      <w:marLeft w:val="0"/>
      <w:marRight w:val="0"/>
      <w:marTop w:val="0"/>
      <w:marBottom w:val="0"/>
      <w:divBdr>
        <w:top w:val="none" w:sz="0" w:space="0" w:color="auto"/>
        <w:left w:val="none" w:sz="0" w:space="0" w:color="auto"/>
        <w:bottom w:val="none" w:sz="0" w:space="0" w:color="auto"/>
        <w:right w:val="none" w:sz="0" w:space="0" w:color="auto"/>
      </w:divBdr>
    </w:div>
    <w:div w:id="2040232454">
      <w:bodyDiv w:val="1"/>
      <w:marLeft w:val="0"/>
      <w:marRight w:val="0"/>
      <w:marTop w:val="0"/>
      <w:marBottom w:val="0"/>
      <w:divBdr>
        <w:top w:val="none" w:sz="0" w:space="0" w:color="auto"/>
        <w:left w:val="none" w:sz="0" w:space="0" w:color="auto"/>
        <w:bottom w:val="none" w:sz="0" w:space="0" w:color="auto"/>
        <w:right w:val="none" w:sz="0" w:space="0" w:color="auto"/>
      </w:divBdr>
    </w:div>
    <w:div w:id="2051805091">
      <w:bodyDiv w:val="1"/>
      <w:marLeft w:val="0"/>
      <w:marRight w:val="0"/>
      <w:marTop w:val="0"/>
      <w:marBottom w:val="0"/>
      <w:divBdr>
        <w:top w:val="none" w:sz="0" w:space="0" w:color="auto"/>
        <w:left w:val="none" w:sz="0" w:space="0" w:color="auto"/>
        <w:bottom w:val="none" w:sz="0" w:space="0" w:color="auto"/>
        <w:right w:val="none" w:sz="0" w:space="0" w:color="auto"/>
      </w:divBdr>
    </w:div>
    <w:div w:id="2073187010">
      <w:bodyDiv w:val="1"/>
      <w:marLeft w:val="0"/>
      <w:marRight w:val="0"/>
      <w:marTop w:val="0"/>
      <w:marBottom w:val="0"/>
      <w:divBdr>
        <w:top w:val="none" w:sz="0" w:space="0" w:color="auto"/>
        <w:left w:val="none" w:sz="0" w:space="0" w:color="auto"/>
        <w:bottom w:val="none" w:sz="0" w:space="0" w:color="auto"/>
        <w:right w:val="none" w:sz="0" w:space="0" w:color="auto"/>
      </w:divBdr>
    </w:div>
    <w:div w:id="2082362659">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4599919">
      <w:bodyDiv w:val="1"/>
      <w:marLeft w:val="0"/>
      <w:marRight w:val="0"/>
      <w:marTop w:val="0"/>
      <w:marBottom w:val="0"/>
      <w:divBdr>
        <w:top w:val="none" w:sz="0" w:space="0" w:color="auto"/>
        <w:left w:val="none" w:sz="0" w:space="0" w:color="auto"/>
        <w:bottom w:val="none" w:sz="0" w:space="0" w:color="auto"/>
        <w:right w:val="none" w:sz="0" w:space="0" w:color="auto"/>
      </w:divBdr>
    </w:div>
    <w:div w:id="2084988066">
      <w:bodyDiv w:val="1"/>
      <w:marLeft w:val="0"/>
      <w:marRight w:val="0"/>
      <w:marTop w:val="0"/>
      <w:marBottom w:val="0"/>
      <w:divBdr>
        <w:top w:val="none" w:sz="0" w:space="0" w:color="auto"/>
        <w:left w:val="none" w:sz="0" w:space="0" w:color="auto"/>
        <w:bottom w:val="none" w:sz="0" w:space="0" w:color="auto"/>
        <w:right w:val="none" w:sz="0" w:space="0" w:color="auto"/>
      </w:divBdr>
    </w:div>
    <w:div w:id="2086562813">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22604358">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header" Target="header3.xml"/><Relationship Id="rId16" Type="http://schemas.openxmlformats.org/officeDocument/2006/relationships/hyperlink" Target="https://www.saimex.org.mx/saimex/solicitud/downloadAttach/907061.page" TargetMode="External"/><Relationship Id="rId11" Type="http://schemas.openxmlformats.org/officeDocument/2006/relationships/hyperlink" Target="https://www.saimex.org.mx/saimex/solicitud/downloadAttach/898266.page"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footer" Target="footer2.xml"/><Relationship Id="rId14" Type="http://schemas.openxmlformats.org/officeDocument/2006/relationships/hyperlink" Target="https://www.saimex.org.mx/saimex/solicitud/downloadAttach/903691.page" TargetMode="External"/><Relationship Id="rId22" Type="http://schemas.openxmlformats.org/officeDocument/2006/relationships/image" Target="media/image4.png"/><Relationship Id="rId27" Type="http://schemas.openxmlformats.org/officeDocument/2006/relationships/hyperlink" Target="http://consultas.ifai.org.mx/descargar.php?r=./pdf/resoluciones/2017/&amp;a=RRA%2022.pdf" TargetMode="Externa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hyperlink" Target="https://www.saimex.org.mx/saimex/solicitud/downloadAttach/883089.page" TargetMode="External"/><Relationship Id="rId51" Type="http://schemas.openxmlformats.org/officeDocument/2006/relationships/hyperlink" Target="http://cuautitlanizcalli.gob.mx/imiemh/" TargetMode="External"/><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hyperlink" Target="https://www.saimex.org.mx/saimex/solicitud/downloadAttach/900698.page" TargetMode="External"/><Relationship Id="rId17" Type="http://schemas.openxmlformats.org/officeDocument/2006/relationships/hyperlink" Target="https://www.saimex.org.mx/saimex/solicitud/downloadAttach/907062.page" TargetMode="External"/><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hyperlink" Target="https://www.saimex.org.mx/saimex/solicitud/downloadAttach/944648.page" TargetMode="External"/><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footer" Target="foot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aimex.org.mx/saimex/solicitud/downloadAttach/906570.page" TargetMode="External"/><Relationship Id="rId23" Type="http://schemas.openxmlformats.org/officeDocument/2006/relationships/image" Target="media/image5.png"/><Relationship Id="rId28" Type="http://schemas.openxmlformats.org/officeDocument/2006/relationships/hyperlink" Target="http://consultas.ifai.org.mx/descargar.php?r=./pdf/resoluciones/2017/&amp;a=RRA%202536.pdf" TargetMode="External"/><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5.png"/><Relationship Id="rId10" Type="http://schemas.openxmlformats.org/officeDocument/2006/relationships/image" Target="media/image1.png"/><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saimex.org.mx/saimex/solicitud/downloadAttach/883676.page" TargetMode="External"/><Relationship Id="rId13" Type="http://schemas.openxmlformats.org/officeDocument/2006/relationships/hyperlink" Target="https://www.saimex.org.mx/saimex/solicitud/downloadAttach/903639.page" TargetMode="External"/><Relationship Id="rId18" Type="http://schemas.openxmlformats.org/officeDocument/2006/relationships/hyperlink" Target="https://www.saimex.org.mx/saimex/solicitud/downloadAttach/907265.page"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consultas.ifai.org.mx/descargar.php?r=./pdf/resoluciones/2017/&amp;a=RRA%203482.pdf" TargetMode="External"/><Relationship Id="rId24" Type="http://schemas.openxmlformats.org/officeDocument/2006/relationships/image" Target="media/image6.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4.png"/><Relationship Id="rId87" Type="http://schemas.openxmlformats.org/officeDocument/2006/relationships/header" Target="header2.xml"/><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64.jpeg"/></Relationships>
</file>

<file path=word/_rels/header2.xml.rels><?xml version="1.0" encoding="UTF-8" standalone="yes"?>
<Relationships xmlns="http://schemas.openxmlformats.org/package/2006/relationships"><Relationship Id="rId2" Type="http://schemas.openxmlformats.org/officeDocument/2006/relationships/image" Target="media/image65.png"/><Relationship Id="rId1" Type="http://schemas.openxmlformats.org/officeDocument/2006/relationships/image" Target="media/image64.jpeg"/></Relationships>
</file>

<file path=word/_rels/header3.xml.rels><?xml version="1.0" encoding="UTF-8" standalone="yes"?>
<Relationships xmlns="http://schemas.openxmlformats.org/package/2006/relationships"><Relationship Id="rId2" Type="http://schemas.openxmlformats.org/officeDocument/2006/relationships/image" Target="media/image64.jpeg"/><Relationship Id="rId1" Type="http://schemas.openxmlformats.org/officeDocument/2006/relationships/image" Target="media/image6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E50B05-CCAA-4A9A-8618-61B188D7B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120</Pages>
  <Words>26458</Words>
  <Characters>145523</Characters>
  <Application>Microsoft Office Word</Application>
  <DocSecurity>0</DocSecurity>
  <Lines>1212</Lines>
  <Paragraphs>343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171638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Rocío Popoca</cp:lastModifiedBy>
  <cp:revision>11</cp:revision>
  <cp:lastPrinted>2020-01-22T19:55:00Z</cp:lastPrinted>
  <dcterms:created xsi:type="dcterms:W3CDTF">2020-09-11T21:37:00Z</dcterms:created>
  <dcterms:modified xsi:type="dcterms:W3CDTF">2020-10-21T18:38:00Z</dcterms:modified>
</cp:coreProperties>
</file>