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B36" w:rsidRDefault="0049607E">
      <w:pPr>
        <w:spacing w:beforeAutospacing="1" w:afterAutospacing="1" w:line="360" w:lineRule="auto"/>
        <w:jc w:val="both"/>
        <w:rPr>
          <w:rFonts w:ascii="Palatino Linotype" w:hAnsi="Palatino Linotype"/>
        </w:rPr>
      </w:pPr>
      <w:r>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veintiséis de agosto dos mil veinte.</w:t>
      </w:r>
    </w:p>
    <w:p w:rsidR="005A6B36" w:rsidRDefault="0049607E">
      <w:pPr>
        <w:spacing w:beforeAutospacing="1" w:afterAutospacing="1" w:line="360" w:lineRule="auto"/>
        <w:jc w:val="both"/>
        <w:rPr>
          <w:rFonts w:ascii="Palatino Linotype" w:hAnsi="Palatino Linotype"/>
        </w:rPr>
      </w:pPr>
      <w:r>
        <w:rPr>
          <w:rFonts w:ascii="Palatino Linotype" w:hAnsi="Palatino Linotype"/>
          <w:b/>
        </w:rPr>
        <w:t>VISTO</w:t>
      </w:r>
      <w:r>
        <w:rPr>
          <w:rFonts w:ascii="Palatino Linotype" w:hAnsi="Palatino Linotype"/>
        </w:rPr>
        <w:t xml:space="preserve"> el expediente formado con motivo del recurso de revisión</w:t>
      </w:r>
      <w:r>
        <w:rPr>
          <w:rFonts w:ascii="Verdana" w:hAnsi="Verdana"/>
          <w:b/>
          <w:bCs/>
          <w:color w:val="FF0000"/>
        </w:rPr>
        <w:t xml:space="preserve"> </w:t>
      </w:r>
      <w:r>
        <w:rPr>
          <w:rFonts w:ascii="Palatino Linotype" w:hAnsi="Palatino Linotype"/>
          <w:b/>
          <w:bCs/>
        </w:rPr>
        <w:t>01517/INFOEM/IP/RR/2020</w:t>
      </w:r>
      <w:r>
        <w:rPr>
          <w:rFonts w:ascii="Palatino Linotype" w:hAnsi="Palatino Linotype"/>
        </w:rPr>
        <w:t>, promovido por el C.</w:t>
      </w:r>
      <w:r w:rsidRPr="0049607E">
        <w:rPr>
          <w:rFonts w:ascii="Palatino Linotype" w:hAnsi="Palatino Linotype"/>
          <w:b/>
        </w:rPr>
        <w:t xml:space="preserve"> </w:t>
      </w:r>
      <w:r>
        <w:rPr>
          <w:rFonts w:ascii="Palatino Linotype" w:hAnsi="Palatino Linotype"/>
          <w:b/>
        </w:rPr>
        <w:t>Xxxxx Xxxxxxxx Xxxxxx Xxxxx</w:t>
      </w:r>
      <w:r>
        <w:rPr>
          <w:rFonts w:ascii="Palatino Linotype" w:hAnsi="Palatino Linotype"/>
        </w:rPr>
        <w:t>,</w:t>
      </w:r>
      <w:r>
        <w:rPr>
          <w:rFonts w:ascii="Palatino Linotype" w:hAnsi="Palatino Linotype" w:cs="Arial"/>
        </w:rPr>
        <w:t xml:space="preserve"> en lo sucesivo</w:t>
      </w:r>
      <w:r>
        <w:rPr>
          <w:rFonts w:ascii="Palatino Linotype" w:hAnsi="Palatino Linotype" w:cs="Arial"/>
          <w:b/>
        </w:rPr>
        <w:t xml:space="preserve"> EL RECURRENTE</w:t>
      </w:r>
      <w:r>
        <w:rPr>
          <w:rFonts w:ascii="Palatino Linotype" w:hAnsi="Palatino Linotype"/>
        </w:rPr>
        <w:t xml:space="preserve">, en contra de la respuesta emitida por la </w:t>
      </w:r>
      <w:r>
        <w:rPr>
          <w:rFonts w:ascii="Palatino Linotype" w:hAnsi="Palatino Linotype"/>
          <w:b/>
        </w:rPr>
        <w:t>Secretaría de Seguridad</w:t>
      </w:r>
      <w:r>
        <w:rPr>
          <w:rFonts w:ascii="Palatino Linotype" w:hAnsi="Palatino Linotype"/>
        </w:rPr>
        <w:t xml:space="preserve">, en lo sucesivo </w:t>
      </w:r>
      <w:r>
        <w:rPr>
          <w:rFonts w:ascii="Palatino Linotype" w:hAnsi="Palatino Linotype"/>
          <w:b/>
        </w:rPr>
        <w:t>EL SUJETO OBLIGADO</w:t>
      </w:r>
      <w:r>
        <w:rPr>
          <w:rFonts w:ascii="Palatino Linotype" w:hAnsi="Palatino Linotype"/>
        </w:rPr>
        <w:t xml:space="preserve">, se procede a dictar la presente resolución con base en lo siguiente: </w:t>
      </w:r>
    </w:p>
    <w:p w:rsidR="005A6B36" w:rsidRDefault="0049607E">
      <w:pPr>
        <w:spacing w:beforeAutospacing="1" w:afterAutospacing="1" w:line="360" w:lineRule="auto"/>
        <w:jc w:val="center"/>
        <w:rPr>
          <w:rFonts w:ascii="Palatino Linotype" w:hAnsi="Palatino Linotype"/>
          <w:b/>
          <w:bCs/>
          <w:spacing w:val="60"/>
          <w:sz w:val="28"/>
        </w:rPr>
      </w:pPr>
      <w:r>
        <w:rPr>
          <w:rFonts w:ascii="Palatino Linotype" w:hAnsi="Palatino Linotype"/>
          <w:b/>
          <w:bCs/>
          <w:spacing w:val="60"/>
          <w:sz w:val="28"/>
        </w:rPr>
        <w:t>RESULTANDO</w:t>
      </w:r>
    </w:p>
    <w:p w:rsidR="005A6B36" w:rsidRDefault="0049607E">
      <w:pPr>
        <w:pStyle w:val="Prrafodelista"/>
        <w:numPr>
          <w:ilvl w:val="0"/>
          <w:numId w:val="1"/>
        </w:numPr>
        <w:tabs>
          <w:tab w:val="left" w:pos="709"/>
        </w:tabs>
        <w:spacing w:beforeAutospacing="1" w:afterAutospacing="1" w:line="360" w:lineRule="auto"/>
        <w:ind w:left="0" w:firstLine="0"/>
        <w:jc w:val="both"/>
        <w:rPr>
          <w:rFonts w:ascii="Palatino Linotype" w:hAnsi="Palatino Linotype" w:cs="Arial"/>
        </w:rPr>
      </w:pPr>
      <w:r>
        <w:rPr>
          <w:rFonts w:ascii="Palatino Linotype" w:hAnsi="Palatino Linotype"/>
        </w:rPr>
        <w:t xml:space="preserve">En </w:t>
      </w:r>
      <w:r>
        <w:rPr>
          <w:rFonts w:ascii="Palatino Linotype" w:hAnsi="Palatino Linotype" w:cs="Arial"/>
        </w:rPr>
        <w:t>fecha</w:t>
      </w:r>
      <w:r>
        <w:rPr>
          <w:rFonts w:ascii="Palatino Linotype" w:hAnsi="Palatino Linotype"/>
        </w:rPr>
        <w:t xml:space="preserve"> veintisiete de enero de dos mil veinte, </w:t>
      </w:r>
      <w:r>
        <w:rPr>
          <w:rFonts w:ascii="Palatino Linotype" w:hAnsi="Palatino Linotype" w:cs="Arial"/>
          <w:b/>
        </w:rPr>
        <w:t>EL RECURRENTE</w:t>
      </w:r>
      <w:r>
        <w:rPr>
          <w:rFonts w:ascii="Palatino Linotype" w:hAnsi="Palatino Linotype"/>
        </w:rPr>
        <w:t xml:space="preserve"> presentó a través del </w:t>
      </w:r>
      <w:r>
        <w:rPr>
          <w:rFonts w:ascii="Palatino Linotype" w:hAnsi="Palatino Linotype" w:cs="Arial"/>
        </w:rPr>
        <w:t>Sistema</w:t>
      </w:r>
      <w:r>
        <w:rPr>
          <w:rFonts w:ascii="Palatino Linotype" w:hAnsi="Palatino Linotype"/>
        </w:rPr>
        <w:t xml:space="preserve"> de Acceso a la Información Mexiquense, en lo subsecuente </w:t>
      </w:r>
      <w:r>
        <w:rPr>
          <w:rFonts w:ascii="Palatino Linotype" w:hAnsi="Palatino Linotype"/>
          <w:b/>
        </w:rPr>
        <w:t>EL SAIMEX</w:t>
      </w:r>
      <w:r>
        <w:rPr>
          <w:rFonts w:ascii="Palatino Linotype" w:hAnsi="Palatino Linotype"/>
        </w:rPr>
        <w:t xml:space="preserve"> ante </w:t>
      </w:r>
      <w:r>
        <w:rPr>
          <w:rFonts w:ascii="Palatino Linotype" w:hAnsi="Palatino Linotype"/>
          <w:b/>
        </w:rPr>
        <w:t>EL SUJETO OBLIGADO</w:t>
      </w:r>
      <w:r>
        <w:rPr>
          <w:rFonts w:ascii="Palatino Linotype" w:hAnsi="Palatino Linotype"/>
        </w:rPr>
        <w:t>, la solicitud de acceso a la información pública, a la que se le asignó el número</w:t>
      </w:r>
      <w:r>
        <w:rPr>
          <w:rFonts w:ascii="Verdana" w:hAnsi="Verdana"/>
          <w:b/>
          <w:bCs/>
          <w:color w:val="FF0000"/>
        </w:rPr>
        <w:t xml:space="preserve"> </w:t>
      </w:r>
      <w:r>
        <w:rPr>
          <w:rFonts w:ascii="Palatino Linotype" w:hAnsi="Palatino Linotype"/>
          <w:b/>
          <w:bCs/>
        </w:rPr>
        <w:t>00057/SSEM/IP/2020</w:t>
      </w:r>
      <w:r>
        <w:rPr>
          <w:rFonts w:ascii="Palatino Linotype" w:hAnsi="Palatino Linotype"/>
        </w:rPr>
        <w:t>, mediante la cual requirió lo siguiente:</w:t>
      </w:r>
    </w:p>
    <w:p w:rsidR="005A6B36" w:rsidRDefault="0049607E">
      <w:pPr>
        <w:spacing w:beforeAutospacing="1" w:afterAutospacing="1"/>
        <w:ind w:left="709" w:right="709"/>
        <w:jc w:val="both"/>
        <w:rPr>
          <w:rFonts w:ascii="Palatino Linotype" w:hAnsi="Palatino Linotype"/>
          <w:sz w:val="22"/>
          <w:szCs w:val="22"/>
        </w:rPr>
      </w:pPr>
      <w:r>
        <w:rPr>
          <w:rFonts w:ascii="Palatino Linotype" w:hAnsi="Palatino Linotype" w:cs="Arial"/>
          <w:i/>
          <w:sz w:val="22"/>
          <w:szCs w:val="22"/>
        </w:rPr>
        <w:t xml:space="preserve">“Favor de consultar el anexo. Gracias.” </w:t>
      </w:r>
      <w:r>
        <w:rPr>
          <w:rFonts w:ascii="Palatino Linotype" w:hAnsi="Palatino Linotype"/>
          <w:sz w:val="22"/>
          <w:szCs w:val="22"/>
        </w:rPr>
        <w:t>(Sic)</w:t>
      </w:r>
      <w:bookmarkStart w:id="0" w:name="_Ref516764469"/>
      <w:bookmarkStart w:id="1" w:name="_Ref531692384"/>
    </w:p>
    <w:p w:rsidR="005A6B36" w:rsidRDefault="0049607E">
      <w:pPr>
        <w:spacing w:line="360" w:lineRule="auto"/>
        <w:ind w:right="49"/>
        <w:jc w:val="both"/>
        <w:rPr>
          <w:rFonts w:ascii="Palatino Linotype" w:hAnsi="Palatino Linotype" w:cs="Arial"/>
        </w:rPr>
      </w:pPr>
      <w:r>
        <w:rPr>
          <w:rFonts w:ascii="Palatino Linotype" w:hAnsi="Palatino Linotype" w:cs="Arial"/>
        </w:rPr>
        <w:t xml:space="preserve">Adjuntando a su solicitud el documento electrónico denominado </w:t>
      </w:r>
      <w:r>
        <w:rPr>
          <w:rFonts w:ascii="Palatino Linotype" w:hAnsi="Palatino Linotype" w:cs="Arial"/>
          <w:b/>
          <w:i/>
        </w:rPr>
        <w:t xml:space="preserve">CB_1 .pdf, </w:t>
      </w:r>
      <w:r>
        <w:rPr>
          <w:rFonts w:ascii="Palatino Linotype" w:hAnsi="Palatino Linotype" w:cs="Arial"/>
        </w:rPr>
        <w:t xml:space="preserve">el cual contiene lo siguiente: </w:t>
      </w:r>
    </w:p>
    <w:p w:rsidR="005A6B36" w:rsidRDefault="0049607E">
      <w:pPr>
        <w:spacing w:beforeAutospacing="1" w:afterAutospacing="1" w:line="360" w:lineRule="auto"/>
        <w:ind w:right="49"/>
        <w:jc w:val="both"/>
        <w:rPr>
          <w:rFonts w:ascii="Palatino Linotype" w:hAnsi="Palatino Linotype"/>
        </w:rPr>
      </w:pPr>
      <w:r>
        <w:rPr>
          <w:noProof/>
          <w:lang w:eastAsia="es-MX"/>
        </w:rPr>
        <w:drawing>
          <wp:inline distT="0" distB="0" distL="0" distR="0">
            <wp:extent cx="5353050" cy="1085850"/>
            <wp:effectExtent l="0" t="0" r="0" b="0"/>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3"/>
                    <pic:cNvPicPr>
                      <a:picLocks noChangeAspect="1" noChangeArrowheads="1"/>
                    </pic:cNvPicPr>
                  </pic:nvPicPr>
                  <pic:blipFill>
                    <a:blip r:embed="rId8"/>
                    <a:srcRect l="24995" t="26964" r="27313" b="52190"/>
                    <a:stretch>
                      <a:fillRect/>
                    </a:stretch>
                  </pic:blipFill>
                  <pic:spPr bwMode="auto">
                    <a:xfrm>
                      <a:off x="0" y="0"/>
                      <a:ext cx="5353050" cy="1085850"/>
                    </a:xfrm>
                    <a:prstGeom prst="rect">
                      <a:avLst/>
                    </a:prstGeom>
                  </pic:spPr>
                </pic:pic>
              </a:graphicData>
            </a:graphic>
          </wp:inline>
        </w:drawing>
      </w:r>
    </w:p>
    <w:p w:rsidR="005A6B36" w:rsidRDefault="0049607E">
      <w:pPr>
        <w:spacing w:beforeAutospacing="1" w:afterAutospacing="1"/>
        <w:ind w:right="709"/>
        <w:jc w:val="both"/>
        <w:rPr>
          <w:lang w:eastAsia="es-MX"/>
        </w:rPr>
      </w:pPr>
      <w:r>
        <w:rPr>
          <w:noProof/>
          <w:lang w:eastAsia="es-MX"/>
        </w:rPr>
        <w:lastRenderedPageBreak/>
        <w:drawing>
          <wp:inline distT="0" distB="0" distL="0" distR="0">
            <wp:extent cx="5429250" cy="4400550"/>
            <wp:effectExtent l="0" t="0" r="0" b="0"/>
            <wp:docPr id="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2"/>
                    <pic:cNvPicPr>
                      <a:picLocks noChangeAspect="1" noChangeArrowheads="1"/>
                    </pic:cNvPicPr>
                  </pic:nvPicPr>
                  <pic:blipFill>
                    <a:blip r:embed="rId9"/>
                    <a:srcRect l="24331" t="16668" r="28303" b="13612"/>
                    <a:stretch>
                      <a:fillRect/>
                    </a:stretch>
                  </pic:blipFill>
                  <pic:spPr bwMode="auto">
                    <a:xfrm>
                      <a:off x="0" y="0"/>
                      <a:ext cx="5429250" cy="4400550"/>
                    </a:xfrm>
                    <a:prstGeom prst="rect">
                      <a:avLst/>
                    </a:prstGeom>
                  </pic:spPr>
                </pic:pic>
              </a:graphicData>
            </a:graphic>
          </wp:inline>
        </w:drawing>
      </w:r>
    </w:p>
    <w:p w:rsidR="005A6B36" w:rsidRDefault="0049607E">
      <w:pPr>
        <w:spacing w:beforeAutospacing="1" w:afterAutospacing="1"/>
        <w:ind w:right="709"/>
        <w:jc w:val="both"/>
        <w:rPr>
          <w:lang w:eastAsia="es-MX"/>
        </w:rPr>
      </w:pPr>
      <w:r>
        <w:rPr>
          <w:noProof/>
          <w:lang w:eastAsia="es-MX"/>
        </w:rPr>
        <w:drawing>
          <wp:inline distT="0" distB="0" distL="0" distR="0">
            <wp:extent cx="5400675" cy="1162050"/>
            <wp:effectExtent l="0" t="0" r="0" b="0"/>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0"/>
                    <pic:cNvPicPr>
                      <a:picLocks noChangeAspect="1" noChangeArrowheads="1"/>
                    </pic:cNvPicPr>
                  </pic:nvPicPr>
                  <pic:blipFill>
                    <a:blip r:embed="rId10"/>
                    <a:srcRect l="25652" t="34419" r="26981" b="48465"/>
                    <a:stretch>
                      <a:fillRect/>
                    </a:stretch>
                  </pic:blipFill>
                  <pic:spPr bwMode="auto">
                    <a:xfrm>
                      <a:off x="0" y="0"/>
                      <a:ext cx="5400675" cy="1162050"/>
                    </a:xfrm>
                    <a:prstGeom prst="rect">
                      <a:avLst/>
                    </a:prstGeom>
                  </pic:spPr>
                </pic:pic>
              </a:graphicData>
            </a:graphic>
          </wp:inline>
        </w:drawing>
      </w:r>
    </w:p>
    <w:p w:rsidR="005A6B36" w:rsidRDefault="0049607E">
      <w:pPr>
        <w:spacing w:before="160" w:after="160"/>
        <w:ind w:right="709"/>
        <w:jc w:val="both"/>
        <w:rPr>
          <w:rFonts w:ascii="Palatino Linotype" w:hAnsi="Palatino Linotype"/>
        </w:rPr>
      </w:pPr>
      <w:r>
        <w:rPr>
          <w:rFonts w:ascii="Palatino Linotype" w:hAnsi="Palatino Linotype"/>
          <w:b/>
        </w:rPr>
        <w:t>Modalidad de entrega:</w:t>
      </w:r>
      <w:r>
        <w:rPr>
          <w:rFonts w:ascii="Palatino Linotype" w:hAnsi="Palatino Linotype"/>
          <w:sz w:val="22"/>
          <w:szCs w:val="22"/>
        </w:rPr>
        <w:t xml:space="preserve"> </w:t>
      </w:r>
      <w:r>
        <w:rPr>
          <w:rFonts w:ascii="Palatino Linotype" w:hAnsi="Palatino Linotype"/>
        </w:rPr>
        <w:t xml:space="preserve">Vía </w:t>
      </w:r>
      <w:bookmarkEnd w:id="0"/>
      <w:bookmarkEnd w:id="1"/>
      <w:r>
        <w:rPr>
          <w:rFonts w:ascii="Palatino Linotype" w:hAnsi="Palatino Linotype"/>
        </w:rPr>
        <w:t>SAIMEX</w:t>
      </w:r>
    </w:p>
    <w:p w:rsidR="005A6B36" w:rsidRDefault="005A6B36">
      <w:pPr>
        <w:pStyle w:val="Prrafodelista"/>
        <w:tabs>
          <w:tab w:val="left" w:pos="709"/>
        </w:tabs>
        <w:spacing w:line="360" w:lineRule="auto"/>
        <w:ind w:left="0"/>
        <w:jc w:val="both"/>
        <w:rPr>
          <w:rFonts w:ascii="Palatino Linotype" w:hAnsi="Palatino Linotype" w:cs="Arial"/>
        </w:rPr>
      </w:pPr>
    </w:p>
    <w:p w:rsidR="005A6B36" w:rsidRDefault="0049607E">
      <w:pPr>
        <w:pStyle w:val="Prrafodelista"/>
        <w:numPr>
          <w:ilvl w:val="0"/>
          <w:numId w:val="1"/>
        </w:numPr>
        <w:tabs>
          <w:tab w:val="left" w:pos="709"/>
        </w:tabs>
        <w:spacing w:line="360" w:lineRule="auto"/>
        <w:ind w:left="0" w:firstLine="0"/>
        <w:jc w:val="both"/>
        <w:rPr>
          <w:rFonts w:ascii="Palatino Linotype" w:hAnsi="Palatino Linotype" w:cs="Arial"/>
        </w:rPr>
      </w:pPr>
      <w:r>
        <w:rPr>
          <w:rFonts w:ascii="Palatino Linotype" w:hAnsi="Palatino Linotype"/>
        </w:rPr>
        <w:t xml:space="preserve">De las constancias que obran en </w:t>
      </w:r>
      <w:r>
        <w:rPr>
          <w:rFonts w:ascii="Palatino Linotype" w:hAnsi="Palatino Linotype"/>
          <w:b/>
        </w:rPr>
        <w:t>EL SAIMEX,</w:t>
      </w:r>
      <w:r>
        <w:rPr>
          <w:rFonts w:ascii="Palatino Linotype" w:hAnsi="Palatino Linotype"/>
        </w:rPr>
        <w:t xml:space="preserve"> se advierte que en fecha dieciocho de febrero de dos mil veinte, </w:t>
      </w:r>
      <w:r>
        <w:rPr>
          <w:rFonts w:ascii="Palatino Linotype" w:hAnsi="Palatino Linotype" w:cs="Arial"/>
          <w:lang w:val="es-ES_tradnl"/>
        </w:rPr>
        <w:t>la Titular de la Unidad de Transparencia del</w:t>
      </w:r>
      <w:r>
        <w:rPr>
          <w:rFonts w:ascii="Palatino Linotype" w:hAnsi="Palatino Linotype" w:cs="Arial"/>
          <w:b/>
          <w:lang w:val="es-ES_tradnl"/>
        </w:rPr>
        <w:t xml:space="preserve"> SUJETO OBLIGADO</w:t>
      </w:r>
      <w:r>
        <w:rPr>
          <w:rFonts w:ascii="Palatino Linotype" w:hAnsi="Palatino Linotype" w:cs="Arial"/>
          <w:lang w:val="es-ES_tradnl"/>
        </w:rPr>
        <w:t xml:space="preserve"> dio respuesta a la solicitud de información, en los siguientes términos:</w:t>
      </w:r>
    </w:p>
    <w:p w:rsidR="005A6B36" w:rsidRDefault="005A6B36">
      <w:pPr>
        <w:ind w:left="851" w:right="899"/>
        <w:jc w:val="both"/>
        <w:rPr>
          <w:rFonts w:ascii="Palatino Linotype" w:hAnsi="Palatino Linotype" w:cs="Arial"/>
          <w:i/>
          <w:sz w:val="22"/>
          <w:szCs w:val="22"/>
        </w:rPr>
      </w:pPr>
    </w:p>
    <w:p w:rsidR="005A6B36" w:rsidRDefault="0049607E">
      <w:pPr>
        <w:ind w:left="851" w:right="899"/>
        <w:jc w:val="both"/>
        <w:rPr>
          <w:rFonts w:ascii="Palatino Linotype" w:hAnsi="Palatino Linotype" w:cs="Arial"/>
          <w:i/>
          <w:sz w:val="22"/>
          <w:szCs w:val="22"/>
        </w:rPr>
      </w:pPr>
      <w:r>
        <w:rPr>
          <w:rFonts w:ascii="Palatino Linotype" w:hAnsi="Palatino Linotype" w:cs="Arial"/>
          <w:i/>
          <w:sz w:val="22"/>
          <w:szCs w:val="22"/>
        </w:rPr>
        <w:t>“…SE ANEXA RESPUESTA EN FORMATO PDF, EN CASO DE PRESENTAR PROBLEMAS CON LA RECEPCIÓN DE LA MISMA, LE PEDIMOS SE COMUNIQUE A LA UNIDAD DE TRANSPARENCIA DE LA SECRETARÍA DE SEGURIDAD DEL ESTADO DE MÉXICO, AL TELÉFONO 722 2 79 62 00 EXT. 4158, DE LUNES A VIERNES, EN UN HORARIO DE 9:00 A 18:00 HRS.” (Sic)</w:t>
      </w:r>
    </w:p>
    <w:p w:rsidR="005A6B36" w:rsidRDefault="005A6B36">
      <w:pPr>
        <w:tabs>
          <w:tab w:val="left" w:pos="709"/>
        </w:tabs>
        <w:spacing w:line="360" w:lineRule="auto"/>
        <w:jc w:val="both"/>
        <w:rPr>
          <w:rFonts w:ascii="Palatino Linotype" w:hAnsi="Palatino Linotype" w:cs="Arial"/>
          <w:b/>
          <w:sz w:val="22"/>
          <w:szCs w:val="22"/>
        </w:rPr>
      </w:pPr>
    </w:p>
    <w:p w:rsidR="005A6B36" w:rsidRDefault="0049607E">
      <w:pPr>
        <w:tabs>
          <w:tab w:val="left" w:pos="709"/>
        </w:tabs>
        <w:spacing w:line="360" w:lineRule="auto"/>
        <w:jc w:val="both"/>
        <w:rPr>
          <w:rFonts w:ascii="Palatino Linotype" w:hAnsi="Palatino Linotype" w:cs="Arial"/>
        </w:rPr>
      </w:pPr>
      <w:r>
        <w:rPr>
          <w:rFonts w:ascii="Palatino Linotype" w:hAnsi="Palatino Linotype" w:cs="Arial"/>
        </w:rPr>
        <w:t>Así mismo, adjuntó a la respuesta, el archivo electrónico denominado</w:t>
      </w:r>
      <w:r>
        <w:t xml:space="preserve"> </w:t>
      </w:r>
      <w:r>
        <w:rPr>
          <w:rFonts w:ascii="Palatino Linotype" w:hAnsi="Palatino Linotype" w:cs="Arial"/>
          <w:b/>
          <w:i/>
        </w:rPr>
        <w:t>057 RESPUESTA.pdf</w:t>
      </w:r>
      <w:r>
        <w:rPr>
          <w:rFonts w:ascii="Palatino Linotype" w:hAnsi="Palatino Linotype" w:cs="Arial"/>
          <w:b/>
        </w:rPr>
        <w:t xml:space="preserve">, </w:t>
      </w:r>
      <w:r>
        <w:rPr>
          <w:rFonts w:ascii="Palatino Linotype" w:hAnsi="Palatino Linotype" w:cs="Arial"/>
        </w:rPr>
        <w:t xml:space="preserve">mediante el cual, la Titular de la Unidad de Transparencia del </w:t>
      </w:r>
      <w:r>
        <w:rPr>
          <w:rFonts w:ascii="Palatino Linotype" w:hAnsi="Palatino Linotype" w:cs="Arial"/>
          <w:b/>
        </w:rPr>
        <w:t>SUJETO OBLIGADO</w:t>
      </w:r>
      <w:r>
        <w:rPr>
          <w:rFonts w:ascii="Palatino Linotype" w:hAnsi="Palatino Linotype" w:cs="Arial"/>
        </w:rPr>
        <w:t xml:space="preserve">, señaló que mediante oficios números 20600101000000L/UIPPE/0120/2020, 20600101000000L/UIPPE/0124/2020, 20600101000000L/UIPPE/0123/2020 y 20600101000000L/UIPPE/0119/2020, solicitó información a los Servidores Públicos Habilitados del Centro de Control, Comando, Comunicación, Computo y Calidad, Dirección General de Desarrollo Institucional e Innovación, Dirección General de Información y Oficialía Mayor, quienes dieron respuesta señalando que después de una búsqueda razonable y minuciosa en los archivos físicos y electrónicos, no se localizó documentación alguna que refiriera que haya existido o exista algún tipo de contrato, entre la Secretaría de Seguridad y las empresas referidas, motivo por el cual, no era posible proporcionar la información solicitada. </w:t>
      </w:r>
    </w:p>
    <w:p w:rsidR="005A6B36" w:rsidRDefault="005A6B36">
      <w:pPr>
        <w:tabs>
          <w:tab w:val="left" w:pos="709"/>
        </w:tabs>
        <w:spacing w:line="360" w:lineRule="auto"/>
        <w:jc w:val="both"/>
        <w:rPr>
          <w:rFonts w:ascii="Palatino Linotype" w:hAnsi="Palatino Linotype" w:cs="Arial"/>
          <w:b/>
          <w:sz w:val="22"/>
          <w:szCs w:val="22"/>
        </w:rPr>
      </w:pPr>
    </w:p>
    <w:p w:rsidR="005A6B36" w:rsidRDefault="0049607E">
      <w:pPr>
        <w:pStyle w:val="Prrafodelista"/>
        <w:numPr>
          <w:ilvl w:val="0"/>
          <w:numId w:val="1"/>
        </w:numPr>
        <w:tabs>
          <w:tab w:val="left" w:pos="709"/>
        </w:tabs>
        <w:spacing w:line="360" w:lineRule="auto"/>
        <w:ind w:left="0" w:firstLine="0"/>
        <w:jc w:val="both"/>
        <w:rPr>
          <w:rFonts w:ascii="Palatino Linotype" w:hAnsi="Palatino Linotype" w:cs="Arial"/>
        </w:rPr>
      </w:pPr>
      <w:r>
        <w:rPr>
          <w:rFonts w:ascii="Palatino Linotype" w:hAnsi="Palatino Linotype"/>
        </w:rPr>
        <w:t xml:space="preserve">Inconforme </w:t>
      </w:r>
      <w:r>
        <w:rPr>
          <w:rFonts w:ascii="Palatino Linotype" w:hAnsi="Palatino Linotype" w:cs="Arial"/>
        </w:rPr>
        <w:t>con</w:t>
      </w:r>
      <w:r>
        <w:rPr>
          <w:rFonts w:ascii="Palatino Linotype" w:hAnsi="Palatino Linotype"/>
        </w:rPr>
        <w:t xml:space="preserve"> la respuesta proporcionada por el </w:t>
      </w:r>
      <w:r>
        <w:rPr>
          <w:rFonts w:ascii="Palatino Linotype" w:hAnsi="Palatino Linotype"/>
          <w:b/>
        </w:rPr>
        <w:t>SUJETO OBLIGADO</w:t>
      </w:r>
      <w:r>
        <w:rPr>
          <w:rFonts w:ascii="Palatino Linotype" w:hAnsi="Palatino Linotype"/>
        </w:rPr>
        <w:t xml:space="preserve">, en fecha nueve de marzo de dos mil veinte, </w:t>
      </w:r>
      <w:r>
        <w:rPr>
          <w:rFonts w:ascii="Palatino Linotype" w:hAnsi="Palatino Linotype"/>
          <w:b/>
        </w:rPr>
        <w:t>EL RECURRENTE</w:t>
      </w:r>
      <w:r>
        <w:rPr>
          <w:rFonts w:ascii="Palatino Linotype" w:hAnsi="Palatino Linotype"/>
        </w:rPr>
        <w:t xml:space="preserve"> a través del</w:t>
      </w:r>
      <w:r>
        <w:rPr>
          <w:rFonts w:ascii="Palatino Linotype" w:hAnsi="Palatino Linotype"/>
          <w:b/>
        </w:rPr>
        <w:t xml:space="preserve"> SAIMEX, </w:t>
      </w:r>
      <w:r>
        <w:rPr>
          <w:rFonts w:ascii="Palatino Linotype" w:hAnsi="Palatino Linotype"/>
        </w:rPr>
        <w:t xml:space="preserve">interpuso el recurso de revisión objeto del </w:t>
      </w:r>
      <w:r>
        <w:rPr>
          <w:rFonts w:ascii="Palatino Linotype" w:hAnsi="Palatino Linotype" w:cs="Arial"/>
        </w:rPr>
        <w:t>presente</w:t>
      </w:r>
      <w:r>
        <w:rPr>
          <w:rFonts w:ascii="Palatino Linotype" w:hAnsi="Palatino Linotype"/>
        </w:rPr>
        <w:t xml:space="preserve"> estudio, pero al ser un día inhábil, se registró en fecha diez de marzo de dos mil veinte, mismo que se le asignó el </w:t>
      </w:r>
      <w:r>
        <w:rPr>
          <w:rFonts w:ascii="Palatino Linotype" w:hAnsi="Palatino Linotype" w:cs="Arial"/>
        </w:rPr>
        <w:t xml:space="preserve">número </w:t>
      </w:r>
      <w:r>
        <w:rPr>
          <w:rFonts w:ascii="Palatino Linotype" w:hAnsi="Palatino Linotype" w:cs="Arial"/>
          <w:b/>
        </w:rPr>
        <w:t>01517/INFOEM/IP/RR/2020</w:t>
      </w:r>
      <w:r>
        <w:rPr>
          <w:rFonts w:ascii="Palatino Linotype" w:hAnsi="Palatino Linotype" w:cs="Arial"/>
        </w:rPr>
        <w:t>, en el que señaló como acto impugnado,  lo siguiente:</w:t>
      </w:r>
    </w:p>
    <w:p w:rsidR="005A6B36" w:rsidRDefault="0049607E">
      <w:pPr>
        <w:pStyle w:val="Prrafodelista"/>
        <w:spacing w:beforeAutospacing="1" w:afterAutospacing="1"/>
        <w:ind w:left="720" w:right="709"/>
        <w:jc w:val="both"/>
        <w:rPr>
          <w:rFonts w:ascii="Palatino Linotype" w:hAnsi="Palatino Linotype" w:cs="Arial"/>
          <w:sz w:val="22"/>
          <w:szCs w:val="22"/>
          <w:lang w:eastAsia="es-MX"/>
        </w:rPr>
      </w:pPr>
      <w:r>
        <w:rPr>
          <w:rFonts w:ascii="Palatino Linotype" w:hAnsi="Palatino Linotype" w:cs="Arial"/>
          <w:i/>
          <w:sz w:val="22"/>
          <w:szCs w:val="22"/>
          <w:lang w:eastAsia="es-MX"/>
        </w:rPr>
        <w:lastRenderedPageBreak/>
        <w:t>“Favor de ver el documento adjunto. Gracias.”</w:t>
      </w:r>
      <w:r>
        <w:rPr>
          <w:rFonts w:ascii="Palatino Linotype" w:hAnsi="Palatino Linotype" w:cs="Arial"/>
          <w:sz w:val="22"/>
          <w:szCs w:val="22"/>
          <w:lang w:eastAsia="es-MX"/>
        </w:rPr>
        <w:t xml:space="preserve"> (Sic)</w:t>
      </w:r>
    </w:p>
    <w:p w:rsidR="005A6B36" w:rsidRDefault="0049607E">
      <w:pPr>
        <w:pStyle w:val="Prrafodelista"/>
        <w:tabs>
          <w:tab w:val="left" w:pos="709"/>
        </w:tabs>
        <w:spacing w:line="360" w:lineRule="auto"/>
        <w:ind w:left="0"/>
        <w:jc w:val="both"/>
        <w:rPr>
          <w:rFonts w:ascii="Palatino Linotype" w:hAnsi="Palatino Linotype" w:cs="Arial"/>
        </w:rPr>
      </w:pPr>
      <w:r>
        <w:rPr>
          <w:rFonts w:ascii="Palatino Linotype" w:hAnsi="Palatino Linotype" w:cs="Arial"/>
        </w:rPr>
        <w:t>Así como</w:t>
      </w:r>
      <w:r>
        <w:rPr>
          <w:rFonts w:ascii="Palatino Linotype" w:hAnsi="Palatino Linotype"/>
        </w:rPr>
        <w:t xml:space="preserve"> razones o motivos de inconformidad</w:t>
      </w:r>
      <w:r>
        <w:rPr>
          <w:rFonts w:ascii="Palatino Linotype" w:hAnsi="Palatino Linotype" w:cs="Arial"/>
        </w:rPr>
        <w:t>:</w:t>
      </w:r>
    </w:p>
    <w:p w:rsidR="005A6B36" w:rsidRDefault="0049607E">
      <w:pPr>
        <w:spacing w:beforeAutospacing="1" w:afterAutospacing="1"/>
        <w:ind w:left="709" w:right="709"/>
        <w:jc w:val="both"/>
        <w:rPr>
          <w:rFonts w:ascii="Palatino Linotype" w:hAnsi="Palatino Linotype" w:cs="Arial"/>
          <w:sz w:val="22"/>
          <w:szCs w:val="22"/>
          <w:lang w:eastAsia="es-MX"/>
        </w:rPr>
      </w:pPr>
      <w:r>
        <w:rPr>
          <w:rFonts w:ascii="Palatino Linotype" w:hAnsi="Palatino Linotype" w:cs="Arial"/>
          <w:i/>
          <w:sz w:val="22"/>
          <w:szCs w:val="22"/>
          <w:lang w:eastAsia="es-MX"/>
        </w:rPr>
        <w:t xml:space="preserve"> “Favor de ver el documento anexo.Gracias.”</w:t>
      </w:r>
      <w:r>
        <w:rPr>
          <w:rFonts w:ascii="Palatino Linotype" w:hAnsi="Palatino Linotype" w:cs="Arial"/>
          <w:sz w:val="22"/>
          <w:szCs w:val="22"/>
          <w:lang w:eastAsia="es-MX"/>
        </w:rPr>
        <w:t xml:space="preserve"> (Sic)</w:t>
      </w:r>
    </w:p>
    <w:p w:rsidR="005A6B36" w:rsidRDefault="0049607E">
      <w:pPr>
        <w:tabs>
          <w:tab w:val="left" w:pos="709"/>
        </w:tabs>
        <w:spacing w:line="360" w:lineRule="auto"/>
        <w:jc w:val="both"/>
        <w:rPr>
          <w:rFonts w:ascii="Palatino Linotype" w:hAnsi="Palatino Linotype" w:cs="Arial"/>
        </w:rPr>
      </w:pPr>
      <w:r>
        <w:rPr>
          <w:rFonts w:ascii="Palatino Linotype" w:hAnsi="Palatino Linotype" w:cs="Arial"/>
        </w:rPr>
        <w:t>Así mismo, adjuntó el archivo electrónico denominado</w:t>
      </w:r>
      <w:r>
        <w:t xml:space="preserve"> </w:t>
      </w:r>
      <w:r>
        <w:rPr>
          <w:rFonts w:ascii="Palatino Linotype" w:hAnsi="Palatino Linotype" w:cs="Arial"/>
          <w:b/>
          <w:i/>
        </w:rPr>
        <w:t>RR EdoMex_SSP_00057.SSEM.IP.2020.pdf</w:t>
      </w:r>
      <w:r>
        <w:rPr>
          <w:rFonts w:ascii="Palatino Linotype" w:hAnsi="Palatino Linotype" w:cs="Arial"/>
          <w:b/>
        </w:rPr>
        <w:t xml:space="preserve">, </w:t>
      </w:r>
      <w:r>
        <w:rPr>
          <w:rFonts w:ascii="Palatino Linotype" w:hAnsi="Palatino Linotype" w:cs="Arial"/>
        </w:rPr>
        <w:t>mediante el cual señaló que el acto que se recurre es la respuesta del Sujeto Obligado a su solicitud a través del oficio sin número de fecha 11 de febrero de 2020, firmado por la Titular de la Unidad de Transparencia de la Secretaría de Seguridad y señaló como razones o motivos de inconformidad, la respuesta del Sujeto Obligado que afirmó violaba su derecho de acceso a la información pública reconocido en el artículo 6 de la Constitución Política de los Estados Unidos Mexicanos, el artículo 13 de la Convención Americana sobre Derechos Humanos, el artículo 19 del Pacto Internacional de Derechos Civiles y Políticos, la Ley General y la Ley Estatal.</w:t>
      </w:r>
    </w:p>
    <w:p w:rsidR="005A6B36" w:rsidRDefault="005A6B36">
      <w:pPr>
        <w:tabs>
          <w:tab w:val="left" w:pos="709"/>
        </w:tabs>
        <w:spacing w:line="360" w:lineRule="auto"/>
        <w:jc w:val="both"/>
        <w:rPr>
          <w:rFonts w:ascii="Palatino Linotype" w:hAnsi="Palatino Linotype" w:cs="Arial"/>
        </w:rPr>
      </w:pPr>
    </w:p>
    <w:p w:rsidR="005A6B36" w:rsidRDefault="0049607E">
      <w:pPr>
        <w:tabs>
          <w:tab w:val="left" w:pos="709"/>
        </w:tabs>
        <w:spacing w:line="360" w:lineRule="auto"/>
        <w:jc w:val="both"/>
        <w:rPr>
          <w:rFonts w:ascii="Palatino Linotype" w:hAnsi="Palatino Linotype" w:cs="Arial"/>
        </w:rPr>
      </w:pPr>
      <w:r>
        <w:rPr>
          <w:rFonts w:ascii="Palatino Linotype" w:hAnsi="Palatino Linotype" w:cs="Arial"/>
        </w:rPr>
        <w:t xml:space="preserve">De igual forma, refirió que el Sujeto Obligado, únicamente se limitó a señalar la inexistencia de la información desde la Unidad de Transparencia lo que no garantizaba ninguna certeza jurídica, pues tal declaratoria no contenía elementos que provean de certeza jurídica a la misma, ya que, el Comité de Transparencia del Sujeto Obligado debió confirmar la inexistencia de la información mediante una resolución que contenga elementos mínimos que den certeza de que en efecto se utilizó un criterio de búsqueda exhaustivo, además de señalar las circunstancias de tiempo, modo y lugar que generaron la inexistencia. </w:t>
      </w:r>
    </w:p>
    <w:p w:rsidR="005A6B36" w:rsidRDefault="005A6B36">
      <w:pPr>
        <w:tabs>
          <w:tab w:val="left" w:pos="709"/>
        </w:tabs>
        <w:spacing w:line="360" w:lineRule="auto"/>
        <w:jc w:val="both"/>
        <w:rPr>
          <w:rFonts w:ascii="Palatino Linotype" w:hAnsi="Palatino Linotype" w:cs="Arial"/>
        </w:rPr>
      </w:pPr>
    </w:p>
    <w:p w:rsidR="005A6B36" w:rsidRDefault="0049607E">
      <w:pPr>
        <w:tabs>
          <w:tab w:val="left" w:pos="709"/>
        </w:tabs>
        <w:spacing w:line="360" w:lineRule="auto"/>
        <w:jc w:val="both"/>
        <w:rPr>
          <w:rFonts w:ascii="Palatino Linotype" w:hAnsi="Palatino Linotype" w:cs="Arial"/>
        </w:rPr>
      </w:pPr>
      <w:r>
        <w:rPr>
          <w:rFonts w:ascii="Palatino Linotype" w:hAnsi="Palatino Linotype" w:cs="Arial"/>
        </w:rPr>
        <w:lastRenderedPageBreak/>
        <w:t>También manifestó que ninguno de los oficios mencionados en la respuesta fue adjuntado a la respuesta del Sujeto Obligado, generando así incertidumbre en la respuesta pues al no proporcionar esta información que es pública, aunque sea para “comunicaciones internas”, no hay certeza para el solicitante hoy recurrente de que se haya realizado la búsqueda minuciosa en los términos señalados por la ley.</w:t>
      </w:r>
    </w:p>
    <w:p w:rsidR="005A6B36" w:rsidRDefault="0049607E">
      <w:pPr>
        <w:widowControl w:val="0"/>
        <w:numPr>
          <w:ilvl w:val="0"/>
          <w:numId w:val="1"/>
        </w:numPr>
        <w:tabs>
          <w:tab w:val="left" w:pos="0"/>
        </w:tabs>
        <w:spacing w:before="240" w:after="240" w:line="360" w:lineRule="auto"/>
        <w:ind w:left="0" w:firstLine="0"/>
        <w:jc w:val="both"/>
        <w:rPr>
          <w:rFonts w:ascii="Palatino Linotype" w:hAnsi="Palatino Linotype" w:cs="Arial"/>
          <w:lang w:val="es-ES_tradnl"/>
        </w:rPr>
      </w:pPr>
      <w:r>
        <w:rPr>
          <w:rFonts w:ascii="Palatino Linotype" w:hAnsi="Palatino Linotype" w:cs="Arial"/>
        </w:rPr>
        <w:t>En fecha</w:t>
      </w:r>
      <w:r>
        <w:rPr>
          <w:rFonts w:ascii="Palatino Linotype" w:hAnsi="Palatino Linotype"/>
        </w:rPr>
        <w:t xml:space="preserve"> nueve de marzo de dos mil veinte</w:t>
      </w:r>
      <w:r>
        <w:rPr>
          <w:rFonts w:ascii="Palatino Linotype" w:hAnsi="Palatino Linotype" w:cs="Arial"/>
        </w:rPr>
        <w:t>, el recurso de que se trata se envió electrónicamente al Instituto de Transparencia, Acceso a la Información Pública</w:t>
      </w:r>
      <w:r>
        <w:rPr>
          <w:rFonts w:ascii="Palatino Linotype" w:hAnsi="Palatino Linotype" w:cs="Arial"/>
          <w:lang w:val="es-ES_tradnl"/>
        </w:rPr>
        <w:t xml:space="preserve"> y </w:t>
      </w:r>
      <w:r>
        <w:rPr>
          <w:rFonts w:ascii="Palatino Linotype" w:hAnsi="Palatino Linotype" w:cs="Arial"/>
        </w:rPr>
        <w:t>Protección</w:t>
      </w:r>
      <w:r>
        <w:rPr>
          <w:rFonts w:ascii="Palatino Linotype" w:hAnsi="Palatino Linotype" w:cs="Arial"/>
          <w:lang w:val="es-ES_tradnl"/>
        </w:rPr>
        <w:t xml:space="preserve"> </w:t>
      </w:r>
      <w:r>
        <w:rPr>
          <w:rFonts w:ascii="Palatino Linotype" w:hAnsi="Palatino Linotype" w:cs="Arial"/>
        </w:rPr>
        <w:t>de</w:t>
      </w:r>
      <w:r>
        <w:rPr>
          <w:rFonts w:ascii="Palatino Linotype" w:hAnsi="Palatino Linotype" w:cs="Arial"/>
          <w:lang w:val="es-ES_tradnl"/>
        </w:rPr>
        <w:t xml:space="preserve"> </w:t>
      </w:r>
      <w:r>
        <w:rPr>
          <w:rFonts w:ascii="Palatino Linotype" w:hAnsi="Palatino Linotype"/>
        </w:rPr>
        <w:t>Datos</w:t>
      </w:r>
      <w:r>
        <w:rPr>
          <w:rFonts w:ascii="Palatino Linotype" w:hAnsi="Palatino Linotype" w:cs="Arial"/>
          <w:lang w:val="es-ES_tradnl"/>
        </w:rPr>
        <w:t xml:space="preserve"> </w:t>
      </w:r>
      <w:r>
        <w:rPr>
          <w:rFonts w:ascii="Palatino Linotype" w:hAnsi="Palatino Linotype" w:cs="Arial"/>
        </w:rPr>
        <w:t>Personales</w:t>
      </w:r>
      <w:r>
        <w:rPr>
          <w:rFonts w:ascii="Palatino Linotype" w:hAnsi="Palatino Linotype" w:cs="Arial"/>
          <w:lang w:val="es-ES_tradnl"/>
        </w:rPr>
        <w:t xml:space="preserve"> </w:t>
      </w:r>
      <w:r>
        <w:rPr>
          <w:rFonts w:ascii="Palatino Linotype" w:hAnsi="Palatino Linotype" w:cs="Arial"/>
        </w:rPr>
        <w:t>del</w:t>
      </w:r>
      <w:r>
        <w:rPr>
          <w:rFonts w:ascii="Palatino Linotype" w:hAnsi="Palatino Linotype" w:cs="Arial"/>
          <w:lang w:val="es-ES_tradnl"/>
        </w:rPr>
        <w:t xml:space="preserve"> </w:t>
      </w:r>
      <w:r>
        <w:rPr>
          <w:rFonts w:ascii="Palatino Linotype" w:hAnsi="Palatino Linotype"/>
        </w:rPr>
        <w:t>Estado</w:t>
      </w:r>
      <w:r>
        <w:rPr>
          <w:rFonts w:ascii="Palatino Linotype" w:hAnsi="Palatino Linotype" w:cs="Arial"/>
          <w:lang w:val="es-ES_tradnl"/>
        </w:rPr>
        <w:t xml:space="preserve"> de México y Municipios y con fundamento en el </w:t>
      </w:r>
      <w:r>
        <w:rPr>
          <w:rFonts w:ascii="Palatino Linotype" w:hAnsi="Palatino Linotype" w:cs="Arial"/>
        </w:rPr>
        <w:t>artículo</w:t>
      </w:r>
      <w:r>
        <w:rPr>
          <w:rFonts w:ascii="Palatino Linotype" w:hAnsi="Palatino Linotype" w:cs="Arial"/>
          <w:lang w:val="es-ES_tradnl"/>
        </w:rPr>
        <w:t xml:space="preserve"> 185, </w:t>
      </w:r>
      <w:r>
        <w:rPr>
          <w:rFonts w:ascii="Palatino Linotype" w:hAnsi="Palatino Linotype" w:cs="Arial"/>
        </w:rPr>
        <w:t>fracción</w:t>
      </w:r>
      <w:r>
        <w:rPr>
          <w:rFonts w:ascii="Palatino Linotype" w:hAnsi="Palatino Linotype" w:cs="Arial"/>
          <w:lang w:val="es-ES_tradnl"/>
        </w:rPr>
        <w:t xml:space="preserve"> I de la </w:t>
      </w:r>
      <w:r>
        <w:rPr>
          <w:rFonts w:ascii="Palatino Linotype" w:hAnsi="Palatino Linotype"/>
        </w:rPr>
        <w:t>Ley de Transparencia y Acceso a la Información Pública del Estado de México y Municipios</w:t>
      </w:r>
      <w:r>
        <w:rPr>
          <w:rFonts w:ascii="Palatino Linotype" w:hAnsi="Palatino Linotype" w:cs="Arial"/>
          <w:lang w:val="es-ES_tradnl"/>
        </w:rPr>
        <w:t>, se turnó, a través del</w:t>
      </w:r>
      <w:r>
        <w:rPr>
          <w:rFonts w:ascii="Palatino Linotype" w:eastAsia="Arial Unicode MS" w:hAnsi="Palatino Linotype" w:cs="Arial"/>
          <w:lang w:val="es-ES_tradnl"/>
        </w:rPr>
        <w:t xml:space="preserve"> </w:t>
      </w:r>
      <w:r>
        <w:rPr>
          <w:rFonts w:ascii="Palatino Linotype" w:eastAsia="Arial Unicode MS" w:hAnsi="Palatino Linotype" w:cs="Arial"/>
          <w:b/>
          <w:lang w:val="es-ES_tradnl"/>
        </w:rPr>
        <w:t>SAIMEX</w:t>
      </w:r>
      <w:r>
        <w:rPr>
          <w:rFonts w:ascii="Palatino Linotype" w:hAnsi="Palatino Linotype"/>
        </w:rPr>
        <w:t xml:space="preserve">, a la </w:t>
      </w:r>
      <w:r>
        <w:rPr>
          <w:rFonts w:ascii="Palatino Linotype" w:hAnsi="Palatino Linotype" w:cs="Arial"/>
          <w:lang w:val="es-ES_tradnl"/>
        </w:rPr>
        <w:t xml:space="preserve">Comisionada </w:t>
      </w:r>
      <w:r>
        <w:rPr>
          <w:rFonts w:ascii="Palatino Linotype" w:hAnsi="Palatino Linotype" w:cs="Arial"/>
          <w:b/>
          <w:lang w:val="es-ES_tradnl"/>
        </w:rPr>
        <w:t>EVA ABAID YAPUR</w:t>
      </w:r>
      <w:r>
        <w:rPr>
          <w:rFonts w:ascii="Palatino Linotype" w:hAnsi="Palatino Linotype" w:cs="Arial"/>
          <w:lang w:val="es-ES_tradnl"/>
        </w:rPr>
        <w:t>, a efecto de que decretara su admisión o desechamiento.</w:t>
      </w:r>
    </w:p>
    <w:p w:rsidR="005A6B36" w:rsidRDefault="0049607E">
      <w:pPr>
        <w:widowControl w:val="0"/>
        <w:numPr>
          <w:ilvl w:val="0"/>
          <w:numId w:val="1"/>
        </w:numPr>
        <w:tabs>
          <w:tab w:val="left" w:pos="0"/>
        </w:tabs>
        <w:spacing w:before="240" w:after="240" w:line="360" w:lineRule="auto"/>
        <w:ind w:left="0" w:firstLine="0"/>
        <w:jc w:val="both"/>
        <w:rPr>
          <w:rFonts w:ascii="Palatino Linotype" w:hAnsi="Palatino Linotype" w:cs="Arial"/>
        </w:rPr>
      </w:pPr>
      <w:r>
        <w:rPr>
          <w:rFonts w:ascii="Palatino Linotype" w:hAnsi="Palatino Linotype" w:cs="Arial"/>
        </w:rPr>
        <w:t>En fecha</w:t>
      </w:r>
      <w:r>
        <w:rPr>
          <w:rFonts w:ascii="Palatino Linotype" w:hAnsi="Palatino Linotype"/>
        </w:rPr>
        <w:t xml:space="preserve"> diecisiete de marzo de dos mil veinte</w:t>
      </w:r>
      <w:r>
        <w:rPr>
          <w:rFonts w:ascii="Palatino Linotype" w:hAnsi="Palatino Linotype" w:cs="Arial"/>
        </w:rPr>
        <w:t xml:space="preserve">, atento a lo dispuesto en el artículo 185, fracciones I, II y IV, de la </w:t>
      </w:r>
      <w:r>
        <w:rPr>
          <w:rFonts w:ascii="Palatino Linotype" w:hAnsi="Palatino Linotype"/>
        </w:rPr>
        <w:t xml:space="preserve">Ley de Transparencia y Acceso a la Información Pública del </w:t>
      </w:r>
      <w:r>
        <w:rPr>
          <w:rFonts w:ascii="Palatino Linotype" w:hAnsi="Palatino Linotype" w:cs="Arial"/>
        </w:rPr>
        <w:t>Estado</w:t>
      </w:r>
      <w:r>
        <w:rPr>
          <w:rFonts w:ascii="Palatino Linotype" w:hAnsi="Palatino Linotype"/>
        </w:rPr>
        <w:t xml:space="preserve"> de México y </w:t>
      </w:r>
      <w:r>
        <w:rPr>
          <w:rFonts w:ascii="Palatino Linotype" w:hAnsi="Palatino Linotype" w:cs="Arial"/>
          <w:lang w:val="es-ES_tradnl"/>
        </w:rPr>
        <w:t>Municipios</w:t>
      </w:r>
      <w:r>
        <w:rPr>
          <w:rFonts w:ascii="Palatino Linotype" w:hAnsi="Palatino Linotype"/>
        </w:rPr>
        <w:t>, se a</w:t>
      </w:r>
      <w:r>
        <w:rPr>
          <w:rFonts w:ascii="Palatino Linotype" w:hAnsi="Palatino Linotype" w:cs="Arial"/>
        </w:rPr>
        <w:t xml:space="preserve">cordó la admisión a trámite del referido recurso de </w:t>
      </w:r>
      <w:r>
        <w:rPr>
          <w:rFonts w:ascii="Palatino Linotype" w:hAnsi="Palatino Linotype" w:cs="Arial"/>
          <w:lang w:val="es-ES_tradnl"/>
        </w:rPr>
        <w:t>revisión</w:t>
      </w:r>
      <w:r>
        <w:rPr>
          <w:rFonts w:ascii="Palatino Linotype" w:hAnsi="Palatino Linotype" w:cs="Arial"/>
        </w:rPr>
        <w:t xml:space="preserve">, así como la </w:t>
      </w:r>
      <w:r>
        <w:rPr>
          <w:rFonts w:ascii="Palatino Linotype" w:hAnsi="Palatino Linotype" w:cs="Arial"/>
          <w:lang w:val="es-ES_tradnl"/>
        </w:rPr>
        <w:t>integración</w:t>
      </w:r>
      <w:r>
        <w:rPr>
          <w:rFonts w:ascii="Palatino Linotype" w:hAnsi="Palatino Linotype" w:cs="Arial"/>
        </w:rPr>
        <w:t xml:space="preserve"> del expediente respectivo, mismo que se puso a disposición de las partes, para que en el plazo máximo de siete días hábiles, </w:t>
      </w:r>
      <w:r>
        <w:rPr>
          <w:rFonts w:ascii="Palatino Linotype" w:hAnsi="Palatino Linotype" w:cs="Arial"/>
          <w:b/>
        </w:rPr>
        <w:t>EL RECURRENTE</w:t>
      </w:r>
      <w:r>
        <w:rPr>
          <w:rFonts w:ascii="Palatino Linotype" w:hAnsi="Palatino Linotype" w:cs="Arial"/>
        </w:rPr>
        <w:t xml:space="preserve"> realizara manifestaciones, alegatos y ofreciera las pruebas que a su derecho </w:t>
      </w:r>
      <w:r>
        <w:rPr>
          <w:rFonts w:ascii="Palatino Linotype" w:hAnsi="Palatino Linotype" w:cs="Arial"/>
          <w:lang w:val="es-ES_tradnl"/>
        </w:rPr>
        <w:t>conviniera</w:t>
      </w:r>
      <w:r>
        <w:rPr>
          <w:rFonts w:ascii="Palatino Linotype" w:hAnsi="Palatino Linotype" w:cs="Arial"/>
        </w:rPr>
        <w:t xml:space="preserve"> y, en el caso del</w:t>
      </w:r>
      <w:r>
        <w:rPr>
          <w:rFonts w:ascii="Palatino Linotype" w:hAnsi="Palatino Linotype" w:cs="Arial"/>
          <w:b/>
        </w:rPr>
        <w:t xml:space="preserve"> SUJETO OBLIGADO</w:t>
      </w:r>
      <w:r>
        <w:rPr>
          <w:rFonts w:ascii="Palatino Linotype" w:hAnsi="Palatino Linotype" w:cs="Arial"/>
        </w:rPr>
        <w:t>, para que exhibiera el Informe Justificado correspondiente.</w:t>
      </w:r>
    </w:p>
    <w:p w:rsidR="005A6B36" w:rsidRDefault="0049607E">
      <w:pPr>
        <w:widowControl w:val="0"/>
        <w:numPr>
          <w:ilvl w:val="0"/>
          <w:numId w:val="1"/>
        </w:numPr>
        <w:tabs>
          <w:tab w:val="left" w:pos="0"/>
        </w:tabs>
        <w:spacing w:before="240" w:after="240" w:line="360" w:lineRule="auto"/>
        <w:ind w:left="0" w:firstLine="0"/>
        <w:jc w:val="both"/>
        <w:rPr>
          <w:rFonts w:ascii="Palatino Linotype" w:hAnsi="Palatino Linotype" w:cs="Arial"/>
          <w:b/>
          <w:i/>
        </w:rPr>
      </w:pPr>
      <w:r>
        <w:rPr>
          <w:rFonts w:ascii="Palatino Linotype" w:hAnsi="Palatino Linotype" w:cs="Arial"/>
          <w:lang w:val="es-ES"/>
        </w:rPr>
        <w:t>En cumplimiento a lo anterior, de las constancias del expediente electrónico del</w:t>
      </w:r>
      <w:r>
        <w:rPr>
          <w:rFonts w:ascii="Palatino Linotype" w:hAnsi="Palatino Linotype" w:cs="Arial"/>
          <w:b/>
          <w:lang w:val="es-ES"/>
        </w:rPr>
        <w:t xml:space="preserve"> SAIMEX</w:t>
      </w:r>
      <w:r>
        <w:rPr>
          <w:rFonts w:ascii="Palatino Linotype" w:hAnsi="Palatino Linotype" w:cs="Arial"/>
          <w:lang w:val="es-ES"/>
        </w:rPr>
        <w:t xml:space="preserve">, se observó que </w:t>
      </w:r>
      <w:r>
        <w:rPr>
          <w:rFonts w:ascii="Palatino Linotype" w:eastAsia="Arial Unicode MS" w:hAnsi="Palatino Linotype" w:cs="Arial"/>
        </w:rPr>
        <w:t xml:space="preserve">en fecha cuatro de agosto de dos mil veinte, </w:t>
      </w:r>
      <w:r>
        <w:rPr>
          <w:rFonts w:ascii="Palatino Linotype" w:eastAsia="Arial Unicode MS" w:hAnsi="Palatino Linotype" w:cs="Arial"/>
          <w:b/>
          <w:color w:val="000000"/>
          <w:lang w:eastAsia="es-MX"/>
        </w:rPr>
        <w:t xml:space="preserve">EL SUJETO </w:t>
      </w:r>
      <w:r>
        <w:rPr>
          <w:rFonts w:ascii="Palatino Linotype" w:eastAsia="Arial Unicode MS" w:hAnsi="Palatino Linotype" w:cs="Arial"/>
          <w:b/>
          <w:color w:val="000000"/>
          <w:lang w:eastAsia="es-MX"/>
        </w:rPr>
        <w:lastRenderedPageBreak/>
        <w:t>OBLIGADO</w:t>
      </w:r>
      <w:r>
        <w:rPr>
          <w:rFonts w:ascii="Palatino Linotype" w:eastAsia="Arial Unicode MS" w:hAnsi="Palatino Linotype" w:cs="Arial"/>
        </w:rPr>
        <w:t xml:space="preserve"> </w:t>
      </w:r>
      <w:r>
        <w:rPr>
          <w:rFonts w:ascii="Palatino Linotype" w:hAnsi="Palatino Linotype"/>
          <w:lang w:val="es-ES_tradnl"/>
        </w:rPr>
        <w:t xml:space="preserve">rindió su Informe Justificado adjuntando el archivo electrónico </w:t>
      </w:r>
      <w:hyperlink r:id="rId11">
        <w:r>
          <w:rPr>
            <w:rStyle w:val="EnlacedeInternet"/>
            <w:rFonts w:ascii="Palatino Linotype" w:hAnsi="Palatino Linotype"/>
            <w:b/>
            <w:bCs/>
            <w:i/>
            <w:color w:val="auto"/>
          </w:rPr>
          <w:t>RR01517.pdf</w:t>
        </w:r>
      </w:hyperlink>
      <w:r>
        <w:rPr>
          <w:rFonts w:ascii="Palatino Linotype" w:hAnsi="Palatino Linotype"/>
          <w:i/>
          <w:lang w:val="es-ES_tradnl"/>
        </w:rPr>
        <w:t xml:space="preserve">, </w:t>
      </w:r>
      <w:r>
        <w:rPr>
          <w:rFonts w:ascii="Palatino Linotype" w:hAnsi="Palatino Linotype"/>
          <w:lang w:val="es-ES_tradnl"/>
        </w:rPr>
        <w:t>consistente en el oficio de fecha tres de agosto de dos mil veinte,</w:t>
      </w:r>
      <w:r>
        <w:rPr>
          <w:rFonts w:ascii="Palatino Linotype" w:hAnsi="Palatino Linotype"/>
          <w:b/>
          <w:i/>
          <w:lang w:val="es-ES_tradnl"/>
        </w:rPr>
        <w:t xml:space="preserve"> </w:t>
      </w:r>
      <w:r>
        <w:rPr>
          <w:rFonts w:ascii="Palatino Linotype" w:hAnsi="Palatino Linotype"/>
          <w:lang w:val="es-ES_tradnl"/>
        </w:rPr>
        <w:t xml:space="preserve">mediante el cual, la Titular de la Unidad de Transparencia, modificó su respuesta inicial y pegó las imágenes de los oficios dirigidos y remitidos por los Servidores Públicos Habilitados señalados en respuesta, también se pronunció sobre la inexistencia sin la aprobación del Comité de Transparencia señalada por </w:t>
      </w:r>
      <w:r>
        <w:rPr>
          <w:rFonts w:ascii="Palatino Linotype" w:hAnsi="Palatino Linotype"/>
          <w:b/>
          <w:lang w:val="es-ES_tradnl"/>
        </w:rPr>
        <w:t xml:space="preserve">EL RECURRENTE, </w:t>
      </w:r>
      <w:r>
        <w:rPr>
          <w:rFonts w:ascii="Palatino Linotype" w:hAnsi="Palatino Linotype"/>
          <w:lang w:val="es-ES_tradnl"/>
        </w:rPr>
        <w:t xml:space="preserve">argumentando que la respuesta proporcionada no es una inexistencia y únicamente señaló que no existe ningún contrato entre </w:t>
      </w:r>
      <w:r>
        <w:rPr>
          <w:rFonts w:ascii="Palatino Linotype" w:hAnsi="Palatino Linotype"/>
          <w:b/>
          <w:lang w:val="es-ES_tradnl"/>
        </w:rPr>
        <w:t>EL SUJETO OBLIGADO</w:t>
      </w:r>
      <w:r>
        <w:rPr>
          <w:rFonts w:ascii="Palatino Linotype" w:hAnsi="Palatino Linotype"/>
          <w:lang w:val="es-ES_tradnl"/>
        </w:rPr>
        <w:t xml:space="preserve"> y las empresas señaladas en la solitud y respeto del Informe Anual de Evaluación 2015, refirió que esta no tienen relación con lo requerido.</w:t>
      </w:r>
    </w:p>
    <w:p w:rsidR="005A6B36" w:rsidRDefault="0049607E">
      <w:pPr>
        <w:widowControl w:val="0"/>
        <w:tabs>
          <w:tab w:val="left" w:pos="0"/>
        </w:tabs>
        <w:spacing w:before="240" w:after="240" w:line="360" w:lineRule="auto"/>
        <w:jc w:val="both"/>
        <w:rPr>
          <w:rFonts w:ascii="Palatino Linotype" w:hAnsi="Palatino Linotype" w:cs="Arial"/>
          <w:b/>
          <w:i/>
        </w:rPr>
      </w:pPr>
      <w:r>
        <w:rPr>
          <w:rFonts w:ascii="Palatino Linotype" w:eastAsia="Arial Unicode MS" w:hAnsi="Palatino Linotype" w:cs="Arial"/>
        </w:rPr>
        <w:t xml:space="preserve">Atento a lo anterior y en razón a que </w:t>
      </w:r>
      <w:r>
        <w:rPr>
          <w:rFonts w:ascii="Palatino Linotype" w:eastAsia="Arial Unicode MS" w:hAnsi="Palatino Linotype" w:cs="Arial"/>
          <w:lang w:val="es-ES_tradnl"/>
        </w:rPr>
        <w:t xml:space="preserve">se actualizó lo dispuesto por la fracción III del artículo 185 de la Ley de Transparencia y Acceso a la Información Pública de Estado de México, el Informe Justificado fue puesto a la vista del </w:t>
      </w:r>
      <w:r>
        <w:rPr>
          <w:rFonts w:ascii="Palatino Linotype" w:eastAsia="Arial Unicode MS" w:hAnsi="Palatino Linotype" w:cs="Arial"/>
          <w:b/>
          <w:lang w:val="es-ES_tradnl"/>
        </w:rPr>
        <w:t xml:space="preserve">RECURRENTE </w:t>
      </w:r>
      <w:r>
        <w:rPr>
          <w:rFonts w:ascii="Palatino Linotype" w:eastAsia="Arial Unicode MS" w:hAnsi="Palatino Linotype" w:cs="Arial"/>
          <w:lang w:val="es-ES_tradnl"/>
        </w:rPr>
        <w:t>en fecha</w:t>
      </w:r>
      <w:r>
        <w:rPr>
          <w:rFonts w:ascii="Palatino Linotype" w:eastAsia="Arial Unicode MS" w:hAnsi="Palatino Linotype" w:cs="Arial"/>
          <w:b/>
          <w:lang w:val="es-ES_tradnl"/>
        </w:rPr>
        <w:t xml:space="preserve"> </w:t>
      </w:r>
      <w:r>
        <w:rPr>
          <w:rFonts w:ascii="Palatino Linotype" w:eastAsia="Arial Unicode MS" w:hAnsi="Palatino Linotype" w:cs="Arial"/>
          <w:lang w:val="es-ES_tradnl"/>
        </w:rPr>
        <w:t>once de agosto de dos mil veinte, a efecto de que manifestara lo que a su derecho corresponda, situación que no aconteció, tal y como se observa a continuación:</w:t>
      </w:r>
    </w:p>
    <w:p w:rsidR="005A6B36" w:rsidRDefault="0049607E">
      <w:pPr>
        <w:pStyle w:val="Prrafodelista"/>
        <w:widowControl w:val="0"/>
        <w:tabs>
          <w:tab w:val="left" w:pos="360"/>
        </w:tabs>
        <w:spacing w:line="360" w:lineRule="auto"/>
        <w:ind w:left="0"/>
        <w:jc w:val="both"/>
        <w:rPr>
          <w:rFonts w:ascii="Palatino Linotype" w:eastAsia="Arial Unicode MS" w:hAnsi="Palatino Linotype" w:cs="Arial"/>
          <w:lang w:val="es-ES_tradnl"/>
        </w:rPr>
      </w:pPr>
      <w:r>
        <w:rPr>
          <w:noProof/>
          <w:lang w:eastAsia="es-MX"/>
        </w:rPr>
        <w:drawing>
          <wp:inline distT="0" distB="0" distL="0" distR="0">
            <wp:extent cx="5848350" cy="2381250"/>
            <wp:effectExtent l="0" t="0" r="0" b="0"/>
            <wp:docPr id="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8"/>
                    <pic:cNvPicPr>
                      <a:picLocks noChangeAspect="1" noChangeArrowheads="1"/>
                    </pic:cNvPicPr>
                  </pic:nvPicPr>
                  <pic:blipFill>
                    <a:blip r:embed="rId12"/>
                    <a:srcRect l="15425" t="31929" r="15613" b="38292"/>
                    <a:stretch>
                      <a:fillRect/>
                    </a:stretch>
                  </pic:blipFill>
                  <pic:spPr bwMode="auto">
                    <a:xfrm>
                      <a:off x="0" y="0"/>
                      <a:ext cx="5848350" cy="2381250"/>
                    </a:xfrm>
                    <a:prstGeom prst="rect">
                      <a:avLst/>
                    </a:prstGeom>
                  </pic:spPr>
                </pic:pic>
              </a:graphicData>
            </a:graphic>
          </wp:inline>
        </w:drawing>
      </w:r>
    </w:p>
    <w:p w:rsidR="005A6B36" w:rsidRDefault="0049607E">
      <w:pPr>
        <w:numPr>
          <w:ilvl w:val="0"/>
          <w:numId w:val="1"/>
        </w:numPr>
        <w:spacing w:line="360" w:lineRule="auto"/>
        <w:ind w:left="0" w:firstLine="0"/>
        <w:jc w:val="both"/>
        <w:rPr>
          <w:rFonts w:ascii="Palatino Linotype" w:hAnsi="Palatino Linotype"/>
        </w:rPr>
      </w:pPr>
      <w:r>
        <w:rPr>
          <w:rFonts w:ascii="Palatino Linotype" w:hAnsi="Palatino Linotype" w:cs="Arial"/>
        </w:rPr>
        <w:lastRenderedPageBreak/>
        <w:t xml:space="preserve">Una vez </w:t>
      </w:r>
      <w:r>
        <w:rPr>
          <w:rFonts w:ascii="Palatino Linotype" w:hAnsi="Palatino Linotype" w:cs="Arial"/>
          <w:color w:val="000000" w:themeColor="text1"/>
        </w:rPr>
        <w:t>analizado</w:t>
      </w:r>
      <w:r>
        <w:rPr>
          <w:rFonts w:ascii="Palatino Linotype" w:hAnsi="Palatino Linotype" w:cs="Arial"/>
        </w:rPr>
        <w:t xml:space="preserve"> el estado procesal que guardaba el expediente, en fecha diecinueve de agosto de dos mil veinte, la Comisionada Ponente acordó el cierre de instrucción; así </w:t>
      </w:r>
      <w:r>
        <w:rPr>
          <w:rFonts w:ascii="Palatino Linotype" w:hAnsi="Palatino Linotype" w:cs="Arial"/>
          <w:lang w:val="es-ES_tradnl"/>
        </w:rPr>
        <w:t>como,</w:t>
      </w:r>
      <w:r>
        <w:rPr>
          <w:rFonts w:ascii="Palatino Linotype" w:hAnsi="Palatino Linotype" w:cs="Arial"/>
        </w:rPr>
        <w:t xml:space="preserve"> la remisión del mismo a efecto </w:t>
      </w:r>
      <w:r>
        <w:rPr>
          <w:rFonts w:ascii="Palatino Linotype" w:hAnsi="Palatino Linotype" w:cs="Arial"/>
          <w:lang w:val="es-ES_tradnl"/>
        </w:rPr>
        <w:t>de</w:t>
      </w:r>
      <w:r>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 y</w:t>
      </w:r>
      <w:bookmarkStart w:id="2" w:name="_Ref507070922"/>
      <w:bookmarkEnd w:id="2"/>
    </w:p>
    <w:p w:rsidR="005A6B36" w:rsidRDefault="0049607E">
      <w:pPr>
        <w:pStyle w:val="Prrafodelista"/>
        <w:tabs>
          <w:tab w:val="left" w:pos="709"/>
        </w:tabs>
        <w:spacing w:beforeAutospacing="1" w:afterAutospacing="1" w:line="360" w:lineRule="auto"/>
        <w:ind w:left="0"/>
        <w:jc w:val="center"/>
        <w:rPr>
          <w:rFonts w:ascii="Palatino Linotype" w:hAnsi="Palatino Linotype"/>
          <w:b/>
          <w:bCs/>
          <w:spacing w:val="60"/>
          <w:sz w:val="28"/>
        </w:rPr>
      </w:pPr>
      <w:r>
        <w:rPr>
          <w:rFonts w:ascii="Palatino Linotype" w:hAnsi="Palatino Linotype"/>
          <w:b/>
          <w:bCs/>
          <w:spacing w:val="60"/>
          <w:sz w:val="28"/>
        </w:rPr>
        <w:t>CONSIDERANDO</w:t>
      </w:r>
    </w:p>
    <w:p w:rsidR="005A6B36" w:rsidRDefault="0049607E">
      <w:pPr>
        <w:pStyle w:val="Prrafodelista"/>
        <w:widowControl w:val="0"/>
        <w:numPr>
          <w:ilvl w:val="0"/>
          <w:numId w:val="2"/>
        </w:numPr>
        <w:tabs>
          <w:tab w:val="left" w:pos="1701"/>
          <w:tab w:val="left" w:pos="1843"/>
        </w:tabs>
        <w:spacing w:before="240" w:line="360" w:lineRule="auto"/>
        <w:ind w:left="0" w:firstLine="0"/>
        <w:jc w:val="both"/>
        <w:rPr>
          <w:rFonts w:ascii="Palatino Linotype" w:hAnsi="Palatino Linotype" w:cs="Arial"/>
        </w:rPr>
      </w:pPr>
      <w:r>
        <w:rPr>
          <w:rFonts w:ascii="Palatino Linotype" w:hAnsi="Palatino Linotype"/>
          <w:b/>
        </w:rPr>
        <w:t>Competencia</w:t>
      </w:r>
      <w:r>
        <w:rPr>
          <w:rFonts w:ascii="Palatino Linotype" w:hAnsi="Palatino Linotype"/>
        </w:rPr>
        <w:t>.</w:t>
      </w:r>
      <w:r>
        <w:rPr>
          <w:rFonts w:ascii="Palatino Linotype" w:hAnsi="Palatino Linotype"/>
          <w:b/>
        </w:rPr>
        <w:t xml:space="preserve"> </w:t>
      </w:r>
      <w:r>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Pr>
          <w:rFonts w:ascii="Palatino Linotype" w:hAnsi="Palatino Linotype" w:cs="Arial"/>
        </w:rPr>
        <w:t>.</w:t>
      </w:r>
    </w:p>
    <w:p w:rsidR="005A6B36" w:rsidRDefault="0049607E">
      <w:pPr>
        <w:pStyle w:val="Prrafodelista"/>
        <w:widowControl w:val="0"/>
        <w:numPr>
          <w:ilvl w:val="0"/>
          <w:numId w:val="2"/>
        </w:numPr>
        <w:tabs>
          <w:tab w:val="left" w:pos="1701"/>
          <w:tab w:val="left" w:pos="1843"/>
        </w:tabs>
        <w:spacing w:before="240" w:line="360" w:lineRule="auto"/>
        <w:ind w:left="0" w:firstLine="0"/>
        <w:jc w:val="both"/>
        <w:rPr>
          <w:rFonts w:ascii="Palatino Linotype" w:hAnsi="Palatino Linotype" w:cs="Arial"/>
          <w:lang w:val="es-ES_tradnl"/>
        </w:rPr>
      </w:pPr>
      <w:r>
        <w:rPr>
          <w:rFonts w:ascii="Palatino Linotype" w:hAnsi="Palatino Linotype" w:cs="Arial"/>
          <w:b/>
        </w:rPr>
        <w:t xml:space="preserve"> Interés.</w:t>
      </w:r>
      <w:r>
        <w:rPr>
          <w:rFonts w:ascii="Palatino Linotype" w:hAnsi="Palatino Linotype" w:cs="Arial"/>
        </w:rPr>
        <w:t xml:space="preserve"> El </w:t>
      </w:r>
      <w:r>
        <w:rPr>
          <w:rFonts w:ascii="Palatino Linotype" w:hAnsi="Palatino Linotype"/>
        </w:rPr>
        <w:t>recurso</w:t>
      </w:r>
      <w:r>
        <w:rPr>
          <w:rFonts w:ascii="Palatino Linotype" w:hAnsi="Palatino Linotype" w:cs="Arial"/>
        </w:rPr>
        <w:t xml:space="preserve"> de revisión fue </w:t>
      </w:r>
      <w:r>
        <w:rPr>
          <w:rFonts w:ascii="Palatino Linotype" w:hAnsi="Palatino Linotype"/>
        </w:rPr>
        <w:t>interpuesto</w:t>
      </w:r>
      <w:r>
        <w:rPr>
          <w:rFonts w:ascii="Palatino Linotype" w:hAnsi="Palatino Linotype" w:cs="Arial"/>
        </w:rPr>
        <w:t xml:space="preserve"> por parte legítima en atención a que fue </w:t>
      </w:r>
      <w:r>
        <w:rPr>
          <w:rFonts w:ascii="Palatino Linotype" w:hAnsi="Palatino Linotype"/>
        </w:rPr>
        <w:t>presentado</w:t>
      </w:r>
      <w:r>
        <w:rPr>
          <w:rFonts w:ascii="Palatino Linotype" w:hAnsi="Palatino Linotype" w:cs="Arial"/>
        </w:rPr>
        <w:t xml:space="preserve"> por </w:t>
      </w:r>
      <w:r>
        <w:rPr>
          <w:rFonts w:ascii="Palatino Linotype" w:hAnsi="Palatino Linotype" w:cs="Arial"/>
          <w:b/>
        </w:rPr>
        <w:t>EL RECURRENTE</w:t>
      </w:r>
      <w:r>
        <w:rPr>
          <w:rFonts w:ascii="Palatino Linotype" w:hAnsi="Palatino Linotype" w:cs="Arial"/>
        </w:rPr>
        <w:t xml:space="preserve">, quien </w:t>
      </w:r>
      <w:r>
        <w:rPr>
          <w:rFonts w:ascii="Palatino Linotype" w:hAnsi="Palatino Linotype"/>
        </w:rPr>
        <w:t>formuló</w:t>
      </w:r>
      <w:r>
        <w:rPr>
          <w:rFonts w:ascii="Palatino Linotype" w:hAnsi="Palatino Linotype" w:cs="Arial"/>
        </w:rPr>
        <w:t xml:space="preserve"> la solicitud de información pública </w:t>
      </w:r>
      <w:r>
        <w:rPr>
          <w:rFonts w:ascii="Palatino Linotype" w:hAnsi="Palatino Linotype"/>
        </w:rPr>
        <w:t xml:space="preserve">número </w:t>
      </w:r>
      <w:r>
        <w:rPr>
          <w:rFonts w:ascii="Palatino Linotype" w:hAnsi="Palatino Linotype"/>
          <w:b/>
          <w:bCs/>
        </w:rPr>
        <w:t>00057/SSEM/IP/2020.</w:t>
      </w:r>
    </w:p>
    <w:p w:rsidR="005A6B36" w:rsidRDefault="0049607E">
      <w:pPr>
        <w:pStyle w:val="Prrafodelista"/>
        <w:widowControl w:val="0"/>
        <w:numPr>
          <w:ilvl w:val="0"/>
          <w:numId w:val="2"/>
        </w:numPr>
        <w:tabs>
          <w:tab w:val="left" w:pos="1701"/>
          <w:tab w:val="left" w:pos="1843"/>
        </w:tabs>
        <w:spacing w:before="240" w:afterAutospacing="1" w:line="360" w:lineRule="auto"/>
        <w:ind w:left="0" w:firstLine="0"/>
        <w:jc w:val="both"/>
        <w:rPr>
          <w:rFonts w:ascii="Palatino Linotype" w:hAnsi="Palatino Linotype" w:cs="Arial"/>
        </w:rPr>
      </w:pPr>
      <w:r>
        <w:rPr>
          <w:rFonts w:ascii="Palatino Linotype" w:hAnsi="Palatino Linotype" w:cs="Arial"/>
          <w:b/>
        </w:rPr>
        <w:t xml:space="preserve">Oportunidad. </w:t>
      </w:r>
      <w:r>
        <w:rPr>
          <w:rFonts w:ascii="Palatino Linotype" w:hAnsi="Palatino Linotype" w:cs="Arial"/>
        </w:rPr>
        <w:t xml:space="preserve">El recurso de revisión fue interpuesto dentro del plazo </w:t>
      </w:r>
      <w:r>
        <w:rPr>
          <w:rFonts w:ascii="Palatino Linotype" w:hAnsi="Palatino Linotype" w:cs="Arial"/>
        </w:rPr>
        <w:lastRenderedPageBreak/>
        <w:t xml:space="preserve">de quince días hábiles contados a partir del día siguiente al en que </w:t>
      </w:r>
      <w:r>
        <w:rPr>
          <w:rFonts w:ascii="Palatino Linotype" w:hAnsi="Palatino Linotype" w:cs="Arial"/>
          <w:b/>
        </w:rPr>
        <w:t xml:space="preserve">EL RECURRENTE </w:t>
      </w:r>
      <w:r>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5A6B36" w:rsidRDefault="005A6B36">
      <w:pPr>
        <w:ind w:left="851" w:right="902"/>
        <w:jc w:val="both"/>
        <w:rPr>
          <w:rFonts w:ascii="Palatino Linotype" w:eastAsiaTheme="minorEastAsia" w:hAnsi="Palatino Linotype" w:cs="Arial"/>
          <w:szCs w:val="20"/>
          <w:lang w:val="es-ES_tradnl"/>
        </w:rPr>
      </w:pPr>
    </w:p>
    <w:p w:rsidR="005A6B36" w:rsidRDefault="0049607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b/>
          <w:i/>
          <w:sz w:val="22"/>
          <w:szCs w:val="22"/>
          <w:lang w:val="es-ES_tradnl"/>
        </w:rPr>
        <w:t>“Artículo 178.</w:t>
      </w:r>
      <w:r>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A6B36" w:rsidRDefault="0049607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A6B36" w:rsidRDefault="0049607E">
      <w:pPr>
        <w:tabs>
          <w:tab w:val="left" w:pos="851"/>
        </w:tabs>
        <w:ind w:left="851" w:right="901"/>
        <w:jc w:val="both"/>
        <w:rPr>
          <w:rFonts w:ascii="Palatino Linotype" w:eastAsiaTheme="minorEastAsia" w:hAnsi="Palatino Linotype" w:cs="Arial"/>
          <w:i/>
          <w:sz w:val="22"/>
          <w:szCs w:val="22"/>
          <w:lang w:val="es-ES_tradnl"/>
        </w:rPr>
      </w:pPr>
      <w:r>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Pr>
          <w:rFonts w:ascii="Palatino Linotype" w:eastAsiaTheme="minorEastAsia" w:hAnsi="Palatino Linotype" w:cs="Arial"/>
          <w:b/>
          <w:i/>
          <w:sz w:val="22"/>
          <w:szCs w:val="22"/>
          <w:lang w:val="es-ES_tradnl"/>
        </w:rPr>
        <w:t>”</w:t>
      </w:r>
    </w:p>
    <w:p w:rsidR="005A6B36" w:rsidRDefault="005A6B36">
      <w:pPr>
        <w:ind w:left="851" w:right="902"/>
        <w:jc w:val="both"/>
        <w:rPr>
          <w:rFonts w:ascii="Palatino Linotype" w:eastAsiaTheme="minorEastAsia" w:hAnsi="Palatino Linotype" w:cs="Arial"/>
          <w:szCs w:val="20"/>
          <w:lang w:val="es-ES_tradnl"/>
        </w:rPr>
      </w:pPr>
    </w:p>
    <w:p w:rsidR="005A6B36" w:rsidRDefault="0049607E">
      <w:pPr>
        <w:spacing w:line="360" w:lineRule="auto"/>
        <w:jc w:val="both"/>
        <w:rPr>
          <w:rFonts w:ascii="Palatino Linotype" w:hAnsi="Palatino Linotype" w:cs="Arial"/>
        </w:rPr>
      </w:pPr>
      <w:r>
        <w:rPr>
          <w:rFonts w:ascii="Palatino Linotype" w:eastAsiaTheme="minorEastAsia" w:hAnsi="Palatino Linotype" w:cs="Arial"/>
          <w:lang w:val="es-ES_tradnl"/>
        </w:rPr>
        <w:t xml:space="preserve">En efecto, atendiendo a que </w:t>
      </w:r>
      <w:r>
        <w:rPr>
          <w:rFonts w:ascii="Palatino Linotype" w:eastAsiaTheme="minorEastAsia" w:hAnsi="Palatino Linotype" w:cs="Arial"/>
          <w:b/>
          <w:lang w:val="es-ES_tradnl"/>
        </w:rPr>
        <w:t>EL SUJETO OBLIGADO</w:t>
      </w:r>
      <w:r>
        <w:rPr>
          <w:rFonts w:ascii="Palatino Linotype" w:eastAsiaTheme="minorEastAsia" w:hAnsi="Palatino Linotype" w:cs="Arial"/>
          <w:lang w:val="es-ES_tradnl"/>
        </w:rPr>
        <w:t xml:space="preserve"> notificó la respuesta a la solicitud de información pública el</w:t>
      </w:r>
      <w:r>
        <w:rPr>
          <w:rFonts w:ascii="Palatino Linotype" w:eastAsiaTheme="minorEastAsia" w:hAnsi="Palatino Linotype" w:cs="Arial"/>
          <w:b/>
          <w:lang w:val="es-ES_tradnl"/>
        </w:rPr>
        <w:t xml:space="preserve"> dieciocho de febrero de dos mil veinte; </w:t>
      </w:r>
      <w:r>
        <w:rPr>
          <w:rFonts w:ascii="Palatino Linotype" w:hAnsi="Palatino Linotype" w:cs="Arial"/>
        </w:rPr>
        <w:t xml:space="preserve">en consecuencia, el plazo de quince días hábiles que el artículo 178 de la ley de la materia otorga al </w:t>
      </w:r>
      <w:r>
        <w:rPr>
          <w:rFonts w:ascii="Palatino Linotype" w:hAnsi="Palatino Linotype" w:cs="Arial"/>
          <w:b/>
        </w:rPr>
        <w:t>RECURRENTE</w:t>
      </w:r>
      <w:r>
        <w:rPr>
          <w:rFonts w:ascii="Palatino Linotype" w:hAnsi="Palatino Linotype" w:cs="Arial"/>
        </w:rPr>
        <w:t xml:space="preserve"> para presentar el recurso de revisión, transcurrió del</w:t>
      </w:r>
      <w:r>
        <w:rPr>
          <w:rFonts w:ascii="Palatino Linotype" w:hAnsi="Palatino Linotype" w:cs="Arial"/>
          <w:b/>
        </w:rPr>
        <w:t xml:space="preserve"> diecinueve de febrero al doce de marzo de dos mil veinte</w:t>
      </w:r>
      <w:r>
        <w:rPr>
          <w:rFonts w:ascii="Palatino Linotype" w:hAnsi="Palatino Linotype" w:cs="Arial"/>
        </w:rPr>
        <w:t xml:space="preserve">, sin contemplar en el cómputo los días veintidós, veintitrés y veintinueve de febrero de dos mil veinte; uno, siete y ocho de marzo de dos mil veinte, por corresponder a sábados y domingos, considerados como días inhábiles; en términos del artículo 3, fracción X de la </w:t>
      </w:r>
      <w:r>
        <w:rPr>
          <w:rFonts w:ascii="Palatino Linotype" w:hAnsi="Palatino Linotype"/>
        </w:rPr>
        <w:t>Ley de Transparencia y Acceso a la Información Pública del Estado de México y Municipios</w:t>
      </w:r>
      <w:r>
        <w:rPr>
          <w:rFonts w:ascii="Palatino Linotype" w:hAnsi="Palatino Linotype" w:cs="Arial"/>
        </w:rPr>
        <w:t xml:space="preserve">; así como el día nueve de marzo de dos mil veinte, de conformidad con el Acuerdo de Pleno, de fecha cinco de marzo de dos mil veinte, por el que se acordó que el día nueve de marzo de </w:t>
      </w:r>
      <w:r>
        <w:rPr>
          <w:rFonts w:ascii="Palatino Linotype" w:hAnsi="Palatino Linotype" w:cs="Arial"/>
        </w:rPr>
        <w:lastRenderedPageBreak/>
        <w:t>dos mil veinte no corrieran los términos para el trámite y desahogo de los procedimientos, en materia de acceso a la información pública y protección de datos personales y los días dos y dieciséis de marzo de dos mil vente, por suspensión de labores, de conformidad con el Calendario Oficial en Materia de Transparencia, Acceso a la Información Pública y Protección de Datos Personales del Estado de México y Municipios, para el año dos mil veinte y enero de dos mil veintiuno, publicado en el Periódico Oficial “Gaceta del Gobierno”, el diecinueve de diciembre de dos mil diecinueve.</w:t>
      </w:r>
    </w:p>
    <w:p w:rsidR="005A6B36" w:rsidRDefault="005A6B36">
      <w:pPr>
        <w:spacing w:line="360" w:lineRule="auto"/>
        <w:jc w:val="both"/>
        <w:rPr>
          <w:rFonts w:ascii="Palatino Linotype" w:hAnsi="Palatino Linotype"/>
        </w:rPr>
      </w:pPr>
    </w:p>
    <w:p w:rsidR="005A6B36" w:rsidRDefault="0049607E">
      <w:pPr>
        <w:spacing w:line="360" w:lineRule="auto"/>
        <w:jc w:val="both"/>
        <w:rPr>
          <w:rFonts w:ascii="Palatino Linotype" w:eastAsiaTheme="minorEastAsia" w:hAnsi="Palatino Linotype" w:cs="Arial"/>
          <w:lang w:val="es-ES_tradnl"/>
        </w:rPr>
      </w:pPr>
      <w:r>
        <w:rPr>
          <w:rFonts w:ascii="Palatino Linotype" w:eastAsiaTheme="minorEastAsia" w:hAnsi="Palatino Linotype" w:cs="Arial"/>
          <w:lang w:val="es-ES_tradnl"/>
        </w:rPr>
        <w:t>En ese tenor, si el recurso de revisión que nos ocupa, se interpuso el</w:t>
      </w:r>
      <w:r>
        <w:rPr>
          <w:rFonts w:ascii="Palatino Linotype" w:eastAsiaTheme="minorEastAsia" w:hAnsi="Palatino Linotype" w:cs="Arial"/>
          <w:b/>
          <w:lang w:val="es-ES_tradnl"/>
        </w:rPr>
        <w:t xml:space="preserve"> nueve de marzo de dos mil veinte,</w:t>
      </w:r>
      <w:r>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5A6B36" w:rsidRDefault="005A6B36">
      <w:pPr>
        <w:spacing w:line="360" w:lineRule="auto"/>
        <w:jc w:val="both"/>
        <w:rPr>
          <w:rFonts w:ascii="Palatino Linotype" w:eastAsiaTheme="minorEastAsia" w:hAnsi="Palatino Linotype" w:cs="Arial"/>
          <w:lang w:val="es-ES_tradnl"/>
        </w:rPr>
      </w:pPr>
    </w:p>
    <w:p w:rsidR="005A6B36" w:rsidRDefault="0049607E">
      <w:pPr>
        <w:widowControl w:val="0"/>
        <w:numPr>
          <w:ilvl w:val="0"/>
          <w:numId w:val="3"/>
        </w:numPr>
        <w:tabs>
          <w:tab w:val="left" w:pos="1701"/>
          <w:tab w:val="left" w:pos="1843"/>
        </w:tabs>
        <w:spacing w:line="360" w:lineRule="auto"/>
        <w:ind w:left="0" w:firstLine="0"/>
        <w:jc w:val="both"/>
        <w:rPr>
          <w:rFonts w:ascii="Palatino Linotype" w:hAnsi="Palatino Linotype" w:cs="Arial"/>
        </w:rPr>
      </w:pPr>
      <w:r>
        <w:rPr>
          <w:rFonts w:ascii="Palatino Linotype" w:hAnsi="Palatino Linotype" w:cs="Arial"/>
          <w:b/>
          <w:szCs w:val="28"/>
        </w:rPr>
        <w:t xml:space="preserve">Procedibilidad. </w:t>
      </w:r>
      <w:r>
        <w:rPr>
          <w:rFonts w:ascii="Palatino Linotype" w:hAnsi="Palatino Linotype" w:cs="Arial"/>
        </w:rPr>
        <w:t>Del análisis efectuado, se advierte la procedibilidad del presente recurso de revisión, en razón de la acreditación plena de todos y cada uno de los elementos formales exigidos por el artículo 180 de la Ley de Transparencia y Acceso a la Información Pública</w:t>
      </w:r>
      <w:r>
        <w:rPr>
          <w:rFonts w:ascii="Palatino Linotype" w:hAnsi="Palatino Linotype"/>
        </w:rPr>
        <w:t xml:space="preserve"> </w:t>
      </w:r>
      <w:r>
        <w:rPr>
          <w:rFonts w:ascii="Palatino Linotype" w:hAnsi="Palatino Linotype" w:cs="Arial"/>
        </w:rPr>
        <w:t>del</w:t>
      </w:r>
      <w:r>
        <w:rPr>
          <w:rFonts w:ascii="Palatino Linotype" w:hAnsi="Palatino Linotype"/>
        </w:rPr>
        <w:t xml:space="preserve"> </w:t>
      </w:r>
      <w:r>
        <w:rPr>
          <w:rFonts w:ascii="Palatino Linotype" w:hAnsi="Palatino Linotype" w:cs="Arial"/>
        </w:rPr>
        <w:t>Estado</w:t>
      </w:r>
      <w:r>
        <w:rPr>
          <w:rFonts w:ascii="Palatino Linotype" w:hAnsi="Palatino Linotype"/>
        </w:rPr>
        <w:t xml:space="preserve"> de México y Municipios, en atención a que fue presentado mediante el formato visible en </w:t>
      </w:r>
      <w:r>
        <w:rPr>
          <w:rFonts w:ascii="Palatino Linotype" w:hAnsi="Palatino Linotype"/>
          <w:b/>
        </w:rPr>
        <w:t>EL SAIMEX</w:t>
      </w:r>
      <w:r>
        <w:rPr>
          <w:rFonts w:ascii="Palatino Linotype" w:hAnsi="Palatino Linotype"/>
        </w:rPr>
        <w:t>.</w:t>
      </w:r>
    </w:p>
    <w:p w:rsidR="005A6B36" w:rsidRDefault="005A6B36">
      <w:pPr>
        <w:pStyle w:val="Prrafodelista"/>
        <w:widowControl w:val="0"/>
        <w:tabs>
          <w:tab w:val="left" w:pos="1701"/>
          <w:tab w:val="left" w:pos="1843"/>
        </w:tabs>
        <w:spacing w:line="360" w:lineRule="auto"/>
        <w:ind w:left="0"/>
        <w:jc w:val="both"/>
        <w:rPr>
          <w:rFonts w:ascii="Palatino Linotype" w:hAnsi="Palatino Linotype"/>
          <w:lang w:val="es-ES"/>
        </w:rPr>
      </w:pPr>
    </w:p>
    <w:p w:rsidR="005A6B36" w:rsidRDefault="0049607E">
      <w:pPr>
        <w:pStyle w:val="Prrafodelista"/>
        <w:widowControl w:val="0"/>
        <w:numPr>
          <w:ilvl w:val="0"/>
          <w:numId w:val="4"/>
        </w:numPr>
        <w:tabs>
          <w:tab w:val="left" w:pos="1276"/>
        </w:tabs>
        <w:spacing w:line="360" w:lineRule="auto"/>
        <w:ind w:left="0" w:firstLine="0"/>
        <w:contextualSpacing/>
        <w:jc w:val="both"/>
        <w:rPr>
          <w:rFonts w:ascii="Palatino Linotype" w:hAnsi="Palatino Linotype" w:cs="Arial"/>
          <w:sz w:val="22"/>
          <w:szCs w:val="22"/>
          <w:lang w:eastAsia="es-MX"/>
        </w:rPr>
      </w:pPr>
      <w:bookmarkStart w:id="3" w:name="_Ref3465962"/>
      <w:r>
        <w:rPr>
          <w:rFonts w:ascii="Palatino Linotype" w:hAnsi="Palatino Linotype" w:cs="Arial"/>
          <w:b/>
        </w:rPr>
        <w:t>Estudio y resolución del asunto.</w:t>
      </w:r>
      <w:r>
        <w:rPr>
          <w:rFonts w:ascii="Palatino Linotype" w:hAnsi="Palatino Linotype" w:cs="Arial"/>
        </w:rPr>
        <w:t xml:space="preserve"> </w:t>
      </w:r>
      <w:bookmarkEnd w:id="3"/>
      <w:r>
        <w:rPr>
          <w:rFonts w:ascii="Palatino Linotype" w:hAnsi="Palatino Linotype" w:cs="Arial"/>
        </w:rPr>
        <w:t>Del análisis efectuado se advierte que el recurso de revisión de que se trata es procedente; toda vez, que se actualiza la hipótesis prevista en la fracción V del artículo 179 de la Ley de la materia, que a la letra indica:</w:t>
      </w:r>
    </w:p>
    <w:p w:rsidR="005A6B36" w:rsidRDefault="005A6B36">
      <w:pPr>
        <w:pStyle w:val="Prrafodelista"/>
        <w:widowControl w:val="0"/>
        <w:tabs>
          <w:tab w:val="left" w:pos="1276"/>
        </w:tabs>
        <w:spacing w:line="360" w:lineRule="auto"/>
        <w:ind w:left="0"/>
        <w:contextualSpacing/>
        <w:jc w:val="both"/>
        <w:rPr>
          <w:rFonts w:ascii="Palatino Linotype" w:hAnsi="Palatino Linotype" w:cs="Arial"/>
          <w:sz w:val="22"/>
          <w:szCs w:val="22"/>
          <w:lang w:eastAsia="es-MX"/>
        </w:rPr>
      </w:pPr>
    </w:p>
    <w:p w:rsidR="005A6B36" w:rsidRDefault="0049607E">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lastRenderedPageBreak/>
        <w:t>“</w:t>
      </w:r>
      <w:r>
        <w:rPr>
          <w:rFonts w:ascii="Palatino Linotype" w:hAnsi="Palatino Linotype" w:cs="Arial"/>
          <w:b/>
          <w:bCs/>
          <w:i/>
          <w:sz w:val="22"/>
          <w:szCs w:val="22"/>
        </w:rPr>
        <w:t>Artículo 179.</w:t>
      </w:r>
      <w:r>
        <w:rPr>
          <w:rFonts w:ascii="Palatino Linotype" w:hAnsi="Palatino Linotype" w:cs="Arial"/>
          <w:bCs/>
          <w:i/>
          <w:sz w:val="22"/>
          <w:szCs w:val="22"/>
        </w:rPr>
        <w:t xml:space="preserve"> </w:t>
      </w:r>
      <w:r>
        <w:rPr>
          <w:rFonts w:ascii="Palatino Linotype" w:hAnsi="Palatino Linotype" w:cs="Arial"/>
          <w:b/>
          <w:i/>
          <w:sz w:val="22"/>
          <w:szCs w:val="22"/>
        </w:rPr>
        <w:t>El recurso de revisión</w:t>
      </w:r>
      <w:r>
        <w:rPr>
          <w:rFonts w:ascii="Palatino Linotype" w:hAnsi="Palatino Linotype" w:cs="Arial"/>
          <w:i/>
          <w:sz w:val="22"/>
          <w:szCs w:val="22"/>
        </w:rPr>
        <w:t xml:space="preserve"> es un medio de protección que la Ley otorga a los particulares, para hacer valer su derecho de acceso a la información pública, y </w:t>
      </w:r>
      <w:r>
        <w:rPr>
          <w:rFonts w:ascii="Palatino Linotype" w:hAnsi="Palatino Linotype" w:cs="Arial"/>
          <w:b/>
          <w:i/>
          <w:sz w:val="22"/>
          <w:szCs w:val="22"/>
        </w:rPr>
        <w:t>procederá en contra de las siguientes causas:</w:t>
      </w:r>
    </w:p>
    <w:p w:rsidR="005A6B36" w:rsidRDefault="0049607E">
      <w:pPr>
        <w:spacing w:line="276" w:lineRule="auto"/>
        <w:ind w:left="709" w:right="709"/>
        <w:jc w:val="both"/>
        <w:rPr>
          <w:rFonts w:ascii="Palatino Linotype" w:hAnsi="Palatino Linotype" w:cs="Arial"/>
          <w:b/>
          <w:i/>
          <w:sz w:val="22"/>
          <w:szCs w:val="22"/>
        </w:rPr>
      </w:pPr>
      <w:r>
        <w:rPr>
          <w:rFonts w:ascii="Palatino Linotype" w:hAnsi="Palatino Linotype" w:cs="Arial"/>
          <w:bCs/>
          <w:i/>
          <w:sz w:val="22"/>
          <w:szCs w:val="22"/>
        </w:rPr>
        <w:t>. . .</w:t>
      </w:r>
    </w:p>
    <w:p w:rsidR="005A6B36" w:rsidRDefault="0049607E">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V. La entrega de información incompleta;”</w:t>
      </w:r>
    </w:p>
    <w:p w:rsidR="005A6B36" w:rsidRDefault="005A6B36">
      <w:pPr>
        <w:spacing w:line="276" w:lineRule="auto"/>
        <w:ind w:left="709" w:right="709"/>
        <w:jc w:val="both"/>
        <w:rPr>
          <w:rFonts w:ascii="Palatino Linotype" w:hAnsi="Palatino Linotype" w:cs="Arial"/>
          <w:b/>
          <w:bCs/>
          <w:i/>
          <w:sz w:val="22"/>
          <w:szCs w:val="22"/>
        </w:rPr>
      </w:pPr>
    </w:p>
    <w:p w:rsidR="005A6B36" w:rsidRDefault="0049607E">
      <w:pPr>
        <w:spacing w:line="276" w:lineRule="auto"/>
        <w:ind w:left="709" w:right="709"/>
        <w:jc w:val="both"/>
        <w:rPr>
          <w:rFonts w:ascii="Palatino Linotype" w:hAnsi="Palatino Linotype" w:cs="Arial"/>
          <w:b/>
          <w:bCs/>
          <w:i/>
          <w:sz w:val="22"/>
          <w:szCs w:val="22"/>
        </w:rPr>
      </w:pPr>
      <w:r>
        <w:rPr>
          <w:rFonts w:ascii="Palatino Linotype" w:hAnsi="Palatino Linotype" w:cs="Arial"/>
          <w:b/>
          <w:bCs/>
          <w:i/>
          <w:sz w:val="22"/>
          <w:szCs w:val="22"/>
        </w:rPr>
        <w:t>(Énfasis añadido)</w:t>
      </w:r>
    </w:p>
    <w:p w:rsidR="005A6B36" w:rsidRDefault="0049607E">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El precepto legal antes citado, establece como supuesto de procedencia del recurso de revisión, la</w:t>
      </w:r>
      <w:r>
        <w:t xml:space="preserve"> </w:t>
      </w:r>
      <w:r>
        <w:rPr>
          <w:rFonts w:ascii="Palatino Linotype" w:hAnsi="Palatino Linotype" w:cs="Arial"/>
        </w:rPr>
        <w:t xml:space="preserve">entrega de información incompleta por parte del </w:t>
      </w:r>
      <w:r>
        <w:rPr>
          <w:rFonts w:ascii="Palatino Linotype" w:hAnsi="Palatino Linotype" w:cs="Arial"/>
          <w:b/>
        </w:rPr>
        <w:t>SUJETO OBLIGADO</w:t>
      </w:r>
      <w:r>
        <w:rPr>
          <w:rFonts w:ascii="Palatino Linotype" w:hAnsi="Palatino Linotype" w:cs="Arial"/>
        </w:rPr>
        <w:t>, situación que se actualiza en el presente caso, en razón a que mediante respuesta sólo proporcionó información parcial, tal y como se analizará más adelante.</w:t>
      </w:r>
    </w:p>
    <w:p w:rsidR="005A6B36" w:rsidRDefault="0049607E">
      <w:pPr>
        <w:pStyle w:val="Prrafodelista"/>
        <w:widowControl w:val="0"/>
        <w:spacing w:before="200" w:after="200" w:line="360" w:lineRule="auto"/>
        <w:ind w:left="0"/>
        <w:jc w:val="both"/>
        <w:rPr>
          <w:rFonts w:ascii="Palatino Linotype" w:hAnsi="Palatino Linotype" w:cs="Arial"/>
        </w:rPr>
      </w:pPr>
      <w:r>
        <w:rPr>
          <w:rFonts w:ascii="Palatino Linotype" w:hAnsi="Palatino Linotype" w:cs="Arial"/>
        </w:rPr>
        <w:t>Para ilustrar dicha actualización, debemos recordar que el hoy</w:t>
      </w:r>
      <w:r>
        <w:rPr>
          <w:rFonts w:ascii="Palatino Linotype" w:hAnsi="Palatino Linotype" w:cs="Arial"/>
          <w:b/>
        </w:rPr>
        <w:t xml:space="preserve"> RECURRENTE </w:t>
      </w:r>
      <w:r>
        <w:rPr>
          <w:rFonts w:ascii="Palatino Linotype" w:hAnsi="Palatino Linotype"/>
        </w:rPr>
        <w:t>en la solicitud de acceso a la información pública, requirió del</w:t>
      </w:r>
      <w:r>
        <w:rPr>
          <w:rFonts w:ascii="Palatino Linotype" w:hAnsi="Palatino Linotype" w:cs="Arial"/>
        </w:rPr>
        <w:t xml:space="preserve"> </w:t>
      </w:r>
      <w:r>
        <w:rPr>
          <w:rFonts w:ascii="Palatino Linotype" w:hAnsi="Palatino Linotype" w:cs="Arial"/>
          <w:b/>
        </w:rPr>
        <w:t>SUJETO OBLIGADO</w:t>
      </w:r>
      <w:r>
        <w:rPr>
          <w:rFonts w:ascii="Palatino Linotype" w:hAnsi="Palatino Linotype" w:cs="Arial"/>
        </w:rPr>
        <w:t xml:space="preserve">, vía </w:t>
      </w:r>
      <w:r>
        <w:rPr>
          <w:rFonts w:ascii="Palatino Linotype" w:hAnsi="Palatino Linotype" w:cs="Arial"/>
          <w:b/>
        </w:rPr>
        <w:t>EL SAIMEX</w:t>
      </w:r>
      <w:r>
        <w:rPr>
          <w:rFonts w:ascii="Palatino Linotype" w:hAnsi="Palatino Linotype" w:cs="Arial"/>
        </w:rPr>
        <w:t>,</w:t>
      </w:r>
      <w:r>
        <w:rPr>
          <w:rFonts w:ascii="Palatino Linotype" w:hAnsi="Palatino Linotype"/>
        </w:rPr>
        <w:t xml:space="preserve"> del </w:t>
      </w:r>
      <w:r>
        <w:rPr>
          <w:rFonts w:ascii="Palatino Linotype" w:hAnsi="Palatino Linotype"/>
          <w:i/>
        </w:rPr>
        <w:t>1 de enero de 2010 al 27 de enero de 2020</w:t>
      </w:r>
      <w:r>
        <w:rPr>
          <w:rFonts w:ascii="Palatino Linotype" w:hAnsi="Palatino Linotype"/>
        </w:rPr>
        <w:t>, fecha de la solicitud, lo siguiente:</w:t>
      </w:r>
    </w:p>
    <w:p w:rsidR="005A6B36" w:rsidRDefault="0049607E">
      <w:pPr>
        <w:pStyle w:val="Prrafodelista"/>
        <w:widowControl w:val="0"/>
        <w:numPr>
          <w:ilvl w:val="0"/>
          <w:numId w:val="5"/>
        </w:numPr>
        <w:tabs>
          <w:tab w:val="left" w:pos="1701"/>
          <w:tab w:val="left" w:pos="1843"/>
        </w:tabs>
        <w:spacing w:beforeAutospacing="1" w:line="360" w:lineRule="auto"/>
        <w:contextualSpacing/>
        <w:jc w:val="both"/>
        <w:rPr>
          <w:rFonts w:ascii="Palatino Linotype" w:hAnsi="Palatino Linotype" w:cs="Arial"/>
          <w:b/>
        </w:rPr>
      </w:pPr>
      <w:r>
        <w:rPr>
          <w:rFonts w:ascii="Palatino Linotype" w:hAnsi="Palatino Linotype" w:cs="Arial"/>
          <w:b/>
        </w:rPr>
        <w:t xml:space="preserve">Convocatorias a licitaciones, procesos de adjudicación directa, o invitación restringida así como todos los contratos celebrados, las facturas y/o cualquier documento en el que se registre el pago realizado a las empresas </w:t>
      </w:r>
      <w:r>
        <w:rPr>
          <w:b/>
        </w:rPr>
        <w:t xml:space="preserve">ACCESSDATA, ACCESSDATA GROUP LLC, BLACKBAG TECHNOLOGIES INC, CELLEBRITE, CELLEBRITE INC, CELLEBRITE MOBILE SYNCHRONIZATION LTD, NUGA SYS, S.A. DE C.V., OPENTEXT CORP y PASSWARE INC y/o </w:t>
      </w:r>
      <w:r>
        <w:rPr>
          <w:rFonts w:ascii="Palatino Linotype" w:hAnsi="Palatino Linotype" w:cs="Arial"/>
          <w:b/>
        </w:rPr>
        <w:t>cualquiera de sus filiales y/o subsidiarias.</w:t>
      </w:r>
    </w:p>
    <w:p w:rsidR="005A6B36" w:rsidRDefault="0049607E">
      <w:pPr>
        <w:pStyle w:val="Prrafodelista"/>
        <w:widowControl w:val="0"/>
        <w:numPr>
          <w:ilvl w:val="0"/>
          <w:numId w:val="5"/>
        </w:numPr>
        <w:tabs>
          <w:tab w:val="left" w:pos="1701"/>
          <w:tab w:val="left" w:pos="1843"/>
        </w:tabs>
        <w:spacing w:line="360" w:lineRule="auto"/>
        <w:contextualSpacing/>
        <w:jc w:val="both"/>
        <w:rPr>
          <w:rFonts w:ascii="Palatino Linotype" w:hAnsi="Palatino Linotype" w:cs="Arial"/>
          <w:b/>
        </w:rPr>
      </w:pPr>
      <w:r>
        <w:rPr>
          <w:rFonts w:ascii="Palatino Linotype" w:hAnsi="Palatino Linotype" w:cs="Arial"/>
          <w:b/>
        </w:rPr>
        <w:t xml:space="preserve">Contratos y o cualquier otro documento celebrado para la renovación de cualquier software, licencia o herramienta tecnológica para la intervención de comunicaciones privadas y/o para la investigación forense de los siguientes programas: </w:t>
      </w:r>
      <w:r>
        <w:rPr>
          <w:b/>
        </w:rPr>
        <w:t xml:space="preserve">ACCESSDATA FORENSIC TOOL KIT, ACCESSDATA FTK, </w:t>
      </w:r>
      <w:r>
        <w:rPr>
          <w:b/>
        </w:rPr>
        <w:lastRenderedPageBreak/>
        <w:t>ACCESSDATA TRIAGE, AD TRIAGE, BLACKLIGHT, CELLEBRITE UFED TOUCH LOGICAL, CELLEBRITE UFED ULTIMATE, CELLEBRITE UMED PRO, ENCASE FORENSIC, FIRMWARE UFED TOUCH ULTIMATE, PASSWARE FORENSIC KIT, SISTEMA CELLEBRITE DE ANÁLISIS FORENSE, UFED 4PC, UFED 4PC ULTIMATE STANDARD, UFED TK ESTÁNDAR, UFED TOUCH, UFED TOUCH 2,  UFED ULTIMATE y UMED PRO</w:t>
      </w:r>
    </w:p>
    <w:p w:rsidR="005A6B36" w:rsidRDefault="0049607E">
      <w:pPr>
        <w:pStyle w:val="Prrafodelista"/>
        <w:widowControl w:val="0"/>
        <w:numPr>
          <w:ilvl w:val="0"/>
          <w:numId w:val="5"/>
        </w:numPr>
        <w:tabs>
          <w:tab w:val="left" w:pos="1701"/>
          <w:tab w:val="left" w:pos="1843"/>
        </w:tabs>
        <w:spacing w:afterAutospacing="1" w:line="360" w:lineRule="auto"/>
        <w:contextualSpacing/>
        <w:jc w:val="both"/>
        <w:rPr>
          <w:rFonts w:ascii="Palatino Linotype" w:hAnsi="Palatino Linotype" w:cs="Arial"/>
          <w:b/>
        </w:rPr>
      </w:pPr>
      <w:r>
        <w:rPr>
          <w:rFonts w:ascii="Palatino Linotype" w:hAnsi="Palatino Linotype" w:cs="Arial"/>
          <w:b/>
        </w:rPr>
        <w:t>De contar con cualquier software, licencia o herramienta tecnológica enlistado con antelación: El número de licencias para realizar análisis forenses que fueron adquiridos o contratados, así como la vigencia de dichas licencias y el número de dispositivos que han sido analizados con el software, licencia o herramienta tecnológica referida.</w:t>
      </w:r>
    </w:p>
    <w:p w:rsidR="005A6B36" w:rsidRDefault="0049607E">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Ahora bien, </w:t>
      </w:r>
      <w:r>
        <w:rPr>
          <w:rFonts w:ascii="Palatino Linotype" w:hAnsi="Palatino Linotype" w:cs="Arial"/>
          <w:b/>
        </w:rPr>
        <w:t>EL SUJETO OBLIGADO</w:t>
      </w:r>
      <w:r>
        <w:rPr>
          <w:rFonts w:ascii="Palatino Linotype" w:hAnsi="Palatino Linotype" w:cs="Arial"/>
        </w:rPr>
        <w:t xml:space="preserve"> pretendió dar repuesta</w:t>
      </w:r>
      <w:r>
        <w:rPr>
          <w:rFonts w:ascii="Palatino Linotype" w:hAnsi="Palatino Linotype" w:cs="Arial"/>
          <w:b/>
        </w:rPr>
        <w:t xml:space="preserve"> </w:t>
      </w:r>
      <w:r>
        <w:rPr>
          <w:rFonts w:ascii="Palatino Linotype" w:hAnsi="Palatino Linotype" w:cs="Arial"/>
        </w:rPr>
        <w:t xml:space="preserve">a lo solicitado por el particular, adjuntando el documento descrito en el Resultando </w:t>
      </w:r>
      <w:r>
        <w:rPr>
          <w:rFonts w:ascii="Palatino Linotype" w:hAnsi="Palatino Linotype" w:cs="Arial"/>
          <w:b/>
        </w:rPr>
        <w:t xml:space="preserve">II </w:t>
      </w:r>
      <w:r>
        <w:rPr>
          <w:rFonts w:ascii="Palatino Linotype" w:hAnsi="Palatino Linotype" w:cs="Arial"/>
        </w:rPr>
        <w:t>de la presente resolución.</w:t>
      </w:r>
    </w:p>
    <w:p w:rsidR="005A6B36" w:rsidRDefault="005A6B36">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5A6B36" w:rsidRDefault="0049607E">
      <w:pPr>
        <w:widowControl w:val="0"/>
        <w:tabs>
          <w:tab w:val="left" w:pos="1701"/>
          <w:tab w:val="left" w:pos="1843"/>
        </w:tabs>
        <w:spacing w:beforeAutospacing="1" w:afterAutospacing="1" w:line="360" w:lineRule="auto"/>
        <w:contextualSpacing/>
        <w:jc w:val="both"/>
        <w:rPr>
          <w:rFonts w:ascii="Palatino Linotype" w:hAnsi="Palatino Linotype" w:cs="Arial"/>
        </w:rPr>
      </w:pPr>
      <w:r>
        <w:rPr>
          <w:rFonts w:ascii="Palatino Linotype" w:hAnsi="Palatino Linotype" w:cs="Arial"/>
        </w:rPr>
        <w:t xml:space="preserve">Inconforme con la respuesta, el ahora </w:t>
      </w:r>
      <w:r>
        <w:rPr>
          <w:rFonts w:ascii="Palatino Linotype" w:hAnsi="Palatino Linotype" w:cs="Arial"/>
          <w:b/>
        </w:rPr>
        <w:t>RECURRENTE</w:t>
      </w:r>
      <w:r>
        <w:rPr>
          <w:rFonts w:ascii="Palatino Linotype" w:hAnsi="Palatino Linotype" w:cs="Arial"/>
        </w:rPr>
        <w:t xml:space="preserve">, procedió a </w:t>
      </w:r>
      <w:r>
        <w:rPr>
          <w:rFonts w:ascii="Palatino Linotype" w:hAnsi="Palatino Linotype"/>
          <w:szCs w:val="21"/>
        </w:rPr>
        <w:t>interponer</w:t>
      </w:r>
      <w:r>
        <w:rPr>
          <w:rFonts w:ascii="Palatino Linotype" w:hAnsi="Palatino Linotype" w:cs="Arial"/>
        </w:rPr>
        <w:t xml:space="preserve"> el presente recurso de revisión, señalando tanto en acto impugnado, así como en sus razones o motivos de inconformidad, que la respuesta del </w:t>
      </w:r>
      <w:r>
        <w:rPr>
          <w:rFonts w:ascii="Palatino Linotype" w:hAnsi="Palatino Linotype" w:cs="Arial"/>
          <w:b/>
        </w:rPr>
        <w:t>EL SUJETO OBLIGADO</w:t>
      </w:r>
      <w:r>
        <w:rPr>
          <w:rFonts w:ascii="Palatino Linotype" w:hAnsi="Palatino Linotype" w:cs="Arial"/>
        </w:rPr>
        <w:t>, violaba su derecho de acceso a la información pública reconocido en el artículo 6 de la Constitución Política de los Estados Unidos Mexicanos, el artículo 13 de la Convención Americana sobre Derechos Humanos, el artículo 19 del Pacto Internacional de Derechos Civiles y Políticos, la Ley General y la Ley Estatal.</w:t>
      </w:r>
    </w:p>
    <w:p w:rsidR="005A6B36" w:rsidRDefault="005A6B36">
      <w:pPr>
        <w:widowControl w:val="0"/>
        <w:tabs>
          <w:tab w:val="left" w:pos="1701"/>
          <w:tab w:val="left" w:pos="1843"/>
        </w:tabs>
        <w:spacing w:beforeAutospacing="1" w:afterAutospacing="1" w:line="360" w:lineRule="auto"/>
        <w:contextualSpacing/>
        <w:jc w:val="both"/>
        <w:rPr>
          <w:rFonts w:ascii="Palatino Linotype" w:hAnsi="Palatino Linotype" w:cs="Arial"/>
        </w:rPr>
      </w:pPr>
    </w:p>
    <w:p w:rsidR="005A6B36" w:rsidRDefault="0049607E">
      <w:pPr>
        <w:widowControl w:val="0"/>
        <w:tabs>
          <w:tab w:val="left" w:pos="1701"/>
          <w:tab w:val="left" w:pos="1843"/>
        </w:tabs>
        <w:spacing w:line="360" w:lineRule="auto"/>
        <w:jc w:val="both"/>
        <w:rPr>
          <w:rFonts w:ascii="Palatino Linotype" w:hAnsi="Palatino Linotype" w:cs="Arial"/>
        </w:rPr>
      </w:pPr>
      <w:r>
        <w:rPr>
          <w:rFonts w:ascii="Palatino Linotype" w:hAnsi="Palatino Linotype" w:cs="Arial"/>
        </w:rPr>
        <w:lastRenderedPageBreak/>
        <w:t xml:space="preserve">Por otra parte, de las </w:t>
      </w:r>
      <w:r>
        <w:rPr>
          <w:rFonts w:ascii="Palatino Linotype" w:hAnsi="Palatino Linotype"/>
          <w:szCs w:val="21"/>
        </w:rPr>
        <w:t>constancias</w:t>
      </w:r>
      <w:r>
        <w:rPr>
          <w:rFonts w:ascii="Palatino Linotype" w:hAnsi="Palatino Linotype" w:cs="Arial"/>
        </w:rPr>
        <w:t xml:space="preserve"> que obran en el </w:t>
      </w:r>
      <w:r>
        <w:rPr>
          <w:rFonts w:ascii="Palatino Linotype" w:hAnsi="Palatino Linotype" w:cs="Arial"/>
          <w:b/>
        </w:rPr>
        <w:t>SAIMEX,</w:t>
      </w:r>
      <w:r>
        <w:rPr>
          <w:rFonts w:ascii="Palatino Linotype" w:hAnsi="Palatino Linotype" w:cs="Arial"/>
        </w:rPr>
        <w:t xml:space="preserve"> se advierte que </w:t>
      </w:r>
      <w:r>
        <w:rPr>
          <w:rFonts w:ascii="Palatino Linotype" w:hAnsi="Palatino Linotype" w:cs="Arial"/>
          <w:b/>
        </w:rPr>
        <w:t>EL RECURRENTE</w:t>
      </w:r>
      <w:r>
        <w:rPr>
          <w:rFonts w:ascii="Palatino Linotype" w:hAnsi="Palatino Linotype" w:cs="Arial"/>
        </w:rPr>
        <w:t xml:space="preserve"> no realizó manifestaciones o alegatos, ni ofreció los medios de prueba que a su derecho conviniera; mientras que </w:t>
      </w:r>
      <w:r>
        <w:rPr>
          <w:rFonts w:ascii="Palatino Linotype" w:hAnsi="Palatino Linotype" w:cs="Arial"/>
          <w:b/>
        </w:rPr>
        <w:t>EL SUJETO OBLIGADO</w:t>
      </w:r>
      <w:r>
        <w:rPr>
          <w:rFonts w:ascii="Palatino Linotype" w:hAnsi="Palatino Linotype" w:cs="Arial"/>
        </w:rPr>
        <w:t xml:space="preserve">, exhibió el Informe Justificado </w:t>
      </w:r>
      <w:r>
        <w:rPr>
          <w:rFonts w:ascii="Palatino Linotype" w:hAnsi="Palatino Linotype"/>
          <w:szCs w:val="21"/>
        </w:rPr>
        <w:t>correspondiente</w:t>
      </w:r>
      <w:r>
        <w:rPr>
          <w:rFonts w:ascii="Palatino Linotype" w:hAnsi="Palatino Linotype" w:cs="Arial"/>
        </w:rPr>
        <w:t xml:space="preserve">, modificando su respuesta inicial </w:t>
      </w:r>
      <w:r>
        <w:rPr>
          <w:rFonts w:ascii="Palatino Linotype" w:hAnsi="Palatino Linotype"/>
          <w:lang w:val="es-ES_tradnl"/>
        </w:rPr>
        <w:t xml:space="preserve">y pegó las imágenes de los oficios dirigidos y remitidos por los Servidores Públicos Habilitados señalados en su respuesta, </w:t>
      </w:r>
      <w:r>
        <w:rPr>
          <w:rFonts w:ascii="Palatino Linotype" w:hAnsi="Palatino Linotype" w:cs="Arial"/>
        </w:rPr>
        <w:t xml:space="preserve">razón por la cual, se puso a la vista del </w:t>
      </w:r>
      <w:r>
        <w:rPr>
          <w:rFonts w:ascii="Palatino Linotype" w:hAnsi="Palatino Linotype" w:cs="Arial"/>
          <w:b/>
        </w:rPr>
        <w:t>RECURRENTE</w:t>
      </w:r>
      <w:r>
        <w:rPr>
          <w:rFonts w:ascii="Palatino Linotype" w:hAnsi="Palatino Linotype" w:cs="Arial"/>
        </w:rPr>
        <w:t>.</w:t>
      </w:r>
    </w:p>
    <w:p w:rsidR="005A6B36" w:rsidRDefault="0049607E">
      <w:pPr>
        <w:widowControl w:val="0"/>
        <w:tabs>
          <w:tab w:val="left" w:pos="1701"/>
          <w:tab w:val="left" w:pos="1843"/>
        </w:tabs>
        <w:spacing w:line="360" w:lineRule="auto"/>
        <w:jc w:val="both"/>
        <w:rPr>
          <w:rFonts w:ascii="Palatino Linotype" w:hAnsi="Palatino Linotype" w:cs="Arial"/>
        </w:rPr>
      </w:pPr>
      <w:r>
        <w:rPr>
          <w:rFonts w:ascii="Palatino Linotype" w:hAnsi="Palatino Linotype"/>
        </w:rPr>
        <w:t xml:space="preserve">Bajo ese contexto, este Instituto analizó la totalidad de constancias que integran el expediente electrónico del </w:t>
      </w:r>
      <w:r>
        <w:rPr>
          <w:rFonts w:ascii="Palatino Linotype" w:hAnsi="Palatino Linotype"/>
          <w:b/>
        </w:rPr>
        <w:t>SAIMEX</w:t>
      </w:r>
      <w:r>
        <w:rPr>
          <w:rFonts w:ascii="Palatino Linotype" w:hAnsi="Palatino Linotype"/>
        </w:rPr>
        <w:t xml:space="preserve"> y advirtió que las razones o motivos de inconformidad hechos valer por </w:t>
      </w:r>
      <w:r>
        <w:rPr>
          <w:rFonts w:ascii="Palatino Linotype" w:hAnsi="Palatino Linotype"/>
          <w:b/>
        </w:rPr>
        <w:t>EL RECURRENTE</w:t>
      </w:r>
      <w:r>
        <w:rPr>
          <w:rFonts w:ascii="Palatino Linotype" w:hAnsi="Palatino Linotype"/>
        </w:rPr>
        <w:t xml:space="preserve"> devienen</w:t>
      </w:r>
      <w:r>
        <w:rPr>
          <w:rFonts w:ascii="Palatino Linotype" w:hAnsi="Palatino Linotype"/>
          <w:b/>
        </w:rPr>
        <w:t xml:space="preserve"> parcialmente fundados</w:t>
      </w:r>
      <w:r>
        <w:rPr>
          <w:rFonts w:ascii="Palatino Linotype" w:hAnsi="Palatino Linotype"/>
        </w:rPr>
        <w:t xml:space="preserve">, </w:t>
      </w:r>
      <w:r>
        <w:rPr>
          <w:rFonts w:ascii="Palatino Linotype" w:hAnsi="Palatino Linotype" w:cs="Arial"/>
        </w:rPr>
        <w:t>de acuerdo a las consideraciones de hecho y de derecho que a continuación se desagregan.</w:t>
      </w:r>
    </w:p>
    <w:p w:rsidR="005A6B36" w:rsidRDefault="0049607E">
      <w:pPr>
        <w:spacing w:beforeAutospacing="1" w:afterAutospacing="1" w:line="360" w:lineRule="auto"/>
        <w:jc w:val="both"/>
        <w:rPr>
          <w:rFonts w:ascii="Palatino Linotype" w:hAnsi="Palatino Linotype"/>
          <w:lang w:val="es-ES"/>
        </w:rPr>
      </w:pPr>
      <w:r>
        <w:rPr>
          <w:rFonts w:ascii="Palatino Linotype" w:hAnsi="Palatino Linotype" w:cs="Arial"/>
          <w:lang w:val="es-ES"/>
        </w:rPr>
        <w:t>Precisado ello,</w:t>
      </w:r>
      <w:r>
        <w:rPr>
          <w:rFonts w:ascii="Palatino Linotype" w:hAnsi="Palatino Linotype"/>
          <w:lang w:val="es-ES"/>
        </w:rPr>
        <w:t xml:space="preserve"> </w:t>
      </w:r>
      <w:r>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b/>
          <w:i/>
          <w:sz w:val="22"/>
          <w:szCs w:val="22"/>
        </w:rPr>
        <w:t>“Artículo</w:t>
      </w:r>
      <w:r>
        <w:rPr>
          <w:rFonts w:ascii="Palatino Linotype" w:hAnsi="Palatino Linotype" w:cs="Arial"/>
          <w:b/>
          <w:i/>
        </w:rPr>
        <w:t xml:space="preserve"> </w:t>
      </w:r>
      <w:r>
        <w:rPr>
          <w:rFonts w:ascii="Palatino Linotype" w:hAnsi="Palatino Linotype" w:cs="Arial"/>
          <w:b/>
          <w:i/>
          <w:sz w:val="22"/>
          <w:szCs w:val="22"/>
        </w:rPr>
        <w:t>6o.</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manifestación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ideas</w:t>
      </w:r>
      <w:r>
        <w:rPr>
          <w:rFonts w:ascii="Palatino Linotype" w:hAnsi="Palatino Linotype" w:cs="Arial"/>
          <w:i/>
        </w:rPr>
        <w:t xml:space="preserve"> </w:t>
      </w:r>
      <w:r>
        <w:rPr>
          <w:rFonts w:ascii="Palatino Linotype" w:hAnsi="Palatino Linotype" w:cs="Arial"/>
          <w:i/>
          <w:sz w:val="22"/>
          <w:szCs w:val="22"/>
        </w:rPr>
        <w:t>no</w:t>
      </w:r>
      <w:r>
        <w:rPr>
          <w:rFonts w:ascii="Palatino Linotype" w:hAnsi="Palatino Linotype" w:cs="Arial"/>
          <w:i/>
        </w:rPr>
        <w:t xml:space="preserve"> </w:t>
      </w:r>
      <w:r>
        <w:rPr>
          <w:rFonts w:ascii="Palatino Linotype" w:hAnsi="Palatino Linotype" w:cs="Arial"/>
          <w:i/>
          <w:sz w:val="22"/>
          <w:szCs w:val="22"/>
        </w:rPr>
        <w:t>será</w:t>
      </w:r>
      <w:r>
        <w:rPr>
          <w:rFonts w:ascii="Palatino Linotype" w:hAnsi="Palatino Linotype" w:cs="Arial"/>
          <w:i/>
        </w:rPr>
        <w:t xml:space="preserve"> </w:t>
      </w:r>
      <w:r>
        <w:rPr>
          <w:rFonts w:ascii="Palatino Linotype" w:hAnsi="Palatino Linotype" w:cs="Arial"/>
          <w:i/>
          <w:sz w:val="22"/>
          <w:szCs w:val="22"/>
        </w:rPr>
        <w:t>objeto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ninguna</w:t>
      </w:r>
      <w:r>
        <w:rPr>
          <w:rFonts w:ascii="Palatino Linotype" w:hAnsi="Palatino Linotype" w:cs="Arial"/>
          <w:i/>
        </w:rPr>
        <w:t xml:space="preserve"> </w:t>
      </w:r>
      <w:r>
        <w:rPr>
          <w:rFonts w:ascii="Palatino Linotype" w:hAnsi="Palatino Linotype" w:cs="Arial"/>
          <w:i/>
          <w:sz w:val="22"/>
          <w:szCs w:val="22"/>
        </w:rPr>
        <w:t>inquisición</w:t>
      </w:r>
      <w:r>
        <w:rPr>
          <w:rFonts w:ascii="Palatino Linotype" w:hAnsi="Palatino Linotype" w:cs="Arial"/>
          <w:i/>
        </w:rPr>
        <w:t xml:space="preserve"> </w:t>
      </w:r>
      <w:r>
        <w:rPr>
          <w:rFonts w:ascii="Palatino Linotype" w:hAnsi="Palatino Linotype" w:cs="Arial"/>
          <w:i/>
          <w:sz w:val="22"/>
          <w:szCs w:val="22"/>
        </w:rPr>
        <w:t>judicial</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administrativa,</w:t>
      </w:r>
      <w:r>
        <w:rPr>
          <w:rFonts w:ascii="Palatino Linotype" w:hAnsi="Palatino Linotype" w:cs="Arial"/>
          <w:i/>
        </w:rPr>
        <w:t xml:space="preserve"> </w:t>
      </w:r>
      <w:r>
        <w:rPr>
          <w:rFonts w:ascii="Palatino Linotype" w:hAnsi="Palatino Linotype" w:cs="Arial"/>
          <w:i/>
          <w:sz w:val="22"/>
          <w:szCs w:val="22"/>
        </w:rPr>
        <w:t>sino</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caso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ataque</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moral,</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vida</w:t>
      </w:r>
      <w:r>
        <w:rPr>
          <w:rFonts w:ascii="Palatino Linotype" w:hAnsi="Palatino Linotype" w:cs="Arial"/>
          <w:i/>
        </w:rPr>
        <w:t xml:space="preserve"> </w:t>
      </w:r>
      <w:r>
        <w:rPr>
          <w:rFonts w:ascii="Palatino Linotype" w:hAnsi="Palatino Linotype" w:cs="Arial"/>
          <w:i/>
          <w:sz w:val="22"/>
          <w:szCs w:val="22"/>
        </w:rPr>
        <w:t>privada</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derechos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terceros,</w:t>
      </w:r>
      <w:r>
        <w:rPr>
          <w:rFonts w:ascii="Palatino Linotype" w:hAnsi="Palatino Linotype" w:cs="Arial"/>
          <w:i/>
        </w:rPr>
        <w:t xml:space="preserve"> </w:t>
      </w:r>
      <w:r>
        <w:rPr>
          <w:rFonts w:ascii="Palatino Linotype" w:hAnsi="Palatino Linotype" w:cs="Arial"/>
          <w:i/>
          <w:sz w:val="22"/>
          <w:szCs w:val="22"/>
        </w:rPr>
        <w:t>provoque</w:t>
      </w:r>
      <w:r>
        <w:rPr>
          <w:rFonts w:ascii="Palatino Linotype" w:hAnsi="Palatino Linotype" w:cs="Arial"/>
          <w:i/>
        </w:rPr>
        <w:t xml:space="preserve"> </w:t>
      </w:r>
      <w:r>
        <w:rPr>
          <w:rFonts w:ascii="Palatino Linotype" w:hAnsi="Palatino Linotype" w:cs="Arial"/>
          <w:i/>
          <w:sz w:val="22"/>
          <w:szCs w:val="22"/>
        </w:rPr>
        <w:t>algún</w:t>
      </w:r>
      <w:r>
        <w:rPr>
          <w:rFonts w:ascii="Palatino Linotype" w:hAnsi="Palatino Linotype" w:cs="Arial"/>
          <w:i/>
        </w:rPr>
        <w:t xml:space="preserve"> </w:t>
      </w:r>
      <w:r>
        <w:rPr>
          <w:rFonts w:ascii="Palatino Linotype" w:hAnsi="Palatino Linotype" w:cs="Arial"/>
          <w:i/>
          <w:sz w:val="22"/>
          <w:szCs w:val="22"/>
        </w:rPr>
        <w:t>delito,</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perturbe</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orden</w:t>
      </w:r>
      <w:r>
        <w:rPr>
          <w:rFonts w:ascii="Palatino Linotype" w:hAnsi="Palatino Linotype" w:cs="Arial"/>
          <w:i/>
        </w:rPr>
        <w:t xml:space="preserve"> </w:t>
      </w:r>
      <w:r>
        <w:rPr>
          <w:rFonts w:ascii="Palatino Linotype" w:hAnsi="Palatino Linotype" w:cs="Arial"/>
          <w:i/>
          <w:sz w:val="22"/>
          <w:szCs w:val="22"/>
        </w:rPr>
        <w:t>público;</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derecho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réplica</w:t>
      </w:r>
      <w:r>
        <w:rPr>
          <w:rFonts w:ascii="Palatino Linotype" w:hAnsi="Palatino Linotype" w:cs="Arial"/>
          <w:i/>
        </w:rPr>
        <w:t xml:space="preserve"> </w:t>
      </w:r>
      <w:r>
        <w:rPr>
          <w:rFonts w:ascii="Palatino Linotype" w:hAnsi="Palatino Linotype" w:cs="Arial"/>
          <w:i/>
          <w:sz w:val="22"/>
          <w:szCs w:val="22"/>
        </w:rPr>
        <w:t>será</w:t>
      </w:r>
      <w:r>
        <w:rPr>
          <w:rFonts w:ascii="Palatino Linotype" w:hAnsi="Palatino Linotype" w:cs="Arial"/>
          <w:i/>
        </w:rPr>
        <w:t xml:space="preserve"> </w:t>
      </w:r>
      <w:r>
        <w:rPr>
          <w:rFonts w:ascii="Palatino Linotype" w:hAnsi="Palatino Linotype" w:cs="Arial"/>
          <w:i/>
          <w:sz w:val="22"/>
          <w:szCs w:val="22"/>
        </w:rPr>
        <w:t>ejercido</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términos</w:t>
      </w:r>
      <w:r>
        <w:rPr>
          <w:rFonts w:ascii="Palatino Linotype" w:hAnsi="Palatino Linotype" w:cs="Arial"/>
          <w:i/>
        </w:rPr>
        <w:t xml:space="preserve"> </w:t>
      </w:r>
      <w:r>
        <w:rPr>
          <w:rFonts w:ascii="Palatino Linotype" w:hAnsi="Palatino Linotype" w:cs="Arial"/>
          <w:i/>
          <w:sz w:val="22"/>
          <w:szCs w:val="22"/>
        </w:rPr>
        <w:t>dispuestos</w:t>
      </w:r>
      <w:r>
        <w:rPr>
          <w:rFonts w:ascii="Palatino Linotype" w:hAnsi="Palatino Linotype" w:cs="Arial"/>
          <w:i/>
        </w:rPr>
        <w:t xml:space="preserve"> </w:t>
      </w:r>
      <w:r>
        <w:rPr>
          <w:rFonts w:ascii="Palatino Linotype" w:hAnsi="Palatino Linotype" w:cs="Arial"/>
          <w:i/>
          <w:sz w:val="22"/>
          <w:szCs w:val="22"/>
        </w:rPr>
        <w:t>por</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ley.</w:t>
      </w:r>
      <w:r>
        <w:rPr>
          <w:rFonts w:ascii="Palatino Linotype" w:hAnsi="Palatino Linotype" w:cs="Arial"/>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derecho</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será</w:t>
      </w:r>
      <w:r>
        <w:rPr>
          <w:rFonts w:ascii="Palatino Linotype" w:hAnsi="Palatino Linotype" w:cs="Arial"/>
          <w:b/>
          <w:i/>
        </w:rPr>
        <w:t xml:space="preserve"> </w:t>
      </w:r>
      <w:r>
        <w:rPr>
          <w:rFonts w:ascii="Palatino Linotype" w:hAnsi="Palatino Linotype" w:cs="Arial"/>
          <w:b/>
          <w:i/>
          <w:sz w:val="22"/>
          <w:szCs w:val="22"/>
        </w:rPr>
        <w:t>garantizado</w:t>
      </w:r>
      <w:r>
        <w:rPr>
          <w:rFonts w:ascii="Palatino Linotype" w:hAnsi="Palatino Linotype" w:cs="Arial"/>
          <w:b/>
          <w:i/>
        </w:rPr>
        <w:t xml:space="preserve"> </w:t>
      </w:r>
      <w:r>
        <w:rPr>
          <w:rFonts w:ascii="Palatino Linotype" w:hAnsi="Palatino Linotype" w:cs="Arial"/>
          <w:b/>
          <w:i/>
          <w:sz w:val="22"/>
          <w:szCs w:val="22"/>
        </w:rPr>
        <w:t>por</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Estado.</w:t>
      </w:r>
      <w:r>
        <w:rPr>
          <w:rFonts w:ascii="Palatino Linotype" w:hAnsi="Palatino Linotype" w:cs="Arial"/>
          <w:i/>
        </w:rPr>
        <w:t xml:space="preserve"> </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Toda</w:t>
      </w:r>
      <w:r>
        <w:rPr>
          <w:rFonts w:ascii="Palatino Linotype" w:hAnsi="Palatino Linotype" w:cs="Arial"/>
          <w:i/>
        </w:rPr>
        <w:t xml:space="preserve"> </w:t>
      </w:r>
      <w:r>
        <w:rPr>
          <w:rFonts w:ascii="Palatino Linotype" w:hAnsi="Palatino Linotype" w:cs="Arial"/>
          <w:i/>
          <w:sz w:val="22"/>
          <w:szCs w:val="22"/>
        </w:rPr>
        <w:t>persona</w:t>
      </w:r>
      <w:r>
        <w:rPr>
          <w:rFonts w:ascii="Palatino Linotype" w:hAnsi="Palatino Linotype" w:cs="Arial"/>
          <w:i/>
        </w:rPr>
        <w:t xml:space="preserve"> </w:t>
      </w:r>
      <w:r>
        <w:rPr>
          <w:rFonts w:ascii="Palatino Linotype" w:hAnsi="Palatino Linotype" w:cs="Arial"/>
          <w:i/>
          <w:sz w:val="22"/>
          <w:szCs w:val="22"/>
        </w:rPr>
        <w:t>tiene</w:t>
      </w:r>
      <w:r>
        <w:rPr>
          <w:rFonts w:ascii="Palatino Linotype" w:hAnsi="Palatino Linotype" w:cs="Arial"/>
          <w:i/>
        </w:rPr>
        <w:t xml:space="preserve"> </w:t>
      </w:r>
      <w:r>
        <w:rPr>
          <w:rFonts w:ascii="Palatino Linotype" w:hAnsi="Palatino Linotype" w:cs="Arial"/>
          <w:i/>
          <w:sz w:val="22"/>
          <w:szCs w:val="22"/>
        </w:rPr>
        <w:t>derecho</w:t>
      </w:r>
      <w:r>
        <w:rPr>
          <w:rFonts w:ascii="Palatino Linotype" w:hAnsi="Palatino Linotype" w:cs="Arial"/>
          <w:i/>
        </w:rPr>
        <w:t xml:space="preserve"> </w:t>
      </w:r>
      <w:r>
        <w:rPr>
          <w:rFonts w:ascii="Palatino Linotype" w:hAnsi="Palatino Linotype" w:cs="Arial"/>
          <w:i/>
          <w:sz w:val="22"/>
          <w:szCs w:val="22"/>
        </w:rPr>
        <w:t>al</w:t>
      </w:r>
      <w:r>
        <w:rPr>
          <w:rFonts w:ascii="Palatino Linotype" w:hAnsi="Palatino Linotype" w:cs="Arial"/>
          <w:i/>
        </w:rPr>
        <w:t xml:space="preserve"> </w:t>
      </w:r>
      <w:r>
        <w:rPr>
          <w:rFonts w:ascii="Palatino Linotype" w:hAnsi="Palatino Linotype" w:cs="Arial"/>
          <w:i/>
          <w:sz w:val="22"/>
          <w:szCs w:val="22"/>
        </w:rPr>
        <w:t>libre</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plural</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oportuna,</w:t>
      </w:r>
      <w:r>
        <w:rPr>
          <w:rFonts w:ascii="Palatino Linotype" w:hAnsi="Palatino Linotype" w:cs="Arial"/>
          <w:i/>
        </w:rPr>
        <w:t xml:space="preserve"> </w:t>
      </w:r>
      <w:r>
        <w:rPr>
          <w:rFonts w:ascii="Palatino Linotype" w:hAnsi="Palatino Linotype" w:cs="Arial"/>
          <w:i/>
          <w:sz w:val="22"/>
          <w:szCs w:val="22"/>
        </w:rPr>
        <w:t>así</w:t>
      </w:r>
      <w:r>
        <w:rPr>
          <w:rFonts w:ascii="Palatino Linotype" w:hAnsi="Palatino Linotype" w:cs="Arial"/>
          <w:i/>
        </w:rPr>
        <w:t xml:space="preserve"> </w:t>
      </w:r>
      <w:r>
        <w:rPr>
          <w:rFonts w:ascii="Palatino Linotype" w:hAnsi="Palatino Linotype" w:cs="Arial"/>
          <w:i/>
          <w:sz w:val="22"/>
          <w:szCs w:val="22"/>
        </w:rPr>
        <w:t>como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buscar,</w:t>
      </w:r>
      <w:r>
        <w:rPr>
          <w:rFonts w:ascii="Palatino Linotype" w:hAnsi="Palatino Linotype" w:cs="Arial"/>
          <w:i/>
        </w:rPr>
        <w:t xml:space="preserve"> </w:t>
      </w:r>
      <w:r>
        <w:rPr>
          <w:rFonts w:ascii="Palatino Linotype" w:hAnsi="Palatino Linotype" w:cs="Arial"/>
          <w:i/>
          <w:sz w:val="22"/>
          <w:szCs w:val="22"/>
        </w:rPr>
        <w:t>recibir</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difundir</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e</w:t>
      </w:r>
      <w:r>
        <w:rPr>
          <w:rFonts w:ascii="Palatino Linotype" w:hAnsi="Palatino Linotype" w:cs="Arial"/>
          <w:i/>
        </w:rPr>
        <w:t xml:space="preserve"> </w:t>
      </w:r>
      <w:r>
        <w:rPr>
          <w:rFonts w:ascii="Palatino Linotype" w:hAnsi="Palatino Linotype" w:cs="Arial"/>
          <w:i/>
          <w:sz w:val="22"/>
          <w:szCs w:val="22"/>
        </w:rPr>
        <w:t>ideas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toda</w:t>
      </w:r>
      <w:r>
        <w:rPr>
          <w:rFonts w:ascii="Palatino Linotype" w:hAnsi="Palatino Linotype" w:cs="Arial"/>
          <w:i/>
        </w:rPr>
        <w:t xml:space="preserve"> </w:t>
      </w:r>
      <w:r>
        <w:rPr>
          <w:rFonts w:ascii="Palatino Linotype" w:hAnsi="Palatino Linotype" w:cs="Arial"/>
          <w:i/>
          <w:sz w:val="22"/>
          <w:szCs w:val="22"/>
        </w:rPr>
        <w:t>índole</w:t>
      </w:r>
      <w:r>
        <w:rPr>
          <w:rFonts w:ascii="Palatino Linotype" w:hAnsi="Palatino Linotype" w:cs="Arial"/>
          <w:i/>
        </w:rPr>
        <w:t xml:space="preserve"> </w:t>
      </w:r>
      <w:r>
        <w:rPr>
          <w:rFonts w:ascii="Palatino Linotype" w:hAnsi="Palatino Linotype" w:cs="Arial"/>
          <w:i/>
          <w:sz w:val="22"/>
          <w:szCs w:val="22"/>
        </w:rPr>
        <w:t>por</w:t>
      </w:r>
      <w:r>
        <w:rPr>
          <w:rFonts w:ascii="Palatino Linotype" w:hAnsi="Palatino Linotype" w:cs="Arial"/>
          <w:i/>
        </w:rPr>
        <w:t xml:space="preserve"> </w:t>
      </w:r>
      <w:r>
        <w:rPr>
          <w:rFonts w:ascii="Palatino Linotype" w:hAnsi="Palatino Linotype" w:cs="Arial"/>
          <w:i/>
          <w:sz w:val="22"/>
          <w:szCs w:val="22"/>
        </w:rPr>
        <w:t>cualquier</w:t>
      </w:r>
      <w:r>
        <w:rPr>
          <w:rFonts w:ascii="Palatino Linotype" w:hAnsi="Palatino Linotype" w:cs="Arial"/>
          <w:i/>
        </w:rPr>
        <w:t xml:space="preserve"> </w:t>
      </w:r>
      <w:r>
        <w:rPr>
          <w:rFonts w:ascii="Palatino Linotype" w:hAnsi="Palatino Linotype" w:cs="Arial"/>
          <w:i/>
          <w:sz w:val="22"/>
          <w:szCs w:val="22"/>
        </w:rPr>
        <w:t>medio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expresión.</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Para</w:t>
      </w:r>
      <w:r>
        <w:rPr>
          <w:rFonts w:ascii="Palatino Linotype" w:hAnsi="Palatino Linotype" w:cs="Arial"/>
          <w:i/>
        </w:rPr>
        <w:t xml:space="preserve"> </w:t>
      </w:r>
      <w:r>
        <w:rPr>
          <w:rFonts w:ascii="Palatino Linotype" w:hAnsi="Palatino Linotype" w:cs="Arial"/>
          <w:i/>
          <w:sz w:val="22"/>
          <w:szCs w:val="22"/>
        </w:rPr>
        <w:t>efectos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lo</w:t>
      </w:r>
      <w:r>
        <w:rPr>
          <w:rFonts w:ascii="Palatino Linotype" w:hAnsi="Palatino Linotype" w:cs="Arial"/>
          <w:i/>
        </w:rPr>
        <w:t xml:space="preserve"> </w:t>
      </w:r>
      <w:r>
        <w:rPr>
          <w:rFonts w:ascii="Palatino Linotype" w:hAnsi="Palatino Linotype" w:cs="Arial"/>
          <w:i/>
          <w:sz w:val="22"/>
          <w:szCs w:val="22"/>
        </w:rPr>
        <w:t>dispuesto</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presente</w:t>
      </w:r>
      <w:r>
        <w:rPr>
          <w:rFonts w:ascii="Palatino Linotype" w:hAnsi="Palatino Linotype" w:cs="Arial"/>
          <w:i/>
        </w:rPr>
        <w:t xml:space="preserve"> </w:t>
      </w:r>
      <w:r>
        <w:rPr>
          <w:rFonts w:ascii="Palatino Linotype" w:hAnsi="Palatino Linotype" w:cs="Arial"/>
          <w:i/>
          <w:sz w:val="22"/>
          <w:szCs w:val="22"/>
        </w:rPr>
        <w:t>artículo</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observará</w:t>
      </w:r>
      <w:r>
        <w:rPr>
          <w:rFonts w:ascii="Palatino Linotype" w:hAnsi="Palatino Linotype" w:cs="Arial"/>
          <w:i/>
        </w:rPr>
        <w:t xml:space="preserve"> </w:t>
      </w:r>
      <w:r>
        <w:rPr>
          <w:rFonts w:ascii="Palatino Linotype" w:hAnsi="Palatino Linotype" w:cs="Arial"/>
          <w:i/>
          <w:sz w:val="22"/>
          <w:szCs w:val="22"/>
        </w:rPr>
        <w:t>lo</w:t>
      </w:r>
      <w:r>
        <w:rPr>
          <w:rFonts w:ascii="Palatino Linotype" w:hAnsi="Palatino Linotype" w:cs="Arial"/>
          <w:i/>
        </w:rPr>
        <w:t xml:space="preserve"> </w:t>
      </w:r>
      <w:r>
        <w:rPr>
          <w:rFonts w:ascii="Palatino Linotype" w:hAnsi="Palatino Linotype" w:cs="Arial"/>
          <w:i/>
          <w:sz w:val="22"/>
          <w:szCs w:val="22"/>
        </w:rPr>
        <w:t>siguiente:</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Para</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ejercicio</w:t>
      </w:r>
      <w:r>
        <w:rPr>
          <w:rFonts w:ascii="Palatino Linotype" w:hAnsi="Palatino Linotype" w:cs="Arial"/>
          <w:i/>
        </w:rPr>
        <w:t xml:space="preserve"> </w:t>
      </w:r>
      <w:r>
        <w:rPr>
          <w:rFonts w:ascii="Palatino Linotype" w:hAnsi="Palatino Linotype" w:cs="Arial"/>
          <w:i/>
          <w:sz w:val="22"/>
          <w:szCs w:val="22"/>
        </w:rPr>
        <w:t>del</w:t>
      </w:r>
      <w:r>
        <w:rPr>
          <w:rFonts w:ascii="Palatino Linotype" w:hAnsi="Palatino Linotype" w:cs="Arial"/>
          <w:i/>
        </w:rPr>
        <w:t xml:space="preserve"> </w:t>
      </w:r>
      <w:r>
        <w:rPr>
          <w:rFonts w:ascii="Palatino Linotype" w:hAnsi="Palatino Linotype" w:cs="Arial"/>
          <w:i/>
          <w:sz w:val="22"/>
          <w:szCs w:val="22"/>
        </w:rPr>
        <w:t>derecho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Federación,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Estados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Distrito</w:t>
      </w:r>
      <w:r>
        <w:rPr>
          <w:rFonts w:ascii="Palatino Linotype" w:hAnsi="Palatino Linotype" w:cs="Arial"/>
          <w:i/>
        </w:rPr>
        <w:t xml:space="preserve"> </w:t>
      </w:r>
      <w:r>
        <w:rPr>
          <w:rFonts w:ascii="Palatino Linotype" w:hAnsi="Palatino Linotype" w:cs="Arial"/>
          <w:i/>
          <w:sz w:val="22"/>
          <w:szCs w:val="22"/>
        </w:rPr>
        <w:t>Federal,</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ámbito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sus</w:t>
      </w:r>
      <w:r>
        <w:rPr>
          <w:rFonts w:ascii="Palatino Linotype" w:hAnsi="Palatino Linotype" w:cs="Arial"/>
          <w:i/>
        </w:rPr>
        <w:t xml:space="preserve"> </w:t>
      </w:r>
      <w:r>
        <w:rPr>
          <w:rFonts w:ascii="Palatino Linotype" w:hAnsi="Palatino Linotype" w:cs="Arial"/>
          <w:i/>
          <w:sz w:val="22"/>
          <w:szCs w:val="22"/>
        </w:rPr>
        <w:t>respectivas</w:t>
      </w:r>
      <w:r>
        <w:rPr>
          <w:rFonts w:ascii="Palatino Linotype" w:hAnsi="Palatino Linotype" w:cs="Arial"/>
          <w:i/>
        </w:rPr>
        <w:t xml:space="preserve"> </w:t>
      </w:r>
      <w:r>
        <w:rPr>
          <w:rFonts w:ascii="Palatino Linotype" w:hAnsi="Palatino Linotype" w:cs="Arial"/>
          <w:i/>
          <w:sz w:val="22"/>
          <w:szCs w:val="22"/>
        </w:rPr>
        <w:t>competencias,</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regirán</w:t>
      </w:r>
      <w:r>
        <w:rPr>
          <w:rFonts w:ascii="Palatino Linotype" w:hAnsi="Palatino Linotype" w:cs="Arial"/>
          <w:i/>
        </w:rPr>
        <w:t xml:space="preserve"> </w:t>
      </w:r>
      <w:r>
        <w:rPr>
          <w:rFonts w:ascii="Palatino Linotype" w:hAnsi="Palatino Linotype" w:cs="Arial"/>
          <w:i/>
          <w:sz w:val="22"/>
          <w:szCs w:val="22"/>
        </w:rPr>
        <w:t>por</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siguientes</w:t>
      </w:r>
      <w:r>
        <w:rPr>
          <w:rFonts w:ascii="Palatino Linotype" w:hAnsi="Palatino Linotype" w:cs="Arial"/>
          <w:i/>
        </w:rPr>
        <w:t xml:space="preserve"> </w:t>
      </w:r>
      <w:r>
        <w:rPr>
          <w:rFonts w:ascii="Palatino Linotype" w:hAnsi="Palatino Linotype" w:cs="Arial"/>
          <w:i/>
          <w:sz w:val="22"/>
          <w:szCs w:val="22"/>
        </w:rPr>
        <w:t>principios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bases: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b/>
          <w:i/>
          <w:sz w:val="22"/>
          <w:szCs w:val="22"/>
        </w:rPr>
        <w:t>I.</w:t>
      </w:r>
      <w:r>
        <w:rPr>
          <w:rFonts w:ascii="Palatino Linotype" w:hAnsi="Palatino Linotype" w:cs="Arial"/>
          <w:b/>
          <w:i/>
        </w:rPr>
        <w:t xml:space="preserve"> </w:t>
      </w:r>
      <w:r>
        <w:rPr>
          <w:rFonts w:ascii="Palatino Linotype" w:hAnsi="Palatino Linotype" w:cs="Arial"/>
          <w:b/>
          <w:i/>
          <w:sz w:val="22"/>
          <w:szCs w:val="22"/>
        </w:rPr>
        <w:t>Toda</w:t>
      </w:r>
      <w:r>
        <w:rPr>
          <w:rFonts w:ascii="Palatino Linotype" w:hAnsi="Palatino Linotype" w:cs="Arial"/>
          <w:b/>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en</w:t>
      </w:r>
      <w:r>
        <w:rPr>
          <w:rFonts w:ascii="Palatino Linotype" w:hAnsi="Palatino Linotype" w:cs="Arial"/>
          <w:b/>
          <w:i/>
        </w:rPr>
        <w:t xml:space="preserve"> </w:t>
      </w:r>
      <w:r>
        <w:rPr>
          <w:rFonts w:ascii="Palatino Linotype" w:hAnsi="Palatino Linotype" w:cs="Arial"/>
          <w:b/>
          <w:i/>
          <w:sz w:val="22"/>
          <w:szCs w:val="22"/>
        </w:rPr>
        <w:t>posesión</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i/>
        </w:rPr>
        <w:t xml:space="preserve"> </w:t>
      </w:r>
      <w:r>
        <w:rPr>
          <w:rFonts w:ascii="Palatino Linotype" w:hAnsi="Palatino Linotype" w:cs="Arial"/>
          <w:b/>
          <w:i/>
          <w:sz w:val="22"/>
          <w:szCs w:val="22"/>
        </w:rPr>
        <w:t>cualquier</w:t>
      </w:r>
      <w:r>
        <w:rPr>
          <w:rFonts w:ascii="Palatino Linotype" w:hAnsi="Palatino Linotype" w:cs="Arial"/>
          <w:b/>
          <w:i/>
        </w:rPr>
        <w:t xml:space="preserve"> </w:t>
      </w:r>
      <w:r>
        <w:rPr>
          <w:rFonts w:ascii="Palatino Linotype" w:hAnsi="Palatino Linotype" w:cs="Arial"/>
          <w:b/>
          <w:i/>
          <w:sz w:val="22"/>
          <w:szCs w:val="22"/>
        </w:rPr>
        <w:t>autoridad</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entidad,</w:t>
      </w:r>
      <w:r>
        <w:rPr>
          <w:rFonts w:ascii="Palatino Linotype" w:hAnsi="Palatino Linotype" w:cs="Arial"/>
          <w:i/>
        </w:rPr>
        <w:t xml:space="preserve"> </w:t>
      </w:r>
      <w:r>
        <w:rPr>
          <w:rFonts w:ascii="Palatino Linotype" w:hAnsi="Palatino Linotype" w:cs="Arial"/>
          <w:i/>
          <w:sz w:val="22"/>
          <w:szCs w:val="22"/>
        </w:rPr>
        <w:t>órgano</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organismo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Poderes</w:t>
      </w:r>
      <w:r>
        <w:rPr>
          <w:rFonts w:ascii="Palatino Linotype" w:hAnsi="Palatino Linotype" w:cs="Arial"/>
          <w:i/>
        </w:rPr>
        <w:t xml:space="preserve"> </w:t>
      </w:r>
      <w:r>
        <w:rPr>
          <w:rFonts w:ascii="Palatino Linotype" w:hAnsi="Palatino Linotype" w:cs="Arial"/>
          <w:i/>
          <w:sz w:val="22"/>
          <w:szCs w:val="22"/>
        </w:rPr>
        <w:t>Ejecutivo,</w:t>
      </w:r>
      <w:r>
        <w:rPr>
          <w:rFonts w:ascii="Palatino Linotype" w:hAnsi="Palatino Linotype" w:cs="Arial"/>
          <w:i/>
        </w:rPr>
        <w:t xml:space="preserve"> </w:t>
      </w:r>
      <w:r>
        <w:rPr>
          <w:rFonts w:ascii="Palatino Linotype" w:hAnsi="Palatino Linotype" w:cs="Arial"/>
          <w:i/>
          <w:sz w:val="22"/>
          <w:szCs w:val="22"/>
        </w:rPr>
        <w:t>Legislativo</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Judicial,</w:t>
      </w:r>
      <w:r>
        <w:rPr>
          <w:rFonts w:ascii="Palatino Linotype" w:hAnsi="Palatino Linotype" w:cs="Arial"/>
          <w:i/>
        </w:rPr>
        <w:t xml:space="preserve"> </w:t>
      </w:r>
      <w:r>
        <w:rPr>
          <w:rFonts w:ascii="Palatino Linotype" w:hAnsi="Palatino Linotype" w:cs="Arial"/>
          <w:i/>
          <w:sz w:val="22"/>
          <w:szCs w:val="22"/>
        </w:rPr>
        <w:t>órganos</w:t>
      </w:r>
      <w:r>
        <w:rPr>
          <w:rFonts w:ascii="Palatino Linotype" w:hAnsi="Palatino Linotype" w:cs="Arial"/>
          <w:i/>
        </w:rPr>
        <w:t xml:space="preserve"> </w:t>
      </w:r>
      <w:r>
        <w:rPr>
          <w:rFonts w:ascii="Palatino Linotype" w:hAnsi="Palatino Linotype" w:cs="Arial"/>
          <w:i/>
          <w:sz w:val="22"/>
          <w:szCs w:val="22"/>
        </w:rPr>
        <w:t>autónomos,</w:t>
      </w:r>
      <w:r>
        <w:rPr>
          <w:rFonts w:ascii="Palatino Linotype" w:hAnsi="Palatino Linotype" w:cs="Arial"/>
          <w:i/>
        </w:rPr>
        <w:t xml:space="preserve"> </w:t>
      </w:r>
      <w:r>
        <w:rPr>
          <w:rFonts w:ascii="Palatino Linotype" w:hAnsi="Palatino Linotype" w:cs="Arial"/>
          <w:i/>
          <w:sz w:val="22"/>
          <w:szCs w:val="22"/>
        </w:rPr>
        <w:lastRenderedPageBreak/>
        <w:t>partidos</w:t>
      </w:r>
      <w:r>
        <w:rPr>
          <w:rFonts w:ascii="Palatino Linotype" w:hAnsi="Palatino Linotype" w:cs="Arial"/>
          <w:i/>
        </w:rPr>
        <w:t xml:space="preserve"> </w:t>
      </w:r>
      <w:r>
        <w:rPr>
          <w:rFonts w:ascii="Palatino Linotype" w:hAnsi="Palatino Linotype" w:cs="Arial"/>
          <w:i/>
          <w:sz w:val="22"/>
          <w:szCs w:val="22"/>
        </w:rPr>
        <w:t>políticos,</w:t>
      </w:r>
      <w:r>
        <w:rPr>
          <w:rFonts w:ascii="Palatino Linotype" w:hAnsi="Palatino Linotype" w:cs="Arial"/>
          <w:i/>
        </w:rPr>
        <w:t xml:space="preserve"> </w:t>
      </w:r>
      <w:r>
        <w:rPr>
          <w:rFonts w:ascii="Palatino Linotype" w:hAnsi="Palatino Linotype" w:cs="Arial"/>
          <w:i/>
          <w:sz w:val="22"/>
          <w:szCs w:val="22"/>
        </w:rPr>
        <w:t>fideicomisos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fondos</w:t>
      </w:r>
      <w:r>
        <w:rPr>
          <w:rFonts w:ascii="Palatino Linotype" w:hAnsi="Palatino Linotype" w:cs="Arial"/>
          <w:i/>
        </w:rPr>
        <w:t xml:space="preserve"> </w:t>
      </w:r>
      <w:r>
        <w:rPr>
          <w:rFonts w:ascii="Palatino Linotype" w:hAnsi="Palatino Linotype" w:cs="Arial"/>
          <w:i/>
          <w:sz w:val="22"/>
          <w:szCs w:val="22"/>
        </w:rPr>
        <w:t>públicos,</w:t>
      </w:r>
      <w:r>
        <w:rPr>
          <w:rFonts w:ascii="Palatino Linotype" w:hAnsi="Palatino Linotype" w:cs="Arial"/>
          <w:i/>
        </w:rPr>
        <w:t xml:space="preserve"> </w:t>
      </w:r>
      <w:r>
        <w:rPr>
          <w:rFonts w:ascii="Palatino Linotype" w:hAnsi="Palatino Linotype" w:cs="Arial"/>
          <w:i/>
          <w:sz w:val="22"/>
          <w:szCs w:val="22"/>
        </w:rPr>
        <w:t>así</w:t>
      </w:r>
      <w:r>
        <w:rPr>
          <w:rFonts w:ascii="Palatino Linotype" w:hAnsi="Palatino Linotype" w:cs="Arial"/>
          <w:i/>
        </w:rPr>
        <w:t xml:space="preserve"> </w:t>
      </w:r>
      <w:r>
        <w:rPr>
          <w:rFonts w:ascii="Palatino Linotype" w:hAnsi="Palatino Linotype" w:cs="Arial"/>
          <w:i/>
          <w:sz w:val="22"/>
          <w:szCs w:val="22"/>
        </w:rPr>
        <w:t>como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cualquier</w:t>
      </w:r>
      <w:r>
        <w:rPr>
          <w:rFonts w:ascii="Palatino Linotype" w:hAnsi="Palatino Linotype" w:cs="Arial"/>
          <w:i/>
        </w:rPr>
        <w:t xml:space="preserve"> </w:t>
      </w:r>
      <w:r>
        <w:rPr>
          <w:rFonts w:ascii="Palatino Linotype" w:hAnsi="Palatino Linotype" w:cs="Arial"/>
          <w:i/>
          <w:sz w:val="22"/>
          <w:szCs w:val="22"/>
        </w:rPr>
        <w:t>persona</w:t>
      </w:r>
      <w:r>
        <w:rPr>
          <w:rFonts w:ascii="Palatino Linotype" w:hAnsi="Palatino Linotype" w:cs="Arial"/>
          <w:i/>
        </w:rPr>
        <w:t xml:space="preserve"> </w:t>
      </w:r>
      <w:r>
        <w:rPr>
          <w:rFonts w:ascii="Palatino Linotype" w:hAnsi="Palatino Linotype" w:cs="Arial"/>
          <w:i/>
          <w:sz w:val="22"/>
          <w:szCs w:val="22"/>
        </w:rPr>
        <w:t>física,</w:t>
      </w:r>
      <w:r>
        <w:rPr>
          <w:rFonts w:ascii="Palatino Linotype" w:hAnsi="Palatino Linotype" w:cs="Arial"/>
          <w:i/>
        </w:rPr>
        <w:t xml:space="preserve"> </w:t>
      </w:r>
      <w:r>
        <w:rPr>
          <w:rFonts w:ascii="Palatino Linotype" w:hAnsi="Palatino Linotype" w:cs="Arial"/>
          <w:i/>
          <w:sz w:val="22"/>
          <w:szCs w:val="22"/>
        </w:rPr>
        <w:t>moral</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sindicato</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reciba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ejerza</w:t>
      </w:r>
      <w:r>
        <w:rPr>
          <w:rFonts w:ascii="Palatino Linotype" w:hAnsi="Palatino Linotype" w:cs="Arial"/>
          <w:i/>
        </w:rPr>
        <w:t xml:space="preserve"> </w:t>
      </w:r>
      <w:r>
        <w:rPr>
          <w:rFonts w:ascii="Palatino Linotype" w:hAnsi="Palatino Linotype" w:cs="Arial"/>
          <w:i/>
          <w:sz w:val="22"/>
          <w:szCs w:val="22"/>
        </w:rPr>
        <w:t>recursos</w:t>
      </w:r>
      <w:r>
        <w:rPr>
          <w:rFonts w:ascii="Palatino Linotype" w:hAnsi="Palatino Linotype" w:cs="Arial"/>
          <w:i/>
        </w:rPr>
        <w:t xml:space="preserve"> </w:t>
      </w:r>
      <w:r>
        <w:rPr>
          <w:rFonts w:ascii="Palatino Linotype" w:hAnsi="Palatino Linotype" w:cs="Arial"/>
          <w:i/>
          <w:sz w:val="22"/>
          <w:szCs w:val="22"/>
        </w:rPr>
        <w:t>públicos</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realice</w:t>
      </w:r>
      <w:r>
        <w:rPr>
          <w:rFonts w:ascii="Palatino Linotype" w:hAnsi="Palatino Linotype" w:cs="Arial"/>
          <w:i/>
        </w:rPr>
        <w:t xml:space="preserve"> </w:t>
      </w:r>
      <w:r>
        <w:rPr>
          <w:rFonts w:ascii="Palatino Linotype" w:hAnsi="Palatino Linotype" w:cs="Arial"/>
          <w:i/>
          <w:sz w:val="22"/>
          <w:szCs w:val="22"/>
        </w:rPr>
        <w:t>actos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autoridad</w:t>
      </w:r>
      <w:r>
        <w:rPr>
          <w:rFonts w:ascii="Palatino Linotype" w:hAnsi="Palatino Linotype" w:cs="Arial"/>
          <w:i/>
        </w:rPr>
        <w:t xml:space="preserve"> </w:t>
      </w:r>
      <w:r>
        <w:rPr>
          <w:rFonts w:ascii="Palatino Linotype" w:hAnsi="Palatino Linotype" w:cs="Arial"/>
          <w:b/>
          <w:i/>
          <w:sz w:val="22"/>
          <w:szCs w:val="22"/>
        </w:rPr>
        <w:t>en</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ámbito</w:t>
      </w:r>
      <w:r>
        <w:rPr>
          <w:rFonts w:ascii="Palatino Linotype" w:hAnsi="Palatino Linotype" w:cs="Arial"/>
          <w:b/>
          <w:i/>
        </w:rPr>
        <w:t xml:space="preserve"> </w:t>
      </w:r>
      <w:r>
        <w:rPr>
          <w:rFonts w:ascii="Palatino Linotype" w:hAnsi="Palatino Linotype" w:cs="Arial"/>
          <w:b/>
          <w:i/>
          <w:sz w:val="22"/>
          <w:szCs w:val="22"/>
        </w:rPr>
        <w:t>federal,</w:t>
      </w:r>
      <w:r>
        <w:rPr>
          <w:rFonts w:ascii="Palatino Linotype" w:hAnsi="Palatino Linotype" w:cs="Arial"/>
          <w:b/>
          <w:i/>
        </w:rPr>
        <w:t xml:space="preserve"> </w:t>
      </w:r>
      <w:r>
        <w:rPr>
          <w:rFonts w:ascii="Palatino Linotype" w:hAnsi="Palatino Linotype" w:cs="Arial"/>
          <w:b/>
          <w:i/>
          <w:sz w:val="22"/>
          <w:szCs w:val="22"/>
        </w:rPr>
        <w:t>estatal</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municipal,</w:t>
      </w:r>
      <w:r>
        <w:rPr>
          <w:rFonts w:ascii="Palatino Linotype" w:hAnsi="Palatino Linotype" w:cs="Arial"/>
          <w:b/>
          <w:i/>
        </w:rPr>
        <w:t xml:space="preserve"> </w:t>
      </w:r>
      <w:r>
        <w:rPr>
          <w:rFonts w:ascii="Palatino Linotype" w:hAnsi="Palatino Linotype" w:cs="Arial"/>
          <w:b/>
          <w:i/>
          <w:sz w:val="22"/>
          <w:szCs w:val="22"/>
        </w:rPr>
        <w:t>es</w:t>
      </w:r>
      <w:r>
        <w:rPr>
          <w:rFonts w:ascii="Palatino Linotype" w:hAnsi="Palatino Linotype" w:cs="Arial"/>
          <w:b/>
          <w:i/>
        </w:rPr>
        <w:t xml:space="preserve"> </w:t>
      </w:r>
      <w:r>
        <w:rPr>
          <w:rFonts w:ascii="Palatino Linotype" w:hAnsi="Palatino Linotype" w:cs="Arial"/>
          <w:b/>
          <w:i/>
          <w:sz w:val="22"/>
          <w:szCs w:val="22"/>
        </w:rPr>
        <w:t>pública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sólo</w:t>
      </w:r>
      <w:r>
        <w:rPr>
          <w:rFonts w:ascii="Palatino Linotype" w:hAnsi="Palatino Linotype" w:cs="Arial"/>
          <w:i/>
        </w:rPr>
        <w:t xml:space="preserve"> </w:t>
      </w:r>
      <w:r>
        <w:rPr>
          <w:rFonts w:ascii="Palatino Linotype" w:hAnsi="Palatino Linotype" w:cs="Arial"/>
          <w:i/>
          <w:sz w:val="22"/>
          <w:szCs w:val="22"/>
        </w:rPr>
        <w:t>podrá</w:t>
      </w:r>
      <w:r>
        <w:rPr>
          <w:rFonts w:ascii="Palatino Linotype" w:hAnsi="Palatino Linotype" w:cs="Arial"/>
          <w:i/>
        </w:rPr>
        <w:t xml:space="preserve"> </w:t>
      </w:r>
      <w:r>
        <w:rPr>
          <w:rFonts w:ascii="Palatino Linotype" w:hAnsi="Palatino Linotype" w:cs="Arial"/>
          <w:i/>
          <w:sz w:val="22"/>
          <w:szCs w:val="22"/>
        </w:rPr>
        <w:t>ser</w:t>
      </w:r>
      <w:r>
        <w:rPr>
          <w:rFonts w:ascii="Palatino Linotype" w:hAnsi="Palatino Linotype" w:cs="Arial"/>
          <w:i/>
        </w:rPr>
        <w:t xml:space="preserve"> </w:t>
      </w:r>
      <w:r>
        <w:rPr>
          <w:rFonts w:ascii="Palatino Linotype" w:hAnsi="Palatino Linotype" w:cs="Arial"/>
          <w:i/>
          <w:sz w:val="22"/>
          <w:szCs w:val="22"/>
        </w:rPr>
        <w:t>reservada</w:t>
      </w:r>
      <w:r>
        <w:rPr>
          <w:rFonts w:ascii="Palatino Linotype" w:hAnsi="Palatino Linotype" w:cs="Arial"/>
          <w:i/>
        </w:rPr>
        <w:t xml:space="preserve"> </w:t>
      </w:r>
      <w:r>
        <w:rPr>
          <w:rFonts w:ascii="Palatino Linotype" w:hAnsi="Palatino Linotype" w:cs="Arial"/>
          <w:i/>
          <w:sz w:val="22"/>
          <w:szCs w:val="22"/>
        </w:rPr>
        <w:t>temporalmente</w:t>
      </w:r>
      <w:r>
        <w:rPr>
          <w:rFonts w:ascii="Palatino Linotype" w:hAnsi="Palatino Linotype" w:cs="Arial"/>
          <w:i/>
        </w:rPr>
        <w:t xml:space="preserve"> </w:t>
      </w:r>
      <w:r>
        <w:rPr>
          <w:rFonts w:ascii="Palatino Linotype" w:hAnsi="Palatino Linotype" w:cs="Arial"/>
          <w:i/>
          <w:sz w:val="22"/>
          <w:szCs w:val="22"/>
        </w:rPr>
        <w:t>por</w:t>
      </w:r>
      <w:r>
        <w:rPr>
          <w:rFonts w:ascii="Palatino Linotype" w:hAnsi="Palatino Linotype" w:cs="Arial"/>
          <w:i/>
        </w:rPr>
        <w:t xml:space="preserve"> </w:t>
      </w:r>
      <w:r>
        <w:rPr>
          <w:rFonts w:ascii="Palatino Linotype" w:hAnsi="Palatino Linotype" w:cs="Arial"/>
          <w:i/>
          <w:sz w:val="22"/>
          <w:szCs w:val="22"/>
        </w:rPr>
        <w:t>razones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interés</w:t>
      </w:r>
      <w:r>
        <w:rPr>
          <w:rFonts w:ascii="Palatino Linotype" w:hAnsi="Palatino Linotype" w:cs="Arial"/>
          <w:i/>
        </w:rPr>
        <w:t xml:space="preserve"> </w:t>
      </w:r>
      <w:r>
        <w:rPr>
          <w:rFonts w:ascii="Palatino Linotype" w:hAnsi="Palatino Linotype" w:cs="Arial"/>
          <w:i/>
          <w:sz w:val="22"/>
          <w:szCs w:val="22"/>
        </w:rPr>
        <w:t>público</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seguridad</w:t>
      </w:r>
      <w:r>
        <w:rPr>
          <w:rFonts w:ascii="Palatino Linotype" w:hAnsi="Palatino Linotype" w:cs="Arial"/>
          <w:i/>
        </w:rPr>
        <w:t xml:space="preserve"> </w:t>
      </w:r>
      <w:r>
        <w:rPr>
          <w:rFonts w:ascii="Palatino Linotype" w:hAnsi="Palatino Linotype" w:cs="Arial"/>
          <w:i/>
          <w:sz w:val="22"/>
          <w:szCs w:val="22"/>
        </w:rPr>
        <w:t>nacional,</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términos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fijen</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leyes.</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interpretación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este</w:t>
      </w:r>
      <w:r>
        <w:rPr>
          <w:rFonts w:ascii="Palatino Linotype" w:hAnsi="Palatino Linotype" w:cs="Arial"/>
          <w:i/>
        </w:rPr>
        <w:t xml:space="preserve"> </w:t>
      </w:r>
      <w:r>
        <w:rPr>
          <w:rFonts w:ascii="Palatino Linotype" w:hAnsi="Palatino Linotype" w:cs="Arial"/>
          <w:i/>
          <w:sz w:val="22"/>
          <w:szCs w:val="22"/>
        </w:rPr>
        <w:t>derecho</w:t>
      </w:r>
      <w:r>
        <w:rPr>
          <w:rFonts w:ascii="Palatino Linotype" w:hAnsi="Palatino Linotype" w:cs="Arial"/>
          <w:i/>
        </w:rPr>
        <w:t xml:space="preserve"> </w:t>
      </w:r>
      <w:r>
        <w:rPr>
          <w:rFonts w:ascii="Palatino Linotype" w:hAnsi="Palatino Linotype" w:cs="Arial"/>
          <w:i/>
          <w:sz w:val="22"/>
          <w:szCs w:val="22"/>
        </w:rPr>
        <w:t>deberá</w:t>
      </w:r>
      <w:r>
        <w:rPr>
          <w:rFonts w:ascii="Palatino Linotype" w:hAnsi="Palatino Linotype" w:cs="Arial"/>
          <w:i/>
        </w:rPr>
        <w:t xml:space="preserve"> </w:t>
      </w:r>
      <w:r>
        <w:rPr>
          <w:rFonts w:ascii="Palatino Linotype" w:hAnsi="Palatino Linotype" w:cs="Arial"/>
          <w:i/>
          <w:sz w:val="22"/>
          <w:szCs w:val="22"/>
        </w:rPr>
        <w:t>prevalecer</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principio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máxima</w:t>
      </w:r>
      <w:r>
        <w:rPr>
          <w:rFonts w:ascii="Palatino Linotype" w:hAnsi="Palatino Linotype" w:cs="Arial"/>
          <w:i/>
        </w:rPr>
        <w:t xml:space="preserve"> </w:t>
      </w:r>
      <w:r>
        <w:rPr>
          <w:rFonts w:ascii="Palatino Linotype" w:hAnsi="Palatino Linotype" w:cs="Arial"/>
          <w:i/>
          <w:sz w:val="22"/>
          <w:szCs w:val="22"/>
        </w:rPr>
        <w:t>publicidad.</w:t>
      </w:r>
      <w:r>
        <w:rPr>
          <w:rFonts w:ascii="Palatino Linotype" w:hAnsi="Palatino Linotype" w:cs="Arial"/>
          <w:i/>
        </w:rPr>
        <w:t xml:space="preserve"> </w:t>
      </w: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sujetos</w:t>
      </w:r>
      <w:r>
        <w:rPr>
          <w:rFonts w:ascii="Palatino Linotype" w:hAnsi="Palatino Linotype" w:cs="Arial"/>
          <w:b/>
          <w:i/>
        </w:rPr>
        <w:t xml:space="preserve"> </w:t>
      </w:r>
      <w:r>
        <w:rPr>
          <w:rFonts w:ascii="Palatino Linotype" w:hAnsi="Palatino Linotype" w:cs="Arial"/>
          <w:b/>
          <w:i/>
          <w:sz w:val="22"/>
          <w:szCs w:val="22"/>
        </w:rPr>
        <w:t>obligados</w:t>
      </w:r>
      <w:r>
        <w:rPr>
          <w:rFonts w:ascii="Palatino Linotype" w:hAnsi="Palatino Linotype" w:cs="Arial"/>
          <w:b/>
          <w:i/>
        </w:rPr>
        <w:t xml:space="preserve"> </w:t>
      </w:r>
      <w:r>
        <w:rPr>
          <w:rFonts w:ascii="Palatino Linotype" w:hAnsi="Palatino Linotype" w:cs="Arial"/>
          <w:b/>
          <w:i/>
          <w:sz w:val="22"/>
          <w:szCs w:val="22"/>
        </w:rPr>
        <w:t>deberán</w:t>
      </w:r>
      <w:r>
        <w:rPr>
          <w:rFonts w:ascii="Palatino Linotype" w:hAnsi="Palatino Linotype" w:cs="Arial"/>
          <w:b/>
          <w:i/>
        </w:rPr>
        <w:t xml:space="preserve"> </w:t>
      </w:r>
      <w:r>
        <w:rPr>
          <w:rFonts w:ascii="Palatino Linotype" w:hAnsi="Palatino Linotype" w:cs="Arial"/>
          <w:b/>
          <w:i/>
          <w:sz w:val="22"/>
          <w:szCs w:val="22"/>
        </w:rPr>
        <w:t>documentar</w:t>
      </w:r>
      <w:r>
        <w:rPr>
          <w:rFonts w:ascii="Palatino Linotype" w:hAnsi="Palatino Linotype" w:cs="Arial"/>
          <w:b/>
          <w:i/>
        </w:rPr>
        <w:t xml:space="preserve"> </w:t>
      </w:r>
      <w:r>
        <w:rPr>
          <w:rFonts w:ascii="Palatino Linotype" w:hAnsi="Palatino Linotype" w:cs="Arial"/>
          <w:b/>
          <w:i/>
          <w:sz w:val="22"/>
          <w:szCs w:val="22"/>
        </w:rPr>
        <w:t>todo</w:t>
      </w:r>
      <w:r>
        <w:rPr>
          <w:rFonts w:ascii="Palatino Linotype" w:hAnsi="Palatino Linotype" w:cs="Arial"/>
          <w:b/>
          <w:i/>
        </w:rPr>
        <w:t xml:space="preserve"> </w:t>
      </w:r>
      <w:r>
        <w:rPr>
          <w:rFonts w:ascii="Palatino Linotype" w:hAnsi="Palatino Linotype" w:cs="Arial"/>
          <w:b/>
          <w:i/>
          <w:sz w:val="22"/>
          <w:szCs w:val="22"/>
        </w:rPr>
        <w:t>acto</w:t>
      </w:r>
      <w:r>
        <w:rPr>
          <w:rFonts w:ascii="Palatino Linotype" w:hAnsi="Palatino Linotype" w:cs="Arial"/>
          <w:b/>
          <w:i/>
        </w:rPr>
        <w:t xml:space="preserve"> </w:t>
      </w:r>
      <w:r>
        <w:rPr>
          <w:rFonts w:ascii="Palatino Linotype" w:hAnsi="Palatino Linotype" w:cs="Arial"/>
          <w:b/>
          <w:i/>
          <w:sz w:val="22"/>
          <w:szCs w:val="22"/>
        </w:rPr>
        <w:t>que</w:t>
      </w:r>
      <w:r>
        <w:rPr>
          <w:rFonts w:ascii="Palatino Linotype" w:hAnsi="Palatino Linotype" w:cs="Arial"/>
          <w:b/>
          <w:i/>
        </w:rPr>
        <w:t xml:space="preserve"> </w:t>
      </w:r>
      <w:r>
        <w:rPr>
          <w:rFonts w:ascii="Palatino Linotype" w:hAnsi="Palatino Linotype" w:cs="Arial"/>
          <w:b/>
          <w:i/>
          <w:sz w:val="22"/>
          <w:szCs w:val="22"/>
        </w:rPr>
        <w:t>derive</w:t>
      </w:r>
      <w:r>
        <w:rPr>
          <w:rFonts w:ascii="Palatino Linotype" w:hAnsi="Palatino Linotype" w:cs="Arial"/>
          <w:b/>
          <w:i/>
        </w:rPr>
        <w:t xml:space="preserve"> </w:t>
      </w:r>
      <w:r>
        <w:rPr>
          <w:rFonts w:ascii="Palatino Linotype" w:hAnsi="Palatino Linotype" w:cs="Arial"/>
          <w:b/>
          <w:i/>
          <w:sz w:val="22"/>
          <w:szCs w:val="22"/>
        </w:rPr>
        <w:t>del</w:t>
      </w:r>
      <w:r>
        <w:rPr>
          <w:rFonts w:ascii="Palatino Linotype" w:hAnsi="Palatino Linotype" w:cs="Arial"/>
          <w:b/>
          <w:i/>
        </w:rPr>
        <w:t xml:space="preserve"> </w:t>
      </w:r>
      <w:r>
        <w:rPr>
          <w:rFonts w:ascii="Palatino Linotype" w:hAnsi="Palatino Linotype" w:cs="Arial"/>
          <w:b/>
          <w:i/>
          <w:sz w:val="22"/>
          <w:szCs w:val="22"/>
        </w:rPr>
        <w:t>ejercicio</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sus</w:t>
      </w:r>
      <w:r>
        <w:rPr>
          <w:rFonts w:ascii="Palatino Linotype" w:hAnsi="Palatino Linotype" w:cs="Arial"/>
          <w:b/>
          <w:i/>
        </w:rPr>
        <w:t xml:space="preserve"> </w:t>
      </w:r>
      <w:r>
        <w:rPr>
          <w:rFonts w:ascii="Palatino Linotype" w:hAnsi="Palatino Linotype" w:cs="Arial"/>
          <w:b/>
          <w:i/>
          <w:sz w:val="22"/>
          <w:szCs w:val="22"/>
        </w:rPr>
        <w:t>facultades,</w:t>
      </w:r>
      <w:r>
        <w:rPr>
          <w:rFonts w:ascii="Palatino Linotype" w:hAnsi="Palatino Linotype" w:cs="Arial"/>
          <w:b/>
          <w:i/>
        </w:rPr>
        <w:t xml:space="preserve"> </w:t>
      </w:r>
      <w:r>
        <w:rPr>
          <w:rFonts w:ascii="Palatino Linotype" w:hAnsi="Palatino Linotype" w:cs="Arial"/>
          <w:b/>
          <w:i/>
          <w:sz w:val="22"/>
          <w:szCs w:val="22"/>
        </w:rPr>
        <w:t>competencias</w:t>
      </w:r>
      <w:r>
        <w:rPr>
          <w:rFonts w:ascii="Palatino Linotype" w:hAnsi="Palatino Linotype" w:cs="Arial"/>
          <w:b/>
          <w:i/>
        </w:rPr>
        <w:t xml:space="preserve"> </w:t>
      </w:r>
      <w:r>
        <w:rPr>
          <w:rFonts w:ascii="Palatino Linotype" w:hAnsi="Palatino Linotype" w:cs="Arial"/>
          <w:b/>
          <w:i/>
          <w:sz w:val="22"/>
          <w:szCs w:val="22"/>
        </w:rPr>
        <w:t>o</w:t>
      </w:r>
      <w:r>
        <w:rPr>
          <w:rFonts w:ascii="Palatino Linotype" w:hAnsi="Palatino Linotype" w:cs="Arial"/>
          <w:b/>
          <w:i/>
        </w:rPr>
        <w:t xml:space="preserve"> </w:t>
      </w:r>
      <w:r>
        <w:rPr>
          <w:rFonts w:ascii="Palatino Linotype" w:hAnsi="Palatino Linotype" w:cs="Arial"/>
          <w:b/>
          <w:i/>
          <w:sz w:val="22"/>
          <w:szCs w:val="22"/>
        </w:rPr>
        <w:t>funciones</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ley</w:t>
      </w:r>
      <w:r>
        <w:rPr>
          <w:rFonts w:ascii="Palatino Linotype" w:hAnsi="Palatino Linotype" w:cs="Arial"/>
          <w:i/>
        </w:rPr>
        <w:t xml:space="preserve"> </w:t>
      </w:r>
      <w:r>
        <w:rPr>
          <w:rFonts w:ascii="Palatino Linotype" w:hAnsi="Palatino Linotype" w:cs="Arial"/>
          <w:i/>
          <w:sz w:val="22"/>
          <w:szCs w:val="22"/>
        </w:rPr>
        <w:t>determinará</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supuestos</w:t>
      </w:r>
      <w:r>
        <w:rPr>
          <w:rFonts w:ascii="Palatino Linotype" w:hAnsi="Palatino Linotype" w:cs="Arial"/>
          <w:i/>
        </w:rPr>
        <w:t xml:space="preserve"> </w:t>
      </w:r>
      <w:r>
        <w:rPr>
          <w:rFonts w:ascii="Palatino Linotype" w:hAnsi="Palatino Linotype" w:cs="Arial"/>
          <w:i/>
          <w:sz w:val="22"/>
          <w:szCs w:val="22"/>
        </w:rPr>
        <w:t>específicos</w:t>
      </w:r>
      <w:r>
        <w:rPr>
          <w:rFonts w:ascii="Palatino Linotype" w:hAnsi="Palatino Linotype" w:cs="Arial"/>
          <w:i/>
        </w:rPr>
        <w:t xml:space="preserve"> </w:t>
      </w:r>
      <w:r>
        <w:rPr>
          <w:rFonts w:ascii="Palatino Linotype" w:hAnsi="Palatino Linotype" w:cs="Arial"/>
          <w:i/>
          <w:sz w:val="22"/>
          <w:szCs w:val="22"/>
        </w:rPr>
        <w:t>bajo</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cuales</w:t>
      </w:r>
      <w:r>
        <w:rPr>
          <w:rFonts w:ascii="Palatino Linotype" w:hAnsi="Palatino Linotype" w:cs="Arial"/>
          <w:i/>
        </w:rPr>
        <w:t xml:space="preserve"> </w:t>
      </w:r>
      <w:r>
        <w:rPr>
          <w:rFonts w:ascii="Palatino Linotype" w:hAnsi="Palatino Linotype" w:cs="Arial"/>
          <w:i/>
          <w:sz w:val="22"/>
          <w:szCs w:val="22"/>
        </w:rPr>
        <w:t>procederá</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declaración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inexistencia</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II.</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refiere</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vida</w:t>
      </w:r>
      <w:r>
        <w:rPr>
          <w:rFonts w:ascii="Palatino Linotype" w:hAnsi="Palatino Linotype" w:cs="Arial"/>
          <w:i/>
        </w:rPr>
        <w:t xml:space="preserve"> </w:t>
      </w:r>
      <w:r>
        <w:rPr>
          <w:rFonts w:ascii="Palatino Linotype" w:hAnsi="Palatino Linotype" w:cs="Arial"/>
          <w:i/>
          <w:sz w:val="22"/>
          <w:szCs w:val="22"/>
        </w:rPr>
        <w:t>privada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datos</w:t>
      </w:r>
      <w:r>
        <w:rPr>
          <w:rFonts w:ascii="Palatino Linotype" w:hAnsi="Palatino Linotype" w:cs="Arial"/>
          <w:i/>
        </w:rPr>
        <w:t xml:space="preserve"> </w:t>
      </w:r>
      <w:r>
        <w:rPr>
          <w:rFonts w:ascii="Palatino Linotype" w:hAnsi="Palatino Linotype" w:cs="Arial"/>
          <w:i/>
          <w:sz w:val="22"/>
          <w:szCs w:val="22"/>
        </w:rPr>
        <w:t>personales</w:t>
      </w:r>
      <w:r>
        <w:rPr>
          <w:rFonts w:ascii="Palatino Linotype" w:hAnsi="Palatino Linotype" w:cs="Arial"/>
          <w:i/>
        </w:rPr>
        <w:t xml:space="preserve"> </w:t>
      </w:r>
      <w:r>
        <w:rPr>
          <w:rFonts w:ascii="Palatino Linotype" w:hAnsi="Palatino Linotype" w:cs="Arial"/>
          <w:i/>
          <w:sz w:val="22"/>
          <w:szCs w:val="22"/>
        </w:rPr>
        <w:t>será</w:t>
      </w:r>
      <w:r>
        <w:rPr>
          <w:rFonts w:ascii="Palatino Linotype" w:hAnsi="Palatino Linotype" w:cs="Arial"/>
          <w:i/>
        </w:rPr>
        <w:t xml:space="preserve"> </w:t>
      </w:r>
      <w:r>
        <w:rPr>
          <w:rFonts w:ascii="Palatino Linotype" w:hAnsi="Palatino Linotype" w:cs="Arial"/>
          <w:i/>
          <w:sz w:val="22"/>
          <w:szCs w:val="22"/>
        </w:rPr>
        <w:t>protegida</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términos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con</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excepciones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fijen</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leyes.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III.</w:t>
      </w:r>
      <w:r>
        <w:rPr>
          <w:rFonts w:ascii="Palatino Linotype" w:hAnsi="Palatino Linotype" w:cs="Arial"/>
          <w:i/>
        </w:rPr>
        <w:t xml:space="preserve"> </w:t>
      </w:r>
      <w:r>
        <w:rPr>
          <w:rFonts w:ascii="Palatino Linotype" w:hAnsi="Palatino Linotype" w:cs="Arial"/>
          <w:i/>
          <w:sz w:val="22"/>
          <w:szCs w:val="22"/>
        </w:rPr>
        <w:t>Toda</w:t>
      </w:r>
      <w:r>
        <w:rPr>
          <w:rFonts w:ascii="Palatino Linotype" w:hAnsi="Palatino Linotype" w:cs="Arial"/>
          <w:i/>
        </w:rPr>
        <w:t xml:space="preserve"> </w:t>
      </w:r>
      <w:r>
        <w:rPr>
          <w:rFonts w:ascii="Palatino Linotype" w:hAnsi="Palatino Linotype" w:cs="Arial"/>
          <w:i/>
          <w:sz w:val="22"/>
          <w:szCs w:val="22"/>
        </w:rPr>
        <w:t>persona,</w:t>
      </w:r>
      <w:r>
        <w:rPr>
          <w:rFonts w:ascii="Palatino Linotype" w:hAnsi="Palatino Linotype" w:cs="Arial"/>
          <w:i/>
        </w:rPr>
        <w:t xml:space="preserve"> </w:t>
      </w:r>
      <w:r>
        <w:rPr>
          <w:rFonts w:ascii="Palatino Linotype" w:hAnsi="Palatino Linotype" w:cs="Arial"/>
          <w:i/>
          <w:sz w:val="22"/>
          <w:szCs w:val="22"/>
        </w:rPr>
        <w:t>sin</w:t>
      </w:r>
      <w:r>
        <w:rPr>
          <w:rFonts w:ascii="Palatino Linotype" w:hAnsi="Palatino Linotype" w:cs="Arial"/>
          <w:i/>
        </w:rPr>
        <w:t xml:space="preserve"> </w:t>
      </w:r>
      <w:r>
        <w:rPr>
          <w:rFonts w:ascii="Palatino Linotype" w:hAnsi="Palatino Linotype" w:cs="Arial"/>
          <w:i/>
          <w:sz w:val="22"/>
          <w:szCs w:val="22"/>
        </w:rPr>
        <w:t>necesidad</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acreditar</w:t>
      </w:r>
      <w:r>
        <w:rPr>
          <w:rFonts w:ascii="Palatino Linotype" w:hAnsi="Palatino Linotype" w:cs="Arial"/>
          <w:i/>
        </w:rPr>
        <w:t xml:space="preserve"> </w:t>
      </w:r>
      <w:r>
        <w:rPr>
          <w:rFonts w:ascii="Palatino Linotype" w:hAnsi="Palatino Linotype" w:cs="Arial"/>
          <w:i/>
          <w:sz w:val="22"/>
          <w:szCs w:val="22"/>
        </w:rPr>
        <w:t>interés</w:t>
      </w:r>
      <w:r>
        <w:rPr>
          <w:rFonts w:ascii="Palatino Linotype" w:hAnsi="Palatino Linotype" w:cs="Arial"/>
          <w:i/>
        </w:rPr>
        <w:t xml:space="preserve"> </w:t>
      </w:r>
      <w:r>
        <w:rPr>
          <w:rFonts w:ascii="Palatino Linotype" w:hAnsi="Palatino Linotype" w:cs="Arial"/>
          <w:i/>
          <w:sz w:val="22"/>
          <w:szCs w:val="22"/>
        </w:rPr>
        <w:t>alguno</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justificar</w:t>
      </w:r>
      <w:r>
        <w:rPr>
          <w:rFonts w:ascii="Palatino Linotype" w:hAnsi="Palatino Linotype" w:cs="Arial"/>
          <w:i/>
        </w:rPr>
        <w:t xml:space="preserve"> </w:t>
      </w:r>
      <w:r>
        <w:rPr>
          <w:rFonts w:ascii="Palatino Linotype" w:hAnsi="Palatino Linotype" w:cs="Arial"/>
          <w:i/>
          <w:sz w:val="22"/>
          <w:szCs w:val="22"/>
        </w:rPr>
        <w:t>su</w:t>
      </w:r>
      <w:r>
        <w:rPr>
          <w:rFonts w:ascii="Palatino Linotype" w:hAnsi="Palatino Linotype" w:cs="Arial"/>
          <w:i/>
        </w:rPr>
        <w:t xml:space="preserve"> </w:t>
      </w:r>
      <w:r>
        <w:rPr>
          <w:rFonts w:ascii="Palatino Linotype" w:hAnsi="Palatino Linotype" w:cs="Arial"/>
          <w:i/>
          <w:sz w:val="22"/>
          <w:szCs w:val="22"/>
        </w:rPr>
        <w:t>utilización,</w:t>
      </w:r>
      <w:r>
        <w:rPr>
          <w:rFonts w:ascii="Palatino Linotype" w:hAnsi="Palatino Linotype" w:cs="Arial"/>
          <w:i/>
        </w:rPr>
        <w:t xml:space="preserve"> </w:t>
      </w:r>
      <w:r>
        <w:rPr>
          <w:rFonts w:ascii="Palatino Linotype" w:hAnsi="Palatino Linotype" w:cs="Arial"/>
          <w:i/>
          <w:sz w:val="22"/>
          <w:szCs w:val="22"/>
        </w:rPr>
        <w:t>tendrá</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gratuito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pública,</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sus</w:t>
      </w:r>
      <w:r>
        <w:rPr>
          <w:rFonts w:ascii="Palatino Linotype" w:hAnsi="Palatino Linotype" w:cs="Arial"/>
          <w:i/>
        </w:rPr>
        <w:t xml:space="preserve"> </w:t>
      </w:r>
      <w:r>
        <w:rPr>
          <w:rFonts w:ascii="Palatino Linotype" w:hAnsi="Palatino Linotype" w:cs="Arial"/>
          <w:i/>
          <w:sz w:val="22"/>
          <w:szCs w:val="22"/>
        </w:rPr>
        <w:t>datos</w:t>
      </w:r>
      <w:r>
        <w:rPr>
          <w:rFonts w:ascii="Palatino Linotype" w:hAnsi="Palatino Linotype" w:cs="Arial"/>
          <w:i/>
        </w:rPr>
        <w:t xml:space="preserve"> </w:t>
      </w:r>
      <w:r>
        <w:rPr>
          <w:rFonts w:ascii="Palatino Linotype" w:hAnsi="Palatino Linotype" w:cs="Arial"/>
          <w:i/>
          <w:sz w:val="22"/>
          <w:szCs w:val="22"/>
        </w:rPr>
        <w:t>personales</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rectificación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éstos.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IV.</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establecerán</w:t>
      </w:r>
      <w:r>
        <w:rPr>
          <w:rFonts w:ascii="Palatino Linotype" w:hAnsi="Palatino Linotype" w:cs="Arial"/>
          <w:i/>
        </w:rPr>
        <w:t xml:space="preserve"> </w:t>
      </w:r>
      <w:r>
        <w:rPr>
          <w:rFonts w:ascii="Palatino Linotype" w:hAnsi="Palatino Linotype" w:cs="Arial"/>
          <w:i/>
          <w:sz w:val="22"/>
          <w:szCs w:val="22"/>
        </w:rPr>
        <w:t>mecanismos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procedimientos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revisión</w:t>
      </w:r>
      <w:r>
        <w:rPr>
          <w:rFonts w:ascii="Palatino Linotype" w:hAnsi="Palatino Linotype" w:cs="Arial"/>
          <w:i/>
        </w:rPr>
        <w:t xml:space="preserve"> </w:t>
      </w:r>
      <w:r>
        <w:rPr>
          <w:rFonts w:ascii="Palatino Linotype" w:hAnsi="Palatino Linotype" w:cs="Arial"/>
          <w:i/>
          <w:sz w:val="22"/>
          <w:szCs w:val="22"/>
        </w:rPr>
        <w:t>expeditos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sustanciarán</w:t>
      </w:r>
      <w:r>
        <w:rPr>
          <w:rFonts w:ascii="Palatino Linotype" w:hAnsi="Palatino Linotype" w:cs="Arial"/>
          <w:i/>
        </w:rPr>
        <w:t xml:space="preserve"> </w:t>
      </w:r>
      <w:r>
        <w:rPr>
          <w:rFonts w:ascii="Palatino Linotype" w:hAnsi="Palatino Linotype" w:cs="Arial"/>
          <w:i/>
          <w:sz w:val="22"/>
          <w:szCs w:val="22"/>
        </w:rPr>
        <w:t>ante</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organismos</w:t>
      </w:r>
      <w:r>
        <w:rPr>
          <w:rFonts w:ascii="Palatino Linotype" w:hAnsi="Palatino Linotype" w:cs="Arial"/>
          <w:i/>
        </w:rPr>
        <w:t xml:space="preserve"> </w:t>
      </w:r>
      <w:r>
        <w:rPr>
          <w:rFonts w:ascii="Palatino Linotype" w:hAnsi="Palatino Linotype" w:cs="Arial"/>
          <w:i/>
          <w:sz w:val="22"/>
          <w:szCs w:val="22"/>
        </w:rPr>
        <w:t>autónomos</w:t>
      </w:r>
      <w:r>
        <w:rPr>
          <w:rFonts w:ascii="Palatino Linotype" w:hAnsi="Palatino Linotype" w:cs="Arial"/>
          <w:i/>
        </w:rPr>
        <w:t xml:space="preserve"> </w:t>
      </w:r>
      <w:r>
        <w:rPr>
          <w:rFonts w:ascii="Palatino Linotype" w:hAnsi="Palatino Linotype" w:cs="Arial"/>
          <w:i/>
          <w:sz w:val="22"/>
          <w:szCs w:val="22"/>
        </w:rPr>
        <w:t>especializados</w:t>
      </w:r>
      <w:r>
        <w:rPr>
          <w:rFonts w:ascii="Palatino Linotype" w:hAnsi="Palatino Linotype" w:cs="Arial"/>
          <w:i/>
        </w:rPr>
        <w:t xml:space="preserve"> </w:t>
      </w:r>
      <w:r>
        <w:rPr>
          <w:rFonts w:ascii="Palatino Linotype" w:hAnsi="Palatino Linotype" w:cs="Arial"/>
          <w:i/>
          <w:sz w:val="22"/>
          <w:szCs w:val="22"/>
        </w:rPr>
        <w:t>e</w:t>
      </w:r>
      <w:r>
        <w:rPr>
          <w:rFonts w:ascii="Palatino Linotype" w:hAnsi="Palatino Linotype" w:cs="Arial"/>
          <w:i/>
        </w:rPr>
        <w:t xml:space="preserve"> </w:t>
      </w:r>
      <w:r>
        <w:rPr>
          <w:rFonts w:ascii="Palatino Linotype" w:hAnsi="Palatino Linotype" w:cs="Arial"/>
          <w:i/>
          <w:sz w:val="22"/>
          <w:szCs w:val="22"/>
        </w:rPr>
        <w:t>imparciales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establece</w:t>
      </w:r>
      <w:r>
        <w:rPr>
          <w:rFonts w:ascii="Palatino Linotype" w:hAnsi="Palatino Linotype" w:cs="Arial"/>
          <w:i/>
        </w:rPr>
        <w:t xml:space="preserve"> </w:t>
      </w:r>
      <w:r>
        <w:rPr>
          <w:rFonts w:ascii="Palatino Linotype" w:hAnsi="Palatino Linotype" w:cs="Arial"/>
          <w:i/>
          <w:sz w:val="22"/>
          <w:szCs w:val="22"/>
        </w:rPr>
        <w:t>esta</w:t>
      </w:r>
      <w:r>
        <w:rPr>
          <w:rFonts w:ascii="Palatino Linotype" w:hAnsi="Palatino Linotype" w:cs="Arial"/>
          <w:i/>
        </w:rPr>
        <w:t xml:space="preserve"> </w:t>
      </w:r>
      <w:r>
        <w:rPr>
          <w:rFonts w:ascii="Palatino Linotype" w:hAnsi="Palatino Linotype" w:cs="Arial"/>
          <w:i/>
          <w:sz w:val="22"/>
          <w:szCs w:val="22"/>
        </w:rPr>
        <w:t>Constitución.</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b/>
          <w:i/>
          <w:sz w:val="22"/>
          <w:szCs w:val="22"/>
        </w:rPr>
        <w:t>V.</w:t>
      </w:r>
      <w:r>
        <w:rPr>
          <w:rFonts w:ascii="Palatino Linotype" w:hAnsi="Palatino Linotype" w:cs="Arial"/>
          <w:b/>
          <w:i/>
        </w:rPr>
        <w:t xml:space="preserve"> </w:t>
      </w: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sujetos</w:t>
      </w:r>
      <w:r>
        <w:rPr>
          <w:rFonts w:ascii="Palatino Linotype" w:hAnsi="Palatino Linotype" w:cs="Arial"/>
          <w:b/>
          <w:i/>
        </w:rPr>
        <w:t xml:space="preserve"> </w:t>
      </w:r>
      <w:r>
        <w:rPr>
          <w:rFonts w:ascii="Palatino Linotype" w:hAnsi="Palatino Linotype" w:cs="Arial"/>
          <w:b/>
          <w:i/>
          <w:sz w:val="22"/>
          <w:szCs w:val="22"/>
        </w:rPr>
        <w:t>obligados</w:t>
      </w:r>
      <w:r>
        <w:rPr>
          <w:rFonts w:ascii="Palatino Linotype" w:hAnsi="Palatino Linotype" w:cs="Arial"/>
          <w:b/>
          <w:i/>
        </w:rPr>
        <w:t xml:space="preserve"> </w:t>
      </w:r>
      <w:r>
        <w:rPr>
          <w:rFonts w:ascii="Palatino Linotype" w:hAnsi="Palatino Linotype" w:cs="Arial"/>
          <w:b/>
          <w:i/>
          <w:sz w:val="22"/>
          <w:szCs w:val="22"/>
        </w:rPr>
        <w:t>deberán</w:t>
      </w:r>
      <w:r>
        <w:rPr>
          <w:rFonts w:ascii="Palatino Linotype" w:hAnsi="Palatino Linotype" w:cs="Arial"/>
          <w:b/>
          <w:i/>
        </w:rPr>
        <w:t xml:space="preserve"> </w:t>
      </w:r>
      <w:r>
        <w:rPr>
          <w:rFonts w:ascii="Palatino Linotype" w:hAnsi="Palatino Linotype" w:cs="Arial"/>
          <w:b/>
          <w:i/>
          <w:sz w:val="22"/>
          <w:szCs w:val="22"/>
        </w:rPr>
        <w:t>preservar</w:t>
      </w:r>
      <w:r>
        <w:rPr>
          <w:rFonts w:ascii="Palatino Linotype" w:hAnsi="Palatino Linotype" w:cs="Arial"/>
          <w:b/>
          <w:i/>
        </w:rPr>
        <w:t xml:space="preserve"> </w:t>
      </w:r>
      <w:r>
        <w:rPr>
          <w:rFonts w:ascii="Palatino Linotype" w:hAnsi="Palatino Linotype" w:cs="Arial"/>
          <w:b/>
          <w:i/>
          <w:sz w:val="22"/>
          <w:szCs w:val="22"/>
        </w:rPr>
        <w:t>sus</w:t>
      </w:r>
      <w:r>
        <w:rPr>
          <w:rFonts w:ascii="Palatino Linotype" w:hAnsi="Palatino Linotype" w:cs="Arial"/>
          <w:b/>
          <w:i/>
        </w:rPr>
        <w:t xml:space="preserve"> </w:t>
      </w:r>
      <w:r>
        <w:rPr>
          <w:rFonts w:ascii="Palatino Linotype" w:hAnsi="Palatino Linotype" w:cs="Arial"/>
          <w:b/>
          <w:i/>
          <w:sz w:val="22"/>
          <w:szCs w:val="22"/>
        </w:rPr>
        <w:t>documentos</w:t>
      </w:r>
      <w:r>
        <w:rPr>
          <w:rFonts w:ascii="Palatino Linotype" w:hAnsi="Palatino Linotype" w:cs="Arial"/>
          <w:b/>
          <w:i/>
        </w:rPr>
        <w:t xml:space="preserve"> </w:t>
      </w:r>
      <w:r>
        <w:rPr>
          <w:rFonts w:ascii="Palatino Linotype" w:hAnsi="Palatino Linotype" w:cs="Arial"/>
          <w:b/>
          <w:i/>
          <w:sz w:val="22"/>
          <w:szCs w:val="22"/>
        </w:rPr>
        <w:t>en</w:t>
      </w:r>
      <w:r>
        <w:rPr>
          <w:rFonts w:ascii="Palatino Linotype" w:hAnsi="Palatino Linotype" w:cs="Arial"/>
          <w:b/>
          <w:i/>
        </w:rPr>
        <w:t xml:space="preserve"> </w:t>
      </w:r>
      <w:r>
        <w:rPr>
          <w:rFonts w:ascii="Palatino Linotype" w:hAnsi="Palatino Linotype" w:cs="Arial"/>
          <w:b/>
          <w:i/>
          <w:sz w:val="22"/>
          <w:szCs w:val="22"/>
        </w:rPr>
        <w:t>archivos</w:t>
      </w:r>
      <w:r>
        <w:rPr>
          <w:rFonts w:ascii="Palatino Linotype" w:hAnsi="Palatino Linotype" w:cs="Arial"/>
          <w:b/>
          <w:i/>
        </w:rPr>
        <w:t xml:space="preserve"> </w:t>
      </w:r>
      <w:r>
        <w:rPr>
          <w:rFonts w:ascii="Palatino Linotype" w:hAnsi="Palatino Linotype" w:cs="Arial"/>
          <w:b/>
          <w:i/>
          <w:sz w:val="22"/>
          <w:szCs w:val="22"/>
        </w:rPr>
        <w:t>administrativos</w:t>
      </w:r>
      <w:r>
        <w:rPr>
          <w:rFonts w:ascii="Palatino Linotype" w:hAnsi="Palatino Linotype" w:cs="Arial"/>
          <w:b/>
          <w:i/>
        </w:rPr>
        <w:t xml:space="preserve"> </w:t>
      </w:r>
      <w:r>
        <w:rPr>
          <w:rFonts w:ascii="Palatino Linotype" w:hAnsi="Palatino Linotype" w:cs="Arial"/>
          <w:b/>
          <w:i/>
          <w:sz w:val="22"/>
          <w:szCs w:val="22"/>
        </w:rPr>
        <w:t>actualizados</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publicarán,</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través</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medios</w:t>
      </w:r>
      <w:r>
        <w:rPr>
          <w:rFonts w:ascii="Palatino Linotype" w:hAnsi="Palatino Linotype" w:cs="Arial"/>
          <w:b/>
          <w:i/>
        </w:rPr>
        <w:t xml:space="preserve"> </w:t>
      </w:r>
      <w:r>
        <w:rPr>
          <w:rFonts w:ascii="Palatino Linotype" w:hAnsi="Palatino Linotype" w:cs="Arial"/>
          <w:b/>
          <w:i/>
          <w:sz w:val="22"/>
          <w:szCs w:val="22"/>
        </w:rPr>
        <w:t>electrónicos</w:t>
      </w:r>
      <w:r>
        <w:rPr>
          <w:rFonts w:ascii="Palatino Linotype" w:hAnsi="Palatino Linotype" w:cs="Arial"/>
          <w:b/>
          <w:i/>
        </w:rPr>
        <w:t xml:space="preserve"> </w:t>
      </w:r>
      <w:r>
        <w:rPr>
          <w:rFonts w:ascii="Palatino Linotype" w:hAnsi="Palatino Linotype" w:cs="Arial"/>
          <w:b/>
          <w:i/>
          <w:sz w:val="22"/>
          <w:szCs w:val="22"/>
        </w:rPr>
        <w:t>disponibles</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completa</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actualizada</w:t>
      </w:r>
      <w:r>
        <w:rPr>
          <w:rFonts w:ascii="Palatino Linotype" w:hAnsi="Palatino Linotype" w:cs="Arial"/>
          <w:b/>
          <w:i/>
        </w:rPr>
        <w:t xml:space="preserve"> </w:t>
      </w:r>
      <w:r>
        <w:rPr>
          <w:rFonts w:ascii="Palatino Linotype" w:hAnsi="Palatino Linotype" w:cs="Arial"/>
          <w:b/>
          <w:i/>
          <w:sz w:val="22"/>
          <w:szCs w:val="22"/>
        </w:rPr>
        <w:t>sobre</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ejercicio</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recursos</w:t>
      </w:r>
      <w:r>
        <w:rPr>
          <w:rFonts w:ascii="Palatino Linotype" w:hAnsi="Palatino Linotype" w:cs="Arial"/>
          <w:b/>
          <w:i/>
        </w:rPr>
        <w:t xml:space="preserve"> </w:t>
      </w:r>
      <w:r>
        <w:rPr>
          <w:rFonts w:ascii="Palatino Linotype" w:hAnsi="Palatino Linotype" w:cs="Arial"/>
          <w:b/>
          <w:i/>
          <w:sz w:val="22"/>
          <w:szCs w:val="22"/>
        </w:rPr>
        <w:t>públicos</w:t>
      </w:r>
      <w:r>
        <w:rPr>
          <w:rFonts w:ascii="Palatino Linotype" w:hAnsi="Palatino Linotype" w:cs="Arial"/>
          <w:b/>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indicadores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permitan</w:t>
      </w:r>
      <w:r>
        <w:rPr>
          <w:rFonts w:ascii="Palatino Linotype" w:hAnsi="Palatino Linotype" w:cs="Arial"/>
          <w:i/>
        </w:rPr>
        <w:t xml:space="preserve"> </w:t>
      </w:r>
      <w:r>
        <w:rPr>
          <w:rFonts w:ascii="Palatino Linotype" w:hAnsi="Palatino Linotype" w:cs="Arial"/>
          <w:i/>
          <w:sz w:val="22"/>
          <w:szCs w:val="22"/>
        </w:rPr>
        <w:t>rendir</w:t>
      </w:r>
      <w:r>
        <w:rPr>
          <w:rFonts w:ascii="Palatino Linotype" w:hAnsi="Palatino Linotype" w:cs="Arial"/>
          <w:i/>
        </w:rPr>
        <w:t xml:space="preserve"> </w:t>
      </w:r>
      <w:r>
        <w:rPr>
          <w:rFonts w:ascii="Palatino Linotype" w:hAnsi="Palatino Linotype" w:cs="Arial"/>
          <w:i/>
          <w:sz w:val="22"/>
          <w:szCs w:val="22"/>
        </w:rPr>
        <w:t>cuenta</w:t>
      </w:r>
      <w:r>
        <w:rPr>
          <w:rFonts w:ascii="Palatino Linotype" w:hAnsi="Palatino Linotype" w:cs="Arial"/>
          <w:i/>
        </w:rPr>
        <w:t xml:space="preserve"> </w:t>
      </w:r>
      <w:r>
        <w:rPr>
          <w:rFonts w:ascii="Palatino Linotype" w:hAnsi="Palatino Linotype" w:cs="Arial"/>
          <w:i/>
          <w:sz w:val="22"/>
          <w:szCs w:val="22"/>
        </w:rPr>
        <w:t>del</w:t>
      </w:r>
      <w:r>
        <w:rPr>
          <w:rFonts w:ascii="Palatino Linotype" w:hAnsi="Palatino Linotype" w:cs="Arial"/>
          <w:i/>
        </w:rPr>
        <w:t xml:space="preserve"> </w:t>
      </w:r>
      <w:r>
        <w:rPr>
          <w:rFonts w:ascii="Palatino Linotype" w:hAnsi="Palatino Linotype" w:cs="Arial"/>
          <w:i/>
          <w:sz w:val="22"/>
          <w:szCs w:val="22"/>
        </w:rPr>
        <w:t>cumplimiento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sus</w:t>
      </w:r>
      <w:r>
        <w:rPr>
          <w:rFonts w:ascii="Palatino Linotype" w:hAnsi="Palatino Linotype" w:cs="Arial"/>
          <w:i/>
        </w:rPr>
        <w:t xml:space="preserve"> </w:t>
      </w:r>
      <w:r>
        <w:rPr>
          <w:rFonts w:ascii="Palatino Linotype" w:hAnsi="Palatino Linotype" w:cs="Arial"/>
          <w:i/>
          <w:sz w:val="22"/>
          <w:szCs w:val="22"/>
        </w:rPr>
        <w:t>objetivos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resultados</w:t>
      </w:r>
      <w:r>
        <w:rPr>
          <w:rFonts w:ascii="Palatino Linotype" w:hAnsi="Palatino Linotype" w:cs="Arial"/>
          <w:i/>
        </w:rPr>
        <w:t xml:space="preserve"> </w:t>
      </w:r>
      <w:r>
        <w:rPr>
          <w:rFonts w:ascii="Palatino Linotype" w:hAnsi="Palatino Linotype" w:cs="Arial"/>
          <w:i/>
          <w:sz w:val="22"/>
          <w:szCs w:val="22"/>
        </w:rPr>
        <w:t>obtenidos.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VI.</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leyes</w:t>
      </w:r>
      <w:r>
        <w:rPr>
          <w:rFonts w:ascii="Palatino Linotype" w:hAnsi="Palatino Linotype" w:cs="Arial"/>
          <w:i/>
        </w:rPr>
        <w:t xml:space="preserve"> </w:t>
      </w:r>
      <w:r>
        <w:rPr>
          <w:rFonts w:ascii="Palatino Linotype" w:hAnsi="Palatino Linotype" w:cs="Arial"/>
          <w:i/>
          <w:sz w:val="22"/>
          <w:szCs w:val="22"/>
        </w:rPr>
        <w:t>determinarán</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manera</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sujetos</w:t>
      </w:r>
      <w:r>
        <w:rPr>
          <w:rFonts w:ascii="Palatino Linotype" w:hAnsi="Palatino Linotype" w:cs="Arial"/>
          <w:i/>
        </w:rPr>
        <w:t xml:space="preserve"> </w:t>
      </w:r>
      <w:r>
        <w:rPr>
          <w:rFonts w:ascii="Palatino Linotype" w:hAnsi="Palatino Linotype" w:cs="Arial"/>
          <w:i/>
          <w:sz w:val="22"/>
          <w:szCs w:val="22"/>
        </w:rPr>
        <w:t>obligados</w:t>
      </w:r>
      <w:r>
        <w:rPr>
          <w:rFonts w:ascii="Palatino Linotype" w:hAnsi="Palatino Linotype" w:cs="Arial"/>
          <w:i/>
        </w:rPr>
        <w:t xml:space="preserve"> </w:t>
      </w:r>
      <w:r>
        <w:rPr>
          <w:rFonts w:ascii="Palatino Linotype" w:hAnsi="Palatino Linotype" w:cs="Arial"/>
          <w:i/>
          <w:sz w:val="22"/>
          <w:szCs w:val="22"/>
        </w:rPr>
        <w:t>deberán</w:t>
      </w:r>
      <w:r>
        <w:rPr>
          <w:rFonts w:ascii="Palatino Linotype" w:hAnsi="Palatino Linotype" w:cs="Arial"/>
          <w:i/>
        </w:rPr>
        <w:t xml:space="preserve"> </w:t>
      </w:r>
      <w:r>
        <w:rPr>
          <w:rFonts w:ascii="Palatino Linotype" w:hAnsi="Palatino Linotype" w:cs="Arial"/>
          <w:i/>
          <w:sz w:val="22"/>
          <w:szCs w:val="22"/>
        </w:rPr>
        <w:t>hacer</w:t>
      </w:r>
      <w:r>
        <w:rPr>
          <w:rFonts w:ascii="Palatino Linotype" w:hAnsi="Palatino Linotype" w:cs="Arial"/>
          <w:i/>
        </w:rPr>
        <w:t xml:space="preserve"> </w:t>
      </w:r>
      <w:r>
        <w:rPr>
          <w:rFonts w:ascii="Palatino Linotype" w:hAnsi="Palatino Linotype" w:cs="Arial"/>
          <w:i/>
          <w:sz w:val="22"/>
          <w:szCs w:val="22"/>
        </w:rPr>
        <w:t>pública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relativa</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recursos</w:t>
      </w:r>
      <w:r>
        <w:rPr>
          <w:rFonts w:ascii="Palatino Linotype" w:hAnsi="Palatino Linotype" w:cs="Arial"/>
          <w:i/>
        </w:rPr>
        <w:t xml:space="preserve"> </w:t>
      </w:r>
      <w:r>
        <w:rPr>
          <w:rFonts w:ascii="Palatino Linotype" w:hAnsi="Palatino Linotype" w:cs="Arial"/>
          <w:i/>
          <w:sz w:val="22"/>
          <w:szCs w:val="22"/>
        </w:rPr>
        <w:t>públicos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entreguen</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personas</w:t>
      </w:r>
      <w:r>
        <w:rPr>
          <w:rFonts w:ascii="Palatino Linotype" w:hAnsi="Palatino Linotype" w:cs="Arial"/>
          <w:i/>
        </w:rPr>
        <w:t xml:space="preserve"> </w:t>
      </w:r>
      <w:r>
        <w:rPr>
          <w:rFonts w:ascii="Palatino Linotype" w:hAnsi="Palatino Linotype" w:cs="Arial"/>
          <w:i/>
          <w:sz w:val="22"/>
          <w:szCs w:val="22"/>
        </w:rPr>
        <w:t>físicas</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morales.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VII.</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inobservancia</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disposiciones</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materia</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pública</w:t>
      </w:r>
      <w:r>
        <w:rPr>
          <w:rFonts w:ascii="Palatino Linotype" w:hAnsi="Palatino Linotype" w:cs="Arial"/>
          <w:i/>
        </w:rPr>
        <w:t xml:space="preserve"> </w:t>
      </w:r>
      <w:r>
        <w:rPr>
          <w:rFonts w:ascii="Palatino Linotype" w:hAnsi="Palatino Linotype" w:cs="Arial"/>
          <w:i/>
          <w:sz w:val="22"/>
          <w:szCs w:val="22"/>
        </w:rPr>
        <w:t>será</w:t>
      </w:r>
      <w:r>
        <w:rPr>
          <w:rFonts w:ascii="Palatino Linotype" w:hAnsi="Palatino Linotype" w:cs="Arial"/>
          <w:i/>
        </w:rPr>
        <w:t xml:space="preserve"> </w:t>
      </w:r>
      <w:r>
        <w:rPr>
          <w:rFonts w:ascii="Palatino Linotype" w:hAnsi="Palatino Linotype" w:cs="Arial"/>
          <w:i/>
          <w:sz w:val="22"/>
          <w:szCs w:val="22"/>
        </w:rPr>
        <w:t>sancionada</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términos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dispongan</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leyes.</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VIII.</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Federación</w:t>
      </w:r>
      <w:r>
        <w:rPr>
          <w:rFonts w:ascii="Palatino Linotype" w:hAnsi="Palatino Linotype" w:cs="Arial"/>
          <w:i/>
        </w:rPr>
        <w:t xml:space="preserve"> </w:t>
      </w:r>
      <w:r>
        <w:rPr>
          <w:rFonts w:ascii="Palatino Linotype" w:hAnsi="Palatino Linotype" w:cs="Arial"/>
          <w:i/>
          <w:sz w:val="22"/>
          <w:szCs w:val="22"/>
        </w:rPr>
        <w:t>contará</w:t>
      </w:r>
      <w:r>
        <w:rPr>
          <w:rFonts w:ascii="Palatino Linotype" w:hAnsi="Palatino Linotype" w:cs="Arial"/>
          <w:i/>
        </w:rPr>
        <w:t xml:space="preserve"> </w:t>
      </w:r>
      <w:r>
        <w:rPr>
          <w:rFonts w:ascii="Palatino Linotype" w:hAnsi="Palatino Linotype" w:cs="Arial"/>
          <w:i/>
          <w:sz w:val="22"/>
          <w:szCs w:val="22"/>
        </w:rPr>
        <w:t>con</w:t>
      </w:r>
      <w:r>
        <w:rPr>
          <w:rFonts w:ascii="Palatino Linotype" w:hAnsi="Palatino Linotype" w:cs="Arial"/>
          <w:i/>
        </w:rPr>
        <w:t xml:space="preserve"> </w:t>
      </w:r>
      <w:r>
        <w:rPr>
          <w:rFonts w:ascii="Palatino Linotype" w:hAnsi="Palatino Linotype" w:cs="Arial"/>
          <w:i/>
          <w:sz w:val="22"/>
          <w:szCs w:val="22"/>
        </w:rPr>
        <w:t>un</w:t>
      </w:r>
      <w:r>
        <w:rPr>
          <w:rFonts w:ascii="Palatino Linotype" w:hAnsi="Palatino Linotype" w:cs="Arial"/>
          <w:i/>
        </w:rPr>
        <w:t xml:space="preserve"> </w:t>
      </w:r>
      <w:r>
        <w:rPr>
          <w:rFonts w:ascii="Palatino Linotype" w:hAnsi="Palatino Linotype" w:cs="Arial"/>
          <w:i/>
          <w:sz w:val="22"/>
          <w:szCs w:val="22"/>
        </w:rPr>
        <w:t>organismo</w:t>
      </w:r>
      <w:r>
        <w:rPr>
          <w:rFonts w:ascii="Palatino Linotype" w:hAnsi="Palatino Linotype" w:cs="Arial"/>
          <w:i/>
        </w:rPr>
        <w:t xml:space="preserve"> </w:t>
      </w:r>
      <w:r>
        <w:rPr>
          <w:rFonts w:ascii="Palatino Linotype" w:hAnsi="Palatino Linotype" w:cs="Arial"/>
          <w:i/>
          <w:sz w:val="22"/>
          <w:szCs w:val="22"/>
        </w:rPr>
        <w:t>autónomo,</w:t>
      </w:r>
      <w:r>
        <w:rPr>
          <w:rFonts w:ascii="Palatino Linotype" w:hAnsi="Palatino Linotype" w:cs="Arial"/>
          <w:i/>
        </w:rPr>
        <w:t xml:space="preserve"> </w:t>
      </w:r>
      <w:r>
        <w:rPr>
          <w:rFonts w:ascii="Palatino Linotype" w:hAnsi="Palatino Linotype" w:cs="Arial"/>
          <w:i/>
          <w:sz w:val="22"/>
          <w:szCs w:val="22"/>
        </w:rPr>
        <w:t>especializado,</w:t>
      </w:r>
      <w:r>
        <w:rPr>
          <w:rFonts w:ascii="Palatino Linotype" w:hAnsi="Palatino Linotype" w:cs="Arial"/>
          <w:i/>
        </w:rPr>
        <w:t xml:space="preserve"> </w:t>
      </w:r>
      <w:r>
        <w:rPr>
          <w:rFonts w:ascii="Palatino Linotype" w:hAnsi="Palatino Linotype" w:cs="Arial"/>
          <w:i/>
          <w:sz w:val="22"/>
          <w:szCs w:val="22"/>
        </w:rPr>
        <w:t>imparcial,</w:t>
      </w:r>
      <w:r>
        <w:rPr>
          <w:rFonts w:ascii="Palatino Linotype" w:hAnsi="Palatino Linotype" w:cs="Arial"/>
          <w:i/>
        </w:rPr>
        <w:t xml:space="preserve"> </w:t>
      </w:r>
      <w:r>
        <w:rPr>
          <w:rFonts w:ascii="Palatino Linotype" w:hAnsi="Palatino Linotype" w:cs="Arial"/>
          <w:i/>
          <w:sz w:val="22"/>
          <w:szCs w:val="22"/>
        </w:rPr>
        <w:t>colegiado,</w:t>
      </w:r>
      <w:r>
        <w:rPr>
          <w:rFonts w:ascii="Palatino Linotype" w:hAnsi="Palatino Linotype" w:cs="Arial"/>
          <w:i/>
        </w:rPr>
        <w:t xml:space="preserve"> </w:t>
      </w:r>
      <w:r>
        <w:rPr>
          <w:rFonts w:ascii="Palatino Linotype" w:hAnsi="Palatino Linotype" w:cs="Arial"/>
          <w:i/>
          <w:sz w:val="22"/>
          <w:szCs w:val="22"/>
        </w:rPr>
        <w:t>con</w:t>
      </w:r>
      <w:r>
        <w:rPr>
          <w:rFonts w:ascii="Palatino Linotype" w:hAnsi="Palatino Linotype" w:cs="Arial"/>
          <w:i/>
        </w:rPr>
        <w:t xml:space="preserve"> </w:t>
      </w:r>
      <w:r>
        <w:rPr>
          <w:rFonts w:ascii="Palatino Linotype" w:hAnsi="Palatino Linotype" w:cs="Arial"/>
          <w:i/>
          <w:sz w:val="22"/>
          <w:szCs w:val="22"/>
        </w:rPr>
        <w:t>personalidad</w:t>
      </w:r>
      <w:r>
        <w:rPr>
          <w:rFonts w:ascii="Palatino Linotype" w:hAnsi="Palatino Linotype" w:cs="Arial"/>
          <w:i/>
        </w:rPr>
        <w:t xml:space="preserve"> </w:t>
      </w:r>
      <w:r>
        <w:rPr>
          <w:rFonts w:ascii="Palatino Linotype" w:hAnsi="Palatino Linotype" w:cs="Arial"/>
          <w:i/>
          <w:sz w:val="22"/>
          <w:szCs w:val="22"/>
        </w:rPr>
        <w:t>jurídica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patrimonio</w:t>
      </w:r>
      <w:r>
        <w:rPr>
          <w:rFonts w:ascii="Palatino Linotype" w:hAnsi="Palatino Linotype" w:cs="Arial"/>
          <w:i/>
        </w:rPr>
        <w:t xml:space="preserve"> </w:t>
      </w:r>
      <w:r>
        <w:rPr>
          <w:rFonts w:ascii="Palatino Linotype" w:hAnsi="Palatino Linotype" w:cs="Arial"/>
          <w:i/>
          <w:sz w:val="22"/>
          <w:szCs w:val="22"/>
        </w:rPr>
        <w:t>propio,</w:t>
      </w:r>
      <w:r>
        <w:rPr>
          <w:rFonts w:ascii="Palatino Linotype" w:hAnsi="Palatino Linotype" w:cs="Arial"/>
          <w:i/>
        </w:rPr>
        <w:t xml:space="preserve"> </w:t>
      </w:r>
      <w:r>
        <w:rPr>
          <w:rFonts w:ascii="Palatino Linotype" w:hAnsi="Palatino Linotype" w:cs="Arial"/>
          <w:i/>
          <w:sz w:val="22"/>
          <w:szCs w:val="22"/>
        </w:rPr>
        <w:t>con</w:t>
      </w:r>
      <w:r>
        <w:rPr>
          <w:rFonts w:ascii="Palatino Linotype" w:hAnsi="Palatino Linotype" w:cs="Arial"/>
          <w:i/>
        </w:rPr>
        <w:t xml:space="preserve"> </w:t>
      </w:r>
      <w:r>
        <w:rPr>
          <w:rFonts w:ascii="Palatino Linotype" w:hAnsi="Palatino Linotype" w:cs="Arial"/>
          <w:i/>
          <w:sz w:val="22"/>
          <w:szCs w:val="22"/>
        </w:rPr>
        <w:t>plena</w:t>
      </w:r>
      <w:r>
        <w:rPr>
          <w:rFonts w:ascii="Palatino Linotype" w:hAnsi="Palatino Linotype" w:cs="Arial"/>
          <w:i/>
        </w:rPr>
        <w:t xml:space="preserve"> </w:t>
      </w:r>
      <w:r>
        <w:rPr>
          <w:rFonts w:ascii="Palatino Linotype" w:hAnsi="Palatino Linotype" w:cs="Arial"/>
          <w:i/>
          <w:sz w:val="22"/>
          <w:szCs w:val="22"/>
        </w:rPr>
        <w:t>autonomía</w:t>
      </w:r>
      <w:r>
        <w:rPr>
          <w:rFonts w:ascii="Palatino Linotype" w:hAnsi="Palatino Linotype" w:cs="Arial"/>
          <w:i/>
        </w:rPr>
        <w:t xml:space="preserve"> </w:t>
      </w:r>
      <w:r>
        <w:rPr>
          <w:rFonts w:ascii="Palatino Linotype" w:hAnsi="Palatino Linotype" w:cs="Arial"/>
          <w:i/>
          <w:sz w:val="22"/>
          <w:szCs w:val="22"/>
        </w:rPr>
        <w:t>técnica,</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gestión,</w:t>
      </w:r>
      <w:r>
        <w:rPr>
          <w:rFonts w:ascii="Palatino Linotype" w:hAnsi="Palatino Linotype" w:cs="Arial"/>
          <w:i/>
        </w:rPr>
        <w:t xml:space="preserve"> </w:t>
      </w:r>
      <w:r>
        <w:rPr>
          <w:rFonts w:ascii="Palatino Linotype" w:hAnsi="Palatino Linotype" w:cs="Arial"/>
          <w:i/>
          <w:sz w:val="22"/>
          <w:szCs w:val="22"/>
        </w:rPr>
        <w:t>capacidad</w:t>
      </w:r>
      <w:r>
        <w:rPr>
          <w:rFonts w:ascii="Palatino Linotype" w:hAnsi="Palatino Linotype" w:cs="Arial"/>
          <w:i/>
        </w:rPr>
        <w:t xml:space="preserve"> </w:t>
      </w:r>
      <w:r>
        <w:rPr>
          <w:rFonts w:ascii="Palatino Linotype" w:hAnsi="Palatino Linotype" w:cs="Arial"/>
          <w:i/>
          <w:sz w:val="22"/>
          <w:szCs w:val="22"/>
        </w:rPr>
        <w:t>para</w:t>
      </w:r>
      <w:r>
        <w:rPr>
          <w:rFonts w:ascii="Palatino Linotype" w:hAnsi="Palatino Linotype" w:cs="Arial"/>
          <w:i/>
        </w:rPr>
        <w:t xml:space="preserve"> </w:t>
      </w:r>
      <w:r>
        <w:rPr>
          <w:rFonts w:ascii="Palatino Linotype" w:hAnsi="Palatino Linotype" w:cs="Arial"/>
          <w:i/>
          <w:sz w:val="22"/>
          <w:szCs w:val="22"/>
        </w:rPr>
        <w:t>decidir</w:t>
      </w:r>
      <w:r>
        <w:rPr>
          <w:rFonts w:ascii="Palatino Linotype" w:hAnsi="Palatino Linotype" w:cs="Arial"/>
          <w:i/>
        </w:rPr>
        <w:t xml:space="preserve"> </w:t>
      </w:r>
      <w:r>
        <w:rPr>
          <w:rFonts w:ascii="Palatino Linotype" w:hAnsi="Palatino Linotype" w:cs="Arial"/>
          <w:i/>
          <w:sz w:val="22"/>
          <w:szCs w:val="22"/>
        </w:rPr>
        <w:t>sobre</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ejercicio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su</w:t>
      </w:r>
      <w:r>
        <w:rPr>
          <w:rFonts w:ascii="Palatino Linotype" w:hAnsi="Palatino Linotype" w:cs="Arial"/>
          <w:i/>
        </w:rPr>
        <w:t xml:space="preserve"> </w:t>
      </w:r>
      <w:r>
        <w:rPr>
          <w:rFonts w:ascii="Palatino Linotype" w:hAnsi="Palatino Linotype" w:cs="Arial"/>
          <w:i/>
          <w:sz w:val="22"/>
          <w:szCs w:val="22"/>
        </w:rPr>
        <w:t>presupuesto</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determinar</w:t>
      </w:r>
      <w:r>
        <w:rPr>
          <w:rFonts w:ascii="Palatino Linotype" w:hAnsi="Palatino Linotype" w:cs="Arial"/>
          <w:i/>
        </w:rPr>
        <w:t xml:space="preserve"> </w:t>
      </w:r>
      <w:r>
        <w:rPr>
          <w:rFonts w:ascii="Palatino Linotype" w:hAnsi="Palatino Linotype" w:cs="Arial"/>
          <w:i/>
          <w:sz w:val="22"/>
          <w:szCs w:val="22"/>
        </w:rPr>
        <w:t>su</w:t>
      </w:r>
      <w:r>
        <w:rPr>
          <w:rFonts w:ascii="Palatino Linotype" w:hAnsi="Palatino Linotype" w:cs="Arial"/>
          <w:i/>
        </w:rPr>
        <w:t xml:space="preserve"> </w:t>
      </w:r>
      <w:r>
        <w:rPr>
          <w:rFonts w:ascii="Palatino Linotype" w:hAnsi="Palatino Linotype" w:cs="Arial"/>
          <w:i/>
          <w:sz w:val="22"/>
          <w:szCs w:val="22"/>
        </w:rPr>
        <w:t>organización</w:t>
      </w:r>
      <w:r>
        <w:rPr>
          <w:rFonts w:ascii="Palatino Linotype" w:hAnsi="Palatino Linotype" w:cs="Arial"/>
          <w:i/>
        </w:rPr>
        <w:t xml:space="preserve"> </w:t>
      </w:r>
      <w:r>
        <w:rPr>
          <w:rFonts w:ascii="Palatino Linotype" w:hAnsi="Palatino Linotype" w:cs="Arial"/>
          <w:i/>
          <w:sz w:val="22"/>
          <w:szCs w:val="22"/>
        </w:rPr>
        <w:t>interna,</w:t>
      </w:r>
      <w:r>
        <w:rPr>
          <w:rFonts w:ascii="Palatino Linotype" w:hAnsi="Palatino Linotype" w:cs="Arial"/>
          <w:i/>
        </w:rPr>
        <w:t xml:space="preserve"> </w:t>
      </w:r>
      <w:r>
        <w:rPr>
          <w:rFonts w:ascii="Palatino Linotype" w:hAnsi="Palatino Linotype" w:cs="Arial"/>
          <w:i/>
          <w:sz w:val="22"/>
          <w:szCs w:val="22"/>
        </w:rPr>
        <w:t>responsable</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garantizar</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cumplimiento</w:t>
      </w:r>
      <w:r>
        <w:rPr>
          <w:rFonts w:ascii="Palatino Linotype" w:hAnsi="Palatino Linotype" w:cs="Arial"/>
          <w:i/>
        </w:rPr>
        <w:t xml:space="preserve"> </w:t>
      </w:r>
      <w:r>
        <w:rPr>
          <w:rFonts w:ascii="Palatino Linotype" w:hAnsi="Palatino Linotype" w:cs="Arial"/>
          <w:i/>
          <w:sz w:val="22"/>
          <w:szCs w:val="22"/>
        </w:rPr>
        <w:t>del</w:t>
      </w:r>
      <w:r>
        <w:rPr>
          <w:rFonts w:ascii="Palatino Linotype" w:hAnsi="Palatino Linotype" w:cs="Arial"/>
          <w:i/>
        </w:rPr>
        <w:t xml:space="preserve"> </w:t>
      </w:r>
      <w:r>
        <w:rPr>
          <w:rFonts w:ascii="Palatino Linotype" w:hAnsi="Palatino Linotype" w:cs="Arial"/>
          <w:i/>
          <w:sz w:val="22"/>
          <w:szCs w:val="22"/>
        </w:rPr>
        <w:t>derecho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acceso</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pública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protección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datos</w:t>
      </w:r>
      <w:r>
        <w:rPr>
          <w:rFonts w:ascii="Palatino Linotype" w:hAnsi="Palatino Linotype" w:cs="Arial"/>
          <w:i/>
        </w:rPr>
        <w:t xml:space="preserve"> </w:t>
      </w:r>
      <w:r>
        <w:rPr>
          <w:rFonts w:ascii="Palatino Linotype" w:hAnsi="Palatino Linotype" w:cs="Arial"/>
          <w:i/>
          <w:sz w:val="22"/>
          <w:szCs w:val="22"/>
        </w:rPr>
        <w:t>personales</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posesión</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sujetos</w:t>
      </w:r>
      <w:r>
        <w:rPr>
          <w:rFonts w:ascii="Palatino Linotype" w:hAnsi="Palatino Linotype" w:cs="Arial"/>
          <w:i/>
        </w:rPr>
        <w:t xml:space="preserve"> </w:t>
      </w:r>
      <w:r>
        <w:rPr>
          <w:rFonts w:ascii="Palatino Linotype" w:hAnsi="Palatino Linotype" w:cs="Arial"/>
          <w:i/>
          <w:sz w:val="22"/>
          <w:szCs w:val="22"/>
        </w:rPr>
        <w:t>obligados</w:t>
      </w:r>
      <w:r>
        <w:rPr>
          <w:rFonts w:ascii="Palatino Linotype" w:hAnsi="Palatino Linotype" w:cs="Arial"/>
          <w:i/>
        </w:rPr>
        <w:t xml:space="preserve"> </w:t>
      </w:r>
      <w:r>
        <w:rPr>
          <w:rFonts w:ascii="Palatino Linotype" w:hAnsi="Palatino Linotype" w:cs="Arial"/>
          <w:i/>
          <w:sz w:val="22"/>
          <w:szCs w:val="22"/>
        </w:rPr>
        <w:t>en</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términos</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establezca</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ley.</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ley</w:t>
      </w:r>
      <w:r>
        <w:rPr>
          <w:rFonts w:ascii="Palatino Linotype" w:hAnsi="Palatino Linotype" w:cs="Arial"/>
          <w:i/>
        </w:rPr>
        <w:t xml:space="preserve"> </w:t>
      </w:r>
      <w:r>
        <w:rPr>
          <w:rFonts w:ascii="Palatino Linotype" w:hAnsi="Palatino Linotype" w:cs="Arial"/>
          <w:i/>
          <w:sz w:val="22"/>
          <w:szCs w:val="22"/>
        </w:rPr>
        <w:t>establecerá</w:t>
      </w:r>
      <w:r>
        <w:rPr>
          <w:rFonts w:ascii="Palatino Linotype" w:hAnsi="Palatino Linotype" w:cs="Arial"/>
          <w:i/>
        </w:rPr>
        <w:t xml:space="preserve"> </w:t>
      </w:r>
      <w:r>
        <w:rPr>
          <w:rFonts w:ascii="Palatino Linotype" w:hAnsi="Palatino Linotype" w:cs="Arial"/>
          <w:i/>
          <w:sz w:val="22"/>
          <w:szCs w:val="22"/>
        </w:rPr>
        <w:t>aquella</w:t>
      </w:r>
      <w:r>
        <w:rPr>
          <w:rFonts w:ascii="Palatino Linotype" w:hAnsi="Palatino Linotype" w:cs="Arial"/>
          <w:i/>
        </w:rPr>
        <w:t xml:space="preserve"> </w:t>
      </w:r>
      <w:r>
        <w:rPr>
          <w:rFonts w:ascii="Palatino Linotype" w:hAnsi="Palatino Linotype" w:cs="Arial"/>
          <w:i/>
          <w:sz w:val="22"/>
          <w:szCs w:val="22"/>
        </w:rPr>
        <w:t>información</w:t>
      </w:r>
      <w:r>
        <w:rPr>
          <w:rFonts w:ascii="Palatino Linotype" w:hAnsi="Palatino Linotype" w:cs="Arial"/>
          <w:i/>
        </w:rPr>
        <w:t xml:space="preserve"> </w:t>
      </w:r>
      <w:r>
        <w:rPr>
          <w:rFonts w:ascii="Palatino Linotype" w:hAnsi="Palatino Linotype" w:cs="Arial"/>
          <w:i/>
          <w:sz w:val="22"/>
          <w:szCs w:val="22"/>
        </w:rPr>
        <w:t>que</w:t>
      </w:r>
      <w:r>
        <w:rPr>
          <w:rFonts w:ascii="Palatino Linotype" w:hAnsi="Palatino Linotype" w:cs="Arial"/>
          <w:i/>
        </w:rPr>
        <w:t xml:space="preserve"> </w:t>
      </w:r>
      <w:r>
        <w:rPr>
          <w:rFonts w:ascii="Palatino Linotype" w:hAnsi="Palatino Linotype" w:cs="Arial"/>
          <w:i/>
          <w:sz w:val="22"/>
          <w:szCs w:val="22"/>
        </w:rPr>
        <w:t>se</w:t>
      </w:r>
      <w:r>
        <w:rPr>
          <w:rFonts w:ascii="Palatino Linotype" w:hAnsi="Palatino Linotype" w:cs="Arial"/>
          <w:i/>
        </w:rPr>
        <w:t xml:space="preserve"> </w:t>
      </w:r>
      <w:r>
        <w:rPr>
          <w:rFonts w:ascii="Palatino Linotype" w:hAnsi="Palatino Linotype" w:cs="Arial"/>
          <w:i/>
          <w:sz w:val="22"/>
          <w:szCs w:val="22"/>
        </w:rPr>
        <w:t>considere</w:t>
      </w:r>
      <w:r>
        <w:rPr>
          <w:rFonts w:ascii="Palatino Linotype" w:hAnsi="Palatino Linotype" w:cs="Arial"/>
          <w:i/>
        </w:rPr>
        <w:t xml:space="preserve"> </w:t>
      </w:r>
      <w:r>
        <w:rPr>
          <w:rFonts w:ascii="Palatino Linotype" w:hAnsi="Palatino Linotype" w:cs="Arial"/>
          <w:i/>
          <w:sz w:val="22"/>
          <w:szCs w:val="22"/>
        </w:rPr>
        <w:t>reservada</w:t>
      </w:r>
      <w:r>
        <w:rPr>
          <w:rFonts w:ascii="Palatino Linotype" w:hAnsi="Palatino Linotype" w:cs="Arial"/>
          <w:i/>
        </w:rPr>
        <w:t xml:space="preserve"> </w:t>
      </w:r>
      <w:r>
        <w:rPr>
          <w:rFonts w:ascii="Palatino Linotype" w:hAnsi="Palatino Linotype" w:cs="Arial"/>
          <w:i/>
          <w:sz w:val="22"/>
          <w:szCs w:val="22"/>
        </w:rPr>
        <w:t>o</w:t>
      </w:r>
      <w:r>
        <w:rPr>
          <w:rFonts w:ascii="Palatino Linotype" w:hAnsi="Palatino Linotype" w:cs="Arial"/>
          <w:i/>
        </w:rPr>
        <w:t xml:space="preserve"> </w:t>
      </w:r>
      <w:r>
        <w:rPr>
          <w:rFonts w:ascii="Palatino Linotype" w:hAnsi="Palatino Linotype" w:cs="Arial"/>
          <w:i/>
          <w:sz w:val="22"/>
          <w:szCs w:val="22"/>
        </w:rPr>
        <w:t>confidencial.</w:t>
      </w:r>
    </w:p>
    <w:p w:rsidR="005A6B36" w:rsidRDefault="0049607E">
      <w:pPr>
        <w:tabs>
          <w:tab w:val="left" w:pos="8222"/>
        </w:tabs>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i/>
        </w:rPr>
        <w:t xml:space="preserve"> </w:t>
      </w:r>
    </w:p>
    <w:p w:rsidR="005A6B36" w:rsidRDefault="0049607E">
      <w:pPr>
        <w:tabs>
          <w:tab w:val="left" w:pos="8222"/>
        </w:tabs>
        <w:ind w:left="851" w:right="902"/>
        <w:jc w:val="both"/>
        <w:rPr>
          <w:rFonts w:ascii="Palatino Linotype" w:hAnsi="Palatino Linotype"/>
          <w:i/>
          <w:sz w:val="22"/>
          <w:szCs w:val="22"/>
        </w:rPr>
      </w:pPr>
      <w:r>
        <w:rPr>
          <w:rFonts w:ascii="Palatino Linotype" w:hAnsi="Palatino Linotype"/>
          <w:i/>
          <w:sz w:val="22"/>
          <w:szCs w:val="22"/>
        </w:rPr>
        <w:t>(Énfasis</w:t>
      </w:r>
      <w:r>
        <w:rPr>
          <w:rFonts w:ascii="Palatino Linotype" w:hAnsi="Palatino Linotype"/>
          <w:i/>
        </w:rPr>
        <w:t xml:space="preserve"> </w:t>
      </w:r>
      <w:r>
        <w:rPr>
          <w:rFonts w:ascii="Palatino Linotype" w:hAnsi="Palatino Linotype"/>
          <w:i/>
          <w:sz w:val="22"/>
          <w:szCs w:val="22"/>
        </w:rPr>
        <w:t>añadido)</w:t>
      </w:r>
    </w:p>
    <w:p w:rsidR="005A6B36" w:rsidRDefault="0049607E">
      <w:pPr>
        <w:spacing w:beforeAutospacing="1" w:afterAutospacing="1" w:line="360" w:lineRule="auto"/>
        <w:jc w:val="both"/>
        <w:rPr>
          <w:rFonts w:ascii="Palatino Linotype" w:hAnsi="Palatino Linotype" w:cs="Arial"/>
          <w:sz w:val="28"/>
        </w:rPr>
      </w:pPr>
      <w:r>
        <w:rPr>
          <w:rFonts w:ascii="Palatino Linotype" w:hAnsi="Palatino Linotype" w:cs="Arial"/>
        </w:rPr>
        <w:lastRenderedPageBreak/>
        <w:t>Por su parte, la Constitución Política del Estado Libre y Soberano de México, en su artículo 5°, dispone en su parte conducente, lo siguiente:</w:t>
      </w:r>
    </w:p>
    <w:p w:rsidR="005A6B36" w:rsidRDefault="0049607E">
      <w:pPr>
        <w:ind w:left="851" w:right="902"/>
        <w:jc w:val="both"/>
        <w:rPr>
          <w:rFonts w:ascii="Palatino Linotype" w:hAnsi="Palatino Linotype" w:cs="Arial"/>
          <w:b/>
          <w:i/>
          <w:sz w:val="22"/>
          <w:szCs w:val="22"/>
        </w:rPr>
      </w:pPr>
      <w:r>
        <w:rPr>
          <w:rFonts w:ascii="Palatino Linotype" w:hAnsi="Palatino Linotype" w:cs="Arial"/>
          <w:i/>
          <w:sz w:val="22"/>
          <w:szCs w:val="22"/>
        </w:rPr>
        <w:t>“</w:t>
      </w:r>
      <w:r>
        <w:rPr>
          <w:rFonts w:ascii="Palatino Linotype" w:hAnsi="Palatino Linotype" w:cs="Arial"/>
          <w:b/>
          <w:i/>
          <w:sz w:val="22"/>
          <w:szCs w:val="22"/>
        </w:rPr>
        <w:t>Artículo</w:t>
      </w:r>
      <w:r>
        <w:rPr>
          <w:rFonts w:ascii="Palatino Linotype" w:hAnsi="Palatino Linotype" w:cs="Arial"/>
          <w:b/>
          <w:i/>
        </w:rPr>
        <w:t xml:space="preserve"> </w:t>
      </w:r>
      <w:r>
        <w:rPr>
          <w:rFonts w:ascii="Palatino Linotype" w:hAnsi="Palatino Linotype" w:cs="Arial"/>
          <w:b/>
          <w:i/>
          <w:sz w:val="22"/>
          <w:szCs w:val="22"/>
        </w:rPr>
        <w:t>5.</w:t>
      </w:r>
      <w:r>
        <w:rPr>
          <w:rFonts w:ascii="Palatino Linotype" w:hAnsi="Palatino Linotype" w:cs="Arial"/>
          <w:b/>
          <w:i/>
        </w:rPr>
        <w:t xml:space="preserve"> </w:t>
      </w:r>
      <w:r>
        <w:rPr>
          <w:rFonts w:ascii="Palatino Linotype" w:hAnsi="Palatino Linotype" w:cs="Arial"/>
          <w:b/>
          <w:i/>
          <w:sz w:val="22"/>
          <w:szCs w:val="22"/>
        </w:rPr>
        <w:t>…</w:t>
      </w:r>
      <w:r>
        <w:rPr>
          <w:rFonts w:ascii="Palatino Linotype" w:hAnsi="Palatino Linotype" w:cs="Arial"/>
          <w:b/>
          <w:i/>
        </w:rPr>
        <w:t xml:space="preserve"> </w:t>
      </w:r>
    </w:p>
    <w:p w:rsidR="005A6B36" w:rsidRDefault="0049607E">
      <w:pPr>
        <w:ind w:left="851" w:right="902"/>
        <w:jc w:val="both"/>
        <w:rPr>
          <w:rFonts w:ascii="Palatino Linotype" w:hAnsi="Palatino Linotype"/>
          <w:i/>
          <w:sz w:val="22"/>
          <w:szCs w:val="22"/>
        </w:rPr>
      </w:pPr>
      <w:r>
        <w:rPr>
          <w:rFonts w:ascii="Palatino Linotype" w:hAnsi="Palatino Linotype"/>
          <w:b/>
          <w:i/>
          <w:sz w:val="22"/>
          <w:szCs w:val="22"/>
        </w:rPr>
        <w:t>El</w:t>
      </w:r>
      <w:r>
        <w:rPr>
          <w:rFonts w:ascii="Palatino Linotype" w:hAnsi="Palatino Linotype"/>
          <w:b/>
          <w:i/>
        </w:rPr>
        <w:t xml:space="preserve"> </w:t>
      </w:r>
      <w:r>
        <w:rPr>
          <w:rFonts w:ascii="Palatino Linotype" w:hAnsi="Palatino Linotype"/>
          <w:b/>
          <w:i/>
          <w:sz w:val="22"/>
          <w:szCs w:val="22"/>
        </w:rPr>
        <w:t>derecho</w:t>
      </w:r>
      <w:r>
        <w:rPr>
          <w:rFonts w:ascii="Palatino Linotype" w:hAnsi="Palatino Linotype"/>
          <w:b/>
          <w:i/>
        </w:rPr>
        <w:t xml:space="preserve"> </w:t>
      </w:r>
      <w:r>
        <w:rPr>
          <w:rFonts w:ascii="Palatino Linotype" w:hAnsi="Palatino Linotype"/>
          <w:b/>
          <w:i/>
          <w:sz w:val="22"/>
          <w:szCs w:val="22"/>
        </w:rPr>
        <w:t>a</w:t>
      </w:r>
      <w:r>
        <w:rPr>
          <w:rFonts w:ascii="Palatino Linotype" w:hAnsi="Palatino Linotype"/>
          <w:b/>
          <w:i/>
        </w:rPr>
        <w:t xml:space="preserve"> </w:t>
      </w:r>
      <w:r>
        <w:rPr>
          <w:rFonts w:ascii="Palatino Linotype" w:hAnsi="Palatino Linotype"/>
          <w:b/>
          <w:i/>
          <w:sz w:val="22"/>
          <w:szCs w:val="22"/>
        </w:rPr>
        <w:t>la</w:t>
      </w:r>
      <w:r>
        <w:rPr>
          <w:rFonts w:ascii="Palatino Linotype" w:hAnsi="Palatino Linotype"/>
          <w:b/>
          <w:i/>
        </w:rPr>
        <w:t xml:space="preserve"> </w:t>
      </w:r>
      <w:r>
        <w:rPr>
          <w:rFonts w:ascii="Palatino Linotype" w:hAnsi="Palatino Linotype"/>
          <w:b/>
          <w:i/>
          <w:sz w:val="22"/>
          <w:szCs w:val="22"/>
        </w:rPr>
        <w:t>información</w:t>
      </w:r>
      <w:r>
        <w:rPr>
          <w:rFonts w:ascii="Palatino Linotype" w:hAnsi="Palatino Linotype"/>
          <w:b/>
          <w:i/>
        </w:rPr>
        <w:t xml:space="preserve"> </w:t>
      </w:r>
      <w:r>
        <w:rPr>
          <w:rFonts w:ascii="Palatino Linotype" w:hAnsi="Palatino Linotype"/>
          <w:b/>
          <w:i/>
          <w:sz w:val="22"/>
          <w:szCs w:val="22"/>
        </w:rPr>
        <w:t>será</w:t>
      </w:r>
      <w:r>
        <w:rPr>
          <w:rFonts w:ascii="Palatino Linotype" w:hAnsi="Palatino Linotype"/>
          <w:b/>
          <w:i/>
        </w:rPr>
        <w:t xml:space="preserve"> </w:t>
      </w:r>
      <w:r>
        <w:rPr>
          <w:rFonts w:ascii="Palatino Linotype" w:hAnsi="Palatino Linotype"/>
          <w:b/>
          <w:i/>
          <w:sz w:val="22"/>
          <w:szCs w:val="22"/>
        </w:rPr>
        <w:t>garantizado</w:t>
      </w:r>
      <w:r>
        <w:rPr>
          <w:rFonts w:ascii="Palatino Linotype" w:hAnsi="Palatino Linotype"/>
          <w:b/>
          <w:i/>
        </w:rPr>
        <w:t xml:space="preserve"> </w:t>
      </w:r>
      <w:r>
        <w:rPr>
          <w:rFonts w:ascii="Palatino Linotype" w:hAnsi="Palatino Linotype"/>
          <w:b/>
          <w:i/>
          <w:sz w:val="22"/>
          <w:szCs w:val="22"/>
        </w:rPr>
        <w:t>por</w:t>
      </w:r>
      <w:r>
        <w:rPr>
          <w:rFonts w:ascii="Palatino Linotype" w:hAnsi="Palatino Linotype"/>
          <w:b/>
          <w:i/>
        </w:rPr>
        <w:t xml:space="preserve"> </w:t>
      </w:r>
      <w:r>
        <w:rPr>
          <w:rFonts w:ascii="Palatino Linotype" w:hAnsi="Palatino Linotype"/>
          <w:b/>
          <w:i/>
          <w:sz w:val="22"/>
          <w:szCs w:val="22"/>
        </w:rPr>
        <w:t>el</w:t>
      </w:r>
      <w:r>
        <w:rPr>
          <w:rFonts w:ascii="Palatino Linotype" w:hAnsi="Palatino Linotype"/>
          <w:b/>
          <w:i/>
        </w:rPr>
        <w:t xml:space="preserve"> </w:t>
      </w:r>
      <w:r>
        <w:rPr>
          <w:rFonts w:ascii="Palatino Linotype" w:hAnsi="Palatino Linotype"/>
          <w:b/>
          <w:i/>
          <w:sz w:val="22"/>
          <w:szCs w:val="22"/>
        </w:rPr>
        <w:t>Estado</w:t>
      </w:r>
      <w:r>
        <w:rPr>
          <w:rFonts w:ascii="Palatino Linotype" w:hAnsi="Palatino Linotype"/>
          <w:i/>
          <w:sz w:val="22"/>
          <w:szCs w:val="22"/>
        </w:rPr>
        <w:t>.</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ley</w:t>
      </w:r>
      <w:r>
        <w:rPr>
          <w:rFonts w:ascii="Palatino Linotype" w:hAnsi="Palatino Linotype"/>
          <w:i/>
        </w:rPr>
        <w:t xml:space="preserve"> </w:t>
      </w:r>
      <w:r>
        <w:rPr>
          <w:rFonts w:ascii="Palatino Linotype" w:hAnsi="Palatino Linotype"/>
          <w:i/>
          <w:sz w:val="22"/>
          <w:szCs w:val="22"/>
        </w:rPr>
        <w:t>establecerá</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previsiones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permitan</w:t>
      </w:r>
      <w:r>
        <w:rPr>
          <w:rFonts w:ascii="Palatino Linotype" w:hAnsi="Palatino Linotype"/>
          <w:i/>
        </w:rPr>
        <w:t xml:space="preserve"> </w:t>
      </w:r>
      <w:r>
        <w:rPr>
          <w:rFonts w:ascii="Palatino Linotype" w:hAnsi="Palatino Linotype"/>
          <w:i/>
          <w:sz w:val="22"/>
          <w:szCs w:val="22"/>
        </w:rPr>
        <w:t>asegurar</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protección,</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respeto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difusión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este</w:t>
      </w:r>
      <w:r>
        <w:rPr>
          <w:rFonts w:ascii="Palatino Linotype" w:hAnsi="Palatino Linotype"/>
          <w:i/>
        </w:rPr>
        <w:t xml:space="preserve"> </w:t>
      </w:r>
      <w:r>
        <w:rPr>
          <w:rFonts w:ascii="Palatino Linotype" w:hAnsi="Palatino Linotype"/>
          <w:i/>
          <w:sz w:val="22"/>
          <w:szCs w:val="22"/>
        </w:rPr>
        <w:t>derecho.</w:t>
      </w:r>
      <w:r>
        <w:rPr>
          <w:rFonts w:ascii="Palatino Linotype" w:hAnsi="Palatino Linotype"/>
          <w:i/>
        </w:rPr>
        <w:t xml:space="preserve"> </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Para</w:t>
      </w:r>
      <w:r>
        <w:rPr>
          <w:rFonts w:ascii="Palatino Linotype" w:hAnsi="Palatino Linotype"/>
          <w:i/>
        </w:rPr>
        <w:t xml:space="preserve"> </w:t>
      </w:r>
      <w:r>
        <w:rPr>
          <w:rFonts w:ascii="Palatino Linotype" w:hAnsi="Palatino Linotype"/>
          <w:i/>
          <w:sz w:val="22"/>
          <w:szCs w:val="22"/>
        </w:rPr>
        <w:t>garantizar</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ejercicio</w:t>
      </w:r>
      <w:r>
        <w:rPr>
          <w:rFonts w:ascii="Palatino Linotype" w:hAnsi="Palatino Linotype"/>
          <w:i/>
        </w:rPr>
        <w:t xml:space="preserve"> </w:t>
      </w:r>
      <w:r>
        <w:rPr>
          <w:rFonts w:ascii="Palatino Linotype" w:hAnsi="Palatino Linotype"/>
          <w:i/>
          <w:sz w:val="22"/>
          <w:szCs w:val="22"/>
        </w:rPr>
        <w:t>del</w:t>
      </w:r>
      <w:r>
        <w:rPr>
          <w:rFonts w:ascii="Palatino Linotype" w:hAnsi="Palatino Linotype"/>
          <w:i/>
        </w:rPr>
        <w:t xml:space="preserve"> </w:t>
      </w:r>
      <w:r>
        <w:rPr>
          <w:rFonts w:ascii="Palatino Linotype" w:hAnsi="Palatino Linotype"/>
          <w:i/>
          <w:sz w:val="22"/>
          <w:szCs w:val="22"/>
        </w:rPr>
        <w:t>derecho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transparencia,</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pública</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protección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datos</w:t>
      </w:r>
      <w:r>
        <w:rPr>
          <w:rFonts w:ascii="Palatino Linotype" w:hAnsi="Palatino Linotype"/>
          <w:i/>
        </w:rPr>
        <w:t xml:space="preserve"> </w:t>
      </w:r>
      <w:r>
        <w:rPr>
          <w:rFonts w:ascii="Palatino Linotype" w:hAnsi="Palatino Linotype"/>
          <w:i/>
          <w:sz w:val="22"/>
          <w:szCs w:val="22"/>
        </w:rPr>
        <w:t>personales,</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poderes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organismos</w:t>
      </w:r>
      <w:r>
        <w:rPr>
          <w:rFonts w:ascii="Palatino Linotype" w:hAnsi="Palatino Linotype"/>
          <w:i/>
        </w:rPr>
        <w:t xml:space="preserve"> </w:t>
      </w:r>
      <w:r>
        <w:rPr>
          <w:rFonts w:ascii="Palatino Linotype" w:hAnsi="Palatino Linotype"/>
          <w:i/>
          <w:sz w:val="22"/>
          <w:szCs w:val="22"/>
        </w:rPr>
        <w:t>autónomos,</w:t>
      </w:r>
      <w:r>
        <w:rPr>
          <w:rFonts w:ascii="Palatino Linotype" w:hAnsi="Palatino Linotype"/>
          <w:i/>
        </w:rPr>
        <w:t xml:space="preserve"> </w:t>
      </w:r>
      <w:r>
        <w:rPr>
          <w:rFonts w:ascii="Palatino Linotype" w:hAnsi="Palatino Linotype"/>
          <w:i/>
          <w:sz w:val="22"/>
          <w:szCs w:val="22"/>
        </w:rPr>
        <w:t>transparentarán</w:t>
      </w:r>
      <w:r>
        <w:rPr>
          <w:rFonts w:ascii="Palatino Linotype" w:hAnsi="Palatino Linotype"/>
          <w:i/>
        </w:rPr>
        <w:t xml:space="preserve"> </w:t>
      </w:r>
      <w:r>
        <w:rPr>
          <w:rFonts w:ascii="Palatino Linotype" w:hAnsi="Palatino Linotype"/>
          <w:i/>
          <w:sz w:val="22"/>
          <w:szCs w:val="22"/>
        </w:rPr>
        <w:t>sus</w:t>
      </w:r>
      <w:r>
        <w:rPr>
          <w:rFonts w:ascii="Palatino Linotype" w:hAnsi="Palatino Linotype"/>
          <w:i/>
        </w:rPr>
        <w:t xml:space="preserve"> </w:t>
      </w:r>
      <w:r>
        <w:rPr>
          <w:rFonts w:ascii="Palatino Linotype" w:hAnsi="Palatino Linotype"/>
          <w:i/>
          <w:sz w:val="22"/>
          <w:szCs w:val="22"/>
        </w:rPr>
        <w:t>acciones,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términos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disposiciones</w:t>
      </w:r>
      <w:r>
        <w:rPr>
          <w:rFonts w:ascii="Palatino Linotype" w:hAnsi="Palatino Linotype"/>
          <w:i/>
        </w:rPr>
        <w:t xml:space="preserve"> </w:t>
      </w:r>
      <w:r>
        <w:rPr>
          <w:rFonts w:ascii="Palatino Linotype" w:hAnsi="Palatino Linotype"/>
          <w:i/>
          <w:sz w:val="22"/>
          <w:szCs w:val="22"/>
        </w:rPr>
        <w:t>aplicables,</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será</w:t>
      </w:r>
      <w:r>
        <w:rPr>
          <w:rFonts w:ascii="Palatino Linotype" w:hAnsi="Palatino Linotype"/>
          <w:i/>
        </w:rPr>
        <w:t xml:space="preserve"> </w:t>
      </w:r>
      <w:r>
        <w:rPr>
          <w:rFonts w:ascii="Palatino Linotype" w:hAnsi="Palatino Linotype"/>
          <w:i/>
          <w:sz w:val="22"/>
          <w:szCs w:val="22"/>
        </w:rPr>
        <w:t>oportuna,</w:t>
      </w:r>
      <w:r>
        <w:rPr>
          <w:rFonts w:ascii="Palatino Linotype" w:hAnsi="Palatino Linotype"/>
          <w:i/>
        </w:rPr>
        <w:t xml:space="preserve"> </w:t>
      </w:r>
      <w:r>
        <w:rPr>
          <w:rFonts w:ascii="Palatino Linotype" w:hAnsi="Palatino Linotype"/>
          <w:i/>
          <w:sz w:val="22"/>
          <w:szCs w:val="22"/>
        </w:rPr>
        <w:t>clara,</w:t>
      </w:r>
      <w:r>
        <w:rPr>
          <w:rFonts w:ascii="Palatino Linotype" w:hAnsi="Palatino Linotype"/>
          <w:i/>
        </w:rPr>
        <w:t xml:space="preserve"> </w:t>
      </w:r>
      <w:r>
        <w:rPr>
          <w:rFonts w:ascii="Palatino Linotype" w:hAnsi="Palatino Linotype"/>
          <w:i/>
          <w:sz w:val="22"/>
          <w:szCs w:val="22"/>
        </w:rPr>
        <w:t>veraz</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fácil</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Este</w:t>
      </w:r>
      <w:r>
        <w:rPr>
          <w:rFonts w:ascii="Palatino Linotype" w:hAnsi="Palatino Linotype"/>
          <w:i/>
        </w:rPr>
        <w:t xml:space="preserve"> </w:t>
      </w:r>
      <w:r>
        <w:rPr>
          <w:rFonts w:ascii="Palatino Linotype" w:hAnsi="Palatino Linotype"/>
          <w:i/>
          <w:sz w:val="22"/>
          <w:szCs w:val="22"/>
        </w:rPr>
        <w:t>derecho</w:t>
      </w:r>
      <w:r>
        <w:rPr>
          <w:rFonts w:ascii="Palatino Linotype" w:hAnsi="Palatino Linotype"/>
          <w:i/>
        </w:rPr>
        <w:t xml:space="preserve"> </w:t>
      </w:r>
      <w:r>
        <w:rPr>
          <w:rFonts w:ascii="Palatino Linotype" w:hAnsi="Palatino Linotype"/>
          <w:i/>
          <w:sz w:val="22"/>
          <w:szCs w:val="22"/>
        </w:rPr>
        <w:t>se</w:t>
      </w:r>
      <w:r>
        <w:rPr>
          <w:rFonts w:ascii="Palatino Linotype" w:hAnsi="Palatino Linotype"/>
          <w:i/>
        </w:rPr>
        <w:t xml:space="preserve"> </w:t>
      </w:r>
      <w:r>
        <w:rPr>
          <w:rFonts w:ascii="Palatino Linotype" w:hAnsi="Palatino Linotype"/>
          <w:i/>
          <w:sz w:val="22"/>
          <w:szCs w:val="22"/>
        </w:rPr>
        <w:t>regirá</w:t>
      </w:r>
      <w:r>
        <w:rPr>
          <w:rFonts w:ascii="Palatino Linotype" w:hAnsi="Palatino Linotype"/>
          <w:i/>
        </w:rPr>
        <w:t xml:space="preserve"> </w:t>
      </w:r>
      <w:r>
        <w:rPr>
          <w:rFonts w:ascii="Palatino Linotype" w:hAnsi="Palatino Linotype"/>
          <w:i/>
          <w:sz w:val="22"/>
          <w:szCs w:val="22"/>
        </w:rPr>
        <w:t>por</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principios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bases</w:t>
      </w:r>
      <w:r>
        <w:rPr>
          <w:rFonts w:ascii="Palatino Linotype" w:hAnsi="Palatino Linotype"/>
          <w:i/>
        </w:rPr>
        <w:t xml:space="preserve"> </w:t>
      </w:r>
      <w:r>
        <w:rPr>
          <w:rFonts w:ascii="Palatino Linotype" w:hAnsi="Palatino Linotype"/>
          <w:i/>
          <w:sz w:val="22"/>
          <w:szCs w:val="22"/>
        </w:rPr>
        <w:t>siguientes:</w:t>
      </w:r>
    </w:p>
    <w:p w:rsidR="005A6B36" w:rsidRDefault="0049607E">
      <w:pPr>
        <w:ind w:left="851" w:right="902"/>
        <w:jc w:val="both"/>
        <w:rPr>
          <w:rFonts w:ascii="Palatino Linotype" w:hAnsi="Palatino Linotype"/>
          <w:i/>
          <w:sz w:val="22"/>
          <w:szCs w:val="22"/>
        </w:rPr>
      </w:pPr>
      <w:r>
        <w:rPr>
          <w:rFonts w:ascii="Palatino Linotype" w:hAnsi="Palatino Linotype"/>
          <w:b/>
          <w:i/>
          <w:sz w:val="22"/>
          <w:szCs w:val="22"/>
        </w:rPr>
        <w:t>I.</w:t>
      </w:r>
      <w:r>
        <w:rPr>
          <w:rFonts w:ascii="Palatino Linotype" w:hAnsi="Palatino Linotype"/>
          <w:b/>
          <w:i/>
        </w:rPr>
        <w:t xml:space="preserve"> </w:t>
      </w:r>
      <w:r>
        <w:rPr>
          <w:rFonts w:ascii="Palatino Linotype" w:hAnsi="Palatino Linotype"/>
          <w:b/>
          <w:i/>
          <w:sz w:val="22"/>
          <w:szCs w:val="22"/>
        </w:rPr>
        <w:t>Toda</w:t>
      </w:r>
      <w:r>
        <w:rPr>
          <w:rFonts w:ascii="Palatino Linotype" w:hAnsi="Palatino Linotype"/>
          <w:b/>
          <w:i/>
        </w:rPr>
        <w:t xml:space="preserve"> </w:t>
      </w:r>
      <w:r>
        <w:rPr>
          <w:rFonts w:ascii="Palatino Linotype" w:hAnsi="Palatino Linotype"/>
          <w:b/>
          <w:i/>
          <w:sz w:val="22"/>
          <w:szCs w:val="22"/>
        </w:rPr>
        <w:t>la</w:t>
      </w:r>
      <w:r>
        <w:rPr>
          <w:rFonts w:ascii="Palatino Linotype" w:hAnsi="Palatino Linotype"/>
          <w:b/>
          <w:i/>
        </w:rPr>
        <w:t xml:space="preserve"> </w:t>
      </w:r>
      <w:r>
        <w:rPr>
          <w:rFonts w:ascii="Palatino Linotype" w:hAnsi="Palatino Linotype"/>
          <w:b/>
          <w:i/>
          <w:sz w:val="22"/>
          <w:szCs w:val="22"/>
        </w:rPr>
        <w:t>información</w:t>
      </w:r>
      <w:r>
        <w:rPr>
          <w:rFonts w:ascii="Palatino Linotype" w:hAnsi="Palatino Linotype"/>
          <w:b/>
          <w:i/>
        </w:rPr>
        <w:t xml:space="preserve"> </w:t>
      </w:r>
      <w:r>
        <w:rPr>
          <w:rFonts w:ascii="Palatino Linotype" w:hAnsi="Palatino Linotype"/>
          <w:b/>
          <w:i/>
          <w:sz w:val="22"/>
          <w:szCs w:val="22"/>
        </w:rPr>
        <w:t>en</w:t>
      </w:r>
      <w:r>
        <w:rPr>
          <w:rFonts w:ascii="Palatino Linotype" w:hAnsi="Palatino Linotype"/>
          <w:b/>
          <w:i/>
        </w:rPr>
        <w:t xml:space="preserve"> </w:t>
      </w:r>
      <w:r>
        <w:rPr>
          <w:rFonts w:ascii="Palatino Linotype" w:hAnsi="Palatino Linotype"/>
          <w:b/>
          <w:i/>
          <w:sz w:val="22"/>
          <w:szCs w:val="22"/>
        </w:rPr>
        <w:t>posesión</w:t>
      </w:r>
      <w:r>
        <w:rPr>
          <w:rFonts w:ascii="Palatino Linotype" w:hAnsi="Palatino Linotype"/>
          <w:b/>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cualquier</w:t>
      </w:r>
      <w:r>
        <w:rPr>
          <w:rFonts w:ascii="Palatino Linotype" w:hAnsi="Palatino Linotype"/>
          <w:b/>
          <w:i/>
        </w:rPr>
        <w:t xml:space="preserve"> </w:t>
      </w:r>
      <w:r>
        <w:rPr>
          <w:rFonts w:ascii="Palatino Linotype" w:hAnsi="Palatino Linotype"/>
          <w:b/>
          <w:i/>
          <w:sz w:val="22"/>
          <w:szCs w:val="22"/>
        </w:rPr>
        <w:t>autoridad</w:t>
      </w:r>
      <w:r>
        <w:rPr>
          <w:rFonts w:ascii="Palatino Linotype" w:hAnsi="Palatino Linotype"/>
          <w:i/>
          <w:sz w:val="22"/>
          <w:szCs w:val="22"/>
        </w:rPr>
        <w:t>,</w:t>
      </w:r>
      <w:r>
        <w:rPr>
          <w:rFonts w:ascii="Palatino Linotype" w:hAnsi="Palatino Linotype"/>
          <w:i/>
        </w:rPr>
        <w:t xml:space="preserve"> </w:t>
      </w:r>
      <w:r>
        <w:rPr>
          <w:rFonts w:ascii="Palatino Linotype" w:hAnsi="Palatino Linotype"/>
          <w:i/>
          <w:sz w:val="22"/>
          <w:szCs w:val="22"/>
        </w:rPr>
        <w:t>entidad,</w:t>
      </w:r>
      <w:r>
        <w:rPr>
          <w:rFonts w:ascii="Palatino Linotype" w:hAnsi="Palatino Linotype"/>
          <w:i/>
        </w:rPr>
        <w:t xml:space="preserve"> </w:t>
      </w:r>
      <w:r>
        <w:rPr>
          <w:rFonts w:ascii="Palatino Linotype" w:hAnsi="Palatino Linotype"/>
          <w:i/>
          <w:sz w:val="22"/>
          <w:szCs w:val="22"/>
        </w:rPr>
        <w:t>órgano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organismos</w:t>
      </w:r>
      <w:r>
        <w:rPr>
          <w:rFonts w:ascii="Palatino Linotype" w:hAnsi="Palatino Linotype"/>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los</w:t>
      </w:r>
      <w:r>
        <w:rPr>
          <w:rFonts w:ascii="Palatino Linotype" w:hAnsi="Palatino Linotype"/>
          <w:b/>
          <w:i/>
        </w:rPr>
        <w:t xml:space="preserve"> </w:t>
      </w:r>
      <w:r>
        <w:rPr>
          <w:rFonts w:ascii="Palatino Linotype" w:hAnsi="Palatino Linotype"/>
          <w:b/>
          <w:i/>
          <w:sz w:val="22"/>
          <w:szCs w:val="22"/>
        </w:rPr>
        <w:t>Poderes</w:t>
      </w:r>
      <w:r>
        <w:rPr>
          <w:rFonts w:ascii="Palatino Linotype" w:hAnsi="Palatino Linotype"/>
          <w:b/>
          <w:i/>
        </w:rPr>
        <w:t xml:space="preserve"> </w:t>
      </w:r>
      <w:r>
        <w:rPr>
          <w:rFonts w:ascii="Palatino Linotype" w:hAnsi="Palatino Linotype"/>
          <w:b/>
          <w:i/>
          <w:sz w:val="22"/>
          <w:szCs w:val="22"/>
        </w:rPr>
        <w:t>Ejecutivo,</w:t>
      </w:r>
      <w:r>
        <w:rPr>
          <w:rFonts w:ascii="Palatino Linotype" w:hAnsi="Palatino Linotype"/>
          <w:i/>
        </w:rPr>
        <w:t xml:space="preserve"> </w:t>
      </w:r>
      <w:r>
        <w:rPr>
          <w:rFonts w:ascii="Palatino Linotype" w:hAnsi="Palatino Linotype"/>
          <w:i/>
          <w:sz w:val="22"/>
          <w:szCs w:val="22"/>
        </w:rPr>
        <w:t>Legislativo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Judicial,</w:t>
      </w:r>
      <w:r>
        <w:rPr>
          <w:rFonts w:ascii="Palatino Linotype" w:hAnsi="Palatino Linotype"/>
          <w:i/>
        </w:rPr>
        <w:t xml:space="preserve"> </w:t>
      </w:r>
      <w:r>
        <w:rPr>
          <w:rFonts w:ascii="Palatino Linotype" w:hAnsi="Palatino Linotype"/>
          <w:i/>
          <w:sz w:val="22"/>
          <w:szCs w:val="22"/>
        </w:rPr>
        <w:t>órganos</w:t>
      </w:r>
      <w:r>
        <w:rPr>
          <w:rFonts w:ascii="Palatino Linotype" w:hAnsi="Palatino Linotype"/>
          <w:i/>
        </w:rPr>
        <w:t xml:space="preserve"> </w:t>
      </w:r>
      <w:r>
        <w:rPr>
          <w:rFonts w:ascii="Palatino Linotype" w:hAnsi="Palatino Linotype"/>
          <w:i/>
          <w:sz w:val="22"/>
          <w:szCs w:val="22"/>
        </w:rPr>
        <w:t>autónomos,</w:t>
      </w:r>
      <w:r>
        <w:rPr>
          <w:rFonts w:ascii="Palatino Linotype" w:hAnsi="Palatino Linotype"/>
          <w:i/>
        </w:rPr>
        <w:t xml:space="preserve"> </w:t>
      </w:r>
      <w:r>
        <w:rPr>
          <w:rFonts w:ascii="Palatino Linotype" w:hAnsi="Palatino Linotype"/>
          <w:i/>
          <w:sz w:val="22"/>
          <w:szCs w:val="22"/>
        </w:rPr>
        <w:t>partidos</w:t>
      </w:r>
      <w:r>
        <w:rPr>
          <w:rFonts w:ascii="Palatino Linotype" w:hAnsi="Palatino Linotype"/>
          <w:i/>
        </w:rPr>
        <w:t xml:space="preserve"> </w:t>
      </w:r>
      <w:r>
        <w:rPr>
          <w:rFonts w:ascii="Palatino Linotype" w:hAnsi="Palatino Linotype"/>
          <w:i/>
          <w:sz w:val="22"/>
          <w:szCs w:val="22"/>
        </w:rPr>
        <w:t>políticos,</w:t>
      </w:r>
      <w:r>
        <w:rPr>
          <w:rFonts w:ascii="Palatino Linotype" w:hAnsi="Palatino Linotype"/>
          <w:i/>
        </w:rPr>
        <w:t xml:space="preserve"> </w:t>
      </w:r>
      <w:r>
        <w:rPr>
          <w:rFonts w:ascii="Palatino Linotype" w:hAnsi="Palatino Linotype"/>
          <w:i/>
          <w:sz w:val="22"/>
          <w:szCs w:val="22"/>
        </w:rPr>
        <w:t>fideicomisos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fondos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estatales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municipales,</w:t>
      </w:r>
      <w:r>
        <w:rPr>
          <w:rFonts w:ascii="Palatino Linotype" w:hAnsi="Palatino Linotype"/>
          <w:i/>
        </w:rPr>
        <w:t xml:space="preserve"> </w:t>
      </w:r>
      <w:r>
        <w:rPr>
          <w:rFonts w:ascii="Palatino Linotype" w:hAnsi="Palatino Linotype"/>
          <w:i/>
          <w:sz w:val="22"/>
          <w:szCs w:val="22"/>
        </w:rPr>
        <w:t>así</w:t>
      </w:r>
      <w:r>
        <w:rPr>
          <w:rFonts w:ascii="Palatino Linotype" w:hAnsi="Palatino Linotype"/>
          <w:i/>
        </w:rPr>
        <w:t xml:space="preserve"> </w:t>
      </w:r>
      <w:r>
        <w:rPr>
          <w:rFonts w:ascii="Palatino Linotype" w:hAnsi="Palatino Linotype"/>
          <w:i/>
          <w:sz w:val="22"/>
          <w:szCs w:val="22"/>
        </w:rPr>
        <w:t>como</w:t>
      </w:r>
      <w:r>
        <w:rPr>
          <w:rFonts w:ascii="Palatino Linotype" w:hAnsi="Palatino Linotype"/>
          <w:i/>
        </w:rPr>
        <w:t xml:space="preserve"> </w:t>
      </w:r>
      <w:r>
        <w:rPr>
          <w:rFonts w:ascii="Palatino Linotype" w:hAnsi="Palatino Linotype"/>
          <w:b/>
          <w:i/>
          <w:sz w:val="22"/>
          <w:szCs w:val="22"/>
        </w:rPr>
        <w:t>del</w:t>
      </w:r>
      <w:r>
        <w:rPr>
          <w:rFonts w:ascii="Palatino Linotype" w:hAnsi="Palatino Linotype"/>
          <w:b/>
          <w:i/>
        </w:rPr>
        <w:t xml:space="preserve"> </w:t>
      </w:r>
      <w:r>
        <w:rPr>
          <w:rFonts w:ascii="Palatino Linotype" w:hAnsi="Palatino Linotype"/>
          <w:b/>
          <w:i/>
          <w:sz w:val="22"/>
          <w:szCs w:val="22"/>
        </w:rPr>
        <w:t>gobierno</w:t>
      </w:r>
      <w:r>
        <w:rPr>
          <w:rFonts w:ascii="Palatino Linotype" w:hAnsi="Palatino Linotype"/>
          <w:b/>
          <w:i/>
        </w:rPr>
        <w:t xml:space="preserve"> </w:t>
      </w:r>
      <w:r>
        <w:rPr>
          <w:rFonts w:ascii="Palatino Linotype" w:hAnsi="Palatino Linotype"/>
          <w:b/>
          <w:i/>
          <w:sz w:val="22"/>
          <w:szCs w:val="22"/>
        </w:rPr>
        <w:t>y</w:t>
      </w:r>
      <w:r>
        <w:rPr>
          <w:rFonts w:ascii="Palatino Linotype" w:hAnsi="Palatino Linotype"/>
          <w:b/>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la</w:t>
      </w:r>
      <w:r>
        <w:rPr>
          <w:rFonts w:ascii="Palatino Linotype" w:hAnsi="Palatino Linotype"/>
          <w:b/>
          <w:i/>
        </w:rPr>
        <w:t xml:space="preserve"> </w:t>
      </w:r>
      <w:r>
        <w:rPr>
          <w:rFonts w:ascii="Palatino Linotype" w:hAnsi="Palatino Linotype"/>
          <w:b/>
          <w:i/>
          <w:sz w:val="22"/>
          <w:szCs w:val="22"/>
        </w:rPr>
        <w:t>administración</w:t>
      </w:r>
      <w:r>
        <w:rPr>
          <w:rFonts w:ascii="Palatino Linotype" w:hAnsi="Palatino Linotype"/>
          <w:b/>
          <w:i/>
        </w:rPr>
        <w:t xml:space="preserve"> </w:t>
      </w:r>
      <w:r>
        <w:rPr>
          <w:rFonts w:ascii="Palatino Linotype" w:hAnsi="Palatino Linotype"/>
          <w:b/>
          <w:i/>
          <w:sz w:val="22"/>
          <w:szCs w:val="22"/>
        </w:rPr>
        <w:t>pública</w:t>
      </w:r>
      <w:r>
        <w:rPr>
          <w:rFonts w:ascii="Palatino Linotype" w:hAnsi="Palatino Linotype"/>
          <w:b/>
          <w:i/>
        </w:rPr>
        <w:t xml:space="preserve"> </w:t>
      </w:r>
      <w:r>
        <w:rPr>
          <w:rFonts w:ascii="Palatino Linotype" w:hAnsi="Palatino Linotype"/>
          <w:b/>
          <w:i/>
          <w:sz w:val="22"/>
          <w:szCs w:val="22"/>
        </w:rPr>
        <w:t>municipal</w:t>
      </w:r>
      <w:r>
        <w:rPr>
          <w:rFonts w:ascii="Palatino Linotype" w:hAnsi="Palatino Linotype"/>
          <w:b/>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sus</w:t>
      </w:r>
      <w:r>
        <w:rPr>
          <w:rFonts w:ascii="Palatino Linotype" w:hAnsi="Palatino Linotype"/>
          <w:i/>
        </w:rPr>
        <w:t xml:space="preserve"> </w:t>
      </w:r>
      <w:r>
        <w:rPr>
          <w:rFonts w:ascii="Palatino Linotype" w:hAnsi="Palatino Linotype"/>
          <w:i/>
          <w:sz w:val="22"/>
          <w:szCs w:val="22"/>
        </w:rPr>
        <w:t>organismos</w:t>
      </w:r>
      <w:r>
        <w:rPr>
          <w:rFonts w:ascii="Palatino Linotype" w:hAnsi="Palatino Linotype"/>
          <w:i/>
        </w:rPr>
        <w:t xml:space="preserve"> </w:t>
      </w:r>
      <w:r>
        <w:rPr>
          <w:rFonts w:ascii="Palatino Linotype" w:hAnsi="Palatino Linotype"/>
          <w:i/>
          <w:sz w:val="22"/>
          <w:szCs w:val="22"/>
        </w:rPr>
        <w:t>descentralizados,</w:t>
      </w:r>
      <w:r>
        <w:rPr>
          <w:rFonts w:ascii="Palatino Linotype" w:hAnsi="Palatino Linotype"/>
          <w:i/>
        </w:rPr>
        <w:t xml:space="preserve"> </w:t>
      </w:r>
      <w:r>
        <w:rPr>
          <w:rFonts w:ascii="Palatino Linotype" w:hAnsi="Palatino Linotype"/>
          <w:i/>
          <w:sz w:val="22"/>
          <w:szCs w:val="22"/>
        </w:rPr>
        <w:t>asimismo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cualquier</w:t>
      </w:r>
      <w:r>
        <w:rPr>
          <w:rFonts w:ascii="Palatino Linotype" w:hAnsi="Palatino Linotype"/>
          <w:i/>
        </w:rPr>
        <w:t xml:space="preserve"> </w:t>
      </w:r>
      <w:r>
        <w:rPr>
          <w:rFonts w:ascii="Palatino Linotype" w:hAnsi="Palatino Linotype"/>
          <w:i/>
          <w:sz w:val="22"/>
          <w:szCs w:val="22"/>
        </w:rPr>
        <w:t>persona</w:t>
      </w:r>
      <w:r>
        <w:rPr>
          <w:rFonts w:ascii="Palatino Linotype" w:hAnsi="Palatino Linotype"/>
          <w:i/>
        </w:rPr>
        <w:t xml:space="preserve"> </w:t>
      </w:r>
      <w:r>
        <w:rPr>
          <w:rFonts w:ascii="Palatino Linotype" w:hAnsi="Palatino Linotype"/>
          <w:i/>
          <w:sz w:val="22"/>
          <w:szCs w:val="22"/>
        </w:rPr>
        <w:t>física,</w:t>
      </w:r>
      <w:r>
        <w:rPr>
          <w:rFonts w:ascii="Palatino Linotype" w:hAnsi="Palatino Linotype"/>
          <w:i/>
        </w:rPr>
        <w:t xml:space="preserve"> </w:t>
      </w:r>
      <w:r>
        <w:rPr>
          <w:rFonts w:ascii="Palatino Linotype" w:hAnsi="Palatino Linotype"/>
          <w:i/>
          <w:sz w:val="22"/>
          <w:szCs w:val="22"/>
        </w:rPr>
        <w:t>jurídica</w:t>
      </w:r>
      <w:r>
        <w:rPr>
          <w:rFonts w:ascii="Palatino Linotype" w:hAnsi="Palatino Linotype"/>
          <w:i/>
        </w:rPr>
        <w:t xml:space="preserve"> </w:t>
      </w:r>
      <w:r>
        <w:rPr>
          <w:rFonts w:ascii="Palatino Linotype" w:hAnsi="Palatino Linotype"/>
          <w:i/>
          <w:sz w:val="22"/>
          <w:szCs w:val="22"/>
        </w:rPr>
        <w:t>colectiva</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sindicato</w:t>
      </w:r>
      <w:r>
        <w:rPr>
          <w:rFonts w:ascii="Palatino Linotype" w:hAnsi="Palatino Linotype"/>
          <w:i/>
        </w:rPr>
        <w:t xml:space="preserve"> </w:t>
      </w:r>
      <w:r>
        <w:rPr>
          <w:rFonts w:ascii="Palatino Linotype" w:hAnsi="Palatino Linotype"/>
          <w:b/>
          <w:i/>
          <w:sz w:val="22"/>
          <w:szCs w:val="22"/>
        </w:rPr>
        <w:t>que</w:t>
      </w:r>
      <w:r>
        <w:rPr>
          <w:rFonts w:ascii="Palatino Linotype" w:hAnsi="Palatino Linotype"/>
          <w:b/>
          <w:i/>
        </w:rPr>
        <w:t xml:space="preserve"> </w:t>
      </w:r>
      <w:r>
        <w:rPr>
          <w:rFonts w:ascii="Palatino Linotype" w:hAnsi="Palatino Linotype"/>
          <w:b/>
          <w:i/>
          <w:sz w:val="22"/>
          <w:szCs w:val="22"/>
        </w:rPr>
        <w:t>reciba</w:t>
      </w:r>
      <w:r>
        <w:rPr>
          <w:rFonts w:ascii="Palatino Linotype" w:hAnsi="Palatino Linotype"/>
          <w:b/>
          <w:i/>
        </w:rPr>
        <w:t xml:space="preserve"> </w:t>
      </w:r>
      <w:r>
        <w:rPr>
          <w:rFonts w:ascii="Palatino Linotype" w:hAnsi="Palatino Linotype"/>
          <w:b/>
          <w:i/>
          <w:sz w:val="22"/>
          <w:szCs w:val="22"/>
        </w:rPr>
        <w:t>y</w:t>
      </w:r>
      <w:r>
        <w:rPr>
          <w:rFonts w:ascii="Palatino Linotype" w:hAnsi="Palatino Linotype"/>
          <w:b/>
          <w:i/>
        </w:rPr>
        <w:t xml:space="preserve"> </w:t>
      </w:r>
      <w:r>
        <w:rPr>
          <w:rFonts w:ascii="Palatino Linotype" w:hAnsi="Palatino Linotype"/>
          <w:b/>
          <w:i/>
          <w:sz w:val="22"/>
          <w:szCs w:val="22"/>
        </w:rPr>
        <w:t>ejerza</w:t>
      </w:r>
      <w:r>
        <w:rPr>
          <w:rFonts w:ascii="Palatino Linotype" w:hAnsi="Palatino Linotype"/>
          <w:b/>
          <w:i/>
        </w:rPr>
        <w:t xml:space="preserve"> </w:t>
      </w:r>
      <w:r>
        <w:rPr>
          <w:rFonts w:ascii="Palatino Linotype" w:hAnsi="Palatino Linotype"/>
          <w:b/>
          <w:i/>
          <w:sz w:val="22"/>
          <w:szCs w:val="22"/>
        </w:rPr>
        <w:t>recursos</w:t>
      </w:r>
      <w:r>
        <w:rPr>
          <w:rFonts w:ascii="Palatino Linotype" w:hAnsi="Palatino Linotype"/>
          <w:b/>
          <w:i/>
        </w:rPr>
        <w:t xml:space="preserve"> </w:t>
      </w:r>
      <w:r>
        <w:rPr>
          <w:rFonts w:ascii="Palatino Linotype" w:hAnsi="Palatino Linotype"/>
          <w:b/>
          <w:i/>
          <w:sz w:val="22"/>
          <w:szCs w:val="22"/>
        </w:rPr>
        <w:t>públicos</w:t>
      </w:r>
      <w:r>
        <w:rPr>
          <w:rFonts w:ascii="Palatino Linotype" w:hAnsi="Palatino Linotype"/>
          <w:b/>
          <w:i/>
        </w:rPr>
        <w:t xml:space="preserve"> </w:t>
      </w:r>
      <w:r>
        <w:rPr>
          <w:rFonts w:ascii="Palatino Linotype" w:hAnsi="Palatino Linotype"/>
          <w:b/>
          <w:i/>
          <w:sz w:val="22"/>
          <w:szCs w:val="22"/>
        </w:rPr>
        <w:t>o</w:t>
      </w:r>
      <w:r>
        <w:rPr>
          <w:rFonts w:ascii="Palatino Linotype" w:hAnsi="Palatino Linotype"/>
          <w:b/>
          <w:i/>
        </w:rPr>
        <w:t xml:space="preserve"> </w:t>
      </w:r>
      <w:r>
        <w:rPr>
          <w:rFonts w:ascii="Palatino Linotype" w:hAnsi="Palatino Linotype"/>
          <w:b/>
          <w:i/>
          <w:sz w:val="22"/>
          <w:szCs w:val="22"/>
        </w:rPr>
        <w:t>realice</w:t>
      </w:r>
      <w:r>
        <w:rPr>
          <w:rFonts w:ascii="Palatino Linotype" w:hAnsi="Palatino Linotype"/>
          <w:b/>
          <w:i/>
        </w:rPr>
        <w:t xml:space="preserve"> </w:t>
      </w:r>
      <w:r>
        <w:rPr>
          <w:rFonts w:ascii="Palatino Linotype" w:hAnsi="Palatino Linotype"/>
          <w:b/>
          <w:i/>
          <w:sz w:val="22"/>
          <w:szCs w:val="22"/>
        </w:rPr>
        <w:t>actos</w:t>
      </w:r>
      <w:r>
        <w:rPr>
          <w:rFonts w:ascii="Palatino Linotype" w:hAnsi="Palatino Linotype"/>
          <w:b/>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autoridad</w:t>
      </w:r>
      <w:r>
        <w:rPr>
          <w:rFonts w:ascii="Palatino Linotype" w:hAnsi="Palatino Linotype"/>
          <w:b/>
          <w:i/>
        </w:rPr>
        <w:t xml:space="preserve"> </w:t>
      </w:r>
      <w:r>
        <w:rPr>
          <w:rFonts w:ascii="Palatino Linotype" w:hAnsi="Palatino Linotype"/>
          <w:b/>
          <w:i/>
          <w:sz w:val="22"/>
          <w:szCs w:val="22"/>
        </w:rPr>
        <w:t>en</w:t>
      </w:r>
      <w:r>
        <w:rPr>
          <w:rFonts w:ascii="Palatino Linotype" w:hAnsi="Palatino Linotype"/>
          <w:b/>
          <w:i/>
        </w:rPr>
        <w:t xml:space="preserve"> </w:t>
      </w:r>
      <w:r>
        <w:rPr>
          <w:rFonts w:ascii="Palatino Linotype" w:hAnsi="Palatino Linotype"/>
          <w:b/>
          <w:i/>
          <w:sz w:val="22"/>
          <w:szCs w:val="22"/>
        </w:rPr>
        <w:t>el</w:t>
      </w:r>
      <w:r>
        <w:rPr>
          <w:rFonts w:ascii="Palatino Linotype" w:hAnsi="Palatino Linotype"/>
          <w:b/>
          <w:i/>
        </w:rPr>
        <w:t xml:space="preserve"> </w:t>
      </w:r>
      <w:r>
        <w:rPr>
          <w:rFonts w:ascii="Palatino Linotype" w:hAnsi="Palatino Linotype"/>
          <w:b/>
          <w:i/>
          <w:sz w:val="22"/>
          <w:szCs w:val="22"/>
        </w:rPr>
        <w:t>ámbito</w:t>
      </w:r>
      <w:r>
        <w:rPr>
          <w:rFonts w:ascii="Palatino Linotype" w:hAnsi="Palatino Linotype"/>
          <w:b/>
          <w:i/>
        </w:rPr>
        <w:t xml:space="preserve"> </w:t>
      </w:r>
      <w:r>
        <w:rPr>
          <w:rFonts w:ascii="Palatino Linotype" w:hAnsi="Palatino Linotype"/>
          <w:b/>
          <w:i/>
          <w:sz w:val="22"/>
          <w:szCs w:val="22"/>
        </w:rPr>
        <w:t>estatal</w:t>
      </w:r>
      <w:r>
        <w:rPr>
          <w:rFonts w:ascii="Palatino Linotype" w:hAnsi="Palatino Linotype"/>
          <w:b/>
          <w:i/>
        </w:rPr>
        <w:t xml:space="preserve"> </w:t>
      </w:r>
      <w:r>
        <w:rPr>
          <w:rFonts w:ascii="Palatino Linotype" w:hAnsi="Palatino Linotype"/>
          <w:b/>
          <w:i/>
          <w:sz w:val="22"/>
          <w:szCs w:val="22"/>
        </w:rPr>
        <w:t>y</w:t>
      </w:r>
      <w:r>
        <w:rPr>
          <w:rFonts w:ascii="Palatino Linotype" w:hAnsi="Palatino Linotype"/>
          <w:b/>
          <w:i/>
        </w:rPr>
        <w:t xml:space="preserve"> </w:t>
      </w:r>
      <w:r>
        <w:rPr>
          <w:rFonts w:ascii="Palatino Linotype" w:hAnsi="Palatino Linotype"/>
          <w:b/>
          <w:i/>
          <w:sz w:val="22"/>
          <w:szCs w:val="22"/>
        </w:rPr>
        <w:t>municipal,</w:t>
      </w:r>
      <w:r>
        <w:rPr>
          <w:rFonts w:ascii="Palatino Linotype" w:hAnsi="Palatino Linotype"/>
          <w:i/>
        </w:rPr>
        <w:t xml:space="preserve"> </w:t>
      </w:r>
      <w:r>
        <w:rPr>
          <w:rFonts w:ascii="Palatino Linotype" w:hAnsi="Palatino Linotype"/>
          <w:b/>
          <w:i/>
          <w:sz w:val="22"/>
          <w:szCs w:val="22"/>
        </w:rPr>
        <w:t>es</w:t>
      </w:r>
      <w:r>
        <w:rPr>
          <w:rFonts w:ascii="Palatino Linotype" w:hAnsi="Palatino Linotype"/>
          <w:b/>
          <w:i/>
        </w:rPr>
        <w:t xml:space="preserve"> </w:t>
      </w:r>
      <w:r>
        <w:rPr>
          <w:rFonts w:ascii="Palatino Linotype" w:hAnsi="Palatino Linotype"/>
          <w:b/>
          <w:i/>
          <w:sz w:val="22"/>
          <w:szCs w:val="22"/>
        </w:rPr>
        <w:t>pública</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sólo</w:t>
      </w:r>
      <w:r>
        <w:rPr>
          <w:rFonts w:ascii="Palatino Linotype" w:hAnsi="Palatino Linotype"/>
          <w:i/>
        </w:rPr>
        <w:t xml:space="preserve"> </w:t>
      </w:r>
      <w:r>
        <w:rPr>
          <w:rFonts w:ascii="Palatino Linotype" w:hAnsi="Palatino Linotype"/>
          <w:i/>
          <w:sz w:val="22"/>
          <w:szCs w:val="22"/>
        </w:rPr>
        <w:t>podrá</w:t>
      </w:r>
      <w:r>
        <w:rPr>
          <w:rFonts w:ascii="Palatino Linotype" w:hAnsi="Palatino Linotype"/>
          <w:i/>
        </w:rPr>
        <w:t xml:space="preserve"> </w:t>
      </w:r>
      <w:r>
        <w:rPr>
          <w:rFonts w:ascii="Palatino Linotype" w:hAnsi="Palatino Linotype"/>
          <w:i/>
          <w:sz w:val="22"/>
          <w:szCs w:val="22"/>
        </w:rPr>
        <w:t>ser</w:t>
      </w:r>
      <w:r>
        <w:rPr>
          <w:rFonts w:ascii="Palatino Linotype" w:hAnsi="Palatino Linotype"/>
          <w:i/>
        </w:rPr>
        <w:t xml:space="preserve"> </w:t>
      </w:r>
      <w:r>
        <w:rPr>
          <w:rFonts w:ascii="Palatino Linotype" w:hAnsi="Palatino Linotype"/>
          <w:i/>
          <w:sz w:val="22"/>
          <w:szCs w:val="22"/>
        </w:rPr>
        <w:t>reservada</w:t>
      </w:r>
      <w:r>
        <w:rPr>
          <w:rFonts w:ascii="Palatino Linotype" w:hAnsi="Palatino Linotype"/>
          <w:i/>
        </w:rPr>
        <w:t xml:space="preserve"> </w:t>
      </w:r>
      <w:r>
        <w:rPr>
          <w:rFonts w:ascii="Palatino Linotype" w:hAnsi="Palatino Linotype"/>
          <w:i/>
          <w:sz w:val="22"/>
          <w:szCs w:val="22"/>
        </w:rPr>
        <w:t>temporalmente</w:t>
      </w:r>
      <w:r>
        <w:rPr>
          <w:rFonts w:ascii="Palatino Linotype" w:hAnsi="Palatino Linotype"/>
          <w:i/>
        </w:rPr>
        <w:t xml:space="preserve"> </w:t>
      </w:r>
      <w:r>
        <w:rPr>
          <w:rFonts w:ascii="Palatino Linotype" w:hAnsi="Palatino Linotype"/>
          <w:i/>
          <w:sz w:val="22"/>
          <w:szCs w:val="22"/>
        </w:rPr>
        <w:t>por</w:t>
      </w:r>
      <w:r>
        <w:rPr>
          <w:rFonts w:ascii="Palatino Linotype" w:hAnsi="Palatino Linotype"/>
          <w:i/>
        </w:rPr>
        <w:t xml:space="preserve"> </w:t>
      </w:r>
      <w:r>
        <w:rPr>
          <w:rFonts w:ascii="Palatino Linotype" w:hAnsi="Palatino Linotype"/>
          <w:i/>
          <w:sz w:val="22"/>
          <w:szCs w:val="22"/>
        </w:rPr>
        <w:t>razones</w:t>
      </w:r>
      <w:r>
        <w:rPr>
          <w:rFonts w:ascii="Palatino Linotype" w:hAnsi="Palatino Linotype"/>
          <w:i/>
        </w:rPr>
        <w:t xml:space="preserve"> </w:t>
      </w:r>
      <w:r>
        <w:rPr>
          <w:rFonts w:ascii="Palatino Linotype" w:hAnsi="Palatino Linotype"/>
          <w:i/>
          <w:sz w:val="22"/>
          <w:szCs w:val="22"/>
        </w:rPr>
        <w:t>previstas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Constitución</w:t>
      </w:r>
      <w:r>
        <w:rPr>
          <w:rFonts w:ascii="Palatino Linotype" w:hAnsi="Palatino Linotype"/>
          <w:i/>
        </w:rPr>
        <w:t xml:space="preserve"> </w:t>
      </w:r>
      <w:r>
        <w:rPr>
          <w:rFonts w:ascii="Palatino Linotype" w:hAnsi="Palatino Linotype"/>
          <w:i/>
          <w:sz w:val="22"/>
          <w:szCs w:val="22"/>
        </w:rPr>
        <w:t>Política</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Estados</w:t>
      </w:r>
      <w:r>
        <w:rPr>
          <w:rFonts w:ascii="Palatino Linotype" w:hAnsi="Palatino Linotype"/>
          <w:i/>
        </w:rPr>
        <w:t xml:space="preserve"> </w:t>
      </w:r>
      <w:r>
        <w:rPr>
          <w:rFonts w:ascii="Palatino Linotype" w:hAnsi="Palatino Linotype"/>
          <w:i/>
          <w:sz w:val="22"/>
          <w:szCs w:val="22"/>
        </w:rPr>
        <w:t>Unidos</w:t>
      </w:r>
      <w:r>
        <w:rPr>
          <w:rFonts w:ascii="Palatino Linotype" w:hAnsi="Palatino Linotype"/>
          <w:i/>
        </w:rPr>
        <w:t xml:space="preserve"> </w:t>
      </w:r>
      <w:r>
        <w:rPr>
          <w:rFonts w:ascii="Palatino Linotype" w:hAnsi="Palatino Linotype"/>
          <w:i/>
          <w:sz w:val="22"/>
          <w:szCs w:val="22"/>
        </w:rPr>
        <w:t>Mexicanos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interés</w:t>
      </w:r>
      <w:r>
        <w:rPr>
          <w:rFonts w:ascii="Palatino Linotype" w:hAnsi="Palatino Linotype"/>
          <w:i/>
        </w:rPr>
        <w:t xml:space="preserve"> </w:t>
      </w:r>
      <w:r>
        <w:rPr>
          <w:rFonts w:ascii="Palatino Linotype" w:hAnsi="Palatino Linotype"/>
          <w:i/>
          <w:sz w:val="22"/>
          <w:szCs w:val="22"/>
        </w:rPr>
        <w:t>público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seguridad,</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términos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fijen</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leyes.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interpretación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este</w:t>
      </w:r>
      <w:r>
        <w:rPr>
          <w:rFonts w:ascii="Palatino Linotype" w:hAnsi="Palatino Linotype"/>
          <w:i/>
        </w:rPr>
        <w:t xml:space="preserve"> </w:t>
      </w:r>
      <w:r>
        <w:rPr>
          <w:rFonts w:ascii="Palatino Linotype" w:hAnsi="Palatino Linotype"/>
          <w:i/>
          <w:sz w:val="22"/>
          <w:szCs w:val="22"/>
        </w:rPr>
        <w:t>derecho</w:t>
      </w:r>
      <w:r>
        <w:rPr>
          <w:rFonts w:ascii="Palatino Linotype" w:hAnsi="Palatino Linotype"/>
          <w:i/>
        </w:rPr>
        <w:t xml:space="preserve"> </w:t>
      </w:r>
      <w:r>
        <w:rPr>
          <w:rFonts w:ascii="Palatino Linotype" w:hAnsi="Palatino Linotype"/>
          <w:i/>
          <w:sz w:val="22"/>
          <w:szCs w:val="22"/>
        </w:rPr>
        <w:t>deberá</w:t>
      </w:r>
      <w:r>
        <w:rPr>
          <w:rFonts w:ascii="Palatino Linotype" w:hAnsi="Palatino Linotype"/>
          <w:i/>
        </w:rPr>
        <w:t xml:space="preserve"> </w:t>
      </w:r>
      <w:r>
        <w:rPr>
          <w:rFonts w:ascii="Palatino Linotype" w:hAnsi="Palatino Linotype"/>
          <w:i/>
          <w:sz w:val="22"/>
          <w:szCs w:val="22"/>
        </w:rPr>
        <w:t>prevalecer</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principio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máxima</w:t>
      </w:r>
      <w:r>
        <w:rPr>
          <w:rFonts w:ascii="Palatino Linotype" w:hAnsi="Palatino Linotype"/>
          <w:i/>
        </w:rPr>
        <w:t xml:space="preserve"> </w:t>
      </w:r>
      <w:r>
        <w:rPr>
          <w:rFonts w:ascii="Palatino Linotype" w:hAnsi="Palatino Linotype"/>
          <w:i/>
          <w:sz w:val="22"/>
          <w:szCs w:val="22"/>
        </w:rPr>
        <w:t>publicidad.</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sujetos</w:t>
      </w:r>
      <w:r>
        <w:rPr>
          <w:rFonts w:ascii="Palatino Linotype" w:hAnsi="Palatino Linotype"/>
          <w:i/>
        </w:rPr>
        <w:t xml:space="preserve"> </w:t>
      </w:r>
      <w:r>
        <w:rPr>
          <w:rFonts w:ascii="Palatino Linotype" w:hAnsi="Palatino Linotype"/>
          <w:i/>
          <w:sz w:val="22"/>
          <w:szCs w:val="22"/>
        </w:rPr>
        <w:t>obligados</w:t>
      </w:r>
      <w:r>
        <w:rPr>
          <w:rFonts w:ascii="Palatino Linotype" w:hAnsi="Palatino Linotype"/>
          <w:i/>
        </w:rPr>
        <w:t xml:space="preserve"> </w:t>
      </w:r>
      <w:r>
        <w:rPr>
          <w:rFonts w:ascii="Palatino Linotype" w:hAnsi="Palatino Linotype"/>
          <w:i/>
          <w:sz w:val="22"/>
          <w:szCs w:val="22"/>
        </w:rPr>
        <w:t>deberán</w:t>
      </w:r>
      <w:r>
        <w:rPr>
          <w:rFonts w:ascii="Palatino Linotype" w:hAnsi="Palatino Linotype"/>
          <w:i/>
        </w:rPr>
        <w:t xml:space="preserve"> </w:t>
      </w:r>
      <w:r>
        <w:rPr>
          <w:rFonts w:ascii="Palatino Linotype" w:hAnsi="Palatino Linotype"/>
          <w:i/>
          <w:sz w:val="22"/>
          <w:szCs w:val="22"/>
        </w:rPr>
        <w:t>documentar</w:t>
      </w:r>
      <w:r>
        <w:rPr>
          <w:rFonts w:ascii="Palatino Linotype" w:hAnsi="Palatino Linotype"/>
          <w:i/>
        </w:rPr>
        <w:t xml:space="preserve"> </w:t>
      </w:r>
      <w:r>
        <w:rPr>
          <w:rFonts w:ascii="Palatino Linotype" w:hAnsi="Palatino Linotype"/>
          <w:i/>
          <w:sz w:val="22"/>
          <w:szCs w:val="22"/>
        </w:rPr>
        <w:t>todo</w:t>
      </w:r>
      <w:r>
        <w:rPr>
          <w:rFonts w:ascii="Palatino Linotype" w:hAnsi="Palatino Linotype"/>
          <w:i/>
        </w:rPr>
        <w:t xml:space="preserve"> </w:t>
      </w:r>
      <w:r>
        <w:rPr>
          <w:rFonts w:ascii="Palatino Linotype" w:hAnsi="Palatino Linotype"/>
          <w:i/>
          <w:sz w:val="22"/>
          <w:szCs w:val="22"/>
        </w:rPr>
        <w:t>acto</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derive</w:t>
      </w:r>
      <w:r>
        <w:rPr>
          <w:rFonts w:ascii="Palatino Linotype" w:hAnsi="Palatino Linotype"/>
          <w:i/>
        </w:rPr>
        <w:t xml:space="preserve"> </w:t>
      </w:r>
      <w:r>
        <w:rPr>
          <w:rFonts w:ascii="Palatino Linotype" w:hAnsi="Palatino Linotype"/>
          <w:i/>
          <w:sz w:val="22"/>
          <w:szCs w:val="22"/>
        </w:rPr>
        <w:t>del</w:t>
      </w:r>
      <w:r>
        <w:rPr>
          <w:rFonts w:ascii="Palatino Linotype" w:hAnsi="Palatino Linotype"/>
          <w:i/>
        </w:rPr>
        <w:t xml:space="preserve"> </w:t>
      </w:r>
      <w:r>
        <w:rPr>
          <w:rFonts w:ascii="Palatino Linotype" w:hAnsi="Palatino Linotype"/>
          <w:i/>
          <w:sz w:val="22"/>
          <w:szCs w:val="22"/>
        </w:rPr>
        <w:t>ejercicio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sus</w:t>
      </w:r>
      <w:r>
        <w:rPr>
          <w:rFonts w:ascii="Palatino Linotype" w:hAnsi="Palatino Linotype"/>
          <w:i/>
        </w:rPr>
        <w:t xml:space="preserve"> </w:t>
      </w:r>
      <w:r>
        <w:rPr>
          <w:rFonts w:ascii="Palatino Linotype" w:hAnsi="Palatino Linotype"/>
          <w:i/>
          <w:sz w:val="22"/>
          <w:szCs w:val="22"/>
        </w:rPr>
        <w:t>facultades,</w:t>
      </w:r>
      <w:r>
        <w:rPr>
          <w:rFonts w:ascii="Palatino Linotype" w:hAnsi="Palatino Linotype"/>
          <w:i/>
        </w:rPr>
        <w:t xml:space="preserve"> </w:t>
      </w:r>
      <w:r>
        <w:rPr>
          <w:rFonts w:ascii="Palatino Linotype" w:hAnsi="Palatino Linotype"/>
          <w:i/>
          <w:sz w:val="22"/>
          <w:szCs w:val="22"/>
        </w:rPr>
        <w:t>competencias</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funciones,</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ley</w:t>
      </w:r>
      <w:r>
        <w:rPr>
          <w:rFonts w:ascii="Palatino Linotype" w:hAnsi="Palatino Linotype"/>
          <w:i/>
        </w:rPr>
        <w:t xml:space="preserve"> </w:t>
      </w:r>
      <w:r>
        <w:rPr>
          <w:rFonts w:ascii="Palatino Linotype" w:hAnsi="Palatino Linotype"/>
          <w:i/>
          <w:sz w:val="22"/>
          <w:szCs w:val="22"/>
        </w:rPr>
        <w:t>determinará</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supuestos</w:t>
      </w:r>
      <w:r>
        <w:rPr>
          <w:rFonts w:ascii="Palatino Linotype" w:hAnsi="Palatino Linotype"/>
          <w:i/>
        </w:rPr>
        <w:t xml:space="preserve"> </w:t>
      </w:r>
      <w:r>
        <w:rPr>
          <w:rFonts w:ascii="Palatino Linotype" w:hAnsi="Palatino Linotype"/>
          <w:i/>
          <w:sz w:val="22"/>
          <w:szCs w:val="22"/>
        </w:rPr>
        <w:t>específicos</w:t>
      </w:r>
      <w:r>
        <w:rPr>
          <w:rFonts w:ascii="Palatino Linotype" w:hAnsi="Palatino Linotype"/>
          <w:i/>
        </w:rPr>
        <w:t xml:space="preserve"> </w:t>
      </w:r>
      <w:r>
        <w:rPr>
          <w:rFonts w:ascii="Palatino Linotype" w:hAnsi="Palatino Linotype"/>
          <w:i/>
          <w:sz w:val="22"/>
          <w:szCs w:val="22"/>
        </w:rPr>
        <w:t>bajo</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cuales</w:t>
      </w:r>
      <w:r>
        <w:rPr>
          <w:rFonts w:ascii="Palatino Linotype" w:hAnsi="Palatino Linotype"/>
          <w:i/>
        </w:rPr>
        <w:t xml:space="preserve"> </w:t>
      </w:r>
      <w:r>
        <w:rPr>
          <w:rFonts w:ascii="Palatino Linotype" w:hAnsi="Palatino Linotype"/>
          <w:i/>
          <w:sz w:val="22"/>
          <w:szCs w:val="22"/>
        </w:rPr>
        <w:t>procederá</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declaración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inexistencia</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II.</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referente</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intimidad</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vida</w:t>
      </w:r>
      <w:r>
        <w:rPr>
          <w:rFonts w:ascii="Palatino Linotype" w:hAnsi="Palatino Linotype"/>
          <w:i/>
        </w:rPr>
        <w:t xml:space="preserve"> </w:t>
      </w:r>
      <w:r>
        <w:rPr>
          <w:rFonts w:ascii="Palatino Linotype" w:hAnsi="Palatino Linotype"/>
          <w:i/>
          <w:sz w:val="22"/>
          <w:szCs w:val="22"/>
        </w:rPr>
        <w:t>privada</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imagen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personas</w:t>
      </w:r>
      <w:r>
        <w:rPr>
          <w:rFonts w:ascii="Palatino Linotype" w:hAnsi="Palatino Linotype"/>
          <w:i/>
        </w:rPr>
        <w:t xml:space="preserve"> </w:t>
      </w:r>
      <w:r>
        <w:rPr>
          <w:rFonts w:ascii="Palatino Linotype" w:hAnsi="Palatino Linotype"/>
          <w:i/>
          <w:sz w:val="22"/>
          <w:szCs w:val="22"/>
        </w:rPr>
        <w:t>será</w:t>
      </w:r>
      <w:r>
        <w:rPr>
          <w:rFonts w:ascii="Palatino Linotype" w:hAnsi="Palatino Linotype"/>
          <w:i/>
        </w:rPr>
        <w:t xml:space="preserve"> </w:t>
      </w:r>
      <w:r>
        <w:rPr>
          <w:rFonts w:ascii="Palatino Linotype" w:hAnsi="Palatino Linotype"/>
          <w:i/>
          <w:sz w:val="22"/>
          <w:szCs w:val="22"/>
        </w:rPr>
        <w:t>protegida</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través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un</w:t>
      </w:r>
      <w:r>
        <w:rPr>
          <w:rFonts w:ascii="Palatino Linotype" w:hAnsi="Palatino Linotype"/>
          <w:i/>
        </w:rPr>
        <w:t xml:space="preserve"> </w:t>
      </w:r>
      <w:r>
        <w:rPr>
          <w:rFonts w:ascii="Palatino Linotype" w:hAnsi="Palatino Linotype"/>
          <w:i/>
          <w:sz w:val="22"/>
          <w:szCs w:val="22"/>
        </w:rPr>
        <w:t>marco</w:t>
      </w:r>
      <w:r>
        <w:rPr>
          <w:rFonts w:ascii="Palatino Linotype" w:hAnsi="Palatino Linotype"/>
          <w:i/>
        </w:rPr>
        <w:t xml:space="preserve"> </w:t>
      </w:r>
      <w:r>
        <w:rPr>
          <w:rFonts w:ascii="Palatino Linotype" w:hAnsi="Palatino Linotype"/>
          <w:i/>
          <w:sz w:val="22"/>
          <w:szCs w:val="22"/>
        </w:rPr>
        <w:t>jurídico</w:t>
      </w:r>
      <w:r>
        <w:rPr>
          <w:rFonts w:ascii="Palatino Linotype" w:hAnsi="Palatino Linotype"/>
          <w:i/>
        </w:rPr>
        <w:t xml:space="preserve"> </w:t>
      </w:r>
      <w:r>
        <w:rPr>
          <w:rFonts w:ascii="Palatino Linotype" w:hAnsi="Palatino Linotype"/>
          <w:i/>
          <w:sz w:val="22"/>
          <w:szCs w:val="22"/>
        </w:rPr>
        <w:t>rígido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tratamiento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manejo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datos</w:t>
      </w:r>
      <w:r>
        <w:rPr>
          <w:rFonts w:ascii="Palatino Linotype" w:hAnsi="Palatino Linotype"/>
          <w:i/>
        </w:rPr>
        <w:t xml:space="preserve"> </w:t>
      </w:r>
      <w:r>
        <w:rPr>
          <w:rFonts w:ascii="Palatino Linotype" w:hAnsi="Palatino Linotype"/>
          <w:i/>
          <w:sz w:val="22"/>
          <w:szCs w:val="22"/>
        </w:rPr>
        <w:t>personales,</w:t>
      </w:r>
      <w:r>
        <w:rPr>
          <w:rFonts w:ascii="Palatino Linotype" w:hAnsi="Palatino Linotype"/>
          <w:i/>
        </w:rPr>
        <w:t xml:space="preserve"> </w:t>
      </w:r>
      <w:r>
        <w:rPr>
          <w:rFonts w:ascii="Palatino Linotype" w:hAnsi="Palatino Linotype"/>
          <w:i/>
          <w:sz w:val="22"/>
          <w:szCs w:val="22"/>
        </w:rPr>
        <w:t>con</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excepciones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establezca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ley</w:t>
      </w:r>
      <w:r>
        <w:rPr>
          <w:rFonts w:ascii="Palatino Linotype" w:hAnsi="Palatino Linotype"/>
          <w:i/>
        </w:rPr>
        <w:t xml:space="preserve"> </w:t>
      </w:r>
      <w:r>
        <w:rPr>
          <w:rFonts w:ascii="Palatino Linotype" w:hAnsi="Palatino Linotype"/>
          <w:i/>
          <w:sz w:val="22"/>
          <w:szCs w:val="22"/>
        </w:rPr>
        <w:t>reglamentaria.</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III.</w:t>
      </w:r>
      <w:r>
        <w:rPr>
          <w:rFonts w:ascii="Palatino Linotype" w:hAnsi="Palatino Linotype"/>
          <w:i/>
        </w:rPr>
        <w:t xml:space="preserve"> </w:t>
      </w:r>
      <w:r>
        <w:rPr>
          <w:rFonts w:ascii="Palatino Linotype" w:hAnsi="Palatino Linotype"/>
          <w:i/>
          <w:sz w:val="22"/>
          <w:szCs w:val="22"/>
        </w:rPr>
        <w:t>Toda</w:t>
      </w:r>
      <w:r>
        <w:rPr>
          <w:rFonts w:ascii="Palatino Linotype" w:hAnsi="Palatino Linotype"/>
          <w:i/>
        </w:rPr>
        <w:t xml:space="preserve"> </w:t>
      </w:r>
      <w:r>
        <w:rPr>
          <w:rFonts w:ascii="Palatino Linotype" w:hAnsi="Palatino Linotype"/>
          <w:i/>
          <w:sz w:val="22"/>
          <w:szCs w:val="22"/>
        </w:rPr>
        <w:t>persona,</w:t>
      </w:r>
      <w:r>
        <w:rPr>
          <w:rFonts w:ascii="Palatino Linotype" w:hAnsi="Palatino Linotype"/>
          <w:i/>
        </w:rPr>
        <w:t xml:space="preserve"> </w:t>
      </w:r>
      <w:r>
        <w:rPr>
          <w:rFonts w:ascii="Palatino Linotype" w:hAnsi="Palatino Linotype"/>
          <w:i/>
          <w:sz w:val="22"/>
          <w:szCs w:val="22"/>
        </w:rPr>
        <w:t>sin</w:t>
      </w:r>
      <w:r>
        <w:rPr>
          <w:rFonts w:ascii="Palatino Linotype" w:hAnsi="Palatino Linotype"/>
          <w:i/>
        </w:rPr>
        <w:t xml:space="preserve"> </w:t>
      </w:r>
      <w:r>
        <w:rPr>
          <w:rFonts w:ascii="Palatino Linotype" w:hAnsi="Palatino Linotype"/>
          <w:i/>
          <w:sz w:val="22"/>
          <w:szCs w:val="22"/>
        </w:rPr>
        <w:t>necesidad</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acreditar</w:t>
      </w:r>
      <w:r>
        <w:rPr>
          <w:rFonts w:ascii="Palatino Linotype" w:hAnsi="Palatino Linotype"/>
          <w:i/>
        </w:rPr>
        <w:t xml:space="preserve"> </w:t>
      </w:r>
      <w:r>
        <w:rPr>
          <w:rFonts w:ascii="Palatino Linotype" w:hAnsi="Palatino Linotype"/>
          <w:i/>
          <w:sz w:val="22"/>
          <w:szCs w:val="22"/>
        </w:rPr>
        <w:t>interés</w:t>
      </w:r>
      <w:r>
        <w:rPr>
          <w:rFonts w:ascii="Palatino Linotype" w:hAnsi="Palatino Linotype"/>
          <w:i/>
        </w:rPr>
        <w:t xml:space="preserve"> </w:t>
      </w:r>
      <w:r>
        <w:rPr>
          <w:rFonts w:ascii="Palatino Linotype" w:hAnsi="Palatino Linotype"/>
          <w:i/>
          <w:sz w:val="22"/>
          <w:szCs w:val="22"/>
        </w:rPr>
        <w:t>alguno</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justificar</w:t>
      </w:r>
      <w:r>
        <w:rPr>
          <w:rFonts w:ascii="Palatino Linotype" w:hAnsi="Palatino Linotype"/>
          <w:i/>
        </w:rPr>
        <w:t xml:space="preserve"> </w:t>
      </w:r>
      <w:r>
        <w:rPr>
          <w:rFonts w:ascii="Palatino Linotype" w:hAnsi="Palatino Linotype"/>
          <w:i/>
          <w:sz w:val="22"/>
          <w:szCs w:val="22"/>
        </w:rPr>
        <w:t>su</w:t>
      </w:r>
      <w:r>
        <w:rPr>
          <w:rFonts w:ascii="Palatino Linotype" w:hAnsi="Palatino Linotype"/>
          <w:i/>
        </w:rPr>
        <w:t xml:space="preserve"> </w:t>
      </w:r>
      <w:r>
        <w:rPr>
          <w:rFonts w:ascii="Palatino Linotype" w:hAnsi="Palatino Linotype"/>
          <w:i/>
          <w:sz w:val="22"/>
          <w:szCs w:val="22"/>
        </w:rPr>
        <w:t>utilización,</w:t>
      </w:r>
      <w:r>
        <w:rPr>
          <w:rFonts w:ascii="Palatino Linotype" w:hAnsi="Palatino Linotype"/>
          <w:i/>
        </w:rPr>
        <w:t xml:space="preserve"> </w:t>
      </w:r>
      <w:r>
        <w:rPr>
          <w:rFonts w:ascii="Palatino Linotype" w:hAnsi="Palatino Linotype"/>
          <w:i/>
          <w:sz w:val="22"/>
          <w:szCs w:val="22"/>
        </w:rPr>
        <w:t>tendrá</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r>
        <w:rPr>
          <w:rFonts w:ascii="Palatino Linotype" w:hAnsi="Palatino Linotype"/>
          <w:i/>
          <w:sz w:val="22"/>
          <w:szCs w:val="22"/>
        </w:rPr>
        <w:t>gratuito</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pública,</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sus</w:t>
      </w:r>
      <w:r>
        <w:rPr>
          <w:rFonts w:ascii="Palatino Linotype" w:hAnsi="Palatino Linotype"/>
          <w:i/>
        </w:rPr>
        <w:t xml:space="preserve"> </w:t>
      </w:r>
      <w:r>
        <w:rPr>
          <w:rFonts w:ascii="Palatino Linotype" w:hAnsi="Palatino Linotype"/>
          <w:i/>
          <w:sz w:val="22"/>
          <w:szCs w:val="22"/>
        </w:rPr>
        <w:t>datos</w:t>
      </w:r>
      <w:r>
        <w:rPr>
          <w:rFonts w:ascii="Palatino Linotype" w:hAnsi="Palatino Linotype"/>
          <w:i/>
        </w:rPr>
        <w:t xml:space="preserve"> </w:t>
      </w:r>
      <w:r>
        <w:rPr>
          <w:rFonts w:ascii="Palatino Linotype" w:hAnsi="Palatino Linotype"/>
          <w:i/>
          <w:sz w:val="22"/>
          <w:szCs w:val="22"/>
        </w:rPr>
        <w:t>personales</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rectificación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éstos.</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IV.</w:t>
      </w:r>
      <w:r>
        <w:rPr>
          <w:rFonts w:ascii="Palatino Linotype" w:hAnsi="Palatino Linotype"/>
          <w:i/>
        </w:rPr>
        <w:t xml:space="preserve"> </w:t>
      </w:r>
      <w:r>
        <w:rPr>
          <w:rFonts w:ascii="Palatino Linotype" w:hAnsi="Palatino Linotype"/>
          <w:i/>
          <w:sz w:val="22"/>
          <w:szCs w:val="22"/>
        </w:rPr>
        <w:t>Se</w:t>
      </w:r>
      <w:r>
        <w:rPr>
          <w:rFonts w:ascii="Palatino Linotype" w:hAnsi="Palatino Linotype"/>
          <w:i/>
        </w:rPr>
        <w:t xml:space="preserve"> </w:t>
      </w:r>
      <w:r>
        <w:rPr>
          <w:rFonts w:ascii="Palatino Linotype" w:hAnsi="Palatino Linotype"/>
          <w:i/>
          <w:sz w:val="22"/>
          <w:szCs w:val="22"/>
        </w:rPr>
        <w:t>establecerán</w:t>
      </w:r>
      <w:r>
        <w:rPr>
          <w:rFonts w:ascii="Palatino Linotype" w:hAnsi="Palatino Linotype"/>
          <w:i/>
        </w:rPr>
        <w:t xml:space="preserve"> </w:t>
      </w:r>
      <w:r>
        <w:rPr>
          <w:rFonts w:ascii="Palatino Linotype" w:hAnsi="Palatino Linotype"/>
          <w:i/>
          <w:sz w:val="22"/>
          <w:szCs w:val="22"/>
        </w:rPr>
        <w:t>mecanismos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procedimientos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revisión</w:t>
      </w:r>
      <w:r>
        <w:rPr>
          <w:rFonts w:ascii="Palatino Linotype" w:hAnsi="Palatino Linotype"/>
          <w:i/>
        </w:rPr>
        <w:t xml:space="preserve"> </w:t>
      </w:r>
      <w:r>
        <w:rPr>
          <w:rFonts w:ascii="Palatino Linotype" w:hAnsi="Palatino Linotype"/>
          <w:i/>
          <w:sz w:val="22"/>
          <w:szCs w:val="22"/>
        </w:rPr>
        <w:t>expeditos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se</w:t>
      </w:r>
      <w:r>
        <w:rPr>
          <w:rFonts w:ascii="Palatino Linotype" w:hAnsi="Palatino Linotype"/>
          <w:i/>
        </w:rPr>
        <w:t xml:space="preserve"> </w:t>
      </w:r>
      <w:r>
        <w:rPr>
          <w:rFonts w:ascii="Palatino Linotype" w:hAnsi="Palatino Linotype"/>
          <w:i/>
          <w:sz w:val="22"/>
          <w:szCs w:val="22"/>
        </w:rPr>
        <w:t>sustanciarán</w:t>
      </w:r>
      <w:r>
        <w:rPr>
          <w:rFonts w:ascii="Palatino Linotype" w:hAnsi="Palatino Linotype"/>
          <w:i/>
        </w:rPr>
        <w:t xml:space="preserve"> </w:t>
      </w:r>
      <w:r>
        <w:rPr>
          <w:rFonts w:ascii="Palatino Linotype" w:hAnsi="Palatino Linotype"/>
          <w:i/>
          <w:sz w:val="22"/>
          <w:szCs w:val="22"/>
        </w:rPr>
        <w:t>ante</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organismo</w:t>
      </w:r>
      <w:r>
        <w:rPr>
          <w:rFonts w:ascii="Palatino Linotype" w:hAnsi="Palatino Linotype"/>
          <w:i/>
        </w:rPr>
        <w:t xml:space="preserve"> </w:t>
      </w:r>
      <w:r>
        <w:rPr>
          <w:rFonts w:ascii="Palatino Linotype" w:hAnsi="Palatino Linotype"/>
          <w:i/>
          <w:sz w:val="22"/>
          <w:szCs w:val="22"/>
        </w:rPr>
        <w:t>autónomo</w:t>
      </w:r>
      <w:r>
        <w:rPr>
          <w:rFonts w:ascii="Palatino Linotype" w:hAnsi="Palatino Linotype"/>
          <w:i/>
        </w:rPr>
        <w:t xml:space="preserve"> </w:t>
      </w:r>
      <w:r>
        <w:rPr>
          <w:rFonts w:ascii="Palatino Linotype" w:hAnsi="Palatino Linotype"/>
          <w:i/>
          <w:sz w:val="22"/>
          <w:szCs w:val="22"/>
        </w:rPr>
        <w:t>especializado</w:t>
      </w:r>
      <w:r>
        <w:rPr>
          <w:rFonts w:ascii="Palatino Linotype" w:hAnsi="Palatino Linotype"/>
          <w:i/>
        </w:rPr>
        <w:t xml:space="preserve"> </w:t>
      </w:r>
      <w:r>
        <w:rPr>
          <w:rFonts w:ascii="Palatino Linotype" w:hAnsi="Palatino Linotype"/>
          <w:i/>
          <w:sz w:val="22"/>
          <w:szCs w:val="22"/>
        </w:rPr>
        <w:t>e</w:t>
      </w:r>
      <w:r>
        <w:rPr>
          <w:rFonts w:ascii="Palatino Linotype" w:hAnsi="Palatino Linotype"/>
          <w:i/>
        </w:rPr>
        <w:t xml:space="preserve"> </w:t>
      </w:r>
      <w:r>
        <w:rPr>
          <w:rFonts w:ascii="Palatino Linotype" w:hAnsi="Palatino Linotype"/>
          <w:i/>
          <w:sz w:val="22"/>
          <w:szCs w:val="22"/>
        </w:rPr>
        <w:t>imparcial</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establece</w:t>
      </w:r>
      <w:r>
        <w:rPr>
          <w:rFonts w:ascii="Palatino Linotype" w:hAnsi="Palatino Linotype"/>
          <w:i/>
        </w:rPr>
        <w:t xml:space="preserve"> </w:t>
      </w:r>
      <w:r>
        <w:rPr>
          <w:rFonts w:ascii="Palatino Linotype" w:hAnsi="Palatino Linotype"/>
          <w:i/>
          <w:sz w:val="22"/>
          <w:szCs w:val="22"/>
        </w:rPr>
        <w:t>esta</w:t>
      </w:r>
      <w:r>
        <w:rPr>
          <w:rFonts w:ascii="Palatino Linotype" w:hAnsi="Palatino Linotype"/>
          <w:i/>
        </w:rPr>
        <w:t xml:space="preserve"> </w:t>
      </w:r>
      <w:r>
        <w:rPr>
          <w:rFonts w:ascii="Palatino Linotype" w:hAnsi="Palatino Linotype"/>
          <w:i/>
          <w:sz w:val="22"/>
          <w:szCs w:val="22"/>
        </w:rPr>
        <w:t>Constitución.</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V.</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procedimientos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pública,</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acceso,</w:t>
      </w:r>
      <w:r>
        <w:rPr>
          <w:rFonts w:ascii="Palatino Linotype" w:hAnsi="Palatino Linotype"/>
          <w:i/>
        </w:rPr>
        <w:t xml:space="preserve"> </w:t>
      </w:r>
      <w:r>
        <w:rPr>
          <w:rFonts w:ascii="Palatino Linotype" w:hAnsi="Palatino Linotype"/>
          <w:i/>
          <w:sz w:val="22"/>
          <w:szCs w:val="22"/>
        </w:rPr>
        <w:t>corrección</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supresión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datos</w:t>
      </w:r>
      <w:r>
        <w:rPr>
          <w:rFonts w:ascii="Palatino Linotype" w:hAnsi="Palatino Linotype"/>
          <w:i/>
        </w:rPr>
        <w:t xml:space="preserve"> </w:t>
      </w:r>
      <w:r>
        <w:rPr>
          <w:rFonts w:ascii="Palatino Linotype" w:hAnsi="Palatino Linotype"/>
          <w:i/>
          <w:sz w:val="22"/>
          <w:szCs w:val="22"/>
        </w:rPr>
        <w:t>personales,</w:t>
      </w:r>
      <w:r>
        <w:rPr>
          <w:rFonts w:ascii="Palatino Linotype" w:hAnsi="Palatino Linotype"/>
          <w:i/>
        </w:rPr>
        <w:t xml:space="preserve"> </w:t>
      </w:r>
      <w:r>
        <w:rPr>
          <w:rFonts w:ascii="Palatino Linotype" w:hAnsi="Palatino Linotype"/>
          <w:i/>
          <w:sz w:val="22"/>
          <w:szCs w:val="22"/>
        </w:rPr>
        <w:t>así</w:t>
      </w:r>
      <w:r>
        <w:rPr>
          <w:rFonts w:ascii="Palatino Linotype" w:hAnsi="Palatino Linotype"/>
          <w:i/>
        </w:rPr>
        <w:t xml:space="preserve"> </w:t>
      </w:r>
      <w:r>
        <w:rPr>
          <w:rFonts w:ascii="Palatino Linotype" w:hAnsi="Palatino Linotype"/>
          <w:i/>
          <w:sz w:val="22"/>
          <w:szCs w:val="22"/>
        </w:rPr>
        <w:t>como</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revisión</w:t>
      </w:r>
      <w:r>
        <w:rPr>
          <w:rFonts w:ascii="Palatino Linotype" w:hAnsi="Palatino Linotype"/>
          <w:i/>
        </w:rPr>
        <w:t xml:space="preserve"> </w:t>
      </w:r>
      <w:r>
        <w:rPr>
          <w:rFonts w:ascii="Palatino Linotype" w:hAnsi="Palatino Linotype"/>
          <w:i/>
          <w:sz w:val="22"/>
          <w:szCs w:val="22"/>
        </w:rPr>
        <w:t>derivados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mismos,</w:t>
      </w:r>
      <w:r>
        <w:rPr>
          <w:rFonts w:ascii="Palatino Linotype" w:hAnsi="Palatino Linotype"/>
          <w:i/>
        </w:rPr>
        <w:t xml:space="preserve"> </w:t>
      </w:r>
      <w:r>
        <w:rPr>
          <w:rFonts w:ascii="Palatino Linotype" w:hAnsi="Palatino Linotype"/>
          <w:i/>
          <w:sz w:val="22"/>
          <w:szCs w:val="22"/>
        </w:rPr>
        <w:t>podrán</w:t>
      </w:r>
      <w:r>
        <w:rPr>
          <w:rFonts w:ascii="Palatino Linotype" w:hAnsi="Palatino Linotype"/>
          <w:i/>
        </w:rPr>
        <w:t xml:space="preserve"> </w:t>
      </w:r>
      <w:r>
        <w:rPr>
          <w:rFonts w:ascii="Palatino Linotype" w:hAnsi="Palatino Linotype"/>
          <w:i/>
          <w:sz w:val="22"/>
          <w:szCs w:val="22"/>
        </w:rPr>
        <w:t>tramitarse</w:t>
      </w:r>
      <w:r>
        <w:rPr>
          <w:rFonts w:ascii="Palatino Linotype" w:hAnsi="Palatino Linotype"/>
          <w:i/>
        </w:rPr>
        <w:t xml:space="preserve"> </w:t>
      </w:r>
      <w:r>
        <w:rPr>
          <w:rFonts w:ascii="Palatino Linotype" w:hAnsi="Palatino Linotype"/>
          <w:i/>
          <w:sz w:val="22"/>
          <w:szCs w:val="22"/>
        </w:rPr>
        <w:t>por</w:t>
      </w:r>
      <w:r>
        <w:rPr>
          <w:rFonts w:ascii="Palatino Linotype" w:hAnsi="Palatino Linotype"/>
          <w:i/>
        </w:rPr>
        <w:t xml:space="preserve"> </w:t>
      </w:r>
      <w:r>
        <w:rPr>
          <w:rFonts w:ascii="Palatino Linotype" w:hAnsi="Palatino Linotype"/>
          <w:i/>
          <w:sz w:val="22"/>
          <w:szCs w:val="22"/>
        </w:rPr>
        <w:t>medios</w:t>
      </w:r>
      <w:r>
        <w:rPr>
          <w:rFonts w:ascii="Palatino Linotype" w:hAnsi="Palatino Linotype"/>
          <w:i/>
        </w:rPr>
        <w:t xml:space="preserve"> </w:t>
      </w:r>
      <w:r>
        <w:rPr>
          <w:rFonts w:ascii="Palatino Linotype" w:hAnsi="Palatino Linotype"/>
          <w:i/>
          <w:sz w:val="22"/>
          <w:szCs w:val="22"/>
        </w:rPr>
        <w:t>electrónicos,</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través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un</w:t>
      </w:r>
      <w:r>
        <w:rPr>
          <w:rFonts w:ascii="Palatino Linotype" w:hAnsi="Palatino Linotype"/>
          <w:i/>
        </w:rPr>
        <w:t xml:space="preserve"> </w:t>
      </w:r>
      <w:r>
        <w:rPr>
          <w:rFonts w:ascii="Palatino Linotype" w:hAnsi="Palatino Linotype"/>
          <w:i/>
          <w:sz w:val="22"/>
          <w:szCs w:val="22"/>
        </w:rPr>
        <w:t>sistema</w:t>
      </w:r>
      <w:r>
        <w:rPr>
          <w:rFonts w:ascii="Palatino Linotype" w:hAnsi="Palatino Linotype"/>
          <w:i/>
        </w:rPr>
        <w:t xml:space="preserve"> </w:t>
      </w:r>
      <w:r>
        <w:rPr>
          <w:rFonts w:ascii="Palatino Linotype" w:hAnsi="Palatino Linotype"/>
          <w:i/>
          <w:sz w:val="22"/>
          <w:szCs w:val="22"/>
        </w:rPr>
        <w:lastRenderedPageBreak/>
        <w:t>automatizado</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para</w:t>
      </w:r>
      <w:r>
        <w:rPr>
          <w:rFonts w:ascii="Palatino Linotype" w:hAnsi="Palatino Linotype"/>
          <w:i/>
        </w:rPr>
        <w:t xml:space="preserve"> </w:t>
      </w:r>
      <w:r>
        <w:rPr>
          <w:rFonts w:ascii="Palatino Linotype" w:hAnsi="Palatino Linotype"/>
          <w:i/>
          <w:sz w:val="22"/>
          <w:szCs w:val="22"/>
        </w:rPr>
        <w:t>tal</w:t>
      </w:r>
      <w:r>
        <w:rPr>
          <w:rFonts w:ascii="Palatino Linotype" w:hAnsi="Palatino Linotype"/>
          <w:i/>
        </w:rPr>
        <w:t xml:space="preserve"> </w:t>
      </w:r>
      <w:r>
        <w:rPr>
          <w:rFonts w:ascii="Palatino Linotype" w:hAnsi="Palatino Linotype"/>
          <w:i/>
          <w:sz w:val="22"/>
          <w:szCs w:val="22"/>
        </w:rPr>
        <w:t>efecto</w:t>
      </w:r>
      <w:r>
        <w:rPr>
          <w:rFonts w:ascii="Palatino Linotype" w:hAnsi="Palatino Linotype"/>
          <w:i/>
        </w:rPr>
        <w:t xml:space="preserve"> </w:t>
      </w:r>
      <w:r>
        <w:rPr>
          <w:rFonts w:ascii="Palatino Linotype" w:hAnsi="Palatino Linotype"/>
          <w:i/>
          <w:sz w:val="22"/>
          <w:szCs w:val="22"/>
        </w:rPr>
        <w:t>establezca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ley</w:t>
      </w:r>
      <w:r>
        <w:rPr>
          <w:rFonts w:ascii="Palatino Linotype" w:hAnsi="Palatino Linotype"/>
          <w:i/>
        </w:rPr>
        <w:t xml:space="preserve"> </w:t>
      </w:r>
      <w:r>
        <w:rPr>
          <w:rFonts w:ascii="Palatino Linotype" w:hAnsi="Palatino Linotype"/>
          <w:i/>
          <w:sz w:val="22"/>
          <w:szCs w:val="22"/>
        </w:rPr>
        <w:t>reglamentaria</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organismo</w:t>
      </w:r>
      <w:r>
        <w:rPr>
          <w:rFonts w:ascii="Palatino Linotype" w:hAnsi="Palatino Linotype"/>
          <w:i/>
        </w:rPr>
        <w:t xml:space="preserve"> </w:t>
      </w:r>
      <w:r>
        <w:rPr>
          <w:rFonts w:ascii="Palatino Linotype" w:hAnsi="Palatino Linotype"/>
          <w:i/>
          <w:sz w:val="22"/>
          <w:szCs w:val="22"/>
        </w:rPr>
        <w:t>autónomo</w:t>
      </w:r>
      <w:r>
        <w:rPr>
          <w:rFonts w:ascii="Palatino Linotype" w:hAnsi="Palatino Linotype"/>
          <w:i/>
        </w:rPr>
        <w:t xml:space="preserve"> </w:t>
      </w:r>
      <w:r>
        <w:rPr>
          <w:rFonts w:ascii="Palatino Linotype" w:hAnsi="Palatino Linotype"/>
          <w:i/>
          <w:sz w:val="22"/>
          <w:szCs w:val="22"/>
        </w:rPr>
        <w:t>garante</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ámbito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su</w:t>
      </w:r>
      <w:r>
        <w:rPr>
          <w:rFonts w:ascii="Palatino Linotype" w:hAnsi="Palatino Linotype"/>
          <w:i/>
        </w:rPr>
        <w:t xml:space="preserve"> </w:t>
      </w:r>
      <w:r>
        <w:rPr>
          <w:rFonts w:ascii="Palatino Linotype" w:hAnsi="Palatino Linotype"/>
          <w:i/>
          <w:sz w:val="22"/>
          <w:szCs w:val="22"/>
        </w:rPr>
        <w:t>competencia.</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resoluciones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correspondan</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estos</w:t>
      </w:r>
      <w:r>
        <w:rPr>
          <w:rFonts w:ascii="Palatino Linotype" w:hAnsi="Palatino Linotype"/>
          <w:i/>
        </w:rPr>
        <w:t xml:space="preserve"> </w:t>
      </w:r>
      <w:r>
        <w:rPr>
          <w:rFonts w:ascii="Palatino Linotype" w:hAnsi="Palatino Linotype"/>
          <w:i/>
          <w:sz w:val="22"/>
          <w:szCs w:val="22"/>
        </w:rPr>
        <w:t>procedimientos</w:t>
      </w:r>
      <w:r>
        <w:rPr>
          <w:rFonts w:ascii="Palatino Linotype" w:hAnsi="Palatino Linotype"/>
          <w:i/>
        </w:rPr>
        <w:t xml:space="preserve"> </w:t>
      </w:r>
      <w:r>
        <w:rPr>
          <w:rFonts w:ascii="Palatino Linotype" w:hAnsi="Palatino Linotype"/>
          <w:i/>
          <w:sz w:val="22"/>
          <w:szCs w:val="22"/>
        </w:rPr>
        <w:t>se</w:t>
      </w:r>
      <w:r>
        <w:rPr>
          <w:rFonts w:ascii="Palatino Linotype" w:hAnsi="Palatino Linotype"/>
          <w:i/>
        </w:rPr>
        <w:t xml:space="preserve"> </w:t>
      </w:r>
      <w:r>
        <w:rPr>
          <w:rFonts w:ascii="Palatino Linotype" w:hAnsi="Palatino Linotype"/>
          <w:i/>
          <w:sz w:val="22"/>
          <w:szCs w:val="22"/>
        </w:rPr>
        <w:t>sistematizarán</w:t>
      </w:r>
      <w:r>
        <w:rPr>
          <w:rFonts w:ascii="Palatino Linotype" w:hAnsi="Palatino Linotype"/>
          <w:i/>
        </w:rPr>
        <w:t xml:space="preserve"> </w:t>
      </w:r>
      <w:r>
        <w:rPr>
          <w:rFonts w:ascii="Palatino Linotype" w:hAnsi="Palatino Linotype"/>
          <w:i/>
          <w:sz w:val="22"/>
          <w:szCs w:val="22"/>
        </w:rPr>
        <w:t>para</w:t>
      </w:r>
      <w:r>
        <w:rPr>
          <w:rFonts w:ascii="Palatino Linotype" w:hAnsi="Palatino Linotype"/>
          <w:i/>
        </w:rPr>
        <w:t xml:space="preserve"> </w:t>
      </w:r>
      <w:r>
        <w:rPr>
          <w:rFonts w:ascii="Palatino Linotype" w:hAnsi="Palatino Linotype"/>
          <w:i/>
          <w:sz w:val="22"/>
          <w:szCs w:val="22"/>
        </w:rPr>
        <w:t>favorecer</w:t>
      </w:r>
      <w:r>
        <w:rPr>
          <w:rFonts w:ascii="Palatino Linotype" w:hAnsi="Palatino Linotype"/>
          <w:i/>
        </w:rPr>
        <w:t xml:space="preserve"> </w:t>
      </w:r>
      <w:r>
        <w:rPr>
          <w:rFonts w:ascii="Palatino Linotype" w:hAnsi="Palatino Linotype"/>
          <w:i/>
          <w:sz w:val="22"/>
          <w:szCs w:val="22"/>
        </w:rPr>
        <w:t>su</w:t>
      </w:r>
      <w:r>
        <w:rPr>
          <w:rFonts w:ascii="Palatino Linotype" w:hAnsi="Palatino Linotype"/>
          <w:i/>
        </w:rPr>
        <w:t xml:space="preserve"> </w:t>
      </w:r>
      <w:r>
        <w:rPr>
          <w:rFonts w:ascii="Palatino Linotype" w:hAnsi="Palatino Linotype"/>
          <w:i/>
          <w:sz w:val="22"/>
          <w:szCs w:val="22"/>
        </w:rPr>
        <w:t>consulta.</w:t>
      </w:r>
    </w:p>
    <w:p w:rsidR="005A6B36" w:rsidRDefault="0049607E">
      <w:pPr>
        <w:ind w:left="851" w:right="902"/>
        <w:jc w:val="both"/>
        <w:rPr>
          <w:rFonts w:ascii="Palatino Linotype" w:hAnsi="Palatino Linotype"/>
          <w:i/>
          <w:sz w:val="22"/>
          <w:szCs w:val="22"/>
        </w:rPr>
      </w:pPr>
      <w:r>
        <w:rPr>
          <w:rFonts w:ascii="Palatino Linotype" w:hAnsi="Palatino Linotype"/>
          <w:b/>
          <w:i/>
          <w:sz w:val="22"/>
          <w:szCs w:val="22"/>
        </w:rPr>
        <w:t>VI.</w:t>
      </w:r>
      <w:r>
        <w:rPr>
          <w:rFonts w:ascii="Palatino Linotype" w:hAnsi="Palatino Linotype"/>
          <w:b/>
          <w:i/>
        </w:rPr>
        <w:t xml:space="preserve"> </w:t>
      </w:r>
      <w:r>
        <w:rPr>
          <w:rFonts w:ascii="Palatino Linotype" w:hAnsi="Palatino Linotype"/>
          <w:b/>
          <w:i/>
          <w:sz w:val="22"/>
          <w:szCs w:val="22"/>
        </w:rPr>
        <w:t>Los</w:t>
      </w:r>
      <w:r>
        <w:rPr>
          <w:rFonts w:ascii="Palatino Linotype" w:hAnsi="Palatino Linotype"/>
          <w:b/>
          <w:i/>
        </w:rPr>
        <w:t xml:space="preserve"> </w:t>
      </w:r>
      <w:r>
        <w:rPr>
          <w:rFonts w:ascii="Palatino Linotype" w:hAnsi="Palatino Linotype"/>
          <w:b/>
          <w:i/>
          <w:sz w:val="22"/>
          <w:szCs w:val="22"/>
        </w:rPr>
        <w:t>sujetos</w:t>
      </w:r>
      <w:r>
        <w:rPr>
          <w:rFonts w:ascii="Palatino Linotype" w:hAnsi="Palatino Linotype"/>
          <w:b/>
          <w:i/>
        </w:rPr>
        <w:t xml:space="preserve"> </w:t>
      </w:r>
      <w:r>
        <w:rPr>
          <w:rFonts w:ascii="Palatino Linotype" w:hAnsi="Palatino Linotype"/>
          <w:b/>
          <w:i/>
          <w:sz w:val="22"/>
          <w:szCs w:val="22"/>
        </w:rPr>
        <w:t>obligados</w:t>
      </w:r>
      <w:r>
        <w:rPr>
          <w:rFonts w:ascii="Palatino Linotype" w:hAnsi="Palatino Linotype"/>
          <w:b/>
          <w:i/>
        </w:rPr>
        <w:t xml:space="preserve"> </w:t>
      </w:r>
      <w:r>
        <w:rPr>
          <w:rFonts w:ascii="Palatino Linotype" w:hAnsi="Palatino Linotype"/>
          <w:b/>
          <w:i/>
          <w:sz w:val="22"/>
          <w:szCs w:val="22"/>
        </w:rPr>
        <w:t>deberán</w:t>
      </w:r>
      <w:r>
        <w:rPr>
          <w:rFonts w:ascii="Palatino Linotype" w:hAnsi="Palatino Linotype"/>
          <w:b/>
          <w:i/>
        </w:rPr>
        <w:t xml:space="preserve"> </w:t>
      </w:r>
      <w:r>
        <w:rPr>
          <w:rFonts w:ascii="Palatino Linotype" w:hAnsi="Palatino Linotype"/>
          <w:b/>
          <w:i/>
          <w:sz w:val="22"/>
          <w:szCs w:val="22"/>
        </w:rPr>
        <w:t>preservar</w:t>
      </w:r>
      <w:r>
        <w:rPr>
          <w:rFonts w:ascii="Palatino Linotype" w:hAnsi="Palatino Linotype"/>
          <w:b/>
          <w:i/>
        </w:rPr>
        <w:t xml:space="preserve"> </w:t>
      </w:r>
      <w:r>
        <w:rPr>
          <w:rFonts w:ascii="Palatino Linotype" w:hAnsi="Palatino Linotype"/>
          <w:b/>
          <w:i/>
          <w:sz w:val="22"/>
          <w:szCs w:val="22"/>
        </w:rPr>
        <w:t>sus</w:t>
      </w:r>
      <w:r>
        <w:rPr>
          <w:rFonts w:ascii="Palatino Linotype" w:hAnsi="Palatino Linotype"/>
          <w:b/>
          <w:i/>
        </w:rPr>
        <w:t xml:space="preserve"> </w:t>
      </w:r>
      <w:r>
        <w:rPr>
          <w:rFonts w:ascii="Palatino Linotype" w:hAnsi="Palatino Linotype"/>
          <w:b/>
          <w:i/>
          <w:sz w:val="22"/>
          <w:szCs w:val="22"/>
        </w:rPr>
        <w:t>documentos</w:t>
      </w:r>
      <w:r>
        <w:rPr>
          <w:rFonts w:ascii="Palatino Linotype" w:hAnsi="Palatino Linotype"/>
          <w:b/>
          <w:i/>
        </w:rPr>
        <w:t xml:space="preserve"> </w:t>
      </w:r>
      <w:r>
        <w:rPr>
          <w:rFonts w:ascii="Palatino Linotype" w:hAnsi="Palatino Linotype"/>
          <w:b/>
          <w:i/>
          <w:sz w:val="22"/>
          <w:szCs w:val="22"/>
        </w:rPr>
        <w:t>en</w:t>
      </w:r>
      <w:r>
        <w:rPr>
          <w:rFonts w:ascii="Palatino Linotype" w:hAnsi="Palatino Linotype"/>
          <w:b/>
          <w:i/>
        </w:rPr>
        <w:t xml:space="preserve"> </w:t>
      </w:r>
      <w:r>
        <w:rPr>
          <w:rFonts w:ascii="Palatino Linotype" w:hAnsi="Palatino Linotype"/>
          <w:b/>
          <w:i/>
          <w:sz w:val="22"/>
          <w:szCs w:val="22"/>
        </w:rPr>
        <w:t>archivos</w:t>
      </w:r>
      <w:r>
        <w:rPr>
          <w:rFonts w:ascii="Palatino Linotype" w:hAnsi="Palatino Linotype"/>
          <w:b/>
          <w:i/>
        </w:rPr>
        <w:t xml:space="preserve"> </w:t>
      </w:r>
      <w:r>
        <w:rPr>
          <w:rFonts w:ascii="Palatino Linotype" w:hAnsi="Palatino Linotype"/>
          <w:b/>
          <w:i/>
          <w:sz w:val="22"/>
          <w:szCs w:val="22"/>
        </w:rPr>
        <w:t>administrativos</w:t>
      </w:r>
      <w:r>
        <w:rPr>
          <w:rFonts w:ascii="Palatino Linotype" w:hAnsi="Palatino Linotype"/>
          <w:b/>
          <w:i/>
        </w:rPr>
        <w:t xml:space="preserve"> </w:t>
      </w:r>
      <w:r>
        <w:rPr>
          <w:rFonts w:ascii="Palatino Linotype" w:hAnsi="Palatino Linotype"/>
          <w:b/>
          <w:i/>
          <w:sz w:val="22"/>
          <w:szCs w:val="22"/>
        </w:rPr>
        <w:t>actualizados</w:t>
      </w:r>
      <w:r>
        <w:rPr>
          <w:rFonts w:ascii="Palatino Linotype" w:hAnsi="Palatino Linotype"/>
          <w:b/>
          <w:i/>
        </w:rPr>
        <w:t xml:space="preserve"> </w:t>
      </w:r>
      <w:r>
        <w:rPr>
          <w:rFonts w:ascii="Palatino Linotype" w:hAnsi="Palatino Linotype"/>
          <w:b/>
          <w:i/>
          <w:sz w:val="22"/>
          <w:szCs w:val="22"/>
        </w:rPr>
        <w:t>y</w:t>
      </w:r>
      <w:r>
        <w:rPr>
          <w:rFonts w:ascii="Palatino Linotype" w:hAnsi="Palatino Linotype"/>
          <w:b/>
          <w:i/>
        </w:rPr>
        <w:t xml:space="preserve"> </w:t>
      </w:r>
      <w:r>
        <w:rPr>
          <w:rFonts w:ascii="Palatino Linotype" w:hAnsi="Palatino Linotype"/>
          <w:b/>
          <w:i/>
          <w:sz w:val="22"/>
          <w:szCs w:val="22"/>
        </w:rPr>
        <w:t>publicarán,</w:t>
      </w:r>
      <w:r>
        <w:rPr>
          <w:rFonts w:ascii="Palatino Linotype" w:hAnsi="Palatino Linotype"/>
          <w:b/>
          <w:i/>
        </w:rPr>
        <w:t xml:space="preserve"> </w:t>
      </w:r>
      <w:r>
        <w:rPr>
          <w:rFonts w:ascii="Palatino Linotype" w:hAnsi="Palatino Linotype"/>
          <w:b/>
          <w:i/>
          <w:sz w:val="22"/>
          <w:szCs w:val="22"/>
        </w:rPr>
        <w:t>a</w:t>
      </w:r>
      <w:r>
        <w:rPr>
          <w:rFonts w:ascii="Palatino Linotype" w:hAnsi="Palatino Linotype"/>
          <w:b/>
          <w:i/>
        </w:rPr>
        <w:t xml:space="preserve"> </w:t>
      </w:r>
      <w:r>
        <w:rPr>
          <w:rFonts w:ascii="Palatino Linotype" w:hAnsi="Palatino Linotype"/>
          <w:b/>
          <w:i/>
          <w:sz w:val="22"/>
          <w:szCs w:val="22"/>
        </w:rPr>
        <w:t>través</w:t>
      </w:r>
      <w:r>
        <w:rPr>
          <w:rFonts w:ascii="Palatino Linotype" w:hAnsi="Palatino Linotype"/>
          <w:b/>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los</w:t>
      </w:r>
      <w:r>
        <w:rPr>
          <w:rFonts w:ascii="Palatino Linotype" w:hAnsi="Palatino Linotype"/>
          <w:b/>
          <w:i/>
        </w:rPr>
        <w:t xml:space="preserve"> </w:t>
      </w:r>
      <w:r>
        <w:rPr>
          <w:rFonts w:ascii="Palatino Linotype" w:hAnsi="Palatino Linotype"/>
          <w:b/>
          <w:i/>
          <w:sz w:val="22"/>
          <w:szCs w:val="22"/>
        </w:rPr>
        <w:t>medios</w:t>
      </w:r>
      <w:r>
        <w:rPr>
          <w:rFonts w:ascii="Palatino Linotype" w:hAnsi="Palatino Linotype"/>
          <w:b/>
          <w:i/>
        </w:rPr>
        <w:t xml:space="preserve"> </w:t>
      </w:r>
      <w:r>
        <w:rPr>
          <w:rFonts w:ascii="Palatino Linotype" w:hAnsi="Palatino Linotype"/>
          <w:b/>
          <w:i/>
          <w:sz w:val="22"/>
          <w:szCs w:val="22"/>
        </w:rPr>
        <w:t>electrónicos</w:t>
      </w:r>
      <w:r>
        <w:rPr>
          <w:rFonts w:ascii="Palatino Linotype" w:hAnsi="Palatino Linotype"/>
          <w:b/>
          <w:i/>
        </w:rPr>
        <w:t xml:space="preserve"> </w:t>
      </w:r>
      <w:r>
        <w:rPr>
          <w:rFonts w:ascii="Palatino Linotype" w:hAnsi="Palatino Linotype"/>
          <w:b/>
          <w:i/>
          <w:sz w:val="22"/>
          <w:szCs w:val="22"/>
        </w:rPr>
        <w:t>disponibles,</w:t>
      </w:r>
      <w:r>
        <w:rPr>
          <w:rFonts w:ascii="Palatino Linotype" w:hAnsi="Palatino Linotype"/>
          <w:b/>
          <w:i/>
        </w:rPr>
        <w:t xml:space="preserve"> </w:t>
      </w:r>
      <w:r>
        <w:rPr>
          <w:rFonts w:ascii="Palatino Linotype" w:hAnsi="Palatino Linotype"/>
          <w:b/>
          <w:i/>
          <w:sz w:val="22"/>
          <w:szCs w:val="22"/>
        </w:rPr>
        <w:t>la</w:t>
      </w:r>
      <w:r>
        <w:rPr>
          <w:rFonts w:ascii="Palatino Linotype" w:hAnsi="Palatino Linotype"/>
          <w:b/>
          <w:i/>
        </w:rPr>
        <w:t xml:space="preserve"> </w:t>
      </w:r>
      <w:r>
        <w:rPr>
          <w:rFonts w:ascii="Palatino Linotype" w:hAnsi="Palatino Linotype"/>
          <w:b/>
          <w:i/>
          <w:sz w:val="22"/>
          <w:szCs w:val="22"/>
        </w:rPr>
        <w:t>información</w:t>
      </w:r>
      <w:r>
        <w:rPr>
          <w:rFonts w:ascii="Palatino Linotype" w:hAnsi="Palatino Linotype"/>
          <w:b/>
          <w:i/>
        </w:rPr>
        <w:t xml:space="preserve"> </w:t>
      </w:r>
      <w:r>
        <w:rPr>
          <w:rFonts w:ascii="Palatino Linotype" w:hAnsi="Palatino Linotype"/>
          <w:b/>
          <w:i/>
          <w:sz w:val="22"/>
          <w:szCs w:val="22"/>
        </w:rPr>
        <w:t>completa</w:t>
      </w:r>
      <w:r>
        <w:rPr>
          <w:rFonts w:ascii="Palatino Linotype" w:hAnsi="Palatino Linotype"/>
          <w:b/>
          <w:i/>
        </w:rPr>
        <w:t xml:space="preserve"> </w:t>
      </w:r>
      <w:r>
        <w:rPr>
          <w:rFonts w:ascii="Palatino Linotype" w:hAnsi="Palatino Linotype"/>
          <w:b/>
          <w:i/>
          <w:sz w:val="22"/>
          <w:szCs w:val="22"/>
        </w:rPr>
        <w:t>y</w:t>
      </w:r>
      <w:r>
        <w:rPr>
          <w:rFonts w:ascii="Palatino Linotype" w:hAnsi="Palatino Linotype"/>
          <w:b/>
          <w:i/>
        </w:rPr>
        <w:t xml:space="preserve"> </w:t>
      </w:r>
      <w:r>
        <w:rPr>
          <w:rFonts w:ascii="Palatino Linotype" w:hAnsi="Palatino Linotype"/>
          <w:b/>
          <w:i/>
          <w:sz w:val="22"/>
          <w:szCs w:val="22"/>
        </w:rPr>
        <w:t>actualizada</w:t>
      </w:r>
      <w:r>
        <w:rPr>
          <w:rFonts w:ascii="Palatino Linotype" w:hAnsi="Palatino Linotype"/>
          <w:b/>
          <w:i/>
        </w:rPr>
        <w:t xml:space="preserve"> </w:t>
      </w:r>
      <w:r>
        <w:rPr>
          <w:rFonts w:ascii="Palatino Linotype" w:hAnsi="Palatino Linotype"/>
          <w:b/>
          <w:i/>
          <w:sz w:val="22"/>
          <w:szCs w:val="22"/>
        </w:rPr>
        <w:t>sobre</w:t>
      </w:r>
      <w:r>
        <w:rPr>
          <w:rFonts w:ascii="Palatino Linotype" w:hAnsi="Palatino Linotype"/>
          <w:b/>
          <w:i/>
        </w:rPr>
        <w:t xml:space="preserve"> </w:t>
      </w:r>
      <w:r>
        <w:rPr>
          <w:rFonts w:ascii="Palatino Linotype" w:hAnsi="Palatino Linotype"/>
          <w:b/>
          <w:i/>
          <w:sz w:val="22"/>
          <w:szCs w:val="22"/>
        </w:rPr>
        <w:t>el</w:t>
      </w:r>
      <w:r>
        <w:rPr>
          <w:rFonts w:ascii="Palatino Linotype" w:hAnsi="Palatino Linotype"/>
          <w:b/>
          <w:i/>
        </w:rPr>
        <w:t xml:space="preserve"> </w:t>
      </w:r>
      <w:r>
        <w:rPr>
          <w:rFonts w:ascii="Palatino Linotype" w:hAnsi="Palatino Linotype"/>
          <w:b/>
          <w:i/>
          <w:sz w:val="22"/>
          <w:szCs w:val="22"/>
        </w:rPr>
        <w:t>ejercicio</w:t>
      </w:r>
      <w:r>
        <w:rPr>
          <w:rFonts w:ascii="Palatino Linotype" w:hAnsi="Palatino Linotype"/>
          <w:b/>
          <w:i/>
        </w:rPr>
        <w:t xml:space="preserve"> </w:t>
      </w:r>
      <w:r>
        <w:rPr>
          <w:rFonts w:ascii="Palatino Linotype" w:hAnsi="Palatino Linotype"/>
          <w:b/>
          <w:i/>
          <w:sz w:val="22"/>
          <w:szCs w:val="22"/>
        </w:rPr>
        <w:t>de</w:t>
      </w:r>
      <w:r>
        <w:rPr>
          <w:rFonts w:ascii="Palatino Linotype" w:hAnsi="Palatino Linotype"/>
          <w:b/>
          <w:i/>
        </w:rPr>
        <w:t xml:space="preserve"> </w:t>
      </w:r>
      <w:r>
        <w:rPr>
          <w:rFonts w:ascii="Palatino Linotype" w:hAnsi="Palatino Linotype"/>
          <w:b/>
          <w:i/>
          <w:sz w:val="22"/>
          <w:szCs w:val="22"/>
        </w:rPr>
        <w:t>los</w:t>
      </w:r>
      <w:r>
        <w:rPr>
          <w:rFonts w:ascii="Palatino Linotype" w:hAnsi="Palatino Linotype"/>
          <w:b/>
          <w:i/>
        </w:rPr>
        <w:t xml:space="preserve"> </w:t>
      </w:r>
      <w:r>
        <w:rPr>
          <w:rFonts w:ascii="Palatino Linotype" w:hAnsi="Palatino Linotype"/>
          <w:b/>
          <w:i/>
          <w:sz w:val="22"/>
          <w:szCs w:val="22"/>
        </w:rPr>
        <w:t>recursos</w:t>
      </w:r>
      <w:r>
        <w:rPr>
          <w:rFonts w:ascii="Palatino Linotype" w:hAnsi="Palatino Linotype"/>
          <w:b/>
          <w:i/>
        </w:rPr>
        <w:t xml:space="preserve"> </w:t>
      </w:r>
      <w:r>
        <w:rPr>
          <w:rFonts w:ascii="Palatino Linotype" w:hAnsi="Palatino Linotype"/>
          <w:b/>
          <w:i/>
          <w:sz w:val="22"/>
          <w:szCs w:val="22"/>
        </w:rPr>
        <w:t>públicos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indicadores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permitan</w:t>
      </w:r>
      <w:r>
        <w:rPr>
          <w:rFonts w:ascii="Palatino Linotype" w:hAnsi="Palatino Linotype"/>
          <w:i/>
        </w:rPr>
        <w:t xml:space="preserve"> </w:t>
      </w:r>
      <w:r>
        <w:rPr>
          <w:rFonts w:ascii="Palatino Linotype" w:hAnsi="Palatino Linotype"/>
          <w:i/>
          <w:sz w:val="22"/>
          <w:szCs w:val="22"/>
        </w:rPr>
        <w:t>rendir</w:t>
      </w:r>
      <w:r>
        <w:rPr>
          <w:rFonts w:ascii="Palatino Linotype" w:hAnsi="Palatino Linotype"/>
          <w:i/>
        </w:rPr>
        <w:t xml:space="preserve"> </w:t>
      </w:r>
      <w:r>
        <w:rPr>
          <w:rFonts w:ascii="Palatino Linotype" w:hAnsi="Palatino Linotype"/>
          <w:i/>
          <w:sz w:val="22"/>
          <w:szCs w:val="22"/>
        </w:rPr>
        <w:t>cuenta</w:t>
      </w:r>
      <w:r>
        <w:rPr>
          <w:rFonts w:ascii="Palatino Linotype" w:hAnsi="Palatino Linotype"/>
          <w:i/>
        </w:rPr>
        <w:t xml:space="preserve"> </w:t>
      </w:r>
      <w:r>
        <w:rPr>
          <w:rFonts w:ascii="Palatino Linotype" w:hAnsi="Palatino Linotype"/>
          <w:i/>
          <w:sz w:val="22"/>
          <w:szCs w:val="22"/>
        </w:rPr>
        <w:t>del</w:t>
      </w:r>
      <w:r>
        <w:rPr>
          <w:rFonts w:ascii="Palatino Linotype" w:hAnsi="Palatino Linotype"/>
          <w:i/>
        </w:rPr>
        <w:t xml:space="preserve"> </w:t>
      </w:r>
      <w:r>
        <w:rPr>
          <w:rFonts w:ascii="Palatino Linotype" w:hAnsi="Palatino Linotype"/>
          <w:i/>
          <w:sz w:val="22"/>
          <w:szCs w:val="22"/>
        </w:rPr>
        <w:t>cumplimiento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sus</w:t>
      </w:r>
      <w:r>
        <w:rPr>
          <w:rFonts w:ascii="Palatino Linotype" w:hAnsi="Palatino Linotype"/>
          <w:i/>
        </w:rPr>
        <w:t xml:space="preserve"> </w:t>
      </w:r>
      <w:r>
        <w:rPr>
          <w:rFonts w:ascii="Palatino Linotype" w:hAnsi="Palatino Linotype"/>
          <w:i/>
          <w:sz w:val="22"/>
          <w:szCs w:val="22"/>
        </w:rPr>
        <w:t>objetivos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resultados</w:t>
      </w:r>
      <w:r>
        <w:rPr>
          <w:rFonts w:ascii="Palatino Linotype" w:hAnsi="Palatino Linotype"/>
          <w:i/>
        </w:rPr>
        <w:t xml:space="preserve"> </w:t>
      </w:r>
      <w:r>
        <w:rPr>
          <w:rFonts w:ascii="Palatino Linotype" w:hAnsi="Palatino Linotype"/>
          <w:i/>
          <w:sz w:val="22"/>
          <w:szCs w:val="22"/>
        </w:rPr>
        <w:t>obtenidos.</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VII.</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ley</w:t>
      </w:r>
      <w:r>
        <w:rPr>
          <w:rFonts w:ascii="Palatino Linotype" w:hAnsi="Palatino Linotype"/>
          <w:i/>
        </w:rPr>
        <w:t xml:space="preserve"> </w:t>
      </w:r>
      <w:r>
        <w:rPr>
          <w:rFonts w:ascii="Palatino Linotype" w:hAnsi="Palatino Linotype"/>
          <w:i/>
          <w:sz w:val="22"/>
          <w:szCs w:val="22"/>
        </w:rPr>
        <w:t>reglamentaria,</w:t>
      </w:r>
      <w:r>
        <w:rPr>
          <w:rFonts w:ascii="Palatino Linotype" w:hAnsi="Palatino Linotype"/>
          <w:i/>
        </w:rPr>
        <w:t xml:space="preserve"> </w:t>
      </w:r>
      <w:r>
        <w:rPr>
          <w:rFonts w:ascii="Palatino Linotype" w:hAnsi="Palatino Linotype"/>
          <w:i/>
          <w:sz w:val="22"/>
          <w:szCs w:val="22"/>
        </w:rPr>
        <w:t>determinará</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manera</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sujetos</w:t>
      </w:r>
      <w:r>
        <w:rPr>
          <w:rFonts w:ascii="Palatino Linotype" w:hAnsi="Palatino Linotype"/>
          <w:i/>
        </w:rPr>
        <w:t xml:space="preserve"> </w:t>
      </w:r>
      <w:r>
        <w:rPr>
          <w:rFonts w:ascii="Palatino Linotype" w:hAnsi="Palatino Linotype"/>
          <w:i/>
          <w:sz w:val="22"/>
          <w:szCs w:val="22"/>
        </w:rPr>
        <w:t>obligados</w:t>
      </w:r>
      <w:r>
        <w:rPr>
          <w:rFonts w:ascii="Palatino Linotype" w:hAnsi="Palatino Linotype"/>
          <w:i/>
        </w:rPr>
        <w:t xml:space="preserve"> </w:t>
      </w:r>
      <w:r>
        <w:rPr>
          <w:rFonts w:ascii="Palatino Linotype" w:hAnsi="Palatino Linotype"/>
          <w:i/>
          <w:sz w:val="22"/>
          <w:szCs w:val="22"/>
        </w:rPr>
        <w:t>deberán</w:t>
      </w:r>
      <w:r>
        <w:rPr>
          <w:rFonts w:ascii="Palatino Linotype" w:hAnsi="Palatino Linotype"/>
          <w:i/>
        </w:rPr>
        <w:t xml:space="preserve"> </w:t>
      </w:r>
      <w:r>
        <w:rPr>
          <w:rFonts w:ascii="Palatino Linotype" w:hAnsi="Palatino Linotype"/>
          <w:i/>
          <w:sz w:val="22"/>
          <w:szCs w:val="22"/>
        </w:rPr>
        <w:t>hacer</w:t>
      </w:r>
      <w:r>
        <w:rPr>
          <w:rFonts w:ascii="Palatino Linotype" w:hAnsi="Palatino Linotype"/>
          <w:i/>
        </w:rPr>
        <w:t xml:space="preserve"> </w:t>
      </w:r>
      <w:r>
        <w:rPr>
          <w:rFonts w:ascii="Palatino Linotype" w:hAnsi="Palatino Linotype"/>
          <w:i/>
          <w:sz w:val="22"/>
          <w:szCs w:val="22"/>
        </w:rPr>
        <w:t>pública</w:t>
      </w:r>
      <w:r>
        <w:rPr>
          <w:rFonts w:ascii="Palatino Linotype" w:hAnsi="Palatino Linotype"/>
          <w:i/>
        </w:rPr>
        <w:t xml:space="preserve"> </w:t>
      </w:r>
      <w:r>
        <w:rPr>
          <w:rFonts w:ascii="Palatino Linotype" w:hAnsi="Palatino Linotype"/>
          <w:i/>
          <w:sz w:val="22"/>
          <w:szCs w:val="22"/>
        </w:rPr>
        <w:t>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relativa</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entreguen</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personas</w:t>
      </w:r>
      <w:r>
        <w:rPr>
          <w:rFonts w:ascii="Palatino Linotype" w:hAnsi="Palatino Linotype"/>
          <w:i/>
        </w:rPr>
        <w:t xml:space="preserve"> </w:t>
      </w:r>
      <w:r>
        <w:rPr>
          <w:rFonts w:ascii="Palatino Linotype" w:hAnsi="Palatino Linotype"/>
          <w:i/>
          <w:sz w:val="22"/>
          <w:szCs w:val="22"/>
        </w:rPr>
        <w:t>físicas</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jurídicas</w:t>
      </w:r>
      <w:r>
        <w:rPr>
          <w:rFonts w:ascii="Palatino Linotype" w:hAnsi="Palatino Linotype"/>
          <w:i/>
        </w:rPr>
        <w:t xml:space="preserve"> </w:t>
      </w:r>
      <w:r>
        <w:rPr>
          <w:rFonts w:ascii="Palatino Linotype" w:hAnsi="Palatino Linotype"/>
          <w:i/>
          <w:sz w:val="22"/>
          <w:szCs w:val="22"/>
        </w:rPr>
        <w:t>colectivas.”</w:t>
      </w:r>
    </w:p>
    <w:p w:rsidR="005A6B36" w:rsidRDefault="0049607E">
      <w:pPr>
        <w:ind w:left="851" w:right="902"/>
        <w:jc w:val="both"/>
        <w:rPr>
          <w:rFonts w:ascii="Palatino Linotype" w:hAnsi="Palatino Linotype" w:cs="Arial"/>
          <w:i/>
          <w:sz w:val="22"/>
          <w:szCs w:val="22"/>
        </w:rPr>
      </w:pPr>
      <w:r>
        <w:rPr>
          <w:rFonts w:ascii="Palatino Linotype" w:hAnsi="Palatino Linotype"/>
          <w:i/>
          <w:sz w:val="22"/>
          <w:szCs w:val="22"/>
        </w:rPr>
        <w:t>(Énfasis</w:t>
      </w:r>
      <w:r>
        <w:rPr>
          <w:rFonts w:ascii="Palatino Linotype" w:hAnsi="Palatino Linotype"/>
          <w:i/>
        </w:rPr>
        <w:t xml:space="preserve"> </w:t>
      </w:r>
      <w:r>
        <w:rPr>
          <w:rFonts w:ascii="Palatino Linotype" w:hAnsi="Palatino Linotype"/>
          <w:i/>
          <w:sz w:val="22"/>
          <w:szCs w:val="22"/>
        </w:rPr>
        <w:t>añadido)</w:t>
      </w:r>
    </w:p>
    <w:p w:rsidR="005A6B36" w:rsidRDefault="0049607E">
      <w:pPr>
        <w:spacing w:beforeAutospacing="1" w:afterAutospacing="1" w:line="360" w:lineRule="auto"/>
        <w:jc w:val="both"/>
        <w:rPr>
          <w:rFonts w:ascii="Palatino Linotype" w:hAnsi="Palatino Linotype" w:cs="Arial"/>
          <w:sz w:val="28"/>
        </w:rPr>
      </w:pPr>
      <w:r>
        <w:rPr>
          <w:rFonts w:ascii="Palatino Linotype" w:hAnsi="Palatino Linotype" w:cs="Arial"/>
        </w:rPr>
        <w:t>En ese orden de ideas, la Ley de Transparencia y Acceso a la Información Pública del Estado de México y Municipios, prevé en su artículo 23, lo siguiente:</w:t>
      </w:r>
    </w:p>
    <w:p w:rsidR="005A6B36" w:rsidRDefault="0049607E">
      <w:pPr>
        <w:ind w:left="851" w:right="902"/>
        <w:jc w:val="both"/>
        <w:rPr>
          <w:rFonts w:ascii="Palatino Linotype" w:hAnsi="Palatino Linotype" w:cs="Arial"/>
          <w:i/>
          <w:sz w:val="22"/>
          <w:szCs w:val="22"/>
        </w:rPr>
      </w:pPr>
      <w:r>
        <w:rPr>
          <w:rFonts w:ascii="Palatino Linotype" w:hAnsi="Palatino Linotype" w:cs="Arial"/>
          <w:i/>
          <w:sz w:val="22"/>
          <w:szCs w:val="22"/>
        </w:rPr>
        <w:t>“</w:t>
      </w:r>
      <w:r>
        <w:rPr>
          <w:rFonts w:ascii="Palatino Linotype" w:hAnsi="Palatino Linotype" w:cs="Arial"/>
          <w:b/>
          <w:i/>
          <w:sz w:val="22"/>
          <w:szCs w:val="22"/>
        </w:rPr>
        <w:t>Artículo</w:t>
      </w:r>
      <w:r>
        <w:rPr>
          <w:rFonts w:ascii="Palatino Linotype" w:hAnsi="Palatino Linotype" w:cs="Arial"/>
          <w:b/>
          <w:i/>
        </w:rPr>
        <w:t xml:space="preserve"> </w:t>
      </w:r>
      <w:r>
        <w:rPr>
          <w:rFonts w:ascii="Palatino Linotype" w:hAnsi="Palatino Linotype" w:cs="Arial"/>
          <w:b/>
          <w:i/>
          <w:sz w:val="22"/>
          <w:szCs w:val="22"/>
        </w:rPr>
        <w:t>23.</w:t>
      </w:r>
      <w:r>
        <w:rPr>
          <w:rFonts w:ascii="Palatino Linotype" w:hAnsi="Palatino Linotype" w:cs="Arial"/>
          <w:b/>
          <w:i/>
        </w:rPr>
        <w:t xml:space="preserve"> </w:t>
      </w:r>
      <w:r>
        <w:rPr>
          <w:rFonts w:ascii="Palatino Linotype" w:hAnsi="Palatino Linotype" w:cs="Arial"/>
          <w:b/>
          <w:i/>
          <w:sz w:val="22"/>
          <w:szCs w:val="22"/>
        </w:rPr>
        <w:t>Son</w:t>
      </w:r>
      <w:r>
        <w:rPr>
          <w:rFonts w:ascii="Palatino Linotype" w:hAnsi="Palatino Linotype" w:cs="Arial"/>
          <w:b/>
          <w:i/>
        </w:rPr>
        <w:t xml:space="preserve"> </w:t>
      </w:r>
      <w:r>
        <w:rPr>
          <w:rFonts w:ascii="Palatino Linotype" w:hAnsi="Palatino Linotype" w:cs="Arial"/>
          <w:b/>
          <w:i/>
          <w:sz w:val="22"/>
          <w:szCs w:val="22"/>
        </w:rPr>
        <w:t>sujetos</w:t>
      </w:r>
      <w:r>
        <w:rPr>
          <w:rFonts w:ascii="Palatino Linotype" w:hAnsi="Palatino Linotype" w:cs="Arial"/>
          <w:b/>
          <w:i/>
        </w:rPr>
        <w:t xml:space="preserve"> </w:t>
      </w:r>
      <w:r>
        <w:rPr>
          <w:rFonts w:ascii="Palatino Linotype" w:hAnsi="Palatino Linotype" w:cs="Arial"/>
          <w:b/>
          <w:i/>
          <w:sz w:val="22"/>
          <w:szCs w:val="22"/>
        </w:rPr>
        <w:t>obligados</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transparentar</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permitir</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acceso</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su</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b/>
          <w:i/>
          <w:sz w:val="22"/>
          <w:szCs w:val="22"/>
        </w:rPr>
        <w:t>proteger</w:t>
      </w:r>
      <w:r>
        <w:rPr>
          <w:rFonts w:ascii="Palatino Linotype" w:hAnsi="Palatino Linotype" w:cs="Arial"/>
          <w:b/>
          <w:i/>
        </w:rPr>
        <w:t xml:space="preserve"> </w:t>
      </w: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datos</w:t>
      </w:r>
      <w:r>
        <w:rPr>
          <w:rFonts w:ascii="Palatino Linotype" w:hAnsi="Palatino Linotype" w:cs="Arial"/>
          <w:b/>
          <w:i/>
        </w:rPr>
        <w:t xml:space="preserve"> </w:t>
      </w:r>
      <w:r>
        <w:rPr>
          <w:rFonts w:ascii="Palatino Linotype" w:hAnsi="Palatino Linotype" w:cs="Arial"/>
          <w:b/>
          <w:i/>
          <w:sz w:val="22"/>
          <w:szCs w:val="22"/>
        </w:rPr>
        <w:t>personales</w:t>
      </w:r>
      <w:r>
        <w:rPr>
          <w:rFonts w:ascii="Palatino Linotype" w:hAnsi="Palatino Linotype" w:cs="Arial"/>
          <w:b/>
          <w:i/>
        </w:rPr>
        <w:t xml:space="preserve"> </w:t>
      </w:r>
      <w:r>
        <w:rPr>
          <w:rFonts w:ascii="Palatino Linotype" w:hAnsi="Palatino Linotype" w:cs="Arial"/>
          <w:b/>
          <w:i/>
          <w:sz w:val="22"/>
          <w:szCs w:val="22"/>
        </w:rPr>
        <w:t>que</w:t>
      </w:r>
      <w:r>
        <w:rPr>
          <w:rFonts w:ascii="Palatino Linotype" w:hAnsi="Palatino Linotype" w:cs="Arial"/>
          <w:b/>
          <w:i/>
        </w:rPr>
        <w:t xml:space="preserve"> </w:t>
      </w:r>
      <w:r>
        <w:rPr>
          <w:rFonts w:ascii="Palatino Linotype" w:hAnsi="Palatino Linotype" w:cs="Arial"/>
          <w:b/>
          <w:i/>
          <w:sz w:val="22"/>
          <w:szCs w:val="22"/>
        </w:rPr>
        <w:t>obren</w:t>
      </w:r>
      <w:r>
        <w:rPr>
          <w:rFonts w:ascii="Palatino Linotype" w:hAnsi="Palatino Linotype" w:cs="Arial"/>
          <w:b/>
          <w:i/>
        </w:rPr>
        <w:t xml:space="preserve"> </w:t>
      </w:r>
      <w:r>
        <w:rPr>
          <w:rFonts w:ascii="Palatino Linotype" w:hAnsi="Palatino Linotype" w:cs="Arial"/>
          <w:b/>
          <w:i/>
          <w:sz w:val="22"/>
          <w:szCs w:val="22"/>
        </w:rPr>
        <w:t>en</w:t>
      </w:r>
      <w:r>
        <w:rPr>
          <w:rFonts w:ascii="Palatino Linotype" w:hAnsi="Palatino Linotype" w:cs="Arial"/>
          <w:b/>
          <w:i/>
        </w:rPr>
        <w:t xml:space="preserve"> </w:t>
      </w:r>
      <w:r>
        <w:rPr>
          <w:rFonts w:ascii="Palatino Linotype" w:hAnsi="Palatino Linotype" w:cs="Arial"/>
          <w:b/>
          <w:i/>
          <w:sz w:val="22"/>
          <w:szCs w:val="22"/>
        </w:rPr>
        <w:t>su</w:t>
      </w:r>
      <w:r>
        <w:rPr>
          <w:rFonts w:ascii="Palatino Linotype" w:hAnsi="Palatino Linotype" w:cs="Arial"/>
          <w:b/>
          <w:i/>
        </w:rPr>
        <w:t xml:space="preserve"> </w:t>
      </w:r>
      <w:r>
        <w:rPr>
          <w:rFonts w:ascii="Palatino Linotype" w:hAnsi="Palatino Linotype" w:cs="Arial"/>
          <w:b/>
          <w:i/>
          <w:sz w:val="22"/>
          <w:szCs w:val="22"/>
        </w:rPr>
        <w:t>poder</w:t>
      </w:r>
      <w:r>
        <w:rPr>
          <w:rFonts w:ascii="Palatino Linotype" w:hAnsi="Palatino Linotype" w:cs="Arial"/>
          <w:i/>
          <w:sz w:val="22"/>
          <w:szCs w:val="22"/>
        </w:rPr>
        <w:t>:</w:t>
      </w:r>
    </w:p>
    <w:p w:rsidR="005A6B36" w:rsidRDefault="0049607E">
      <w:pPr>
        <w:ind w:left="851" w:right="902"/>
        <w:jc w:val="both"/>
        <w:rPr>
          <w:rFonts w:ascii="Palatino Linotype" w:hAnsi="Palatino Linotype" w:cs="Arial"/>
          <w:b/>
          <w:i/>
          <w:sz w:val="22"/>
          <w:szCs w:val="22"/>
        </w:rPr>
      </w:pPr>
      <w:r>
        <w:rPr>
          <w:rFonts w:ascii="Palatino Linotype" w:hAnsi="Palatino Linotype" w:cs="Arial"/>
          <w:b/>
          <w:i/>
          <w:sz w:val="22"/>
          <w:szCs w:val="22"/>
        </w:rPr>
        <w:t>I.</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Poder</w:t>
      </w:r>
      <w:r>
        <w:rPr>
          <w:rFonts w:ascii="Palatino Linotype" w:hAnsi="Palatino Linotype" w:cs="Arial"/>
          <w:b/>
          <w:i/>
        </w:rPr>
        <w:t xml:space="preserve"> </w:t>
      </w:r>
      <w:r>
        <w:rPr>
          <w:rFonts w:ascii="Palatino Linotype" w:hAnsi="Palatino Linotype" w:cs="Arial"/>
          <w:b/>
          <w:i/>
          <w:sz w:val="22"/>
          <w:szCs w:val="22"/>
        </w:rPr>
        <w:t>Ejecutivo</w:t>
      </w:r>
      <w:r>
        <w:rPr>
          <w:rFonts w:ascii="Palatino Linotype" w:hAnsi="Palatino Linotype" w:cs="Arial"/>
          <w:b/>
          <w:i/>
        </w:rPr>
        <w:t xml:space="preserve"> </w:t>
      </w:r>
      <w:r>
        <w:rPr>
          <w:rFonts w:ascii="Palatino Linotype" w:hAnsi="Palatino Linotype" w:cs="Arial"/>
          <w:b/>
          <w:i/>
          <w:sz w:val="22"/>
          <w:szCs w:val="22"/>
        </w:rPr>
        <w:t>del</w:t>
      </w:r>
      <w:r>
        <w:rPr>
          <w:rFonts w:ascii="Palatino Linotype" w:hAnsi="Palatino Linotype" w:cs="Arial"/>
          <w:b/>
          <w:i/>
        </w:rPr>
        <w:t xml:space="preserve"> </w:t>
      </w:r>
      <w:r>
        <w:rPr>
          <w:rFonts w:ascii="Palatino Linotype" w:hAnsi="Palatino Linotype" w:cs="Arial"/>
          <w:b/>
          <w:i/>
          <w:sz w:val="22"/>
          <w:szCs w:val="22"/>
        </w:rPr>
        <w:t>Estado</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México,</w:t>
      </w:r>
      <w:r>
        <w:rPr>
          <w:rFonts w:ascii="Palatino Linotype" w:hAnsi="Palatino Linotype" w:cs="Arial"/>
          <w:b/>
          <w:i/>
        </w:rPr>
        <w:t xml:space="preserve"> </w:t>
      </w:r>
      <w:r>
        <w:rPr>
          <w:rFonts w:ascii="Palatino Linotype" w:hAnsi="Palatino Linotype" w:cs="Arial"/>
          <w:b/>
          <w:i/>
          <w:sz w:val="22"/>
          <w:szCs w:val="22"/>
        </w:rPr>
        <w:t>las</w:t>
      </w:r>
      <w:r>
        <w:rPr>
          <w:rFonts w:ascii="Palatino Linotype" w:hAnsi="Palatino Linotype" w:cs="Arial"/>
          <w:b/>
          <w:i/>
        </w:rPr>
        <w:t xml:space="preserve"> </w:t>
      </w:r>
      <w:r>
        <w:rPr>
          <w:rFonts w:ascii="Palatino Linotype" w:hAnsi="Palatino Linotype" w:cs="Arial"/>
          <w:b/>
          <w:i/>
          <w:sz w:val="22"/>
          <w:szCs w:val="22"/>
        </w:rPr>
        <w:t>dependencias,</w:t>
      </w:r>
      <w:r>
        <w:rPr>
          <w:rFonts w:ascii="Palatino Linotype" w:hAnsi="Palatino Linotype" w:cs="Arial"/>
          <w:b/>
          <w:i/>
        </w:rPr>
        <w:t xml:space="preserve"> </w:t>
      </w:r>
      <w:r>
        <w:rPr>
          <w:rFonts w:ascii="Palatino Linotype" w:hAnsi="Palatino Linotype" w:cs="Arial"/>
          <w:b/>
          <w:i/>
          <w:sz w:val="22"/>
          <w:szCs w:val="22"/>
        </w:rPr>
        <w:t>organismos</w:t>
      </w:r>
      <w:r>
        <w:rPr>
          <w:rFonts w:ascii="Palatino Linotype" w:hAnsi="Palatino Linotype" w:cs="Arial"/>
          <w:b/>
          <w:i/>
        </w:rPr>
        <w:t xml:space="preserve"> </w:t>
      </w:r>
      <w:r>
        <w:rPr>
          <w:rFonts w:ascii="Palatino Linotype" w:hAnsi="Palatino Linotype" w:cs="Arial"/>
          <w:b/>
          <w:i/>
          <w:sz w:val="22"/>
          <w:szCs w:val="22"/>
        </w:rPr>
        <w:t>auxiliares,</w:t>
      </w:r>
      <w:r>
        <w:rPr>
          <w:rFonts w:ascii="Palatino Linotype" w:hAnsi="Palatino Linotype" w:cs="Arial"/>
          <w:b/>
          <w:i/>
        </w:rPr>
        <w:t xml:space="preserve"> </w:t>
      </w:r>
      <w:r>
        <w:rPr>
          <w:rFonts w:ascii="Palatino Linotype" w:hAnsi="Palatino Linotype" w:cs="Arial"/>
          <w:b/>
          <w:i/>
          <w:sz w:val="22"/>
          <w:szCs w:val="22"/>
        </w:rPr>
        <w:t>órganos,</w:t>
      </w:r>
      <w:r>
        <w:rPr>
          <w:rFonts w:ascii="Palatino Linotype" w:hAnsi="Palatino Linotype" w:cs="Arial"/>
          <w:b/>
          <w:i/>
        </w:rPr>
        <w:t xml:space="preserve"> </w:t>
      </w:r>
      <w:r>
        <w:rPr>
          <w:rFonts w:ascii="Palatino Linotype" w:hAnsi="Palatino Linotype"/>
          <w:b/>
          <w:i/>
          <w:sz w:val="22"/>
          <w:szCs w:val="22"/>
        </w:rPr>
        <w:t>entidades</w:t>
      </w:r>
      <w:r>
        <w:rPr>
          <w:rFonts w:ascii="Palatino Linotype" w:hAnsi="Palatino Linotype" w:cs="Arial"/>
          <w:b/>
          <w:i/>
          <w:sz w:val="22"/>
          <w:szCs w:val="22"/>
        </w:rPr>
        <w:t>,</w:t>
      </w:r>
      <w:r>
        <w:rPr>
          <w:rFonts w:ascii="Palatino Linotype" w:hAnsi="Palatino Linotype" w:cs="Arial"/>
          <w:b/>
          <w:i/>
        </w:rPr>
        <w:t xml:space="preserve"> </w:t>
      </w:r>
      <w:r>
        <w:rPr>
          <w:rFonts w:ascii="Palatino Linotype" w:hAnsi="Palatino Linotype" w:cs="Arial"/>
          <w:b/>
          <w:i/>
          <w:sz w:val="22"/>
          <w:szCs w:val="22"/>
        </w:rPr>
        <w:t>fideicomisos</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fondos</w:t>
      </w:r>
      <w:r>
        <w:rPr>
          <w:rFonts w:ascii="Palatino Linotype" w:hAnsi="Palatino Linotype" w:cs="Arial"/>
          <w:b/>
          <w:i/>
        </w:rPr>
        <w:t xml:space="preserve"> </w:t>
      </w:r>
      <w:r>
        <w:rPr>
          <w:rFonts w:ascii="Palatino Linotype" w:hAnsi="Palatino Linotype" w:cs="Arial"/>
          <w:b/>
          <w:i/>
          <w:sz w:val="22"/>
          <w:szCs w:val="22"/>
        </w:rPr>
        <w:t>públicos,</w:t>
      </w:r>
      <w:r>
        <w:rPr>
          <w:rFonts w:ascii="Palatino Linotype" w:hAnsi="Palatino Linotype" w:cs="Arial"/>
          <w:b/>
          <w:i/>
        </w:rPr>
        <w:t xml:space="preserve"> </w:t>
      </w:r>
      <w:r>
        <w:rPr>
          <w:rFonts w:ascii="Palatino Linotype" w:hAnsi="Palatino Linotype" w:cs="Arial"/>
          <w:b/>
          <w:i/>
          <w:sz w:val="22"/>
          <w:szCs w:val="22"/>
        </w:rPr>
        <w:t>así</w:t>
      </w:r>
      <w:r>
        <w:rPr>
          <w:rFonts w:ascii="Palatino Linotype" w:hAnsi="Palatino Linotype" w:cs="Arial"/>
          <w:b/>
          <w:i/>
        </w:rPr>
        <w:t xml:space="preserve"> </w:t>
      </w:r>
      <w:r>
        <w:rPr>
          <w:rFonts w:ascii="Palatino Linotype" w:hAnsi="Palatino Linotype" w:cs="Arial"/>
          <w:b/>
          <w:i/>
          <w:sz w:val="22"/>
          <w:szCs w:val="22"/>
        </w:rPr>
        <w:t>como</w:t>
      </w:r>
      <w:r>
        <w:rPr>
          <w:rFonts w:ascii="Palatino Linotype" w:hAnsi="Palatino Linotype" w:cs="Arial"/>
          <w:b/>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Procuraduría</w:t>
      </w:r>
      <w:r>
        <w:rPr>
          <w:rFonts w:ascii="Palatino Linotype" w:hAnsi="Palatino Linotype" w:cs="Arial"/>
          <w:b/>
          <w:i/>
        </w:rPr>
        <w:t xml:space="preserve"> </w:t>
      </w:r>
      <w:r>
        <w:rPr>
          <w:rFonts w:ascii="Palatino Linotype" w:hAnsi="Palatino Linotype" w:cs="Arial"/>
          <w:b/>
          <w:i/>
          <w:sz w:val="22"/>
          <w:szCs w:val="22"/>
        </w:rPr>
        <w:t>General</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Justicia;</w:t>
      </w:r>
    </w:p>
    <w:p w:rsidR="005A6B36" w:rsidRDefault="0049607E">
      <w:pPr>
        <w:ind w:left="851" w:right="902"/>
        <w:jc w:val="both"/>
        <w:rPr>
          <w:rFonts w:ascii="Palatino Linotype" w:hAnsi="Palatino Linotype" w:cs="Arial"/>
          <w:i/>
          <w:sz w:val="22"/>
          <w:szCs w:val="22"/>
        </w:rPr>
      </w:pPr>
      <w:r>
        <w:rPr>
          <w:rFonts w:ascii="Palatino Linotype" w:hAnsi="Palatino Linotype" w:cs="Arial"/>
          <w:i/>
          <w:sz w:val="22"/>
          <w:szCs w:val="22"/>
        </w:rPr>
        <w:t>II.</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Poder</w:t>
      </w:r>
      <w:r>
        <w:rPr>
          <w:rFonts w:ascii="Palatino Linotype" w:hAnsi="Palatino Linotype" w:cs="Arial"/>
          <w:i/>
        </w:rPr>
        <w:t xml:space="preserve"> </w:t>
      </w:r>
      <w:r>
        <w:rPr>
          <w:rFonts w:ascii="Palatino Linotype" w:hAnsi="Palatino Linotype"/>
          <w:i/>
          <w:sz w:val="22"/>
          <w:szCs w:val="22"/>
        </w:rPr>
        <w:t>Legislativo</w:t>
      </w:r>
      <w:r>
        <w:rPr>
          <w:rFonts w:ascii="Palatino Linotype" w:hAnsi="Palatino Linotype" w:cs="Arial"/>
          <w:i/>
        </w:rPr>
        <w:t xml:space="preserve"> </w:t>
      </w:r>
      <w:r>
        <w:rPr>
          <w:rFonts w:ascii="Palatino Linotype" w:hAnsi="Palatino Linotype" w:cs="Arial"/>
          <w:i/>
          <w:sz w:val="22"/>
          <w:szCs w:val="22"/>
        </w:rPr>
        <w:t>del</w:t>
      </w:r>
      <w:r>
        <w:rPr>
          <w:rFonts w:ascii="Palatino Linotype" w:hAnsi="Palatino Linotype" w:cs="Arial"/>
          <w:i/>
        </w:rPr>
        <w:t xml:space="preserve"> </w:t>
      </w:r>
      <w:r>
        <w:rPr>
          <w:rFonts w:ascii="Palatino Linotype" w:hAnsi="Palatino Linotype" w:cs="Arial"/>
          <w:i/>
          <w:sz w:val="22"/>
          <w:szCs w:val="22"/>
        </w:rPr>
        <w:t>Estado,</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organismos,</w:t>
      </w:r>
      <w:r>
        <w:rPr>
          <w:rFonts w:ascii="Palatino Linotype" w:hAnsi="Palatino Linotype" w:cs="Arial"/>
          <w:i/>
        </w:rPr>
        <w:t xml:space="preserve"> </w:t>
      </w:r>
      <w:r>
        <w:rPr>
          <w:rFonts w:ascii="Palatino Linotype" w:hAnsi="Palatino Linotype" w:cs="Arial"/>
          <w:i/>
          <w:sz w:val="22"/>
          <w:szCs w:val="22"/>
        </w:rPr>
        <w:t>órganos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entidades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Legislatura</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sus</w:t>
      </w:r>
      <w:r>
        <w:rPr>
          <w:rFonts w:ascii="Palatino Linotype" w:hAnsi="Palatino Linotype" w:cs="Arial"/>
          <w:i/>
        </w:rPr>
        <w:t xml:space="preserve"> </w:t>
      </w:r>
      <w:r>
        <w:rPr>
          <w:rFonts w:ascii="Palatino Linotype" w:hAnsi="Palatino Linotype" w:cs="Arial"/>
          <w:i/>
          <w:sz w:val="22"/>
          <w:szCs w:val="22"/>
        </w:rPr>
        <w:t>dependencias;</w:t>
      </w:r>
    </w:p>
    <w:p w:rsidR="005A6B36" w:rsidRDefault="0049607E">
      <w:pPr>
        <w:ind w:left="851" w:right="902"/>
        <w:jc w:val="both"/>
        <w:rPr>
          <w:rFonts w:ascii="Palatino Linotype" w:hAnsi="Palatino Linotype" w:cs="Arial"/>
          <w:i/>
          <w:sz w:val="22"/>
          <w:szCs w:val="22"/>
        </w:rPr>
      </w:pPr>
      <w:r>
        <w:rPr>
          <w:rFonts w:ascii="Palatino Linotype" w:hAnsi="Palatino Linotype" w:cs="Arial"/>
          <w:i/>
          <w:sz w:val="22"/>
          <w:szCs w:val="22"/>
        </w:rPr>
        <w:t>III.</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Poder</w:t>
      </w:r>
      <w:r>
        <w:rPr>
          <w:rFonts w:ascii="Palatino Linotype" w:hAnsi="Palatino Linotype" w:cs="Arial"/>
          <w:i/>
        </w:rPr>
        <w:t xml:space="preserve"> </w:t>
      </w:r>
      <w:r>
        <w:rPr>
          <w:rFonts w:ascii="Palatino Linotype" w:hAnsi="Palatino Linotype"/>
          <w:i/>
          <w:sz w:val="22"/>
          <w:szCs w:val="22"/>
        </w:rPr>
        <w:t>Judicial</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sus</w:t>
      </w:r>
      <w:r>
        <w:rPr>
          <w:rFonts w:ascii="Palatino Linotype" w:hAnsi="Palatino Linotype" w:cs="Arial"/>
          <w:i/>
        </w:rPr>
        <w:t xml:space="preserve"> </w:t>
      </w:r>
      <w:r>
        <w:rPr>
          <w:rFonts w:ascii="Palatino Linotype" w:hAnsi="Palatino Linotype" w:cs="Arial"/>
          <w:i/>
          <w:sz w:val="22"/>
          <w:szCs w:val="22"/>
        </w:rPr>
        <w:t>organismos,</w:t>
      </w:r>
      <w:r>
        <w:rPr>
          <w:rFonts w:ascii="Palatino Linotype" w:hAnsi="Palatino Linotype" w:cs="Arial"/>
          <w:i/>
        </w:rPr>
        <w:t xml:space="preserve"> </w:t>
      </w:r>
      <w:r>
        <w:rPr>
          <w:rFonts w:ascii="Palatino Linotype" w:hAnsi="Palatino Linotype" w:cs="Arial"/>
          <w:i/>
          <w:sz w:val="22"/>
          <w:szCs w:val="22"/>
        </w:rPr>
        <w:t>órganos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entidades,</w:t>
      </w:r>
      <w:r>
        <w:rPr>
          <w:rFonts w:ascii="Palatino Linotype" w:hAnsi="Palatino Linotype" w:cs="Arial"/>
          <w:i/>
        </w:rPr>
        <w:t xml:space="preserve"> </w:t>
      </w:r>
      <w:r>
        <w:rPr>
          <w:rFonts w:ascii="Palatino Linotype" w:hAnsi="Palatino Linotype" w:cs="Arial"/>
          <w:i/>
          <w:sz w:val="22"/>
          <w:szCs w:val="22"/>
        </w:rPr>
        <w:t>así</w:t>
      </w:r>
      <w:r>
        <w:rPr>
          <w:rFonts w:ascii="Palatino Linotype" w:hAnsi="Palatino Linotype" w:cs="Arial"/>
          <w:i/>
        </w:rPr>
        <w:t xml:space="preserve"> </w:t>
      </w:r>
      <w:r>
        <w:rPr>
          <w:rFonts w:ascii="Palatino Linotype" w:hAnsi="Palatino Linotype" w:cs="Arial"/>
          <w:i/>
          <w:sz w:val="22"/>
          <w:szCs w:val="22"/>
        </w:rPr>
        <w:t>como</w:t>
      </w:r>
      <w:r>
        <w:rPr>
          <w:rFonts w:ascii="Palatino Linotype" w:hAnsi="Palatino Linotype" w:cs="Arial"/>
          <w:i/>
        </w:rPr>
        <w:t xml:space="preserve"> </w:t>
      </w:r>
      <w:r>
        <w:rPr>
          <w:rFonts w:ascii="Palatino Linotype" w:hAnsi="Palatino Linotype" w:cs="Arial"/>
          <w:i/>
          <w:sz w:val="22"/>
          <w:szCs w:val="22"/>
        </w:rPr>
        <w:t>el</w:t>
      </w:r>
      <w:r>
        <w:rPr>
          <w:rFonts w:ascii="Palatino Linotype" w:hAnsi="Palatino Linotype" w:cs="Arial"/>
          <w:i/>
        </w:rPr>
        <w:t xml:space="preserve"> </w:t>
      </w:r>
      <w:r>
        <w:rPr>
          <w:rFonts w:ascii="Palatino Linotype" w:hAnsi="Palatino Linotype" w:cs="Arial"/>
          <w:i/>
          <w:sz w:val="22"/>
          <w:szCs w:val="22"/>
        </w:rPr>
        <w:t>Consejo</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i/>
          <w:sz w:val="22"/>
          <w:szCs w:val="22"/>
        </w:rPr>
        <w:t>Judicatura</w:t>
      </w:r>
      <w:r>
        <w:rPr>
          <w:rFonts w:ascii="Palatino Linotype" w:hAnsi="Palatino Linotype" w:cs="Arial"/>
          <w:i/>
        </w:rPr>
        <w:t xml:space="preserve"> </w:t>
      </w:r>
      <w:r>
        <w:rPr>
          <w:rFonts w:ascii="Palatino Linotype" w:hAnsi="Palatino Linotype" w:cs="Arial"/>
          <w:i/>
          <w:sz w:val="22"/>
          <w:szCs w:val="22"/>
        </w:rPr>
        <w:t>del</w:t>
      </w:r>
      <w:r>
        <w:rPr>
          <w:rFonts w:ascii="Palatino Linotype" w:hAnsi="Palatino Linotype" w:cs="Arial"/>
          <w:i/>
        </w:rPr>
        <w:t xml:space="preserve"> </w:t>
      </w:r>
      <w:r>
        <w:rPr>
          <w:rFonts w:ascii="Palatino Linotype" w:hAnsi="Palatino Linotype" w:cs="Arial"/>
          <w:i/>
          <w:sz w:val="22"/>
          <w:szCs w:val="22"/>
        </w:rPr>
        <w:t>Estado;</w:t>
      </w:r>
    </w:p>
    <w:p w:rsidR="005A6B36" w:rsidRDefault="0049607E">
      <w:pPr>
        <w:ind w:left="851" w:right="902"/>
        <w:jc w:val="both"/>
        <w:rPr>
          <w:rFonts w:ascii="Palatino Linotype" w:hAnsi="Palatino Linotype" w:cs="Arial"/>
          <w:i/>
          <w:sz w:val="22"/>
          <w:szCs w:val="22"/>
        </w:rPr>
      </w:pPr>
      <w:r>
        <w:rPr>
          <w:rFonts w:ascii="Palatino Linotype" w:hAnsi="Palatino Linotype" w:cs="Arial"/>
          <w:i/>
          <w:sz w:val="22"/>
          <w:szCs w:val="22"/>
        </w:rPr>
        <w:t>IV.</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cs="Arial"/>
          <w:i/>
          <w:sz w:val="22"/>
          <w:szCs w:val="22"/>
        </w:rPr>
        <w:t>ayuntamientos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las</w:t>
      </w:r>
      <w:r>
        <w:rPr>
          <w:rFonts w:ascii="Palatino Linotype" w:hAnsi="Palatino Linotype" w:cs="Arial"/>
          <w:i/>
        </w:rPr>
        <w:t xml:space="preserve"> </w:t>
      </w:r>
      <w:r>
        <w:rPr>
          <w:rFonts w:ascii="Palatino Linotype" w:hAnsi="Palatino Linotype" w:cs="Arial"/>
          <w:i/>
          <w:sz w:val="22"/>
          <w:szCs w:val="22"/>
        </w:rPr>
        <w:t>dependencias,</w:t>
      </w:r>
      <w:r>
        <w:rPr>
          <w:rFonts w:ascii="Palatino Linotype" w:hAnsi="Palatino Linotype" w:cs="Arial"/>
          <w:i/>
        </w:rPr>
        <w:t xml:space="preserve"> </w:t>
      </w:r>
      <w:r>
        <w:rPr>
          <w:rFonts w:ascii="Palatino Linotype" w:hAnsi="Palatino Linotype" w:cs="Arial"/>
          <w:i/>
          <w:sz w:val="22"/>
          <w:szCs w:val="22"/>
        </w:rPr>
        <w:t>organismos,</w:t>
      </w:r>
      <w:r>
        <w:rPr>
          <w:rFonts w:ascii="Palatino Linotype" w:hAnsi="Palatino Linotype" w:cs="Arial"/>
          <w:i/>
        </w:rPr>
        <w:t xml:space="preserve"> </w:t>
      </w:r>
      <w:r>
        <w:rPr>
          <w:rFonts w:ascii="Palatino Linotype" w:hAnsi="Palatino Linotype" w:cs="Arial"/>
          <w:i/>
          <w:sz w:val="22"/>
          <w:szCs w:val="22"/>
        </w:rPr>
        <w:t>órganos</w:t>
      </w:r>
      <w:r>
        <w:rPr>
          <w:rFonts w:ascii="Palatino Linotype" w:hAnsi="Palatino Linotype" w:cs="Arial"/>
          <w:i/>
        </w:rPr>
        <w:t xml:space="preserve"> </w:t>
      </w:r>
      <w:r>
        <w:rPr>
          <w:rFonts w:ascii="Palatino Linotype" w:hAnsi="Palatino Linotype" w:cs="Arial"/>
          <w:i/>
          <w:sz w:val="22"/>
          <w:szCs w:val="22"/>
        </w:rPr>
        <w:t>y</w:t>
      </w:r>
      <w:r>
        <w:rPr>
          <w:rFonts w:ascii="Palatino Linotype" w:hAnsi="Palatino Linotype" w:cs="Arial"/>
          <w:i/>
        </w:rPr>
        <w:t xml:space="preserve"> </w:t>
      </w:r>
      <w:r>
        <w:rPr>
          <w:rFonts w:ascii="Palatino Linotype" w:hAnsi="Palatino Linotype" w:cs="Arial"/>
          <w:i/>
          <w:sz w:val="22"/>
          <w:szCs w:val="22"/>
        </w:rPr>
        <w:t>entidades</w:t>
      </w:r>
      <w:r>
        <w:rPr>
          <w:rFonts w:ascii="Palatino Linotype" w:hAnsi="Palatino Linotype" w:cs="Arial"/>
          <w:i/>
        </w:rPr>
        <w:t xml:space="preserve"> </w:t>
      </w:r>
      <w:r>
        <w:rPr>
          <w:rFonts w:ascii="Palatino Linotype" w:hAnsi="Palatino Linotype" w:cs="Arial"/>
          <w:i/>
          <w:sz w:val="22"/>
          <w:szCs w:val="22"/>
        </w:rPr>
        <w:t>de</w:t>
      </w:r>
      <w:r>
        <w:rPr>
          <w:rFonts w:ascii="Palatino Linotype" w:hAnsi="Palatino Linotype" w:cs="Arial"/>
          <w:i/>
        </w:rPr>
        <w:t xml:space="preserve"> </w:t>
      </w:r>
      <w:r>
        <w:rPr>
          <w:rFonts w:ascii="Palatino Linotype" w:hAnsi="Palatino Linotype" w:cs="Arial"/>
          <w:i/>
          <w:sz w:val="22"/>
          <w:szCs w:val="22"/>
        </w:rPr>
        <w:t>la</w:t>
      </w:r>
      <w:r>
        <w:rPr>
          <w:rFonts w:ascii="Palatino Linotype" w:hAnsi="Palatino Linotype" w:cs="Arial"/>
          <w:i/>
        </w:rPr>
        <w:t xml:space="preserve"> </w:t>
      </w:r>
      <w:r>
        <w:rPr>
          <w:rFonts w:ascii="Palatino Linotype" w:hAnsi="Palatino Linotype" w:cs="Arial"/>
          <w:i/>
          <w:sz w:val="22"/>
          <w:szCs w:val="22"/>
        </w:rPr>
        <w:t>administración</w:t>
      </w:r>
      <w:r>
        <w:rPr>
          <w:rFonts w:ascii="Palatino Linotype" w:hAnsi="Palatino Linotype" w:cs="Arial"/>
          <w:i/>
        </w:rPr>
        <w:t xml:space="preserve"> </w:t>
      </w:r>
      <w:r>
        <w:rPr>
          <w:rFonts w:ascii="Palatino Linotype" w:hAnsi="Palatino Linotype" w:cs="Arial"/>
          <w:i/>
          <w:sz w:val="22"/>
          <w:szCs w:val="22"/>
        </w:rPr>
        <w:t>municipal;</w:t>
      </w:r>
    </w:p>
    <w:p w:rsidR="005A6B36" w:rsidRDefault="0049607E">
      <w:pPr>
        <w:ind w:left="851" w:right="902"/>
        <w:jc w:val="both"/>
        <w:rPr>
          <w:rFonts w:ascii="Palatino Linotype" w:hAnsi="Palatino Linotype" w:cs="Arial"/>
          <w:i/>
          <w:sz w:val="22"/>
          <w:szCs w:val="22"/>
        </w:rPr>
      </w:pPr>
      <w:r>
        <w:rPr>
          <w:rFonts w:ascii="Palatino Linotype" w:hAnsi="Palatino Linotype" w:cs="Arial"/>
          <w:i/>
          <w:sz w:val="22"/>
          <w:szCs w:val="22"/>
        </w:rPr>
        <w:t>V.</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i/>
          <w:sz w:val="22"/>
          <w:szCs w:val="22"/>
        </w:rPr>
        <w:t>órganos</w:t>
      </w:r>
      <w:r>
        <w:rPr>
          <w:rFonts w:ascii="Palatino Linotype" w:hAnsi="Palatino Linotype" w:cs="Arial"/>
          <w:i/>
        </w:rPr>
        <w:t xml:space="preserve"> </w:t>
      </w:r>
      <w:r>
        <w:rPr>
          <w:rFonts w:ascii="Palatino Linotype" w:hAnsi="Palatino Linotype"/>
          <w:i/>
          <w:sz w:val="22"/>
          <w:szCs w:val="22"/>
        </w:rPr>
        <w:t>autónomos</w:t>
      </w:r>
      <w:r>
        <w:rPr>
          <w:rFonts w:ascii="Palatino Linotype" w:hAnsi="Palatino Linotype" w:cs="Arial"/>
          <w:i/>
          <w:sz w:val="22"/>
          <w:szCs w:val="22"/>
        </w:rPr>
        <w:t>;</w:t>
      </w:r>
    </w:p>
    <w:p w:rsidR="005A6B36" w:rsidRDefault="0049607E">
      <w:pPr>
        <w:ind w:left="851" w:right="902"/>
        <w:jc w:val="both"/>
        <w:rPr>
          <w:rFonts w:ascii="Palatino Linotype" w:hAnsi="Palatino Linotype"/>
          <w:i/>
          <w:sz w:val="22"/>
          <w:szCs w:val="22"/>
        </w:rPr>
      </w:pPr>
      <w:r>
        <w:rPr>
          <w:rFonts w:ascii="Palatino Linotype" w:hAnsi="Palatino Linotype" w:cs="Arial"/>
          <w:i/>
          <w:sz w:val="22"/>
          <w:szCs w:val="22"/>
        </w:rPr>
        <w:t>VI.</w:t>
      </w:r>
      <w:r>
        <w:rPr>
          <w:rFonts w:ascii="Palatino Linotype" w:hAnsi="Palatino Linotype" w:cs="Arial"/>
          <w:i/>
        </w:rPr>
        <w:t xml:space="preserve"> </w:t>
      </w:r>
      <w:r>
        <w:rPr>
          <w:rFonts w:ascii="Palatino Linotype" w:hAnsi="Palatino Linotype" w:cs="Arial"/>
          <w:i/>
          <w:sz w:val="22"/>
          <w:szCs w:val="22"/>
        </w:rPr>
        <w:t>Los</w:t>
      </w:r>
      <w:r>
        <w:rPr>
          <w:rFonts w:ascii="Palatino Linotype" w:hAnsi="Palatino Linotype" w:cs="Arial"/>
          <w:i/>
        </w:rPr>
        <w:t xml:space="preserve"> </w:t>
      </w:r>
      <w:r>
        <w:rPr>
          <w:rFonts w:ascii="Palatino Linotype" w:hAnsi="Palatino Linotype"/>
          <w:i/>
          <w:sz w:val="22"/>
          <w:szCs w:val="22"/>
        </w:rPr>
        <w:t>tribunales</w:t>
      </w:r>
      <w:r>
        <w:rPr>
          <w:rFonts w:ascii="Palatino Linotype" w:hAnsi="Palatino Linotype"/>
          <w:i/>
        </w:rPr>
        <w:t xml:space="preserve"> </w:t>
      </w:r>
      <w:r>
        <w:rPr>
          <w:rFonts w:ascii="Palatino Linotype" w:hAnsi="Palatino Linotype"/>
          <w:i/>
          <w:sz w:val="22"/>
          <w:szCs w:val="22"/>
        </w:rPr>
        <w:t>administrativos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autoridades</w:t>
      </w:r>
      <w:r>
        <w:rPr>
          <w:rFonts w:ascii="Palatino Linotype" w:hAnsi="Palatino Linotype"/>
          <w:i/>
        </w:rPr>
        <w:t xml:space="preserve"> </w:t>
      </w:r>
      <w:r>
        <w:rPr>
          <w:rFonts w:ascii="Palatino Linotype" w:hAnsi="Palatino Linotype"/>
          <w:i/>
          <w:sz w:val="22"/>
          <w:szCs w:val="22"/>
        </w:rPr>
        <w:t>jurisdiccionales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materia</w:t>
      </w:r>
      <w:r>
        <w:rPr>
          <w:rFonts w:ascii="Palatino Linotype" w:hAnsi="Palatino Linotype"/>
          <w:i/>
        </w:rPr>
        <w:t xml:space="preserve"> </w:t>
      </w:r>
      <w:r>
        <w:rPr>
          <w:rFonts w:ascii="Palatino Linotype" w:hAnsi="Palatino Linotype"/>
          <w:i/>
          <w:sz w:val="22"/>
          <w:szCs w:val="22"/>
        </w:rPr>
        <w:t>laboral;</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VII.</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partidos</w:t>
      </w:r>
      <w:r>
        <w:rPr>
          <w:rFonts w:ascii="Palatino Linotype" w:hAnsi="Palatino Linotype"/>
          <w:i/>
        </w:rPr>
        <w:t xml:space="preserve"> </w:t>
      </w:r>
      <w:r>
        <w:rPr>
          <w:rFonts w:ascii="Palatino Linotype" w:hAnsi="Palatino Linotype"/>
          <w:i/>
          <w:sz w:val="22"/>
          <w:szCs w:val="22"/>
        </w:rPr>
        <w:t>políticos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agrupaciones</w:t>
      </w:r>
      <w:r>
        <w:rPr>
          <w:rFonts w:ascii="Palatino Linotype" w:hAnsi="Palatino Linotype"/>
          <w:i/>
        </w:rPr>
        <w:t xml:space="preserve"> </w:t>
      </w:r>
      <w:r>
        <w:rPr>
          <w:rFonts w:ascii="Palatino Linotype" w:hAnsi="Palatino Linotype"/>
          <w:i/>
          <w:sz w:val="22"/>
          <w:szCs w:val="22"/>
        </w:rPr>
        <w:t>políticas,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términos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disposiciones</w:t>
      </w:r>
      <w:r>
        <w:rPr>
          <w:rFonts w:ascii="Palatino Linotype" w:hAnsi="Palatino Linotype"/>
          <w:i/>
        </w:rPr>
        <w:t xml:space="preserve"> </w:t>
      </w:r>
      <w:r>
        <w:rPr>
          <w:rFonts w:ascii="Palatino Linotype" w:hAnsi="Palatino Linotype"/>
          <w:i/>
          <w:sz w:val="22"/>
          <w:szCs w:val="22"/>
        </w:rPr>
        <w:t>aplicables;</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VIII.</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fideicomisos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fondos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cuenten</w:t>
      </w:r>
      <w:r>
        <w:rPr>
          <w:rFonts w:ascii="Palatino Linotype" w:hAnsi="Palatino Linotype"/>
          <w:i/>
        </w:rPr>
        <w:t xml:space="preserve"> </w:t>
      </w:r>
      <w:r>
        <w:rPr>
          <w:rFonts w:ascii="Palatino Linotype" w:hAnsi="Palatino Linotype"/>
          <w:i/>
          <w:sz w:val="22"/>
          <w:szCs w:val="22"/>
        </w:rPr>
        <w:t>con</w:t>
      </w:r>
      <w:r>
        <w:rPr>
          <w:rFonts w:ascii="Palatino Linotype" w:hAnsi="Palatino Linotype"/>
          <w:i/>
        </w:rPr>
        <w:t xml:space="preserve"> </w:t>
      </w:r>
      <w:r>
        <w:rPr>
          <w:rFonts w:ascii="Palatino Linotype" w:hAnsi="Palatino Linotype"/>
          <w:i/>
          <w:sz w:val="22"/>
          <w:szCs w:val="22"/>
        </w:rPr>
        <w:t>financiamiento</w:t>
      </w:r>
      <w:r>
        <w:rPr>
          <w:rFonts w:ascii="Palatino Linotype" w:hAnsi="Palatino Linotype"/>
          <w:i/>
        </w:rPr>
        <w:t xml:space="preserve"> </w:t>
      </w:r>
      <w:r>
        <w:rPr>
          <w:rFonts w:ascii="Palatino Linotype" w:hAnsi="Palatino Linotype"/>
          <w:i/>
          <w:sz w:val="22"/>
          <w:szCs w:val="22"/>
        </w:rPr>
        <w:t>público,</w:t>
      </w:r>
      <w:r>
        <w:rPr>
          <w:rFonts w:ascii="Palatino Linotype" w:hAnsi="Palatino Linotype"/>
          <w:i/>
        </w:rPr>
        <w:t xml:space="preserve"> </w:t>
      </w:r>
      <w:r>
        <w:rPr>
          <w:rFonts w:ascii="Palatino Linotype" w:hAnsi="Palatino Linotype"/>
          <w:i/>
          <w:sz w:val="22"/>
          <w:szCs w:val="22"/>
        </w:rPr>
        <w:t>parcial</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total,</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con</w:t>
      </w:r>
      <w:r>
        <w:rPr>
          <w:rFonts w:ascii="Palatino Linotype" w:hAnsi="Palatino Linotype"/>
          <w:i/>
        </w:rPr>
        <w:t xml:space="preserve"> </w:t>
      </w:r>
      <w:r>
        <w:rPr>
          <w:rFonts w:ascii="Palatino Linotype" w:hAnsi="Palatino Linotype"/>
          <w:i/>
          <w:sz w:val="22"/>
          <w:szCs w:val="22"/>
        </w:rPr>
        <w:t>participación</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entidades</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gobierno;</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IX.</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sindicatos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reciban</w:t>
      </w:r>
      <w:r>
        <w:rPr>
          <w:rFonts w:ascii="Palatino Linotype" w:hAnsi="Palatino Linotype"/>
          <w:i/>
        </w:rPr>
        <w:t xml:space="preserve"> </w:t>
      </w:r>
      <w:r>
        <w:rPr>
          <w:rFonts w:ascii="Palatino Linotype" w:hAnsi="Palatino Linotype"/>
          <w:i/>
          <w:sz w:val="22"/>
          <w:szCs w:val="22"/>
        </w:rPr>
        <w:t>y/o</w:t>
      </w:r>
      <w:r>
        <w:rPr>
          <w:rFonts w:ascii="Palatino Linotype" w:hAnsi="Palatino Linotype"/>
          <w:i/>
        </w:rPr>
        <w:t xml:space="preserve"> </w:t>
      </w:r>
      <w:r>
        <w:rPr>
          <w:rFonts w:ascii="Palatino Linotype" w:hAnsi="Palatino Linotype"/>
          <w:i/>
          <w:sz w:val="22"/>
          <w:szCs w:val="22"/>
        </w:rPr>
        <w:t>ejerzan</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ámbito</w:t>
      </w:r>
      <w:r>
        <w:rPr>
          <w:rFonts w:ascii="Palatino Linotype" w:hAnsi="Palatino Linotype"/>
          <w:i/>
        </w:rPr>
        <w:t xml:space="preserve"> </w:t>
      </w:r>
      <w:r>
        <w:rPr>
          <w:rFonts w:ascii="Palatino Linotype" w:hAnsi="Palatino Linotype"/>
          <w:i/>
          <w:sz w:val="22"/>
          <w:szCs w:val="22"/>
        </w:rPr>
        <w:t>estatal</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municipal;</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X.</w:t>
      </w:r>
      <w:r>
        <w:rPr>
          <w:rFonts w:ascii="Palatino Linotype" w:hAnsi="Palatino Linotype"/>
          <w:i/>
        </w:rPr>
        <w:t xml:space="preserve"> </w:t>
      </w:r>
      <w:r>
        <w:rPr>
          <w:rFonts w:ascii="Palatino Linotype" w:hAnsi="Palatino Linotype"/>
          <w:i/>
          <w:sz w:val="22"/>
          <w:szCs w:val="22"/>
        </w:rPr>
        <w:t>Cualquier</w:t>
      </w:r>
      <w:r>
        <w:rPr>
          <w:rFonts w:ascii="Palatino Linotype" w:hAnsi="Palatino Linotype"/>
          <w:i/>
        </w:rPr>
        <w:t xml:space="preserve"> </w:t>
      </w:r>
      <w:r>
        <w:rPr>
          <w:rFonts w:ascii="Palatino Linotype" w:hAnsi="Palatino Linotype"/>
          <w:i/>
          <w:sz w:val="22"/>
          <w:szCs w:val="22"/>
        </w:rPr>
        <w:t>persona</w:t>
      </w:r>
      <w:r>
        <w:rPr>
          <w:rFonts w:ascii="Palatino Linotype" w:hAnsi="Palatino Linotype"/>
          <w:i/>
        </w:rPr>
        <w:t xml:space="preserve"> </w:t>
      </w:r>
      <w:r>
        <w:rPr>
          <w:rFonts w:ascii="Palatino Linotype" w:hAnsi="Palatino Linotype"/>
          <w:i/>
          <w:sz w:val="22"/>
          <w:szCs w:val="22"/>
        </w:rPr>
        <w:t>física</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jurídico</w:t>
      </w:r>
      <w:r>
        <w:rPr>
          <w:rFonts w:ascii="Palatino Linotype" w:hAnsi="Palatino Linotype"/>
          <w:i/>
        </w:rPr>
        <w:t xml:space="preserve"> </w:t>
      </w:r>
      <w:r>
        <w:rPr>
          <w:rFonts w:ascii="Palatino Linotype" w:hAnsi="Palatino Linotype"/>
          <w:i/>
          <w:sz w:val="22"/>
          <w:szCs w:val="22"/>
        </w:rPr>
        <w:t>colectiva</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reciba</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ejerza</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en</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ámbito</w:t>
      </w:r>
      <w:r>
        <w:rPr>
          <w:rFonts w:ascii="Palatino Linotype" w:hAnsi="Palatino Linotype"/>
          <w:i/>
        </w:rPr>
        <w:t xml:space="preserve"> </w:t>
      </w:r>
      <w:r>
        <w:rPr>
          <w:rFonts w:ascii="Palatino Linotype" w:hAnsi="Palatino Linotype"/>
          <w:i/>
          <w:sz w:val="22"/>
          <w:szCs w:val="22"/>
        </w:rPr>
        <w:t>estatal</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municipal;</w:t>
      </w:r>
      <w:r>
        <w:rPr>
          <w:rFonts w:ascii="Palatino Linotype" w:hAnsi="Palatino Linotype"/>
          <w:i/>
        </w:rPr>
        <w:t xml:space="preserve"> </w:t>
      </w:r>
      <w:r>
        <w:rPr>
          <w:rFonts w:ascii="Palatino Linotype" w:hAnsi="Palatino Linotype"/>
          <w:i/>
          <w:sz w:val="22"/>
          <w:szCs w:val="22"/>
        </w:rPr>
        <w:t>y</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lastRenderedPageBreak/>
        <w:t>XI.</w:t>
      </w:r>
      <w:r>
        <w:rPr>
          <w:rFonts w:ascii="Palatino Linotype" w:hAnsi="Palatino Linotype"/>
          <w:i/>
        </w:rPr>
        <w:t xml:space="preserve"> </w:t>
      </w:r>
      <w:r>
        <w:rPr>
          <w:rFonts w:ascii="Palatino Linotype" w:hAnsi="Palatino Linotype"/>
          <w:i/>
          <w:sz w:val="22"/>
          <w:szCs w:val="22"/>
        </w:rPr>
        <w:t>Cualquier</w:t>
      </w:r>
      <w:r>
        <w:rPr>
          <w:rFonts w:ascii="Palatino Linotype" w:hAnsi="Palatino Linotype"/>
          <w:i/>
        </w:rPr>
        <w:t xml:space="preserve"> </w:t>
      </w:r>
      <w:r>
        <w:rPr>
          <w:rFonts w:ascii="Palatino Linotype" w:hAnsi="Palatino Linotype"/>
          <w:i/>
          <w:sz w:val="22"/>
          <w:szCs w:val="22"/>
        </w:rPr>
        <w:t>otra</w:t>
      </w:r>
      <w:r>
        <w:rPr>
          <w:rFonts w:ascii="Palatino Linotype" w:hAnsi="Palatino Linotype"/>
          <w:i/>
        </w:rPr>
        <w:t xml:space="preserve"> </w:t>
      </w:r>
      <w:r>
        <w:rPr>
          <w:rFonts w:ascii="Palatino Linotype" w:hAnsi="Palatino Linotype"/>
          <w:i/>
          <w:sz w:val="22"/>
          <w:szCs w:val="22"/>
        </w:rPr>
        <w:t>autoridad,</w:t>
      </w:r>
      <w:r>
        <w:rPr>
          <w:rFonts w:ascii="Palatino Linotype" w:hAnsi="Palatino Linotype"/>
          <w:i/>
        </w:rPr>
        <w:t xml:space="preserve"> </w:t>
      </w:r>
      <w:r>
        <w:rPr>
          <w:rFonts w:ascii="Palatino Linotype" w:hAnsi="Palatino Linotype"/>
          <w:i/>
          <w:sz w:val="22"/>
          <w:szCs w:val="22"/>
        </w:rPr>
        <w:t>entidad,</w:t>
      </w:r>
      <w:r>
        <w:rPr>
          <w:rFonts w:ascii="Palatino Linotype" w:hAnsi="Palatino Linotype"/>
          <w:i/>
        </w:rPr>
        <w:t xml:space="preserve"> </w:t>
      </w:r>
      <w:r>
        <w:rPr>
          <w:rFonts w:ascii="Palatino Linotype" w:hAnsi="Palatino Linotype"/>
          <w:i/>
          <w:sz w:val="22"/>
          <w:szCs w:val="22"/>
        </w:rPr>
        <w:t>órgano</w:t>
      </w:r>
      <w:r>
        <w:rPr>
          <w:rFonts w:ascii="Palatino Linotype" w:hAnsi="Palatino Linotype"/>
          <w:i/>
        </w:rPr>
        <w:t xml:space="preserve"> </w:t>
      </w:r>
      <w:r>
        <w:rPr>
          <w:rFonts w:ascii="Palatino Linotype" w:hAnsi="Palatino Linotype"/>
          <w:i/>
          <w:sz w:val="22"/>
          <w:szCs w:val="22"/>
        </w:rPr>
        <w:t>u</w:t>
      </w:r>
      <w:r>
        <w:rPr>
          <w:rFonts w:ascii="Palatino Linotype" w:hAnsi="Palatino Linotype"/>
          <w:i/>
        </w:rPr>
        <w:t xml:space="preserve"> </w:t>
      </w:r>
      <w:r>
        <w:rPr>
          <w:rFonts w:ascii="Palatino Linotype" w:hAnsi="Palatino Linotype"/>
          <w:i/>
          <w:sz w:val="22"/>
          <w:szCs w:val="22"/>
        </w:rPr>
        <w:t>organismo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poderes</w:t>
      </w:r>
      <w:r>
        <w:rPr>
          <w:rFonts w:ascii="Palatino Linotype" w:hAnsi="Palatino Linotype"/>
          <w:i/>
        </w:rPr>
        <w:t xml:space="preserve"> </w:t>
      </w:r>
      <w:r>
        <w:rPr>
          <w:rFonts w:ascii="Palatino Linotype" w:hAnsi="Palatino Linotype"/>
          <w:i/>
          <w:sz w:val="22"/>
          <w:szCs w:val="22"/>
        </w:rPr>
        <w:t>estatal</w:t>
      </w:r>
      <w:r>
        <w:rPr>
          <w:rFonts w:ascii="Palatino Linotype" w:hAnsi="Palatino Linotype"/>
          <w:i/>
        </w:rPr>
        <w:t xml:space="preserve"> </w:t>
      </w:r>
      <w:r>
        <w:rPr>
          <w:rFonts w:ascii="Palatino Linotype" w:hAnsi="Palatino Linotype"/>
          <w:i/>
          <w:sz w:val="22"/>
          <w:szCs w:val="22"/>
        </w:rPr>
        <w:t>o</w:t>
      </w:r>
      <w:r>
        <w:rPr>
          <w:rFonts w:ascii="Palatino Linotype" w:hAnsi="Palatino Linotype"/>
          <w:i/>
        </w:rPr>
        <w:t xml:space="preserve"> </w:t>
      </w:r>
      <w:r>
        <w:rPr>
          <w:rFonts w:ascii="Palatino Linotype" w:hAnsi="Palatino Linotype"/>
          <w:i/>
          <w:sz w:val="22"/>
          <w:szCs w:val="22"/>
        </w:rPr>
        <w:t>municipal,</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reciba</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públicos.</w:t>
      </w:r>
    </w:p>
    <w:p w:rsidR="005A6B36" w:rsidRDefault="0049607E">
      <w:pPr>
        <w:ind w:left="851" w:right="902"/>
        <w:jc w:val="both"/>
        <w:rPr>
          <w:rFonts w:ascii="Palatino Linotype" w:hAnsi="Palatino Linotype"/>
          <w:i/>
          <w:sz w:val="22"/>
          <w:szCs w:val="22"/>
        </w:rPr>
      </w:pP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sujetos</w:t>
      </w:r>
      <w:r>
        <w:rPr>
          <w:rFonts w:ascii="Palatino Linotype" w:hAnsi="Palatino Linotype"/>
          <w:i/>
        </w:rPr>
        <w:t xml:space="preserve"> </w:t>
      </w:r>
      <w:r>
        <w:rPr>
          <w:rFonts w:ascii="Palatino Linotype" w:hAnsi="Palatino Linotype"/>
          <w:i/>
          <w:sz w:val="22"/>
          <w:szCs w:val="22"/>
        </w:rPr>
        <w:t>obligados</w:t>
      </w:r>
      <w:r>
        <w:rPr>
          <w:rFonts w:ascii="Palatino Linotype" w:hAnsi="Palatino Linotype"/>
          <w:i/>
        </w:rPr>
        <w:t xml:space="preserve"> </w:t>
      </w:r>
      <w:r>
        <w:rPr>
          <w:rFonts w:ascii="Palatino Linotype" w:hAnsi="Palatino Linotype"/>
          <w:i/>
          <w:sz w:val="22"/>
          <w:szCs w:val="22"/>
        </w:rPr>
        <w:t>deberán</w:t>
      </w:r>
      <w:r>
        <w:rPr>
          <w:rFonts w:ascii="Palatino Linotype" w:hAnsi="Palatino Linotype"/>
          <w:i/>
        </w:rPr>
        <w:t xml:space="preserve"> </w:t>
      </w:r>
      <w:r>
        <w:rPr>
          <w:rFonts w:ascii="Palatino Linotype" w:hAnsi="Palatino Linotype"/>
          <w:i/>
          <w:sz w:val="22"/>
          <w:szCs w:val="22"/>
        </w:rPr>
        <w:t>hacer</w:t>
      </w:r>
      <w:r>
        <w:rPr>
          <w:rFonts w:ascii="Palatino Linotype" w:hAnsi="Palatino Linotype"/>
          <w:i/>
        </w:rPr>
        <w:t xml:space="preserve"> </w:t>
      </w:r>
      <w:r>
        <w:rPr>
          <w:rFonts w:ascii="Palatino Linotype" w:hAnsi="Palatino Linotype"/>
          <w:i/>
          <w:sz w:val="22"/>
          <w:szCs w:val="22"/>
        </w:rPr>
        <w:t>pública</w:t>
      </w:r>
      <w:r>
        <w:rPr>
          <w:rFonts w:ascii="Palatino Linotype" w:hAnsi="Palatino Linotype"/>
          <w:i/>
        </w:rPr>
        <w:t xml:space="preserve"> </w:t>
      </w:r>
      <w:r>
        <w:rPr>
          <w:rFonts w:ascii="Palatino Linotype" w:hAnsi="Palatino Linotype"/>
          <w:i/>
          <w:sz w:val="22"/>
          <w:szCs w:val="22"/>
        </w:rPr>
        <w:t>toda</w:t>
      </w:r>
      <w:r>
        <w:rPr>
          <w:rFonts w:ascii="Palatino Linotype" w:hAnsi="Palatino Linotype"/>
          <w:i/>
        </w:rPr>
        <w:t xml:space="preserve"> </w:t>
      </w:r>
      <w:r>
        <w:rPr>
          <w:rFonts w:ascii="Palatino Linotype" w:hAnsi="Palatino Linotype"/>
          <w:i/>
          <w:sz w:val="22"/>
          <w:szCs w:val="22"/>
        </w:rPr>
        <w:t>aquella</w:t>
      </w:r>
      <w:r>
        <w:rPr>
          <w:rFonts w:ascii="Palatino Linotype" w:hAnsi="Palatino Linotype"/>
          <w:i/>
        </w:rPr>
        <w:t xml:space="preserve"> </w:t>
      </w:r>
      <w:r>
        <w:rPr>
          <w:rFonts w:ascii="Palatino Linotype" w:hAnsi="Palatino Linotype"/>
          <w:i/>
          <w:sz w:val="22"/>
          <w:szCs w:val="22"/>
        </w:rPr>
        <w:t>información</w:t>
      </w:r>
      <w:r>
        <w:rPr>
          <w:rFonts w:ascii="Palatino Linotype" w:hAnsi="Palatino Linotype"/>
          <w:i/>
        </w:rPr>
        <w:t xml:space="preserve"> </w:t>
      </w:r>
      <w:r>
        <w:rPr>
          <w:rFonts w:ascii="Palatino Linotype" w:hAnsi="Palatino Linotype"/>
          <w:i/>
          <w:sz w:val="22"/>
          <w:szCs w:val="22"/>
        </w:rPr>
        <w:t>relativa</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montos</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las</w:t>
      </w:r>
      <w:r>
        <w:rPr>
          <w:rFonts w:ascii="Palatino Linotype" w:hAnsi="Palatino Linotype"/>
          <w:i/>
        </w:rPr>
        <w:t xml:space="preserve"> </w:t>
      </w:r>
      <w:r>
        <w:rPr>
          <w:rFonts w:ascii="Palatino Linotype" w:hAnsi="Palatino Linotype"/>
          <w:i/>
          <w:sz w:val="22"/>
          <w:szCs w:val="22"/>
        </w:rPr>
        <w:t>personas</w:t>
      </w:r>
      <w:r>
        <w:rPr>
          <w:rFonts w:ascii="Palatino Linotype" w:hAnsi="Palatino Linotype"/>
          <w:i/>
        </w:rPr>
        <w:t xml:space="preserve"> </w:t>
      </w:r>
      <w:r>
        <w:rPr>
          <w:rFonts w:ascii="Palatino Linotype" w:hAnsi="Palatino Linotype"/>
          <w:i/>
          <w:sz w:val="22"/>
          <w:szCs w:val="22"/>
        </w:rPr>
        <w:t>a</w:t>
      </w:r>
      <w:r>
        <w:rPr>
          <w:rFonts w:ascii="Palatino Linotype" w:hAnsi="Palatino Linotype"/>
          <w:i/>
        </w:rPr>
        <w:t xml:space="preserve"> </w:t>
      </w:r>
      <w:r>
        <w:rPr>
          <w:rFonts w:ascii="Palatino Linotype" w:hAnsi="Palatino Linotype"/>
          <w:i/>
          <w:sz w:val="22"/>
          <w:szCs w:val="22"/>
        </w:rPr>
        <w:t>quienes</w:t>
      </w:r>
      <w:r>
        <w:rPr>
          <w:rFonts w:ascii="Palatino Linotype" w:hAnsi="Palatino Linotype"/>
          <w:i/>
        </w:rPr>
        <w:t xml:space="preserve"> </w:t>
      </w:r>
      <w:r>
        <w:rPr>
          <w:rFonts w:ascii="Palatino Linotype" w:hAnsi="Palatino Linotype"/>
          <w:i/>
          <w:sz w:val="22"/>
          <w:szCs w:val="22"/>
        </w:rPr>
        <w:t>entreguen,</w:t>
      </w:r>
      <w:r>
        <w:rPr>
          <w:rFonts w:ascii="Palatino Linotype" w:hAnsi="Palatino Linotype"/>
          <w:i/>
        </w:rPr>
        <w:t xml:space="preserve"> </w:t>
      </w:r>
      <w:r>
        <w:rPr>
          <w:rFonts w:ascii="Palatino Linotype" w:hAnsi="Palatino Linotype"/>
          <w:i/>
          <w:sz w:val="22"/>
          <w:szCs w:val="22"/>
        </w:rPr>
        <w:t>por</w:t>
      </w:r>
      <w:r>
        <w:rPr>
          <w:rFonts w:ascii="Palatino Linotype" w:hAnsi="Palatino Linotype"/>
          <w:i/>
        </w:rPr>
        <w:t xml:space="preserve"> </w:t>
      </w:r>
      <w:r>
        <w:rPr>
          <w:rFonts w:ascii="Palatino Linotype" w:hAnsi="Palatino Linotype"/>
          <w:i/>
          <w:sz w:val="22"/>
          <w:szCs w:val="22"/>
        </w:rPr>
        <w:t>cualquier</w:t>
      </w:r>
      <w:r>
        <w:rPr>
          <w:rFonts w:ascii="Palatino Linotype" w:hAnsi="Palatino Linotype"/>
          <w:i/>
        </w:rPr>
        <w:t xml:space="preserve"> </w:t>
      </w:r>
      <w:r>
        <w:rPr>
          <w:rFonts w:ascii="Palatino Linotype" w:hAnsi="Palatino Linotype"/>
          <w:i/>
          <w:sz w:val="22"/>
          <w:szCs w:val="22"/>
        </w:rPr>
        <w:t>motivo,</w:t>
      </w:r>
      <w:r>
        <w:rPr>
          <w:rFonts w:ascii="Palatino Linotype" w:hAnsi="Palatino Linotype"/>
          <w:i/>
        </w:rPr>
        <w:t xml:space="preserve"> </w:t>
      </w:r>
      <w:r>
        <w:rPr>
          <w:rFonts w:ascii="Palatino Linotype" w:hAnsi="Palatino Linotype"/>
          <w:i/>
          <w:sz w:val="22"/>
          <w:szCs w:val="22"/>
        </w:rPr>
        <w:t>recursos</w:t>
      </w:r>
      <w:r>
        <w:rPr>
          <w:rFonts w:ascii="Palatino Linotype" w:hAnsi="Palatino Linotype"/>
          <w:i/>
        </w:rPr>
        <w:t xml:space="preserve"> </w:t>
      </w:r>
      <w:r>
        <w:rPr>
          <w:rFonts w:ascii="Palatino Linotype" w:hAnsi="Palatino Linotype"/>
          <w:i/>
          <w:sz w:val="22"/>
          <w:szCs w:val="22"/>
        </w:rPr>
        <w:t>públicos,</w:t>
      </w:r>
      <w:r>
        <w:rPr>
          <w:rFonts w:ascii="Palatino Linotype" w:hAnsi="Palatino Linotype"/>
          <w:i/>
        </w:rPr>
        <w:t xml:space="preserve"> </w:t>
      </w:r>
      <w:r>
        <w:rPr>
          <w:rFonts w:ascii="Palatino Linotype" w:hAnsi="Palatino Linotype"/>
          <w:i/>
          <w:sz w:val="22"/>
          <w:szCs w:val="22"/>
        </w:rPr>
        <w:t>así</w:t>
      </w:r>
      <w:r>
        <w:rPr>
          <w:rFonts w:ascii="Palatino Linotype" w:hAnsi="Palatino Linotype"/>
          <w:i/>
        </w:rPr>
        <w:t xml:space="preserve"> </w:t>
      </w:r>
      <w:r>
        <w:rPr>
          <w:rFonts w:ascii="Palatino Linotype" w:hAnsi="Palatino Linotype"/>
          <w:i/>
          <w:sz w:val="22"/>
          <w:szCs w:val="22"/>
        </w:rPr>
        <w:t>como</w:t>
      </w:r>
      <w:r>
        <w:rPr>
          <w:rFonts w:ascii="Palatino Linotype" w:hAnsi="Palatino Linotype"/>
          <w:i/>
        </w:rPr>
        <w:t xml:space="preserve"> </w:t>
      </w:r>
      <w:r>
        <w:rPr>
          <w:rFonts w:ascii="Palatino Linotype" w:hAnsi="Palatino Linotype"/>
          <w:i/>
          <w:sz w:val="22"/>
          <w:szCs w:val="22"/>
        </w:rPr>
        <w:t>los</w:t>
      </w:r>
      <w:r>
        <w:rPr>
          <w:rFonts w:ascii="Palatino Linotype" w:hAnsi="Palatino Linotype"/>
          <w:i/>
        </w:rPr>
        <w:t xml:space="preserve"> </w:t>
      </w:r>
      <w:r>
        <w:rPr>
          <w:rFonts w:ascii="Palatino Linotype" w:hAnsi="Palatino Linotype"/>
          <w:i/>
          <w:sz w:val="22"/>
          <w:szCs w:val="22"/>
        </w:rPr>
        <w:t>informes</w:t>
      </w:r>
      <w:r>
        <w:rPr>
          <w:rFonts w:ascii="Palatino Linotype" w:hAnsi="Palatino Linotype"/>
          <w:i/>
        </w:rPr>
        <w:t xml:space="preserve"> </w:t>
      </w:r>
      <w:r>
        <w:rPr>
          <w:rFonts w:ascii="Palatino Linotype" w:hAnsi="Palatino Linotype"/>
          <w:i/>
          <w:sz w:val="22"/>
          <w:szCs w:val="22"/>
        </w:rPr>
        <w:t>que</w:t>
      </w:r>
      <w:r>
        <w:rPr>
          <w:rFonts w:ascii="Palatino Linotype" w:hAnsi="Palatino Linotype"/>
          <w:i/>
        </w:rPr>
        <w:t xml:space="preserve"> </w:t>
      </w:r>
      <w:r>
        <w:rPr>
          <w:rFonts w:ascii="Palatino Linotype" w:hAnsi="Palatino Linotype"/>
          <w:i/>
          <w:sz w:val="22"/>
          <w:szCs w:val="22"/>
        </w:rPr>
        <w:t>dichas</w:t>
      </w:r>
      <w:r>
        <w:rPr>
          <w:rFonts w:ascii="Palatino Linotype" w:hAnsi="Palatino Linotype"/>
          <w:i/>
        </w:rPr>
        <w:t xml:space="preserve"> </w:t>
      </w:r>
      <w:r>
        <w:rPr>
          <w:rFonts w:ascii="Palatino Linotype" w:hAnsi="Palatino Linotype"/>
          <w:i/>
          <w:sz w:val="22"/>
          <w:szCs w:val="22"/>
        </w:rPr>
        <w:t>personas</w:t>
      </w:r>
      <w:r>
        <w:rPr>
          <w:rFonts w:ascii="Palatino Linotype" w:hAnsi="Palatino Linotype"/>
          <w:i/>
        </w:rPr>
        <w:t xml:space="preserve"> </w:t>
      </w:r>
      <w:r>
        <w:rPr>
          <w:rFonts w:ascii="Palatino Linotype" w:hAnsi="Palatino Linotype"/>
          <w:i/>
          <w:sz w:val="22"/>
          <w:szCs w:val="22"/>
        </w:rPr>
        <w:t>les</w:t>
      </w:r>
      <w:r>
        <w:rPr>
          <w:rFonts w:ascii="Palatino Linotype" w:hAnsi="Palatino Linotype"/>
          <w:i/>
        </w:rPr>
        <w:t xml:space="preserve"> </w:t>
      </w:r>
      <w:r>
        <w:rPr>
          <w:rFonts w:ascii="Palatino Linotype" w:hAnsi="Palatino Linotype"/>
          <w:i/>
          <w:sz w:val="22"/>
          <w:szCs w:val="22"/>
        </w:rPr>
        <w:t>entreguen</w:t>
      </w:r>
      <w:r>
        <w:rPr>
          <w:rFonts w:ascii="Palatino Linotype" w:hAnsi="Palatino Linotype"/>
          <w:i/>
        </w:rPr>
        <w:t xml:space="preserve"> </w:t>
      </w:r>
      <w:r>
        <w:rPr>
          <w:rFonts w:ascii="Palatino Linotype" w:hAnsi="Palatino Linotype"/>
          <w:i/>
          <w:sz w:val="22"/>
          <w:szCs w:val="22"/>
        </w:rPr>
        <w:t>sobre</w:t>
      </w:r>
      <w:r>
        <w:rPr>
          <w:rFonts w:ascii="Palatino Linotype" w:hAnsi="Palatino Linotype"/>
          <w:i/>
        </w:rPr>
        <w:t xml:space="preserve"> </w:t>
      </w:r>
      <w:r>
        <w:rPr>
          <w:rFonts w:ascii="Palatino Linotype" w:hAnsi="Palatino Linotype"/>
          <w:i/>
          <w:sz w:val="22"/>
          <w:szCs w:val="22"/>
        </w:rPr>
        <w:t>el</w:t>
      </w:r>
      <w:r>
        <w:rPr>
          <w:rFonts w:ascii="Palatino Linotype" w:hAnsi="Palatino Linotype"/>
          <w:i/>
        </w:rPr>
        <w:t xml:space="preserve"> </w:t>
      </w:r>
      <w:r>
        <w:rPr>
          <w:rFonts w:ascii="Palatino Linotype" w:hAnsi="Palatino Linotype"/>
          <w:i/>
          <w:sz w:val="22"/>
          <w:szCs w:val="22"/>
        </w:rPr>
        <w:t>uso</w:t>
      </w:r>
      <w:r>
        <w:rPr>
          <w:rFonts w:ascii="Palatino Linotype" w:hAnsi="Palatino Linotype"/>
          <w:i/>
        </w:rPr>
        <w:t xml:space="preserve"> </w:t>
      </w:r>
      <w:r>
        <w:rPr>
          <w:rFonts w:ascii="Palatino Linotype" w:hAnsi="Palatino Linotype"/>
          <w:i/>
          <w:sz w:val="22"/>
          <w:szCs w:val="22"/>
        </w:rPr>
        <w:t>y</w:t>
      </w:r>
      <w:r>
        <w:rPr>
          <w:rFonts w:ascii="Palatino Linotype" w:hAnsi="Palatino Linotype"/>
          <w:i/>
        </w:rPr>
        <w:t xml:space="preserve"> </w:t>
      </w:r>
      <w:r>
        <w:rPr>
          <w:rFonts w:ascii="Palatino Linotype" w:hAnsi="Palatino Linotype"/>
          <w:i/>
          <w:sz w:val="22"/>
          <w:szCs w:val="22"/>
        </w:rPr>
        <w:t>destino</w:t>
      </w:r>
      <w:r>
        <w:rPr>
          <w:rFonts w:ascii="Palatino Linotype" w:hAnsi="Palatino Linotype"/>
          <w:i/>
        </w:rPr>
        <w:t xml:space="preserve"> </w:t>
      </w:r>
      <w:r>
        <w:rPr>
          <w:rFonts w:ascii="Palatino Linotype" w:hAnsi="Palatino Linotype"/>
          <w:i/>
          <w:sz w:val="22"/>
          <w:szCs w:val="22"/>
        </w:rPr>
        <w:t>de</w:t>
      </w:r>
      <w:r>
        <w:rPr>
          <w:rFonts w:ascii="Palatino Linotype" w:hAnsi="Palatino Linotype"/>
          <w:i/>
        </w:rPr>
        <w:t xml:space="preserve"> </w:t>
      </w:r>
      <w:r>
        <w:rPr>
          <w:rFonts w:ascii="Palatino Linotype" w:hAnsi="Palatino Linotype"/>
          <w:i/>
          <w:sz w:val="22"/>
          <w:szCs w:val="22"/>
        </w:rPr>
        <w:t>dichos</w:t>
      </w:r>
      <w:r>
        <w:rPr>
          <w:rFonts w:ascii="Palatino Linotype" w:hAnsi="Palatino Linotype"/>
          <w:i/>
        </w:rPr>
        <w:t xml:space="preserve"> </w:t>
      </w:r>
      <w:r>
        <w:rPr>
          <w:rFonts w:ascii="Palatino Linotype" w:hAnsi="Palatino Linotype"/>
          <w:i/>
          <w:sz w:val="22"/>
          <w:szCs w:val="22"/>
        </w:rPr>
        <w:t>recursos.</w:t>
      </w:r>
    </w:p>
    <w:p w:rsidR="005A6B36" w:rsidRDefault="0049607E">
      <w:pPr>
        <w:ind w:left="851" w:right="902"/>
        <w:jc w:val="both"/>
        <w:rPr>
          <w:rFonts w:ascii="Palatino Linotype" w:hAnsi="Palatino Linotype" w:cs="Arial"/>
          <w:i/>
          <w:sz w:val="22"/>
          <w:szCs w:val="22"/>
        </w:rPr>
      </w:pPr>
      <w:r>
        <w:rPr>
          <w:rFonts w:ascii="Palatino Linotype" w:hAnsi="Palatino Linotype" w:cs="Arial"/>
          <w:b/>
          <w:i/>
          <w:sz w:val="22"/>
          <w:szCs w:val="22"/>
        </w:rPr>
        <w:t>Los</w:t>
      </w:r>
      <w:r>
        <w:rPr>
          <w:rFonts w:ascii="Palatino Linotype" w:hAnsi="Palatino Linotype" w:cs="Arial"/>
          <w:b/>
          <w:i/>
        </w:rPr>
        <w:t xml:space="preserve"> </w:t>
      </w:r>
      <w:r>
        <w:rPr>
          <w:rFonts w:ascii="Palatino Linotype" w:hAnsi="Palatino Linotype" w:cs="Arial"/>
          <w:b/>
          <w:i/>
          <w:sz w:val="22"/>
          <w:szCs w:val="22"/>
        </w:rPr>
        <w:t>servidores</w:t>
      </w:r>
      <w:r>
        <w:rPr>
          <w:rFonts w:ascii="Palatino Linotype" w:hAnsi="Palatino Linotype" w:cs="Arial"/>
          <w:b/>
          <w:i/>
        </w:rPr>
        <w:t xml:space="preserve"> </w:t>
      </w:r>
      <w:r>
        <w:rPr>
          <w:rFonts w:ascii="Palatino Linotype" w:hAnsi="Palatino Linotype" w:cs="Arial"/>
          <w:b/>
          <w:i/>
          <w:sz w:val="22"/>
          <w:szCs w:val="22"/>
        </w:rPr>
        <w:t>públicos</w:t>
      </w:r>
      <w:r>
        <w:rPr>
          <w:rFonts w:ascii="Palatino Linotype" w:hAnsi="Palatino Linotype" w:cs="Arial"/>
          <w:b/>
          <w:i/>
        </w:rPr>
        <w:t xml:space="preserve"> </w:t>
      </w:r>
      <w:r>
        <w:rPr>
          <w:rFonts w:ascii="Palatino Linotype" w:hAnsi="Palatino Linotype" w:cs="Arial"/>
          <w:b/>
          <w:i/>
          <w:sz w:val="22"/>
          <w:szCs w:val="22"/>
        </w:rPr>
        <w:t>deberán</w:t>
      </w:r>
      <w:r>
        <w:rPr>
          <w:rFonts w:ascii="Palatino Linotype" w:hAnsi="Palatino Linotype" w:cs="Arial"/>
          <w:b/>
          <w:i/>
        </w:rPr>
        <w:t xml:space="preserve"> </w:t>
      </w:r>
      <w:r>
        <w:rPr>
          <w:rFonts w:ascii="Palatino Linotype" w:hAnsi="Palatino Linotype" w:cs="Arial"/>
          <w:b/>
          <w:i/>
          <w:sz w:val="22"/>
          <w:szCs w:val="22"/>
        </w:rPr>
        <w:t>transparentar</w:t>
      </w:r>
      <w:r>
        <w:rPr>
          <w:rFonts w:ascii="Palatino Linotype" w:hAnsi="Palatino Linotype" w:cs="Arial"/>
          <w:b/>
          <w:i/>
        </w:rPr>
        <w:t xml:space="preserve"> </w:t>
      </w:r>
      <w:r>
        <w:rPr>
          <w:rFonts w:ascii="Palatino Linotype" w:hAnsi="Palatino Linotype" w:cs="Arial"/>
          <w:b/>
          <w:i/>
          <w:sz w:val="22"/>
          <w:szCs w:val="22"/>
        </w:rPr>
        <w:t>sus</w:t>
      </w:r>
      <w:r>
        <w:rPr>
          <w:rFonts w:ascii="Palatino Linotype" w:hAnsi="Palatino Linotype" w:cs="Arial"/>
          <w:b/>
          <w:i/>
        </w:rPr>
        <w:t xml:space="preserve"> </w:t>
      </w:r>
      <w:r>
        <w:rPr>
          <w:rFonts w:ascii="Palatino Linotype" w:hAnsi="Palatino Linotype" w:cs="Arial"/>
          <w:b/>
          <w:i/>
          <w:sz w:val="22"/>
          <w:szCs w:val="22"/>
        </w:rPr>
        <w:t>acciones,</w:t>
      </w:r>
      <w:r>
        <w:rPr>
          <w:rFonts w:ascii="Palatino Linotype" w:hAnsi="Palatino Linotype" w:cs="Arial"/>
          <w:b/>
          <w:i/>
        </w:rPr>
        <w:t xml:space="preserve"> </w:t>
      </w:r>
      <w:r>
        <w:rPr>
          <w:rFonts w:ascii="Palatino Linotype" w:hAnsi="Palatino Linotype" w:cs="Arial"/>
          <w:b/>
          <w:i/>
          <w:sz w:val="22"/>
          <w:szCs w:val="22"/>
        </w:rPr>
        <w:t>así</w:t>
      </w:r>
      <w:r>
        <w:rPr>
          <w:rFonts w:ascii="Palatino Linotype" w:hAnsi="Palatino Linotype" w:cs="Arial"/>
          <w:b/>
          <w:i/>
        </w:rPr>
        <w:t xml:space="preserve"> </w:t>
      </w:r>
      <w:r>
        <w:rPr>
          <w:rFonts w:ascii="Palatino Linotype" w:hAnsi="Palatino Linotype" w:cs="Arial"/>
          <w:b/>
          <w:i/>
          <w:sz w:val="22"/>
          <w:szCs w:val="22"/>
        </w:rPr>
        <w:t>como</w:t>
      </w:r>
      <w:r>
        <w:rPr>
          <w:rFonts w:ascii="Palatino Linotype" w:hAnsi="Palatino Linotype" w:cs="Arial"/>
          <w:b/>
          <w:i/>
        </w:rPr>
        <w:t xml:space="preserve"> </w:t>
      </w:r>
      <w:r>
        <w:rPr>
          <w:rFonts w:ascii="Palatino Linotype" w:hAnsi="Palatino Linotype" w:cs="Arial"/>
          <w:b/>
          <w:i/>
          <w:sz w:val="22"/>
          <w:szCs w:val="22"/>
        </w:rPr>
        <w:t>garantizar</w:t>
      </w:r>
      <w:r>
        <w:rPr>
          <w:rFonts w:ascii="Palatino Linotype" w:hAnsi="Palatino Linotype" w:cs="Arial"/>
          <w:b/>
          <w:i/>
        </w:rPr>
        <w:t xml:space="preserve"> </w:t>
      </w:r>
      <w:r>
        <w:rPr>
          <w:rFonts w:ascii="Palatino Linotype" w:hAnsi="Palatino Linotype" w:cs="Arial"/>
          <w:b/>
          <w:i/>
          <w:sz w:val="22"/>
          <w:szCs w:val="22"/>
        </w:rPr>
        <w:t>y</w:t>
      </w:r>
      <w:r>
        <w:rPr>
          <w:rFonts w:ascii="Palatino Linotype" w:hAnsi="Palatino Linotype" w:cs="Arial"/>
          <w:b/>
          <w:i/>
        </w:rPr>
        <w:t xml:space="preserve"> </w:t>
      </w:r>
      <w:r>
        <w:rPr>
          <w:rFonts w:ascii="Palatino Linotype" w:hAnsi="Palatino Linotype" w:cs="Arial"/>
          <w:b/>
          <w:i/>
          <w:sz w:val="22"/>
          <w:szCs w:val="22"/>
        </w:rPr>
        <w:t>respetar</w:t>
      </w:r>
      <w:r>
        <w:rPr>
          <w:rFonts w:ascii="Palatino Linotype" w:hAnsi="Palatino Linotype" w:cs="Arial"/>
          <w:b/>
          <w:i/>
        </w:rPr>
        <w:t xml:space="preserve"> </w:t>
      </w:r>
      <w:r>
        <w:rPr>
          <w:rFonts w:ascii="Palatino Linotype" w:hAnsi="Palatino Linotype" w:cs="Arial"/>
          <w:b/>
          <w:i/>
          <w:sz w:val="22"/>
          <w:szCs w:val="22"/>
        </w:rPr>
        <w:t>el</w:t>
      </w:r>
      <w:r>
        <w:rPr>
          <w:rFonts w:ascii="Palatino Linotype" w:hAnsi="Palatino Linotype" w:cs="Arial"/>
          <w:b/>
          <w:i/>
        </w:rPr>
        <w:t xml:space="preserve"> </w:t>
      </w:r>
      <w:r>
        <w:rPr>
          <w:rFonts w:ascii="Palatino Linotype" w:hAnsi="Palatino Linotype" w:cs="Arial"/>
          <w:b/>
          <w:i/>
          <w:sz w:val="22"/>
          <w:szCs w:val="22"/>
        </w:rPr>
        <w:t>derecho</w:t>
      </w:r>
      <w:r>
        <w:rPr>
          <w:rFonts w:ascii="Palatino Linotype" w:hAnsi="Palatino Linotype" w:cs="Arial"/>
          <w:b/>
          <w:i/>
        </w:rPr>
        <w:t xml:space="preserve"> </w:t>
      </w:r>
      <w:r>
        <w:rPr>
          <w:rFonts w:ascii="Palatino Linotype" w:hAnsi="Palatino Linotype" w:cs="Arial"/>
          <w:b/>
          <w:i/>
          <w:sz w:val="22"/>
          <w:szCs w:val="22"/>
        </w:rPr>
        <w:t>de</w:t>
      </w:r>
      <w:r>
        <w:rPr>
          <w:rFonts w:ascii="Palatino Linotype" w:hAnsi="Palatino Linotype" w:cs="Arial"/>
          <w:b/>
          <w:i/>
        </w:rPr>
        <w:t xml:space="preserve"> </w:t>
      </w:r>
      <w:r>
        <w:rPr>
          <w:rFonts w:ascii="Palatino Linotype" w:hAnsi="Palatino Linotype" w:cs="Arial"/>
          <w:b/>
          <w:i/>
          <w:sz w:val="22"/>
          <w:szCs w:val="22"/>
        </w:rPr>
        <w:t>acceso</w:t>
      </w:r>
      <w:r>
        <w:rPr>
          <w:rFonts w:ascii="Palatino Linotype" w:hAnsi="Palatino Linotype" w:cs="Arial"/>
          <w:b/>
          <w:i/>
        </w:rPr>
        <w:t xml:space="preserve"> </w:t>
      </w:r>
      <w:r>
        <w:rPr>
          <w:rFonts w:ascii="Palatino Linotype" w:hAnsi="Palatino Linotype" w:cs="Arial"/>
          <w:b/>
          <w:i/>
          <w:sz w:val="22"/>
          <w:szCs w:val="22"/>
        </w:rPr>
        <w:t>a</w:t>
      </w:r>
      <w:r>
        <w:rPr>
          <w:rFonts w:ascii="Palatino Linotype" w:hAnsi="Palatino Linotype" w:cs="Arial"/>
          <w:b/>
          <w:i/>
        </w:rPr>
        <w:t xml:space="preserve"> </w:t>
      </w:r>
      <w:r>
        <w:rPr>
          <w:rFonts w:ascii="Palatino Linotype" w:hAnsi="Palatino Linotype" w:cs="Arial"/>
          <w:b/>
          <w:i/>
          <w:sz w:val="22"/>
          <w:szCs w:val="22"/>
        </w:rPr>
        <w:t>la</w:t>
      </w:r>
      <w:r>
        <w:rPr>
          <w:rFonts w:ascii="Palatino Linotype" w:hAnsi="Palatino Linotype" w:cs="Arial"/>
          <w:b/>
          <w:i/>
        </w:rPr>
        <w:t xml:space="preserve"> </w:t>
      </w:r>
      <w:r>
        <w:rPr>
          <w:rFonts w:ascii="Palatino Linotype" w:hAnsi="Palatino Linotype" w:cs="Arial"/>
          <w:b/>
          <w:i/>
          <w:sz w:val="22"/>
          <w:szCs w:val="22"/>
        </w:rPr>
        <w:t>información</w:t>
      </w:r>
      <w:r>
        <w:rPr>
          <w:rFonts w:ascii="Palatino Linotype" w:hAnsi="Palatino Linotype" w:cs="Arial"/>
          <w:b/>
          <w:i/>
        </w:rPr>
        <w:t xml:space="preserve"> </w:t>
      </w:r>
      <w:r>
        <w:rPr>
          <w:rFonts w:ascii="Palatino Linotype" w:hAnsi="Palatino Linotype" w:cs="Arial"/>
          <w:b/>
          <w:i/>
          <w:sz w:val="22"/>
          <w:szCs w:val="22"/>
        </w:rPr>
        <w:t>pública</w:t>
      </w:r>
      <w:r>
        <w:rPr>
          <w:rFonts w:ascii="Palatino Linotype" w:hAnsi="Palatino Linotype" w:cs="Arial"/>
          <w:i/>
          <w:sz w:val="22"/>
          <w:szCs w:val="22"/>
        </w:rPr>
        <w:t>.”</w:t>
      </w:r>
      <w:r>
        <w:rPr>
          <w:rFonts w:ascii="Palatino Linotype" w:hAnsi="Palatino Linotype" w:cs="Arial"/>
          <w:i/>
        </w:rPr>
        <w:t xml:space="preserve"> </w:t>
      </w:r>
      <w:r>
        <w:rPr>
          <w:rFonts w:ascii="Palatino Linotype" w:hAnsi="Palatino Linotype" w:cs="Arial"/>
          <w:i/>
          <w:sz w:val="22"/>
          <w:szCs w:val="22"/>
        </w:rPr>
        <w:t>(Sic)</w:t>
      </w:r>
    </w:p>
    <w:p w:rsidR="005A6B36" w:rsidRDefault="0049607E">
      <w:pPr>
        <w:ind w:left="851" w:right="902"/>
        <w:jc w:val="both"/>
        <w:rPr>
          <w:rFonts w:ascii="Palatino Linotype" w:hAnsi="Palatino Linotype" w:cs="Arial"/>
          <w:sz w:val="22"/>
          <w:szCs w:val="22"/>
        </w:rPr>
      </w:pPr>
      <w:r>
        <w:rPr>
          <w:rFonts w:ascii="Palatino Linotype" w:hAnsi="Palatino Linotype" w:cs="Arial"/>
          <w:sz w:val="22"/>
          <w:szCs w:val="22"/>
        </w:rPr>
        <w:t>(Énfasis</w:t>
      </w:r>
      <w:r>
        <w:rPr>
          <w:rFonts w:ascii="Palatino Linotype" w:hAnsi="Palatino Linotype" w:cs="Arial"/>
        </w:rPr>
        <w:t xml:space="preserve"> </w:t>
      </w:r>
      <w:r>
        <w:rPr>
          <w:rFonts w:ascii="Palatino Linotype" w:hAnsi="Palatino Linotype" w:cs="Arial"/>
          <w:sz w:val="22"/>
          <w:szCs w:val="22"/>
        </w:rPr>
        <w:t>añadido)</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5A6B36" w:rsidRDefault="0049607E">
      <w:pPr>
        <w:spacing w:beforeAutospacing="1" w:afterAutospacing="1" w:line="360" w:lineRule="auto"/>
        <w:jc w:val="both"/>
        <w:rPr>
          <w:rFonts w:ascii="Palatino Linotype" w:hAnsi="Palatino Linotype"/>
        </w:rPr>
      </w:pPr>
      <w:r>
        <w:rPr>
          <w:rFonts w:ascii="Palatino Linotype" w:hAnsi="Palatino Linotype"/>
        </w:rPr>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rsidR="005A6B36" w:rsidRDefault="0049607E">
      <w:pPr>
        <w:spacing w:line="360" w:lineRule="auto"/>
        <w:jc w:val="both"/>
        <w:rPr>
          <w:rFonts w:ascii="Palatino Linotype" w:eastAsia="MS Mincho" w:hAnsi="Palatino Linotype" w:cs="Tahoma"/>
          <w:lang w:val="es-ES_tradnl"/>
        </w:rPr>
      </w:pPr>
      <w:r>
        <w:rPr>
          <w:rFonts w:ascii="Palatino Linotype" w:eastAsiaTheme="minorEastAsia" w:hAnsi="Palatino Linotype" w:cs="Arial"/>
          <w:lang w:val="es-ES_tradnl" w:eastAsia="es-MX"/>
        </w:rPr>
        <w:t xml:space="preserve">De la misma </w:t>
      </w:r>
      <w:r>
        <w:rPr>
          <w:rFonts w:ascii="Palatino Linotype" w:eastAsia="MS Mincho" w:hAnsi="Palatino Linotype" w:cstheme="minorBidi"/>
          <w:lang w:val="es-ES_tradnl"/>
        </w:rPr>
        <w:t>forma</w:t>
      </w:r>
      <w:r>
        <w:rPr>
          <w:rFonts w:ascii="Palatino Linotype" w:eastAsiaTheme="minorEastAsia" w:hAnsi="Palatino Linotype" w:cs="Arial"/>
          <w:lang w:val="es-ES_tradnl" w:eastAsia="es-MX"/>
        </w:rPr>
        <w:t xml:space="preserve">, </w:t>
      </w:r>
      <w:r>
        <w:rPr>
          <w:rFonts w:ascii="Palatino Linotype" w:eastAsia="MS Mincho" w:hAnsi="Palatino Linotype" w:cstheme="minorBidi"/>
          <w:lang w:val="es-ES_tradnl"/>
        </w:rPr>
        <w:t>se cita el contenido del artículo 160</w:t>
      </w:r>
      <w:r>
        <w:rPr>
          <w:rFonts w:ascii="Palatino Linotype" w:eastAsiaTheme="minorEastAsia" w:hAnsi="Palatino Linotype" w:cs="Arial"/>
          <w:lang w:val="es-ES_tradnl"/>
        </w:rPr>
        <w:t xml:space="preserve"> de la Ley </w:t>
      </w:r>
      <w:r>
        <w:rPr>
          <w:rFonts w:ascii="Palatino Linotype" w:eastAsia="MS Mincho" w:hAnsi="Palatino Linotype" w:cs="Tahoma"/>
          <w:lang w:val="es-ES_tradnl"/>
        </w:rPr>
        <w:t>General de Transparencia y Acceso a la Información Pública que a la letra dispone:</w:t>
      </w:r>
    </w:p>
    <w:p w:rsidR="005A6B36" w:rsidRDefault="005A6B36">
      <w:pPr>
        <w:jc w:val="both"/>
        <w:rPr>
          <w:rFonts w:ascii="Palatino Linotype" w:eastAsiaTheme="minorEastAsia" w:hAnsi="Palatino Linotype" w:cs="Arial"/>
          <w:lang w:val="es-ES_tradnl" w:eastAsia="es-MX"/>
        </w:rPr>
      </w:pPr>
    </w:p>
    <w:p w:rsidR="005A6B36" w:rsidRDefault="0049607E">
      <w:pPr>
        <w:ind w:left="851" w:right="901"/>
        <w:jc w:val="both"/>
        <w:rPr>
          <w:rFonts w:ascii="Palatino Linotype" w:eastAsiaTheme="minorEastAsia" w:hAnsi="Palatino Linotype" w:cs="Arial"/>
          <w:i/>
          <w:sz w:val="22"/>
          <w:szCs w:val="22"/>
          <w:lang w:val="es-ES_tradnl" w:eastAsia="gl-ES"/>
        </w:rPr>
      </w:pPr>
      <w:r>
        <w:rPr>
          <w:rFonts w:ascii="Palatino Linotype" w:eastAsiaTheme="minorEastAsia" w:hAnsi="Palatino Linotype" w:cs="Arial"/>
          <w:b/>
          <w:i/>
          <w:sz w:val="22"/>
          <w:szCs w:val="22"/>
          <w:lang w:val="es-ES_tradnl" w:eastAsia="gl-ES"/>
        </w:rPr>
        <w:t>“Artículo 160</w:t>
      </w:r>
      <w:r>
        <w:rPr>
          <w:rFonts w:ascii="Palatino Linotype" w:eastAsiaTheme="minorEastAsia" w:hAnsi="Palatino Linotype" w:cs="Arial"/>
          <w:i/>
          <w:sz w:val="22"/>
          <w:szCs w:val="22"/>
          <w:lang w:val="es-ES_tradnl" w:eastAsia="gl-ES"/>
        </w:rPr>
        <w:t xml:space="preserve">. Los </w:t>
      </w:r>
      <w:r>
        <w:rPr>
          <w:rFonts w:ascii="Palatino Linotype" w:eastAsiaTheme="minorEastAsia" w:hAnsi="Palatino Linotype" w:cs="Arial"/>
          <w:i/>
          <w:sz w:val="22"/>
          <w:szCs w:val="22"/>
          <w:lang w:val="es-ES_tradnl" w:eastAsia="es-MX"/>
        </w:rPr>
        <w:t>sujetos</w:t>
      </w:r>
      <w:r>
        <w:rPr>
          <w:rFonts w:ascii="Palatino Linotype" w:eastAsiaTheme="minorEastAsia" w:hAnsi="Palatino Linotype" w:cs="Arial"/>
          <w:i/>
          <w:sz w:val="22"/>
          <w:szCs w:val="22"/>
          <w:lang w:val="es-ES_tradnl" w:eastAsia="gl-ES"/>
        </w:rPr>
        <w:t xml:space="preserve">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Pr>
          <w:rFonts w:ascii="Palatino Linotype" w:eastAsiaTheme="minorEastAsia" w:hAnsi="Palatino Linotype" w:cs="Arial"/>
          <w:i/>
          <w:sz w:val="22"/>
          <w:szCs w:val="22"/>
        </w:rPr>
        <w:t xml:space="preserve"> (Sic)</w:t>
      </w:r>
    </w:p>
    <w:p w:rsidR="005A6B36" w:rsidRDefault="005A6B36">
      <w:pPr>
        <w:ind w:left="851" w:right="901"/>
        <w:jc w:val="both"/>
        <w:rPr>
          <w:rFonts w:ascii="Palatino Linotype" w:eastAsiaTheme="minorEastAsia" w:hAnsi="Palatino Linotype" w:cs="Arial"/>
          <w:i/>
          <w:sz w:val="22"/>
          <w:szCs w:val="22"/>
          <w:lang w:val="es-ES_tradnl" w:eastAsia="gl-ES"/>
        </w:rPr>
      </w:pPr>
    </w:p>
    <w:p w:rsidR="005A6B36" w:rsidRDefault="0049607E">
      <w:pPr>
        <w:spacing w:beforeAutospacing="1" w:afterAutospacing="1" w:line="360" w:lineRule="auto"/>
        <w:jc w:val="both"/>
        <w:rPr>
          <w:rFonts w:ascii="Palatino Linotype" w:hAnsi="Palatino Linotype"/>
        </w:rPr>
      </w:pPr>
      <w:r>
        <w:rPr>
          <w:rFonts w:ascii="Palatino Linotype" w:hAnsi="Palatino Linotype"/>
        </w:rPr>
        <w:lastRenderedPageBreak/>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rPr>
        <w:t xml:space="preserve">Lo anterior, sin perder de vista que la Constitución Política de los Estados Unidos Mexicanos le otorga a </w:t>
      </w:r>
      <w:r>
        <w:rPr>
          <w:rFonts w:ascii="Palatino Linotype" w:hAnsi="Palatino Linotype" w:cs="Arial"/>
          <w:b/>
        </w:rPr>
        <w:t>todos los documentos</w:t>
      </w:r>
      <w:r>
        <w:rPr>
          <w:rFonts w:ascii="Palatino Linotype" w:hAnsi="Palatino Linotype" w:cs="Arial"/>
        </w:rPr>
        <w:t xml:space="preserve"> en posesión de las autoridades </w:t>
      </w:r>
      <w:r>
        <w:rPr>
          <w:rFonts w:ascii="Palatino Linotype" w:hAnsi="Palatino Linotype" w:cs="Arial"/>
          <w:b/>
        </w:rPr>
        <w:t>la calidad de públicos</w:t>
      </w:r>
      <w:r>
        <w:rPr>
          <w:rFonts w:ascii="Palatino Linotype" w:hAnsi="Palatino Linotype" w:cs="Arial"/>
        </w:rPr>
        <w:t xml:space="preserve"> y únicamente pueden ser reservados temporalmente por razones de interés público y en los términos expresamente señalados en la Ley, es decir, el derecho de acceso a la información pública no es absoluto pero su restricción debe estar sujeta a un sistema rígido de excepciones, en el que los Sujetos Obligados deben fundamentar y argumentar las causas de interés público que se ponen en riesgo al liberarse la información, señalando un plazo justificado para la reserva de la información.</w:t>
      </w:r>
    </w:p>
    <w:p w:rsidR="005A6B36" w:rsidRDefault="0049607E">
      <w:pPr>
        <w:spacing w:beforeAutospacing="1" w:afterAutospacing="1" w:line="360" w:lineRule="auto"/>
        <w:jc w:val="both"/>
        <w:rPr>
          <w:rFonts w:ascii="Palatino Linotype" w:hAnsi="Palatino Linotype"/>
        </w:rPr>
      </w:pPr>
      <w:r>
        <w:rPr>
          <w:rFonts w:ascii="Palatino Linotype" w:hAnsi="Palatino Linotype"/>
        </w:rPr>
        <w:t xml:space="preserve">Siendo pertinente aclarar que, la información que se clasifica bajo la premisa de reservada, </w:t>
      </w:r>
      <w:r>
        <w:rPr>
          <w:rFonts w:ascii="Palatino Linotype" w:hAnsi="Palatino Linotype"/>
          <w:b/>
        </w:rPr>
        <w:t>no pierde el carácter de pública</w:t>
      </w:r>
      <w:r>
        <w:rPr>
          <w:rFonts w:ascii="Palatino Linotype" w:hAnsi="Palatino Linotype"/>
        </w:rPr>
        <w:t xml:space="preserve">, sino que </w:t>
      </w:r>
      <w:r>
        <w:rPr>
          <w:rFonts w:ascii="Palatino Linotype" w:hAnsi="Palatino Linotype"/>
          <w:b/>
        </w:rPr>
        <w:t>se reserva temporalmente</w:t>
      </w:r>
      <w:r>
        <w:rPr>
          <w:rFonts w:ascii="Palatino Linotype" w:hAnsi="Palatino Linotype"/>
        </w:rPr>
        <w:t xml:space="preserve"> </w:t>
      </w:r>
      <w:r>
        <w:rPr>
          <w:rFonts w:ascii="Palatino Linotype" w:hAnsi="Palatino Linotype"/>
          <w:b/>
        </w:rPr>
        <w:t>del conocimiento público</w:t>
      </w:r>
      <w:r>
        <w:rPr>
          <w:rFonts w:ascii="Palatino Linotype" w:hAnsi="Palatino Linotype"/>
        </w:rPr>
        <w:t xml:space="preserve">, es decir, que, </w:t>
      </w:r>
      <w:r>
        <w:rPr>
          <w:rFonts w:ascii="Palatino Linotype" w:hAnsi="Palatino Linotype"/>
          <w:b/>
        </w:rPr>
        <w:t>por un tiempo determinado</w:t>
      </w:r>
      <w:r>
        <w:rPr>
          <w:rFonts w:ascii="Palatino Linotype" w:hAnsi="Palatino Linotype"/>
        </w:rPr>
        <w:t xml:space="preserve">, se conservará y custodiará la información de manera especial, y una vez transcurrido el plazo de reserva, el documento podrá divulgarse, así mismo, al contener datos personales, susceptibles de ser considerados confidenciales, deberá de proporcionarse la información requerida en versión </w:t>
      </w:r>
      <w:r w:rsidR="004670AE">
        <w:rPr>
          <w:rFonts w:ascii="Palatino Linotype" w:hAnsi="Palatino Linotype"/>
        </w:rPr>
        <w:t>pública</w:t>
      </w:r>
      <w:r>
        <w:rPr>
          <w:rFonts w:ascii="Palatino Linotype" w:hAnsi="Palatino Linotype"/>
        </w:rPr>
        <w:t>, previa aprobación del Comité de Transparencia.</w:t>
      </w:r>
    </w:p>
    <w:p w:rsidR="005A6B36" w:rsidRDefault="0049607E">
      <w:pPr>
        <w:spacing w:beforeAutospacing="1" w:afterAutospacing="1" w:line="360" w:lineRule="auto"/>
        <w:jc w:val="both"/>
        <w:rPr>
          <w:rFonts w:ascii="Palatino Linotype" w:hAnsi="Palatino Linotype"/>
        </w:rPr>
      </w:pPr>
      <w:r>
        <w:rPr>
          <w:rFonts w:ascii="Palatino Linotype" w:hAnsi="Palatino Linotype"/>
        </w:rPr>
        <w:lastRenderedPageBreak/>
        <w:t>Ahora bien, una vez señalado lo anterior, es importante recordar que el particular requirió diversa información consistente en lo siguiente:</w:t>
      </w:r>
    </w:p>
    <w:p w:rsidR="005A6B36" w:rsidRDefault="0049607E">
      <w:pPr>
        <w:pStyle w:val="Prrafodelista"/>
        <w:widowControl w:val="0"/>
        <w:numPr>
          <w:ilvl w:val="0"/>
          <w:numId w:val="5"/>
        </w:numPr>
        <w:tabs>
          <w:tab w:val="left" w:pos="1701"/>
          <w:tab w:val="left" w:pos="1843"/>
        </w:tabs>
        <w:spacing w:beforeAutospacing="1" w:line="360" w:lineRule="auto"/>
        <w:contextualSpacing/>
        <w:jc w:val="both"/>
        <w:rPr>
          <w:rFonts w:ascii="Palatino Linotype" w:hAnsi="Palatino Linotype" w:cs="Arial"/>
          <w:b/>
        </w:rPr>
      </w:pPr>
      <w:r>
        <w:rPr>
          <w:rFonts w:ascii="Palatino Linotype" w:hAnsi="Palatino Linotype" w:cs="Arial"/>
          <w:b/>
        </w:rPr>
        <w:t xml:space="preserve">Convocatorias a licitaciones, procesos de adjudicación directa, o invitación restringida así como todos los contratos celebrados, las facturas y/o cualquier documento en el que se registre el pago realizado a las empresas </w:t>
      </w:r>
      <w:r>
        <w:rPr>
          <w:b/>
        </w:rPr>
        <w:t xml:space="preserve">ACCESSDATA, ACCESSDATA GROUP LLC, BLACKBAG TECHNOLOGIES INC, CELLEBRITE, CELLEBRITE INC, CELLEBRITE MOBILE SYNCHRONIZATION LTD, NUGA SYS, S.A. DE C.V., OPENTEXT CORP y PASSWARE INC y/o </w:t>
      </w:r>
      <w:r>
        <w:rPr>
          <w:rFonts w:ascii="Palatino Linotype" w:hAnsi="Palatino Linotype" w:cs="Arial"/>
          <w:b/>
        </w:rPr>
        <w:t>cualquiera de sus filiales y/o subsidiarias.</w:t>
      </w:r>
    </w:p>
    <w:p w:rsidR="005A6B36" w:rsidRDefault="0049607E">
      <w:pPr>
        <w:pStyle w:val="Prrafodelista"/>
        <w:widowControl w:val="0"/>
        <w:numPr>
          <w:ilvl w:val="0"/>
          <w:numId w:val="5"/>
        </w:numPr>
        <w:tabs>
          <w:tab w:val="left" w:pos="1701"/>
          <w:tab w:val="left" w:pos="1843"/>
        </w:tabs>
        <w:spacing w:line="360" w:lineRule="auto"/>
        <w:contextualSpacing/>
        <w:jc w:val="both"/>
        <w:rPr>
          <w:rFonts w:ascii="Palatino Linotype" w:hAnsi="Palatino Linotype" w:cs="Arial"/>
          <w:b/>
        </w:rPr>
      </w:pPr>
      <w:r>
        <w:rPr>
          <w:rFonts w:ascii="Palatino Linotype" w:hAnsi="Palatino Linotype" w:cs="Arial"/>
          <w:b/>
        </w:rPr>
        <w:t xml:space="preserve">Contratos y o cualquier otro documento celebrado para la renovación de cualquier software, licencia o herramienta tecnológica para la intervención de comunicaciones privadas y/o para la investigación forense de los siguientes programas: </w:t>
      </w:r>
      <w:r>
        <w:rPr>
          <w:b/>
        </w:rPr>
        <w:t>ACCESSDATA FORENSIC TOOL KIT, ACCESSDATA FTK, ACCESSDATA TRIAGE, AD TRIAGE, BLACKLIGHT, CELLEBRITE UFED TOUCH LOGICAL, CELLEBRITE UFED ULTIMATE, CELLEBRITE UMED PRO, ENCASE FORENSIC, FIRMWARE UFED TOUCH ULTIMATE, PASSWARE FORENSIC KIT, SISTEMA CELLEBRITE DE ANÁLISIS FORENSE, UFED 4PC, UFED 4PC ULTIMATE STANDARD, UFED TK ESTÁNDAR, UFED TOUCH, UFED TOUCH 2,  UFED ULTIMATE y UMED PRO</w:t>
      </w:r>
    </w:p>
    <w:p w:rsidR="005A6B36" w:rsidRDefault="0049607E">
      <w:pPr>
        <w:pStyle w:val="Prrafodelista"/>
        <w:widowControl w:val="0"/>
        <w:numPr>
          <w:ilvl w:val="0"/>
          <w:numId w:val="5"/>
        </w:numPr>
        <w:tabs>
          <w:tab w:val="left" w:pos="1701"/>
          <w:tab w:val="left" w:pos="1843"/>
        </w:tabs>
        <w:spacing w:afterAutospacing="1" w:line="360" w:lineRule="auto"/>
        <w:contextualSpacing/>
        <w:jc w:val="both"/>
        <w:rPr>
          <w:rFonts w:ascii="Palatino Linotype" w:hAnsi="Palatino Linotype" w:cs="Arial"/>
          <w:b/>
        </w:rPr>
      </w:pPr>
      <w:r>
        <w:rPr>
          <w:rFonts w:ascii="Palatino Linotype" w:hAnsi="Palatino Linotype" w:cs="Arial"/>
          <w:b/>
        </w:rPr>
        <w:t>De contar con cualquier software, licencia o herramienta tecnológica enlistado con antelación: El número de licencias para realizar análisis forenses que fueron adquiridos o contratados, así como la vigencia de dichas licencias y el número de dispositivos que han sido analizados con el software, licencia o herramienta tecnológica referida.</w:t>
      </w:r>
    </w:p>
    <w:p w:rsidR="005A6B36" w:rsidRDefault="0049607E">
      <w:pPr>
        <w:tabs>
          <w:tab w:val="left" w:pos="709"/>
        </w:tabs>
        <w:spacing w:line="360" w:lineRule="auto"/>
        <w:jc w:val="both"/>
        <w:rPr>
          <w:rFonts w:ascii="Palatino Linotype" w:hAnsi="Palatino Linotype" w:cs="Arial"/>
        </w:rPr>
      </w:pPr>
      <w:r>
        <w:rPr>
          <w:rFonts w:ascii="Palatino Linotype" w:hAnsi="Palatino Linotype" w:cs="Arial"/>
        </w:rPr>
        <w:lastRenderedPageBreak/>
        <w:t xml:space="preserve">Acto seguido </w:t>
      </w:r>
      <w:r>
        <w:rPr>
          <w:rFonts w:ascii="Palatino Linotype" w:hAnsi="Palatino Linotype" w:cs="Arial"/>
          <w:b/>
        </w:rPr>
        <w:t>EL SUJETO OBLIGADO</w:t>
      </w:r>
      <w:r>
        <w:rPr>
          <w:rFonts w:ascii="Palatino Linotype" w:hAnsi="Palatino Linotype" w:cs="Arial"/>
        </w:rPr>
        <w:t>, adjuntó a su respuesta, el archivo electrónico denominado</w:t>
      </w:r>
      <w:r>
        <w:t xml:space="preserve"> </w:t>
      </w:r>
      <w:r>
        <w:rPr>
          <w:rFonts w:ascii="Palatino Linotype" w:hAnsi="Palatino Linotype" w:cs="Arial"/>
          <w:b/>
          <w:i/>
        </w:rPr>
        <w:t>057 RESPUESTA.pdf</w:t>
      </w:r>
      <w:r>
        <w:rPr>
          <w:rFonts w:ascii="Palatino Linotype" w:hAnsi="Palatino Linotype" w:cs="Arial"/>
          <w:b/>
        </w:rPr>
        <w:t xml:space="preserve">, </w:t>
      </w:r>
      <w:r>
        <w:rPr>
          <w:rFonts w:ascii="Palatino Linotype" w:hAnsi="Palatino Linotype" w:cs="Arial"/>
        </w:rPr>
        <w:t xml:space="preserve">mediante el cual, señaló que a través de oficios números 20600101000000L/UIPPE/0120/2020, 20600101000000L/UIPPE/0124/2020, 20600101000000L/UIPPE/0123/2020 y 20600101000000L/UIPPE/0119/2020, solicitó información a los Servidores Públicos Habilitados del </w:t>
      </w:r>
      <w:r>
        <w:rPr>
          <w:rFonts w:ascii="Palatino Linotype" w:hAnsi="Palatino Linotype" w:cs="Arial"/>
          <w:u w:val="single"/>
        </w:rPr>
        <w:t>Centro de Control, Comando, Comunicación, Computo y Calidad, Dirección General de Desarrollo Institucional e Innovación, Dirección General de Información y Oficialía Mayor</w:t>
      </w:r>
      <w:r>
        <w:rPr>
          <w:rFonts w:ascii="Palatino Linotype" w:hAnsi="Palatino Linotype" w:cs="Arial"/>
        </w:rPr>
        <w:t>, quienes dieron respuesta señalando que después de una búsqueda razonable y minuciosa en los archivos físicos y electrónicos, no se localizó documentación alguna que refiriera que haya existido o exista algún tipo de contrato, entre la Secretaría de Seguridad y las empresas referidas, motivo por el cual, no era posible proporcionar la información solicitada.</w:t>
      </w:r>
    </w:p>
    <w:p w:rsidR="005A6B36" w:rsidRDefault="005A6B36">
      <w:pPr>
        <w:tabs>
          <w:tab w:val="left" w:pos="709"/>
        </w:tabs>
        <w:spacing w:line="360" w:lineRule="auto"/>
        <w:jc w:val="both"/>
        <w:rPr>
          <w:rFonts w:ascii="Palatino Linotype" w:hAnsi="Palatino Linotype" w:cs="Arial"/>
        </w:rPr>
      </w:pPr>
    </w:p>
    <w:p w:rsidR="005A6B36" w:rsidRDefault="0049607E">
      <w:pPr>
        <w:tabs>
          <w:tab w:val="left" w:pos="709"/>
        </w:tabs>
        <w:spacing w:line="360" w:lineRule="auto"/>
        <w:jc w:val="both"/>
        <w:rPr>
          <w:rFonts w:ascii="Palatino Linotype" w:eastAsia="Arial Unicode MS" w:hAnsi="Palatino Linotype" w:cs="Arial"/>
        </w:rPr>
      </w:pPr>
      <w:r>
        <w:rPr>
          <w:rFonts w:ascii="Palatino Linotype" w:hAnsi="Palatino Linotype" w:cs="Arial"/>
        </w:rPr>
        <w:t xml:space="preserve">Ahora bien, en primer lugar es importante analizar si </w:t>
      </w:r>
      <w:r>
        <w:rPr>
          <w:rFonts w:ascii="Palatino Linotype" w:hAnsi="Palatino Linotype" w:cs="Arial"/>
          <w:b/>
        </w:rPr>
        <w:t>EL SUJETO OBLIGADO</w:t>
      </w:r>
      <w:r>
        <w:rPr>
          <w:rFonts w:ascii="Palatino Linotype" w:hAnsi="Palatino Linotype" w:cs="Arial"/>
        </w:rPr>
        <w:t xml:space="preserve">, turnó la solicitud de información a las áreas correspondientes a afecto de realizar una búsqueda exhaustiva y razonable de la información, </w:t>
      </w:r>
      <w:r>
        <w:rPr>
          <w:rFonts w:ascii="Palatino Linotype" w:eastAsia="Arial Unicode MS" w:hAnsi="Palatino Linotype" w:cs="Arial"/>
        </w:rPr>
        <w:t xml:space="preserve">esto en razón de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 xml:space="preserve">Dicho lo anterior, se precisa que la ya mencionada Unidad de Transparencia es la encargada de tramitar internamente las solicitudes de información y tiene la responsabilidad de verificar, en cada caso, que la información no tenga el carácter de </w:t>
      </w:r>
      <w:r>
        <w:rPr>
          <w:rFonts w:ascii="Palatino Linotype" w:eastAsia="Arial Unicode MS" w:hAnsi="Palatino Linotype" w:cs="Arial"/>
        </w:rPr>
        <w:lastRenderedPageBreak/>
        <w:t>confidencial o reservada, en términos de los artículos 50 y 51 de la Ley de Transparencia y Acceso a la Información del Estado de México y Municipios.</w:t>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Por su parte, el artículo 53, fracciones II, IV y V de la Ley antes citada establece que 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rPr>
        <w:t>Asimismo, el diverso artículo 54 de la Ley de Transparencia y Acceso a la Información Pública del Estado de México y Municipios establece que cuando algún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rFonts w:ascii="Palatino Linotype" w:eastAsia="Arial Unicode MS" w:hAnsi="Palatino Linotype" w:cs="Arial"/>
        </w:rPr>
        <w:t>Así del expediente electrónico del SAIMEX no se advierte turno alguno, mediante el cual la Titular de la Unidad de Transparencia haya requerido la información solicitada por el particular tal y como se observa a continuación:</w:t>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noProof/>
          <w:lang w:eastAsia="es-MX"/>
        </w:rPr>
        <w:lastRenderedPageBreak/>
        <w:drawing>
          <wp:inline distT="0" distB="0" distL="0" distR="0">
            <wp:extent cx="5848350" cy="1724025"/>
            <wp:effectExtent l="0" t="0" r="0" b="9525"/>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7"/>
                    <pic:cNvPicPr>
                      <a:picLocks noChangeAspect="1" noChangeArrowheads="1"/>
                    </pic:cNvPicPr>
                  </pic:nvPicPr>
                  <pic:blipFill>
                    <a:blip r:embed="rId13"/>
                    <a:srcRect l="16340" t="33145" r="16089" b="52717"/>
                    <a:stretch>
                      <a:fillRect/>
                    </a:stretch>
                  </pic:blipFill>
                  <pic:spPr bwMode="auto">
                    <a:xfrm>
                      <a:off x="0" y="0"/>
                      <a:ext cx="5848350" cy="1724025"/>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hAnsi="Palatino Linotype" w:cs="Arial"/>
        </w:rPr>
      </w:pPr>
      <w:r>
        <w:rPr>
          <w:rFonts w:ascii="Palatino Linotype" w:eastAsia="Arial Unicode MS" w:hAnsi="Palatino Linotype" w:cs="Arial"/>
        </w:rPr>
        <w:t xml:space="preserve">No obstante a lo anterior mediante respuesta el Titular de la Unidad de Transparencia hizo mención que mediante los oficios números </w:t>
      </w:r>
      <w:r>
        <w:rPr>
          <w:rFonts w:ascii="Palatino Linotype" w:hAnsi="Palatino Linotype" w:cs="Arial"/>
        </w:rPr>
        <w:t xml:space="preserve">20600101000000L/UIPPE/0120/2020, 20600101000000L/UIPPE/0124/2020, 20600101000000L/UIPPE/0123/2020 y 20600101000000L/UIPPE/0119/2020, solicitó la información requerida a los Servidores Públicos Habilitados del </w:t>
      </w:r>
      <w:r>
        <w:rPr>
          <w:rFonts w:ascii="Palatino Linotype" w:hAnsi="Palatino Linotype" w:cs="Arial"/>
          <w:u w:val="single"/>
        </w:rPr>
        <w:t>Centro de Control, Comando, Comunicación, Computo y Calidad, Dirección General de Desarrollo Institucional e Innovación, Dirección General de Información y Oficialía Mayor</w:t>
      </w:r>
      <w:r>
        <w:rPr>
          <w:rFonts w:ascii="Palatino Linotype" w:hAnsi="Palatino Linotype" w:cs="Arial"/>
        </w:rPr>
        <w:t>; sin embargo omitió adjuntar las respuestas de los Servidores Públicos Habilitados mencionados.</w:t>
      </w:r>
    </w:p>
    <w:p w:rsidR="005A6B36" w:rsidRDefault="0049607E">
      <w:pPr>
        <w:widowControl w:val="0"/>
        <w:tabs>
          <w:tab w:val="left" w:pos="1276"/>
        </w:tabs>
        <w:spacing w:before="240" w:afterAutospacing="1" w:line="360" w:lineRule="auto"/>
        <w:jc w:val="both"/>
        <w:rPr>
          <w:rFonts w:ascii="Palatino Linotype" w:hAnsi="Palatino Linotype"/>
          <w:lang w:val="es-ES_tradnl"/>
        </w:rPr>
      </w:pPr>
      <w:r>
        <w:rPr>
          <w:rFonts w:ascii="Palatino Linotype" w:hAnsi="Palatino Linotype" w:cs="Arial"/>
        </w:rPr>
        <w:t xml:space="preserve">No obstante a ello, mediante Informe Justificado, </w:t>
      </w:r>
      <w:r>
        <w:rPr>
          <w:rFonts w:ascii="Palatino Linotype" w:hAnsi="Palatino Linotype" w:cs="Arial"/>
          <w:b/>
        </w:rPr>
        <w:t>EL SUJETO OBLIGADO</w:t>
      </w:r>
      <w:r>
        <w:rPr>
          <w:rFonts w:ascii="Palatino Linotype" w:hAnsi="Palatino Linotype" w:cs="Arial"/>
        </w:rPr>
        <w:t xml:space="preserve"> </w:t>
      </w:r>
      <w:r>
        <w:rPr>
          <w:rFonts w:ascii="Palatino Linotype" w:hAnsi="Palatino Linotype"/>
          <w:lang w:val="es-ES_tradnl"/>
        </w:rPr>
        <w:t xml:space="preserve">adjuntó el archivo electrónico </w:t>
      </w:r>
      <w:hyperlink r:id="rId14">
        <w:r>
          <w:rPr>
            <w:rStyle w:val="EnlacedeInternet"/>
            <w:rFonts w:ascii="Palatino Linotype" w:hAnsi="Palatino Linotype"/>
            <w:b/>
            <w:bCs/>
            <w:i/>
          </w:rPr>
          <w:t>RR01517.pdf</w:t>
        </w:r>
      </w:hyperlink>
      <w:r>
        <w:rPr>
          <w:rFonts w:ascii="Palatino Linotype" w:hAnsi="Palatino Linotype"/>
          <w:lang w:val="es-ES_tradnl"/>
        </w:rPr>
        <w:t>, consistente en el oficio de fecha tres de agosto de dos mil veinte,</w:t>
      </w:r>
      <w:r>
        <w:rPr>
          <w:rFonts w:ascii="Palatino Linotype" w:hAnsi="Palatino Linotype"/>
          <w:b/>
          <w:i/>
          <w:lang w:val="es-ES_tradnl"/>
        </w:rPr>
        <w:t xml:space="preserve"> </w:t>
      </w:r>
      <w:r>
        <w:rPr>
          <w:rFonts w:ascii="Palatino Linotype" w:hAnsi="Palatino Linotype"/>
          <w:lang w:val="es-ES_tradnl"/>
        </w:rPr>
        <w:t>signado por la Titular de la Unidad de Transparencia, mediante el cual modificó su respuesta inicial y adicionó las imágenes de los oficios dirigidos y remitidos por los Servidores Públicos Habilitados señalados en respuesta, sin embargo los mismos se encuentran ilegibles y borrosos, tal como se muestra a continuación:</w:t>
      </w:r>
    </w:p>
    <w:p w:rsidR="005A6B36" w:rsidRDefault="0049607E">
      <w:pPr>
        <w:widowControl w:val="0"/>
        <w:tabs>
          <w:tab w:val="left" w:pos="1276"/>
        </w:tabs>
        <w:spacing w:before="240" w:afterAutospacing="1" w:line="360" w:lineRule="auto"/>
        <w:jc w:val="both"/>
        <w:rPr>
          <w:rFonts w:ascii="Palatino Linotype" w:hAnsi="Palatino Linotype"/>
          <w:lang w:val="es-ES_tradnl"/>
        </w:rPr>
      </w:pPr>
      <w:r>
        <w:rPr>
          <w:noProof/>
          <w:lang w:eastAsia="es-MX"/>
        </w:rPr>
        <w:lastRenderedPageBreak/>
        <w:drawing>
          <wp:inline distT="0" distB="0" distL="0" distR="0">
            <wp:extent cx="5857875" cy="68961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noChangeArrowheads="1"/>
                    </pic:cNvPicPr>
                  </pic:nvPicPr>
                  <pic:blipFill>
                    <a:blip r:embed="rId15"/>
                    <a:srcRect t="8952" r="10161" b="14808"/>
                    <a:stretch>
                      <a:fillRect/>
                    </a:stretch>
                  </pic:blipFill>
                  <pic:spPr bwMode="auto">
                    <a:xfrm>
                      <a:off x="0" y="0"/>
                      <a:ext cx="5857875" cy="6896100"/>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hAnsi="Palatino Linotype" w:cs="Arial"/>
        </w:rPr>
      </w:pPr>
      <w:r>
        <w:rPr>
          <w:noProof/>
          <w:lang w:eastAsia="es-MX"/>
        </w:rPr>
        <w:lastRenderedPageBreak/>
        <w:drawing>
          <wp:inline distT="0" distB="0" distL="0" distR="0">
            <wp:extent cx="5810250" cy="3419475"/>
            <wp:effectExtent l="0" t="0" r="0" b="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pic:cNvPicPr>
                      <a:picLocks noChangeAspect="1" noChangeArrowheads="1"/>
                    </pic:cNvPicPr>
                  </pic:nvPicPr>
                  <pic:blipFill>
                    <a:blip r:embed="rId16"/>
                    <a:srcRect l="6529" t="10896" r="2550" b="10226"/>
                    <a:stretch>
                      <a:fillRect/>
                    </a:stretch>
                  </pic:blipFill>
                  <pic:spPr bwMode="auto">
                    <a:xfrm>
                      <a:off x="0" y="0"/>
                      <a:ext cx="5810250" cy="3419475"/>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hAnsi="Palatino Linotype" w:cs="Arial"/>
        </w:rPr>
      </w:pPr>
      <w:r>
        <w:rPr>
          <w:noProof/>
          <w:lang w:eastAsia="es-MX"/>
        </w:rPr>
        <w:drawing>
          <wp:inline distT="0" distB="0" distL="0" distR="0">
            <wp:extent cx="5867400" cy="3629025"/>
            <wp:effectExtent l="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4"/>
                    <pic:cNvPicPr>
                      <a:picLocks noChangeAspect="1" noChangeArrowheads="1"/>
                    </pic:cNvPicPr>
                  </pic:nvPicPr>
                  <pic:blipFill>
                    <a:blip r:embed="rId17"/>
                    <a:srcRect l="10899" t="22003" r="11955" b="17968"/>
                    <a:stretch>
                      <a:fillRect/>
                    </a:stretch>
                  </pic:blipFill>
                  <pic:spPr bwMode="auto">
                    <a:xfrm>
                      <a:off x="0" y="0"/>
                      <a:ext cx="5867400" cy="3629025"/>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noProof/>
          <w:lang w:eastAsia="es-MX"/>
        </w:rPr>
        <w:lastRenderedPageBreak/>
        <w:drawing>
          <wp:inline distT="0" distB="0" distL="0" distR="0">
            <wp:extent cx="5781675" cy="3362325"/>
            <wp:effectExtent l="0" t="0" r="0" b="0"/>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
                    <pic:cNvPicPr>
                      <a:picLocks noChangeAspect="1" noChangeArrowheads="1"/>
                    </pic:cNvPicPr>
                  </pic:nvPicPr>
                  <pic:blipFill>
                    <a:blip r:embed="rId18"/>
                    <a:srcRect l="10892" t="21043" r="10704" b="9759"/>
                    <a:stretch>
                      <a:fillRect/>
                    </a:stretch>
                  </pic:blipFill>
                  <pic:spPr bwMode="auto">
                    <a:xfrm>
                      <a:off x="0" y="0"/>
                      <a:ext cx="5781675" cy="3362325"/>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eastAsia="Arial Unicode MS" w:hAnsi="Palatino Linotype" w:cs="Arial"/>
        </w:rPr>
      </w:pPr>
      <w:r>
        <w:rPr>
          <w:noProof/>
          <w:lang w:eastAsia="es-MX"/>
        </w:rPr>
        <w:drawing>
          <wp:inline distT="0" distB="0" distL="0" distR="0">
            <wp:extent cx="5724525" cy="3257550"/>
            <wp:effectExtent l="0" t="0" r="9525" b="0"/>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2"/>
                    <pic:cNvPicPr>
                      <a:picLocks noChangeAspect="1" noChangeArrowheads="1"/>
                    </pic:cNvPicPr>
                  </pic:nvPicPr>
                  <pic:blipFill>
                    <a:blip r:embed="rId19"/>
                    <a:srcRect l="10161" t="16703" r="16868" b="16969"/>
                    <a:stretch>
                      <a:fillRect/>
                    </a:stretch>
                  </pic:blipFill>
                  <pic:spPr bwMode="auto">
                    <a:xfrm>
                      <a:off x="0" y="0"/>
                      <a:ext cx="5724525" cy="3257550"/>
                    </a:xfrm>
                    <a:prstGeom prst="rect">
                      <a:avLst/>
                    </a:prstGeom>
                  </pic:spPr>
                </pic:pic>
              </a:graphicData>
            </a:graphic>
          </wp:inline>
        </w:drawing>
      </w:r>
    </w:p>
    <w:p w:rsidR="005A6B36" w:rsidRDefault="0049607E">
      <w:pPr>
        <w:widowControl w:val="0"/>
        <w:tabs>
          <w:tab w:val="left" w:pos="1276"/>
        </w:tabs>
        <w:spacing w:before="240" w:afterAutospacing="1" w:line="360" w:lineRule="auto"/>
        <w:jc w:val="both"/>
        <w:rPr>
          <w:rFonts w:ascii="Palatino Linotype" w:hAnsi="Palatino Linotype"/>
          <w:bCs/>
          <w:lang w:val="es-ES"/>
        </w:rPr>
      </w:pPr>
      <w:bookmarkStart w:id="4" w:name="_GoBack"/>
      <w:r>
        <w:rPr>
          <w:noProof/>
          <w:lang w:eastAsia="es-MX"/>
        </w:rPr>
        <w:lastRenderedPageBreak/>
        <w:drawing>
          <wp:inline distT="0" distB="0" distL="0" distR="0">
            <wp:extent cx="5572125" cy="29146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
                    <pic:cNvPicPr>
                      <a:picLocks noChangeAspect="1" noChangeArrowheads="1"/>
                    </pic:cNvPicPr>
                  </pic:nvPicPr>
                  <pic:blipFill>
                    <a:blip r:embed="rId20"/>
                    <a:srcRect l="13978" t="28317" r="10158" b="7805"/>
                    <a:stretch>
                      <a:fillRect/>
                    </a:stretch>
                  </pic:blipFill>
                  <pic:spPr bwMode="auto">
                    <a:xfrm>
                      <a:off x="0" y="0"/>
                      <a:ext cx="5572125" cy="2914650"/>
                    </a:xfrm>
                    <a:prstGeom prst="rect">
                      <a:avLst/>
                    </a:prstGeom>
                  </pic:spPr>
                </pic:pic>
              </a:graphicData>
            </a:graphic>
          </wp:inline>
        </w:drawing>
      </w:r>
      <w:bookmarkEnd w:id="4"/>
    </w:p>
    <w:p w:rsidR="005A6B36" w:rsidRDefault="0049607E">
      <w:pPr>
        <w:widowControl w:val="0"/>
        <w:tabs>
          <w:tab w:val="left" w:pos="1276"/>
        </w:tabs>
        <w:spacing w:before="240" w:afterAutospacing="1" w:line="360" w:lineRule="auto"/>
        <w:jc w:val="both"/>
        <w:rPr>
          <w:rFonts w:ascii="Palatino Linotype" w:hAnsi="Palatino Linotype"/>
          <w:bCs/>
          <w:lang w:val="es-ES"/>
        </w:rPr>
      </w:pPr>
      <w:r>
        <w:rPr>
          <w:rFonts w:ascii="Palatino Linotype" w:hAnsi="Palatino Linotype"/>
          <w:bCs/>
          <w:lang w:val="es-ES"/>
        </w:rPr>
        <w:t>Como se observa, las imágenes insertas en el Informe Justificado, se encuentran borrosas e ilegibles; por ello, no es posible constatar las respuestas proporcionadas por los Servidores Públicos Habilitados de las áreas señaladas en la respuesta por la Titular de la Unidad de Transparencia, lo que dejó en estado de indefensión e incertidumbre al particular, al no conocer el procedimiento idóneo de acceso a la información pública, para acceder a la información que solicitó.</w:t>
      </w:r>
    </w:p>
    <w:p w:rsidR="005A6B36" w:rsidRDefault="0049607E">
      <w:pPr>
        <w:widowControl w:val="0"/>
        <w:tabs>
          <w:tab w:val="left" w:pos="1276"/>
        </w:tabs>
        <w:spacing w:before="240" w:afterAutospacing="1" w:line="360" w:lineRule="auto"/>
        <w:jc w:val="both"/>
        <w:rPr>
          <w:rFonts w:ascii="Palatino Linotype" w:hAnsi="Palatino Linotype"/>
          <w:bCs/>
          <w:lang w:val="es-ES"/>
        </w:rPr>
      </w:pPr>
      <w:r>
        <w:rPr>
          <w:rFonts w:ascii="Palatino Linotype" w:hAnsi="Palatino Linotype"/>
          <w:bCs/>
          <w:lang w:val="es-ES"/>
        </w:rPr>
        <w:t>En este mismo orden ideas, el derecho de acceso a la información pública y el procedimiento para su acceso debe ser claro y preciso, a fin de dotar de certeza jurídica a todas las respuestas proporcionadas por los Sujetos Obligados.</w:t>
      </w:r>
    </w:p>
    <w:p w:rsidR="005A6B36" w:rsidRDefault="0049607E">
      <w:pPr>
        <w:widowControl w:val="0"/>
        <w:tabs>
          <w:tab w:val="left" w:pos="1276"/>
        </w:tabs>
        <w:spacing w:before="240" w:afterAutospacing="1" w:line="360" w:lineRule="auto"/>
        <w:jc w:val="both"/>
        <w:rPr>
          <w:rFonts w:ascii="Palatino Linotype" w:hAnsi="Palatino Linotype"/>
          <w:bCs/>
          <w:lang w:val="es-ES"/>
        </w:rPr>
      </w:pPr>
      <w:r>
        <w:rPr>
          <w:rFonts w:ascii="Palatino Linotype" w:hAnsi="Palatino Linotype"/>
          <w:bCs/>
          <w:lang w:val="es-ES"/>
        </w:rPr>
        <w:t>Así mismo, cabe destacar que de acuerdo al Reglamento Interior de la Secretaría de Seguridad las áreas competentes para atender la solicitud de información del particular son las siguientes:</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b/>
          <w:i/>
          <w:sz w:val="22"/>
          <w:szCs w:val="22"/>
        </w:rPr>
        <w:lastRenderedPageBreak/>
        <w:t>“</w:t>
      </w:r>
    </w:p>
    <w:p w:rsidR="005A6B36" w:rsidRDefault="005A6B36">
      <w:pPr>
        <w:tabs>
          <w:tab w:val="left" w:pos="709"/>
        </w:tabs>
        <w:ind w:left="709" w:right="760"/>
        <w:jc w:val="both"/>
        <w:rPr>
          <w:rFonts w:ascii="Palatino Linotype" w:hAnsi="Palatino Linotype" w:cs="Arial"/>
          <w:b/>
          <w:i/>
          <w:sz w:val="22"/>
          <w:szCs w:val="22"/>
        </w:rPr>
      </w:pP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XVI. </w:t>
      </w:r>
      <w:r>
        <w:rPr>
          <w:rFonts w:ascii="Palatino Linotype" w:hAnsi="Palatino Linotype" w:cs="Arial"/>
          <w:b/>
          <w:i/>
          <w:sz w:val="22"/>
          <w:szCs w:val="22"/>
        </w:rPr>
        <w:t>Suscribir y proponer acuerdos y convenios</w:t>
      </w:r>
      <w:r>
        <w:rPr>
          <w:rFonts w:ascii="Palatino Linotype" w:hAnsi="Palatino Linotype" w:cs="Arial"/>
          <w:i/>
          <w:sz w:val="22"/>
          <w:szCs w:val="22"/>
        </w:rPr>
        <w:t xml:space="preserve"> con corporaciones policiales, organismos e instituciones nacionales y extranjeras, </w:t>
      </w:r>
      <w:r>
        <w:rPr>
          <w:rFonts w:ascii="Palatino Linotype" w:hAnsi="Palatino Linotype" w:cs="Arial"/>
          <w:b/>
          <w:i/>
          <w:sz w:val="22"/>
          <w:szCs w:val="22"/>
        </w:rPr>
        <w:t>tanto públicas como privadas, para el intercambio de información, planes y programas en materia de seguridad pública</w:t>
      </w:r>
      <w:r>
        <w:rPr>
          <w:rFonts w:ascii="Palatino Linotype" w:hAnsi="Palatino Linotype" w:cs="Arial"/>
          <w:i/>
          <w:sz w:val="22"/>
          <w:szCs w:val="22"/>
        </w:rPr>
        <w:t>, prevención y reinserción social, tratamiento de rehabilitación y asistencia social de adolescentes, evaluación de riesgo, vigilancia y ejecución de medidas cautelares y demás atribuciones conferidas a la Secretaría;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5A6B36">
      <w:pPr>
        <w:tabs>
          <w:tab w:val="left" w:pos="709"/>
        </w:tabs>
        <w:ind w:left="709" w:right="760"/>
        <w:jc w:val="both"/>
        <w:rPr>
          <w:rFonts w:ascii="Palatino Linotype" w:hAnsi="Palatino Linotype" w:cs="Arial"/>
          <w:b/>
          <w:i/>
          <w:sz w:val="22"/>
          <w:szCs w:val="22"/>
        </w:rPr>
      </w:pP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b/>
          <w:i/>
          <w:sz w:val="22"/>
          <w:szCs w:val="22"/>
        </w:rPr>
        <w:t>Artículo 18.</w:t>
      </w:r>
      <w:r>
        <w:rPr>
          <w:rFonts w:ascii="Palatino Linotype" w:hAnsi="Palatino Linotype" w:cs="Arial"/>
          <w:i/>
          <w:sz w:val="22"/>
          <w:szCs w:val="22"/>
        </w:rPr>
        <w:t xml:space="preserve"> Corresponden a la </w:t>
      </w:r>
      <w:r>
        <w:rPr>
          <w:rFonts w:ascii="Palatino Linotype" w:hAnsi="Palatino Linotype" w:cs="Arial"/>
          <w:b/>
          <w:i/>
          <w:sz w:val="22"/>
          <w:szCs w:val="22"/>
        </w:rPr>
        <w:t>Oficialía Mayor</w:t>
      </w:r>
      <w:r>
        <w:rPr>
          <w:rFonts w:ascii="Palatino Linotype" w:hAnsi="Palatino Linotype" w:cs="Arial"/>
          <w:i/>
          <w:sz w:val="22"/>
          <w:szCs w:val="22"/>
        </w:rPr>
        <w:t xml:space="preserve"> las siguientes atribuciones: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 </w:t>
      </w:r>
      <w:r>
        <w:rPr>
          <w:rFonts w:ascii="Palatino Linotype" w:hAnsi="Palatino Linotype" w:cs="Arial"/>
          <w:b/>
          <w:i/>
          <w:sz w:val="22"/>
          <w:szCs w:val="22"/>
        </w:rPr>
        <w:t>Coordinar y supervisar el Programa Anual de Adquisiciones, Arrendamientos y Servicio</w:t>
      </w:r>
      <w:r>
        <w:rPr>
          <w:rFonts w:ascii="Palatino Linotype" w:hAnsi="Palatino Linotype" w:cs="Arial"/>
          <w:b/>
          <w:sz w:val="22"/>
          <w:szCs w:val="22"/>
        </w:rPr>
        <w:t>s</w:t>
      </w:r>
      <w:r>
        <w:rPr>
          <w:rFonts w:ascii="Palatino Linotype" w:hAnsi="Palatino Linotype" w:cs="Arial"/>
          <w:i/>
          <w:sz w:val="22"/>
          <w:szCs w:val="22"/>
        </w:rPr>
        <w:t xml:space="preserve">, así como los requerimientos de operaciones consolidadas de la Secretaría, </w:t>
      </w:r>
      <w:r>
        <w:rPr>
          <w:rFonts w:ascii="Palatino Linotype" w:hAnsi="Palatino Linotype" w:cs="Arial"/>
          <w:b/>
          <w:i/>
          <w:sz w:val="22"/>
          <w:szCs w:val="22"/>
        </w:rPr>
        <w:t>con la participación de las áreas competentes</w:t>
      </w:r>
      <w:r>
        <w:rPr>
          <w:rFonts w:ascii="Palatino Linotype" w:hAnsi="Palatino Linotype" w:cs="Arial"/>
          <w:i/>
          <w:sz w:val="22"/>
          <w:szCs w:val="22"/>
        </w:rPr>
        <w:t>, cuando corresponda con base en las disposiciones jurídicas aplicables;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XXV. </w:t>
      </w:r>
      <w:r>
        <w:rPr>
          <w:rFonts w:ascii="Palatino Linotype" w:hAnsi="Palatino Linotype" w:cs="Arial"/>
          <w:b/>
          <w:i/>
          <w:sz w:val="22"/>
          <w:szCs w:val="22"/>
          <w:u w:val="single"/>
        </w:rPr>
        <w:t>Implementar y verificar el cumplimiento de los lineamientos que permitan mantener actualizados los registros administrativos sobre recursos humanos, materiales, financieros, programas de inversión, archivo, correspondencia, inventario de bienes muebles e inmuebles y apoyos técnicos</w:t>
      </w:r>
      <w:r>
        <w:rPr>
          <w:rFonts w:ascii="Palatino Linotype" w:hAnsi="Palatino Linotype" w:cs="Arial"/>
          <w:i/>
          <w:sz w:val="22"/>
          <w:szCs w:val="22"/>
        </w:rPr>
        <w:t>;</w:t>
      </w:r>
    </w:p>
    <w:p w:rsidR="005A6B36" w:rsidRDefault="005A6B36">
      <w:pPr>
        <w:tabs>
          <w:tab w:val="left" w:pos="709"/>
        </w:tabs>
        <w:ind w:left="709" w:right="760"/>
        <w:jc w:val="both"/>
        <w:rPr>
          <w:rFonts w:ascii="Palatino Linotype" w:hAnsi="Palatino Linotype" w:cs="Arial"/>
          <w:i/>
          <w:sz w:val="22"/>
          <w:szCs w:val="22"/>
        </w:rPr>
      </w:pP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 xml:space="preserve">XXVI. </w:t>
      </w:r>
      <w:r>
        <w:rPr>
          <w:rFonts w:ascii="Palatino Linotype" w:hAnsi="Palatino Linotype" w:cs="Arial"/>
          <w:b/>
          <w:i/>
          <w:sz w:val="22"/>
          <w:szCs w:val="22"/>
        </w:rPr>
        <w:t>Fomentar el uso de tecnologías de la información y comunicación a través del desarrollo e integración de sistemas de información automatizados y redes de comunicación electrónica, con la finalidad de estandarizar criterios técnicos y tecnológicos;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5A6B36">
      <w:pPr>
        <w:tabs>
          <w:tab w:val="left" w:pos="709"/>
        </w:tabs>
        <w:ind w:left="709" w:right="760"/>
        <w:jc w:val="both"/>
        <w:rPr>
          <w:rFonts w:ascii="Palatino Linotype" w:hAnsi="Palatino Linotype" w:cs="Arial"/>
          <w:i/>
          <w:sz w:val="22"/>
          <w:szCs w:val="22"/>
        </w:rPr>
      </w:pP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b/>
          <w:i/>
          <w:sz w:val="22"/>
          <w:szCs w:val="22"/>
        </w:rPr>
        <w:t>Artículo 29.</w:t>
      </w:r>
      <w:r>
        <w:rPr>
          <w:rFonts w:ascii="Palatino Linotype" w:hAnsi="Palatino Linotype" w:cs="Arial"/>
          <w:i/>
          <w:sz w:val="22"/>
          <w:szCs w:val="22"/>
        </w:rPr>
        <w:t xml:space="preserve"> Corresponden a la </w:t>
      </w:r>
      <w:r>
        <w:rPr>
          <w:rFonts w:ascii="Palatino Linotype" w:hAnsi="Palatino Linotype" w:cs="Arial"/>
          <w:b/>
          <w:i/>
          <w:sz w:val="22"/>
          <w:szCs w:val="22"/>
        </w:rPr>
        <w:t>Dirección General de Información</w:t>
      </w:r>
      <w:r>
        <w:rPr>
          <w:rFonts w:ascii="Palatino Linotype" w:hAnsi="Palatino Linotype" w:cs="Arial"/>
          <w:i/>
          <w:sz w:val="22"/>
          <w:szCs w:val="22"/>
        </w:rPr>
        <w:t xml:space="preserve"> las siguientes atribuciones: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VII. </w:t>
      </w:r>
      <w:r>
        <w:rPr>
          <w:rFonts w:ascii="Palatino Linotype" w:hAnsi="Palatino Linotype" w:cs="Arial"/>
          <w:b/>
          <w:i/>
          <w:sz w:val="22"/>
          <w:szCs w:val="22"/>
        </w:rPr>
        <w:t>Verificar la adecuada operatividad de las tecnologías</w:t>
      </w:r>
      <w:r>
        <w:rPr>
          <w:rFonts w:ascii="Palatino Linotype" w:hAnsi="Palatino Linotype" w:cs="Arial"/>
          <w:i/>
          <w:sz w:val="22"/>
          <w:szCs w:val="22"/>
        </w:rPr>
        <w:t xml:space="preserve"> a cargo del Centro de Control, Comando, Comunicación, Cómputo y Calidad de la Secretaría, y</w:t>
      </w:r>
    </w:p>
    <w:p w:rsidR="005A6B36" w:rsidRDefault="005A6B36">
      <w:pPr>
        <w:tabs>
          <w:tab w:val="left" w:pos="709"/>
        </w:tabs>
        <w:ind w:left="709" w:right="760"/>
        <w:jc w:val="both"/>
        <w:rPr>
          <w:rFonts w:ascii="Palatino Linotype" w:hAnsi="Palatino Linotype" w:cs="Arial"/>
          <w:i/>
          <w:sz w:val="22"/>
          <w:szCs w:val="22"/>
        </w:rPr>
      </w:pPr>
    </w:p>
    <w:p w:rsidR="005A6B36" w:rsidRDefault="005A6B36">
      <w:pPr>
        <w:tabs>
          <w:tab w:val="left" w:pos="709"/>
        </w:tabs>
        <w:ind w:left="709" w:right="760"/>
        <w:jc w:val="both"/>
        <w:rPr>
          <w:rFonts w:ascii="Palatino Linotype" w:hAnsi="Palatino Linotype" w:cs="Arial"/>
          <w:i/>
          <w:sz w:val="22"/>
          <w:szCs w:val="22"/>
        </w:rPr>
      </w:pP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Artículo 30. Corresponden a la </w:t>
      </w:r>
      <w:r>
        <w:rPr>
          <w:rFonts w:ascii="Palatino Linotype" w:hAnsi="Palatino Linotype" w:cs="Arial"/>
          <w:b/>
          <w:i/>
          <w:sz w:val="22"/>
          <w:szCs w:val="22"/>
        </w:rPr>
        <w:t>Dirección General de Desarrollo Institucional e Innovación</w:t>
      </w:r>
      <w:r>
        <w:rPr>
          <w:rFonts w:ascii="Palatino Linotype" w:hAnsi="Palatino Linotype" w:cs="Arial"/>
          <w:i/>
          <w:sz w:val="22"/>
          <w:szCs w:val="22"/>
        </w:rPr>
        <w:t xml:space="preserve"> las siguientes atribuciones: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lastRenderedPageBreak/>
        <w:t xml:space="preserve">VII. </w:t>
      </w:r>
      <w:r>
        <w:rPr>
          <w:rFonts w:ascii="Palatino Linotype" w:hAnsi="Palatino Linotype" w:cs="Arial"/>
          <w:b/>
          <w:i/>
          <w:sz w:val="22"/>
          <w:szCs w:val="22"/>
        </w:rPr>
        <w:t xml:space="preserve">Presentar, </w:t>
      </w:r>
      <w:r>
        <w:rPr>
          <w:rFonts w:ascii="Palatino Linotype" w:hAnsi="Palatino Linotype" w:cs="Arial"/>
          <w:b/>
          <w:i/>
          <w:sz w:val="22"/>
          <w:szCs w:val="22"/>
          <w:u w:val="single"/>
        </w:rPr>
        <w:t>para la autorización del Secretario,</w:t>
      </w:r>
      <w:r>
        <w:rPr>
          <w:rFonts w:ascii="Palatino Linotype" w:hAnsi="Palatino Linotype" w:cs="Arial"/>
          <w:b/>
          <w:i/>
          <w:sz w:val="22"/>
          <w:szCs w:val="22"/>
        </w:rPr>
        <w:t xml:space="preserve"> propuestas de políticas y lineamientos que regulen y optimicen la implementación y explotación de la infraestructura y de los recursos en materia de sistemas informáticos, telecomunicaciones, de equipo y tecnología especializados con que cuenten las Unidades Administrativas y organismos auxiliares, para el cumplimiento de sus atribuciones;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XIV. </w:t>
      </w:r>
      <w:r>
        <w:rPr>
          <w:rFonts w:ascii="Palatino Linotype" w:hAnsi="Palatino Linotype" w:cs="Arial"/>
          <w:b/>
          <w:i/>
          <w:sz w:val="22"/>
          <w:szCs w:val="22"/>
        </w:rPr>
        <w:t>Autorizar y registrar la instalación de tecnologías de la información y comunicación para la seguridad pública en la Secretaría y sus órganos desconcentrados</w:t>
      </w:r>
      <w:r>
        <w:rPr>
          <w:rFonts w:ascii="Palatino Linotype" w:hAnsi="Palatino Linotype" w:cs="Arial"/>
          <w:i/>
          <w:sz w:val="22"/>
          <w:szCs w:val="22"/>
        </w:rPr>
        <w:t>, de conformidad con la normatividad aplicable;</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XV. </w:t>
      </w:r>
      <w:r>
        <w:rPr>
          <w:rFonts w:ascii="Palatino Linotype" w:hAnsi="Palatino Linotype" w:cs="Arial"/>
          <w:b/>
          <w:i/>
          <w:sz w:val="22"/>
          <w:szCs w:val="22"/>
        </w:rPr>
        <w:t>Autorizar y dar el soporte técnico necesario a la conexión de la infraestructura tecnológica y de sistemas de la Secretaría;</w:t>
      </w:r>
      <w:r>
        <w:rPr>
          <w:rFonts w:ascii="Palatino Linotype" w:hAnsi="Palatino Linotype" w:cs="Arial"/>
          <w:i/>
          <w:sz w:val="22"/>
          <w:szCs w:val="22"/>
        </w:rPr>
        <w:t xml:space="preserve"> </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 xml:space="preserve">XVI. </w:t>
      </w:r>
      <w:r>
        <w:rPr>
          <w:rFonts w:ascii="Palatino Linotype" w:hAnsi="Palatino Linotype" w:cs="Arial"/>
          <w:b/>
          <w:i/>
          <w:sz w:val="22"/>
          <w:szCs w:val="22"/>
        </w:rPr>
        <w:t xml:space="preserve">Emitir los dictámenes técnicos, para la actualización de tecnologías de la información o comunicación de las Instituciones Policiales;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XVII. Vigilar el funcionamiento y operación de la plataforma tecnológica, que soporte los sistemas de información de seguridad;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XVIII. Establecer los mecanismos que permitan en el ámbito de su competencia, la elaboración de los proyectos de manuales de usuario, técnicos y de operación de los sistemas tecnológicos de la Secretaría y sus órganos desconcentrados;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XIX. Establecer el esquema y los mecanismos para la homologación y estándares tecnológicos para la Secretaría y las Instituciones Policiales;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 </w:t>
      </w:r>
      <w:r>
        <w:rPr>
          <w:rFonts w:ascii="Palatino Linotype" w:hAnsi="Palatino Linotype" w:cs="Arial"/>
          <w:b/>
          <w:i/>
          <w:sz w:val="22"/>
          <w:szCs w:val="22"/>
        </w:rPr>
        <w:t>Establecer los estándares para la implementación de tecnologías aplicables a la infraestructura tecnológica y de sistemas, incluyendo voz, datos, video, radio, medios digitales, enlaces, sistemas de posicionamiento global y las nuevas tecnologías que sean incorporadas</w:t>
      </w:r>
      <w:r>
        <w:rPr>
          <w:rFonts w:ascii="Palatino Linotype" w:hAnsi="Palatino Linotype" w:cs="Arial"/>
          <w:i/>
          <w:sz w:val="22"/>
          <w:szCs w:val="22"/>
        </w:rPr>
        <w:t xml:space="preserve">;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XXI. </w:t>
      </w:r>
      <w:r>
        <w:rPr>
          <w:rFonts w:ascii="Palatino Linotype" w:hAnsi="Palatino Linotype" w:cs="Arial"/>
          <w:b/>
          <w:i/>
          <w:sz w:val="22"/>
          <w:szCs w:val="22"/>
        </w:rPr>
        <w:t>Establecer y dirigir la implementación de herramientas en materia de telecomunicaciones que permitan la operación de los servicios de voz, datos y video que viajan por la red de la Secretaría</w:t>
      </w: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XXIII. Establecer los instrumentos y mecanismos de coordinación interinstitucional, que permitan la homologación de las tecnologías, para su interconexión con la infraestructura tecnológica de la Secretaría y sus órganos desconcentrados;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XXIV</w:t>
      </w:r>
      <w:r>
        <w:rPr>
          <w:rFonts w:ascii="Palatino Linotype" w:hAnsi="Palatino Linotype" w:cs="Arial"/>
          <w:b/>
          <w:i/>
          <w:sz w:val="22"/>
          <w:szCs w:val="22"/>
        </w:rPr>
        <w:t xml:space="preserve">. Fijar las estrategias y líneas de acción generales que permitan investigar, desarrollar y difundir las arquitecturas y estándares en materia de informática y telecomunicaciones, a fin de desarrollar la innovación y homologación tecnológica en las Unidades Administrativas, </w:t>
      </w:r>
      <w:r>
        <w:rPr>
          <w:rFonts w:ascii="Palatino Linotype" w:hAnsi="Palatino Linotype" w:cs="Arial"/>
          <w:i/>
          <w:sz w:val="22"/>
          <w:szCs w:val="22"/>
        </w:rPr>
        <w:t xml:space="preserve">y estar a la vanguardia en materia de soluciones informáticas en el área de seguridad pública;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XXV. Establecer estrategias, lineamientos y criterios rectores para la coordinación y administración de los sistemas de información y de interconexión de bases de datos, en </w:t>
      </w:r>
      <w:r>
        <w:rPr>
          <w:rFonts w:ascii="Palatino Linotype" w:hAnsi="Palatino Linotype" w:cs="Arial"/>
          <w:i/>
          <w:sz w:val="22"/>
          <w:szCs w:val="22"/>
        </w:rPr>
        <w:lastRenderedPageBreak/>
        <w:t>las diferentes unidades responsables adscritas a la Secretaría y sus órganos desconcentrados;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XXVII. Regular la utilización de la información de seguridad pública obtenida por equipos y sistemas tecnológicos administrados por la Secretaría;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XXXI. Proponer en el ámbito de su competencia, la aplicación de políticas y procedimientos de operación que permitan el funcionamiento y disponibilidad de los servicios tecnológicos de la Secretaría;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XXXIII. Establecer los acuerdos o bases de colaboración y transferencia de conocimientos con universidades, empresas y organismos nacionales e internacionales especializadas en materia de tecnologías de la información, para la implementación de soluciones tecnológicas relacionadas con necesidades informáticas, de telecomunicaciones y desarrollos tecnológicos en general, que contribuyan a la óptima operación de los servicios; </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 xml:space="preserve">XXXIV. </w:t>
      </w:r>
      <w:r>
        <w:rPr>
          <w:rFonts w:ascii="Palatino Linotype" w:hAnsi="Palatino Linotype" w:cs="Arial"/>
          <w:b/>
          <w:i/>
          <w:sz w:val="22"/>
          <w:szCs w:val="22"/>
        </w:rPr>
        <w:t>Coordinar y supervisar en el ámbito de su competencia, los servicios de mantenimiento preventivo y correctivo de los sistemas y equipos tecnológicos de que disponga la Secretaría;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Artículo 36. Corresponden a la </w:t>
      </w:r>
      <w:r>
        <w:rPr>
          <w:rFonts w:ascii="Palatino Linotype" w:hAnsi="Palatino Linotype" w:cs="Arial"/>
          <w:b/>
          <w:i/>
          <w:sz w:val="22"/>
          <w:szCs w:val="22"/>
        </w:rPr>
        <w:t>Unidad de Análisis Criminal</w:t>
      </w:r>
      <w:r>
        <w:rPr>
          <w:rFonts w:ascii="Palatino Linotype" w:hAnsi="Palatino Linotype" w:cs="Arial"/>
          <w:i/>
          <w:sz w:val="22"/>
          <w:szCs w:val="22"/>
        </w:rPr>
        <w:t xml:space="preserve"> las atribuciones siguientes:</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I.</w:t>
      </w:r>
      <w:r>
        <w:rPr>
          <w:rFonts w:ascii="Palatino Linotype" w:hAnsi="Palatino Linotype" w:cs="Arial"/>
          <w:i/>
          <w:sz w:val="22"/>
          <w:szCs w:val="22"/>
        </w:rPr>
        <w:tab/>
      </w:r>
      <w:r>
        <w:rPr>
          <w:rFonts w:ascii="Palatino Linotype" w:hAnsi="Palatino Linotype" w:cs="Arial"/>
          <w:b/>
          <w:i/>
          <w:sz w:val="22"/>
          <w:szCs w:val="22"/>
        </w:rPr>
        <w:t>Coordinar el intercambio de información criminal con dependencias de los tres órdenes de gobierno, relacionadas con temas de seguridad pública, así como con instituciones que cuenten con información o tecnología complementaria;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 xml:space="preserve">V. </w:t>
      </w:r>
      <w:r>
        <w:rPr>
          <w:rFonts w:ascii="Palatino Linotype" w:hAnsi="Palatino Linotype" w:cs="Arial"/>
          <w:b/>
          <w:i/>
          <w:sz w:val="22"/>
          <w:szCs w:val="22"/>
        </w:rPr>
        <w:t>Dirigir, coordinar y establecer mecanismos de comunicación e intercambio de información en materia de seguridad pública, prevención del delito y reinserción social;</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5A6B36">
      <w:pPr>
        <w:tabs>
          <w:tab w:val="left" w:pos="709"/>
        </w:tabs>
        <w:ind w:left="709" w:right="760"/>
        <w:jc w:val="both"/>
        <w:rPr>
          <w:rFonts w:ascii="Palatino Linotype" w:hAnsi="Palatino Linotype" w:cs="Arial"/>
          <w:i/>
          <w:sz w:val="22"/>
          <w:szCs w:val="22"/>
        </w:rPr>
      </w:pP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Artículo 39. Corresponden al </w:t>
      </w:r>
      <w:r>
        <w:rPr>
          <w:rFonts w:ascii="Palatino Linotype" w:hAnsi="Palatino Linotype" w:cs="Arial"/>
          <w:b/>
          <w:i/>
          <w:sz w:val="22"/>
          <w:szCs w:val="22"/>
        </w:rPr>
        <w:t>Centro de Control, Comando, Comunicación, Cómputo y Calidad</w:t>
      </w:r>
      <w:r>
        <w:rPr>
          <w:rFonts w:ascii="Palatino Linotype" w:hAnsi="Palatino Linotype" w:cs="Arial"/>
          <w:i/>
          <w:sz w:val="22"/>
          <w:szCs w:val="22"/>
        </w:rPr>
        <w:t xml:space="preserve"> las atribuciones siguientes:</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 xml:space="preserve">XI. </w:t>
      </w:r>
      <w:r>
        <w:rPr>
          <w:rFonts w:ascii="Palatino Linotype" w:hAnsi="Palatino Linotype" w:cs="Arial"/>
          <w:b/>
          <w:i/>
          <w:sz w:val="22"/>
          <w:szCs w:val="22"/>
        </w:rPr>
        <w:t xml:space="preserve">Elaborar y emitir los dictámenes técnicos de equipo, vehículos, tecnología, armamento y demás bienes necesarios en materia de seguridad para el desarrollo de las atribuciones de la Secretaría y sus órganos desconcentrados, así como para las Instituciones policiales; </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lastRenderedPageBreak/>
        <w:t xml:space="preserve">XII. Emitir los dictámenes de factibilidad técnica para la adquisición de bienes, servicios y proyectos con contenido tecnológico en materia de seguridad, que requieran las Unidades Administrativas de la Secretaría y sus órganos desconcentrados, así como para las Instituciones Policiales, con la finalidad de asegurar que las herramientas tecnológicas a su servicio cuenten con altos estándares de calidad y cumplan con las condiciones y características requeridas para el desempeño de sus atribuciones; </w:t>
      </w:r>
    </w:p>
    <w:p w:rsidR="005A6B36" w:rsidRDefault="0049607E">
      <w:pPr>
        <w:tabs>
          <w:tab w:val="left" w:pos="709"/>
        </w:tabs>
        <w:ind w:left="709" w:right="760"/>
        <w:jc w:val="both"/>
        <w:rPr>
          <w:rFonts w:ascii="Palatino Linotype" w:hAnsi="Palatino Linotype" w:cs="Arial"/>
          <w:b/>
          <w:i/>
          <w:sz w:val="22"/>
          <w:szCs w:val="22"/>
        </w:rPr>
      </w:pPr>
      <w:r>
        <w:rPr>
          <w:rFonts w:ascii="Palatino Linotype" w:hAnsi="Palatino Linotype" w:cs="Arial"/>
          <w:i/>
          <w:sz w:val="22"/>
          <w:szCs w:val="22"/>
        </w:rPr>
        <w:t xml:space="preserve">XIII. </w:t>
      </w:r>
      <w:r>
        <w:rPr>
          <w:rFonts w:ascii="Palatino Linotype" w:hAnsi="Palatino Linotype" w:cs="Arial"/>
          <w:b/>
          <w:i/>
          <w:sz w:val="22"/>
          <w:szCs w:val="22"/>
        </w:rPr>
        <w:t>Emitir dictámenes para la adquisición, reemplazo y ampliación de la infraestructura, sistemas tecnológicos y de comunicaciones, relacionados con las atribuciones de seguridad pública;</w:t>
      </w:r>
    </w:p>
    <w:p w:rsidR="005A6B36" w:rsidRDefault="0049607E">
      <w:pPr>
        <w:tabs>
          <w:tab w:val="left" w:pos="709"/>
        </w:tabs>
        <w:ind w:left="709" w:right="760"/>
        <w:jc w:val="both"/>
        <w:rPr>
          <w:rFonts w:ascii="Palatino Linotype" w:hAnsi="Palatino Linotype" w:cs="Arial"/>
          <w:i/>
          <w:sz w:val="22"/>
          <w:szCs w:val="22"/>
        </w:rPr>
      </w:pPr>
      <w:r>
        <w:rPr>
          <w:rFonts w:ascii="Palatino Linotype" w:hAnsi="Palatino Linotype" w:cs="Arial"/>
          <w:i/>
          <w:sz w:val="22"/>
          <w:szCs w:val="22"/>
        </w:rPr>
        <w:t>…”</w:t>
      </w:r>
    </w:p>
    <w:p w:rsidR="005A6B36" w:rsidRDefault="0049607E">
      <w:pPr>
        <w:spacing w:beforeAutospacing="1" w:afterAutospacing="1" w:line="360" w:lineRule="auto"/>
        <w:jc w:val="both"/>
        <w:rPr>
          <w:rFonts w:ascii="Palatino Linotype" w:hAnsi="Palatino Linotype"/>
          <w:bCs/>
        </w:rPr>
      </w:pPr>
      <w:r>
        <w:rPr>
          <w:rFonts w:ascii="Palatino Linotype" w:hAnsi="Palatino Linotype"/>
        </w:rPr>
        <w:t xml:space="preserve">En mérito de lo expuesto, es claro que, en este caso en particular, la Unidad de Transparencia incumplió con la normativa en la materia, puesto que del análisis minucioso del expediente electrónico del SAIMEX, se advierte que </w:t>
      </w:r>
      <w:r>
        <w:rPr>
          <w:rFonts w:ascii="Palatino Linotype" w:hAnsi="Palatino Linotype"/>
          <w:bCs/>
        </w:rPr>
        <w:t xml:space="preserve">existen área adicionales que pudieran contar con la información solicitada, las cuales de manera enunciativa mas no limitativa, son la Unidad de Análisis Criminal y la oficina del Secretario, además </w:t>
      </w:r>
      <w:r>
        <w:rPr>
          <w:rFonts w:ascii="Palatino Linotype" w:hAnsi="Palatino Linotype" w:cs="Arial"/>
        </w:rPr>
        <w:t xml:space="preserve">del </w:t>
      </w:r>
      <w:r>
        <w:rPr>
          <w:rFonts w:ascii="Palatino Linotype" w:hAnsi="Palatino Linotype" w:cs="Arial"/>
          <w:b/>
        </w:rPr>
        <w:t>Centro de Control, Comando, Comunicación, Cómputo</w:t>
      </w:r>
      <w:r>
        <w:rPr>
          <w:rFonts w:ascii="Palatino Linotype" w:hAnsi="Palatino Linotype" w:cs="Arial"/>
        </w:rPr>
        <w:t xml:space="preserve"> y Calidad, Dirección General de Desarrollo Institucional e Innovación, Dirección General de Información y Oficialía Mayor señalados en respuesta, </w:t>
      </w:r>
      <w:r>
        <w:rPr>
          <w:rFonts w:ascii="Palatino Linotype" w:hAnsi="Palatino Linotype"/>
          <w:bCs/>
        </w:rPr>
        <w:t xml:space="preserve">por lo que, se advierte que </w:t>
      </w:r>
      <w:r>
        <w:rPr>
          <w:rFonts w:ascii="Palatino Linotype" w:hAnsi="Palatino Linotype"/>
          <w:b/>
          <w:bCs/>
        </w:rPr>
        <w:t xml:space="preserve">EL SUJETO OBLIGADO </w:t>
      </w:r>
      <w:r>
        <w:rPr>
          <w:rFonts w:ascii="Palatino Linotype" w:hAnsi="Palatino Linotype"/>
          <w:bCs/>
        </w:rPr>
        <w:t xml:space="preserve">omitió realizar la búsqueda exhaustiva y razonable de la información solicitada; en consecuencia, al momento de dar cumplimiento a la presente resolución deberá realizarla correctamente y remitir los oficios de respuesta se los Servidores Públicos Habilitados a fin de evitar opacidad e incertidumbre al hoy </w:t>
      </w:r>
      <w:r>
        <w:rPr>
          <w:rFonts w:ascii="Palatino Linotype" w:hAnsi="Palatino Linotype"/>
          <w:b/>
          <w:bCs/>
        </w:rPr>
        <w:t>RECURRENTE.</w:t>
      </w:r>
      <w:r>
        <w:rPr>
          <w:rFonts w:ascii="Palatino Linotype" w:hAnsi="Palatino Linotype"/>
          <w:bCs/>
        </w:rPr>
        <w:t xml:space="preserve"> </w:t>
      </w:r>
    </w:p>
    <w:p w:rsidR="005A6B36" w:rsidRDefault="0049607E">
      <w:pPr>
        <w:pStyle w:val="Prrafodelista"/>
        <w:tabs>
          <w:tab w:val="left" w:pos="426"/>
        </w:tabs>
        <w:spacing w:line="360" w:lineRule="auto"/>
        <w:ind w:left="0"/>
        <w:contextualSpacing/>
        <w:jc w:val="both"/>
        <w:rPr>
          <w:rFonts w:ascii="Palatino Linotype" w:eastAsia="MS Mincho" w:hAnsi="Palatino Linotype" w:cs="Arial"/>
        </w:rPr>
      </w:pPr>
      <w:r>
        <w:rPr>
          <w:rFonts w:ascii="Palatino Linotype" w:eastAsia="MS Mincho" w:hAnsi="Palatino Linotype" w:cs="Arial"/>
        </w:rPr>
        <w:t xml:space="preserve">En este mismo contexto es importante señalar que de los motivos y razones de inconformidad señaladas por </w:t>
      </w:r>
      <w:r>
        <w:rPr>
          <w:rFonts w:ascii="Palatino Linotype" w:eastAsia="MS Mincho" w:hAnsi="Palatino Linotype" w:cs="Arial"/>
          <w:b/>
        </w:rPr>
        <w:t>EL RECURRENTE</w:t>
      </w:r>
      <w:r>
        <w:rPr>
          <w:rFonts w:ascii="Palatino Linotype" w:eastAsia="MS Mincho" w:hAnsi="Palatino Linotype" w:cs="Arial"/>
        </w:rPr>
        <w:t xml:space="preserve">, refirió que existen elementos fácticos de los cuales se desprende la presunción de que la información exista y la misma obre en los archivos del </w:t>
      </w:r>
      <w:r>
        <w:rPr>
          <w:rFonts w:ascii="Palatino Linotype" w:eastAsia="MS Mincho" w:hAnsi="Palatino Linotype" w:cs="Arial"/>
          <w:b/>
        </w:rPr>
        <w:t xml:space="preserve">SUJETO OBLIGADO, </w:t>
      </w:r>
      <w:r>
        <w:rPr>
          <w:rFonts w:ascii="Palatino Linotype" w:eastAsia="MS Mincho" w:hAnsi="Palatino Linotype" w:cs="Arial"/>
        </w:rPr>
        <w:t xml:space="preserve">tomando como ejemplo el Informe Anual de </w:t>
      </w:r>
      <w:r>
        <w:rPr>
          <w:rFonts w:ascii="Palatino Linotype" w:eastAsia="MS Mincho" w:hAnsi="Palatino Linotype" w:cs="Arial"/>
        </w:rPr>
        <w:lastRenderedPageBreak/>
        <w:t>Evaluación 2015,</w:t>
      </w:r>
      <w:r>
        <w:t xml:space="preserve"> </w:t>
      </w:r>
      <w:r>
        <w:rPr>
          <w:rFonts w:ascii="Palatino Linotype" w:eastAsia="MS Mincho" w:hAnsi="Palatino Linotype" w:cs="Arial"/>
        </w:rPr>
        <w:t>realizado con base en lo establecido en los Lineamientos Generales para el Diseño y Ejecución de los Programas de Evaluación, FASP; Fondo de Aportaciones para la Seguridad Pública de los Estados y del Distrito Federal 2015, así como el análisis del grado de cumplimiento de las metas que el Estado de México se comprometió a alcanzar para cada uno de los Programas con Prioridad Nacional y su Programa Prioritario local.</w:t>
      </w:r>
    </w:p>
    <w:p w:rsidR="005A6B36" w:rsidRDefault="005A6B36">
      <w:pPr>
        <w:pStyle w:val="Prrafodelista"/>
        <w:tabs>
          <w:tab w:val="left" w:pos="426"/>
        </w:tabs>
        <w:spacing w:line="360" w:lineRule="auto"/>
        <w:ind w:left="0"/>
        <w:contextualSpacing/>
        <w:jc w:val="both"/>
        <w:rPr>
          <w:rFonts w:ascii="Palatino Linotype" w:eastAsia="MS Mincho" w:hAnsi="Palatino Linotype" w:cs="Arial"/>
        </w:rPr>
      </w:pPr>
    </w:p>
    <w:p w:rsidR="005A6B36" w:rsidRDefault="0049607E">
      <w:pPr>
        <w:pStyle w:val="Prrafodelista"/>
        <w:tabs>
          <w:tab w:val="left" w:pos="426"/>
        </w:tabs>
        <w:spacing w:line="360" w:lineRule="auto"/>
        <w:ind w:left="0"/>
        <w:contextualSpacing/>
        <w:jc w:val="both"/>
        <w:rPr>
          <w:rFonts w:ascii="Palatino Linotype" w:eastAsia="MS Mincho" w:hAnsi="Palatino Linotype" w:cs="Arial"/>
          <w:highlight w:val="yellow"/>
        </w:rPr>
      </w:pPr>
      <w:r>
        <w:rPr>
          <w:rFonts w:ascii="Palatino Linotype" w:eastAsia="MS Mincho" w:hAnsi="Palatino Linotype" w:cs="Arial"/>
          <w:color w:val="000000" w:themeColor="text1"/>
        </w:rPr>
        <w:t>Es este orden de ideas, el Fondo de Aportaciones para la Seguridad Pública de los Estados y del Distrito Federal (FASP), de conformidad con el artículo 44 de la Ley de Coordinación Fiscal, se constituye con cargo a recursos federales, los cuales son determinados anualmente en el Presupuesto de Egresos de la Federación; así mismo, se entregan mensualmente por la Secretaría de Hacienda y Crédito Público durante los primeros diez meses del año a los Estados y al distrito Federal, de manera ágil y directa, como se transcribe a continuación y se constituye como un recurso federal, con los cuales también se pueden adquirir equipos de cómputo, software o programas en materia de seguridad.</w:t>
      </w:r>
    </w:p>
    <w:p w:rsidR="005A6B36" w:rsidRDefault="005A6B36">
      <w:pPr>
        <w:pStyle w:val="Prrafodelista"/>
        <w:tabs>
          <w:tab w:val="left" w:pos="426"/>
        </w:tabs>
        <w:spacing w:line="360" w:lineRule="auto"/>
        <w:ind w:left="0"/>
        <w:contextualSpacing/>
        <w:jc w:val="both"/>
        <w:rPr>
          <w:rFonts w:ascii="Palatino Linotype" w:eastAsia="MS Mincho" w:hAnsi="Palatino Linotype" w:cs="Arial"/>
          <w:color w:val="000000" w:themeColor="text1"/>
          <w:highlight w:val="yellow"/>
        </w:rPr>
      </w:pPr>
    </w:p>
    <w:p w:rsidR="005A6B36" w:rsidRDefault="0049607E">
      <w:pPr>
        <w:pStyle w:val="Prrafodelista"/>
        <w:tabs>
          <w:tab w:val="left" w:pos="426"/>
        </w:tabs>
        <w:spacing w:line="360" w:lineRule="auto"/>
        <w:ind w:left="0"/>
        <w:contextualSpacing/>
        <w:jc w:val="both"/>
        <w:rPr>
          <w:rFonts w:ascii="Palatino Linotype" w:hAnsi="Palatino Linotype"/>
          <w:highlight w:val="yellow"/>
        </w:rPr>
      </w:pPr>
      <w:r>
        <w:rPr>
          <w:rFonts w:ascii="Palatino Linotype" w:eastAsia="MS Mincho" w:hAnsi="Palatino Linotype" w:cs="Arial"/>
          <w:color w:val="000000" w:themeColor="text1"/>
        </w:rPr>
        <w:t xml:space="preserve">Ahora bien, tratándose de recursos federales </w:t>
      </w:r>
      <w:r>
        <w:rPr>
          <w:rFonts w:ascii="Palatino Linotype" w:hAnsi="Palatino Linotype"/>
        </w:rPr>
        <w:t xml:space="preserve">de acuerdo al artículo 23 de la Ley Orgánica de la Administración Pública del Estado de México, la Secretaría de Finanzas es la encargada de la planeación, programación, presupuestación y evaluación de las actividades del Poder Ejecutivo, de la administración financiera y tributaria de la hacienda pública del Estado y de prestar el apoyo administrativo y tecnológico que requieran las dependencias del Poder Ejecutivo del Estado y dentro de sus atribuciones se encuentra la de </w:t>
      </w:r>
      <w:r>
        <w:rPr>
          <w:rFonts w:ascii="Palatino Linotype" w:eastAsia="MS Mincho" w:hAnsi="Palatino Linotype"/>
          <w:lang w:val="es-ES_tradnl"/>
        </w:rPr>
        <w:t xml:space="preserve">Ejercer las atribuciones derivadas de los convenios fiscales que </w:t>
      </w:r>
      <w:r>
        <w:rPr>
          <w:rFonts w:ascii="Palatino Linotype" w:eastAsia="MS Mincho" w:hAnsi="Palatino Linotype"/>
          <w:lang w:val="es-ES_tradnl"/>
        </w:rPr>
        <w:lastRenderedPageBreak/>
        <w:t>celebre el Gobierno del Estado con la Secretaría de Hacienda y Crédito Público de Gobierno Federal, con los gobiernos municipales y con organismos auxiliares.</w:t>
      </w:r>
    </w:p>
    <w:p w:rsidR="005A6B36" w:rsidRDefault="005A6B36">
      <w:pPr>
        <w:pStyle w:val="Prrafodelista"/>
        <w:tabs>
          <w:tab w:val="left" w:pos="426"/>
        </w:tabs>
        <w:spacing w:line="360" w:lineRule="auto"/>
        <w:ind w:left="0"/>
        <w:contextualSpacing/>
        <w:jc w:val="both"/>
        <w:rPr>
          <w:rFonts w:ascii="Palatino Linotype" w:eastAsia="MS Mincho" w:hAnsi="Palatino Linotype" w:cs="Arial"/>
          <w:color w:val="000000" w:themeColor="text1"/>
          <w:highlight w:val="yellow"/>
        </w:rPr>
      </w:pPr>
    </w:p>
    <w:p w:rsidR="005A6B36" w:rsidRDefault="0049607E">
      <w:pPr>
        <w:pStyle w:val="Prrafodelista"/>
        <w:tabs>
          <w:tab w:val="left" w:pos="426"/>
        </w:tabs>
        <w:spacing w:line="360" w:lineRule="auto"/>
        <w:ind w:left="0"/>
        <w:contextualSpacing/>
        <w:jc w:val="both"/>
        <w:rPr>
          <w:rFonts w:ascii="Palatino Linotype" w:eastAsia="MS Mincho" w:hAnsi="Palatino Linotype" w:cs="Arial"/>
          <w:color w:val="000000" w:themeColor="text1"/>
          <w:highlight w:val="yellow"/>
        </w:rPr>
      </w:pPr>
      <w:r>
        <w:rPr>
          <w:rFonts w:ascii="Palatino Linotype" w:eastAsia="MS Mincho" w:hAnsi="Palatino Linotype" w:cs="Arial"/>
          <w:color w:val="000000" w:themeColor="text1"/>
        </w:rPr>
        <w:t xml:space="preserve">Por otra parte el </w:t>
      </w:r>
      <w:r>
        <w:rPr>
          <w:rFonts w:ascii="Palatino Linotype" w:eastAsia="MS Mincho" w:hAnsi="Palatino Linotype" w:cs="Arial"/>
          <w:b/>
          <w:bCs/>
          <w:color w:val="000000" w:themeColor="text1"/>
        </w:rPr>
        <w:t>Reglamento Interior de la Secretaría de Finanzas</w:t>
      </w:r>
      <w:r>
        <w:rPr>
          <w:rFonts w:ascii="Palatino Linotype" w:eastAsia="MS Mincho" w:hAnsi="Palatino Linotype" w:cs="Arial"/>
          <w:color w:val="000000" w:themeColor="text1"/>
        </w:rPr>
        <w:t>, establece las atribuciones de las diversas áreas que la integran que para el caso en concreto, son las siguientes:</w:t>
      </w:r>
    </w:p>
    <w:p w:rsidR="005A6B36" w:rsidRDefault="005A6B36">
      <w:pPr>
        <w:pStyle w:val="Prrafodelista"/>
        <w:tabs>
          <w:tab w:val="left" w:pos="7513"/>
        </w:tabs>
        <w:ind w:left="851" w:right="760"/>
        <w:jc w:val="both"/>
        <w:rPr>
          <w:rFonts w:ascii="Palatino Linotype" w:hAnsi="Palatino Linotype"/>
          <w:b/>
          <w:bCs/>
          <w:i/>
          <w:sz w:val="22"/>
          <w:szCs w:val="22"/>
          <w:highlight w:val="yellow"/>
        </w:rPr>
      </w:pPr>
    </w:p>
    <w:p w:rsidR="005A6B36" w:rsidRDefault="0049607E">
      <w:pPr>
        <w:pStyle w:val="Prrafodelista"/>
        <w:tabs>
          <w:tab w:val="left" w:pos="7513"/>
        </w:tabs>
        <w:ind w:left="851" w:right="760"/>
        <w:jc w:val="both"/>
        <w:rPr>
          <w:rFonts w:ascii="Palatino Linotype" w:hAnsi="Palatino Linotype"/>
          <w:b/>
          <w:bCs/>
          <w:i/>
          <w:sz w:val="22"/>
          <w:szCs w:val="22"/>
          <w:highlight w:val="yellow"/>
        </w:rPr>
      </w:pPr>
      <w:r>
        <w:rPr>
          <w:rFonts w:ascii="Palatino Linotype" w:hAnsi="Palatino Linotype"/>
          <w:b/>
          <w:bCs/>
          <w:i/>
          <w:sz w:val="22"/>
          <w:szCs w:val="22"/>
        </w:rPr>
        <w:t xml:space="preserve">“Artículo 7.- Son atribuciones del Secretario: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b/>
          <w:bCs/>
          <w:i/>
          <w:sz w:val="22"/>
          <w:szCs w:val="22"/>
          <w:highlight w:val="yellow"/>
        </w:rPr>
      </w:pPr>
      <w:r>
        <w:rPr>
          <w:rFonts w:ascii="Palatino Linotype" w:hAnsi="Palatino Linotype"/>
          <w:i/>
          <w:sz w:val="22"/>
          <w:szCs w:val="22"/>
        </w:rPr>
        <w:t>XXXV. Suscribir convenios y contratos con la federación, otras entidades federativas, los municipios o los organismos auxiliares de los anteriores, así como con los sectores social y privado; cuando estén relacionados con la administración financiera, planeación, programación y presupuestación, que suscriba el Titular del Poder Ejecutivo del Gobierno del Estado.</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 xml:space="preserve">Artículo 10.- Corresponde al Subsecretario de Ingresos: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b/>
          <w:bCs/>
          <w:i/>
          <w:sz w:val="22"/>
          <w:szCs w:val="22"/>
          <w:highlight w:val="yellow"/>
        </w:rPr>
      </w:pPr>
      <w:r>
        <w:rPr>
          <w:rFonts w:ascii="Palatino Linotype" w:hAnsi="Palatino Linotype"/>
          <w:i/>
          <w:sz w:val="22"/>
          <w:szCs w:val="22"/>
        </w:rPr>
        <w:t>XI. Rendir a las autoridades federales correspondientes, la cuenta comprobada mensual, en términos del Convenio celebrado con la Secretaría de Hacienda y Crédito Público.</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Artículo 17.- Corresponde a la Dirección General de Política Fiscal:</w:t>
      </w: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IV. Revisar la mecánica de cálculo y asignación de las participaciones, apoyos y aportaciones federales que correspondan al Estado dentro del Sistema Nacional de Coordinación Fiscal, proponiendo reformas y, en su caso, acciones que beneficien a la hacienda pública del Estado.</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w:t>
      </w: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XIV. Elaborar, para su publicación, las reglas para la asignación de las participaciones federales y estatales a los municipios del Estado de México en el ejercicio fiscal, el acuerdo por el que se dan a conocer las participaciones federales y estatales que recibirá cada municipio en el ejercicio fiscal, de las recibidas trimestralmente, y del ajuste anual definitivo de participaciones del ejercicio fiscal inmediato anterior.</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lastRenderedPageBreak/>
        <w:t>XVI. Analizar la suscripción de convenios con el gobierno federal y municipios del Estado de México en materia de ingresos.</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Artículo 18.- Corresponde al Subsecretario de Planeación y Presupuesto</w:t>
      </w: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IX. Ordenar el registro y seguimiento de los convenios suscritos por el Gobierno del Estado con el Gobierno Federal; los sectores social y privado, y los municipios, para </w:t>
      </w:r>
      <w:r>
        <w:rPr>
          <w:rFonts w:ascii="Palatino Linotype" w:hAnsi="Palatino Linotype"/>
          <w:b/>
          <w:i/>
          <w:sz w:val="22"/>
          <w:szCs w:val="22"/>
        </w:rPr>
        <w:t>controlar y evaluar los recursos aportados por cada una de las partes</w:t>
      </w:r>
      <w:r>
        <w:rPr>
          <w:rFonts w:ascii="Palatino Linotype" w:hAnsi="Palatino Linotype"/>
          <w:i/>
          <w:sz w:val="22"/>
          <w:szCs w:val="22"/>
        </w:rPr>
        <w:t>, informando oportunamente al Secretario.</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XIII. Coordinarse con las instancias federales para concertar la concurrencia de recursos y acciones, respecto a los fondos y programas federales aplicables en la entidad.</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 xml:space="preserve">Artículo 20.- Corresponde a la Dirección General de Planeación y Gasto Público: </w:t>
      </w: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b/>
          <w:bCs/>
          <w:i/>
          <w:sz w:val="22"/>
          <w:szCs w:val="22"/>
          <w:highlight w:val="yellow"/>
        </w:rPr>
      </w:pPr>
      <w:r>
        <w:rPr>
          <w:rFonts w:ascii="Palatino Linotype" w:hAnsi="Palatino Linotype"/>
          <w:b/>
          <w:bCs/>
          <w:i/>
          <w:sz w:val="22"/>
          <w:szCs w:val="22"/>
        </w:rPr>
        <w:t>XIV. Registrar y reportar a las instancias correspondientes, los avances físico-financieros de recursos de origen federal.</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Artículo 23.- Corresponde al Subsecretario de Tesorería: […]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 xml:space="preserve">IV. </w:t>
      </w:r>
      <w:r>
        <w:rPr>
          <w:rFonts w:ascii="Palatino Linotype" w:hAnsi="Palatino Linotype"/>
          <w:b/>
          <w:i/>
          <w:sz w:val="22"/>
          <w:szCs w:val="22"/>
          <w:u w:val="single"/>
        </w:rPr>
        <w:t>Verificar los recursos provenientes de las participaciones federales o de aquellos ingresos extraordinarios recibidos vía reasignaciones u otros establecidos en las leyes respectivas o en el Presupuesto de Egresos de la Federación, informando al Secretario</w:t>
      </w: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b/>
          <w:bCs/>
          <w:i/>
          <w:sz w:val="22"/>
          <w:szCs w:val="22"/>
        </w:rPr>
        <w:t>Artículo 32.- Corresponde a la Dirección General de Recursos Materiales:</w:t>
      </w:r>
      <w:r>
        <w:rPr>
          <w:rFonts w:ascii="Palatino Linotype" w:hAnsi="Palatino Linotype"/>
          <w:i/>
          <w:sz w:val="22"/>
          <w:szCs w:val="22"/>
        </w:rPr>
        <w:t xml:space="preserve"> </w:t>
      </w:r>
    </w:p>
    <w:p w:rsidR="005A6B36" w:rsidRDefault="0049607E">
      <w:pPr>
        <w:pStyle w:val="Prrafodelista"/>
        <w:tabs>
          <w:tab w:val="left" w:pos="7513"/>
        </w:tabs>
        <w:ind w:left="851" w:right="760"/>
        <w:jc w:val="both"/>
        <w:rPr>
          <w:rFonts w:ascii="Palatino Linotype" w:hAnsi="Palatino Linotype"/>
          <w:i/>
          <w:sz w:val="22"/>
          <w:szCs w:val="22"/>
          <w:highlight w:val="yellow"/>
        </w:rPr>
      </w:pPr>
      <w:r>
        <w:rPr>
          <w:rFonts w:ascii="Palatino Linotype" w:hAnsi="Palatino Linotype"/>
          <w:i/>
          <w:sz w:val="22"/>
          <w:szCs w:val="22"/>
        </w:rPr>
        <w:t>…</w:t>
      </w:r>
    </w:p>
    <w:p w:rsidR="005A6B36" w:rsidRDefault="0049607E">
      <w:pPr>
        <w:pStyle w:val="Prrafodelista"/>
        <w:tabs>
          <w:tab w:val="left" w:pos="7513"/>
        </w:tabs>
        <w:ind w:left="851" w:right="760"/>
        <w:jc w:val="both"/>
        <w:rPr>
          <w:rFonts w:ascii="Palatino Linotype" w:hAnsi="Palatino Linotype"/>
          <w:b/>
          <w:bCs/>
          <w:i/>
          <w:sz w:val="22"/>
          <w:szCs w:val="22"/>
          <w:highlight w:val="yellow"/>
        </w:rPr>
      </w:pPr>
      <w:r>
        <w:rPr>
          <w:rFonts w:ascii="Palatino Linotype" w:hAnsi="Palatino Linotype"/>
          <w:b/>
          <w:bCs/>
          <w:i/>
          <w:sz w:val="22"/>
          <w:szCs w:val="22"/>
        </w:rPr>
        <w:t>IX. Brindar o, en su caso, contratar asesoría técnica para la realización de estudios o investigaciones de mercado que tengan que pagarse con recursos estatales o federales, de pruebas de calidad y de aquéllas que sean necesarias para el mejoramiento y la modernización de las adquisiciones y de los servicios.”(Énfasis añadido)</w:t>
      </w:r>
    </w:p>
    <w:p w:rsidR="005A6B36" w:rsidRDefault="005A6B36">
      <w:pPr>
        <w:pStyle w:val="Prrafodelista"/>
        <w:tabs>
          <w:tab w:val="left" w:pos="7513"/>
        </w:tabs>
        <w:ind w:left="851" w:right="760"/>
        <w:jc w:val="both"/>
        <w:rPr>
          <w:rFonts w:ascii="Palatino Linotype" w:hAnsi="Palatino Linotype"/>
          <w:b/>
          <w:bCs/>
          <w:i/>
          <w:sz w:val="22"/>
          <w:szCs w:val="22"/>
          <w:highlight w:val="yellow"/>
        </w:rPr>
      </w:pPr>
    </w:p>
    <w:p w:rsidR="005A6B36" w:rsidRDefault="0049607E">
      <w:pPr>
        <w:pStyle w:val="Prrafodelista"/>
        <w:tabs>
          <w:tab w:val="left" w:pos="426"/>
        </w:tabs>
        <w:spacing w:line="360" w:lineRule="auto"/>
        <w:ind w:left="0"/>
        <w:contextualSpacing/>
        <w:jc w:val="both"/>
        <w:rPr>
          <w:rFonts w:ascii="Palatino Linotype" w:eastAsia="MS Mincho" w:hAnsi="Palatino Linotype" w:cs="Arial"/>
          <w:color w:val="000000" w:themeColor="text1"/>
          <w:highlight w:val="yellow"/>
        </w:rPr>
      </w:pPr>
      <w:r>
        <w:rPr>
          <w:rFonts w:ascii="Palatino Linotype" w:eastAsia="MS Mincho" w:hAnsi="Palatino Linotype" w:cs="Arial"/>
          <w:color w:val="000000" w:themeColor="text1"/>
        </w:rPr>
        <w:t xml:space="preserve">Expuesto lo anterior, se advierte que al tratarse de recursos federales, la </w:t>
      </w:r>
      <w:r>
        <w:rPr>
          <w:rFonts w:ascii="Palatino Linotype" w:eastAsia="MS Mincho" w:hAnsi="Palatino Linotype" w:cs="Arial"/>
          <w:b/>
          <w:bCs/>
          <w:color w:val="000000" w:themeColor="text1"/>
        </w:rPr>
        <w:t>Secretaría de Finanzas cuenta con las facultades, atribuciones y competencias para suscribir convenios con la federación, y con ello conocer el destino y uso de las aportaciones federales, de igual forma para registrar y reportar los avances de los mismos.</w:t>
      </w:r>
      <w:r>
        <w:rPr>
          <w:rFonts w:ascii="Palatino Linotype" w:eastAsia="MS Mincho" w:hAnsi="Palatino Linotype" w:cs="Arial"/>
          <w:color w:val="000000" w:themeColor="text1"/>
        </w:rPr>
        <w:t xml:space="preserve"> Así </w:t>
      </w:r>
      <w:r>
        <w:rPr>
          <w:rFonts w:ascii="Palatino Linotype" w:eastAsia="MS Mincho" w:hAnsi="Palatino Linotype" w:cs="Arial"/>
          <w:color w:val="000000" w:themeColor="text1"/>
        </w:rPr>
        <w:lastRenderedPageBreak/>
        <w:t xml:space="preserve">mismo, de acuerdo con el </w:t>
      </w:r>
      <w:r>
        <w:rPr>
          <w:rFonts w:ascii="Palatino Linotype" w:eastAsia="MS Mincho" w:hAnsi="Palatino Linotype" w:cs="Arial"/>
          <w:b/>
          <w:bCs/>
          <w:color w:val="000000" w:themeColor="text1"/>
        </w:rPr>
        <w:t xml:space="preserve">Manual General de Organización de la Secretaría de Finanzas, </w:t>
      </w:r>
      <w:r>
        <w:rPr>
          <w:rFonts w:ascii="Palatino Linotype" w:eastAsia="MS Mincho" w:hAnsi="Palatino Linotype" w:cs="Arial"/>
          <w:color w:val="000000" w:themeColor="text1"/>
        </w:rPr>
        <w:t>cuenta con una Contraloría Interna, que</w:t>
      </w:r>
      <w:r>
        <w:rPr>
          <w:rFonts w:ascii="Palatino Linotype" w:eastAsia="MS Mincho" w:hAnsi="Palatino Linotype" w:cs="Arial"/>
          <w:b/>
          <w:bCs/>
          <w:color w:val="000000" w:themeColor="text1"/>
        </w:rPr>
        <w:t xml:space="preserve"> </w:t>
      </w:r>
      <w:r>
        <w:rPr>
          <w:rFonts w:ascii="Palatino Linotype" w:eastAsia="MS Mincho" w:hAnsi="Palatino Linotype" w:cs="Arial"/>
          <w:color w:val="000000" w:themeColor="text1"/>
        </w:rPr>
        <w:t>tiene como objetivo el vigilar que los procedimientos que se realizan en las unidades administrativas de la Secretaría de Finanzas cumplan con las disposiciones jurídico-administrativas que lo regulan.</w:t>
      </w:r>
    </w:p>
    <w:p w:rsidR="005A6B36" w:rsidRDefault="005A6B36">
      <w:pPr>
        <w:pStyle w:val="Prrafodelista"/>
        <w:tabs>
          <w:tab w:val="left" w:pos="426"/>
        </w:tabs>
        <w:spacing w:line="360" w:lineRule="auto"/>
        <w:ind w:left="0"/>
        <w:contextualSpacing/>
        <w:jc w:val="both"/>
        <w:rPr>
          <w:rFonts w:ascii="Palatino Linotype" w:eastAsia="MS Mincho" w:hAnsi="Palatino Linotype" w:cs="Arial"/>
          <w:color w:val="000000" w:themeColor="text1"/>
          <w:highlight w:val="yellow"/>
        </w:rPr>
      </w:pPr>
    </w:p>
    <w:p w:rsidR="005A6B36" w:rsidRDefault="0049607E">
      <w:pPr>
        <w:widowControl w:val="0"/>
        <w:tabs>
          <w:tab w:val="left" w:pos="1276"/>
          <w:tab w:val="left" w:pos="8080"/>
        </w:tabs>
        <w:spacing w:line="360" w:lineRule="auto"/>
        <w:ind w:right="51"/>
        <w:jc w:val="both"/>
        <w:rPr>
          <w:rFonts w:ascii="Palatino Linotype" w:eastAsia="MS Mincho" w:hAnsi="Palatino Linotype" w:cs="Arial"/>
          <w:bCs/>
          <w:color w:val="000000" w:themeColor="text1"/>
        </w:rPr>
      </w:pPr>
      <w:r>
        <w:rPr>
          <w:rFonts w:ascii="Palatino Linotype" w:eastAsia="MS Mincho" w:hAnsi="Palatino Linotype" w:cs="Arial"/>
          <w:bCs/>
          <w:color w:val="000000" w:themeColor="text1"/>
        </w:rPr>
        <w:t xml:space="preserve">De igual manera, se puede advertir que la Secretaría de Finanzas cuenta con las facultades, atribuciones y competencias para conocer el destino y uso de los recursos federales, así como, su operatividad y registrar y reportar los avances financieros de los mismos, sin embargo, aunque este Sujeto Obligado, también pudiera contar con la información solicitada tratándose del ejercicio de recursos federales en materia de seguridad; </w:t>
      </w:r>
      <w:r>
        <w:rPr>
          <w:rFonts w:ascii="Palatino Linotype" w:eastAsia="MS Mincho" w:hAnsi="Palatino Linotype" w:cs="Arial"/>
          <w:b/>
          <w:bCs/>
          <w:color w:val="000000" w:themeColor="text1"/>
        </w:rPr>
        <w:t>EL SUJETO OBLIGADO</w:t>
      </w:r>
      <w:r>
        <w:rPr>
          <w:rFonts w:ascii="Palatino Linotype" w:eastAsia="MS Mincho" w:hAnsi="Palatino Linotype" w:cs="Arial"/>
          <w:bCs/>
          <w:color w:val="000000" w:themeColor="text1"/>
        </w:rPr>
        <w:t xml:space="preserve"> Secretaria de Seguridad también cuenta con la información solicitada por el particular, aunque se trate de recursos federales al ejecutar los recursos obtenidos con estos, por tanto de haber adquiridos los programas señalados en materia de seguridad y de haber celebrado contrato, convenio y/o cualquier otro documento con las empresas enlistadas, aun tratándose de recursos federales, debe obrar en sus archivos.</w:t>
      </w:r>
    </w:p>
    <w:p w:rsidR="005A6B36" w:rsidRDefault="005A6B36">
      <w:pPr>
        <w:widowControl w:val="0"/>
        <w:tabs>
          <w:tab w:val="left" w:pos="1276"/>
          <w:tab w:val="left" w:pos="8080"/>
        </w:tabs>
        <w:spacing w:line="360" w:lineRule="auto"/>
        <w:ind w:right="51"/>
        <w:jc w:val="both"/>
        <w:rPr>
          <w:rFonts w:ascii="Palatino Linotype" w:eastAsia="MS Mincho" w:hAnsi="Palatino Linotype" w:cs="Arial"/>
          <w:bCs/>
          <w:color w:val="000000" w:themeColor="text1"/>
        </w:rPr>
      </w:pPr>
    </w:p>
    <w:p w:rsidR="005A6B36" w:rsidRDefault="0049607E">
      <w:pPr>
        <w:tabs>
          <w:tab w:val="left" w:pos="8080"/>
        </w:tabs>
        <w:spacing w:line="360" w:lineRule="auto"/>
        <w:ind w:right="49"/>
        <w:jc w:val="both"/>
        <w:rPr>
          <w:rFonts w:ascii="Palatino Linotype" w:hAnsi="Palatino Linotype" w:cs="Arial"/>
        </w:rPr>
      </w:pPr>
      <w:r>
        <w:rPr>
          <w:rFonts w:ascii="Palatino Linotype" w:hAnsi="Palatino Linotype" w:cs="Arial"/>
        </w:rPr>
        <w:t xml:space="preserve">En consecuencia, se advierte que la respuesta proporcionada por </w:t>
      </w:r>
      <w:r>
        <w:rPr>
          <w:rFonts w:ascii="Palatino Linotype" w:hAnsi="Palatino Linotype" w:cs="Arial"/>
          <w:b/>
        </w:rPr>
        <w:t>EL SUJETO OBLIGADO</w:t>
      </w:r>
      <w:r>
        <w:rPr>
          <w:rFonts w:ascii="Palatino Linotype" w:hAnsi="Palatino Linotype" w:cs="Arial"/>
        </w:rPr>
        <w:t xml:space="preserve">, causa incertidumbre al </w:t>
      </w:r>
      <w:r>
        <w:rPr>
          <w:rFonts w:ascii="Palatino Linotype" w:hAnsi="Palatino Linotype" w:cs="Arial"/>
          <w:b/>
        </w:rPr>
        <w:t>RECURRENTE</w:t>
      </w:r>
      <w:r>
        <w:rPr>
          <w:rFonts w:ascii="Palatino Linotype" w:hAnsi="Palatino Linotype" w:cs="Arial"/>
        </w:rPr>
        <w:t>, por tanto, no satisfizo el derecho de acceso a la información pública del particular, así mismo carece de fundamentación y motivación.</w:t>
      </w:r>
    </w:p>
    <w:p w:rsidR="005A6B36" w:rsidRDefault="005A6B36">
      <w:pPr>
        <w:spacing w:line="360" w:lineRule="auto"/>
        <w:jc w:val="both"/>
        <w:rPr>
          <w:rFonts w:ascii="Palatino Linotype" w:hAnsi="Palatino Linotype" w:cs="Arial"/>
        </w:rPr>
      </w:pPr>
    </w:p>
    <w:p w:rsidR="005A6B36" w:rsidRDefault="0049607E">
      <w:pPr>
        <w:spacing w:line="360" w:lineRule="auto"/>
        <w:jc w:val="both"/>
        <w:rPr>
          <w:rFonts w:ascii="Palatino Linotype" w:hAnsi="Palatino Linotype" w:cs="Arial"/>
        </w:rPr>
      </w:pPr>
      <w:r>
        <w:rPr>
          <w:rFonts w:ascii="Palatino Linotype" w:hAnsi="Palatino Linotype" w:cs="Arial"/>
        </w:rPr>
        <w:lastRenderedPageBreak/>
        <w:t>Atento a ello, es importante referir que la fundamentación y motivación consiste en la obligación que tiene todo ente público de expresar los preceptos jurídicos aplicables al asunto motivo del acto y las razones o argumentos de su actuar.</w:t>
      </w:r>
    </w:p>
    <w:p w:rsidR="005A6B36" w:rsidRDefault="005A6B36">
      <w:pPr>
        <w:spacing w:line="360" w:lineRule="auto"/>
        <w:jc w:val="both"/>
        <w:rPr>
          <w:rFonts w:ascii="Palatino Linotype" w:hAnsi="Palatino Linotype" w:cs="Arial"/>
        </w:rPr>
      </w:pPr>
    </w:p>
    <w:p w:rsidR="005A6B36" w:rsidRDefault="0049607E">
      <w:pPr>
        <w:tabs>
          <w:tab w:val="left" w:pos="8931"/>
        </w:tabs>
        <w:spacing w:line="360" w:lineRule="auto"/>
        <w:jc w:val="both"/>
        <w:rPr>
          <w:rFonts w:ascii="Palatino Linotype" w:hAnsi="Palatino Linotype" w:cs="Arial"/>
        </w:rPr>
      </w:pPr>
      <w:r>
        <w:rPr>
          <w:rFonts w:ascii="Palatino Linotype" w:hAnsi="Palatino Linotype" w:cs="Arial"/>
        </w:rPr>
        <w:t>Al respecto, el máximo tribunal del país ha establecido jurisprudencia respecto a qué debe entenderse por fundamentación y motivación, en los siguientes términos:</w:t>
      </w:r>
    </w:p>
    <w:p w:rsidR="005A6B36" w:rsidRDefault="005A6B36">
      <w:pPr>
        <w:jc w:val="both"/>
        <w:rPr>
          <w:rFonts w:ascii="Palatino Linotype" w:hAnsi="Palatino Linotype" w:cs="Arial"/>
        </w:rPr>
      </w:pPr>
    </w:p>
    <w:p w:rsidR="005A6B36" w:rsidRDefault="0049607E">
      <w:pPr>
        <w:ind w:left="851" w:right="901"/>
        <w:jc w:val="both"/>
        <w:rPr>
          <w:rFonts w:ascii="Palatino Linotype" w:hAnsi="Palatino Linotype" w:cs="Arial"/>
          <w:i/>
          <w:sz w:val="22"/>
        </w:rPr>
      </w:pPr>
      <w:r>
        <w:rPr>
          <w:rFonts w:ascii="Palatino Linotype" w:hAnsi="Palatino Linotype" w:cs="Arial"/>
          <w:i/>
          <w:sz w:val="22"/>
        </w:rPr>
        <w:t>“</w:t>
      </w:r>
      <w:r>
        <w:rPr>
          <w:rFonts w:ascii="Palatino Linotype" w:hAnsi="Palatino Linotype" w:cs="Arial"/>
          <w:b/>
          <w:i/>
          <w:sz w:val="22"/>
        </w:rPr>
        <w:t xml:space="preserve">FUNDAMENTACIÓN Y MOTIVACIÓN. </w:t>
      </w:r>
      <w:r>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A6B36" w:rsidRDefault="005A6B36">
      <w:pPr>
        <w:ind w:left="851" w:right="899"/>
        <w:contextualSpacing/>
        <w:jc w:val="both"/>
        <w:rPr>
          <w:rFonts w:ascii="Palatino Linotype" w:hAnsi="Palatino Linotype" w:cs="Arial"/>
          <w:i/>
          <w:sz w:val="22"/>
        </w:rPr>
      </w:pPr>
    </w:p>
    <w:p w:rsidR="005A6B36" w:rsidRDefault="0049607E">
      <w:pPr>
        <w:spacing w:line="360" w:lineRule="auto"/>
        <w:jc w:val="both"/>
        <w:rPr>
          <w:rFonts w:ascii="Palatino Linotype" w:hAnsi="Palatino Linotype" w:cs="Arial"/>
        </w:rPr>
      </w:pPr>
      <w:r>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A6B36" w:rsidRDefault="005A6B36">
      <w:pPr>
        <w:spacing w:line="360" w:lineRule="auto"/>
        <w:jc w:val="both"/>
        <w:rPr>
          <w:rFonts w:ascii="Palatino Linotype" w:hAnsi="Palatino Linotype" w:cs="Arial"/>
        </w:rPr>
      </w:pPr>
    </w:p>
    <w:p w:rsidR="005A6B36" w:rsidRDefault="0049607E">
      <w:pPr>
        <w:spacing w:line="360" w:lineRule="auto"/>
        <w:jc w:val="both"/>
        <w:rPr>
          <w:rFonts w:ascii="Palatino Linotype" w:hAnsi="Palatino Linotype" w:cs="Arial"/>
        </w:rPr>
      </w:pPr>
      <w:r>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A6B36" w:rsidRDefault="005A6B36">
      <w:pPr>
        <w:jc w:val="both"/>
        <w:rPr>
          <w:rFonts w:ascii="Palatino Linotype" w:hAnsi="Palatino Linotype" w:cs="Arial"/>
        </w:rPr>
      </w:pPr>
    </w:p>
    <w:p w:rsidR="005A6B36" w:rsidRDefault="0049607E">
      <w:pPr>
        <w:ind w:left="851" w:right="901"/>
        <w:jc w:val="both"/>
        <w:rPr>
          <w:rFonts w:ascii="Palatino Linotype" w:hAnsi="Palatino Linotype" w:cs="Arial"/>
          <w:i/>
          <w:sz w:val="22"/>
        </w:rPr>
      </w:pPr>
      <w:r>
        <w:rPr>
          <w:rFonts w:ascii="Palatino Linotype" w:hAnsi="Palatino Linotype" w:cs="Arial"/>
          <w:b/>
          <w:i/>
          <w:sz w:val="22"/>
        </w:rPr>
        <w:t>“FUNDAMENTACIÓN Y MOTIVACIÓN. EL ASPECTO FORMAL DE LA GARANTÍA Y SU FINALIDAD SE TRADUCEN EN EXPLICAR, JUSTIFICAR, POSIBILITAR LA DEFENSA Y COMUNICAR LA DECISIÓN</w:t>
      </w:r>
      <w:r>
        <w:rPr>
          <w:rFonts w:ascii="Palatino Linotype" w:hAnsi="Palatino Linotype" w:cs="Arial"/>
          <w:i/>
          <w:sz w:val="22"/>
        </w:rPr>
        <w:t xml:space="preserve">. El contenido formal de la garantía de legalidad prevista en el artículo 16 constitucional relativa a la </w:t>
      </w:r>
      <w:r>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las circunstancias y condiciones que </w:t>
      </w:r>
      <w:r>
        <w:rPr>
          <w:rFonts w:ascii="Palatino Linotype" w:hAnsi="Palatino Linotype" w:cs="Arial"/>
          <w:b/>
          <w:i/>
          <w:sz w:val="22"/>
        </w:rPr>
        <w:lastRenderedPageBreak/>
        <w:t>determinaron el acto de voluntad, de manera que sea evidente y muy claro para el afectado poder cuestionar y controvertir el mérito de la decisión, permitiéndole una real y auténtica defensa</w:t>
      </w:r>
      <w:r>
        <w:rPr>
          <w:rFonts w:ascii="Palatino Linotype" w:hAnsi="Palatino Linotype" w:cs="Arial"/>
          <w:i/>
          <w:sz w:val="22"/>
        </w:rPr>
        <w:t xml:space="preserve">. Por tanto, </w:t>
      </w:r>
      <w:r>
        <w:rPr>
          <w:rFonts w:ascii="Palatino Linotype" w:hAnsi="Palatino Linotype" w:cs="Arial"/>
          <w:b/>
          <w:i/>
          <w:sz w:val="22"/>
        </w:rPr>
        <w:t>no basta que el acto de autoridad apenas observe una motivación pro forma pero de una manera incongruente, insuficiente o imprecisa</w:t>
      </w:r>
      <w:r>
        <w:rPr>
          <w:rFonts w:ascii="Palatino Linotype" w:hAnsi="Palatino Linotype" w:cs="Arial"/>
          <w:i/>
          <w:sz w:val="22"/>
        </w:rPr>
        <w:t>, que impida la finalidad del conocimiento, comprobación y defensa pertinente</w:t>
      </w:r>
      <w:r>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Pr>
          <w:rFonts w:ascii="Palatino Linotype" w:hAnsi="Palatino Linotype" w:cs="Arial"/>
          <w:i/>
          <w:sz w:val="22"/>
        </w:rPr>
        <w:t>.”(Sic)</w:t>
      </w:r>
    </w:p>
    <w:p w:rsidR="005A6B36" w:rsidRDefault="005A6B36">
      <w:pPr>
        <w:ind w:left="851" w:right="899"/>
        <w:contextualSpacing/>
        <w:jc w:val="both"/>
        <w:rPr>
          <w:rFonts w:ascii="Palatino Linotype" w:hAnsi="Palatino Linotype" w:cs="Arial"/>
          <w:i/>
          <w:sz w:val="22"/>
        </w:rPr>
      </w:pPr>
    </w:p>
    <w:p w:rsidR="005A6B36" w:rsidRDefault="0049607E">
      <w:pPr>
        <w:spacing w:line="360" w:lineRule="auto"/>
        <w:jc w:val="both"/>
        <w:rPr>
          <w:rFonts w:ascii="Palatino Linotype" w:hAnsi="Palatino Linotype" w:cs="Arial"/>
        </w:rPr>
      </w:pPr>
      <w:r>
        <w:rPr>
          <w:rFonts w:ascii="Palatino Linotype" w:hAnsi="Palatino Linotype" w:cs="Arial"/>
        </w:rPr>
        <w:t>Por lo que,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rPr>
        <w:t xml:space="preserve">En otro orden de ideas, es preciso mencionar que al momento de dar respuesta a la solicitud, </w:t>
      </w:r>
      <w:r>
        <w:rPr>
          <w:rFonts w:ascii="Palatino Linotype" w:hAnsi="Palatino Linotype" w:cs="Arial"/>
          <w:b/>
        </w:rPr>
        <w:t>EL SUJETO OBLIGADO</w:t>
      </w:r>
      <w:r>
        <w:rPr>
          <w:rFonts w:ascii="Palatino Linotype" w:hAnsi="Palatino Linotype" w:cs="Arial"/>
        </w:rPr>
        <w:t xml:space="preserve">, únicamente se pronunció respecto a que hizo una búsqueda exhaustiva y razonable de la información y no había localizado contrato alguno con las empresas señaladas en la respuesta; sin embargo, omitió pronunciarse respecto a sus filiales y si había celebrado contrato, convenio o cualquier otro documento para la renovación de cualquier software, licencia o herramienta tecnológica para la intervención de comunicaciones privadas y/o para la investigación forense de los programas enlistados en la solicitud, máxime que como ya se mencionó no realizo una búsqueda exhaustiva y razonable de la información, en consecuencia, al momento de dar cumplimiento a la presente resolución deberá hacerla en su totalidad </w:t>
      </w:r>
      <w:r>
        <w:rPr>
          <w:rFonts w:ascii="Palatino Linotype" w:hAnsi="Palatino Linotype" w:cs="Arial"/>
        </w:rPr>
        <w:lastRenderedPageBreak/>
        <w:t xml:space="preserve">al mayor grado de desagregación posible y en el estado en que se encuentre sin la necesidad de realizar un documento ad hoc. </w:t>
      </w:r>
    </w:p>
    <w:p w:rsidR="005A6B36" w:rsidRDefault="0049607E">
      <w:pPr>
        <w:widowControl w:val="0"/>
        <w:spacing w:line="360" w:lineRule="auto"/>
        <w:jc w:val="both"/>
        <w:rPr>
          <w:rFonts w:ascii="Palatino Linotype" w:hAnsi="Palatino Linotype" w:cs="Arial"/>
        </w:rPr>
      </w:pPr>
      <w:r>
        <w:rPr>
          <w:rFonts w:ascii="Palatino Linotype" w:hAnsi="Palatino Linotype" w:cs="Arial"/>
        </w:rPr>
        <w:t xml:space="preserve">En síntesis, 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Pr>
          <w:rFonts w:ascii="Palatino Linotype" w:hAnsi="Palatino Linotype" w:cs="Arial"/>
          <w:i/>
        </w:rPr>
        <w:t>ad hoc</w:t>
      </w:r>
      <w:r>
        <w:rPr>
          <w:rFonts w:ascii="Palatino Linotype" w:hAnsi="Palatino Linotype" w:cs="Arial"/>
        </w:rPr>
        <w:t>, para satisfacer el derecho de acceso a la información pública.</w:t>
      </w:r>
    </w:p>
    <w:p w:rsidR="005A6B36" w:rsidRDefault="005A6B36">
      <w:pPr>
        <w:widowControl w:val="0"/>
        <w:spacing w:line="360" w:lineRule="auto"/>
        <w:jc w:val="both"/>
        <w:rPr>
          <w:rFonts w:ascii="Palatino Linotype" w:hAnsi="Palatino Linotype" w:cs="Arial"/>
        </w:rPr>
      </w:pPr>
    </w:p>
    <w:p w:rsidR="005A6B36" w:rsidRDefault="0049607E">
      <w:pPr>
        <w:widowControl w:val="0"/>
        <w:tabs>
          <w:tab w:val="left" w:pos="1701"/>
          <w:tab w:val="left" w:pos="1843"/>
        </w:tabs>
        <w:spacing w:line="360" w:lineRule="auto"/>
        <w:jc w:val="both"/>
        <w:rPr>
          <w:rFonts w:ascii="Palatino Linotype" w:eastAsiaTheme="minorEastAsia" w:hAnsi="Palatino Linotype" w:cs="Arial"/>
        </w:rPr>
      </w:pPr>
      <w:r>
        <w:rPr>
          <w:rFonts w:ascii="Palatino Linotype" w:eastAsiaTheme="minorEastAsia" w:hAnsi="Palatino Linotype" w:cs="Arial"/>
        </w:rPr>
        <w:t>Como apoyo a lo anterior, es aplicable el criterio número 03/17 emitido por el Instituto Nacional de Transparencia, Acceso a la Información y Protección de Datos Personales (INAI), cuyo contenido se inserta a continuación:</w:t>
      </w:r>
    </w:p>
    <w:p w:rsidR="005A6B36" w:rsidRDefault="005A6B36">
      <w:pPr>
        <w:widowControl w:val="0"/>
        <w:tabs>
          <w:tab w:val="left" w:pos="1701"/>
          <w:tab w:val="left" w:pos="1843"/>
        </w:tabs>
        <w:spacing w:line="360" w:lineRule="auto"/>
        <w:jc w:val="both"/>
        <w:rPr>
          <w:rFonts w:ascii="Palatino Linotype" w:eastAsiaTheme="minorEastAsia" w:hAnsi="Palatino Linotype" w:cs="Arial"/>
        </w:rPr>
      </w:pPr>
    </w:p>
    <w:p w:rsidR="005A6B36" w:rsidRDefault="0049607E">
      <w:pPr>
        <w:widowControl w:val="0"/>
        <w:tabs>
          <w:tab w:val="left" w:pos="1701"/>
          <w:tab w:val="left" w:pos="1843"/>
        </w:tabs>
        <w:ind w:left="709" w:right="899"/>
        <w:jc w:val="both"/>
        <w:rPr>
          <w:rFonts w:ascii="Palatino Linotype" w:eastAsiaTheme="minorEastAsia" w:hAnsi="Palatino Linotype" w:cs="Arial"/>
          <w:i/>
          <w:iCs/>
          <w:sz w:val="22"/>
          <w:szCs w:val="22"/>
        </w:rPr>
      </w:pPr>
      <w:r>
        <w:rPr>
          <w:rFonts w:ascii="Palatino Linotype" w:eastAsiaTheme="minorEastAsia" w:hAnsi="Palatino Linotype" w:cs="Arial"/>
          <w:b/>
          <w:bCs/>
          <w:i/>
          <w:iCs/>
          <w:sz w:val="22"/>
          <w:szCs w:val="22"/>
        </w:rPr>
        <w:t>“No existe obligación de elaborar documentos ad hoc para atender las solicitudes de acceso a la información. </w:t>
      </w:r>
      <w:r>
        <w:rPr>
          <w:rFonts w:ascii="Palatino Linotype" w:eastAsiaTheme="minorEastAsia" w:hAnsi="Palatino Linotype" w:cs="Arial"/>
          <w:i/>
          <w:iCs/>
          <w:sz w:val="22"/>
          <w:szCs w:val="22"/>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A6B36" w:rsidRDefault="005A6B36">
      <w:pPr>
        <w:widowControl w:val="0"/>
        <w:tabs>
          <w:tab w:val="left" w:pos="1701"/>
          <w:tab w:val="left" w:pos="1843"/>
        </w:tabs>
        <w:ind w:left="709" w:right="899"/>
        <w:jc w:val="both"/>
        <w:rPr>
          <w:rFonts w:ascii="Palatino Linotype" w:eastAsiaTheme="minorEastAsia" w:hAnsi="Palatino Linotype" w:cs="Arial"/>
          <w:b/>
          <w:i/>
          <w:sz w:val="22"/>
          <w:szCs w:val="22"/>
        </w:rPr>
      </w:pPr>
    </w:p>
    <w:p w:rsidR="005A6B36" w:rsidRDefault="0049607E">
      <w:pPr>
        <w:widowControl w:val="0"/>
        <w:tabs>
          <w:tab w:val="left" w:pos="1701"/>
          <w:tab w:val="left" w:pos="1843"/>
        </w:tabs>
        <w:ind w:left="709" w:right="899"/>
        <w:jc w:val="both"/>
        <w:rPr>
          <w:rFonts w:ascii="Palatino Linotype" w:eastAsiaTheme="minorEastAsia" w:hAnsi="Palatino Linotype" w:cs="Arial"/>
          <w:b/>
          <w:i/>
          <w:sz w:val="22"/>
          <w:szCs w:val="22"/>
        </w:rPr>
      </w:pPr>
      <w:r>
        <w:rPr>
          <w:rFonts w:ascii="Palatino Linotype" w:eastAsiaTheme="minorEastAsia" w:hAnsi="Palatino Linotype" w:cs="Arial"/>
          <w:b/>
          <w:i/>
          <w:sz w:val="22"/>
          <w:szCs w:val="22"/>
        </w:rPr>
        <w:t xml:space="preserve">Resoluciones: </w:t>
      </w:r>
    </w:p>
    <w:p w:rsidR="005A6B36" w:rsidRDefault="0049607E">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0050/16. Instituto Nacional para la Evaluación de la Educación. 13 julio de 2016. Por unanimidad. Comisionado Ponente: Francisco Javier Acuña Llamas.</w:t>
      </w:r>
    </w:p>
    <w:p w:rsidR="005A6B36" w:rsidRDefault="0049607E">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lastRenderedPageBreak/>
        <w:t></w:t>
      </w:r>
      <w:r>
        <w:rPr>
          <w:rFonts w:ascii="Palatino Linotype" w:eastAsiaTheme="minorEastAsia" w:hAnsi="Palatino Linotype" w:cs="Arial"/>
          <w:i/>
          <w:sz w:val="22"/>
          <w:szCs w:val="22"/>
        </w:rPr>
        <w:t xml:space="preserve"> RRA 0310/16. Instituto Nacional de Transparencia, Acceso a la Información y Protección de Datos Personales. 10 de agosto de 2016. Por unanimidad. Comisionada Ponente. Areli Cano Guadiana. </w:t>
      </w:r>
    </w:p>
    <w:p w:rsidR="005A6B36" w:rsidRDefault="0049607E">
      <w:pPr>
        <w:widowControl w:val="0"/>
        <w:tabs>
          <w:tab w:val="left" w:pos="1701"/>
          <w:tab w:val="left" w:pos="1843"/>
        </w:tabs>
        <w:ind w:left="709" w:right="899"/>
        <w:jc w:val="both"/>
        <w:rPr>
          <w:rFonts w:ascii="Palatino Linotype" w:eastAsiaTheme="minorEastAsia" w:hAnsi="Palatino Linotype" w:cs="Arial"/>
          <w:i/>
          <w:sz w:val="22"/>
          <w:szCs w:val="22"/>
        </w:rPr>
      </w:pPr>
      <w:r>
        <w:rPr>
          <w:rFonts w:ascii="Symbol" w:eastAsia="Symbol" w:hAnsi="Symbol" w:cs="Symbol"/>
          <w:i/>
          <w:sz w:val="22"/>
          <w:szCs w:val="22"/>
        </w:rPr>
        <w:t></w:t>
      </w:r>
      <w:r>
        <w:rPr>
          <w:rFonts w:ascii="Palatino Linotype" w:eastAsiaTheme="minorEastAsia" w:hAnsi="Palatino Linotype" w:cs="Arial"/>
          <w:i/>
          <w:sz w:val="22"/>
          <w:szCs w:val="22"/>
        </w:rPr>
        <w:t xml:space="preserve"> RRA 1889/16. Secretaría de Hacienda y Crédito Público. 05 de octubre de 2016. Por unanimidad. Comisionada Ponente. Ximena Puente de la Mora.” (Sic)</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rPr>
        <w:t>Por otra parte, es de subrayar que el derecho de acceso a la información pública, consiste en que la información solicitada conste en un soporte documental en cualquiera de sus formas; lo anterior, tiene sustento en los artículos 3, fracciones XI y XXII; 4; 11 y 12 de la Ley de Transparencia y Acceso a la Información Pública del Estado de México y Municipios:</w:t>
      </w: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 xml:space="preserve">“Artículo 3. Para los efectos </w:t>
      </w:r>
      <w:r>
        <w:rPr>
          <w:rFonts w:ascii="Palatino Linotype" w:hAnsi="Palatino Linotype" w:cs="Arial"/>
          <w:b/>
          <w:i/>
          <w:sz w:val="22"/>
          <w:szCs w:val="22"/>
        </w:rPr>
        <w:t>de</w:t>
      </w:r>
      <w:r>
        <w:rPr>
          <w:rFonts w:ascii="Palatino Linotype" w:hAnsi="Palatino Linotype" w:cs="Arial"/>
          <w:b/>
          <w:bCs/>
          <w:i/>
          <w:sz w:val="22"/>
        </w:rPr>
        <w:t xml:space="preserve"> la presente Ley se entenderá por: </w:t>
      </w:r>
      <w:r>
        <w:rPr>
          <w:rFonts w:ascii="Palatino Linotype" w:hAnsi="Palatino Linotype" w:cs="Arial"/>
          <w:bCs/>
          <w:i/>
          <w:sz w:val="22"/>
        </w:rPr>
        <w:t>…</w:t>
      </w:r>
    </w:p>
    <w:p w:rsidR="005A6B36" w:rsidRDefault="0049607E">
      <w:pPr>
        <w:ind w:left="851" w:right="902"/>
        <w:jc w:val="both"/>
        <w:rPr>
          <w:rFonts w:ascii="Palatino Linotype" w:hAnsi="Palatino Linotype" w:cs="Arial"/>
          <w:bCs/>
          <w:i/>
          <w:sz w:val="22"/>
        </w:rPr>
      </w:pPr>
      <w:r>
        <w:rPr>
          <w:rFonts w:ascii="Palatino Linotype" w:hAnsi="Palatino Linotype" w:cs="Arial"/>
          <w:bCs/>
          <w:i/>
          <w:sz w:val="22"/>
        </w:rPr>
        <w:t>…</w:t>
      </w: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XI. Documento:</w:t>
      </w:r>
      <w:r>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5A6B36" w:rsidRDefault="0049607E">
      <w:pPr>
        <w:ind w:left="851" w:right="902"/>
        <w:jc w:val="both"/>
        <w:rPr>
          <w:rFonts w:ascii="Palatino Linotype" w:hAnsi="Palatino Linotype" w:cs="Arial"/>
          <w:bCs/>
          <w:i/>
          <w:sz w:val="22"/>
        </w:rPr>
      </w:pPr>
      <w:r>
        <w:rPr>
          <w:rFonts w:ascii="Palatino Linotype" w:hAnsi="Palatino Linotype" w:cs="Arial"/>
          <w:bCs/>
          <w:i/>
          <w:sz w:val="22"/>
        </w:rPr>
        <w:t>…</w:t>
      </w: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XXII.</w:t>
      </w:r>
      <w:r>
        <w:rPr>
          <w:rFonts w:ascii="Palatino Linotype" w:hAnsi="Palatino Linotype" w:cs="Arial"/>
          <w:bCs/>
          <w:i/>
          <w:sz w:val="22"/>
        </w:rPr>
        <w:t xml:space="preserve"> Información de interés público: Se refiere a la información que resulta relevante o beneficiosa para la sociedad y no simplemente de interés individual, cuya divulgación resulta útil para que el público comprenda las actividades que llevan a cabo los sujetos obligados; </w:t>
      </w:r>
    </w:p>
    <w:p w:rsidR="005A6B36" w:rsidRDefault="005A6B36">
      <w:pPr>
        <w:ind w:left="851" w:right="902"/>
        <w:jc w:val="both"/>
        <w:rPr>
          <w:rFonts w:ascii="Palatino Linotype" w:hAnsi="Palatino Linotype" w:cs="Arial"/>
          <w:b/>
          <w:bCs/>
          <w:i/>
          <w:sz w:val="22"/>
        </w:rPr>
      </w:pP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Artículo 4.</w:t>
      </w:r>
      <w:r>
        <w:rPr>
          <w:rFonts w:ascii="Palatino Linotype" w:hAnsi="Palatino Linotype" w:cs="Arial"/>
          <w:bCs/>
          <w:i/>
          <w:sz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A6B36" w:rsidRDefault="0049607E">
      <w:pPr>
        <w:ind w:left="851" w:right="902"/>
        <w:jc w:val="both"/>
        <w:rPr>
          <w:rFonts w:ascii="Palatino Linotype" w:hAnsi="Palatino Linotype" w:cs="Arial"/>
          <w:bCs/>
          <w:i/>
          <w:sz w:val="22"/>
        </w:rPr>
      </w:pPr>
      <w:r>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w:t>
      </w:r>
      <w:r>
        <w:rPr>
          <w:rFonts w:ascii="Palatino Linotype" w:hAnsi="Palatino Linotype" w:cs="Arial"/>
          <w:bCs/>
          <w:i/>
          <w:sz w:val="22"/>
        </w:rPr>
        <w:lastRenderedPageBreak/>
        <w:t xml:space="preserve">reservada temporalmente por razones de interés público, en los términos de las causas legítimas y estrictamente necesarias previstas por esta Ley. </w:t>
      </w:r>
    </w:p>
    <w:p w:rsidR="005A6B36" w:rsidRDefault="0049607E">
      <w:pPr>
        <w:ind w:left="851" w:right="902"/>
        <w:jc w:val="both"/>
        <w:rPr>
          <w:rFonts w:ascii="Palatino Linotype" w:hAnsi="Palatino Linotype" w:cs="Arial"/>
          <w:bCs/>
          <w:i/>
          <w:sz w:val="22"/>
        </w:rPr>
      </w:pPr>
      <w:r>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5A6B36" w:rsidRDefault="005A6B36">
      <w:pPr>
        <w:ind w:left="851" w:right="902"/>
        <w:jc w:val="both"/>
        <w:rPr>
          <w:rFonts w:ascii="Palatino Linotype" w:hAnsi="Palatino Linotype" w:cs="Arial"/>
          <w:b/>
          <w:bCs/>
          <w:i/>
          <w:sz w:val="22"/>
        </w:rPr>
      </w:pP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Artículo 11.-</w:t>
      </w:r>
      <w:r>
        <w:rPr>
          <w:rFonts w:ascii="Palatino Linotype" w:hAnsi="Palatino Linotype" w:cs="Arial"/>
          <w:bCs/>
          <w:i/>
          <w:sz w:val="22"/>
        </w:rPr>
        <w:t xml:space="preserve"> Los Sujetos Obligados sólo proporcionarán la información que generen en el ejercicio de sus atribuciones.</w:t>
      </w:r>
    </w:p>
    <w:p w:rsidR="005A6B36" w:rsidRDefault="005A6B36">
      <w:pPr>
        <w:ind w:left="851" w:right="902"/>
        <w:jc w:val="both"/>
        <w:rPr>
          <w:rFonts w:ascii="Palatino Linotype" w:hAnsi="Palatino Linotype" w:cs="Arial"/>
          <w:b/>
          <w:bCs/>
          <w:i/>
          <w:sz w:val="22"/>
        </w:rPr>
      </w:pPr>
    </w:p>
    <w:p w:rsidR="005A6B36" w:rsidRDefault="0049607E">
      <w:pPr>
        <w:ind w:left="851" w:right="902"/>
        <w:jc w:val="both"/>
        <w:rPr>
          <w:rFonts w:ascii="Palatino Linotype" w:hAnsi="Palatino Linotype" w:cs="Arial"/>
          <w:bCs/>
          <w:i/>
          <w:sz w:val="22"/>
        </w:rPr>
      </w:pPr>
      <w:r>
        <w:rPr>
          <w:rFonts w:ascii="Palatino Linotype" w:hAnsi="Palatino Linotype" w:cs="Arial"/>
          <w:b/>
          <w:bCs/>
          <w:i/>
          <w:sz w:val="22"/>
        </w:rPr>
        <w:t>Artículo 12.</w:t>
      </w:r>
      <w:r>
        <w:rPr>
          <w:rFonts w:ascii="Palatino Linotype" w:hAnsi="Palatino Linotype" w:cs="Arial"/>
          <w:bCs/>
          <w:i/>
          <w:sz w:val="22"/>
        </w:rPr>
        <w:t xml:space="preserve"> Quienes generen, recopilen, administren, manejen, procesen, archiven o conserven información pública serán responsables de la misma en los términos de las disposiciones jurídicas aplicables. </w:t>
      </w:r>
    </w:p>
    <w:p w:rsidR="005A6B36" w:rsidRDefault="0049607E">
      <w:pPr>
        <w:ind w:left="851" w:right="902"/>
        <w:jc w:val="both"/>
        <w:rPr>
          <w:rFonts w:ascii="Palatino Linotype" w:hAnsi="Palatino Linotype" w:cs="Arial"/>
          <w:bCs/>
          <w:i/>
          <w:sz w:val="22"/>
        </w:rPr>
      </w:pPr>
      <w:r>
        <w:rPr>
          <w:rFonts w:ascii="Palatino Linotype" w:hAnsi="Palatino Linotype" w:cs="Arial"/>
          <w:bCs/>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5A6B36" w:rsidRDefault="0049607E">
      <w:pPr>
        <w:ind w:left="851" w:right="902"/>
        <w:jc w:val="both"/>
        <w:rPr>
          <w:rFonts w:ascii="Palatino Linotype" w:hAnsi="Palatino Linotype" w:cs="Arial"/>
          <w:bCs/>
          <w:sz w:val="22"/>
        </w:rPr>
      </w:pPr>
      <w:r>
        <w:rPr>
          <w:rFonts w:ascii="Palatino Linotype" w:hAnsi="Palatino Linotype" w:cs="Arial"/>
          <w:bCs/>
          <w:sz w:val="22"/>
        </w:rPr>
        <w:t>(Énfasis añadido)</w:t>
      </w:r>
    </w:p>
    <w:p w:rsidR="005A6B36" w:rsidRDefault="005A6B36">
      <w:pPr>
        <w:widowControl w:val="0"/>
        <w:spacing w:line="360" w:lineRule="auto"/>
        <w:jc w:val="both"/>
        <w:rPr>
          <w:rFonts w:ascii="Palatino Linotype" w:hAnsi="Palatino Linotype" w:cs="Arial"/>
        </w:rPr>
      </w:pPr>
    </w:p>
    <w:p w:rsidR="005A6B36" w:rsidRDefault="0049607E">
      <w:pPr>
        <w:widowControl w:val="0"/>
        <w:spacing w:line="360" w:lineRule="auto"/>
        <w:jc w:val="both"/>
        <w:rPr>
          <w:rFonts w:ascii="Palatino Linotype" w:hAnsi="Palatino Linotype" w:cs="Arial"/>
        </w:rPr>
      </w:pPr>
      <w:r>
        <w:rPr>
          <w:rFonts w:ascii="Palatino Linotype" w:hAnsi="Palatino Linotype" w:cs="Arial"/>
        </w:rPr>
        <w:t xml:space="preserve">De una interpretación sistemática de los artículos anteriores, se puede advertir que </w:t>
      </w:r>
      <w:r>
        <w:rPr>
          <w:rFonts w:ascii="Palatino Linotype" w:hAnsi="Palatino Linotype" w:cs="Arial"/>
          <w:b/>
        </w:rPr>
        <w:t>el ejercicio del derecho de acceso a la información pública se centra en la potestad de los particulares para conocer el contenido de los documentos que obren en los archivos de los Sujetos Obligados</w:t>
      </w:r>
      <w:r>
        <w:rPr>
          <w:rFonts w:ascii="Palatino Linotype" w:hAnsi="Palatino Linotype" w:cs="Arial"/>
        </w:rPr>
        <w:t xml:space="preserve">, ya sea porque los generen, administren o simplemente los posean en el ejercicio de sus atribuciones. </w:t>
      </w:r>
    </w:p>
    <w:p w:rsidR="005A6B36" w:rsidRDefault="005A6B36">
      <w:pPr>
        <w:widowControl w:val="0"/>
        <w:spacing w:line="360" w:lineRule="auto"/>
        <w:jc w:val="both"/>
        <w:rPr>
          <w:rFonts w:ascii="Palatino Linotype" w:hAnsi="Palatino Linotype" w:cs="Arial"/>
        </w:rPr>
      </w:pPr>
    </w:p>
    <w:p w:rsidR="005A6B36" w:rsidRDefault="0049607E">
      <w:pPr>
        <w:widowControl w:val="0"/>
        <w:spacing w:line="360" w:lineRule="auto"/>
        <w:jc w:val="both"/>
        <w:rPr>
          <w:rFonts w:ascii="Palatino Linotype" w:hAnsi="Palatino Linotype" w:cs="Arial"/>
        </w:rPr>
      </w:pPr>
      <w:r>
        <w:rPr>
          <w:rFonts w:ascii="Palatino Linotype" w:hAnsi="Palatino Linotype" w:cs="Arial"/>
        </w:rPr>
        <w:t xml:space="preserve">Para ello, </w:t>
      </w:r>
      <w:r>
        <w:rPr>
          <w:rFonts w:ascii="Palatino Linotype" w:hAnsi="Palatino Linotype" w:cs="Arial"/>
          <w:b/>
        </w:rPr>
        <w:t>la Ley de la materia otorga la calidad de documento a los expedientes, reportes, estudios, actas, resoluciones, oficios, correspondencia, acuerdos, directivas, directrices, circulares, contratos, convenios, instructivos, notas, memorandos</w:t>
      </w:r>
      <w:r>
        <w:rPr>
          <w:rFonts w:ascii="Palatino Linotype" w:hAnsi="Palatino Linotype" w:cs="Arial"/>
        </w:rPr>
        <w:t>,</w:t>
      </w:r>
      <w:r>
        <w:t xml:space="preserve"> </w:t>
      </w:r>
      <w:r>
        <w:rPr>
          <w:rFonts w:ascii="Palatino Linotype" w:hAnsi="Palatino Linotype" w:cs="Arial"/>
        </w:rPr>
        <w:t xml:space="preserve">estadísticas o bien, cualquier otro registro que documente el ejercicio de las facultades, funciones y competencias de los sujetos obligados, sus servidores públicos e integrantes, sin importar su fuente o fecha de elaboración. Los documentos podrán </w:t>
      </w:r>
      <w:r>
        <w:rPr>
          <w:rFonts w:ascii="Palatino Linotype" w:hAnsi="Palatino Linotype" w:cs="Arial"/>
        </w:rPr>
        <w:lastRenderedPageBreak/>
        <w:t xml:space="preserve">estar en cualquier medio, sea escrito, impreso, sonoro, visual, electrónico, informático u holográfico. </w:t>
      </w:r>
    </w:p>
    <w:p w:rsidR="005A6B36" w:rsidRDefault="005A6B36">
      <w:pPr>
        <w:widowControl w:val="0"/>
        <w:spacing w:line="360" w:lineRule="auto"/>
        <w:jc w:val="both"/>
        <w:rPr>
          <w:rFonts w:ascii="Palatino Linotype" w:hAnsi="Palatino Linotype" w:cs="Arial"/>
        </w:rPr>
      </w:pPr>
    </w:p>
    <w:p w:rsidR="005A6B36" w:rsidRDefault="0049607E">
      <w:pPr>
        <w:widowControl w:val="0"/>
        <w:spacing w:line="360" w:lineRule="auto"/>
        <w:jc w:val="both"/>
        <w:rPr>
          <w:rFonts w:ascii="Palatino Linotype" w:hAnsi="Palatino Linotype" w:cs="Arial"/>
        </w:rPr>
      </w:pPr>
      <w:r>
        <w:rPr>
          <w:rFonts w:ascii="Palatino Linotype" w:hAnsi="Palatino Linotype" w:cs="Arial"/>
        </w:rPr>
        <w:t xml:space="preserve">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 en consecuencia, </w:t>
      </w:r>
      <w:r>
        <w:rPr>
          <w:rFonts w:ascii="Palatino Linotype" w:hAnsi="Palatino Linotype" w:cs="Arial"/>
          <w:b/>
        </w:rPr>
        <w:t>EL SUJETO OBLIGADO</w:t>
      </w:r>
      <w:r>
        <w:rPr>
          <w:rFonts w:ascii="Palatino Linotype" w:hAnsi="Palatino Linotype" w:cs="Arial"/>
        </w:rPr>
        <w:t xml:space="preserve">, debe hacer entrega de lo requerido por el particular en su solicitud, en la temporalidad señalada, </w:t>
      </w:r>
      <w:r>
        <w:rPr>
          <w:rFonts w:ascii="Palatino Linotype" w:hAnsi="Palatino Linotype" w:cs="Arial"/>
          <w:b/>
        </w:rPr>
        <w:t>previa búsqueda exhaustiva y razonable de la información</w:t>
      </w:r>
      <w:r>
        <w:rPr>
          <w:rFonts w:ascii="Palatino Linotype" w:hAnsi="Palatino Linotype" w:cs="Arial"/>
        </w:rPr>
        <w:t xml:space="preserve"> en las áreas competentes que pudieran contar con la misma, de ser procedente </w:t>
      </w:r>
      <w:r>
        <w:rPr>
          <w:rFonts w:ascii="Palatino Linotype" w:hAnsi="Palatino Linotype" w:cs="Arial"/>
          <w:b/>
        </w:rPr>
        <w:t>en versión pública</w:t>
      </w:r>
      <w:r>
        <w:rPr>
          <w:rFonts w:ascii="Palatino Linotype" w:hAnsi="Palatino Linotype" w:cs="Arial"/>
        </w:rPr>
        <w:t>.</w:t>
      </w:r>
    </w:p>
    <w:p w:rsidR="005A6B36" w:rsidRDefault="005A6B36">
      <w:pPr>
        <w:widowControl w:val="0"/>
        <w:spacing w:line="360" w:lineRule="auto"/>
        <w:jc w:val="both"/>
        <w:rPr>
          <w:rFonts w:ascii="Palatino Linotype" w:hAnsi="Palatino Linotype" w:cs="Arial"/>
        </w:rPr>
      </w:pPr>
    </w:p>
    <w:p w:rsidR="005A6B36" w:rsidRDefault="0049607E">
      <w:pPr>
        <w:widowControl w:val="0"/>
        <w:tabs>
          <w:tab w:val="left" w:pos="1418"/>
        </w:tabs>
        <w:spacing w:line="360" w:lineRule="auto"/>
        <w:jc w:val="both"/>
        <w:rPr>
          <w:rFonts w:ascii="Palatino Linotype" w:hAnsi="Palatino Linotype" w:cs="Arial"/>
        </w:rPr>
      </w:pPr>
      <w:r>
        <w:rPr>
          <w:rFonts w:ascii="Palatino Linotype" w:hAnsi="Palatino Linotype" w:cs="Arial"/>
        </w:rPr>
        <w:t xml:space="preserve">De esta forma, la versión pública, </w:t>
      </w:r>
      <w:r>
        <w:rPr>
          <w:rFonts w:ascii="Palatino Linotype" w:hAnsi="Palatino Linotype" w:cs="Arial"/>
          <w:lang w:eastAsia="es-MX"/>
        </w:rPr>
        <w:t xml:space="preserve">tiene por objeto proteger datos personales, entendiéndose por tales, aquéllos que hacen identificable a una persona física, de conformidad con el ordinal 3, fracción IX de la Ley de Transparencia y Acceso a la Información Pública del Estado de México y Municipios y el artículo 4, fracción XI de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lang w:eastAsia="es-MX"/>
        </w:rPr>
        <w:t xml:space="preserve">. </w:t>
      </w:r>
    </w:p>
    <w:p w:rsidR="005A6B36" w:rsidRDefault="005A6B36">
      <w:pPr>
        <w:spacing w:line="360" w:lineRule="auto"/>
        <w:jc w:val="both"/>
        <w:rPr>
          <w:rFonts w:ascii="Palatino Linotype" w:eastAsia="Arial Unicode MS" w:hAnsi="Palatino Linotype" w:cs="Arial"/>
          <w:lang w:val="es-ES"/>
        </w:rPr>
      </w:pPr>
    </w:p>
    <w:p w:rsidR="005A6B36" w:rsidRDefault="0049607E">
      <w:pPr>
        <w:spacing w:line="360" w:lineRule="auto"/>
        <w:jc w:val="both"/>
        <w:rPr>
          <w:rFonts w:ascii="Palatino Linotype" w:hAnsi="Palatino Linotype" w:cs="Arial"/>
          <w:lang w:val="es-ES"/>
        </w:rPr>
      </w:pPr>
      <w:r>
        <w:rPr>
          <w:rFonts w:ascii="Palatino Linotype" w:hAnsi="Palatino Linotype" w:cs="Arial"/>
          <w:lang w:val="es-ES"/>
        </w:rPr>
        <w:t xml:space="preserve">Siendo importante señalar que, para la elaboración de versiones públicas, es necesario que el Comité de Transparencia del </w:t>
      </w:r>
      <w:r>
        <w:rPr>
          <w:rFonts w:ascii="Palatino Linotype" w:hAnsi="Palatino Linotype" w:cs="Arial"/>
          <w:b/>
          <w:lang w:val="es-ES"/>
        </w:rPr>
        <w:t xml:space="preserve">SUJETO OBLIGADO </w:t>
      </w:r>
      <w:r>
        <w:rPr>
          <w:rFonts w:ascii="Palatino Linotype" w:hAnsi="Palatino Linotype" w:cs="Arial"/>
          <w:lang w:val="es-ES"/>
        </w:rPr>
        <w:t xml:space="preserve">emita el respectivo Acuerdo de Clasificación, debidamente fundado y motivado. </w:t>
      </w:r>
    </w:p>
    <w:p w:rsidR="005A6B36" w:rsidRDefault="005A6B36">
      <w:pPr>
        <w:spacing w:line="360" w:lineRule="auto"/>
        <w:jc w:val="both"/>
        <w:rPr>
          <w:rFonts w:ascii="Palatino Linotype" w:hAnsi="Palatino Linotype" w:cs="Arial"/>
          <w:lang w:val="es-ES"/>
        </w:rPr>
      </w:pPr>
    </w:p>
    <w:p w:rsidR="005A6B36" w:rsidRDefault="0049607E">
      <w:pPr>
        <w:spacing w:line="360" w:lineRule="auto"/>
        <w:jc w:val="both"/>
        <w:rPr>
          <w:rFonts w:ascii="Palatino Linotype" w:hAnsi="Palatino Linotype" w:cs="Arial"/>
          <w:lang w:eastAsia="es-MX"/>
        </w:rPr>
      </w:pPr>
      <w:r>
        <w:rPr>
          <w:rFonts w:ascii="Palatino Linotype" w:hAnsi="Palatino Linotype" w:cs="Arial"/>
          <w:lang w:eastAsia="es-MX"/>
        </w:rPr>
        <w:lastRenderedPageBreak/>
        <w:t xml:space="preserve">Lo anterior es así, en virtud de que toda la información relativa a una persona física o jurídica colectiva que le pueda hacer identificada o identificable y cuya divulgación no abone a la transparencia, constituye un dato personal, en términos del artículo 4, fracción XI de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lang w:eastAsia="es-MX"/>
        </w:rPr>
        <w:t xml:space="preserve">; por consiguiente, se trata de información confidencial que debe ser testada por </w:t>
      </w:r>
      <w:r>
        <w:rPr>
          <w:rFonts w:ascii="Palatino Linotype" w:hAnsi="Palatino Linotype" w:cs="Arial"/>
          <w:b/>
          <w:lang w:eastAsia="es-MX"/>
        </w:rPr>
        <w:t>EL SUJETO OBLIGADO</w:t>
      </w:r>
      <w:r>
        <w:rPr>
          <w:rFonts w:ascii="Palatino Linotype" w:hAnsi="Palatino Linotype" w:cs="Arial"/>
          <w:lang w:eastAsia="es-MX"/>
        </w:rPr>
        <w:t>; por lo que, todo dato personal susceptible de clasificación debe ser protegido.</w:t>
      </w:r>
    </w:p>
    <w:p w:rsidR="005A6B36" w:rsidRDefault="005A6B36">
      <w:pPr>
        <w:spacing w:line="360" w:lineRule="auto"/>
        <w:jc w:val="both"/>
        <w:rPr>
          <w:rFonts w:ascii="Palatino Linotype" w:hAnsi="Palatino Linotype" w:cs="Arial"/>
          <w:lang w:eastAsia="es-MX"/>
        </w:rPr>
      </w:pPr>
    </w:p>
    <w:p w:rsidR="005A6B36" w:rsidRDefault="0049607E">
      <w:pPr>
        <w:spacing w:line="360" w:lineRule="auto"/>
        <w:jc w:val="both"/>
        <w:rPr>
          <w:rFonts w:ascii="Palatino Linotype" w:hAnsi="Palatino Linotype" w:cs="Arial"/>
          <w:lang w:val="es-ES"/>
        </w:rPr>
      </w:pPr>
      <w:r>
        <w:rPr>
          <w:rFonts w:ascii="Palatino Linotype" w:hAnsi="Palatino Linotype" w:cs="Arial"/>
          <w:lang w:val="es-ES_tradnl"/>
        </w:rPr>
        <w:t xml:space="preserve">Se consideran datos personales susceptibles de ser clasificados, cualquier información concerniente a una persona física o jurídica colectiva identificada o identificable, establecida en cualquier formato o modalidad y que esté almacenada en alguna base de datos, conforme a lo establecido en la </w:t>
      </w:r>
      <w:r>
        <w:rPr>
          <w:rFonts w:ascii="Palatino Linotype" w:hAnsi="Palatino Linotype" w:cs="Arial"/>
          <w:lang w:val="es-ES"/>
        </w:rPr>
        <w:t>Ley de Protección de Datos Personales en posesión de Sujetos Obligados del Estado de México y Municipios</w:t>
      </w:r>
      <w:r>
        <w:rPr>
          <w:rFonts w:ascii="Palatino Linotype" w:hAnsi="Palatino Linotype" w:cs="Arial"/>
          <w:lang w:val="es-ES_tradnl"/>
        </w:rPr>
        <w:t>; atento a ello, al momento de realizar la versión pública se deben proteger datos personales, que de manera enunciativa más no limitativa pueden ser los datos de identificación del representante legal, como la clave de elector, numero de pasaporte o cualquier otro que incida en su vida privada, ya que en nada abonan a la trasparencia y a la rendición de cuentas</w:t>
      </w:r>
      <w:r>
        <w:rPr>
          <w:rFonts w:ascii="Palatino Linotype" w:hAnsi="Palatino Linotype" w:cs="Arial"/>
          <w:lang w:val="es-ES"/>
        </w:rPr>
        <w:t xml:space="preserve">. </w:t>
      </w:r>
    </w:p>
    <w:p w:rsidR="005A6B36" w:rsidRDefault="005A6B36">
      <w:pPr>
        <w:spacing w:line="360" w:lineRule="auto"/>
        <w:jc w:val="both"/>
        <w:rPr>
          <w:rFonts w:ascii="Palatino Linotype" w:hAnsi="Palatino Linotype" w:cs="Arial"/>
          <w:lang w:val="es-ES_tradnl"/>
        </w:rPr>
      </w:pPr>
    </w:p>
    <w:p w:rsidR="005A6B36" w:rsidRDefault="0049607E">
      <w:pPr>
        <w:spacing w:line="360" w:lineRule="auto"/>
        <w:jc w:val="both"/>
        <w:rPr>
          <w:rFonts w:ascii="Palatino Linotype" w:hAnsi="Palatino Linotype" w:cs="Arial"/>
          <w:lang w:val="es-ES_tradnl"/>
        </w:rPr>
      </w:pPr>
      <w:r>
        <w:rPr>
          <w:rFonts w:ascii="Palatino Linotype" w:hAnsi="Palatino Linotype" w:cs="Arial"/>
          <w:lang w:val="es-ES_tradnl"/>
        </w:rPr>
        <w:t xml:space="preserve">La finalidad de la </w:t>
      </w:r>
      <w:r>
        <w:rPr>
          <w:rFonts w:ascii="Palatino Linotype" w:hAnsi="Palatino Linotype" w:cs="Arial"/>
          <w:b/>
          <w:lang w:val="es-ES_tradnl"/>
        </w:rPr>
        <w:t>versión pública</w:t>
      </w:r>
      <w:r>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5A6B36" w:rsidRDefault="005A6B36">
      <w:pPr>
        <w:spacing w:line="360" w:lineRule="auto"/>
        <w:jc w:val="both"/>
        <w:rPr>
          <w:rFonts w:ascii="Palatino Linotype" w:hAnsi="Palatino Linotype" w:cs="Arial"/>
          <w:lang w:val="es-ES_tradnl"/>
        </w:rPr>
      </w:pPr>
    </w:p>
    <w:p w:rsidR="005A6B36" w:rsidRDefault="0049607E">
      <w:pPr>
        <w:spacing w:line="360" w:lineRule="auto"/>
        <w:jc w:val="both"/>
        <w:rPr>
          <w:rFonts w:ascii="Palatino Linotype" w:hAnsi="Palatino Linotype" w:cs="Arial"/>
          <w:lang w:val="es-ES_tradnl"/>
        </w:rPr>
      </w:pPr>
      <w:r>
        <w:rPr>
          <w:rFonts w:ascii="Palatino Linotype" w:hAnsi="Palatino Linotype" w:cs="Arial"/>
          <w:lang w:val="es-ES_tradnl"/>
        </w:rPr>
        <w:t xml:space="preserve">Por ende, en el presente caso </w:t>
      </w:r>
      <w:r>
        <w:rPr>
          <w:rFonts w:ascii="Palatino Linotype" w:hAnsi="Palatino Linotype" w:cs="Arial"/>
          <w:b/>
          <w:lang w:val="es-ES_tradnl"/>
        </w:rPr>
        <w:t>EL SUJETO OBLIGADO</w:t>
      </w:r>
      <w:r>
        <w:rPr>
          <w:rFonts w:ascii="Palatino Linotype" w:hAnsi="Palatino Linotype" w:cs="Arial"/>
          <w:lang w:val="es-ES_tradnl"/>
        </w:rPr>
        <w:t xml:space="preserve"> debe testar los datos considerados confidenciales, sin pasar por alto que la clasificación respectiva tiene que cumplirse mediante la forma y formalidades que la ley impone; </w:t>
      </w:r>
      <w:r>
        <w:rPr>
          <w:rFonts w:ascii="Palatino Linotype" w:hAnsi="Palatino Linotype" w:cs="Arial"/>
          <w:lang w:val="es-ES"/>
        </w:rPr>
        <w:t>es</w:t>
      </w:r>
      <w:r>
        <w:rPr>
          <w:rFonts w:ascii="Palatino Linotype" w:hAnsi="Palatino Linotype" w:cs="Arial"/>
          <w:lang w:val="es-ES_tradnl"/>
        </w:rPr>
        <w:t xml:space="preserve"> decir, mediante el Acuerdo de Clasificación de la Información debidamente fundado y motivado, en términos de los numerales 49, fracción VIII y 132,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A6B36" w:rsidRDefault="005A6B36">
      <w:pPr>
        <w:jc w:val="both"/>
        <w:rPr>
          <w:rFonts w:ascii="Palatino Linotype" w:hAnsi="Palatino Linotype" w:cs="Arial"/>
          <w:lang w:val="es-ES_tradnl"/>
        </w:rPr>
      </w:pP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 xml:space="preserve">“Artículo 49. </w:t>
      </w:r>
      <w:r>
        <w:rPr>
          <w:rFonts w:ascii="Palatino Linotype" w:hAnsi="Palatino Linotype" w:cs="Arial"/>
          <w:i/>
          <w:sz w:val="22"/>
          <w:szCs w:val="22"/>
          <w:lang w:eastAsia="es-MX"/>
        </w:rPr>
        <w:t>Los Comités de Transparencia tendrán las siguientes atribuciones: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VIII.</w:t>
      </w:r>
      <w:r>
        <w:rPr>
          <w:rFonts w:ascii="Palatino Linotype" w:hAnsi="Palatino Linotype" w:cs="Arial"/>
          <w:i/>
          <w:sz w:val="22"/>
          <w:szCs w:val="22"/>
          <w:lang w:eastAsia="es-MX"/>
        </w:rPr>
        <w:t xml:space="preserve"> Aprobar, modificar o revocar la clasificación de la información;</w:t>
      </w:r>
    </w:p>
    <w:p w:rsidR="005A6B36" w:rsidRDefault="005A6B36">
      <w:pPr>
        <w:ind w:left="851" w:right="902"/>
        <w:jc w:val="both"/>
        <w:rPr>
          <w:rFonts w:ascii="Palatino Linotype" w:hAnsi="Palatino Linotype" w:cs="Arial"/>
          <w:b/>
          <w:i/>
          <w:sz w:val="22"/>
          <w:szCs w:val="22"/>
          <w:lang w:eastAsia="es-MX"/>
        </w:rPr>
      </w:pP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Artículo 132.</w:t>
      </w:r>
      <w:r>
        <w:rPr>
          <w:rFonts w:ascii="Palatino Linotype" w:hAnsi="Palatino Linotype" w:cs="Arial"/>
          <w:i/>
          <w:sz w:val="22"/>
          <w:szCs w:val="22"/>
          <w:lang w:eastAsia="es-MX"/>
        </w:rPr>
        <w:t xml:space="preserve"> La clasificación de la información se llevará a cabo en el momento en que:</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5A6B36" w:rsidRDefault="0049607E">
      <w:pPr>
        <w:ind w:left="851" w:right="902"/>
        <w:jc w:val="both"/>
        <w:rPr>
          <w:rFonts w:ascii="Palatino Linotype" w:hAnsi="Palatino Linotype" w:cs="Arial"/>
          <w:b/>
          <w:i/>
          <w:sz w:val="22"/>
          <w:szCs w:val="22"/>
          <w:lang w:eastAsia="es-MX"/>
        </w:rPr>
      </w:pPr>
      <w:r>
        <w:rPr>
          <w:rFonts w:ascii="Palatino Linotype" w:hAnsi="Palatino Linotype" w:cs="Arial"/>
          <w:i/>
          <w:sz w:val="22"/>
          <w:szCs w:val="22"/>
          <w:lang w:eastAsia="es-MX"/>
        </w:rPr>
        <w:t>III. Se generen versiones públicas para dar cumplimiento a las obligaciones de transparencia previstas en esta Ley.</w:t>
      </w:r>
      <w:r>
        <w:rPr>
          <w:rFonts w:ascii="Palatino Linotype" w:hAnsi="Palatino Linotype" w:cs="Arial"/>
          <w:b/>
          <w:i/>
          <w:sz w:val="22"/>
          <w:szCs w:val="22"/>
          <w:lang w:eastAsia="es-MX"/>
        </w:rPr>
        <w:t>”</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Segundo.-</w:t>
      </w:r>
      <w:r>
        <w:rPr>
          <w:rFonts w:ascii="Palatino Linotype" w:hAnsi="Palatino Linotype" w:cs="Arial"/>
          <w:i/>
          <w:sz w:val="22"/>
          <w:szCs w:val="22"/>
          <w:lang w:eastAsia="es-MX"/>
        </w:rPr>
        <w:t xml:space="preserve"> Para efectos de los presentes Lineamientos Generales, se entenderá por:</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XVIII.</w:t>
      </w:r>
      <w:r>
        <w:rPr>
          <w:rFonts w:ascii="Palatino Linotype" w:hAnsi="Palatino Linotype" w:cs="Arial"/>
          <w:i/>
          <w:sz w:val="22"/>
          <w:szCs w:val="22"/>
          <w:lang w:eastAsia="es-MX"/>
        </w:rPr>
        <w:t xml:space="preserve"> </w:t>
      </w:r>
      <w:r>
        <w:rPr>
          <w:rFonts w:ascii="Palatino Linotype" w:hAnsi="Palatino Linotype" w:cs="Arial"/>
          <w:b/>
          <w:i/>
          <w:sz w:val="22"/>
          <w:szCs w:val="22"/>
          <w:lang w:eastAsia="es-MX"/>
        </w:rPr>
        <w:t>Versión pública:</w:t>
      </w:r>
      <w:r>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Cuarto.</w:t>
      </w:r>
      <w:r>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lastRenderedPageBreak/>
        <w:t>Los sujetos obligados deberán aplicar, de manera estricta, las excepciones al derecho de acceso a la información y sólo podrán invocarlas cuando acrediten su procedencia.</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Quinto.</w:t>
      </w:r>
      <w:r>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Sexto.</w:t>
      </w:r>
      <w:r>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Séptimo.</w:t>
      </w:r>
      <w:r>
        <w:rPr>
          <w:rFonts w:ascii="Palatino Linotype" w:hAnsi="Palatino Linotype" w:cs="Arial"/>
          <w:i/>
          <w:sz w:val="22"/>
          <w:szCs w:val="22"/>
          <w:lang w:eastAsia="es-MX"/>
        </w:rPr>
        <w:t xml:space="preserve"> La clasificación de la información se llevará a cabo en el momento en que:</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w:t>
      </w:r>
      <w:r>
        <w:rPr>
          <w:rFonts w:ascii="Palatino Linotype" w:hAnsi="Palatino Linotype" w:cs="Arial"/>
          <w:i/>
          <w:sz w:val="22"/>
          <w:szCs w:val="22"/>
          <w:lang w:eastAsia="es-MX"/>
        </w:rPr>
        <w:t xml:space="preserve"> Se reciba una solicitud de acceso a la información;</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w:t>
      </w:r>
      <w:r>
        <w:rPr>
          <w:rFonts w:ascii="Palatino Linotype" w:hAnsi="Palatino Linotype" w:cs="Arial"/>
          <w:i/>
          <w:sz w:val="22"/>
          <w:szCs w:val="22"/>
          <w:lang w:eastAsia="es-MX"/>
        </w:rPr>
        <w:t xml:space="preserve"> Se determine mediante resolución de autoridad competente, o</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III.</w:t>
      </w:r>
      <w:r>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Octavo.</w:t>
      </w:r>
      <w:r>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lastRenderedPageBreak/>
        <w:t>Noveno.</w:t>
      </w:r>
      <w:r>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b/>
          <w:i/>
          <w:sz w:val="22"/>
          <w:szCs w:val="22"/>
          <w:lang w:eastAsia="es-MX"/>
        </w:rPr>
        <w:t>Décimo.</w:t>
      </w:r>
      <w:r>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A6B36" w:rsidRDefault="0049607E">
      <w:pPr>
        <w:ind w:left="851" w:right="902"/>
        <w:jc w:val="both"/>
        <w:rPr>
          <w:rFonts w:ascii="Palatino Linotype" w:hAnsi="Palatino Linotype" w:cs="Arial"/>
          <w:i/>
          <w:sz w:val="22"/>
          <w:szCs w:val="22"/>
          <w:lang w:eastAsia="es-MX"/>
        </w:rPr>
      </w:pPr>
      <w:r>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5A6B36" w:rsidRDefault="0049607E">
      <w:pPr>
        <w:ind w:left="851" w:right="902"/>
        <w:jc w:val="both"/>
        <w:rPr>
          <w:rFonts w:ascii="Palatino Linotype" w:hAnsi="Palatino Linotype" w:cs="Arial"/>
          <w:b/>
          <w:i/>
          <w:sz w:val="22"/>
          <w:szCs w:val="22"/>
          <w:lang w:eastAsia="es-MX"/>
        </w:rPr>
      </w:pPr>
      <w:r>
        <w:rPr>
          <w:rFonts w:ascii="Palatino Linotype" w:hAnsi="Palatino Linotype" w:cs="Arial"/>
          <w:b/>
          <w:i/>
          <w:sz w:val="22"/>
          <w:szCs w:val="22"/>
          <w:lang w:eastAsia="es-MX"/>
        </w:rPr>
        <w:t>Décimo primero.</w:t>
      </w:r>
      <w:r>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Pr>
          <w:rFonts w:ascii="Palatino Linotype" w:hAnsi="Palatino Linotype" w:cs="Arial"/>
          <w:b/>
          <w:i/>
          <w:sz w:val="22"/>
          <w:szCs w:val="22"/>
          <w:lang w:eastAsia="es-MX"/>
        </w:rPr>
        <w:t>”</w:t>
      </w:r>
    </w:p>
    <w:p w:rsidR="005A6B36" w:rsidRDefault="005A6B36">
      <w:pPr>
        <w:ind w:left="851" w:right="902"/>
        <w:jc w:val="both"/>
        <w:rPr>
          <w:rFonts w:ascii="Palatino Linotype" w:hAnsi="Palatino Linotype" w:cs="Arial"/>
          <w:i/>
          <w:sz w:val="22"/>
          <w:szCs w:val="22"/>
          <w:lang w:eastAsia="es-MX"/>
        </w:rPr>
      </w:pPr>
    </w:p>
    <w:p w:rsidR="005A6B36" w:rsidRDefault="0049607E">
      <w:pPr>
        <w:spacing w:line="360" w:lineRule="auto"/>
        <w:jc w:val="both"/>
        <w:rPr>
          <w:rFonts w:ascii="Palatino Linotype" w:hAnsi="Palatino Linotype" w:cs="Arial"/>
          <w:lang w:val="es-ES"/>
        </w:rPr>
      </w:pPr>
      <w:r>
        <w:rPr>
          <w:rFonts w:ascii="Palatino Linotype" w:hAnsi="Palatino Linotype" w:cs="Arial"/>
          <w:lang w:val="es-ES"/>
        </w:rPr>
        <w:t xml:space="preserve">Por lo tanto, la entrega de documentos en su versión pública debe acompañarse necesariamente del Acuerdo del Comité de Transparencia del </w:t>
      </w:r>
      <w:r>
        <w:rPr>
          <w:rFonts w:ascii="Palatino Linotype" w:hAnsi="Palatino Linotype" w:cs="Arial"/>
          <w:b/>
          <w:lang w:val="es-ES"/>
        </w:rPr>
        <w:t xml:space="preserve">SUJETO OBLIGADO </w:t>
      </w:r>
      <w:r>
        <w:rPr>
          <w:rFonts w:ascii="Palatino Linotype" w:hAnsi="Palatino Linotype" w:cs="Arial"/>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 la solicitante.</w:t>
      </w:r>
    </w:p>
    <w:p w:rsidR="005A6B36" w:rsidRDefault="0049607E">
      <w:pPr>
        <w:spacing w:before="240" w:after="240" w:line="360" w:lineRule="auto"/>
        <w:ind w:right="50"/>
        <w:jc w:val="both"/>
        <w:rPr>
          <w:rFonts w:ascii="Palatino Linotype" w:hAnsi="Palatino Linotype"/>
        </w:rPr>
      </w:pPr>
      <w:r>
        <w:rPr>
          <w:rFonts w:ascii="Palatino Linotype" w:hAnsi="Palatino Linotype"/>
        </w:rPr>
        <w:lastRenderedPageBreak/>
        <w:t>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manera enunciativa más no limitativa, la Clave Única de Registro de Población (CURP), nombre y domicilio de particulares, así como, los números de Cuenta Bancarios.</w:t>
      </w:r>
    </w:p>
    <w:p w:rsidR="005A6B36" w:rsidRDefault="0049607E">
      <w:pPr>
        <w:spacing w:before="240" w:after="240" w:line="360" w:lineRule="auto"/>
        <w:ind w:right="50"/>
        <w:jc w:val="both"/>
        <w:rPr>
          <w:rFonts w:ascii="Palatino Linotype" w:hAnsi="Palatino Linotype"/>
        </w:rPr>
      </w:pPr>
      <w:r>
        <w:rPr>
          <w:rFonts w:ascii="Palatino Linotype" w:hAnsi="Palatino Linotype"/>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rsidR="005A6B36" w:rsidRDefault="0049607E">
      <w:pPr>
        <w:spacing w:before="240" w:after="240" w:line="360" w:lineRule="auto"/>
        <w:ind w:right="50"/>
        <w:jc w:val="both"/>
        <w:rPr>
          <w:rFonts w:ascii="Palatino Linotype" w:hAnsi="Palatino Linotype"/>
        </w:rPr>
      </w:pPr>
      <w:r>
        <w:rPr>
          <w:rFonts w:ascii="Palatino Linotype" w:hAnsi="Palatino Linotype"/>
        </w:rPr>
        <w:t xml:space="preserve">Argumento que es compartido por el Instituto Nacional de Transparencia, Acceso a la Información y Protección de Datos Personales (INAI), conforme al criterio número 18/2017, el cual refiere: </w:t>
      </w:r>
    </w:p>
    <w:p w:rsidR="005A6B36" w:rsidRDefault="0049607E">
      <w:pPr>
        <w:ind w:left="851" w:right="899"/>
        <w:jc w:val="both"/>
        <w:rPr>
          <w:rFonts w:ascii="Palatino Linotype" w:hAnsi="Palatino Linotype"/>
          <w:i/>
          <w:sz w:val="22"/>
          <w:szCs w:val="22"/>
        </w:rPr>
      </w:pPr>
      <w:r>
        <w:rPr>
          <w:rFonts w:ascii="Palatino Linotype" w:hAnsi="Palatino Linotype"/>
          <w:b/>
          <w:i/>
          <w:sz w:val="22"/>
          <w:szCs w:val="22"/>
        </w:rPr>
        <w:t>“Clave Única de Registro de Población (CURP).</w:t>
      </w:r>
      <w:r>
        <w:rPr>
          <w:rFonts w:ascii="Palatino Linotype" w:hAnsi="Palatino Linotype"/>
          <w:i/>
          <w:sz w:val="22"/>
          <w:szCs w:val="22"/>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A6B36" w:rsidRDefault="005A6B36">
      <w:pPr>
        <w:ind w:left="851" w:right="899"/>
        <w:jc w:val="both"/>
        <w:rPr>
          <w:rFonts w:ascii="Palatino Linotype" w:hAnsi="Palatino Linotype"/>
          <w:i/>
          <w:sz w:val="22"/>
          <w:szCs w:val="22"/>
        </w:rPr>
      </w:pP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Resoluciones:</w:t>
      </w: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i/>
          <w:sz w:val="22"/>
          <w:szCs w:val="22"/>
        </w:rPr>
        <w:tab/>
        <w:t>RRA 3995/16. Secretaría de la Defensa Nacional. 1 de febrero de 2017. Por unanimidad. Comisionado Ponente Rosendoevgueni Monterrey Chepov.</w:t>
      </w: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lastRenderedPageBreak/>
        <w:t>•</w:t>
      </w:r>
      <w:r>
        <w:rPr>
          <w:rFonts w:ascii="Palatino Linotype" w:hAnsi="Palatino Linotype"/>
          <w:i/>
          <w:sz w:val="22"/>
          <w:szCs w:val="22"/>
        </w:rPr>
        <w:tab/>
        <w:t xml:space="preserve">RRA 0937/17. Senado de la República. 15 de marzo de 2017. Por unanimidad. Comisionada Ponente Ximena Puente de la Mora. </w:t>
      </w: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i/>
          <w:sz w:val="22"/>
          <w:szCs w:val="22"/>
        </w:rPr>
        <w:tab/>
        <w:t>RRA 0478/17. Secretaría de Relaciones Exteriores. 26 de abril de 2017. Por unanimidad. Comisionada Ponente Areli Cano Guadiana.”</w:t>
      </w:r>
    </w:p>
    <w:p w:rsidR="005A6B36" w:rsidRDefault="0049607E">
      <w:pPr>
        <w:spacing w:before="240" w:after="240" w:line="360" w:lineRule="auto"/>
        <w:ind w:right="50"/>
        <w:jc w:val="both"/>
        <w:rPr>
          <w:rFonts w:ascii="Palatino Linotype" w:hAnsi="Palatino Linotype"/>
        </w:rPr>
      </w:pPr>
      <w:r>
        <w:rPr>
          <w:rFonts w:ascii="Palatino Linotype" w:hAnsi="Palatino Linotype"/>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5A6B36" w:rsidRDefault="0049607E">
      <w:pPr>
        <w:spacing w:before="240" w:after="240" w:line="360" w:lineRule="auto"/>
        <w:ind w:right="50"/>
        <w:jc w:val="both"/>
        <w:rPr>
          <w:rFonts w:ascii="Palatino Linotype" w:hAnsi="Palatino Linotype"/>
        </w:rPr>
      </w:pPr>
      <w:r>
        <w:rPr>
          <w:rFonts w:ascii="Palatino Linotype" w:hAnsi="Palatino Linotype"/>
        </w:rPr>
        <w:t>Por lo anterior, el número de cuenta bancaria debe ser clasificado como confidencial con fundamento en la fracciones I y II del artículo 143 de la Ley de la Materia de la Entidad; en razón de que, con su difusión se estaría poniendo en riesgo la seguridad de su titular.</w:t>
      </w:r>
    </w:p>
    <w:p w:rsidR="005A6B36" w:rsidRDefault="0049607E">
      <w:pPr>
        <w:spacing w:before="240" w:after="240" w:line="360" w:lineRule="auto"/>
        <w:ind w:right="50"/>
        <w:jc w:val="both"/>
        <w:rPr>
          <w:rFonts w:ascii="Palatino Linotype" w:hAnsi="Palatino Linotype"/>
        </w:rPr>
      </w:pPr>
      <w:r>
        <w:rPr>
          <w:rFonts w:ascii="Palatino Linotype" w:hAnsi="Palatino Linotype"/>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p>
    <w:p w:rsidR="005A6B36" w:rsidRDefault="0049607E">
      <w:pPr>
        <w:spacing w:before="240" w:after="240" w:line="360" w:lineRule="auto"/>
        <w:ind w:right="50"/>
        <w:jc w:val="both"/>
        <w:rPr>
          <w:rFonts w:ascii="Palatino Linotype" w:hAnsi="Palatino Linotype"/>
        </w:rPr>
      </w:pPr>
      <w:r>
        <w:rPr>
          <w:rFonts w:ascii="Palatino Linotype" w:hAnsi="Palatino Linotype"/>
        </w:rPr>
        <w:lastRenderedPageBreak/>
        <w:t xml:space="preserve">Es por esta razón que se debe omitir el o los números de cuentas bancarias de particulares únicamente, en las versiones públicas que de las facturas se hagan, para ser entregadas al no así de los Sujetos Obligados, ya que estas son públicas. </w:t>
      </w:r>
    </w:p>
    <w:p w:rsidR="005A6B36" w:rsidRDefault="0049607E">
      <w:pPr>
        <w:spacing w:before="240" w:after="240" w:line="360" w:lineRule="auto"/>
        <w:ind w:right="51"/>
        <w:jc w:val="both"/>
        <w:rPr>
          <w:rFonts w:ascii="Palatino Linotype" w:eastAsia="Arial Unicode MS" w:hAnsi="Palatino Linotype" w:cs="Arial"/>
        </w:rPr>
      </w:pPr>
      <w:r>
        <w:rPr>
          <w:rFonts w:ascii="Palatino Linotype" w:hAnsi="Palatino Linotype"/>
        </w:rPr>
        <w:t>Lo anterior encuentra sustento a su vez en lo señalado en el criterio 10/13 emitido por el entonces IFAI ahora Instituto Nacional de Transparencia y Acceso a la Información Pública del Estado de México y Municipios, así como en el diverso criterio 11/2017, que a la letra dicen:</w:t>
      </w:r>
    </w:p>
    <w:p w:rsidR="005A6B36" w:rsidRDefault="0049607E">
      <w:pPr>
        <w:ind w:left="851" w:right="899"/>
        <w:jc w:val="center"/>
        <w:rPr>
          <w:rFonts w:ascii="Palatino Linotype" w:hAnsi="Palatino Linotype"/>
          <w:b/>
          <w:i/>
          <w:sz w:val="22"/>
          <w:szCs w:val="22"/>
        </w:rPr>
      </w:pPr>
      <w:r>
        <w:rPr>
          <w:rFonts w:ascii="Palatino Linotype" w:hAnsi="Palatino Linotype"/>
          <w:b/>
          <w:i/>
          <w:sz w:val="22"/>
          <w:szCs w:val="22"/>
        </w:rPr>
        <w:t>“CRITERIO 10/13</w:t>
      </w: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Número de cuenta bancaria de particulares, personas físicas y morales, constituye información confidencial. De conformidad con lo dispuesto en el artículo 18, fracciones I (personas morales) y II (personas físicas) de la Ley Federal de Transparencia y Acceso a la Información Pública Gubernamental, el número de cuenta bancaria de los particulares es información confidencial por referirse a su patrimonio. A través de dicho número, el cliente puede acceder a la información relacionada con su patrimonio, contenida en las bases de datos de las instituciones bancarias y financieras, en donde se pueden realizar diversas transacciones como son movimientos y consulta de saldos. Por lo anterior, en los casos en que el acceso a documentos conlleve la revelación del número de cuenta bancaria de un particular, deberán elaborarse versiones públicas en las que deberá testarse dicho dato, por tratarse de información</w:t>
      </w:r>
      <w:r>
        <w:rPr>
          <w:rFonts w:ascii="Palatino Linotype" w:hAnsi="Palatino Linotype"/>
          <w:b/>
          <w:i/>
          <w:sz w:val="22"/>
          <w:szCs w:val="22"/>
        </w:rPr>
        <w:t>”</w:t>
      </w:r>
    </w:p>
    <w:p w:rsidR="005A6B36" w:rsidRDefault="005A6B36">
      <w:pPr>
        <w:ind w:left="851" w:right="899"/>
        <w:jc w:val="center"/>
        <w:rPr>
          <w:rFonts w:ascii="Palatino Linotype" w:hAnsi="Palatino Linotype"/>
          <w:b/>
          <w:i/>
          <w:sz w:val="22"/>
          <w:szCs w:val="22"/>
        </w:rPr>
      </w:pPr>
    </w:p>
    <w:p w:rsidR="005A6B36" w:rsidRDefault="0049607E">
      <w:pPr>
        <w:ind w:left="851" w:right="899"/>
        <w:jc w:val="center"/>
        <w:rPr>
          <w:rFonts w:ascii="Palatino Linotype" w:hAnsi="Palatino Linotype"/>
          <w:b/>
          <w:i/>
          <w:sz w:val="22"/>
          <w:szCs w:val="22"/>
        </w:rPr>
      </w:pPr>
      <w:r>
        <w:rPr>
          <w:rFonts w:ascii="Palatino Linotype" w:hAnsi="Palatino Linotype"/>
          <w:b/>
          <w:i/>
          <w:sz w:val="22"/>
          <w:szCs w:val="22"/>
        </w:rPr>
        <w:t>Criterio 11/2017</w:t>
      </w: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Cuentas bancarias y/o CLABE interbancaria de sujetos obligados que reciben y/o transfieren recursos públicos, son información pública.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5A6B36" w:rsidRDefault="005A6B36">
      <w:pPr>
        <w:ind w:left="851" w:right="899"/>
        <w:jc w:val="both"/>
        <w:rPr>
          <w:rFonts w:ascii="Palatino Linotype" w:hAnsi="Palatino Linotype"/>
          <w:i/>
          <w:sz w:val="22"/>
          <w:szCs w:val="22"/>
        </w:rPr>
      </w:pPr>
    </w:p>
    <w:p w:rsidR="005A6B36" w:rsidRDefault="0049607E">
      <w:pPr>
        <w:ind w:left="851" w:right="899"/>
        <w:jc w:val="both"/>
        <w:rPr>
          <w:rFonts w:ascii="Palatino Linotype" w:hAnsi="Palatino Linotype"/>
          <w:i/>
          <w:sz w:val="22"/>
          <w:szCs w:val="22"/>
        </w:rPr>
      </w:pPr>
      <w:r>
        <w:rPr>
          <w:rFonts w:ascii="Palatino Linotype" w:hAnsi="Palatino Linotype"/>
          <w:i/>
          <w:sz w:val="22"/>
          <w:szCs w:val="22"/>
        </w:rPr>
        <w:t>Resoluciones:</w:t>
      </w:r>
    </w:p>
    <w:p w:rsidR="005A6B36" w:rsidRDefault="005A6B36">
      <w:pPr>
        <w:ind w:left="851" w:right="899"/>
        <w:jc w:val="both"/>
        <w:rPr>
          <w:rFonts w:ascii="Palatino Linotype" w:hAnsi="Palatino Linotype"/>
          <w:i/>
          <w:sz w:val="22"/>
          <w:szCs w:val="22"/>
        </w:rPr>
      </w:pPr>
    </w:p>
    <w:p w:rsidR="005A6B36" w:rsidRDefault="0049607E">
      <w:pPr>
        <w:ind w:left="851" w:right="899"/>
        <w:jc w:val="both"/>
        <w:rPr>
          <w:rFonts w:ascii="Palatino Linotype" w:hAnsi="Palatino Linotype"/>
          <w:i/>
          <w:sz w:val="22"/>
          <w:szCs w:val="22"/>
        </w:rPr>
      </w:pPr>
      <w:r>
        <w:rPr>
          <w:rFonts w:ascii="Palatino Linotype" w:eastAsia="Palatino Linotype" w:hAnsi="Palatino Linotype" w:cs="Palatino Linotype"/>
          <w:i/>
          <w:sz w:val="22"/>
          <w:szCs w:val="22"/>
        </w:rPr>
        <w:t></w:t>
      </w:r>
      <w:r>
        <w:rPr>
          <w:rFonts w:ascii="Palatino Linotype" w:hAnsi="Palatino Linotype"/>
          <w:i/>
          <w:sz w:val="22"/>
          <w:szCs w:val="22"/>
        </w:rPr>
        <w:t xml:space="preserve"> RRA 0448/16. NOTIMEX, Agencia de Noticias del Estado Mexicano. 24 de agosto de 2016. Por unanimidad. Comisionado Ponente Joel Salas Suárez.</w:t>
      </w:r>
    </w:p>
    <w:p w:rsidR="005A6B36" w:rsidRDefault="0049607E">
      <w:pPr>
        <w:ind w:left="851" w:right="899"/>
        <w:jc w:val="both"/>
        <w:rPr>
          <w:rFonts w:ascii="Palatino Linotype" w:hAnsi="Palatino Linotype"/>
          <w:i/>
          <w:sz w:val="22"/>
          <w:szCs w:val="22"/>
        </w:rPr>
      </w:pPr>
      <w:r>
        <w:rPr>
          <w:rFonts w:ascii="Palatino Linotype" w:eastAsia="Palatino Linotype" w:hAnsi="Palatino Linotype" w:cs="Palatino Linotype"/>
          <w:i/>
          <w:sz w:val="22"/>
          <w:szCs w:val="22"/>
        </w:rPr>
        <w:lastRenderedPageBreak/>
        <w:t></w:t>
      </w:r>
      <w:r>
        <w:rPr>
          <w:rFonts w:ascii="Palatino Linotype" w:hAnsi="Palatino Linotype"/>
          <w:i/>
          <w:sz w:val="22"/>
          <w:szCs w:val="22"/>
        </w:rPr>
        <w:t xml:space="preserve"> RRA 2787/16. Colegio de Postgraduados. 01 de noviembre de 2016. Por unanimidad. Comisionado Ponente Francisco Javier Acuña Llamas.</w:t>
      </w:r>
    </w:p>
    <w:p w:rsidR="005A6B36" w:rsidRDefault="0049607E">
      <w:pPr>
        <w:ind w:left="851" w:right="899"/>
        <w:jc w:val="both"/>
        <w:rPr>
          <w:rFonts w:ascii="Palatino Linotype" w:hAnsi="Palatino Linotype"/>
          <w:i/>
          <w:sz w:val="22"/>
          <w:szCs w:val="22"/>
        </w:rPr>
      </w:pPr>
      <w:r>
        <w:rPr>
          <w:rFonts w:ascii="Palatino Linotype" w:eastAsia="Palatino Linotype" w:hAnsi="Palatino Linotype" w:cs="Palatino Linotype"/>
          <w:i/>
          <w:sz w:val="22"/>
          <w:szCs w:val="22"/>
        </w:rPr>
        <w:t></w:t>
      </w:r>
      <w:r>
        <w:rPr>
          <w:rFonts w:ascii="Palatino Linotype" w:hAnsi="Palatino Linotype"/>
          <w:i/>
          <w:sz w:val="22"/>
          <w:szCs w:val="22"/>
        </w:rPr>
        <w:t xml:space="preserve"> RRA 4756/16. Instituto Mexicano del Seguro Social. 08 de febrero de 2017. Por unanimidad. Comisionado Ponente Oscar Mauricio Guerra Ford.</w:t>
      </w:r>
    </w:p>
    <w:p w:rsidR="005A6B36" w:rsidRDefault="0049607E">
      <w:pPr>
        <w:spacing w:beforeAutospacing="1" w:afterAutospacing="1" w:line="360" w:lineRule="auto"/>
        <w:jc w:val="both"/>
        <w:rPr>
          <w:rFonts w:ascii="Palatino Linotype" w:hAnsi="Palatino Linotype" w:cs="Arial"/>
        </w:rPr>
      </w:pPr>
      <w:r>
        <w:rPr>
          <w:rFonts w:ascii="Palatino Linotype" w:hAnsi="Palatino Linotype" w:cs="Arial"/>
          <w:bCs/>
          <w:color w:val="000000"/>
        </w:rPr>
        <w:t>Ahora bien, el domicilio de una persona física –domicilio particular-, conforme a lo dispuesto por el artículo 2.17 del Código Civil del Estado de México, éste</w:t>
      </w:r>
      <w:r>
        <w:rPr>
          <w:rFonts w:ascii="Palatino Linotype" w:hAnsi="Palatino Linotype" w:cs="Arial"/>
        </w:rPr>
        <w:t xml:space="preserve"> “</w:t>
      </w:r>
      <w:r>
        <w:rPr>
          <w:rFonts w:ascii="Palatino Linotype" w:hAnsi="Palatino Linotype" w:cs="Arial"/>
          <w:i/>
        </w:rPr>
        <w:t>es el lugar donde reside con el propósito de establecerse en él; a falta de éste, el lugar en que tiene el principal asiento de sus negocios; y a falta de uno y otro, el lugar en que se halle”</w:t>
      </w:r>
      <w:r>
        <w:rPr>
          <w:rFonts w:ascii="Palatino Linotype" w:hAnsi="Palatino Linotype" w:cs="Arial"/>
        </w:rPr>
        <w:t>.</w:t>
      </w:r>
    </w:p>
    <w:p w:rsidR="005A6B36" w:rsidRDefault="0049607E">
      <w:pPr>
        <w:spacing w:beforeAutospacing="1" w:afterAutospacing="1" w:line="360" w:lineRule="auto"/>
        <w:jc w:val="both"/>
        <w:rPr>
          <w:rFonts w:ascii="Palatino Linotype" w:hAnsi="Palatino Linotype" w:cs="Arial"/>
          <w:bCs/>
          <w:color w:val="000000"/>
        </w:rPr>
      </w:pPr>
      <w:r>
        <w:rPr>
          <w:rFonts w:ascii="Palatino Linotype" w:hAnsi="Palatino Linotype" w:cs="Arial"/>
          <w:bCs/>
          <w:color w:val="000000"/>
        </w:rPr>
        <w:t>En ese sentido, el dato sobre el domicilio particular es información de carácter confidencial, en términos de lo dispuesto por los artículos 3, fracción XXI, 122 y 143 de la Ley de la materia, así como el artículo 4, fracciones XI y XII de la Ley de Protección de Datos Personales en Posesión de Sujetos Obligados del Estado de México y Municipios, en virtud de que constituye información que incide en la intimidad de un individuo identificado.</w:t>
      </w:r>
    </w:p>
    <w:p w:rsidR="005A6B36" w:rsidRDefault="0049607E">
      <w:pPr>
        <w:widowControl w:val="0"/>
        <w:spacing w:beforeAutospacing="1" w:afterAutospacing="1" w:line="360" w:lineRule="auto"/>
        <w:jc w:val="both"/>
        <w:rPr>
          <w:rFonts w:ascii="Palatino Linotype" w:eastAsia="Arial Unicode MS" w:hAnsi="Palatino Linotype" w:cs="Arial"/>
        </w:rPr>
      </w:pPr>
      <w:r>
        <w:rPr>
          <w:rFonts w:ascii="Palatino Linotype" w:hAnsi="Palatino Linotype" w:cs="Arial"/>
          <w:bCs/>
          <w:szCs w:val="22"/>
        </w:rPr>
        <w:t xml:space="preserve">En ese tenor, existe información </w:t>
      </w:r>
      <w:r>
        <w:rPr>
          <w:rFonts w:ascii="Palatino Linotype" w:eastAsia="Arial Unicode MS" w:hAnsi="Palatino Linotype" w:cs="Arial"/>
        </w:rPr>
        <w:t>personal</w:t>
      </w:r>
      <w:r>
        <w:rPr>
          <w:rFonts w:ascii="Palatino Linotype" w:hAnsi="Palatino Linotype" w:cs="Arial"/>
          <w:lang w:eastAsia="es-MX"/>
        </w:rPr>
        <w:t xml:space="preserve"> que tiene un grado de sensibilidad tal, que su revelación </w:t>
      </w:r>
      <w:r>
        <w:rPr>
          <w:rFonts w:ascii="Palatino Linotype" w:hAnsi="Palatino Linotype" w:cs="Arial"/>
        </w:rPr>
        <w:t>puede</w:t>
      </w:r>
      <w:r>
        <w:rPr>
          <w:rFonts w:ascii="Palatino Linotype" w:hAnsi="Palatino Linotype" w:cs="Arial"/>
          <w:lang w:eastAsia="es-MX"/>
        </w:rPr>
        <w:t xml:space="preserve"> poner en riesgo a las personas, las cuales, sin oponerse a lo anterior, son susceptibles de </w:t>
      </w:r>
      <w:r>
        <w:rPr>
          <w:rFonts w:ascii="Palatino Linotype" w:hAnsi="Palatino Linotype" w:cs="Arial"/>
          <w:bCs/>
          <w:szCs w:val="22"/>
        </w:rPr>
        <w:t>clasificarse</w:t>
      </w:r>
      <w:r>
        <w:rPr>
          <w:rFonts w:ascii="Palatino Linotype" w:hAnsi="Palatino Linotype" w:cs="Arial"/>
          <w:lang w:eastAsia="es-MX"/>
        </w:rPr>
        <w:t xml:space="preserve"> como confidenciales, como lo son el nombre, origen étnico o racial; características físicas; </w:t>
      </w:r>
      <w:r>
        <w:rPr>
          <w:rFonts w:ascii="Palatino Linotype" w:hAnsi="Palatino Linotype"/>
          <w:bCs/>
        </w:rPr>
        <w:t>características</w:t>
      </w:r>
      <w:r>
        <w:rPr>
          <w:rFonts w:ascii="Palatino Linotype" w:hAnsi="Palatino Linotype" w:cs="Arial"/>
          <w:lang w:eastAsia="es-MX"/>
        </w:rPr>
        <w:t xml:space="preserve"> morales; características emocionales; vida afectiva; vida familiar; domicilio particular; número telefónico particular; patrimonio; ideología; opinión política; creencia o convicción religiosa; creencia o convicción filosófica; estado de salud física; estado de salud mental; estado civil; preferencia sexual; y otras análogas que afecten su intimidad,</w:t>
      </w:r>
      <w:r>
        <w:rPr>
          <w:rFonts w:ascii="Palatino Linotype" w:eastAsia="Arial Unicode MS" w:hAnsi="Palatino Linotype" w:cs="Arial"/>
        </w:rPr>
        <w:t xml:space="preserve"> que pongan en riesgo la vida, seguridad o salud de las mismas.</w:t>
      </w:r>
    </w:p>
    <w:p w:rsidR="005A6B36" w:rsidRDefault="0049607E">
      <w:pPr>
        <w:spacing w:beforeAutospacing="1" w:afterAutospacing="1" w:line="360" w:lineRule="auto"/>
        <w:jc w:val="both"/>
        <w:rPr>
          <w:rFonts w:ascii="Palatino Linotype" w:hAnsi="Palatino Linotype" w:cs="Arial"/>
          <w:bCs/>
          <w:color w:val="000000"/>
        </w:rPr>
      </w:pPr>
      <w:r>
        <w:rPr>
          <w:rFonts w:ascii="Palatino Linotype" w:hAnsi="Palatino Linotype" w:cs="Arial"/>
          <w:bCs/>
          <w:color w:val="000000"/>
        </w:rPr>
        <w:lastRenderedPageBreak/>
        <w:t xml:space="preserve">Consecuentemente, se destaca que la versión pública que elabore </w:t>
      </w:r>
      <w:r>
        <w:rPr>
          <w:rFonts w:ascii="Palatino Linotype" w:hAnsi="Palatino Linotype" w:cs="Arial"/>
          <w:b/>
          <w:bCs/>
          <w:color w:val="000000"/>
        </w:rPr>
        <w:t>EL SUJETO OBLIGADO</w:t>
      </w:r>
      <w:r>
        <w:rPr>
          <w:rFonts w:ascii="Palatino Linotype" w:hAnsi="Palatino Linotype" w:cs="Arial"/>
          <w:bCs/>
          <w:color w:val="000000"/>
        </w:rPr>
        <w:t xml:space="preserve"> debe cumplir con las formalidades exigidas en la Ley, por lo que para tal efecto emitirá el Acuerdo del Comité de Transparencia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5A6B36" w:rsidRDefault="0049607E">
      <w:pPr>
        <w:spacing w:beforeAutospacing="1" w:afterAutospacing="1" w:line="360" w:lineRule="auto"/>
        <w:jc w:val="both"/>
        <w:rPr>
          <w:rFonts w:ascii="Palatino Linotype" w:hAnsi="Palatino Linotype" w:cs="Arial"/>
          <w:bCs/>
          <w:color w:val="000000"/>
        </w:rPr>
      </w:pPr>
      <w:r>
        <w:rPr>
          <w:rFonts w:ascii="Palatino Linotype" w:hAnsi="Palatino Linotype" w:cs="Arial"/>
          <w:bCs/>
          <w:color w:val="000000"/>
        </w:rPr>
        <w:t xml:space="preserve">Efectivamente, cuando se clasifica información como confidencial o reservada es importante someterlo al Comité de Transparencia del </w:t>
      </w:r>
      <w:r>
        <w:rPr>
          <w:rFonts w:ascii="Palatino Linotype" w:hAnsi="Palatino Linotype" w:cs="Arial"/>
          <w:b/>
          <w:bCs/>
          <w:color w:val="000000"/>
        </w:rPr>
        <w:t>SUJETO OBLIGADO</w:t>
      </w:r>
      <w:r>
        <w:rPr>
          <w:rFonts w:ascii="Palatino Linotype" w:hAnsi="Palatino Linotype" w:cs="Arial"/>
          <w:bCs/>
          <w:color w:val="000000"/>
        </w:rPr>
        <w:t>, quien debe confirmar, modificar o revocar la clasificación.</w:t>
      </w:r>
    </w:p>
    <w:p w:rsidR="005A6B36" w:rsidRDefault="0049607E">
      <w:pPr>
        <w:spacing w:before="240" w:after="240" w:line="360" w:lineRule="auto"/>
        <w:jc w:val="both"/>
        <w:rPr>
          <w:rFonts w:ascii="Palatino Linotype" w:hAnsi="Palatino Linotype" w:cs="Arial"/>
          <w:lang w:val="es-ES"/>
        </w:rPr>
      </w:pPr>
      <w:r>
        <w:rPr>
          <w:rFonts w:ascii="Palatino Linotype" w:hAnsi="Palatino Linotype" w:cs="Arial"/>
          <w:lang w:val="es-ES"/>
        </w:rPr>
        <w:t xml:space="preserve">Antes de concluir, y ya que el particular solicitó información correspondiente a los años 2010, 2011, 2012, 2013, 2014, 2015, 2016, 2017, 2018, 2019 y del 1 al 27 de enero de 2020, es de recordar que </w:t>
      </w:r>
      <w:r>
        <w:rPr>
          <w:rFonts w:ascii="Palatino Linotype" w:hAnsi="Palatino Linotype" w:cs="Arial"/>
          <w:color w:val="222222"/>
          <w:lang w:val="es-ES" w:eastAsia="es-MX"/>
        </w:rPr>
        <w:t>la Ley de Documentos Administrativos e Históricos del Estado de México, refiere en el artículo 8, que los documentos de contenido administrativo de importancia, serán conservados por 20 años y si el documento se vincula con las funciones de dos o más sujetos públicos</w:t>
      </w:r>
      <w:r>
        <w:rPr>
          <w:rFonts w:ascii="Palatino Linotype" w:hAnsi="Palatino Linotype" w:cs="Arial"/>
          <w:b/>
          <w:color w:val="222222"/>
          <w:lang w:val="es-ES" w:eastAsia="es-MX"/>
        </w:rPr>
        <w:t>,</w:t>
      </w:r>
      <w:r>
        <w:rPr>
          <w:rFonts w:ascii="Palatino Linotype" w:hAnsi="Palatino Linotype" w:cs="Arial"/>
          <w:color w:val="222222"/>
          <w:lang w:val="es-ES" w:eastAsia="es-MX"/>
        </w:rPr>
        <w:t xml:space="preserve"> deberá transmitirse la información correspondiente, para el efecto, del proceso o vaciado en otros documentos, refiriendo expresamente que ningún documento podrá ser destruido, a menos, que, por escrito, lo determine la instancia facultada para ese efecto, en términos de esa misma Ley</w:t>
      </w:r>
      <w:r>
        <w:rPr>
          <w:rFonts w:ascii="Palatino Linotype" w:eastAsia="Calibri" w:hAnsi="Palatino Linotype" w:cs="Arial"/>
          <w:lang w:val="es-ES"/>
        </w:rPr>
        <w:t>, artículo que se transcribe a continuación:</w:t>
      </w:r>
    </w:p>
    <w:p w:rsidR="005A6B36" w:rsidRDefault="0049607E">
      <w:pPr>
        <w:spacing w:before="240" w:after="360"/>
        <w:ind w:left="851" w:right="900"/>
        <w:jc w:val="both"/>
        <w:rPr>
          <w:rFonts w:ascii="Palatino Linotype" w:eastAsia="Calibri" w:hAnsi="Palatino Linotype" w:cs="Arial"/>
          <w:i/>
          <w:sz w:val="22"/>
          <w:szCs w:val="20"/>
          <w:lang w:val="es-ES" w:eastAsia="en-US"/>
        </w:rPr>
      </w:pPr>
      <w:r>
        <w:rPr>
          <w:rFonts w:ascii="Palatino Linotype" w:eastAsia="Calibri" w:hAnsi="Palatino Linotype" w:cs="Arial"/>
          <w:i/>
          <w:sz w:val="22"/>
          <w:szCs w:val="20"/>
          <w:lang w:eastAsia="en-US"/>
        </w:rPr>
        <w:t>“</w:t>
      </w:r>
      <w:r>
        <w:rPr>
          <w:rFonts w:ascii="Palatino Linotype" w:eastAsia="Calibri" w:hAnsi="Palatino Linotype" w:cs="Arial"/>
          <w:b/>
          <w:i/>
          <w:sz w:val="22"/>
          <w:szCs w:val="20"/>
          <w:lang w:val="es-ES" w:eastAsia="en-US"/>
        </w:rPr>
        <w:t>Artículo 8.-</w:t>
      </w:r>
      <w:r>
        <w:rPr>
          <w:rFonts w:ascii="Palatino Linotype" w:eastAsia="Calibri" w:hAnsi="Palatino Linotype" w:cs="Arial"/>
          <w:i/>
          <w:sz w:val="22"/>
          <w:szCs w:val="20"/>
          <w:lang w:val="es-ES" w:eastAsia="en-US"/>
        </w:rPr>
        <w:t xml:space="preserve"> Los documentos de contenido administrativo de importancia, serán conservados por 20 años, y si el documento se vincula con las funciones de 2 ó más sujetos públicos, deberá transmitirse la información correspondiente, para el efecto, del proceso o vaciado en otros documentos. </w:t>
      </w:r>
    </w:p>
    <w:p w:rsidR="005A6B36" w:rsidRDefault="0049607E">
      <w:pPr>
        <w:spacing w:before="240" w:after="240"/>
        <w:ind w:left="851" w:right="900"/>
        <w:jc w:val="both"/>
        <w:rPr>
          <w:rFonts w:ascii="Palatino Linotype" w:hAnsi="Palatino Linotype" w:cs="Arial"/>
          <w:lang w:val="es-ES"/>
        </w:rPr>
      </w:pPr>
      <w:r>
        <w:rPr>
          <w:rFonts w:ascii="Palatino Linotype" w:eastAsia="Calibri" w:hAnsi="Palatino Linotype" w:cs="Arial"/>
          <w:i/>
          <w:sz w:val="22"/>
          <w:szCs w:val="20"/>
          <w:lang w:val="es-ES" w:eastAsia="en-US"/>
        </w:rPr>
        <w:lastRenderedPageBreak/>
        <w:t>Ningún documento podrá ser destruido, a menos, que, por escrito, lo determine la instancia facultada para ese efecto, en términos de la presente Ley” (Sic)</w:t>
      </w:r>
      <w:r>
        <w:rPr>
          <w:rFonts w:ascii="Palatino Linotype" w:hAnsi="Palatino Linotype" w:cs="Arial"/>
          <w:lang w:val="es-ES"/>
        </w:rPr>
        <w:t xml:space="preserve">  </w:t>
      </w:r>
    </w:p>
    <w:p w:rsidR="005A6B36" w:rsidRDefault="0049607E">
      <w:pPr>
        <w:spacing w:before="240" w:after="240" w:line="360" w:lineRule="auto"/>
        <w:ind w:right="49"/>
        <w:jc w:val="both"/>
        <w:rPr>
          <w:rFonts w:ascii="Palatino Linotype" w:hAnsi="Palatino Linotype" w:cs="Arial"/>
          <w:lang w:val="es-ES"/>
        </w:rPr>
      </w:pPr>
      <w:r>
        <w:rPr>
          <w:rFonts w:ascii="Palatino Linotype" w:hAnsi="Palatino Linotype" w:cs="Arial"/>
          <w:color w:val="000000"/>
          <w:lang w:val="es-ES"/>
        </w:rPr>
        <w:t xml:space="preserve">Aunado a ello el artículo 36 de los </w:t>
      </w:r>
      <w:r>
        <w:rPr>
          <w:rFonts w:ascii="Palatino Linotype" w:hAnsi="Palatino Linotype" w:cs="Arial"/>
          <w:i/>
          <w:color w:val="000000"/>
          <w:lang w:val="es-ES"/>
        </w:rPr>
        <w:t>Lineamientos para la administración de Documentos en el Estado de México</w:t>
      </w:r>
      <w:r>
        <w:rPr>
          <w:rFonts w:ascii="Palatino Linotype" w:hAnsi="Palatino Linotype" w:cs="Arial"/>
          <w:color w:val="000000"/>
          <w:lang w:val="es-ES"/>
        </w:rPr>
        <w:t xml:space="preserve"> establecen que</w:t>
      </w:r>
      <w:r>
        <w:rPr>
          <w:rFonts w:ascii="Palatino Linotype" w:hAnsi="Palatino Linotype" w:cs="Arial"/>
          <w:i/>
          <w:color w:val="000000"/>
          <w:lang w:val="es-ES"/>
        </w:rPr>
        <w:t xml:space="preserve"> </w:t>
      </w:r>
      <w:r>
        <w:rPr>
          <w:rFonts w:ascii="Palatino Linotype" w:hAnsi="Palatino Linotype" w:cs="Arial"/>
          <w:color w:val="000000"/>
          <w:lang w:val="es-ES"/>
        </w:rPr>
        <w:t xml:space="preserve">los </w:t>
      </w:r>
      <w:r>
        <w:rPr>
          <w:rFonts w:ascii="Palatino Linotype" w:eastAsia="MS Mincho" w:hAnsi="Palatino Linotype"/>
          <w:color w:val="000000"/>
          <w:lang w:val="es-ES"/>
        </w:rPr>
        <w:t xml:space="preserve">Sujetos Obligados serán responsables de </w:t>
      </w:r>
      <w:r>
        <w:rPr>
          <w:rFonts w:ascii="Palatino Linotype" w:eastAsia="MS Mincho" w:hAnsi="Palatino Linotype"/>
          <w:i/>
          <w:color w:val="000000"/>
          <w:lang w:val="es-ES"/>
        </w:rPr>
        <w:t>crear, organizar, preservar y controlar sus archivos</w:t>
      </w:r>
      <w:r>
        <w:rPr>
          <w:rFonts w:ascii="Palatino Linotype" w:eastAsia="MS Mincho" w:hAnsi="Palatino Linotype"/>
          <w:color w:val="000000"/>
          <w:lang w:val="es-ES"/>
        </w:rPr>
        <w:t>, conforme al ciclo de vida de los documentos y los principios de procedencia y de orden original, así como la normatividad jurídica, administrativa y técnica en materia archivística vigente, y garantizarán que sus archivos de trámite, concentración e históricos se mantengan organizados y disponibles para permitir y facilitar un acceso expedito a la documentación que resguarden.</w:t>
      </w:r>
    </w:p>
    <w:p w:rsidR="005A6B36" w:rsidRDefault="0049607E">
      <w:pPr>
        <w:spacing w:before="240" w:after="240" w:line="360" w:lineRule="auto"/>
        <w:jc w:val="both"/>
        <w:rPr>
          <w:rFonts w:ascii="Palatino Linotype" w:eastAsia="MS Mincho" w:hAnsi="Palatino Linotype"/>
          <w:lang w:val="es-ES"/>
        </w:rPr>
      </w:pPr>
      <w:r>
        <w:rPr>
          <w:rFonts w:ascii="Palatino Linotype" w:eastAsia="MS Mincho" w:hAnsi="Palatino Linotype"/>
          <w:lang w:val="es-ES"/>
        </w:rPr>
        <w:t xml:space="preserve">Para tal efecto, es de suma importancia destacar que de acuerdo a los artículos 61, 63, 64, 68 y 74 de los </w:t>
      </w:r>
      <w:r>
        <w:rPr>
          <w:rFonts w:ascii="Palatino Linotype" w:hAnsi="Palatino Linotype" w:cs="Arial"/>
          <w:color w:val="000000"/>
          <w:lang w:val="es-ES"/>
        </w:rPr>
        <w:t xml:space="preserve">Lineamientos antes </w:t>
      </w:r>
      <w:r>
        <w:rPr>
          <w:rFonts w:ascii="Palatino Linotype" w:eastAsia="MS Mincho" w:hAnsi="Palatino Linotype"/>
          <w:lang w:val="es-ES"/>
        </w:rPr>
        <w:t xml:space="preserve">citados, los archivos integrantes del sistema se clasificarán en </w:t>
      </w:r>
      <w:r>
        <w:rPr>
          <w:rFonts w:ascii="Palatino Linotype" w:eastAsia="MS Mincho" w:hAnsi="Palatino Linotype"/>
          <w:i/>
          <w:lang w:val="es-ES"/>
        </w:rPr>
        <w:t>Archivos de trámite o de Oficina, Archivos de concentración o Generales y Archivos Históricos</w:t>
      </w:r>
      <w:r>
        <w:rPr>
          <w:rFonts w:ascii="Palatino Linotype" w:eastAsia="MS Mincho" w:hAnsi="Palatino Linotype"/>
          <w:lang w:val="es-ES"/>
        </w:rPr>
        <w:t xml:space="preserve">, atendiendo al ciclo de vida de los documentos de archivo; que en cada unidad administrativa de los sujetos obligados se integrará un </w:t>
      </w:r>
      <w:r>
        <w:rPr>
          <w:rFonts w:ascii="Palatino Linotype" w:eastAsia="MS Mincho" w:hAnsi="Palatino Linotype"/>
          <w:i/>
          <w:lang w:val="es-ES"/>
        </w:rPr>
        <w:t>archivo de trámite</w:t>
      </w:r>
      <w:r>
        <w:rPr>
          <w:rFonts w:ascii="Palatino Linotype" w:eastAsia="MS Mincho" w:hAnsi="Palatino Linotype"/>
          <w:lang w:val="es-ES"/>
        </w:rPr>
        <w:t xml:space="preserve">, que será la unidad archivística responsable de la gestión de los documentos de uso cotidiano y necesario para el ejercicio de las atribuciones del órgano productor, un </w:t>
      </w:r>
      <w:r>
        <w:rPr>
          <w:rFonts w:ascii="Palatino Linotype" w:eastAsia="MS Mincho" w:hAnsi="Palatino Linotype"/>
          <w:i/>
          <w:lang w:val="es-ES"/>
        </w:rPr>
        <w:t>archivo de concentración</w:t>
      </w:r>
      <w:r>
        <w:rPr>
          <w:rFonts w:ascii="Palatino Linotype" w:eastAsia="MS Mincho" w:hAnsi="Palatino Linotype"/>
          <w:lang w:val="es-ES"/>
        </w:rPr>
        <w:t xml:space="preserve"> que será la unidad archivística responsable de la gestión de los documentos de uso esporádico que deben mantenerse por razones administrativas, legales, fiscales o contables y en cada uno de los poderes del Estado y municipios se establecerá un </w:t>
      </w:r>
      <w:r>
        <w:rPr>
          <w:rFonts w:ascii="Palatino Linotype" w:eastAsia="MS Mincho" w:hAnsi="Palatino Linotype"/>
          <w:i/>
          <w:lang w:val="es-ES"/>
        </w:rPr>
        <w:t>archivo histórico</w:t>
      </w:r>
      <w:r>
        <w:rPr>
          <w:rFonts w:ascii="Palatino Linotype" w:eastAsia="MS Mincho" w:hAnsi="Palatino Linotype"/>
          <w:lang w:val="es-ES"/>
        </w:rPr>
        <w:t xml:space="preserve"> el cual se constituirá como fuente de acceso público, encargado de divulgar la memoria documental institucional, estimular el uso y aprovechamiento social de la documentación y difundir su acervo e instrumentos de consulta.</w:t>
      </w:r>
    </w:p>
    <w:p w:rsidR="005A6B36" w:rsidRDefault="0049607E">
      <w:pPr>
        <w:spacing w:before="240" w:after="240" w:line="360" w:lineRule="auto"/>
        <w:jc w:val="both"/>
        <w:rPr>
          <w:rFonts w:ascii="Palatino Linotype" w:hAnsi="Palatino Linotype"/>
          <w:lang w:val="es-ES"/>
        </w:rPr>
      </w:pPr>
      <w:r>
        <w:rPr>
          <w:rFonts w:ascii="Palatino Linotype" w:eastAsia="MS Mincho" w:hAnsi="Palatino Linotype"/>
          <w:lang w:val="es-ES"/>
        </w:rPr>
        <w:lastRenderedPageBreak/>
        <w:t xml:space="preserve">En el mismo sentido, </w:t>
      </w:r>
      <w:r>
        <w:rPr>
          <w:rFonts w:ascii="Palatino Linotype" w:hAnsi="Palatino Linotype"/>
          <w:lang w:val="es-ES"/>
        </w:rPr>
        <w:t xml:space="preserve">los </w:t>
      </w:r>
      <w:r>
        <w:rPr>
          <w:rFonts w:ascii="Palatino Linotype" w:hAnsi="Palatino Linotype"/>
          <w:i/>
          <w:lang w:val="es-ES"/>
        </w:rPr>
        <w:t>Lineamientos para la valoración, selección y baja de los documentos, expedientes y series de trámite concluido en los archivos del Estado de México</w:t>
      </w:r>
      <w:r>
        <w:rPr>
          <w:rFonts w:ascii="Palatino Linotype" w:hAnsi="Palatino Linotype"/>
          <w:lang w:val="es-ES"/>
        </w:rPr>
        <w:t>, disponen lo que debe entenderse por archivo de trámite, archivo de concentración y archivo histórico, refiriendo que todos se tratan del conjunto de expedientes, con las diferencias de que tratándose del primero de los mencionados su consulta es frecuente y necesaria para una adecuada toma de decisiones y despacho oportuno de los asuntos propios de la unidad administrativa de que se trate; por su parte el segundo de los archivos referidos lo identifica una consulta esporádica y se trata de expedientes que han sido transferidos por un archivo de trámite para su conservación precaucional mientras concluye su utilidad, permaneciendo ahí hasta su destino final; y finalmente el archivo histórico se trata de aquellos expedientes conservados de forma permanente por el valor científico cultural de su información, constituyendo parte del Patrimonio Documental del Estado</w:t>
      </w:r>
      <w:r>
        <w:rPr>
          <w:rStyle w:val="Ancladenotaalpie"/>
          <w:rFonts w:ascii="Palatino Linotype" w:hAnsi="Palatino Linotype"/>
          <w:lang w:val="es-ES"/>
        </w:rPr>
        <w:footnoteReference w:id="1"/>
      </w:r>
      <w:r>
        <w:rPr>
          <w:rFonts w:ascii="Palatino Linotype" w:hAnsi="Palatino Linotype"/>
          <w:lang w:val="es-ES"/>
        </w:rPr>
        <w:t>.</w:t>
      </w:r>
    </w:p>
    <w:p w:rsidR="005A6B36" w:rsidRDefault="0049607E">
      <w:pPr>
        <w:spacing w:before="240" w:after="240" w:line="360" w:lineRule="auto"/>
        <w:jc w:val="both"/>
        <w:rPr>
          <w:rFonts w:ascii="Palatino Linotype" w:hAnsi="Palatino Linotype"/>
          <w:lang w:val="es-ES"/>
        </w:rPr>
      </w:pPr>
      <w:r>
        <w:rPr>
          <w:rFonts w:ascii="Palatino Linotype" w:hAnsi="Palatino Linotype"/>
          <w:lang w:val="es-ES"/>
        </w:rPr>
        <w:t>En otras palabras, se puede advertir que son tres tipos de archivos por los que puede pasar un documento o expediente de las unidades administrativas de los poderes del Estado y sus Municipios, así como de sus Tribunales Administrativos y órganos auxiliares, siendo el primero de ellos el archivo de trámite, cuyos expedientes después del tiempo determinado por los mismos Lineamientos pasaran al archivo de concentración y después de éste en su caso por el valor que tengan, pasarán al archivo histórico, o de lo contrario serán destruidos.</w:t>
      </w:r>
    </w:p>
    <w:p w:rsidR="005A6B36" w:rsidRDefault="0049607E">
      <w:pPr>
        <w:spacing w:before="240" w:after="240" w:line="360" w:lineRule="auto"/>
        <w:jc w:val="both"/>
        <w:rPr>
          <w:rFonts w:ascii="Palatino Linotype" w:hAnsi="Palatino Linotype"/>
          <w:lang w:val="es-ES"/>
        </w:rPr>
      </w:pPr>
      <w:r>
        <w:rPr>
          <w:rFonts w:ascii="Palatino Linotype" w:hAnsi="Palatino Linotype"/>
          <w:lang w:val="es-ES"/>
        </w:rPr>
        <w:lastRenderedPageBreak/>
        <w:t>Así, los documentos y expedientes de las unidades administrativas, deben mantenerse íntegros por un periodo de dos años en los archivos de trámite; después de ese plazo se podrá proceder a su selección y transferencia al archivo de concentración</w:t>
      </w:r>
      <w:r>
        <w:rPr>
          <w:rStyle w:val="Ancladenotaalpie"/>
          <w:rFonts w:ascii="Palatino Linotype" w:hAnsi="Palatino Linotype"/>
          <w:lang w:val="es-ES"/>
        </w:rPr>
        <w:footnoteReference w:id="2"/>
      </w:r>
      <w:r>
        <w:rPr>
          <w:rFonts w:ascii="Palatino Linotype" w:hAnsi="Palatino Linotype"/>
          <w:lang w:val="es-ES"/>
        </w:rPr>
        <w:t>, de lo que se denota que en dicho archivo se conserva información de por lo menos hasta dos años de antigüedad.</w:t>
      </w:r>
    </w:p>
    <w:p w:rsidR="005A6B36" w:rsidRDefault="0049607E">
      <w:pPr>
        <w:spacing w:before="240" w:after="240" w:line="360" w:lineRule="auto"/>
        <w:jc w:val="both"/>
        <w:rPr>
          <w:rFonts w:ascii="Palatino Linotype" w:hAnsi="Palatino Linotype" w:cs="Arial"/>
          <w:lang w:val="es-ES"/>
        </w:rPr>
      </w:pPr>
      <w:r>
        <w:rPr>
          <w:rFonts w:ascii="Palatino Linotype" w:hAnsi="Palatino Linotype"/>
          <w:lang w:val="es-ES"/>
        </w:rPr>
        <w:t xml:space="preserve">Después, dentro del archivo de concentración de cada unidad administrativa, igualmente se deberá conservar su documentación y expedientes por un determinado periodo de tiempo según la materia de que se trate la información como se preceptúa en el artículo 27 de los </w:t>
      </w:r>
      <w:r>
        <w:rPr>
          <w:rFonts w:ascii="Palatino Linotype" w:hAnsi="Palatino Linotype"/>
          <w:i/>
          <w:lang w:val="es-ES"/>
        </w:rPr>
        <w:t xml:space="preserve">Lineamientos </w:t>
      </w:r>
      <w:r>
        <w:rPr>
          <w:rFonts w:ascii="Palatino Linotype" w:hAnsi="Palatino Linotype" w:cs="Arial"/>
          <w:i/>
          <w:lang w:val="es-ES"/>
        </w:rPr>
        <w:t>para la valoración, selección y baja de los documentos, expedientes y series de trámite concluido en los archivos del Estado de México</w:t>
      </w:r>
      <w:r>
        <w:rPr>
          <w:rFonts w:ascii="Palatino Linotype" w:hAnsi="Palatino Linotype" w:cs="Arial"/>
          <w:lang w:val="es-ES"/>
        </w:rPr>
        <w:t xml:space="preserve">, cuyo sentido literal es el siguiente: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Artículo 27</w:t>
      </w:r>
      <w:r>
        <w:rPr>
          <w:rFonts w:ascii="Palatino Linotype" w:hAnsi="Palatino Linotype"/>
          <w:i/>
          <w:sz w:val="22"/>
          <w:szCs w:val="22"/>
          <w:lang w:val="es-ES"/>
        </w:rPr>
        <w:t xml:space="preserve">.- </w:t>
      </w:r>
      <w:r>
        <w:rPr>
          <w:rFonts w:ascii="Palatino Linotype" w:hAnsi="Palatino Linotype"/>
          <w:b/>
          <w:i/>
          <w:sz w:val="22"/>
          <w:szCs w:val="22"/>
          <w:lang w:val="es-ES"/>
        </w:rPr>
        <w:t>Las Unidades Administrativas al realizar la transferencia de los expedientes de trámite concluido, señalarán en el Inventario correspondiente los plazos de conservación precaucional de éstos en el Archivo de Concentración</w:t>
      </w:r>
      <w:r>
        <w:rPr>
          <w:rFonts w:ascii="Palatino Linotype" w:hAnsi="Palatino Linotype"/>
          <w:i/>
          <w:sz w:val="22"/>
          <w:szCs w:val="22"/>
          <w:lang w:val="es-ES"/>
        </w:rPr>
        <w:t xml:space="preserve">. Para determinar el plazo de conservación precaucional deberán considerar el marco legal o administrativo bajo el cual se produjeron o recibieron los documentos y los siguientes períodos: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 </w:t>
      </w:r>
      <w:r>
        <w:rPr>
          <w:rFonts w:ascii="Palatino Linotype" w:hAnsi="Palatino Linotype"/>
          <w:b/>
          <w:i/>
          <w:sz w:val="22"/>
          <w:szCs w:val="22"/>
          <w:lang w:val="es-ES"/>
        </w:rPr>
        <w:t>6 años</w:t>
      </w:r>
      <w:r>
        <w:rPr>
          <w:rFonts w:ascii="Palatino Linotype" w:hAnsi="Palatino Linotype"/>
          <w:i/>
          <w:sz w:val="22"/>
          <w:szCs w:val="22"/>
          <w:lang w:val="es-ES"/>
        </w:rPr>
        <w:t xml:space="preserve"> para expedientes con información administrativa;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II. </w:t>
      </w:r>
      <w:r>
        <w:rPr>
          <w:rFonts w:ascii="Palatino Linotype" w:hAnsi="Palatino Linotype"/>
          <w:b/>
          <w:i/>
          <w:sz w:val="22"/>
          <w:szCs w:val="22"/>
          <w:lang w:val="es-ES"/>
        </w:rPr>
        <w:t>6 años</w:t>
      </w:r>
      <w:r>
        <w:rPr>
          <w:rFonts w:ascii="Palatino Linotype" w:hAnsi="Palatino Linotype"/>
          <w:i/>
          <w:sz w:val="22"/>
          <w:szCs w:val="22"/>
          <w:lang w:val="es-ES"/>
        </w:rPr>
        <w:t xml:space="preserve"> como mínimo para expedientes con información fiscal y presupuestal contable;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 xml:space="preserve">III. </w:t>
      </w:r>
      <w:r>
        <w:rPr>
          <w:rFonts w:ascii="Palatino Linotype" w:hAnsi="Palatino Linotype"/>
          <w:b/>
          <w:i/>
          <w:sz w:val="22"/>
          <w:szCs w:val="22"/>
          <w:lang w:val="es-ES"/>
        </w:rPr>
        <w:t>12 años</w:t>
      </w:r>
      <w:r>
        <w:rPr>
          <w:rFonts w:ascii="Palatino Linotype" w:hAnsi="Palatino Linotype"/>
          <w:i/>
          <w:sz w:val="22"/>
          <w:szCs w:val="22"/>
          <w:lang w:val="es-ES"/>
        </w:rPr>
        <w:t xml:space="preserve"> como mínimo para expedientes con información jurídico-legal, obra pública y activo fijo; y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lastRenderedPageBreak/>
        <w:t xml:space="preserve">IV. </w:t>
      </w:r>
      <w:r>
        <w:rPr>
          <w:rFonts w:ascii="Palatino Linotype" w:hAnsi="Palatino Linotype"/>
          <w:b/>
          <w:i/>
          <w:sz w:val="22"/>
          <w:szCs w:val="22"/>
          <w:lang w:val="es-ES"/>
        </w:rPr>
        <w:t>Cuando en la legislación se establezcan períodos de conservación mayores a los señalados en las fracciones I, II y III, se considerarán los estipulados en dicha legislación</w:t>
      </w:r>
      <w:r>
        <w:rPr>
          <w:rFonts w:ascii="Palatino Linotype" w:hAnsi="Palatino Linotype"/>
          <w:i/>
          <w:sz w:val="22"/>
          <w:szCs w:val="22"/>
          <w:lang w:val="es-ES"/>
        </w:rPr>
        <w:t xml:space="preserve"> para efectos de realización del proceso de selección final. </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V. Cuando las Unidades Administrativas no indiquen el plazo de conservación precaucional de sus expedientes en el Inventario correspondiente, los Archivos de Concentración podrán rechazar la transferencia de los expedientes.”</w:t>
      </w:r>
    </w:p>
    <w:p w:rsidR="005A6B36" w:rsidRDefault="0049607E">
      <w:pPr>
        <w:spacing w:before="240" w:after="240" w:line="360" w:lineRule="auto"/>
        <w:jc w:val="both"/>
        <w:rPr>
          <w:rFonts w:ascii="Palatino Linotype" w:hAnsi="Palatino Linotype"/>
          <w:lang w:val="es-ES"/>
        </w:rPr>
      </w:pPr>
      <w:r>
        <w:rPr>
          <w:rFonts w:ascii="Palatino Linotype" w:hAnsi="Palatino Linotype"/>
          <w:lang w:val="es-ES"/>
        </w:rPr>
        <w:t>Aunado a lo citado por dicho artículo cabe hacer mención del artículo 32 de los Lineamientos multicitados, a saber:</w:t>
      </w:r>
    </w:p>
    <w:p w:rsidR="005A6B36" w:rsidRDefault="0049607E">
      <w:pPr>
        <w:spacing w:before="240" w:after="240"/>
        <w:ind w:left="851" w:right="900"/>
        <w:jc w:val="both"/>
        <w:rPr>
          <w:rFonts w:ascii="Palatino Linotype" w:hAnsi="Palatino Linotype"/>
          <w:i/>
          <w:sz w:val="22"/>
          <w:szCs w:val="22"/>
          <w:lang w:val="es-ES"/>
        </w:rPr>
      </w:pPr>
      <w:r>
        <w:rPr>
          <w:rFonts w:ascii="Palatino Linotype" w:hAnsi="Palatino Linotype"/>
          <w:i/>
          <w:sz w:val="22"/>
          <w:szCs w:val="22"/>
          <w:lang w:val="es-ES"/>
        </w:rPr>
        <w:t>“</w:t>
      </w:r>
      <w:r>
        <w:rPr>
          <w:rFonts w:ascii="Palatino Linotype" w:hAnsi="Palatino Linotype"/>
          <w:b/>
          <w:i/>
          <w:sz w:val="22"/>
          <w:szCs w:val="22"/>
          <w:lang w:val="es-ES"/>
        </w:rPr>
        <w:t>Artículo 32.-</w:t>
      </w:r>
      <w:r>
        <w:rPr>
          <w:rFonts w:ascii="Palatino Linotype" w:hAnsi="Palatino Linotype"/>
          <w:i/>
          <w:sz w:val="22"/>
          <w:szCs w:val="22"/>
          <w:lang w:val="es-ES"/>
        </w:rPr>
        <w:t xml:space="preserve"> </w:t>
      </w:r>
      <w:r>
        <w:rPr>
          <w:rFonts w:ascii="Palatino Linotype" w:hAnsi="Palatino Linotype"/>
          <w:b/>
          <w:i/>
          <w:sz w:val="22"/>
          <w:szCs w:val="22"/>
          <w:lang w:val="es-ES"/>
        </w:rPr>
        <w:t xml:space="preserve">Los tipos y las series documentales que al concluir el proceso de selección final deban conservarse permanentemente por el valor secundario de su información, permanecerán en el Archivo de Concentración por un período </w:t>
      </w:r>
      <w:r>
        <w:rPr>
          <w:rFonts w:ascii="Palatino Linotype" w:hAnsi="Palatino Linotype"/>
          <w:b/>
          <w:i/>
          <w:sz w:val="22"/>
          <w:szCs w:val="22"/>
          <w:u w:val="single"/>
          <w:lang w:val="es-ES"/>
        </w:rPr>
        <w:t>de 20 años</w:t>
      </w:r>
      <w:r>
        <w:rPr>
          <w:rFonts w:ascii="Palatino Linotype" w:hAnsi="Palatino Linotype"/>
          <w:b/>
          <w:i/>
          <w:sz w:val="22"/>
          <w:szCs w:val="22"/>
          <w:lang w:val="es-ES"/>
        </w:rPr>
        <w:t>.</w:t>
      </w:r>
      <w:r>
        <w:rPr>
          <w:rFonts w:ascii="Palatino Linotype" w:hAnsi="Palatino Linotype"/>
          <w:i/>
          <w:sz w:val="22"/>
          <w:szCs w:val="22"/>
          <w:lang w:val="es-ES"/>
        </w:rPr>
        <w:t xml:space="preserve"> Este período se computará a partir del día siguiente a la fecha de conclusión del plazo de conservación precaucional.”</w:t>
      </w:r>
    </w:p>
    <w:p w:rsidR="005A6B36" w:rsidRDefault="0049607E">
      <w:pPr>
        <w:spacing w:before="240" w:after="240" w:line="360" w:lineRule="auto"/>
        <w:jc w:val="both"/>
        <w:rPr>
          <w:rFonts w:ascii="Palatino Linotype" w:hAnsi="Palatino Linotype"/>
          <w:lang w:val="es-ES"/>
        </w:rPr>
      </w:pPr>
      <w:r>
        <w:rPr>
          <w:rFonts w:ascii="Palatino Linotype" w:hAnsi="Palatino Linotype"/>
          <w:lang w:val="es-ES"/>
        </w:rPr>
        <w:t>Es decir, de los elementos normativos transcritos, es notorio que los expedientes de las unidades administrativas pueden permanecer en su archivo de concentración desde seis hasta veinte años si se trata de información de contenido administrativo de importancia.</w:t>
      </w:r>
    </w:p>
    <w:p w:rsidR="005A6B36" w:rsidRDefault="0049607E">
      <w:pPr>
        <w:spacing w:before="240" w:after="240" w:line="360" w:lineRule="auto"/>
        <w:jc w:val="both"/>
        <w:rPr>
          <w:rFonts w:ascii="Palatino Linotype" w:hAnsi="Palatino Linotype"/>
          <w:lang w:val="es-ES"/>
        </w:rPr>
      </w:pPr>
      <w:r>
        <w:rPr>
          <w:rFonts w:ascii="Palatino Linotype" w:hAnsi="Palatino Linotype"/>
          <w:lang w:val="es-ES"/>
        </w:rPr>
        <w:t xml:space="preserve">Documentos respecto de los cuales,  al encontrarse en sus archivos ya sea de trámite o de concentración, el Sujeto Obligado tiene la obligación de facilitar su acceso en términos de la Ley de Transparencia, la Ley de Documentos y los Lineamientos para la administración de documentos en el Estado de México, esto es, hasta el momento en que prescriban sus valores administrativos y concluya su conservación precaucional y adquieran el carácter de históricos o proceda su eliminación, de conformidad a los artículos 7 y 70 de los </w:t>
      </w:r>
      <w:r>
        <w:rPr>
          <w:rFonts w:ascii="Palatino Linotype" w:hAnsi="Palatino Linotype" w:cs="Arial"/>
          <w:i/>
          <w:color w:val="000000"/>
          <w:lang w:val="es-ES"/>
        </w:rPr>
        <w:t xml:space="preserve">Lineamientos para la administración de Documentos en el Estado de </w:t>
      </w:r>
      <w:r>
        <w:rPr>
          <w:rFonts w:ascii="Palatino Linotype" w:hAnsi="Palatino Linotype" w:cs="Arial"/>
          <w:i/>
          <w:color w:val="000000"/>
          <w:lang w:val="es-ES"/>
        </w:rPr>
        <w:lastRenderedPageBreak/>
        <w:t>México</w:t>
      </w:r>
      <w:r>
        <w:rPr>
          <w:rFonts w:ascii="Palatino Linotype" w:hAnsi="Palatino Linotype"/>
          <w:vertAlign w:val="superscript"/>
          <w:lang w:val="es-ES"/>
        </w:rPr>
        <w:t xml:space="preserve"> </w:t>
      </w:r>
      <w:r>
        <w:rPr>
          <w:rStyle w:val="Ancladenotaalpie"/>
          <w:rFonts w:ascii="Palatino Linotype" w:hAnsi="Palatino Linotype"/>
          <w:lang w:val="es-ES"/>
        </w:rPr>
        <w:footnoteReference w:id="3"/>
      </w:r>
      <w:r>
        <w:rPr>
          <w:rFonts w:ascii="Palatino Linotype" w:hAnsi="Palatino Linotype"/>
          <w:lang w:val="es-ES"/>
        </w:rPr>
        <w:t xml:space="preserve">, en consecuencia, </w:t>
      </w:r>
      <w:r>
        <w:rPr>
          <w:rFonts w:ascii="Palatino Linotype" w:hAnsi="Palatino Linotype"/>
          <w:b/>
          <w:lang w:val="es-ES"/>
        </w:rPr>
        <w:t>EL SUJETO OBLIGADO</w:t>
      </w:r>
      <w:r>
        <w:rPr>
          <w:rFonts w:ascii="Palatino Linotype" w:hAnsi="Palatino Linotype"/>
          <w:lang w:val="es-ES"/>
        </w:rPr>
        <w:t xml:space="preserve">, se encuentra en posibilidad de hacer entrega de la información solicitada por el ahora </w:t>
      </w:r>
      <w:r>
        <w:rPr>
          <w:rFonts w:ascii="Palatino Linotype" w:hAnsi="Palatino Linotype"/>
          <w:b/>
          <w:lang w:val="es-ES"/>
        </w:rPr>
        <w:t>RECURRENTE</w:t>
      </w:r>
      <w:r>
        <w:rPr>
          <w:rFonts w:ascii="Palatino Linotype" w:hAnsi="Palatino Linotype"/>
          <w:lang w:val="es-ES"/>
        </w:rPr>
        <w:t>, al encontrarse en sus archivos.</w:t>
      </w:r>
    </w:p>
    <w:p w:rsidR="005A6B36" w:rsidRDefault="0049607E">
      <w:pPr>
        <w:spacing w:before="240" w:after="240" w:line="360" w:lineRule="auto"/>
        <w:jc w:val="both"/>
        <w:rPr>
          <w:rFonts w:ascii="Palatino Linotype" w:eastAsia="Calibri" w:hAnsi="Palatino Linotype" w:cs="Arial"/>
        </w:rPr>
      </w:pPr>
      <w:r>
        <w:rPr>
          <w:rFonts w:ascii="Palatino Linotype" w:hAnsi="Palatino Linotype" w:cs="Arial"/>
          <w:lang w:eastAsia="es-MX"/>
        </w:rPr>
        <w:t xml:space="preserve">Por consiguiente, las razones y motivos de inconformidad señalados por </w:t>
      </w:r>
      <w:r>
        <w:rPr>
          <w:rFonts w:ascii="Palatino Linotype" w:hAnsi="Palatino Linotype" w:cs="Arial"/>
          <w:b/>
          <w:lang w:eastAsia="es-MX"/>
        </w:rPr>
        <w:t>EL RECURRENTE</w:t>
      </w:r>
      <w:r>
        <w:rPr>
          <w:rFonts w:ascii="Palatino Linotype" w:hAnsi="Palatino Linotype" w:cs="Arial"/>
          <w:lang w:eastAsia="es-MX"/>
        </w:rPr>
        <w:t>, resultan</w:t>
      </w:r>
      <w:r>
        <w:rPr>
          <w:rFonts w:ascii="Palatino Linotype" w:hAnsi="Palatino Linotype" w:cs="Arial"/>
          <w:b/>
          <w:lang w:eastAsia="es-MX"/>
        </w:rPr>
        <w:t xml:space="preserve"> parcialmente fundadas</w:t>
      </w:r>
      <w:r>
        <w:rPr>
          <w:rFonts w:ascii="Palatino Linotype" w:hAnsi="Palatino Linotype" w:cs="Arial"/>
          <w:lang w:eastAsia="es-MX"/>
        </w:rPr>
        <w:t xml:space="preserve">; </w:t>
      </w:r>
      <w:r>
        <w:rPr>
          <w:rFonts w:ascii="Palatino Linotype" w:eastAsia="Calibri" w:hAnsi="Palatino Linotype" w:cs="Arial"/>
        </w:rPr>
        <w:t xml:space="preserve">por lo que, lo procedente es </w:t>
      </w:r>
      <w:r>
        <w:rPr>
          <w:rFonts w:ascii="Palatino Linotype" w:eastAsia="Calibri" w:hAnsi="Palatino Linotype" w:cs="Arial"/>
          <w:b/>
        </w:rPr>
        <w:t xml:space="preserve">MODIFICAR </w:t>
      </w:r>
      <w:r>
        <w:rPr>
          <w:rFonts w:ascii="Palatino Linotype" w:eastAsia="Calibri" w:hAnsi="Palatino Linotype" w:cs="Arial"/>
        </w:rPr>
        <w:t xml:space="preserve">la respuesta otorgada por el </w:t>
      </w:r>
      <w:r>
        <w:rPr>
          <w:rFonts w:ascii="Palatino Linotype" w:eastAsia="Calibri" w:hAnsi="Palatino Linotype" w:cs="Arial"/>
          <w:b/>
        </w:rPr>
        <w:t>SUJETO OBLIGADO</w:t>
      </w:r>
      <w:r>
        <w:rPr>
          <w:rFonts w:ascii="Palatino Linotype" w:eastAsia="Calibri" w:hAnsi="Palatino Linotype" w:cs="Arial"/>
        </w:rPr>
        <w:t xml:space="preserve"> y ordenar haga entrega </w:t>
      </w:r>
      <w:r>
        <w:rPr>
          <w:rFonts w:ascii="Palatino Linotype" w:eastAsia="Calibri" w:hAnsi="Palatino Linotype" w:cs="Arial"/>
          <w:b/>
        </w:rPr>
        <w:t>previa búsqueda exhaustiva y razonable</w:t>
      </w:r>
      <w:r>
        <w:rPr>
          <w:rFonts w:ascii="Palatino Linotype" w:eastAsia="Calibri" w:hAnsi="Palatino Linotype" w:cs="Arial"/>
        </w:rPr>
        <w:t xml:space="preserve"> de la información y mayor grado de desagregación, del documento o documentos donde conste la información que ya ha quedado precisada, en </w:t>
      </w:r>
      <w:r>
        <w:rPr>
          <w:rFonts w:ascii="Palatino Linotype" w:eastAsia="Calibri" w:hAnsi="Palatino Linotype" w:cs="Arial"/>
          <w:b/>
        </w:rPr>
        <w:t>versión pública</w:t>
      </w:r>
      <w:r>
        <w:rPr>
          <w:rFonts w:ascii="Palatino Linotype" w:eastAsia="Calibri" w:hAnsi="Palatino Linotype" w:cs="Arial"/>
        </w:rPr>
        <w:t xml:space="preserve">, </w:t>
      </w:r>
      <w:r>
        <w:rPr>
          <w:rFonts w:ascii="Palatino Linotype" w:eastAsia="Calibri" w:hAnsi="Palatino Linotype" w:cs="Arial"/>
          <w:b/>
        </w:rPr>
        <w:t>vía SAIMEX</w:t>
      </w:r>
      <w:r>
        <w:rPr>
          <w:rFonts w:ascii="Palatino Linotype" w:eastAsia="Calibri" w:hAnsi="Palatino Linotype" w:cs="Arial"/>
        </w:rPr>
        <w:t xml:space="preserve"> de los años 2010 al 2019 y del 01 al 27 de enero de 2020.</w:t>
      </w:r>
    </w:p>
    <w:p w:rsidR="005A6B36" w:rsidRPr="004670AE" w:rsidRDefault="0049607E" w:rsidP="004670AE">
      <w:pPr>
        <w:widowControl w:val="0"/>
        <w:spacing w:beforeAutospacing="1" w:afterAutospacing="1" w:line="360" w:lineRule="auto"/>
        <w:jc w:val="both"/>
        <w:rPr>
          <w:rFonts w:ascii="Palatino Linotype" w:eastAsia="Calibri" w:hAnsi="Palatino Linotype" w:cs="Arial"/>
        </w:rPr>
      </w:pPr>
      <w:r>
        <w:rPr>
          <w:rFonts w:ascii="Palatino Linotype" w:eastAsia="Calibri" w:hAnsi="Palatino Linotype" w:cs="Arial"/>
        </w:rPr>
        <w:t xml:space="preserve">Así, con </w:t>
      </w:r>
      <w:r>
        <w:rPr>
          <w:rFonts w:ascii="Palatino Linotype" w:hAnsi="Palatino Linotype" w:cs="Arial"/>
        </w:rPr>
        <w:t>fundamento</w:t>
      </w:r>
      <w:r>
        <w:rPr>
          <w:rFonts w:ascii="Palatino Linotype" w:eastAsia="Calibri" w:hAnsi="Palatino Linotype" w:cs="Arial"/>
        </w:rPr>
        <w:t xml:space="preserve"> en lo prescrito en los artículos 5, párrafos vigésimo segundo, vigésimo tercero y vigésimo cuarto de la Constitución Política del Estado Libre y Soberano de México; </w:t>
      </w:r>
      <w:r>
        <w:rPr>
          <w:rFonts w:ascii="Palatino Linotype" w:hAnsi="Palatino Linotype"/>
        </w:rPr>
        <w:t>2, fracción II, 19, 29, 36, fracciones I y II, 176, 178, 179, 181, 185, fracción I, 186 y 188</w:t>
      </w:r>
      <w:r>
        <w:rPr>
          <w:rFonts w:ascii="Palatino Linotype" w:eastAsia="Calibri" w:hAnsi="Palatino Linotype" w:cs="Arial"/>
        </w:rPr>
        <w:t xml:space="preserve"> de la Ley de Transparencia y Acceso a la Información Pública del Estado de México y Municipios, este Pleno:</w:t>
      </w:r>
    </w:p>
    <w:p w:rsidR="005A6B36" w:rsidRDefault="0049607E">
      <w:pPr>
        <w:spacing w:before="240" w:after="240" w:line="360" w:lineRule="auto"/>
        <w:jc w:val="center"/>
        <w:rPr>
          <w:rFonts w:ascii="Palatino Linotype" w:hAnsi="Palatino Linotype"/>
          <w:b/>
          <w:sz w:val="28"/>
        </w:rPr>
      </w:pPr>
      <w:r>
        <w:rPr>
          <w:rFonts w:ascii="Palatino Linotype" w:hAnsi="Palatino Linotype"/>
          <w:b/>
          <w:sz w:val="28"/>
        </w:rPr>
        <w:t>R E S U E L V E</w:t>
      </w: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lastRenderedPageBreak/>
        <w:t>PRIMERO</w:t>
      </w:r>
      <w:r>
        <w:rPr>
          <w:rFonts w:ascii="Palatino Linotype" w:eastAsia="Calibri" w:hAnsi="Palatino Linotype" w:cs="Arial"/>
        </w:rPr>
        <w:t xml:space="preserve">. Resultan </w:t>
      </w:r>
      <w:r>
        <w:rPr>
          <w:rFonts w:ascii="Palatino Linotype" w:eastAsia="Calibri" w:hAnsi="Palatino Linotype" w:cs="Arial"/>
          <w:b/>
        </w:rPr>
        <w:t xml:space="preserve">parcialmente fundadas </w:t>
      </w:r>
      <w:r>
        <w:rPr>
          <w:rFonts w:ascii="Palatino Linotype" w:eastAsia="Calibri" w:hAnsi="Palatino Linotype" w:cs="Arial"/>
        </w:rPr>
        <w:t xml:space="preserve">las razones o motivos de inconformidad planteadas por </w:t>
      </w:r>
      <w:r>
        <w:rPr>
          <w:rFonts w:ascii="Palatino Linotype" w:eastAsia="Calibri" w:hAnsi="Palatino Linotype" w:cs="Arial"/>
          <w:b/>
        </w:rPr>
        <w:t>EL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Se </w:t>
      </w:r>
      <w:r>
        <w:rPr>
          <w:rFonts w:ascii="Palatino Linotype" w:eastAsia="Calibri" w:hAnsi="Palatino Linotype" w:cs="Arial"/>
          <w:b/>
        </w:rPr>
        <w:t xml:space="preserve">MODIFICA </w:t>
      </w:r>
      <w:r>
        <w:rPr>
          <w:rFonts w:ascii="Palatino Linotype" w:eastAsia="Calibri" w:hAnsi="Palatino Linotype" w:cs="Arial"/>
        </w:rPr>
        <w:t xml:space="preserve">la respuesta otorgada por </w:t>
      </w:r>
      <w:r>
        <w:rPr>
          <w:rFonts w:ascii="Palatino Linotype" w:eastAsia="Calibri" w:hAnsi="Palatino Linotype" w:cs="Arial"/>
          <w:b/>
        </w:rPr>
        <w:t>EL SUJETO OBLIGADO</w:t>
      </w:r>
      <w:r>
        <w:rPr>
          <w:rFonts w:ascii="Palatino Linotype" w:eastAsia="Calibri" w:hAnsi="Palatino Linotype" w:cs="Arial"/>
        </w:rPr>
        <w:t xml:space="preserve"> a la solicitud de información motivo del recurso de revisión </w:t>
      </w:r>
      <w:r>
        <w:rPr>
          <w:rFonts w:ascii="Palatino Linotype" w:eastAsia="Calibri" w:hAnsi="Palatino Linotype" w:cs="Arial"/>
          <w:b/>
        </w:rPr>
        <w:t>01517/INFOEM/IP/RR/2020</w:t>
      </w:r>
      <w:r>
        <w:rPr>
          <w:rFonts w:ascii="Palatino Linotype" w:eastAsia="Calibri" w:hAnsi="Palatino Linotype" w:cs="Arial"/>
        </w:rPr>
        <w:t xml:space="preserve"> y se le ordena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 entregue al </w:t>
      </w:r>
      <w:r>
        <w:rPr>
          <w:rFonts w:ascii="Palatino Linotype" w:eastAsia="Calibri" w:hAnsi="Palatino Linotype" w:cs="Arial"/>
          <w:b/>
        </w:rPr>
        <w:t>RECURRENTE previa búsqueda exhaustiva y razonable de la información</w:t>
      </w:r>
      <w:r>
        <w:rPr>
          <w:rFonts w:ascii="Palatino Linotype" w:eastAsia="Calibri" w:hAnsi="Palatino Linotype" w:cs="Arial"/>
        </w:rPr>
        <w:t xml:space="preserve">, en </w:t>
      </w:r>
      <w:r>
        <w:rPr>
          <w:rFonts w:ascii="Palatino Linotype" w:eastAsia="Calibri" w:hAnsi="Palatino Linotype" w:cs="Arial"/>
          <w:b/>
        </w:rPr>
        <w:t>versión publica,</w:t>
      </w:r>
      <w:r>
        <w:rPr>
          <w:rFonts w:ascii="Palatino Linotype" w:eastAsia="Calibri" w:hAnsi="Palatino Linotype" w:cs="Arial"/>
        </w:rPr>
        <w:t xml:space="preserve"> vía </w:t>
      </w:r>
      <w:r>
        <w:rPr>
          <w:rFonts w:ascii="Palatino Linotype" w:eastAsia="Calibri" w:hAnsi="Palatino Linotype" w:cs="Arial"/>
          <w:b/>
        </w:rPr>
        <w:t>SAIMEX</w:t>
      </w:r>
      <w:r>
        <w:rPr>
          <w:rFonts w:ascii="Palatino Linotype" w:eastAsia="Calibri" w:hAnsi="Palatino Linotype" w:cs="Arial"/>
        </w:rPr>
        <w:t>, del 2010 al 2019 y del 1 al 27 de enero de 2020, de lo siguiente:</w:t>
      </w:r>
    </w:p>
    <w:p w:rsidR="005A6B36" w:rsidRDefault="0049607E">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”a) Convocatorias a licitaciones, procesos de adjudicación directa, o invitación restringida en los que hayan participado las empresas señaladas en la solicitud, así como sus filiales y/o subsidiarias</w:t>
      </w:r>
    </w:p>
    <w:p w:rsidR="005A6B36" w:rsidRDefault="0049607E">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b) Los contratos celebrados con las empresas señaladas en la solicitud, así como sus filiales y/o subsidiarias</w:t>
      </w:r>
    </w:p>
    <w:p w:rsidR="005A6B36" w:rsidRDefault="0049607E">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c) Las facturas y/o cualquier documento en el que se registre el pago realizado a las empresas señaladas en la solicitud y/o cualquiera de sus filiales y/o subsidiarias.</w:t>
      </w:r>
    </w:p>
    <w:p w:rsidR="005A6B36" w:rsidRDefault="0049607E">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d) Contratos y o cualquier otro documento celebrado para la renovación de cualquier software, licencia o herramienta tecnológica para la intervención de comunicaciones privadas y/o para la investigación forense de los programas señalados en la solicitud.</w:t>
      </w:r>
    </w:p>
    <w:p w:rsidR="005A6B36" w:rsidRDefault="0049607E">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e) El número de licencias adquiridos o contratados para realizar análisis forenses, así como la vigencia de dichas licencias y el número de dispositivos que han sido analizados con el software, licencia o herramienta tecnológica de los programas señalados en la solicitud.</w:t>
      </w:r>
    </w:p>
    <w:p w:rsidR="005A6B36" w:rsidRDefault="005A6B36">
      <w:pPr>
        <w:ind w:right="902"/>
        <w:jc w:val="both"/>
        <w:rPr>
          <w:rFonts w:ascii="Palatino Linotype" w:hAnsi="Palatino Linotype"/>
          <w:i/>
          <w:iCs/>
          <w:color w:val="222222"/>
          <w:sz w:val="22"/>
          <w:szCs w:val="22"/>
          <w:lang w:eastAsia="es-MX"/>
        </w:rPr>
      </w:pPr>
    </w:p>
    <w:p w:rsidR="005A6B36" w:rsidRDefault="0049607E">
      <w:pPr>
        <w:ind w:left="709" w:right="902"/>
        <w:jc w:val="both"/>
        <w:rPr>
          <w:rFonts w:ascii="Palatino Linotype" w:hAnsi="Palatino Linotype"/>
          <w:i/>
          <w:iCs/>
          <w:color w:val="222222"/>
          <w:sz w:val="22"/>
          <w:szCs w:val="22"/>
          <w:lang w:eastAsia="es-MX"/>
        </w:rPr>
      </w:pPr>
      <w:r>
        <w:rPr>
          <w:rFonts w:ascii="Palatino Linotype" w:hAnsi="Palatino Linotype"/>
          <w:i/>
          <w:iCs/>
          <w:color w:val="222222"/>
          <w:sz w:val="22"/>
          <w:szCs w:val="22"/>
          <w:lang w:eastAsia="es-MX"/>
        </w:rPr>
        <w:t xml:space="preserve">Debiendo notificar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A6B36" w:rsidRDefault="005A6B36">
      <w:pPr>
        <w:ind w:left="709" w:right="902"/>
        <w:jc w:val="both"/>
        <w:rPr>
          <w:rFonts w:ascii="Palatino Linotype" w:hAnsi="Palatino Linotype"/>
          <w:bCs/>
          <w:i/>
          <w:sz w:val="22"/>
          <w:szCs w:val="22"/>
        </w:rPr>
      </w:pPr>
    </w:p>
    <w:p w:rsidR="005A6B36" w:rsidRDefault="0049607E">
      <w:pPr>
        <w:ind w:left="709" w:right="902"/>
        <w:jc w:val="both"/>
        <w:rPr>
          <w:rFonts w:ascii="Palatino Linotype" w:hAnsi="Palatino Linotype"/>
          <w:i/>
          <w:iCs/>
          <w:color w:val="222222"/>
          <w:sz w:val="22"/>
          <w:szCs w:val="22"/>
          <w:lang w:eastAsia="es-MX"/>
        </w:rPr>
      </w:pPr>
      <w:r>
        <w:rPr>
          <w:rFonts w:ascii="Palatino Linotype" w:hAnsi="Palatino Linotype"/>
          <w:bCs/>
          <w:i/>
          <w:sz w:val="22"/>
          <w:szCs w:val="22"/>
        </w:rPr>
        <w:t xml:space="preserve">Para el caso de que </w:t>
      </w:r>
      <w:r>
        <w:rPr>
          <w:rFonts w:ascii="Palatino Linotype" w:hAnsi="Palatino Linotype"/>
          <w:b/>
          <w:bCs/>
          <w:i/>
          <w:sz w:val="22"/>
          <w:szCs w:val="22"/>
        </w:rPr>
        <w:t>EL SUJETO OBLIGADO</w:t>
      </w:r>
      <w:r>
        <w:rPr>
          <w:rFonts w:ascii="Palatino Linotype" w:hAnsi="Palatino Linotype"/>
          <w:bCs/>
          <w:i/>
          <w:sz w:val="22"/>
          <w:szCs w:val="22"/>
        </w:rPr>
        <w:t xml:space="preserve"> no</w:t>
      </w:r>
      <w:r>
        <w:rPr>
          <w:rFonts w:ascii="Palatino Linotype" w:hAnsi="Palatino Linotype"/>
          <w:i/>
          <w:iCs/>
          <w:color w:val="222222"/>
          <w:sz w:val="22"/>
          <w:szCs w:val="22"/>
          <w:lang w:eastAsia="es-MX"/>
        </w:rPr>
        <w:t xml:space="preserve"> haya generado la información que se ordena, en razón de no haber celebrado contrato con las empresas enlistadas en la solitud o por no haber contratado alguno de los programas referidos, deberá de hacerlo del conocimiento al </w:t>
      </w:r>
      <w:r>
        <w:rPr>
          <w:rFonts w:ascii="Palatino Linotype" w:hAnsi="Palatino Linotype"/>
          <w:b/>
          <w:i/>
          <w:iCs/>
          <w:color w:val="222222"/>
          <w:sz w:val="22"/>
          <w:szCs w:val="22"/>
          <w:lang w:eastAsia="es-MX"/>
        </w:rPr>
        <w:t>RECURRENTE</w:t>
      </w:r>
      <w:r>
        <w:rPr>
          <w:rFonts w:ascii="Palatino Linotype" w:hAnsi="Palatino Linotype"/>
          <w:i/>
          <w:iCs/>
          <w:color w:val="222222"/>
          <w:sz w:val="22"/>
          <w:szCs w:val="22"/>
          <w:lang w:eastAsia="es-MX"/>
        </w:rPr>
        <w:t xml:space="preserve"> de manera fundamentada y motivada.”</w:t>
      </w:r>
    </w:p>
    <w:p w:rsidR="005A6B36" w:rsidRDefault="005A6B36">
      <w:pPr>
        <w:ind w:right="899"/>
        <w:jc w:val="both"/>
        <w:rPr>
          <w:rFonts w:ascii="Palatino Linotype" w:eastAsia="Arial Unicode MS" w:hAnsi="Palatino Linotype" w:cs="Arial"/>
          <w:i/>
          <w:sz w:val="22"/>
          <w:szCs w:val="22"/>
        </w:rPr>
      </w:pP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rsidR="005A6B36" w:rsidRDefault="0049607E">
      <w:pPr>
        <w:spacing w:beforeAutospacing="1"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5A6B36" w:rsidRDefault="0049607E">
      <w:pPr>
        <w:spacing w:line="360" w:lineRule="auto"/>
        <w:jc w:val="both"/>
        <w:rPr>
          <w:rFonts w:ascii="Palatino Linotype" w:eastAsia="Calibri" w:hAnsi="Palatino Linotype" w:cs="Arial"/>
        </w:rPr>
      </w:pPr>
      <w:r>
        <w:rPr>
          <w:rFonts w:ascii="Palatino Linotype" w:hAnsi="Palatino Linotype" w:cs="Arial"/>
        </w:rPr>
        <w:t>ASÍ LO RESUELVE, POR UNANIMIDAD DE VOTOS, EL PLENO DEL</w:t>
      </w:r>
      <w:r>
        <w:rPr>
          <w:rFonts w:ascii="Palatino Linotype" w:eastAsia="Arial Unicode MS" w:hAnsi="Palatino Linotype" w:cs="Arial"/>
        </w:rPr>
        <w:t xml:space="preserve"> INSTITUTO DE </w:t>
      </w:r>
      <w:r>
        <w:rPr>
          <w:rFonts w:ascii="Palatino Linotype" w:hAnsi="Palatino Linotype"/>
          <w:lang w:eastAsia="en-US"/>
        </w:rPr>
        <w:t>TRANSPARENCIA</w:t>
      </w:r>
      <w:r>
        <w:rPr>
          <w:rFonts w:ascii="Palatino Linotype" w:eastAsia="Arial Unicode MS" w:hAnsi="Palatino Linotype" w:cs="Arial"/>
        </w:rPr>
        <w:t>, ACCESO A LA INFORMACIÓN PÚBLICA Y PROTECCIÓN DE DATOS PERSONALES DEL ESTADO DE MÉXICO Y MUNICIPIOS</w:t>
      </w:r>
      <w:r>
        <w:rPr>
          <w:rFonts w:ascii="Palatino Linotype" w:hAnsi="Palatino Linotype" w:cs="Arial"/>
        </w:rPr>
        <w:t xml:space="preserve">, CONFORMADO POR LOS COMISIONADOS ZULEMA MARTÍNEZ SÁNCHEZ; </w:t>
      </w:r>
      <w:r>
        <w:rPr>
          <w:rFonts w:ascii="Palatino Linotype" w:hAnsi="Palatino Linotype" w:cs="Arial"/>
        </w:rPr>
        <w:lastRenderedPageBreak/>
        <w:t xml:space="preserve">EVA ABAID YAPUR; JOSÉ GUADALUPE LUNA HERNÁNDEZ, JAVIER MARTÍNEZ CRUZ Y LUIS GUSTAVO PARRA NORIEGA, EN LA DÉCIMA QUINTA SESIÓN ORDINARIA CELEBRADA EL DÍA VEINTISÉIS DE AGOSTO DE DOS MIL VEINTE, ANTE EL SECRETARIO TÉCNICO DEL PLENO, </w:t>
      </w:r>
      <w:r>
        <w:rPr>
          <w:rFonts w:ascii="Palatino Linotype" w:eastAsia="Arial Unicode MS" w:hAnsi="Palatino Linotype" w:cs="Arial"/>
        </w:rPr>
        <w:t>ALEXIS</w:t>
      </w:r>
      <w:r>
        <w:rPr>
          <w:rFonts w:ascii="Palatino Linotype" w:hAnsi="Palatino Linotype" w:cs="Arial"/>
        </w:rPr>
        <w:t xml:space="preserve"> TAPIA RAMÍREZ.</w:t>
      </w:r>
      <w:r>
        <w:rPr>
          <w:rFonts w:ascii="Palatino Linotype" w:hAnsi="Palatino Linotype" w:cs="Arial"/>
        </w:rPr>
        <w:tab/>
      </w:r>
    </w:p>
    <w:p w:rsidR="005A6B36" w:rsidRDefault="005A6B36">
      <w:pPr>
        <w:jc w:val="both"/>
        <w:rPr>
          <w:rFonts w:ascii="Palatino Linotype" w:hAnsi="Palatino Linotype" w:cs="Arial"/>
        </w:rPr>
      </w:pPr>
    </w:p>
    <w:p w:rsidR="005A6B36" w:rsidRDefault="005A6B36">
      <w:pPr>
        <w:jc w:val="both"/>
        <w:rPr>
          <w:rFonts w:ascii="Palatino Linotype" w:hAnsi="Palatino Linotype" w:cs="Arial"/>
        </w:rPr>
      </w:pPr>
    </w:p>
    <w:p w:rsidR="005A6B36" w:rsidRDefault="005A6B36">
      <w:pPr>
        <w:jc w:val="both"/>
        <w:rPr>
          <w:rFonts w:ascii="Palatino Linotype" w:hAnsi="Palatino Linotype" w:cs="Arial"/>
        </w:rPr>
      </w:pPr>
    </w:p>
    <w:tbl>
      <w:tblPr>
        <w:tblW w:w="9210" w:type="dxa"/>
        <w:jc w:val="center"/>
        <w:tblLook w:val="04A0" w:firstRow="1" w:lastRow="0" w:firstColumn="1" w:lastColumn="0" w:noHBand="0" w:noVBand="1"/>
      </w:tblPr>
      <w:tblGrid>
        <w:gridCol w:w="4756"/>
        <w:gridCol w:w="4454"/>
      </w:tblGrid>
      <w:tr w:rsidR="005A6B36">
        <w:trPr>
          <w:jc w:val="center"/>
        </w:trPr>
        <w:tc>
          <w:tcPr>
            <w:tcW w:w="9209" w:type="dxa"/>
            <w:gridSpan w:val="2"/>
          </w:tcPr>
          <w:p w:rsidR="005A6B36" w:rsidRDefault="005A6B36">
            <w:pPr>
              <w:jc w:val="center"/>
              <w:rPr>
                <w:rFonts w:ascii="Palatino Linotype" w:hAnsi="Palatino Linotype" w:cs="Arial"/>
                <w:b/>
                <w:color w:val="000000" w:themeColor="text1"/>
                <w:lang w:val="es-ES_tradnl"/>
              </w:rPr>
            </w:pP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Zulema Martínez Sánchez</w:t>
            </w:r>
          </w:p>
          <w:p w:rsidR="005A6B36" w:rsidRDefault="0049607E">
            <w:pPr>
              <w:jc w:val="center"/>
              <w:rPr>
                <w:rFonts w:ascii="Palatino Linotype" w:hAnsi="Palatino Linotype" w:cs="Arial"/>
                <w:b/>
                <w:color w:val="000000" w:themeColor="text1"/>
                <w:lang w:val="es-ES_tradnl"/>
              </w:rPr>
            </w:pPr>
            <w:r>
              <w:rPr>
                <w:rFonts w:ascii="Palatino Linotype" w:hAnsi="Palatino Linotype" w:cs="Arial"/>
                <w:color w:val="000000" w:themeColor="text1"/>
                <w:lang w:val="es-ES_tradnl"/>
              </w:rPr>
              <w:t>Comisionada Presidenta</w:t>
            </w: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p w:rsidR="005A6B36" w:rsidRDefault="005A6B36">
            <w:pPr>
              <w:jc w:val="cente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tc>
      </w:tr>
      <w:tr w:rsidR="005A6B36">
        <w:trPr>
          <w:jc w:val="center"/>
        </w:trPr>
        <w:tc>
          <w:tcPr>
            <w:tcW w:w="4755" w:type="dxa"/>
          </w:tcPr>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Eva Abaid Yapur</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Comisionada</w:t>
            </w: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c>
          <w:tcPr>
            <w:tcW w:w="4454" w:type="dxa"/>
          </w:tcPr>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José Guadalupe Luna Hernández</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5A6B36">
        <w:trPr>
          <w:jc w:val="center"/>
        </w:trPr>
        <w:tc>
          <w:tcPr>
            <w:tcW w:w="4755" w:type="dxa"/>
          </w:tcPr>
          <w:p w:rsidR="005A6B36" w:rsidRDefault="005A6B36">
            <w:pPr>
              <w:jc w:val="cente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Javier Martínez Cruz</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p>
        </w:tc>
        <w:tc>
          <w:tcPr>
            <w:tcW w:w="4454" w:type="dxa"/>
          </w:tcPr>
          <w:p w:rsidR="005A6B36" w:rsidRDefault="005A6B36">
            <w:pPr>
              <w:jc w:val="cente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p w:rsidR="005A6B36" w:rsidRDefault="005A6B36">
            <w:pPr>
              <w:jc w:val="center"/>
              <w:rPr>
                <w:rFonts w:ascii="Palatino Linotype" w:hAnsi="Palatino Linotype" w:cs="Arial"/>
                <w:b/>
                <w:color w:val="000000" w:themeColor="text1"/>
                <w:lang w:val="es-ES_tradnl"/>
              </w:rPr>
            </w:pP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Luis Gustavo Parra Noriega</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Comisionado</w:t>
            </w: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t>(RÚBRICA)</w:t>
            </w:r>
          </w:p>
        </w:tc>
      </w:tr>
      <w:tr w:rsidR="005A6B36">
        <w:trPr>
          <w:jc w:val="center"/>
        </w:trPr>
        <w:tc>
          <w:tcPr>
            <w:tcW w:w="9209" w:type="dxa"/>
            <w:gridSpan w:val="2"/>
          </w:tcPr>
          <w:p w:rsidR="005A6B36" w:rsidRDefault="005A6B36">
            <w:pPr>
              <w:jc w:val="cente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5A6B36">
            <w:pPr>
              <w:rPr>
                <w:rFonts w:ascii="Palatino Linotype" w:hAnsi="Palatino Linotype" w:cs="Arial"/>
                <w:b/>
                <w:color w:val="000000" w:themeColor="text1"/>
                <w:lang w:val="es-ES_tradnl"/>
              </w:rPr>
            </w:pPr>
          </w:p>
          <w:p w:rsidR="005A6B36" w:rsidRDefault="0049607E">
            <w:pPr>
              <w:jc w:val="center"/>
              <w:rPr>
                <w:rFonts w:ascii="Palatino Linotype" w:hAnsi="Palatino Linotype" w:cs="Arial"/>
                <w:b/>
                <w:color w:val="000000" w:themeColor="text1"/>
                <w:lang w:val="es-ES_tradnl"/>
              </w:rPr>
            </w:pPr>
            <w:r>
              <w:rPr>
                <w:rFonts w:ascii="Palatino Linotype" w:hAnsi="Palatino Linotype" w:cs="Arial"/>
                <w:b/>
                <w:color w:val="000000" w:themeColor="text1"/>
                <w:lang w:val="es-ES_tradnl"/>
              </w:rPr>
              <w:lastRenderedPageBreak/>
              <w:t>Alexis Tapia Ramírez</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color w:val="000000" w:themeColor="text1"/>
                <w:lang w:val="es-ES_tradnl"/>
              </w:rPr>
              <w:t>Secretario Técnico del Pleno</w:t>
            </w:r>
          </w:p>
          <w:p w:rsidR="005A6B36" w:rsidRDefault="0049607E">
            <w:pPr>
              <w:jc w:val="center"/>
              <w:rPr>
                <w:rFonts w:ascii="Palatino Linotype" w:hAnsi="Palatino Linotype" w:cs="Arial"/>
                <w:color w:val="000000" w:themeColor="text1"/>
                <w:lang w:val="es-ES_tradnl"/>
              </w:rPr>
            </w:pPr>
            <w:r>
              <w:rPr>
                <w:rFonts w:ascii="Palatino Linotype" w:hAnsi="Palatino Linotype" w:cs="Arial"/>
                <w:b/>
                <w:color w:val="000000" w:themeColor="text1"/>
                <w:lang w:val="es-ES_tradnl"/>
              </w:rPr>
              <w:t>(RÚBRICA)</w:t>
            </w:r>
            <w:r>
              <w:rPr>
                <w:rFonts w:ascii="Palatino Linotype" w:hAnsi="Palatino Linotype" w:cs="Arial"/>
                <w:color w:val="000000" w:themeColor="text1"/>
                <w:lang w:val="es-ES_tradnl"/>
              </w:rPr>
              <w:t xml:space="preserve"> </w:t>
            </w:r>
          </w:p>
        </w:tc>
      </w:tr>
    </w:tbl>
    <w:p w:rsidR="005A6B36" w:rsidRDefault="0049607E">
      <w:pPr>
        <w:jc w:val="both"/>
        <w:rPr>
          <w:rFonts w:ascii="Palatino Linotype" w:hAnsi="Palatino Linotype" w:cs="Arial"/>
          <w:sz w:val="22"/>
          <w:szCs w:val="22"/>
          <w:lang w:val="es-ES"/>
        </w:rPr>
      </w:pPr>
      <w:r>
        <w:rPr>
          <w:rFonts w:ascii="Palatino Linotype" w:hAnsi="Palatino Linotype" w:cs="Arial"/>
          <w:sz w:val="22"/>
          <w:szCs w:val="22"/>
          <w:lang w:val="es-ES"/>
        </w:rPr>
        <w:lastRenderedPageBreak/>
        <w:t xml:space="preserve">Esta hoja corresponde a la resolución de fecha veintiséis de agosto de dos mil veinte, emitida en el recurso de revisión número 01517/INFOEM/IP/RR/2020. </w:t>
      </w:r>
    </w:p>
    <w:p w:rsidR="005A6B36" w:rsidRDefault="0049607E">
      <w:pPr>
        <w:jc w:val="both"/>
        <w:rPr>
          <w:rFonts w:ascii="Palatino Linotype" w:hAnsi="Palatino Linotype" w:cs="Arial"/>
          <w:sz w:val="22"/>
          <w:szCs w:val="22"/>
          <w:lang w:val="es-ES"/>
        </w:rPr>
      </w:pPr>
      <w:r>
        <w:rPr>
          <w:rFonts w:ascii="Palatino Linotype" w:hAnsi="Palatino Linotype" w:cs="Arial"/>
          <w:sz w:val="22"/>
          <w:szCs w:val="22"/>
          <w:lang w:val="es-ES"/>
        </w:rPr>
        <w:t>YSM/AAS</w:t>
      </w:r>
    </w:p>
    <w:sectPr w:rsidR="005A6B36">
      <w:headerReference w:type="default" r:id="rId21"/>
      <w:footerReference w:type="default" r:id="rId22"/>
      <w:headerReference w:type="first" r:id="rId23"/>
      <w:footerReference w:type="first" r:id="rId24"/>
      <w:pgSz w:w="12240" w:h="15840"/>
      <w:pgMar w:top="1418" w:right="1418" w:bottom="1418" w:left="1701" w:header="709" w:footer="1009"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7806" w:rsidRDefault="00467806">
      <w:r>
        <w:separator/>
      </w:r>
    </w:p>
  </w:endnote>
  <w:endnote w:type="continuationSeparator" w:id="0">
    <w:p w:rsidR="00467806" w:rsidRDefault="004678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1"/>
    <w:family w:val="roman"/>
    <w:pitch w:val="variable"/>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Liberation Serif">
    <w:altName w:val="Times New Roman"/>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charset w:val="01"/>
    <w:family w:val="roman"/>
    <w:pitch w:val="variable"/>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7E" w:rsidRDefault="0049607E">
    <w:pPr>
      <w:pStyle w:val="Piedepgina"/>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670AE">
      <w:rPr>
        <w:rFonts w:ascii="Palatino Linotype" w:hAnsi="Palatino Linotype" w:cs="Arial"/>
        <w:bCs/>
        <w:noProof/>
        <w:sz w:val="22"/>
        <w:szCs w:val="22"/>
      </w:rPr>
      <w:t>34</w:t>
    </w:r>
    <w:r>
      <w:rPr>
        <w:rFonts w:ascii="Palatino Linotype" w:hAnsi="Palatino Linotype" w:cs="Arial"/>
        <w:bCs/>
        <w:sz w:val="22"/>
        <w:szCs w:val="22"/>
      </w:rPr>
      <w:fldChar w:fldCharType="end"/>
    </w:r>
    <w:r>
      <w:rPr>
        <w:rFonts w:ascii="Palatino Linotype" w:hAnsi="Palatino Linotype" w:cs="Arial"/>
        <w:bCs/>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670AE">
      <w:rPr>
        <w:rFonts w:ascii="Palatino Linotype" w:hAnsi="Palatino Linotype" w:cs="Arial"/>
        <w:bCs/>
        <w:noProof/>
        <w:sz w:val="22"/>
        <w:szCs w:val="22"/>
      </w:rPr>
      <w:t>57</w:t>
    </w:r>
    <w:r>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7E" w:rsidRDefault="0049607E">
    <w:pPr>
      <w:pStyle w:val="Piedepgina"/>
      <w:spacing w:before="120"/>
      <w:jc w:val="right"/>
      <w:rPr>
        <w:rFonts w:ascii="Palatino Linotype" w:hAnsi="Palatino Linotype" w:cs="Arial"/>
        <w:bCs/>
        <w:sz w:val="22"/>
        <w:szCs w:val="22"/>
      </w:rPr>
    </w:pPr>
    <w:r>
      <w:rPr>
        <w:rFonts w:ascii="Palatino Linotype" w:hAnsi="Palatino Linotype" w:cs="Arial"/>
        <w:bCs/>
        <w:sz w:val="22"/>
        <w:szCs w:val="22"/>
      </w:rPr>
      <w:t xml:space="preserve">Página </w:t>
    </w:r>
    <w:r>
      <w:rPr>
        <w:rFonts w:ascii="Palatino Linotype" w:hAnsi="Palatino Linotype" w:cs="Arial"/>
        <w:bCs/>
        <w:sz w:val="22"/>
        <w:szCs w:val="22"/>
      </w:rPr>
      <w:fldChar w:fldCharType="begin"/>
    </w:r>
    <w:r>
      <w:rPr>
        <w:rFonts w:ascii="Palatino Linotype" w:hAnsi="Palatino Linotype" w:cs="Arial"/>
        <w:bCs/>
        <w:sz w:val="22"/>
        <w:szCs w:val="22"/>
      </w:rPr>
      <w:instrText>PAGE</w:instrText>
    </w:r>
    <w:r>
      <w:rPr>
        <w:rFonts w:ascii="Palatino Linotype" w:hAnsi="Palatino Linotype" w:cs="Arial"/>
        <w:bCs/>
        <w:sz w:val="22"/>
        <w:szCs w:val="22"/>
      </w:rPr>
      <w:fldChar w:fldCharType="separate"/>
    </w:r>
    <w:r w:rsidR="004670AE">
      <w:rPr>
        <w:rFonts w:ascii="Palatino Linotype" w:hAnsi="Palatino Linotype" w:cs="Arial"/>
        <w:bCs/>
        <w:noProof/>
        <w:sz w:val="22"/>
        <w:szCs w:val="22"/>
      </w:rPr>
      <w:t>1</w:t>
    </w:r>
    <w:r>
      <w:rPr>
        <w:rFonts w:ascii="Palatino Linotype" w:hAnsi="Palatino Linotype" w:cs="Arial"/>
        <w:bCs/>
        <w:sz w:val="22"/>
        <w:szCs w:val="22"/>
      </w:rPr>
      <w:fldChar w:fldCharType="end"/>
    </w:r>
    <w:r>
      <w:rPr>
        <w:rFonts w:ascii="Palatino Linotype" w:hAnsi="Palatino Linotype" w:cs="Arial"/>
        <w:sz w:val="22"/>
        <w:szCs w:val="22"/>
      </w:rPr>
      <w:t xml:space="preserve"> de </w:t>
    </w:r>
    <w:r>
      <w:rPr>
        <w:rFonts w:ascii="Palatino Linotype" w:hAnsi="Palatino Linotype" w:cs="Arial"/>
        <w:bCs/>
        <w:sz w:val="22"/>
        <w:szCs w:val="22"/>
      </w:rPr>
      <w:fldChar w:fldCharType="begin"/>
    </w:r>
    <w:r>
      <w:rPr>
        <w:rFonts w:ascii="Palatino Linotype" w:hAnsi="Palatino Linotype" w:cs="Arial"/>
        <w:bCs/>
        <w:sz w:val="22"/>
        <w:szCs w:val="22"/>
      </w:rPr>
      <w:instrText>NUMPAGES</w:instrText>
    </w:r>
    <w:r>
      <w:rPr>
        <w:rFonts w:ascii="Palatino Linotype" w:hAnsi="Palatino Linotype" w:cs="Arial"/>
        <w:bCs/>
        <w:sz w:val="22"/>
        <w:szCs w:val="22"/>
      </w:rPr>
      <w:fldChar w:fldCharType="separate"/>
    </w:r>
    <w:r w:rsidR="004670AE">
      <w:rPr>
        <w:rFonts w:ascii="Palatino Linotype" w:hAnsi="Palatino Linotype" w:cs="Arial"/>
        <w:bCs/>
        <w:noProof/>
        <w:sz w:val="22"/>
        <w:szCs w:val="22"/>
      </w:rPr>
      <w:t>57</w:t>
    </w:r>
    <w:r>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7806" w:rsidRDefault="00467806">
      <w:pPr>
        <w:rPr>
          <w:sz w:val="12"/>
        </w:rPr>
      </w:pPr>
      <w:r>
        <w:separator/>
      </w:r>
    </w:p>
  </w:footnote>
  <w:footnote w:type="continuationSeparator" w:id="0">
    <w:p w:rsidR="00467806" w:rsidRDefault="00467806">
      <w:pPr>
        <w:rPr>
          <w:sz w:val="12"/>
        </w:rPr>
      </w:pPr>
      <w:r>
        <w:continuationSeparator/>
      </w:r>
    </w:p>
  </w:footnote>
  <w:footnote w:id="1">
    <w:p w:rsidR="0049607E" w:rsidRDefault="0049607E">
      <w:pPr>
        <w:pStyle w:val="Textonotapie"/>
      </w:pPr>
      <w:r>
        <w:rPr>
          <w:rStyle w:val="Caracteresdenotaalpie"/>
        </w:rPr>
        <w:footnoteRef/>
      </w:r>
      <w:r>
        <w:t xml:space="preserve"> </w:t>
      </w:r>
      <w:r>
        <w:rPr>
          <w:rFonts w:ascii="Palatino Linotype" w:hAnsi="Palatino Linotype"/>
          <w:sz w:val="18"/>
          <w:szCs w:val="18"/>
        </w:rPr>
        <w:t>Ver artículo 4, fracciones V, VI y VII de los Lineamientos.</w:t>
      </w:r>
    </w:p>
  </w:footnote>
  <w:footnote w:id="2">
    <w:p w:rsidR="0049607E" w:rsidRDefault="0049607E">
      <w:pPr>
        <w:pStyle w:val="Textonotapie"/>
        <w:jc w:val="both"/>
      </w:pPr>
      <w:r>
        <w:rPr>
          <w:rStyle w:val="Caracteresdenotaalpie"/>
        </w:rPr>
        <w:footnoteRef/>
      </w:r>
      <w:r>
        <w:t xml:space="preserve"> </w:t>
      </w:r>
      <w:r>
        <w:rPr>
          <w:sz w:val="22"/>
          <w:szCs w:val="22"/>
        </w:rPr>
        <w:t>“</w:t>
      </w:r>
      <w:r>
        <w:rPr>
          <w:rFonts w:ascii="Palatino Linotype" w:hAnsi="Palatino Linotype"/>
          <w:sz w:val="18"/>
          <w:szCs w:val="18"/>
        </w:rPr>
        <w:t>Artículo 20.- Los expedientes de trámite concluido y los desclasificados se mantendrán íntegros por un período de dos años en los Archivos de Trámite de las Unidades Administrativas. Cumplido este plazo se podrá proceder a su selección preliminar y transferencia al Archivo de Concentración.”</w:t>
      </w:r>
    </w:p>
  </w:footnote>
  <w:footnote w:id="3">
    <w:p w:rsidR="0049607E" w:rsidRDefault="0049607E">
      <w:pPr>
        <w:pStyle w:val="Textonotapie"/>
        <w:jc w:val="both"/>
        <w:rPr>
          <w:rFonts w:ascii="Palatino Linotype" w:hAnsi="Palatino Linotype"/>
          <w:sz w:val="18"/>
          <w:szCs w:val="18"/>
        </w:rPr>
      </w:pPr>
      <w:r>
        <w:rPr>
          <w:rStyle w:val="Caracteresdenotaalpie"/>
        </w:rPr>
        <w:footnoteRef/>
      </w:r>
      <w:r>
        <w:t xml:space="preserve"> </w:t>
      </w:r>
      <w:r>
        <w:rPr>
          <w:rFonts w:ascii="Palatino Linotype" w:hAnsi="Palatino Linotype"/>
          <w:sz w:val="18"/>
          <w:szCs w:val="18"/>
        </w:rPr>
        <w:t xml:space="preserve">“Artículo 7. Es obligación de los servidores públicos custodiar y facilitar el acceso a los documentos que se encuentren bajo su resguardo en razón de sus atribuciones y de conformidad con la Ley de Transparencia, la Ley de Documentos y los presentes Lineamientos.” </w:t>
      </w:r>
    </w:p>
    <w:p w:rsidR="0049607E" w:rsidRDefault="0049607E">
      <w:pPr>
        <w:pStyle w:val="Textonotapie"/>
        <w:jc w:val="both"/>
        <w:rPr>
          <w:sz w:val="18"/>
          <w:szCs w:val="18"/>
        </w:rPr>
      </w:pPr>
      <w:r>
        <w:rPr>
          <w:rFonts w:ascii="Palatino Linotype" w:hAnsi="Palatino Linotype"/>
          <w:sz w:val="18"/>
          <w:szCs w:val="18"/>
        </w:rPr>
        <w:t>“Artículo 70. Las Unidades Administrativas que transfieran sus documentos y expedientes de trámite concluido a un Archivo de Concentración, seguirán manteniendo la responsabilidad de proporcionar la información contenida en ellos cuando le sea requerida en términos de los ordenamientos vigentes, hasta el momento en que prescriban sus valores administrativos y concluya su conservación precaucional y adquieran el carácter de históricos, o hasta cuando proceda su eliminación de conformidad con la normatividad emitida por la Comisión.”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7E" w:rsidRDefault="0049607E">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drawing>
        <wp:anchor distT="0" distB="0" distL="0" distR="0" simplePos="0" relativeHeight="53" behindDoc="1" locked="0" layoutInCell="1" allowOverlap="1">
          <wp:simplePos x="0" y="0"/>
          <wp:positionH relativeFrom="column">
            <wp:align>center</wp:align>
          </wp:positionH>
          <wp:positionV relativeFrom="margin">
            <wp:align>center</wp:align>
          </wp:positionV>
          <wp:extent cx="6858635" cy="9144635"/>
          <wp:effectExtent l="0" t="0" r="0" b="0"/>
          <wp:wrapNone/>
          <wp:docPr id="12" name="WordPictureWatermark209593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2095932798"/>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9534" w:type="dxa"/>
      <w:tblInd w:w="-142" w:type="dxa"/>
      <w:tblLook w:val="04A0" w:firstRow="1" w:lastRow="0" w:firstColumn="1" w:lastColumn="0" w:noHBand="0" w:noVBand="1"/>
    </w:tblPr>
    <w:tblGrid>
      <w:gridCol w:w="3258"/>
      <w:gridCol w:w="2552"/>
      <w:gridCol w:w="3724"/>
    </w:tblGrid>
    <w:tr w:rsidR="0049607E">
      <w:tc>
        <w:tcPr>
          <w:tcW w:w="3258" w:type="dxa"/>
          <w:vMerge w:val="restart"/>
        </w:tcPr>
        <w:p w:rsidR="0049607E" w:rsidRDefault="0049607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1"/>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2"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724" w:type="dxa"/>
          <w:shd w:val="clear" w:color="auto" w:fill="auto"/>
          <w:vAlign w:val="center"/>
        </w:tcPr>
        <w:p w:rsidR="0049607E" w:rsidRDefault="0049607E">
          <w:pPr>
            <w:jc w:val="both"/>
            <w:rPr>
              <w:rFonts w:ascii="Palatino Linotype" w:hAnsi="Palatino Linotype"/>
              <w:b/>
              <w:sz w:val="22"/>
              <w:szCs w:val="22"/>
              <w:lang w:val="es-ES_tradnl"/>
            </w:rPr>
          </w:pPr>
          <w:r>
            <w:rPr>
              <w:rFonts w:ascii="Palatino Linotype" w:hAnsi="Palatino Linotype"/>
              <w:b/>
              <w:sz w:val="22"/>
              <w:szCs w:val="22"/>
              <w:lang w:val="es-ES_tradnl"/>
            </w:rPr>
            <w:t>01517/INFOEM/IP/RR/2020</w:t>
          </w:r>
        </w:p>
      </w:tc>
    </w:tr>
    <w:tr w:rsidR="0049607E">
      <w:tc>
        <w:tcPr>
          <w:tcW w:w="3258" w:type="dxa"/>
          <w:vMerge/>
        </w:tcPr>
        <w:p w:rsidR="0049607E" w:rsidRDefault="0049607E">
          <w:pPr>
            <w:rPr>
              <w:rFonts w:ascii="Palatino Linotype" w:hAnsi="Palatino Linotype"/>
              <w:b/>
              <w:sz w:val="22"/>
              <w:szCs w:val="22"/>
              <w:lang w:val="es-ES_tradnl"/>
            </w:rPr>
          </w:pPr>
        </w:p>
      </w:tc>
      <w:tc>
        <w:tcPr>
          <w:tcW w:w="2552"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724" w:type="dxa"/>
          <w:shd w:val="clear" w:color="auto" w:fill="auto"/>
          <w:vAlign w:val="center"/>
        </w:tcPr>
        <w:p w:rsidR="0049607E" w:rsidRDefault="0049607E">
          <w:pPr>
            <w:jc w:val="both"/>
            <w:rPr>
              <w:rFonts w:ascii="Palatino Linotype" w:hAnsi="Palatino Linotype"/>
              <w:b/>
              <w:sz w:val="22"/>
              <w:szCs w:val="22"/>
              <w:lang w:val="es-ES_tradnl"/>
            </w:rPr>
          </w:pPr>
          <w:r>
            <w:rPr>
              <w:rFonts w:ascii="Palatino Linotype" w:hAnsi="Palatino Linotype"/>
              <w:b/>
            </w:rPr>
            <w:t>Secretaría de Seguridad</w:t>
          </w:r>
        </w:p>
      </w:tc>
    </w:tr>
    <w:tr w:rsidR="0049607E">
      <w:trPr>
        <w:trHeight w:val="228"/>
      </w:trPr>
      <w:tc>
        <w:tcPr>
          <w:tcW w:w="3258" w:type="dxa"/>
          <w:vMerge/>
        </w:tcPr>
        <w:p w:rsidR="0049607E" w:rsidRDefault="0049607E">
          <w:pPr>
            <w:rPr>
              <w:rFonts w:ascii="Palatino Linotype" w:hAnsi="Palatino Linotype"/>
              <w:b/>
              <w:sz w:val="22"/>
              <w:szCs w:val="22"/>
              <w:lang w:val="es-ES_tradnl"/>
            </w:rPr>
          </w:pPr>
        </w:p>
      </w:tc>
      <w:tc>
        <w:tcPr>
          <w:tcW w:w="2552"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724" w:type="dxa"/>
          <w:shd w:val="clear" w:color="auto" w:fill="auto"/>
        </w:tcPr>
        <w:p w:rsidR="0049607E" w:rsidRDefault="0049607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49607E" w:rsidRDefault="0049607E">
    <w:pPr>
      <w:pStyle w:val="Encabezado"/>
      <w:tabs>
        <w:tab w:val="clear" w:pos="4252"/>
        <w:tab w:val="clear" w:pos="8504"/>
        <w:tab w:val="left" w:pos="2326"/>
      </w:tabs>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607E" w:rsidRDefault="0049607E">
    <w:pPr>
      <w:rPr>
        <w:rFonts w:ascii="Palatino Linotype" w:hAnsi="Palatino Linotype"/>
        <w:sz w:val="28"/>
        <w:szCs w:val="28"/>
      </w:rPr>
    </w:pPr>
    <w:r>
      <w:rPr>
        <w:rFonts w:ascii="Palatino Linotype" w:hAnsi="Palatino Linotype"/>
        <w:noProof/>
        <w:sz w:val="28"/>
        <w:szCs w:val="28"/>
        <w:lang w:eastAsia="es-MX"/>
      </w:rPr>
      <w:drawing>
        <wp:anchor distT="0" distB="0" distL="0" distR="0" simplePos="0" relativeHeight="2" behindDoc="1" locked="0" layoutInCell="1" allowOverlap="1">
          <wp:simplePos x="0" y="0"/>
          <wp:positionH relativeFrom="column">
            <wp:align>center</wp:align>
          </wp:positionH>
          <wp:positionV relativeFrom="margin">
            <wp:align>center</wp:align>
          </wp:positionV>
          <wp:extent cx="6858635" cy="9144635"/>
          <wp:effectExtent l="0" t="0" r="0" b="0"/>
          <wp:wrapNone/>
          <wp:docPr id="14" name="WordPictureWatermark209593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ordPictureWatermark2095932796"/>
                  <pic:cNvPicPr>
                    <a:picLocks noChangeAspect="1" noChangeArrowheads="1"/>
                  </pic:cNvPicPr>
                </pic:nvPicPr>
                <pic:blipFill>
                  <a:blip r:embed="rId1"/>
                  <a:stretch>
                    <a:fillRect/>
                  </a:stretch>
                </pic:blipFill>
                <pic:spPr bwMode="auto">
                  <a:xfrm>
                    <a:off x="0" y="0"/>
                    <a:ext cx="6858635" cy="9144635"/>
                  </a:xfrm>
                  <a:prstGeom prst="rect">
                    <a:avLst/>
                  </a:prstGeom>
                </pic:spPr>
              </pic:pic>
            </a:graphicData>
          </a:graphic>
        </wp:anchor>
      </w:drawing>
    </w:r>
  </w:p>
  <w:tbl>
    <w:tblPr>
      <w:tblW w:w="10490" w:type="dxa"/>
      <w:tblInd w:w="-1276" w:type="dxa"/>
      <w:tblLook w:val="04A0" w:firstRow="1" w:lastRow="0" w:firstColumn="1" w:lastColumn="0" w:noHBand="0" w:noVBand="1"/>
    </w:tblPr>
    <w:tblGrid>
      <w:gridCol w:w="4251"/>
      <w:gridCol w:w="2551"/>
      <w:gridCol w:w="3688"/>
    </w:tblGrid>
    <w:tr w:rsidR="0049607E">
      <w:tc>
        <w:tcPr>
          <w:tcW w:w="4251" w:type="dxa"/>
          <w:vMerge w:val="restart"/>
          <w:shd w:val="clear" w:color="auto" w:fill="auto"/>
        </w:tcPr>
        <w:p w:rsidR="0049607E" w:rsidRDefault="0049607E">
          <w:pPr>
            <w:rPr>
              <w:rFonts w:ascii="Palatino Linotype" w:hAnsi="Palatino Linotype"/>
              <w:b/>
              <w:sz w:val="22"/>
              <w:szCs w:val="22"/>
              <w:lang w:val="es-ES_tradnl"/>
            </w:rPr>
          </w:pPr>
          <w:r>
            <w:rPr>
              <w:noProof/>
              <w:lang w:eastAsia="es-MX"/>
            </w:rPr>
            <w:drawing>
              <wp:inline distT="0" distB="0" distL="0" distR="0">
                <wp:extent cx="1663700" cy="838200"/>
                <wp:effectExtent l="0" t="0" r="0" b="0"/>
                <wp:docPr id="1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9"/>
                        <pic:cNvPicPr>
                          <a:picLocks noChangeAspect="1" noChangeArrowheads="1"/>
                        </pic:cNvPicPr>
                      </pic:nvPicPr>
                      <pic:blipFill>
                        <a:blip r:embed="rId2"/>
                        <a:stretch>
                          <a:fillRect/>
                        </a:stretch>
                      </pic:blipFill>
                      <pic:spPr bwMode="auto">
                        <a:xfrm>
                          <a:off x="0" y="0"/>
                          <a:ext cx="1663700" cy="838200"/>
                        </a:xfrm>
                        <a:prstGeom prst="rect">
                          <a:avLst/>
                        </a:prstGeom>
                      </pic:spPr>
                    </pic:pic>
                  </a:graphicData>
                </a:graphic>
              </wp:inline>
            </w:drawing>
          </w:r>
        </w:p>
      </w:tc>
      <w:tc>
        <w:tcPr>
          <w:tcW w:w="2551"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8" w:type="dxa"/>
          <w:shd w:val="clear" w:color="auto" w:fill="auto"/>
          <w:vAlign w:val="center"/>
        </w:tcPr>
        <w:p w:rsidR="0049607E" w:rsidRDefault="0049607E">
          <w:pPr>
            <w:jc w:val="both"/>
            <w:rPr>
              <w:rFonts w:ascii="Palatino Linotype" w:hAnsi="Palatino Linotype"/>
              <w:b/>
              <w:sz w:val="22"/>
              <w:szCs w:val="22"/>
              <w:lang w:val="es-ES_tradnl"/>
            </w:rPr>
          </w:pPr>
          <w:r>
            <w:rPr>
              <w:rFonts w:ascii="Palatino Linotype" w:hAnsi="Palatino Linotype"/>
              <w:b/>
              <w:sz w:val="22"/>
              <w:szCs w:val="22"/>
              <w:lang w:val="es-ES_tradnl"/>
            </w:rPr>
            <w:t>01517/INFOEM/IP/RR/2020</w:t>
          </w:r>
        </w:p>
      </w:tc>
    </w:tr>
    <w:tr w:rsidR="0049607E">
      <w:tc>
        <w:tcPr>
          <w:tcW w:w="4251" w:type="dxa"/>
          <w:vMerge/>
          <w:shd w:val="clear" w:color="auto" w:fill="auto"/>
        </w:tcPr>
        <w:p w:rsidR="0049607E" w:rsidRDefault="0049607E">
          <w:pPr>
            <w:rPr>
              <w:rFonts w:ascii="Palatino Linotype" w:hAnsi="Palatino Linotype"/>
              <w:b/>
              <w:sz w:val="22"/>
              <w:szCs w:val="22"/>
              <w:lang w:val="es-ES_tradnl"/>
            </w:rPr>
          </w:pPr>
        </w:p>
      </w:tc>
      <w:tc>
        <w:tcPr>
          <w:tcW w:w="2551"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8" w:type="dxa"/>
          <w:shd w:val="clear" w:color="auto" w:fill="auto"/>
          <w:vAlign w:val="center"/>
        </w:tcPr>
        <w:p w:rsidR="0049607E" w:rsidRDefault="0049607E">
          <w:pPr>
            <w:jc w:val="both"/>
            <w:rPr>
              <w:rFonts w:ascii="Palatino Linotype" w:hAnsi="Palatino Linotype"/>
              <w:b/>
              <w:sz w:val="22"/>
              <w:szCs w:val="22"/>
              <w:lang w:val="es-ES_tradnl"/>
            </w:rPr>
          </w:pPr>
          <w:r>
            <w:rPr>
              <w:rFonts w:ascii="Palatino Linotype" w:hAnsi="Palatino Linotype"/>
              <w:b/>
            </w:rPr>
            <w:t>Xxxxx Xxxxxxxx Xxxxxx Xxxxx</w:t>
          </w:r>
        </w:p>
      </w:tc>
    </w:tr>
    <w:tr w:rsidR="0049607E">
      <w:trPr>
        <w:trHeight w:val="228"/>
      </w:trPr>
      <w:tc>
        <w:tcPr>
          <w:tcW w:w="4251" w:type="dxa"/>
          <w:vMerge/>
          <w:shd w:val="clear" w:color="auto" w:fill="auto"/>
        </w:tcPr>
        <w:p w:rsidR="0049607E" w:rsidRDefault="0049607E">
          <w:pPr>
            <w:rPr>
              <w:rFonts w:ascii="Palatino Linotype" w:hAnsi="Palatino Linotype"/>
              <w:b/>
              <w:sz w:val="22"/>
              <w:szCs w:val="22"/>
              <w:lang w:val="es-ES_tradnl"/>
            </w:rPr>
          </w:pPr>
        </w:p>
      </w:tc>
      <w:tc>
        <w:tcPr>
          <w:tcW w:w="2551"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8" w:type="dxa"/>
          <w:shd w:val="clear" w:color="auto" w:fill="auto"/>
          <w:vAlign w:val="center"/>
        </w:tcPr>
        <w:p w:rsidR="0049607E" w:rsidRDefault="0049607E">
          <w:pPr>
            <w:jc w:val="both"/>
            <w:rPr>
              <w:rFonts w:ascii="Palatino Linotype" w:hAnsi="Palatino Linotype"/>
              <w:b/>
              <w:sz w:val="22"/>
              <w:szCs w:val="22"/>
            </w:rPr>
          </w:pPr>
          <w:r>
            <w:rPr>
              <w:rFonts w:ascii="Palatino Linotype" w:hAnsi="Palatino Linotype"/>
              <w:b/>
            </w:rPr>
            <w:t>Secretaría de Seguridad</w:t>
          </w:r>
        </w:p>
      </w:tc>
    </w:tr>
    <w:tr w:rsidR="0049607E">
      <w:tc>
        <w:tcPr>
          <w:tcW w:w="4251" w:type="dxa"/>
          <w:vMerge/>
          <w:shd w:val="clear" w:color="auto" w:fill="auto"/>
        </w:tcPr>
        <w:p w:rsidR="0049607E" w:rsidRDefault="0049607E">
          <w:pPr>
            <w:rPr>
              <w:rFonts w:ascii="Palatino Linotype" w:hAnsi="Palatino Linotype"/>
              <w:b/>
              <w:sz w:val="22"/>
              <w:szCs w:val="22"/>
              <w:lang w:val="es-ES_tradnl"/>
            </w:rPr>
          </w:pPr>
        </w:p>
      </w:tc>
      <w:tc>
        <w:tcPr>
          <w:tcW w:w="2551" w:type="dxa"/>
          <w:shd w:val="clear" w:color="auto" w:fill="auto"/>
        </w:tcPr>
        <w:p w:rsidR="0049607E" w:rsidRDefault="0049607E">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8" w:type="dxa"/>
          <w:shd w:val="clear" w:color="auto" w:fill="auto"/>
        </w:tcPr>
        <w:p w:rsidR="0049607E" w:rsidRDefault="0049607E">
          <w:pPr>
            <w:jc w:val="both"/>
            <w:rPr>
              <w:rFonts w:ascii="Palatino Linotype" w:hAnsi="Palatino Linotype"/>
              <w:b/>
              <w:sz w:val="22"/>
              <w:szCs w:val="22"/>
              <w:lang w:val="es-ES_tradnl"/>
            </w:rPr>
          </w:pPr>
          <w:r>
            <w:rPr>
              <w:rFonts w:ascii="Palatino Linotype" w:hAnsi="Palatino Linotype"/>
              <w:b/>
              <w:sz w:val="22"/>
              <w:szCs w:val="22"/>
              <w:lang w:val="es-ES_tradnl"/>
            </w:rPr>
            <w:t>Eva Abaid Yapur</w:t>
          </w:r>
        </w:p>
      </w:tc>
    </w:tr>
  </w:tbl>
  <w:p w:rsidR="0049607E" w:rsidRDefault="0049607E">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6B67BF"/>
    <w:multiLevelType w:val="multilevel"/>
    <w:tmpl w:val="9450308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1C7033BA"/>
    <w:multiLevelType w:val="multilevel"/>
    <w:tmpl w:val="6A48D4BA"/>
    <w:lvl w:ilvl="0">
      <w:start w:val="5"/>
      <w:numFmt w:val="ordinalText"/>
      <w:lvlText w:val="%1."/>
      <w:lvlJc w:val="left"/>
      <w:pPr>
        <w:ind w:left="502"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73C42C9"/>
    <w:multiLevelType w:val="multilevel"/>
    <w:tmpl w:val="A558CE1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582010E7"/>
    <w:multiLevelType w:val="multilevel"/>
    <w:tmpl w:val="37D415C6"/>
    <w:lvl w:ilvl="0">
      <w:start w:val="1"/>
      <w:numFmt w:val="upperRoman"/>
      <w:lvlText w:val="%1."/>
      <w:lvlJc w:val="left"/>
      <w:pPr>
        <w:ind w:left="720" w:hanging="360"/>
      </w:pPr>
      <w:rPr>
        <w:b/>
        <w:i w:val="0"/>
        <w:caps/>
        <w:color w:val="auto"/>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210" w:hanging="69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5E43028"/>
    <w:multiLevelType w:val="multilevel"/>
    <w:tmpl w:val="351CD5C0"/>
    <w:lvl w:ilvl="0">
      <w:start w:val="1"/>
      <w:numFmt w:val="ordinalText"/>
      <w:lvlText w:val="%1."/>
      <w:lvlJc w:val="left"/>
      <w:pPr>
        <w:ind w:left="502" w:hanging="360"/>
      </w:pPr>
      <w:rPr>
        <w:b/>
        <w:caps/>
        <w:sz w:val="28"/>
      </w:rPr>
    </w:lvl>
    <w:lvl w:ilvl="1">
      <w:start w:val="1"/>
      <w:numFmt w:val="bullet"/>
      <w:lvlText w:val="-"/>
      <w:lvlJc w:val="left"/>
      <w:pPr>
        <w:ind w:left="1440" w:hanging="360"/>
      </w:pPr>
      <w:rPr>
        <w:rFonts w:ascii="Palatino Linotype" w:hAnsi="Palatino Linotype" w:cs="Times New Roman"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2FE42D7"/>
    <w:multiLevelType w:val="multilevel"/>
    <w:tmpl w:val="C4101328"/>
    <w:lvl w:ilvl="0">
      <w:start w:val="4"/>
      <w:numFmt w:val="ordinalText"/>
      <w:lvlText w:val="%1."/>
      <w:lvlJc w:val="left"/>
      <w:pPr>
        <w:ind w:left="502" w:hanging="360"/>
      </w:pPr>
      <w:rPr>
        <w:b/>
        <w:caps/>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6B36"/>
    <w:rsid w:val="004670AE"/>
    <w:rsid w:val="00467806"/>
    <w:rsid w:val="0049607E"/>
    <w:rsid w:val="005A6B36"/>
  </w:rsids>
  <m:mathPr>
    <m:mathFont m:val="Cambria Math"/>
    <m:brkBin m:val="before"/>
    <m:brkBinSub m:val="--"/>
    <m:smallFrac m:val="0"/>
    <m:dispDef/>
    <m:lMargin m:val="0"/>
    <m:rMargin m:val="0"/>
    <m:defJc m:val="centerGroup"/>
    <m:wrapIndent m:val="1440"/>
    <m:intLim m:val="subSup"/>
    <m:naryLim m:val="undOvr"/>
  </m:mathPr>
  <w:themeFontLang w:val="es-ES_tradnl" w:eastAsia="ja-JP"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9AA26A-2551-4D90-BD52-03BF61145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Cs w:val="24"/>
        <w:lang w:val="es-ES_tradnl" w:eastAsia="es-E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60B8"/>
    <w:rPr>
      <w:rFonts w:ascii="Times New Roman" w:eastAsia="Times New Roman" w:hAnsi="Times New Roman" w:cs="Times New Roman"/>
      <w:sz w:val="24"/>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Autospacing="1"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qFormat/>
    <w:rsid w:val="00C80F8C"/>
  </w:style>
  <w:style w:type="character" w:customStyle="1" w:styleId="PiedepginaCar">
    <w:name w:val="Pie de página Car"/>
    <w:basedOn w:val="Fuentedeprrafopredeter"/>
    <w:link w:val="Piedepgina"/>
    <w:uiPriority w:val="99"/>
    <w:qFormat/>
    <w:rsid w:val="00C80F8C"/>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character" w:customStyle="1" w:styleId="PrrafodelistaCar">
    <w:name w:val="Párrafo de lista Car"/>
    <w:link w:val="Prrafodelista"/>
    <w:uiPriority w:val="34"/>
    <w:qFormat/>
    <w:locked/>
    <w:rsid w:val="00A2780F"/>
    <w:rPr>
      <w:rFonts w:ascii="Times New Roman" w:eastAsia="Times New Roman" w:hAnsi="Times New Roman" w:cs="Times New Roman"/>
      <w:lang w:val="es-ES"/>
    </w:rPr>
  </w:style>
  <w:style w:type="character" w:customStyle="1" w:styleId="EnlacedeInternet">
    <w:name w:val="Enlace de Internet"/>
    <w:uiPriority w:val="99"/>
    <w:unhideWhenUsed/>
    <w:rsid w:val="00A2780F"/>
    <w:rPr>
      <w:strike w:val="0"/>
      <w:dstrike w:val="0"/>
      <w:color w:val="035899"/>
      <w:u w:val="none"/>
      <w:effect w:val="none"/>
    </w:rPr>
  </w:style>
  <w:style w:type="character" w:styleId="Textoennegrita">
    <w:name w:val="Strong"/>
    <w:uiPriority w:val="22"/>
    <w:qFormat/>
    <w:rsid w:val="00A2780F"/>
    <w:rPr>
      <w:b/>
      <w:bCs/>
    </w:rPr>
  </w:style>
  <w:style w:type="character" w:customStyle="1" w:styleId="EnlacedeInternetvisitado">
    <w:name w:val="Enlace de Internet visitado"/>
    <w:basedOn w:val="Fuentedeprrafopredeter"/>
    <w:uiPriority w:val="99"/>
    <w:semiHidden/>
    <w:unhideWhenUsed/>
    <w:rsid w:val="009776B8"/>
    <w:rPr>
      <w:color w:val="800080" w:themeColor="followedHyperlink"/>
      <w:u w:val="single"/>
    </w:r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character" w:customStyle="1" w:styleId="Listavistosa-nfasis1Car">
    <w:name w:val="Lista vistosa - Énfasis 1 Car"/>
    <w:uiPriority w:val="34"/>
    <w:qFormat/>
    <w:locked/>
    <w:rsid w:val="0015349A"/>
    <w:rPr>
      <w:rFonts w:ascii="Times New Roman" w:eastAsia="Times New Roman" w:hAnsi="Times New Roman" w:cs="Times New Roman"/>
      <w:lang w:val="es-ES"/>
    </w:rPr>
  </w:style>
  <w:style w:type="character" w:customStyle="1" w:styleId="apple-style-span">
    <w:name w:val="apple-style-span"/>
    <w:qFormat/>
    <w:rsid w:val="0015349A"/>
  </w:style>
  <w:style w:type="character" w:customStyle="1" w:styleId="TextonotapieCar">
    <w:name w:val="Texto nota pie Car"/>
    <w:basedOn w:val="Fuentedeprrafopredeter"/>
    <w:link w:val="Textonotapie"/>
    <w:uiPriority w:val="99"/>
    <w:qFormat/>
    <w:rsid w:val="0015349A"/>
    <w:rPr>
      <w:rFonts w:eastAsiaTheme="minorHAnsi"/>
      <w:sz w:val="20"/>
      <w:szCs w:val="20"/>
      <w:lang w:val="es-MX" w:eastAsia="en-US"/>
    </w:rPr>
  </w:style>
  <w:style w:type="character" w:customStyle="1" w:styleId="Ancladenotaalpie">
    <w:name w:val="Ancla de nota al pie"/>
    <w:rPr>
      <w:vertAlign w:val="superscript"/>
    </w:rPr>
  </w:style>
  <w:style w:type="character" w:customStyle="1" w:styleId="FootnoteCharacters">
    <w:name w:val="Footnote Characters"/>
    <w:basedOn w:val="Fuentedeprrafopredeter"/>
    <w:uiPriority w:val="99"/>
    <w:unhideWhenUsed/>
    <w:qFormat/>
    <w:rsid w:val="0015349A"/>
    <w:rPr>
      <w:vertAlign w:val="superscript"/>
    </w:rPr>
  </w:style>
  <w:style w:type="character" w:customStyle="1" w:styleId="TextosinformatoCar">
    <w:name w:val="Texto sin formato Car"/>
    <w:basedOn w:val="Fuentedeprrafopredeter"/>
    <w:link w:val="Textosinformato"/>
    <w:uiPriority w:val="99"/>
    <w:qFormat/>
    <w:rsid w:val="0015349A"/>
    <w:rPr>
      <w:rFonts w:ascii="Courier New" w:eastAsia="Times New Roman" w:hAnsi="Courier New" w:cs="Times New Roman"/>
      <w:sz w:val="20"/>
      <w:szCs w:val="20"/>
      <w:lang w:val="es-ES"/>
    </w:rPr>
  </w:style>
  <w:style w:type="character" w:customStyle="1" w:styleId="negritas1">
    <w:name w:val="negritas1"/>
    <w:qFormat/>
    <w:rsid w:val="0015349A"/>
    <w:rPr>
      <w:rFonts w:ascii="Arial" w:hAnsi="Arial" w:cs="Arial"/>
      <w:b/>
      <w:bCs/>
      <w:sz w:val="18"/>
      <w:szCs w:val="18"/>
    </w:rPr>
  </w:style>
  <w:style w:type="character" w:customStyle="1" w:styleId="f">
    <w:name w:val="f"/>
    <w:basedOn w:val="Fuentedeprrafopredeter"/>
    <w:qFormat/>
    <w:rsid w:val="0015349A"/>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character" w:customStyle="1" w:styleId="Destacado">
    <w:name w:val="Destacado"/>
    <w:basedOn w:val="Fuentedeprrafopredeter"/>
    <w:uiPriority w:val="20"/>
    <w:qFormat/>
    <w:rsid w:val="0022780C"/>
    <w:rPr>
      <w:i/>
      <w:iCs/>
    </w:rPr>
  </w:style>
  <w:style w:type="character" w:customStyle="1" w:styleId="SinespaciadoCar">
    <w:name w:val="Sin espaciado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character" w:customStyle="1" w:styleId="TextocomentarioCar">
    <w:name w:val="Texto comentario Car"/>
    <w:basedOn w:val="Fuentedeprrafopredeter"/>
    <w:link w:val="Textocomentario"/>
    <w:uiPriority w:val="99"/>
    <w:semiHidden/>
    <w:qFormat/>
    <w:rsid w:val="006C2EF9"/>
    <w:rPr>
      <w:rFonts w:ascii="Times New Roman" w:eastAsia="Times New Roman" w:hAnsi="Times New Roman" w:cs="Times New Roman"/>
      <w:sz w:val="20"/>
      <w:szCs w:val="20"/>
      <w:lang w:val="es-E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character" w:customStyle="1" w:styleId="normaltextrun">
    <w:name w:val="normaltextrun"/>
    <w:basedOn w:val="Fuentedeprrafopredeter"/>
    <w:qFormat/>
    <w:rsid w:val="00641BB8"/>
  </w:style>
  <w:style w:type="character" w:customStyle="1" w:styleId="nacep">
    <w:name w:val="n_acep"/>
    <w:basedOn w:val="Fuentedeprrafopredeter"/>
    <w:qFormat/>
    <w:rsid w:val="001C4E80"/>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character" w:customStyle="1" w:styleId="TextChar">
    <w:name w:val="Text Char"/>
    <w:qFormat/>
    <w:locked/>
    <w:rsid w:val="00B93B76"/>
    <w:rPr>
      <w:rFonts w:ascii="Times New Roman" w:eastAsia="Times New Roman" w:hAnsi="Times New Roman" w:cs="Times New Roman"/>
      <w:szCs w:val="20"/>
      <w:lang w:val="en-US" w:eastAsia="en-US"/>
    </w:rPr>
  </w:style>
  <w:style w:type="character" w:customStyle="1" w:styleId="TextonotapieCar1">
    <w:name w:val="Texto nota pie Car1"/>
    <w:basedOn w:val="Fuentedeprrafopredeter"/>
    <w:uiPriority w:val="99"/>
    <w:semiHidden/>
    <w:qFormat/>
    <w:rsid w:val="002024BA"/>
    <w:rPr>
      <w:rFonts w:ascii="Times New Roman" w:eastAsia="Times New Roman" w:hAnsi="Times New Roman" w:cs="Times New Roman"/>
      <w:sz w:val="20"/>
      <w:szCs w:val="20"/>
      <w:lang w:val="es-MX"/>
    </w:rPr>
  </w:style>
  <w:style w:type="character" w:customStyle="1" w:styleId="Textoindependiente3Car">
    <w:name w:val="Texto independiente 3 Car"/>
    <w:basedOn w:val="Fuentedeprrafopredeter"/>
    <w:link w:val="Textoindependiente3"/>
    <w:uiPriority w:val="99"/>
    <w:semiHidden/>
    <w:qFormat/>
    <w:rsid w:val="002024BA"/>
    <w:rPr>
      <w:rFonts w:ascii="Times New Roman" w:eastAsia="Times New Roman" w:hAnsi="Times New Roman" w:cs="Times New Roman"/>
      <w:sz w:val="16"/>
      <w:szCs w:val="16"/>
      <w:lang w:val="es-MX"/>
    </w:rPr>
  </w:style>
  <w:style w:type="character" w:customStyle="1" w:styleId="eop">
    <w:name w:val="eop"/>
    <w:basedOn w:val="Fuentedeprrafopredeter"/>
    <w:qFormat/>
    <w:rsid w:val="002024BA"/>
  </w:style>
  <w:style w:type="character" w:customStyle="1" w:styleId="Caracteresdenotaalpie">
    <w:name w:val="Caracteres de nota al pie"/>
    <w:qFormat/>
  </w:style>
  <w:style w:type="character" w:customStyle="1" w:styleId="Ancladenotafinal">
    <w:name w:val="Ancla de nota final"/>
    <w:rPr>
      <w:vertAlign w:val="superscript"/>
    </w:rPr>
  </w:style>
  <w:style w:type="character" w:customStyle="1" w:styleId="Caracteresdenotafinal">
    <w:name w:val="Caracteres de nota final"/>
    <w:qFormat/>
  </w:style>
  <w:style w:type="paragraph" w:customStyle="1" w:styleId="Ttulo">
    <w:name w:val="Título"/>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uiPriority w:val="99"/>
    <w:unhideWhenUsed/>
    <w:rsid w:val="00FC157F"/>
    <w:pPr>
      <w:spacing w:after="120"/>
    </w:pPr>
    <w:rPr>
      <w:lang w:val="es-ES"/>
    </w:rPr>
  </w:style>
  <w:style w:type="paragraph" w:styleId="Lista">
    <w:name w:val="List"/>
    <w:basedOn w:val="Normal"/>
    <w:uiPriority w:val="99"/>
    <w:unhideWhenUsed/>
    <w:rsid w:val="00FC157F"/>
    <w:pPr>
      <w:ind w:left="283" w:hanging="283"/>
      <w:contextualSpacing/>
    </w:pPr>
    <w:rPr>
      <w:lang w:val="es-ES"/>
    </w:rPr>
  </w:style>
  <w:style w:type="paragraph" w:styleId="Descripcin">
    <w:name w:val="caption"/>
    <w:basedOn w:val="Normal"/>
    <w:qFormat/>
    <w:pPr>
      <w:suppressLineNumbers/>
      <w:spacing w:before="120" w:after="120"/>
    </w:pPr>
    <w:rPr>
      <w:rFonts w:cs="Lohit Devanagari"/>
      <w:i/>
      <w:iCs/>
    </w:rPr>
  </w:style>
  <w:style w:type="paragraph" w:customStyle="1" w:styleId="ndice">
    <w:name w:val="Índice"/>
    <w:basedOn w:val="Normal"/>
    <w:qFormat/>
    <w:pPr>
      <w:suppressLineNumbers/>
    </w:pPr>
    <w:rPr>
      <w:rFonts w:cs="Lohit Devanagari"/>
    </w:rPr>
  </w:style>
  <w:style w:type="paragraph" w:customStyle="1" w:styleId="Cabeceraypie">
    <w:name w:val="Cabecera y pie"/>
    <w:basedOn w:val="Normal"/>
    <w:qFormat/>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paragraph" w:styleId="Prrafodelista">
    <w:name w:val="List Paragraph"/>
    <w:basedOn w:val="Normal"/>
    <w:link w:val="PrrafodelistaCar"/>
    <w:uiPriority w:val="34"/>
    <w:qFormat/>
    <w:rsid w:val="00A2780F"/>
    <w:pPr>
      <w:ind w:left="708"/>
    </w:pPr>
  </w:style>
  <w:style w:type="paragraph" w:styleId="NormalWeb">
    <w:name w:val="Normal (Web)"/>
    <w:basedOn w:val="Normal"/>
    <w:uiPriority w:val="99"/>
    <w:qFormat/>
    <w:rsid w:val="00A2780F"/>
    <w:pPr>
      <w:spacing w:beforeAutospacing="1" w:afterAutospacing="1"/>
    </w:pPr>
  </w:style>
  <w:style w:type="paragraph" w:styleId="Textoindependiente2">
    <w:name w:val="Body Text 2"/>
    <w:basedOn w:val="Normal"/>
    <w:link w:val="Textoindependiente2Car"/>
    <w:uiPriority w:val="99"/>
    <w:unhideWhenUsed/>
    <w:qFormat/>
    <w:rsid w:val="009776B8"/>
    <w:pPr>
      <w:spacing w:after="120" w:line="480" w:lineRule="auto"/>
    </w:pPr>
  </w:style>
  <w:style w:type="paragraph" w:customStyle="1" w:styleId="Default">
    <w:name w:val="Default"/>
    <w:uiPriority w:val="99"/>
    <w:qFormat/>
    <w:rsid w:val="004325CE"/>
    <w:rPr>
      <w:rFonts w:ascii="Arial" w:eastAsiaTheme="minorHAnsi" w:hAnsi="Arial" w:cs="Arial"/>
      <w:color w:val="000000"/>
      <w:sz w:val="24"/>
      <w:lang w:val="es-MX" w:eastAsia="en-US"/>
    </w:rPr>
  </w:style>
  <w:style w:type="paragraph" w:customStyle="1" w:styleId="Listavistosa-nfasis11">
    <w:name w:val="Lista vistosa - Énfasis 11"/>
    <w:basedOn w:val="Normal"/>
    <w:uiPriority w:val="34"/>
    <w:qFormat/>
    <w:rsid w:val="0015349A"/>
    <w:pPr>
      <w:ind w:left="708"/>
    </w:pPr>
  </w:style>
  <w:style w:type="paragraph" w:customStyle="1" w:styleId="Texto">
    <w:name w:val="Texto"/>
    <w:basedOn w:val="Normal"/>
    <w:link w:val="TextoCar"/>
    <w:qFormat/>
    <w:rsid w:val="00B93B76"/>
    <w:pPr>
      <w:spacing w:after="240"/>
    </w:pPr>
    <w:rPr>
      <w:szCs w:val="20"/>
      <w:lang w:val="en-US" w:eastAsia="en-US"/>
    </w:rPr>
  </w:style>
  <w:style w:type="paragraph" w:styleId="Textonotapie">
    <w:name w:val="footnote text"/>
    <w:basedOn w:val="Normal"/>
    <w:link w:val="TextonotapieCar"/>
    <w:uiPriority w:val="99"/>
    <w:unhideWhenUsed/>
    <w:qFormat/>
    <w:rsid w:val="0015349A"/>
    <w:rPr>
      <w:rFonts w:asciiTheme="minorHAnsi" w:eastAsiaTheme="minorHAnsi" w:hAnsiTheme="minorHAnsi" w:cstheme="minorBidi"/>
      <w:sz w:val="20"/>
      <w:szCs w:val="20"/>
      <w:lang w:eastAsia="en-US"/>
    </w:rPr>
  </w:style>
  <w:style w:type="paragraph" w:styleId="Sinespaciado">
    <w:name w:val="No Spacing"/>
    <w:link w:val="SinespaciadoCar"/>
    <w:uiPriority w:val="1"/>
    <w:qFormat/>
    <w:rsid w:val="0015349A"/>
    <w:rPr>
      <w:rFonts w:ascii="Times New Roman" w:eastAsia="Times New Roman" w:hAnsi="Times New Roman" w:cs="Times New Roman"/>
      <w:sz w:val="24"/>
      <w:lang w:val="es-MX"/>
    </w:rPr>
  </w:style>
  <w:style w:type="paragraph" w:styleId="Textosinformato">
    <w:name w:val="Plain Text"/>
    <w:basedOn w:val="Normal"/>
    <w:link w:val="TextosinformatoCar"/>
    <w:uiPriority w:val="99"/>
    <w:qFormat/>
    <w:rsid w:val="0015349A"/>
    <w:rPr>
      <w:rFonts w:ascii="Courier New" w:hAnsi="Courier New"/>
      <w:sz w:val="20"/>
      <w:szCs w:val="20"/>
    </w:rPr>
  </w:style>
  <w:style w:type="paragraph" w:customStyle="1" w:styleId="Standard">
    <w:name w:val="Standard"/>
    <w:uiPriority w:val="99"/>
    <w:qFormat/>
    <w:rsid w:val="0015349A"/>
    <w:pPr>
      <w:widowControl w:val="0"/>
      <w:textAlignment w:val="baseline"/>
    </w:pPr>
    <w:rPr>
      <w:rFonts w:ascii="Liberation Serif" w:eastAsia="DejaVu Sans" w:hAnsi="Liberation Serif" w:cs="Lohit Hindi"/>
      <w:kern w:val="2"/>
      <w:sz w:val="24"/>
      <w:lang w:val="es-MX" w:eastAsia="zh-CN" w:bidi="hi-IN"/>
    </w:rPr>
  </w:style>
  <w:style w:type="paragraph" w:customStyle="1" w:styleId="Pa2">
    <w:name w:val="Pa2"/>
    <w:basedOn w:val="Normal"/>
    <w:next w:val="Normal"/>
    <w:uiPriority w:val="99"/>
    <w:qFormat/>
    <w:rsid w:val="0015349A"/>
    <w:pPr>
      <w:spacing w:line="240" w:lineRule="atLeast"/>
    </w:pPr>
    <w:rPr>
      <w:rFonts w:ascii="Helvetica" w:hAnsi="Helvetica"/>
      <w:lang w:val="es-ES_tradnl" w:eastAsia="es-ES_tradnl"/>
    </w:rPr>
  </w:style>
  <w:style w:type="paragraph" w:customStyle="1" w:styleId="q">
    <w:name w:val="q"/>
    <w:basedOn w:val="Normal"/>
    <w:uiPriority w:val="99"/>
    <w:qFormat/>
    <w:rsid w:val="0015349A"/>
    <w:pPr>
      <w:spacing w:beforeAutospacing="1" w:afterAutospacing="1"/>
    </w:pPr>
    <w:rPr>
      <w:lang w:eastAsia="es-MX"/>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paragraph" w:customStyle="1" w:styleId="ANOTACION">
    <w:name w:val="ANOTACION"/>
    <w:basedOn w:val="Normal"/>
    <w:link w:val="ANOTACIONCar"/>
    <w:qFormat/>
    <w:rsid w:val="003D3A0C"/>
    <w:pPr>
      <w:spacing w:before="101" w:after="101"/>
      <w:jc w:val="center"/>
    </w:pPr>
    <w:rPr>
      <w:b/>
      <w:sz w:val="18"/>
      <w:szCs w:val="18"/>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semiHidden/>
    <w:unhideWhenUsed/>
    <w:qFormat/>
    <w:rsid w:val="006C2EF9"/>
    <w:rPr>
      <w:sz w:val="20"/>
      <w:szCs w:val="20"/>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paragraph" w:customStyle="1" w:styleId="Cuerpo">
    <w:name w:val="Cuerpo"/>
    <w:uiPriority w:val="99"/>
    <w:qFormat/>
    <w:rsid w:val="004F00D5"/>
    <w:pPr>
      <w:spacing w:after="160" w:line="259" w:lineRule="auto"/>
    </w:pPr>
    <w:rPr>
      <w:rFonts w:ascii="Calibri" w:eastAsia="Calibri" w:hAnsi="Calibri" w:cs="Calibri"/>
      <w:color w:val="000000"/>
      <w:sz w:val="22"/>
      <w:szCs w:val="22"/>
      <w:u w:color="000000"/>
      <w:lang w:val="de-DE"/>
    </w:rPr>
  </w:style>
  <w:style w:type="paragraph" w:customStyle="1" w:styleId="INCISO">
    <w:name w:val="INCISO"/>
    <w:basedOn w:val="Normal"/>
    <w:uiPriority w:val="99"/>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uiPriority w:val="99"/>
    <w:qFormat/>
    <w:rsid w:val="001C4E80"/>
    <w:pPr>
      <w:spacing w:beforeAutospacing="1" w:afterAutospacing="1"/>
    </w:pPr>
    <w:rPr>
      <w:lang w:eastAsia="es-MX"/>
    </w:rPr>
  </w:style>
  <w:style w:type="paragraph" w:customStyle="1" w:styleId="j">
    <w:name w:val="j"/>
    <w:basedOn w:val="Normal"/>
    <w:uiPriority w:val="99"/>
    <w:qFormat/>
    <w:rsid w:val="001C4E80"/>
    <w:pPr>
      <w:spacing w:beforeAutospacing="1" w:afterAutospacing="1"/>
    </w:pPr>
    <w:rPr>
      <w:lang w:eastAsia="es-MX"/>
    </w:rPr>
  </w:style>
  <w:style w:type="paragraph" w:customStyle="1" w:styleId="m5212863947045306324gmail-msonormal">
    <w:name w:val="m_5212863947045306324gmail-msonormal"/>
    <w:basedOn w:val="Normal"/>
    <w:uiPriority w:val="99"/>
    <w:qFormat/>
    <w:rsid w:val="003A73F9"/>
    <w:pPr>
      <w:spacing w:beforeAutospacing="1" w:afterAutospacing="1"/>
    </w:pPr>
    <w:rPr>
      <w:lang w:eastAsia="es-MX"/>
    </w:rPr>
  </w:style>
  <w:style w:type="paragraph" w:styleId="Listaconvietas3">
    <w:name w:val="List Bullet 3"/>
    <w:basedOn w:val="Normal"/>
    <w:uiPriority w:val="99"/>
    <w:unhideWhenUsed/>
    <w:qFormat/>
    <w:rsid w:val="00FC157F"/>
    <w:pPr>
      <w:ind w:left="566" w:hanging="283"/>
      <w:contextualSpacing/>
    </w:pPr>
    <w:rPr>
      <w:lang w:val="es-ES"/>
    </w:rPr>
  </w:style>
  <w:style w:type="paragraph" w:styleId="Listaconvietas4">
    <w:name w:val="List Bullet 4"/>
    <w:basedOn w:val="Normal"/>
    <w:uiPriority w:val="99"/>
    <w:unhideWhenUsed/>
    <w:qFormat/>
    <w:rsid w:val="00FC157F"/>
    <w:pPr>
      <w:ind w:left="849" w:hanging="283"/>
      <w:contextualSpacing/>
    </w:pPr>
    <w:rPr>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paragraph" w:customStyle="1" w:styleId="corte5transcripcion">
    <w:name w:val="corte5 transcripcion"/>
    <w:basedOn w:val="Normal"/>
    <w:uiPriority w:val="99"/>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Autospacing="1" w:afterAutospacing="1" w:line="264" w:lineRule="auto"/>
    </w:pPr>
    <w:rPr>
      <w:rFonts w:asciiTheme="minorHAnsi" w:eastAsiaTheme="minorEastAsia" w:hAnsiTheme="minorHAnsi" w:cstheme="minorBidi"/>
      <w:sz w:val="20"/>
      <w:szCs w:val="20"/>
      <w:lang w:eastAsia="es-MX"/>
    </w:rPr>
  </w:style>
  <w:style w:type="paragraph" w:styleId="Textoindependiente3">
    <w:name w:val="Body Text 3"/>
    <w:basedOn w:val="Normal"/>
    <w:link w:val="Textoindependiente3Car"/>
    <w:uiPriority w:val="99"/>
    <w:semiHidden/>
    <w:unhideWhenUsed/>
    <w:qFormat/>
    <w:rsid w:val="002024BA"/>
    <w:pPr>
      <w:spacing w:after="120"/>
    </w:pPr>
    <w:rPr>
      <w:sz w:val="16"/>
      <w:szCs w:val="16"/>
    </w:rPr>
  </w:style>
  <w:style w:type="paragraph" w:customStyle="1" w:styleId="xmsonormal">
    <w:name w:val="x_msonormal"/>
    <w:basedOn w:val="Normal"/>
    <w:uiPriority w:val="99"/>
    <w:qFormat/>
    <w:rsid w:val="002024BA"/>
    <w:pPr>
      <w:spacing w:beforeAutospacing="1" w:afterAutospacing="1"/>
    </w:pPr>
    <w:rPr>
      <w:lang w:eastAsia="es-MX"/>
    </w:rPr>
  </w:style>
  <w:style w:type="paragraph" w:customStyle="1" w:styleId="francesa">
    <w:name w:val="francesa"/>
    <w:basedOn w:val="Normal"/>
    <w:uiPriority w:val="99"/>
    <w:qFormat/>
    <w:rsid w:val="002024BA"/>
    <w:pPr>
      <w:spacing w:beforeAutospacing="1" w:afterAutospacing="1"/>
    </w:pPr>
    <w:rPr>
      <w:lang w:eastAsia="es-MX"/>
    </w:rPr>
  </w:style>
  <w:style w:type="numbering" w:customStyle="1" w:styleId="Estiloimportado2">
    <w:name w:val="Estilo importado 2"/>
    <w:qFormat/>
    <w:rsid w:val="008677B6"/>
  </w:style>
  <w:style w:type="numbering" w:customStyle="1" w:styleId="Estiloimportado1">
    <w:name w:val="Estilo importado 1"/>
    <w:qFormat/>
    <w:rsid w:val="00CC7BDB"/>
  </w:style>
  <w:style w:type="numbering" w:customStyle="1" w:styleId="Estiloimportado12">
    <w:name w:val="Estilo importado 12"/>
    <w:qFormat/>
    <w:rsid w:val="002024BA"/>
  </w:style>
  <w:style w:type="numbering" w:customStyle="1" w:styleId="Estiloimportado14">
    <w:name w:val="Estilo importado 14"/>
    <w:qFormat/>
    <w:rsid w:val="002024BA"/>
  </w:style>
  <w:style w:type="numbering" w:customStyle="1" w:styleId="Estiloimportado22">
    <w:name w:val="Estilo importado 22"/>
    <w:qFormat/>
    <w:rsid w:val="002024BA"/>
  </w:style>
  <w:style w:type="numbering" w:customStyle="1" w:styleId="Estiloimportado212">
    <w:name w:val="Estilo importado 212"/>
    <w:qFormat/>
    <w:rsid w:val="002024BA"/>
  </w:style>
  <w:style w:type="numbering" w:customStyle="1" w:styleId="Estiloimportado24">
    <w:name w:val="Estilo importado 24"/>
    <w:qFormat/>
    <w:rsid w:val="002024BA"/>
  </w:style>
  <w:style w:type="numbering" w:customStyle="1" w:styleId="Estiloimportado112">
    <w:name w:val="Estilo importado 112"/>
    <w:qFormat/>
    <w:rsid w:val="002024BA"/>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uiPriority w:val="39"/>
    <w:rsid w:val="00555C12"/>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rsid w:val="00177F5F"/>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2">
    <w:name w:val="Tabla con cuadrícula3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1">
    <w:name w:val="Tabla con cuadrícula4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3">
    <w:name w:val="Tabla con cuadrícula3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3">
    <w:name w:val="Tabla con cuadrícula41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4">
    <w:name w:val="Tabla con cuadrícula3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4">
    <w:name w:val="Tabla con cuadrícula41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1">
    <w:name w:val="Tabla con cuadrícula113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1">
    <w:name w:val="Tabla con cuadrícula112111"/>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uiPriority w:val="5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1">
    <w:name w:val="Tabla con cuadrícula3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1">
    <w:name w:val="Tabla con cuadrícula4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uiPriority w:val="39"/>
    <w:rsid w:val="002024B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1">
    <w:name w:val="Tabla con cuadrícula11221"/>
    <w:basedOn w:val="Tablanormal"/>
    <w:uiPriority w:val="39"/>
    <w:rsid w:val="002024B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uiPriority w:val="59"/>
    <w:rsid w:val="002024BA"/>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2024BA"/>
    <w:rPr>
      <w:rFonts w:eastAsiaTheme="minorHAnsi"/>
      <w:sz w:val="22"/>
      <w:szCs w:val="22"/>
      <w:lang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35248.page"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935248.page"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42483F-819E-4BAF-B847-1C073C3DB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14179</Words>
  <Characters>77990</Characters>
  <Application>Microsoft Office Word</Application>
  <DocSecurity>0</DocSecurity>
  <Lines>649</Lines>
  <Paragraphs>183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91986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dc:description/>
  <cp:lastModifiedBy>edgar escobar</cp:lastModifiedBy>
  <cp:revision>2</cp:revision>
  <cp:lastPrinted>2020-01-22T19:55:00Z</cp:lastPrinted>
  <dcterms:created xsi:type="dcterms:W3CDTF">2020-09-07T22:22:00Z</dcterms:created>
  <dcterms:modified xsi:type="dcterms:W3CDTF">2020-09-07T22:22:00Z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