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84" w:rsidRPr="00B14F1C" w:rsidRDefault="00D66084" w:rsidP="00D66084">
      <w:pPr>
        <w:spacing w:before="100" w:beforeAutospacing="1" w:after="100" w:afterAutospacing="1" w:line="360" w:lineRule="auto"/>
        <w:contextualSpacing/>
        <w:jc w:val="both"/>
        <w:rPr>
          <w:rFonts w:ascii="Palatino Linotype" w:hAnsi="Palatino Linotype"/>
        </w:rPr>
      </w:pPr>
      <w:r w:rsidRPr="00B14F1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C1D50" w:rsidRPr="00B14F1C">
        <w:rPr>
          <w:rFonts w:ascii="Palatino Linotype" w:hAnsi="Palatino Linotype"/>
        </w:rPr>
        <w:t xml:space="preserve">veintitrés </w:t>
      </w:r>
      <w:r w:rsidRPr="00B14F1C">
        <w:rPr>
          <w:rFonts w:ascii="Palatino Linotype" w:hAnsi="Palatino Linotype"/>
        </w:rPr>
        <w:t>de septiembre de dos mil veinte.</w:t>
      </w:r>
    </w:p>
    <w:p w:rsidR="00D66084" w:rsidRPr="00B14F1C" w:rsidRDefault="00D66084" w:rsidP="00D66084">
      <w:pPr>
        <w:spacing w:before="100" w:beforeAutospacing="1" w:after="100" w:afterAutospacing="1" w:line="360" w:lineRule="auto"/>
        <w:contextualSpacing/>
        <w:jc w:val="both"/>
        <w:rPr>
          <w:rFonts w:ascii="Palatino Linotype" w:hAnsi="Palatino Linotype"/>
        </w:rPr>
      </w:pPr>
    </w:p>
    <w:p w:rsidR="00D66084" w:rsidRPr="00B14F1C" w:rsidRDefault="00D66084" w:rsidP="00D66084">
      <w:pPr>
        <w:spacing w:before="100" w:beforeAutospacing="1" w:after="100" w:afterAutospacing="1" w:line="360" w:lineRule="auto"/>
        <w:contextualSpacing/>
        <w:jc w:val="both"/>
        <w:rPr>
          <w:rFonts w:ascii="Palatino Linotype" w:hAnsi="Palatino Linotype"/>
          <w:b/>
        </w:rPr>
      </w:pPr>
      <w:r w:rsidRPr="00B14F1C">
        <w:rPr>
          <w:rFonts w:ascii="Palatino Linotype" w:hAnsi="Palatino Linotype"/>
          <w:b/>
        </w:rPr>
        <w:t>VISTO</w:t>
      </w:r>
      <w:r w:rsidRPr="00B14F1C">
        <w:rPr>
          <w:rFonts w:ascii="Palatino Linotype" w:hAnsi="Palatino Linotype"/>
        </w:rPr>
        <w:t xml:space="preserve"> el expediente formado con motivo del recurso de revisión </w:t>
      </w:r>
      <w:r w:rsidRPr="00B14F1C">
        <w:rPr>
          <w:rFonts w:ascii="Palatino Linotype" w:hAnsi="Palatino Linotype"/>
          <w:b/>
        </w:rPr>
        <w:t>01512/INFOEM/IP/RR/2020</w:t>
      </w:r>
      <w:r w:rsidRPr="00B14F1C">
        <w:rPr>
          <w:rFonts w:ascii="Palatino Linotype" w:hAnsi="Palatino Linotype"/>
          <w:spacing w:val="-20"/>
        </w:rPr>
        <w:t xml:space="preserve">, </w:t>
      </w:r>
      <w:r w:rsidRPr="00B14F1C">
        <w:rPr>
          <w:rFonts w:ascii="Palatino Linotype" w:hAnsi="Palatino Linotype"/>
        </w:rPr>
        <w:t xml:space="preserve">promovido por el </w:t>
      </w:r>
      <w:r w:rsidRPr="00B14F1C">
        <w:rPr>
          <w:rFonts w:ascii="Palatino Linotype" w:hAnsi="Palatino Linotype"/>
          <w:b/>
        </w:rPr>
        <w:t xml:space="preserve">C. </w:t>
      </w:r>
      <w:r w:rsidR="0006397B">
        <w:rPr>
          <w:rFonts w:ascii="Palatino Linotype" w:hAnsi="Palatino Linotype"/>
          <w:b/>
        </w:rPr>
        <w:t>XXXXXXXXXXXXXXX</w:t>
      </w:r>
      <w:r w:rsidRPr="00B14F1C">
        <w:rPr>
          <w:rFonts w:ascii="Palatino Linotype" w:hAnsi="Palatino Linotype" w:cs="Arial"/>
          <w:b/>
        </w:rPr>
        <w:t xml:space="preserve">, </w:t>
      </w:r>
      <w:r w:rsidRPr="00B14F1C">
        <w:rPr>
          <w:rFonts w:ascii="Palatino Linotype" w:hAnsi="Palatino Linotype" w:cs="Arial"/>
        </w:rPr>
        <w:t>en lo sucesivo</w:t>
      </w:r>
      <w:r w:rsidRPr="00B14F1C">
        <w:rPr>
          <w:rFonts w:ascii="Palatino Linotype" w:hAnsi="Palatino Linotype" w:cs="Arial"/>
          <w:b/>
        </w:rPr>
        <w:t xml:space="preserve"> EL RECURRENTE,</w:t>
      </w:r>
      <w:r w:rsidRPr="00B14F1C">
        <w:rPr>
          <w:rFonts w:ascii="Palatino Linotype" w:hAnsi="Palatino Linotype"/>
        </w:rPr>
        <w:t xml:space="preserve"> en contra de la respuesta emitida por la </w:t>
      </w:r>
      <w:r w:rsidRPr="00B14F1C">
        <w:rPr>
          <w:rFonts w:ascii="Palatino Linotype" w:hAnsi="Palatino Linotype"/>
          <w:b/>
        </w:rPr>
        <w:t xml:space="preserve">Secretaría de Finanzas, </w:t>
      </w:r>
      <w:r w:rsidRPr="00B14F1C">
        <w:rPr>
          <w:rFonts w:ascii="Palatino Linotype" w:hAnsi="Palatino Linotype"/>
        </w:rPr>
        <w:t xml:space="preserve">en lo sucesivo </w:t>
      </w:r>
      <w:r w:rsidRPr="00B14F1C">
        <w:rPr>
          <w:rFonts w:ascii="Palatino Linotype" w:hAnsi="Palatino Linotype"/>
          <w:b/>
        </w:rPr>
        <w:t>EL SUJETO OBLIGADO</w:t>
      </w:r>
      <w:r w:rsidRPr="00B14F1C">
        <w:rPr>
          <w:rFonts w:ascii="Palatino Linotype" w:hAnsi="Palatino Linotype"/>
        </w:rPr>
        <w:t xml:space="preserve">, se procede a dictar la presente resolución con base en lo siguiente: </w:t>
      </w:r>
    </w:p>
    <w:p w:rsidR="00D66084" w:rsidRPr="00B14F1C" w:rsidRDefault="00D66084" w:rsidP="00D66084">
      <w:pPr>
        <w:spacing w:before="100" w:beforeAutospacing="1" w:after="100" w:afterAutospacing="1"/>
        <w:contextualSpacing/>
        <w:jc w:val="center"/>
        <w:rPr>
          <w:rFonts w:ascii="Palatino Linotype" w:hAnsi="Palatino Linotype"/>
        </w:rPr>
      </w:pPr>
    </w:p>
    <w:p w:rsidR="00D66084" w:rsidRPr="00B14F1C" w:rsidRDefault="00D66084" w:rsidP="00D66084">
      <w:pPr>
        <w:spacing w:before="100" w:beforeAutospacing="1" w:after="100" w:afterAutospacing="1"/>
        <w:contextualSpacing/>
        <w:jc w:val="center"/>
        <w:rPr>
          <w:rFonts w:ascii="Palatino Linotype" w:hAnsi="Palatino Linotype"/>
          <w:b/>
          <w:bCs/>
          <w:spacing w:val="40"/>
          <w:sz w:val="28"/>
        </w:rPr>
      </w:pPr>
      <w:r w:rsidRPr="00B14F1C">
        <w:rPr>
          <w:rFonts w:ascii="Palatino Linotype" w:hAnsi="Palatino Linotype"/>
          <w:b/>
          <w:bCs/>
          <w:spacing w:val="40"/>
          <w:sz w:val="28"/>
        </w:rPr>
        <w:t>RESULTANDO</w:t>
      </w:r>
    </w:p>
    <w:p w:rsidR="00D66084" w:rsidRPr="00B14F1C" w:rsidRDefault="00D66084" w:rsidP="00D66084">
      <w:pPr>
        <w:spacing w:before="100" w:beforeAutospacing="1" w:after="100" w:afterAutospacing="1"/>
        <w:contextualSpacing/>
        <w:jc w:val="center"/>
        <w:rPr>
          <w:rFonts w:ascii="Palatino Linotype" w:hAnsi="Palatino Linotype"/>
          <w:b/>
          <w:bCs/>
          <w:spacing w:val="40"/>
        </w:rPr>
      </w:pPr>
    </w:p>
    <w:p w:rsidR="00D66084" w:rsidRPr="00B14F1C" w:rsidRDefault="00D66084" w:rsidP="00D66084">
      <w:pPr>
        <w:spacing w:before="100" w:beforeAutospacing="1" w:after="100" w:afterAutospacing="1" w:line="360" w:lineRule="auto"/>
        <w:contextualSpacing/>
        <w:jc w:val="both"/>
        <w:rPr>
          <w:rFonts w:ascii="Palatino Linotype" w:hAnsi="Palatino Linotype" w:cs="Arial"/>
          <w:b/>
          <w:bCs/>
          <w:lang w:val="es-ES"/>
        </w:rPr>
      </w:pPr>
      <w:r w:rsidRPr="00B14F1C">
        <w:rPr>
          <w:rFonts w:ascii="Palatino Linotype" w:hAnsi="Palatino Linotype"/>
          <w:b/>
          <w:sz w:val="28"/>
          <w:szCs w:val="28"/>
        </w:rPr>
        <w:t xml:space="preserve">I. </w:t>
      </w:r>
      <w:r w:rsidRPr="00B14F1C">
        <w:rPr>
          <w:rFonts w:ascii="Palatino Linotype" w:hAnsi="Palatino Linotype" w:cs="Arial"/>
        </w:rPr>
        <w:t xml:space="preserve">En </w:t>
      </w:r>
      <w:r w:rsidRPr="00B14F1C">
        <w:rPr>
          <w:rFonts w:ascii="Palatino Linotype" w:hAnsi="Palatino Linotype" w:cs="Arial"/>
          <w:lang w:val="es-ES"/>
        </w:rPr>
        <w:t>fecha</w:t>
      </w:r>
      <w:r w:rsidRPr="00B14F1C">
        <w:rPr>
          <w:rFonts w:ascii="Palatino Linotype" w:hAnsi="Palatino Linotype"/>
          <w:lang w:val="es-ES"/>
        </w:rPr>
        <w:t xml:space="preserve"> veintisiete de enero de </w:t>
      </w:r>
      <w:r w:rsidRPr="00B14F1C">
        <w:rPr>
          <w:rFonts w:ascii="Palatino Linotype" w:hAnsi="Palatino Linotype" w:cs="Arial"/>
          <w:lang w:val="es-ES"/>
        </w:rPr>
        <w:t>dos mil veinte</w:t>
      </w:r>
      <w:r w:rsidRPr="00B14F1C">
        <w:rPr>
          <w:rFonts w:ascii="Palatino Linotype" w:hAnsi="Palatino Linotype"/>
          <w:lang w:val="es-ES"/>
        </w:rPr>
        <w:t xml:space="preserve">, </w:t>
      </w:r>
      <w:r w:rsidRPr="00B14F1C">
        <w:rPr>
          <w:rFonts w:ascii="Palatino Linotype" w:hAnsi="Palatino Linotype"/>
          <w:b/>
          <w:lang w:val="es-ES"/>
        </w:rPr>
        <w:t>EL RECURRENTE</w:t>
      </w:r>
      <w:r w:rsidRPr="00B14F1C">
        <w:rPr>
          <w:rFonts w:ascii="Palatino Linotype" w:hAnsi="Palatino Linotype" w:cs="Arial"/>
          <w:lang w:val="es-ES"/>
        </w:rPr>
        <w:t xml:space="preserve"> </w:t>
      </w:r>
      <w:r w:rsidRPr="00B14F1C">
        <w:rPr>
          <w:rFonts w:ascii="Palatino Linotype" w:hAnsi="Palatino Linotype" w:cs="Arial"/>
        </w:rPr>
        <w:t xml:space="preserve">presentó a través del Sistema de Acceso a la Información Mexiquense, en lo subsecuente </w:t>
      </w:r>
      <w:r w:rsidRPr="00B14F1C">
        <w:rPr>
          <w:rFonts w:ascii="Palatino Linotype" w:hAnsi="Palatino Linotype" w:cs="Arial"/>
          <w:b/>
        </w:rPr>
        <w:t>EL SAIMEX</w:t>
      </w:r>
      <w:r w:rsidRPr="00B14F1C">
        <w:rPr>
          <w:rFonts w:ascii="Palatino Linotype" w:hAnsi="Palatino Linotype" w:cs="Arial"/>
        </w:rPr>
        <w:t xml:space="preserve"> ante </w:t>
      </w:r>
      <w:r w:rsidRPr="00B14F1C">
        <w:rPr>
          <w:rFonts w:ascii="Palatino Linotype" w:hAnsi="Palatino Linotype" w:cs="Arial"/>
          <w:b/>
        </w:rPr>
        <w:t>EL SUJETO OBLIGADO</w:t>
      </w:r>
      <w:r w:rsidRPr="00B14F1C">
        <w:rPr>
          <w:rFonts w:ascii="Palatino Linotype" w:hAnsi="Palatino Linotype" w:cs="Arial"/>
          <w:lang w:val="es-ES"/>
        </w:rPr>
        <w:t xml:space="preserve">, la solicitud de acceso a la información pública, a la que se le asignó el número de expediente </w:t>
      </w:r>
      <w:r w:rsidRPr="00B14F1C">
        <w:rPr>
          <w:rFonts w:ascii="Palatino Linotype" w:hAnsi="Palatino Linotype" w:cs="Arial"/>
          <w:b/>
        </w:rPr>
        <w:t xml:space="preserve">00079/SF/IP/2020, </w:t>
      </w:r>
      <w:r w:rsidRPr="00B14F1C">
        <w:rPr>
          <w:rFonts w:ascii="Palatino Linotype" w:hAnsi="Palatino Linotype" w:cs="Arial"/>
          <w:lang w:val="es-ES"/>
        </w:rPr>
        <w:t>mediante la cual solicitó:</w:t>
      </w:r>
    </w:p>
    <w:p w:rsidR="00D66084" w:rsidRPr="00B14F1C" w:rsidRDefault="00D66084" w:rsidP="00D6608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“I. Para  el  periodo  que  va d el  1  de  enero  de  2010  y  hasta  la  fecha  de  la  presente  solicitud  se solicita: </w:t>
      </w:r>
    </w:p>
    <w:p w:rsidR="00D66084" w:rsidRPr="00B14F1C" w:rsidRDefault="00D66084" w:rsidP="00D66084">
      <w:pPr>
        <w:pStyle w:val="Prrafodelista"/>
        <w:numPr>
          <w:ilvl w:val="0"/>
          <w:numId w:val="1"/>
        </w:numPr>
        <w:tabs>
          <w:tab w:val="left" w:pos="1418"/>
        </w:tabs>
        <w:spacing w:before="100" w:beforeAutospacing="1" w:after="100" w:afterAutospacing="1"/>
        <w:ind w:left="1418"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Convocatorias  a  licitaciones, p rocesos d e a djudicación  directa,  o  invitación restringida  en  las  que  haya  participado  cualquiera  de  las  empresas  listadas más  adelante,  o  cualquiera  de  sus  filiales  y/o  subsidiarias. </w:t>
      </w:r>
    </w:p>
    <w:p w:rsidR="00D66084" w:rsidRPr="00B14F1C" w:rsidRDefault="00D66084" w:rsidP="00D66084">
      <w:pPr>
        <w:pStyle w:val="Prrafodelista"/>
        <w:numPr>
          <w:ilvl w:val="0"/>
          <w:numId w:val="1"/>
        </w:numPr>
        <w:tabs>
          <w:tab w:val="left" w:pos="1418"/>
        </w:tabs>
        <w:spacing w:before="100" w:beforeAutospacing="1" w:after="100" w:afterAutospacing="1"/>
        <w:ind w:left="1418"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TODOS  los  contratos c elebrados  entre l a  dependencia y   las e mpresas listadas  más  adelante,   o  cualquiera  de  sus  filiales  y/o  subsidiarias. </w:t>
      </w:r>
    </w:p>
    <w:p w:rsidR="00D66084" w:rsidRPr="00B14F1C" w:rsidRDefault="00D66084" w:rsidP="00D66084">
      <w:pPr>
        <w:pStyle w:val="Prrafodelista"/>
        <w:numPr>
          <w:ilvl w:val="0"/>
          <w:numId w:val="1"/>
        </w:numPr>
        <w:tabs>
          <w:tab w:val="left" w:pos="1418"/>
        </w:tabs>
        <w:spacing w:before="100" w:beforeAutospacing="1" w:after="100" w:afterAutospacing="1"/>
        <w:ind w:left="1418"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lastRenderedPageBreak/>
        <w:t xml:space="preserve">Todas  las  facturas y /o  cualquier d ocumento  en  el  que  se r egistre  el p ago realizado  por  la  dependencia  a  las  empresas  listadas  a  continuación o  cualquiera  de  sus  filiales  y/o  subsidiarias.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ACCESSDATA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ACCESSDATA  GROUP  LLC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BLACKBAG  TECHNOLOGIES  INC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CELLEBRITE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CELLEBRITE  INC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CELLEBRITE  MOBILE S YNCHRONIZATION L TD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NUGA  SYS,  S.A.  DE  C.V.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OPENTEXT  CORP </w:t>
      </w:r>
    </w:p>
    <w:p w:rsidR="00D66084" w:rsidRPr="00B14F1C" w:rsidRDefault="00D66084" w:rsidP="00D66084">
      <w:pPr>
        <w:pStyle w:val="Prrafodelista"/>
        <w:numPr>
          <w:ilvl w:val="0"/>
          <w:numId w:val="2"/>
        </w:numPr>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PASSWARE  INC </w:t>
      </w:r>
    </w:p>
    <w:p w:rsidR="00D66084" w:rsidRPr="00B14F1C" w:rsidRDefault="00D66084" w:rsidP="00D66084">
      <w:pPr>
        <w:tabs>
          <w:tab w:val="left" w:pos="1418"/>
        </w:tabs>
        <w:spacing w:before="100" w:beforeAutospacing="1" w:after="100" w:afterAutospacing="1"/>
        <w:ind w:left="851" w:right="901"/>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II. Se  solicita  versión p ública d e c ualquier d ocumento  relacionado  con  la c ontratación  o renovación  de  cualquier  software,  licencia  o  herramienta t ecnológica  para l a i ntervención de  comunicaciones  privadas  y/o  para  la  investigación  forense  denominada: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ACCESSDATA  FORENSIC  TOOL  KIT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ACCESSDATA  FTK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ACCESSDATA  TRIAGE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AD  TRIAGE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BLACKLIGHT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CELLEBRITE  UFED T OUCH  LOGICAL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CELLEBRITE U FED  ULTIMATE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CELLEBRITE  UMED  PRO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ENCASE  FORENSIC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FIRMWARE  UFED T OUCH  ULTIMATE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PASSWARE  FORENSIC  KIT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SISTEMA  CELLEBRITE D E  ANÁLISIS  FORENSE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UFED  4PC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UFED  4PC  ULTIMATE  STANDARD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UFED  TK  ESTÁNDAR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UFED  TOUCH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UFED  TOUCH  2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UFED  ULTIMATE </w:t>
      </w:r>
    </w:p>
    <w:p w:rsidR="00D66084" w:rsidRPr="00B14F1C" w:rsidRDefault="00D66084" w:rsidP="00D66084">
      <w:pPr>
        <w:pStyle w:val="Prrafodelista"/>
        <w:numPr>
          <w:ilvl w:val="0"/>
          <w:numId w:val="3"/>
        </w:numPr>
        <w:tabs>
          <w:tab w:val="left" w:pos="1701"/>
        </w:tabs>
        <w:spacing w:before="100" w:beforeAutospacing="1" w:after="100" w:afterAutospacing="1"/>
        <w:ind w:left="1701" w:right="901" w:firstLine="0"/>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UMED  PRO </w:t>
      </w:r>
    </w:p>
    <w:p w:rsidR="00D66084" w:rsidRPr="00B14F1C" w:rsidRDefault="00D66084" w:rsidP="00D6608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14F1C">
        <w:rPr>
          <w:rFonts w:ascii="Palatino Linotype" w:hAnsi="Palatino Linotype" w:cs="Arial"/>
          <w:i/>
          <w:sz w:val="22"/>
          <w:szCs w:val="22"/>
        </w:rPr>
        <w:lastRenderedPageBreak/>
        <w:t xml:space="preserve">III. En  caso  de c ontar  con  cualquier  software,  licencia o  h erramienta  tecnológica  a l a  que s e refiere  la  pregunta  anterior  se  solicita: </w:t>
      </w:r>
    </w:p>
    <w:p w:rsidR="00D66084" w:rsidRPr="00B14F1C" w:rsidRDefault="00D66084" w:rsidP="00D6608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 </w:t>
      </w:r>
    </w:p>
    <w:p w:rsidR="00D66084" w:rsidRPr="00B14F1C" w:rsidRDefault="00D66084" w:rsidP="00D66084">
      <w:pPr>
        <w:pStyle w:val="Prrafodelista"/>
        <w:numPr>
          <w:ilvl w:val="0"/>
          <w:numId w:val="4"/>
        </w:numPr>
        <w:tabs>
          <w:tab w:val="left" w:pos="851"/>
        </w:tabs>
        <w:spacing w:before="100" w:beforeAutospacing="1" w:after="100" w:afterAutospacing="1"/>
        <w:ind w:left="1418" w:right="901" w:hanging="77"/>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El  número  de  licencias  para r ealizar a nálisis  forenses  que  fueron  adquiridos  o contratados,  así  como  la  vigencia  de  dichas  licencias. </w:t>
      </w:r>
    </w:p>
    <w:p w:rsidR="00D66084" w:rsidRPr="00B14F1C" w:rsidRDefault="00D66084" w:rsidP="00D66084">
      <w:pPr>
        <w:pStyle w:val="Prrafodelista"/>
        <w:numPr>
          <w:ilvl w:val="0"/>
          <w:numId w:val="4"/>
        </w:numPr>
        <w:tabs>
          <w:tab w:val="left" w:pos="851"/>
        </w:tabs>
        <w:spacing w:before="100" w:beforeAutospacing="1" w:after="100" w:afterAutospacing="1"/>
        <w:ind w:left="1418" w:right="901" w:hanging="77"/>
        <w:contextualSpacing/>
        <w:jc w:val="both"/>
        <w:rPr>
          <w:rFonts w:ascii="Palatino Linotype" w:hAnsi="Palatino Linotype" w:cs="Arial"/>
          <w:i/>
          <w:sz w:val="22"/>
          <w:szCs w:val="22"/>
        </w:rPr>
      </w:pPr>
      <w:r w:rsidRPr="00B14F1C">
        <w:rPr>
          <w:rFonts w:ascii="Palatino Linotype" w:hAnsi="Palatino Linotype" w:cs="Arial"/>
          <w:i/>
          <w:sz w:val="22"/>
          <w:szCs w:val="22"/>
        </w:rPr>
        <w:t xml:space="preserve">El  número  de  dispositivos  que h an s ido a nalizados c on e l  software, l icencia  o herramienta  tecnológica  referida. </w:t>
      </w:r>
    </w:p>
    <w:p w:rsidR="00D66084" w:rsidRPr="00B14F1C" w:rsidRDefault="00D66084" w:rsidP="00D66084">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B14F1C">
        <w:rPr>
          <w:rFonts w:ascii="Palatino Linotype" w:hAnsi="Palatino Linotype" w:cs="Arial"/>
          <w:i/>
          <w:sz w:val="22"/>
          <w:szCs w:val="22"/>
        </w:rPr>
        <w:t>Favor  de  desagregar l a  respuesta  por  software o   herramienta  tecnológica.” (Sic)</w:t>
      </w:r>
    </w:p>
    <w:p w:rsidR="00D66084" w:rsidRPr="00B14F1C" w:rsidRDefault="00D66084" w:rsidP="00D66084">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D66084" w:rsidRPr="00B14F1C" w:rsidRDefault="00D66084" w:rsidP="00D66084">
      <w:pPr>
        <w:spacing w:before="100" w:beforeAutospacing="1" w:after="100" w:afterAutospacing="1" w:line="360" w:lineRule="auto"/>
        <w:contextualSpacing/>
        <w:jc w:val="both"/>
        <w:rPr>
          <w:rFonts w:ascii="Palatino Linotype" w:hAnsi="Palatino Linotype" w:cs="Arial"/>
          <w:b/>
        </w:rPr>
      </w:pPr>
      <w:r w:rsidRPr="00B14F1C">
        <w:rPr>
          <w:rFonts w:ascii="Palatino Linotype" w:hAnsi="Palatino Linotype" w:cs="Arial"/>
          <w:b/>
        </w:rPr>
        <w:t>MODALIDAD DE ENTREGA:</w:t>
      </w:r>
      <w:r w:rsidRPr="00B14F1C">
        <w:rPr>
          <w:rFonts w:ascii="Palatino Linotype" w:hAnsi="Palatino Linotype" w:cs="Arial"/>
        </w:rPr>
        <w:t xml:space="preserve"> Vía </w:t>
      </w:r>
      <w:r w:rsidRPr="00B14F1C">
        <w:rPr>
          <w:rFonts w:ascii="Palatino Linotype" w:hAnsi="Palatino Linotype" w:cs="Arial"/>
          <w:b/>
        </w:rPr>
        <w:t>SAIMEX.</w:t>
      </w:r>
    </w:p>
    <w:p w:rsidR="00D66084" w:rsidRPr="00B14F1C" w:rsidRDefault="00D66084" w:rsidP="00D66084">
      <w:pPr>
        <w:pStyle w:val="Prrafodelista"/>
        <w:tabs>
          <w:tab w:val="left" w:pos="0"/>
        </w:tabs>
        <w:spacing w:line="360" w:lineRule="auto"/>
        <w:ind w:left="0"/>
        <w:jc w:val="both"/>
        <w:rPr>
          <w:rFonts w:ascii="Palatino Linotype" w:hAnsi="Palatino Linotype"/>
          <w:bCs/>
        </w:rPr>
      </w:pPr>
      <w:r w:rsidRPr="00B14F1C">
        <w:rPr>
          <w:rFonts w:ascii="Palatino Linotype" w:hAnsi="Palatino Linotype"/>
          <w:b/>
          <w:sz w:val="28"/>
          <w:szCs w:val="28"/>
        </w:rPr>
        <w:t xml:space="preserve">II. </w:t>
      </w:r>
      <w:r w:rsidRPr="00B14F1C">
        <w:rPr>
          <w:rFonts w:ascii="Palatino Linotype" w:hAnsi="Palatino Linotype" w:cs="Arial"/>
        </w:rPr>
        <w:t xml:space="preserve">En cumplimiento al artículo 162 de la Ley de Transparencia y Acceso a la Información Pública del Estado de México y Municipios, el dieciocho de febrero de dos mil veinte, el Titular de la Unidad de Transparencia del </w:t>
      </w:r>
      <w:r w:rsidRPr="00B14F1C">
        <w:rPr>
          <w:rFonts w:ascii="Palatino Linotype" w:hAnsi="Palatino Linotype" w:cs="Arial"/>
          <w:b/>
        </w:rPr>
        <w:t>SUJETO OBLIGADO</w:t>
      </w:r>
      <w:r w:rsidRPr="00B14F1C">
        <w:rPr>
          <w:rFonts w:ascii="Palatino Linotype" w:hAnsi="Palatino Linotype" w:cs="Arial"/>
        </w:rPr>
        <w:t xml:space="preserve">,  </w:t>
      </w:r>
      <w:r w:rsidRPr="00B14F1C">
        <w:rPr>
          <w:rFonts w:ascii="Palatino Linotype" w:hAnsi="Palatino Linotype"/>
          <w:bCs/>
        </w:rPr>
        <w:t>turnó la solicitud de información a los Servidores Públicos Habilitados que estimó competentes a fin de colmar la solicitud de acceso a la información; tal y como, se aprecia en la imagen siguiente:</w:t>
      </w:r>
    </w:p>
    <w:p w:rsidR="00D66084" w:rsidRPr="00B14F1C" w:rsidRDefault="00D66084" w:rsidP="00D66084">
      <w:pPr>
        <w:pStyle w:val="Prrafodelista"/>
        <w:tabs>
          <w:tab w:val="left" w:pos="0"/>
        </w:tabs>
        <w:spacing w:line="360" w:lineRule="auto"/>
        <w:ind w:left="0"/>
        <w:jc w:val="center"/>
        <w:rPr>
          <w:rFonts w:ascii="Palatino Linotype" w:hAnsi="Palatino Linotype" w:cs="Arial"/>
        </w:rPr>
      </w:pPr>
      <w:r w:rsidRPr="00B14F1C">
        <w:rPr>
          <w:noProof/>
          <w:lang w:eastAsia="es-MX"/>
        </w:rPr>
        <w:drawing>
          <wp:inline distT="0" distB="0" distL="0" distR="0">
            <wp:extent cx="5634579" cy="16954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40" t="39195" r="4287" b="31553"/>
                    <a:stretch/>
                  </pic:blipFill>
                  <pic:spPr bwMode="auto">
                    <a:xfrm>
                      <a:off x="0" y="0"/>
                      <a:ext cx="5637806" cy="1696421"/>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contextualSpacing/>
        <w:jc w:val="both"/>
        <w:rPr>
          <w:rFonts w:ascii="Palatino Linotype" w:hAnsi="Palatino Linotype" w:cs="Arial"/>
          <w:lang w:val="es-ES_tradnl"/>
        </w:rPr>
      </w:pPr>
      <w:r w:rsidRPr="00B14F1C">
        <w:rPr>
          <w:rFonts w:ascii="Palatino Linotype" w:hAnsi="Palatino Linotype"/>
          <w:b/>
          <w:sz w:val="28"/>
          <w:szCs w:val="28"/>
        </w:rPr>
        <w:t>III</w:t>
      </w:r>
      <w:r w:rsidRPr="00B14F1C">
        <w:rPr>
          <w:rFonts w:ascii="Palatino Linotype" w:hAnsi="Palatino Linotype"/>
        </w:rPr>
        <w:t xml:space="preserve">. De las constancias que obran en </w:t>
      </w:r>
      <w:r w:rsidRPr="00B14F1C">
        <w:rPr>
          <w:rFonts w:ascii="Palatino Linotype" w:hAnsi="Palatino Linotype"/>
          <w:b/>
        </w:rPr>
        <w:t>EL SAIMEX,</w:t>
      </w:r>
      <w:r w:rsidRPr="00B14F1C">
        <w:rPr>
          <w:rFonts w:ascii="Palatino Linotype" w:hAnsi="Palatino Linotype"/>
        </w:rPr>
        <w:t xml:space="preserve"> se advierte que el dieciocho de febrero de dos mil veinte, </w:t>
      </w:r>
      <w:r w:rsidRPr="00B14F1C">
        <w:rPr>
          <w:rFonts w:ascii="Palatino Linotype" w:hAnsi="Palatino Linotype" w:cs="Arial"/>
          <w:lang w:val="es-ES_tradnl"/>
        </w:rPr>
        <w:t>el Responsable de la Unidad de Transparencia del</w:t>
      </w:r>
      <w:r w:rsidRPr="00B14F1C">
        <w:rPr>
          <w:rFonts w:ascii="Palatino Linotype" w:hAnsi="Palatino Linotype" w:cs="Arial"/>
          <w:b/>
          <w:lang w:val="es-ES_tradnl"/>
        </w:rPr>
        <w:t xml:space="preserve"> SUJETO </w:t>
      </w:r>
      <w:r w:rsidRPr="00B14F1C">
        <w:rPr>
          <w:rFonts w:ascii="Palatino Linotype" w:hAnsi="Palatino Linotype" w:cs="Arial"/>
          <w:b/>
          <w:lang w:val="es-ES_tradnl"/>
        </w:rPr>
        <w:lastRenderedPageBreak/>
        <w:t>OBLIGADO</w:t>
      </w:r>
      <w:r w:rsidRPr="00B14F1C">
        <w:rPr>
          <w:rFonts w:ascii="Palatino Linotype" w:hAnsi="Palatino Linotype" w:cs="Arial"/>
          <w:lang w:val="es-ES_tradnl"/>
        </w:rPr>
        <w:t xml:space="preserve"> dio respuesta a la solicitud de información, adjuntando los archivos electrónicos que a continuación se describen:</w:t>
      </w:r>
    </w:p>
    <w:p w:rsidR="00D66084" w:rsidRPr="00B14F1C" w:rsidRDefault="006F1A60" w:rsidP="00D66084">
      <w:pPr>
        <w:pStyle w:val="Prrafodelista"/>
        <w:numPr>
          <w:ilvl w:val="0"/>
          <w:numId w:val="5"/>
        </w:numPr>
        <w:spacing w:before="100" w:beforeAutospacing="1" w:after="100" w:afterAutospacing="1" w:line="360" w:lineRule="auto"/>
        <w:contextualSpacing/>
        <w:jc w:val="both"/>
        <w:rPr>
          <w:rFonts w:ascii="Palatino Linotype" w:hAnsi="Palatino Linotype" w:cs="Arial"/>
          <w:lang w:val="es-ES_tradnl"/>
        </w:rPr>
      </w:pPr>
      <w:hyperlink r:id="rId8" w:tgtFrame="_blank" w:history="1">
        <w:r w:rsidR="00D66084" w:rsidRPr="00B14F1C">
          <w:rPr>
            <w:rFonts w:ascii="Palatino Linotype" w:hAnsi="Palatino Linotype"/>
            <w:b/>
            <w:lang w:val="es-ES_tradnl"/>
          </w:rPr>
          <w:t>079 Coordinación Administrativa.pdf</w:t>
        </w:r>
      </w:hyperlink>
      <w:r w:rsidR="00D66084" w:rsidRPr="00B14F1C">
        <w:rPr>
          <w:rFonts w:ascii="Palatino Linotype" w:hAnsi="Palatino Linotype" w:cs="Arial"/>
          <w:b/>
          <w:lang w:val="es-ES_tradnl"/>
        </w:rPr>
        <w:t xml:space="preserve">: </w:t>
      </w:r>
      <w:r w:rsidR="00D66084" w:rsidRPr="00B14F1C">
        <w:rPr>
          <w:rFonts w:ascii="Palatino Linotype" w:hAnsi="Palatino Linotype" w:cs="Arial"/>
          <w:lang w:val="es-ES_tradnl"/>
        </w:rPr>
        <w:t>contiene el oficio número 20700002000100S/IP/020/2020, signado por el Servidor Público Habilitado Suplente de la Coordinación Administrativa, mediante el cual informó que no se cuenta con la información solicitada.</w:t>
      </w:r>
    </w:p>
    <w:p w:rsidR="00D66084" w:rsidRPr="00B14F1C" w:rsidRDefault="006F1A60" w:rsidP="00D66084">
      <w:pPr>
        <w:pStyle w:val="Prrafodelista"/>
        <w:numPr>
          <w:ilvl w:val="0"/>
          <w:numId w:val="5"/>
        </w:numPr>
        <w:spacing w:before="100" w:beforeAutospacing="1" w:after="100" w:afterAutospacing="1" w:line="360" w:lineRule="auto"/>
        <w:contextualSpacing/>
        <w:jc w:val="both"/>
        <w:rPr>
          <w:rFonts w:ascii="Palatino Linotype" w:hAnsi="Palatino Linotype" w:cs="Arial"/>
          <w:lang w:val="es-ES_tradnl"/>
        </w:rPr>
      </w:pPr>
      <w:hyperlink r:id="rId9" w:tgtFrame="_blank" w:history="1">
        <w:r w:rsidR="00D66084" w:rsidRPr="00B14F1C">
          <w:rPr>
            <w:rFonts w:ascii="Palatino Linotype" w:hAnsi="Palatino Linotype"/>
            <w:lang w:val="es-ES_tradnl"/>
          </w:rPr>
          <w:t>0</w:t>
        </w:r>
        <w:r w:rsidR="00D66084" w:rsidRPr="00B14F1C">
          <w:rPr>
            <w:rFonts w:ascii="Palatino Linotype" w:hAnsi="Palatino Linotype"/>
            <w:b/>
            <w:lang w:val="es-ES_tradnl"/>
          </w:rPr>
          <w:t>79 Contaduría General.pdf</w:t>
        </w:r>
      </w:hyperlink>
      <w:r w:rsidR="00D66084" w:rsidRPr="00B14F1C">
        <w:rPr>
          <w:rFonts w:ascii="Palatino Linotype" w:hAnsi="Palatino Linotype" w:cs="Arial"/>
          <w:lang w:val="es-ES_tradnl"/>
        </w:rPr>
        <w:t>: contiene el oficio número 20704002040000L/015/2020, signado por la Servidora Pública Habilitada de la Contaduría General Gubernamental y mediante el cual informó que no obra en sus archivos información al respecto.</w:t>
      </w:r>
    </w:p>
    <w:p w:rsidR="00D66084" w:rsidRPr="00B14F1C" w:rsidRDefault="006F1A60" w:rsidP="00D66084">
      <w:pPr>
        <w:pStyle w:val="Prrafodelista"/>
        <w:numPr>
          <w:ilvl w:val="0"/>
          <w:numId w:val="5"/>
        </w:numPr>
        <w:spacing w:before="100" w:beforeAutospacing="1" w:after="100" w:afterAutospacing="1" w:line="360" w:lineRule="auto"/>
        <w:contextualSpacing/>
        <w:jc w:val="both"/>
        <w:rPr>
          <w:rFonts w:ascii="Palatino Linotype" w:hAnsi="Palatino Linotype" w:cs="Arial"/>
          <w:lang w:val="es-ES_tradnl"/>
        </w:rPr>
      </w:pPr>
      <w:hyperlink r:id="rId10" w:tgtFrame="_blank" w:history="1">
        <w:r w:rsidR="00D66084" w:rsidRPr="00B14F1C">
          <w:rPr>
            <w:rFonts w:ascii="Palatino Linotype" w:hAnsi="Palatino Linotype"/>
            <w:b/>
            <w:lang w:val="es-ES_tradnl"/>
          </w:rPr>
          <w:t>079 DG Recursos Materiales.pdf</w:t>
        </w:r>
      </w:hyperlink>
      <w:r w:rsidR="00D66084" w:rsidRPr="00B14F1C">
        <w:rPr>
          <w:rFonts w:ascii="Palatino Linotype" w:hAnsi="Palatino Linotype" w:cs="Arial"/>
          <w:b/>
          <w:lang w:val="es-ES_tradnl"/>
        </w:rPr>
        <w:t xml:space="preserve">: </w:t>
      </w:r>
      <w:r w:rsidR="00D66084" w:rsidRPr="00B14F1C">
        <w:rPr>
          <w:rFonts w:ascii="Palatino Linotype" w:hAnsi="Palatino Linotype" w:cs="Arial"/>
          <w:lang w:val="es-ES_tradnl"/>
        </w:rPr>
        <w:t>contiene el oficio número 20706005000200S-0070/2020, signado por el Servidor Público Habilitado de la Dirección General de Recursos Materiales, mediante el cual informó que dicha Dirección no cuenta con registro alguno de los contratos celebrados con las empresas relacionadas en la solicitud de mérito para el periodo solicitado asimismo no se cuenta con contratación o renovación de cualquier sotfware , licencia o herramienta tecnológica para la intervención de comunicaciones privadas y/o para la investigación forense de acuerdo a lo solicitado.</w:t>
      </w:r>
    </w:p>
    <w:p w:rsidR="00D66084" w:rsidRPr="00B14F1C" w:rsidRDefault="006F1A60" w:rsidP="00D66084">
      <w:pPr>
        <w:pStyle w:val="Prrafodelista"/>
        <w:numPr>
          <w:ilvl w:val="0"/>
          <w:numId w:val="5"/>
        </w:numPr>
        <w:spacing w:before="100" w:beforeAutospacing="1" w:after="100" w:afterAutospacing="1" w:line="360" w:lineRule="auto"/>
        <w:contextualSpacing/>
        <w:jc w:val="both"/>
        <w:rPr>
          <w:rFonts w:ascii="Palatino Linotype" w:hAnsi="Palatino Linotype" w:cs="Arial"/>
          <w:lang w:val="es-ES_tradnl"/>
        </w:rPr>
      </w:pPr>
      <w:hyperlink r:id="rId11" w:tgtFrame="_blank" w:history="1">
        <w:r w:rsidR="00D66084" w:rsidRPr="00B14F1C">
          <w:rPr>
            <w:rFonts w:ascii="Palatino Linotype" w:hAnsi="Palatino Linotype"/>
            <w:b/>
            <w:lang w:val="es-ES_tradnl"/>
          </w:rPr>
          <w:t>079 DG Tesorería.pdf</w:t>
        </w:r>
      </w:hyperlink>
      <w:r w:rsidR="00D66084" w:rsidRPr="00B14F1C">
        <w:rPr>
          <w:rFonts w:ascii="Palatino Linotype" w:hAnsi="Palatino Linotype" w:cs="Arial"/>
          <w:b/>
          <w:lang w:val="es-ES_tradnl"/>
        </w:rPr>
        <w:t xml:space="preserve">: </w:t>
      </w:r>
      <w:r w:rsidR="00D66084" w:rsidRPr="00B14F1C">
        <w:rPr>
          <w:rFonts w:ascii="Palatino Linotype" w:hAnsi="Palatino Linotype" w:cs="Arial"/>
          <w:lang w:val="es-ES_tradnl"/>
        </w:rPr>
        <w:t>contiene el oficio número 207051A00000000/082/2020, signado por la Servidora Pública Habilitada de la Dirección General de Tesorería mediante la cual se informó que tras una búsqueda en los archivos de la unidad administrativa en comento, por no ser de su competencia.</w:t>
      </w:r>
    </w:p>
    <w:p w:rsidR="00D66084" w:rsidRPr="00B14F1C" w:rsidRDefault="006F1A60" w:rsidP="00D66084">
      <w:pPr>
        <w:pStyle w:val="Prrafodelista"/>
        <w:numPr>
          <w:ilvl w:val="0"/>
          <w:numId w:val="5"/>
        </w:numPr>
        <w:spacing w:before="100" w:beforeAutospacing="1" w:after="100" w:afterAutospacing="1" w:line="360" w:lineRule="auto"/>
        <w:contextualSpacing/>
        <w:jc w:val="both"/>
        <w:rPr>
          <w:rFonts w:ascii="Palatino Linotype" w:hAnsi="Palatino Linotype" w:cs="Arial"/>
          <w:b/>
          <w:lang w:val="es-ES_tradnl"/>
        </w:rPr>
      </w:pPr>
      <w:hyperlink r:id="rId12" w:tgtFrame="_blank" w:history="1">
        <w:r w:rsidR="00D66084" w:rsidRPr="00B14F1C">
          <w:rPr>
            <w:rFonts w:ascii="Palatino Linotype" w:hAnsi="Palatino Linotype"/>
            <w:b/>
            <w:lang w:val="es-ES_tradnl"/>
          </w:rPr>
          <w:t>UIPPE 079.pdf</w:t>
        </w:r>
      </w:hyperlink>
      <w:r w:rsidR="00D66084" w:rsidRPr="00B14F1C">
        <w:rPr>
          <w:rFonts w:ascii="Palatino Linotype" w:hAnsi="Palatino Linotype" w:cs="Arial"/>
          <w:b/>
          <w:lang w:val="es-ES_tradnl"/>
        </w:rPr>
        <w:t xml:space="preserve">: </w:t>
      </w:r>
      <w:r w:rsidR="00D66084" w:rsidRPr="00B14F1C">
        <w:rPr>
          <w:rFonts w:ascii="Palatino Linotype" w:hAnsi="Palatino Linotype" w:cs="Arial"/>
          <w:lang w:val="es-ES_tradnl"/>
        </w:rPr>
        <w:t xml:space="preserve">contiene el oficio mediante el cual el titular de la unidad de transparencia hizo del conocimiento del solicitante las respuestas otorgadas. </w:t>
      </w:r>
    </w:p>
    <w:p w:rsidR="00D66084" w:rsidRPr="00B14F1C" w:rsidRDefault="00D66084" w:rsidP="00D66084">
      <w:pPr>
        <w:spacing w:before="100" w:beforeAutospacing="1" w:after="100" w:afterAutospacing="1" w:line="360" w:lineRule="auto"/>
        <w:jc w:val="both"/>
        <w:rPr>
          <w:rFonts w:ascii="Palatino Linotype" w:hAnsi="Palatino Linotype" w:cs="Arial"/>
        </w:rPr>
      </w:pPr>
      <w:r w:rsidRPr="00B14F1C">
        <w:rPr>
          <w:rFonts w:ascii="Palatino Linotype" w:hAnsi="Palatino Linotype"/>
          <w:b/>
          <w:sz w:val="28"/>
          <w:szCs w:val="28"/>
        </w:rPr>
        <w:t>IV.</w:t>
      </w:r>
      <w:r w:rsidRPr="00B14F1C">
        <w:rPr>
          <w:rFonts w:ascii="Palatino Linotype" w:hAnsi="Palatino Linotype"/>
          <w:b/>
        </w:rPr>
        <w:t xml:space="preserve"> </w:t>
      </w:r>
      <w:r w:rsidRPr="00B14F1C">
        <w:rPr>
          <w:rFonts w:ascii="Palatino Linotype" w:hAnsi="Palatino Linotype"/>
        </w:rPr>
        <w:t xml:space="preserve">Inconforme con la </w:t>
      </w:r>
      <w:r w:rsidRPr="00B14F1C">
        <w:rPr>
          <w:rFonts w:ascii="Palatino Linotype" w:hAnsi="Palatino Linotype" w:cs="Arial"/>
        </w:rPr>
        <w:t xml:space="preserve">respuesta, el diez de marzo de dos mil veinte, </w:t>
      </w:r>
      <w:r w:rsidRPr="00B14F1C">
        <w:rPr>
          <w:rFonts w:ascii="Palatino Linotype" w:hAnsi="Palatino Linotype"/>
          <w:b/>
        </w:rPr>
        <w:t>EL RECURRENTE</w:t>
      </w:r>
      <w:r w:rsidRPr="00B14F1C">
        <w:rPr>
          <w:rFonts w:ascii="Palatino Linotype" w:hAnsi="Palatino Linotype"/>
        </w:rPr>
        <w:t xml:space="preserve"> interpuso el recurso de revisión objeto del presente estudio, al que se le asignó el número al rubro citado</w:t>
      </w:r>
      <w:r w:rsidRPr="00B14F1C">
        <w:rPr>
          <w:rFonts w:ascii="Palatino Linotype" w:hAnsi="Palatino Linotype" w:cs="Arial"/>
        </w:rPr>
        <w:t xml:space="preserve">, en el que señaló como acto impugnado lo siguiente: </w:t>
      </w:r>
    </w:p>
    <w:p w:rsidR="00D66084" w:rsidRPr="00B14F1C" w:rsidRDefault="00D66084" w:rsidP="00D66084">
      <w:pPr>
        <w:spacing w:before="100" w:beforeAutospacing="1" w:after="100" w:afterAutospacing="1"/>
        <w:ind w:left="851" w:right="899"/>
        <w:jc w:val="both"/>
        <w:rPr>
          <w:rFonts w:ascii="Palatino Linotype" w:hAnsi="Palatino Linotype" w:cs="Arial"/>
          <w:i/>
          <w:sz w:val="22"/>
          <w:szCs w:val="22"/>
        </w:rPr>
      </w:pPr>
      <w:r w:rsidRPr="00B14F1C">
        <w:rPr>
          <w:rFonts w:ascii="Palatino Linotype" w:hAnsi="Palatino Linotype" w:cs="Arial"/>
          <w:i/>
          <w:sz w:val="22"/>
          <w:szCs w:val="22"/>
        </w:rPr>
        <w:t>“Favor de ver el documento adjunto. Gracias.” (sic)</w:t>
      </w:r>
    </w:p>
    <w:p w:rsidR="00D66084" w:rsidRPr="00B14F1C" w:rsidRDefault="00D66084" w:rsidP="00D66084">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Asimismo,</w:t>
      </w:r>
      <w:r w:rsidRPr="00B14F1C">
        <w:t xml:space="preserve"> </w:t>
      </w:r>
      <w:r w:rsidRPr="00B14F1C">
        <w:rPr>
          <w:b/>
        </w:rPr>
        <w:t>EL RECURRENTE</w:t>
      </w:r>
      <w:r w:rsidRPr="00B14F1C">
        <w:rPr>
          <w:rFonts w:ascii="Palatino Linotype" w:hAnsi="Palatino Linotype" w:cs="Arial"/>
        </w:rPr>
        <w:t xml:space="preserve"> indicó como razones o motivos de inconformidad, lo siguiente: </w:t>
      </w:r>
    </w:p>
    <w:p w:rsidR="00D66084" w:rsidRPr="00B14F1C" w:rsidRDefault="00D66084" w:rsidP="00D66084">
      <w:pPr>
        <w:spacing w:before="100" w:beforeAutospacing="1" w:after="100" w:afterAutospacing="1"/>
        <w:ind w:left="851" w:right="899"/>
        <w:jc w:val="both"/>
        <w:rPr>
          <w:rFonts w:ascii="Palatino Linotype" w:hAnsi="Palatino Linotype" w:cs="Arial"/>
          <w:i/>
          <w:sz w:val="22"/>
          <w:szCs w:val="22"/>
        </w:rPr>
      </w:pPr>
      <w:r w:rsidRPr="00B14F1C">
        <w:rPr>
          <w:rFonts w:ascii="Palatino Linotype" w:hAnsi="Palatino Linotype" w:cs="Arial"/>
          <w:i/>
          <w:sz w:val="22"/>
          <w:szCs w:val="22"/>
        </w:rPr>
        <w:t xml:space="preserve">“Favor de ver el documento adjunto. Gracias.” (sic) </w:t>
      </w:r>
    </w:p>
    <w:p w:rsidR="00D66084" w:rsidRPr="00B14F1C" w:rsidRDefault="00D66084" w:rsidP="00D66084">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Ajuntando a dicho recurso de revisión el archivo electrónico denominado </w:t>
      </w:r>
      <w:hyperlink r:id="rId13" w:tgtFrame="_blank" w:history="1">
        <w:r w:rsidRPr="00B14F1C">
          <w:rPr>
            <w:rFonts w:ascii="Palatino Linotype" w:hAnsi="Palatino Linotype" w:cs="Arial"/>
            <w:b/>
          </w:rPr>
          <w:t>RR EdoMex_SFin_00079.SF.IP.2020.pdf</w:t>
        </w:r>
      </w:hyperlink>
      <w:r w:rsidRPr="00B14F1C">
        <w:rPr>
          <w:rFonts w:ascii="Palatino Linotype" w:hAnsi="Palatino Linotype" w:cs="Arial"/>
          <w:b/>
        </w:rPr>
        <w:t xml:space="preserve">, </w:t>
      </w:r>
      <w:r w:rsidRPr="00B14F1C">
        <w:rPr>
          <w:rFonts w:ascii="Palatino Linotype" w:hAnsi="Palatino Linotype" w:cs="Arial"/>
        </w:rPr>
        <w:t>cuyo contenido se inserta en seguida:</w:t>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lastRenderedPageBreak/>
        <w:drawing>
          <wp:inline distT="0" distB="0" distL="0" distR="0">
            <wp:extent cx="5521325" cy="3204058"/>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840" t="22689" r="21307" b="28781"/>
                    <a:stretch/>
                  </pic:blipFill>
                  <pic:spPr bwMode="auto">
                    <a:xfrm>
                      <a:off x="0" y="0"/>
                      <a:ext cx="5557741" cy="3225190"/>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lastRenderedPageBreak/>
        <w:drawing>
          <wp:inline distT="0" distB="0" distL="0" distR="0">
            <wp:extent cx="5110656" cy="398678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77" t="17972" r="21056" b="6314"/>
                    <a:stretch/>
                  </pic:blipFill>
                  <pic:spPr bwMode="auto">
                    <a:xfrm>
                      <a:off x="0" y="0"/>
                      <a:ext cx="5119652" cy="3993801"/>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drawing>
          <wp:inline distT="0" distB="0" distL="0" distR="0">
            <wp:extent cx="5324231" cy="2245766"/>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02" t="28755" r="22192" b="31253"/>
                    <a:stretch/>
                  </pic:blipFill>
                  <pic:spPr bwMode="auto">
                    <a:xfrm>
                      <a:off x="0" y="0"/>
                      <a:ext cx="5345437" cy="2254711"/>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lastRenderedPageBreak/>
        <w:drawing>
          <wp:inline distT="0" distB="0" distL="0" distR="0">
            <wp:extent cx="3473156" cy="37746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197" t="16175" r="32424" b="13501"/>
                    <a:stretch/>
                  </pic:blipFill>
                  <pic:spPr bwMode="auto">
                    <a:xfrm>
                      <a:off x="0" y="0"/>
                      <a:ext cx="3486003" cy="3788606"/>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drawing>
          <wp:inline distT="0" distB="0" distL="0" distR="0">
            <wp:extent cx="4001414" cy="928697"/>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544" t="21791" r="27370" b="60010"/>
                    <a:stretch/>
                  </pic:blipFill>
                  <pic:spPr bwMode="auto">
                    <a:xfrm>
                      <a:off x="0" y="0"/>
                      <a:ext cx="4039175" cy="937461"/>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drawing>
          <wp:inline distT="0" distB="0" distL="0" distR="0">
            <wp:extent cx="4398885" cy="202631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923" t="23363" r="27745" b="41133"/>
                    <a:stretch/>
                  </pic:blipFill>
                  <pic:spPr bwMode="auto">
                    <a:xfrm>
                      <a:off x="0" y="0"/>
                      <a:ext cx="4411000" cy="2031891"/>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lastRenderedPageBreak/>
        <w:drawing>
          <wp:inline distT="0" distB="0" distL="0" distR="0">
            <wp:extent cx="3621024" cy="21801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398" t="21342" r="25348" b="26982"/>
                    <a:stretch/>
                  </pic:blipFill>
                  <pic:spPr bwMode="auto">
                    <a:xfrm>
                      <a:off x="0" y="0"/>
                      <a:ext cx="3632568" cy="2187148"/>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drawing>
          <wp:inline distT="0" distB="0" distL="0" distR="0">
            <wp:extent cx="3569818" cy="139096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912" t="20668" r="25733" b="47206"/>
                    <a:stretch/>
                  </pic:blipFill>
                  <pic:spPr bwMode="auto">
                    <a:xfrm>
                      <a:off x="0" y="0"/>
                      <a:ext cx="3586206" cy="1397349"/>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center"/>
        <w:rPr>
          <w:rFonts w:ascii="Palatino Linotype" w:hAnsi="Palatino Linotype" w:cs="Arial"/>
        </w:rPr>
      </w:pPr>
      <w:r w:rsidRPr="00B14F1C">
        <w:rPr>
          <w:noProof/>
          <w:lang w:eastAsia="es-MX"/>
        </w:rPr>
        <w:drawing>
          <wp:inline distT="0" distB="0" distL="0" distR="0">
            <wp:extent cx="3674418" cy="3196743"/>
            <wp:effectExtent l="0" t="0" r="254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124" t="9435" r="25351" b="12379"/>
                    <a:stretch/>
                  </pic:blipFill>
                  <pic:spPr bwMode="auto">
                    <a:xfrm>
                      <a:off x="0" y="0"/>
                      <a:ext cx="3686863" cy="3207570"/>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B14F1C">
        <w:rPr>
          <w:rFonts w:ascii="Palatino Linotype" w:hAnsi="Palatino Linotype"/>
          <w:b/>
          <w:sz w:val="28"/>
          <w:szCs w:val="28"/>
        </w:rPr>
        <w:lastRenderedPageBreak/>
        <w:t xml:space="preserve">V. </w:t>
      </w:r>
      <w:r w:rsidRPr="00B14F1C">
        <w:rPr>
          <w:rFonts w:ascii="Palatino Linotype" w:hAnsi="Palatino Linotype" w:cs="Arial"/>
        </w:rPr>
        <w:t xml:space="preserve">En fecha </w:t>
      </w:r>
      <w:r w:rsidRPr="00B14F1C">
        <w:rPr>
          <w:rFonts w:ascii="Palatino Linotype" w:hAnsi="Palatino Linotype"/>
        </w:rPr>
        <w:t>diez de marzo de dos mil veinte</w:t>
      </w:r>
      <w:r w:rsidRPr="00B14F1C">
        <w:rPr>
          <w:rFonts w:ascii="Palatino Linotype" w:hAnsi="Palatino Linotype" w:cs="Arial"/>
        </w:rPr>
        <w:t>, el recurso de revisión que se trata se envió electrónicamente al Instituto de Transparencia, Acceso a la Información Pública</w:t>
      </w:r>
      <w:r w:rsidRPr="00B14F1C">
        <w:rPr>
          <w:rFonts w:ascii="Palatino Linotype" w:hAnsi="Palatino Linotype" w:cs="Arial"/>
          <w:lang w:val="es-ES_tradnl"/>
        </w:rPr>
        <w:t xml:space="preserve"> y </w:t>
      </w:r>
      <w:r w:rsidRPr="00B14F1C">
        <w:rPr>
          <w:rFonts w:ascii="Palatino Linotype" w:hAnsi="Palatino Linotype" w:cs="Arial"/>
        </w:rPr>
        <w:t>Protección</w:t>
      </w:r>
      <w:r w:rsidRPr="00B14F1C">
        <w:rPr>
          <w:rFonts w:ascii="Palatino Linotype" w:hAnsi="Palatino Linotype" w:cs="Arial"/>
          <w:lang w:val="es-ES_tradnl"/>
        </w:rPr>
        <w:t xml:space="preserve"> </w:t>
      </w:r>
      <w:r w:rsidRPr="00B14F1C">
        <w:rPr>
          <w:rFonts w:ascii="Palatino Linotype" w:hAnsi="Palatino Linotype" w:cs="Arial"/>
        </w:rPr>
        <w:t>de</w:t>
      </w:r>
      <w:r w:rsidRPr="00B14F1C">
        <w:rPr>
          <w:rFonts w:ascii="Palatino Linotype" w:hAnsi="Palatino Linotype" w:cs="Arial"/>
          <w:lang w:val="es-ES_tradnl"/>
        </w:rPr>
        <w:t xml:space="preserve"> </w:t>
      </w:r>
      <w:r w:rsidRPr="00B14F1C">
        <w:rPr>
          <w:rFonts w:ascii="Palatino Linotype" w:hAnsi="Palatino Linotype"/>
        </w:rPr>
        <w:t>Datos</w:t>
      </w:r>
      <w:r w:rsidRPr="00B14F1C">
        <w:rPr>
          <w:rFonts w:ascii="Palatino Linotype" w:hAnsi="Palatino Linotype" w:cs="Arial"/>
          <w:lang w:val="es-ES_tradnl"/>
        </w:rPr>
        <w:t xml:space="preserve"> </w:t>
      </w:r>
      <w:r w:rsidRPr="00B14F1C">
        <w:rPr>
          <w:rFonts w:ascii="Palatino Linotype" w:hAnsi="Palatino Linotype" w:cs="Arial"/>
        </w:rPr>
        <w:t>Personales</w:t>
      </w:r>
      <w:r w:rsidRPr="00B14F1C">
        <w:rPr>
          <w:rFonts w:ascii="Palatino Linotype" w:hAnsi="Palatino Linotype" w:cs="Arial"/>
          <w:lang w:val="es-ES_tradnl"/>
        </w:rPr>
        <w:t xml:space="preserve"> </w:t>
      </w:r>
      <w:r w:rsidRPr="00B14F1C">
        <w:rPr>
          <w:rFonts w:ascii="Palatino Linotype" w:hAnsi="Palatino Linotype" w:cs="Arial"/>
        </w:rPr>
        <w:t>del</w:t>
      </w:r>
      <w:r w:rsidRPr="00B14F1C">
        <w:rPr>
          <w:rFonts w:ascii="Palatino Linotype" w:hAnsi="Palatino Linotype" w:cs="Arial"/>
          <w:lang w:val="es-ES_tradnl"/>
        </w:rPr>
        <w:t xml:space="preserve"> </w:t>
      </w:r>
      <w:r w:rsidRPr="00B14F1C">
        <w:rPr>
          <w:rFonts w:ascii="Palatino Linotype" w:hAnsi="Palatino Linotype"/>
        </w:rPr>
        <w:t>Estado</w:t>
      </w:r>
      <w:r w:rsidRPr="00B14F1C">
        <w:rPr>
          <w:rFonts w:ascii="Palatino Linotype" w:hAnsi="Palatino Linotype" w:cs="Arial"/>
          <w:lang w:val="es-ES_tradnl"/>
        </w:rPr>
        <w:t xml:space="preserve"> de México y Municipios y con fundamento en el </w:t>
      </w:r>
      <w:r w:rsidRPr="00B14F1C">
        <w:rPr>
          <w:rFonts w:ascii="Palatino Linotype" w:hAnsi="Palatino Linotype" w:cs="Arial"/>
        </w:rPr>
        <w:t>artículo</w:t>
      </w:r>
      <w:r w:rsidRPr="00B14F1C">
        <w:rPr>
          <w:rFonts w:ascii="Palatino Linotype" w:hAnsi="Palatino Linotype" w:cs="Arial"/>
          <w:lang w:val="es-ES_tradnl"/>
        </w:rPr>
        <w:t xml:space="preserve"> 185, </w:t>
      </w:r>
      <w:r w:rsidRPr="00B14F1C">
        <w:rPr>
          <w:rFonts w:ascii="Palatino Linotype" w:hAnsi="Palatino Linotype" w:cs="Arial"/>
        </w:rPr>
        <w:t>fracción</w:t>
      </w:r>
      <w:r w:rsidRPr="00B14F1C">
        <w:rPr>
          <w:rFonts w:ascii="Palatino Linotype" w:hAnsi="Palatino Linotype" w:cs="Arial"/>
          <w:lang w:val="es-ES_tradnl"/>
        </w:rPr>
        <w:t xml:space="preserve"> I de la </w:t>
      </w:r>
      <w:r w:rsidRPr="00B14F1C">
        <w:rPr>
          <w:rFonts w:ascii="Palatino Linotype" w:hAnsi="Palatino Linotype"/>
        </w:rPr>
        <w:t>Ley de Transparencia y Acceso a la Información Pública del Estado de México y Municipios</w:t>
      </w:r>
      <w:r w:rsidRPr="00B14F1C">
        <w:rPr>
          <w:rFonts w:ascii="Palatino Linotype" w:hAnsi="Palatino Linotype" w:cs="Arial"/>
          <w:lang w:val="es-ES_tradnl"/>
        </w:rPr>
        <w:t xml:space="preserve">, el cual se turnó a través del </w:t>
      </w:r>
      <w:r w:rsidRPr="00B14F1C">
        <w:rPr>
          <w:rFonts w:ascii="Palatino Linotype" w:hAnsi="Palatino Linotype" w:cs="Arial"/>
          <w:b/>
          <w:lang w:val="es-ES_tradnl"/>
        </w:rPr>
        <w:t>SAIMEX</w:t>
      </w:r>
      <w:r w:rsidRPr="00B14F1C">
        <w:rPr>
          <w:rFonts w:ascii="Palatino Linotype" w:hAnsi="Palatino Linotype" w:cs="Arial"/>
          <w:lang w:val="es-ES_tradnl"/>
        </w:rPr>
        <w:t xml:space="preserve"> a la Comisionada Ponente a efecto de que decretara su admisión o desechamiento.</w:t>
      </w:r>
    </w:p>
    <w:p w:rsidR="00D66084" w:rsidRPr="00B14F1C" w:rsidRDefault="00D66084" w:rsidP="00D66084">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B14F1C">
        <w:rPr>
          <w:rFonts w:ascii="Palatino Linotype" w:hAnsi="Palatino Linotype"/>
          <w:b/>
          <w:sz w:val="28"/>
          <w:szCs w:val="28"/>
        </w:rPr>
        <w:t>VI.</w:t>
      </w:r>
      <w:r w:rsidRPr="00B14F1C">
        <w:rPr>
          <w:rFonts w:ascii="Palatino Linotype" w:hAnsi="Palatino Linotype" w:cs="Arial"/>
          <w:lang w:val="es-ES_tradnl"/>
        </w:rPr>
        <w:t xml:space="preserve"> </w:t>
      </w:r>
      <w:r w:rsidRPr="00B14F1C">
        <w:rPr>
          <w:rFonts w:ascii="Palatino Linotype" w:hAnsi="Palatino Linotype"/>
        </w:rPr>
        <w:t xml:space="preserve">El diecisiete de marzo de dos mil veinte, </w:t>
      </w:r>
      <w:r w:rsidRPr="00B14F1C">
        <w:rPr>
          <w:rFonts w:ascii="Palatino Linotype" w:hAnsi="Palatino Linotype" w:cs="Arial"/>
        </w:rPr>
        <w:t xml:space="preserve">atento a lo dispuesto en el artículo 185, fracciones I, II y IV, de la </w:t>
      </w:r>
      <w:r w:rsidRPr="00B14F1C">
        <w:rPr>
          <w:rFonts w:ascii="Palatino Linotype" w:hAnsi="Palatino Linotype"/>
        </w:rPr>
        <w:t xml:space="preserve">Ley de Transparencia y Acceso a la Información Pública del </w:t>
      </w:r>
      <w:r w:rsidRPr="00B14F1C">
        <w:rPr>
          <w:rFonts w:ascii="Palatino Linotype" w:hAnsi="Palatino Linotype" w:cs="Arial"/>
        </w:rPr>
        <w:t>Estado</w:t>
      </w:r>
      <w:r w:rsidRPr="00B14F1C">
        <w:rPr>
          <w:rFonts w:ascii="Palatino Linotype" w:hAnsi="Palatino Linotype"/>
        </w:rPr>
        <w:t xml:space="preserve"> de México y </w:t>
      </w:r>
      <w:r w:rsidRPr="00B14F1C">
        <w:rPr>
          <w:rFonts w:ascii="Palatino Linotype" w:hAnsi="Palatino Linotype" w:cs="Arial"/>
          <w:lang w:val="es-ES_tradnl"/>
        </w:rPr>
        <w:t>Municipios</w:t>
      </w:r>
      <w:r w:rsidRPr="00B14F1C">
        <w:rPr>
          <w:rFonts w:ascii="Palatino Linotype" w:hAnsi="Palatino Linotype"/>
        </w:rPr>
        <w:t>, se a</w:t>
      </w:r>
      <w:r w:rsidRPr="00B14F1C">
        <w:rPr>
          <w:rFonts w:ascii="Palatino Linotype" w:hAnsi="Palatino Linotype" w:cs="Arial"/>
        </w:rPr>
        <w:t xml:space="preserve">cordó la admisión a trámite del referido recurso de </w:t>
      </w:r>
      <w:r w:rsidRPr="00B14F1C">
        <w:rPr>
          <w:rFonts w:ascii="Palatino Linotype" w:hAnsi="Palatino Linotype" w:cs="Arial"/>
          <w:lang w:val="es-ES_tradnl"/>
        </w:rPr>
        <w:t>revisión;</w:t>
      </w:r>
      <w:r w:rsidRPr="00B14F1C">
        <w:rPr>
          <w:rFonts w:ascii="Palatino Linotype" w:hAnsi="Palatino Linotype" w:cs="Arial"/>
        </w:rPr>
        <w:t xml:space="preserve"> así como, la </w:t>
      </w:r>
      <w:r w:rsidRPr="00B14F1C">
        <w:rPr>
          <w:rFonts w:ascii="Palatino Linotype" w:hAnsi="Palatino Linotype" w:cs="Arial"/>
          <w:lang w:val="es-ES_tradnl"/>
        </w:rPr>
        <w:t>integración</w:t>
      </w:r>
      <w:r w:rsidRPr="00B14F1C">
        <w:rPr>
          <w:rFonts w:ascii="Palatino Linotype" w:hAnsi="Palatino Linotype" w:cs="Arial"/>
        </w:rPr>
        <w:t xml:space="preserve"> del expediente respectivo, mismo que se puso a disposición de las partes, para que en el plazo máximo de siete días hábiles, </w:t>
      </w:r>
      <w:r w:rsidRPr="00B14F1C">
        <w:rPr>
          <w:rFonts w:ascii="Palatino Linotype" w:hAnsi="Palatino Linotype" w:cs="Arial"/>
          <w:b/>
        </w:rPr>
        <w:t>EL RECURRENTE</w:t>
      </w:r>
      <w:r w:rsidRPr="00B14F1C">
        <w:rPr>
          <w:rFonts w:ascii="Palatino Linotype" w:hAnsi="Palatino Linotype" w:cs="Arial"/>
        </w:rPr>
        <w:t xml:space="preserve"> realizara manifestaciones, alegatos y ofreciera las pruebas que a su derecho </w:t>
      </w:r>
      <w:r w:rsidRPr="00B14F1C">
        <w:rPr>
          <w:rFonts w:ascii="Palatino Linotype" w:hAnsi="Palatino Linotype" w:cs="Arial"/>
          <w:lang w:val="es-ES_tradnl"/>
        </w:rPr>
        <w:t>conviniera</w:t>
      </w:r>
      <w:r w:rsidRPr="00B14F1C">
        <w:rPr>
          <w:rFonts w:ascii="Palatino Linotype" w:hAnsi="Palatino Linotype" w:cs="Arial"/>
        </w:rPr>
        <w:t xml:space="preserve"> y, en el caso del</w:t>
      </w:r>
      <w:r w:rsidRPr="00B14F1C">
        <w:rPr>
          <w:rFonts w:ascii="Palatino Linotype" w:hAnsi="Palatino Linotype" w:cs="Arial"/>
          <w:b/>
        </w:rPr>
        <w:t xml:space="preserve"> SUJETO OBLIGADO</w:t>
      </w:r>
      <w:r w:rsidRPr="00B14F1C">
        <w:rPr>
          <w:rFonts w:ascii="Palatino Linotype" w:hAnsi="Palatino Linotype" w:cs="Arial"/>
        </w:rPr>
        <w:t>, para que exhibiera el  Informe Justificado correspondiente.</w:t>
      </w:r>
    </w:p>
    <w:p w:rsidR="00D66084" w:rsidRPr="00B14F1C" w:rsidRDefault="00D66084" w:rsidP="00D66084">
      <w:pPr>
        <w:spacing w:before="100" w:beforeAutospacing="1" w:after="100" w:afterAutospacing="1" w:line="360" w:lineRule="auto"/>
        <w:contextualSpacing/>
        <w:jc w:val="both"/>
        <w:rPr>
          <w:rFonts w:ascii="Palatino Linotype" w:eastAsia="Arial Unicode MS" w:hAnsi="Palatino Linotype" w:cs="Arial"/>
        </w:rPr>
      </w:pPr>
      <w:r w:rsidRPr="00B14F1C">
        <w:rPr>
          <w:rFonts w:ascii="Palatino Linotype" w:hAnsi="Palatino Linotype"/>
          <w:b/>
          <w:sz w:val="28"/>
          <w:szCs w:val="28"/>
        </w:rPr>
        <w:t xml:space="preserve">VII. </w:t>
      </w:r>
      <w:r w:rsidRPr="00B14F1C">
        <w:rPr>
          <w:rFonts w:ascii="Palatino Linotype" w:eastAsia="Arial Unicode MS" w:hAnsi="Palatino Linotype" w:cs="Arial"/>
        </w:rPr>
        <w:t xml:space="preserve">Conforme a las constancias del </w:t>
      </w:r>
      <w:r w:rsidRPr="00B14F1C">
        <w:rPr>
          <w:rFonts w:ascii="Palatino Linotype" w:eastAsia="Arial Unicode MS" w:hAnsi="Palatino Linotype" w:cs="Arial"/>
          <w:b/>
        </w:rPr>
        <w:t>SAIMEX</w:t>
      </w:r>
      <w:r w:rsidRPr="00B14F1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B14F1C">
        <w:rPr>
          <w:rFonts w:ascii="Palatino Linotype" w:eastAsia="Arial Unicode MS" w:hAnsi="Palatino Linotype" w:cs="Arial"/>
          <w:b/>
        </w:rPr>
        <w:t xml:space="preserve">SUJETO OBLIGADO </w:t>
      </w:r>
      <w:r w:rsidRPr="00B14F1C">
        <w:rPr>
          <w:rFonts w:ascii="Palatino Linotype" w:eastAsia="Arial Unicode MS" w:hAnsi="Palatino Linotype" w:cs="Arial"/>
        </w:rPr>
        <w:t>en fecha tres de agosto del presente año, rindió el Informe Justificado correspondiente adjuntando los archivos electrónicos que a continuación se describen:</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rPr>
      </w:pPr>
      <w:hyperlink r:id="rId23" w:history="1">
        <w:r w:rsidR="00D66084" w:rsidRPr="00B14F1C">
          <w:rPr>
            <w:rFonts w:ascii="Palatino Linotype" w:eastAsia="Arial Unicode MS" w:hAnsi="Palatino Linotype"/>
            <w:b/>
          </w:rPr>
          <w:t>RR1512 Coord Adva 079.pdf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 xml:space="preserve">contiene el oficio número 20700002000100S/IP/047/2020, signado por la Servidora Pública suplente de la Coordinación Administrativa, mediante el cual reiteró su respuesta. </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rPr>
      </w:pPr>
      <w:hyperlink r:id="rId24" w:history="1">
        <w:r w:rsidR="00D66084" w:rsidRPr="00B14F1C">
          <w:rPr>
            <w:rFonts w:ascii="Palatino Linotype" w:eastAsia="Arial Unicode MS" w:hAnsi="Palatino Linotype"/>
            <w:b/>
          </w:rPr>
          <w:t>1512RR DG Tesorería 079.pdf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contiene el oficio número 2070510020000L/041/2020, signado por el Director de Cuentas por Pagar y Seguimiento, mediante el cual indicó que tras haber realizado una búsqueda de la información no se encontraron datos relacionados con la misma.</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b/>
        </w:rPr>
      </w:pPr>
      <w:hyperlink r:id="rId25" w:history="1">
        <w:r w:rsidR="00D66084" w:rsidRPr="00B14F1C">
          <w:rPr>
            <w:rFonts w:ascii="Palatino Linotype" w:eastAsia="Arial Unicode MS" w:hAnsi="Palatino Linotype"/>
            <w:b/>
          </w:rPr>
          <w:t>R.R. 01512-2020 Informe Justificado.pdf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 xml:space="preserve">contiene el Informe Justificado al recurso de revisión de mérito.  </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b/>
        </w:rPr>
      </w:pPr>
      <w:hyperlink r:id="rId26" w:history="1">
        <w:r w:rsidR="00D66084" w:rsidRPr="00B14F1C">
          <w:rPr>
            <w:rFonts w:ascii="Palatino Linotype" w:eastAsia="Arial Unicode MS" w:hAnsi="Palatino Linotype" w:cs="Arial"/>
            <w:b/>
          </w:rPr>
          <w:t>RR1512 Contaduría Gral Gub.pdf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contiene el oficio número 20704002040000L/027/2020, signado por la Servidora Pública Habilitada de la Contaduría General Gubernamental, mediante la cual indicó que no contaba con la información solicitada.</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b/>
        </w:rPr>
      </w:pPr>
      <w:hyperlink r:id="rId27" w:history="1">
        <w:r w:rsidR="00D66084" w:rsidRPr="00B14F1C">
          <w:rPr>
            <w:rFonts w:ascii="Palatino Linotype" w:eastAsia="Arial Unicode MS" w:hAnsi="Palatino Linotype"/>
            <w:b/>
          </w:rPr>
          <w:t>01512RR DG Recursos Materiales 0079.pdf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contiene el oficio número 20706005000200S-0139/2020, signado por el Servidor Público Habilitado de la Dirección General de Recursos Materiales, mediante el cual ratificó su respuesta.</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b/>
        </w:rPr>
      </w:pPr>
      <w:hyperlink r:id="rId28" w:history="1">
        <w:r w:rsidR="00D66084" w:rsidRPr="00B14F1C">
          <w:rPr>
            <w:rFonts w:ascii="Palatino Linotype" w:eastAsia="Arial Unicode MS" w:hAnsi="Palatino Linotype"/>
            <w:b/>
          </w:rPr>
          <w:t>CB-157-2017.pdf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Contiene el contrato Administrativo de Adquisición de Bienes número CB/157/2017, constante de 14 fojas.</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b/>
        </w:rPr>
      </w:pPr>
      <w:hyperlink r:id="rId29" w:history="1">
        <w:r w:rsidR="00D66084" w:rsidRPr="00B14F1C">
          <w:rPr>
            <w:rFonts w:ascii="Palatino Linotype" w:eastAsia="Arial Unicode MS" w:hAnsi="Palatino Linotype" w:cs="Arial"/>
            <w:b/>
          </w:rPr>
          <w:t>CS-6-2019.pdf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contiene un contrato administrativo de prestación de servicios número CS/6/2019, constante de 22 fojas.</w:t>
      </w:r>
    </w:p>
    <w:p w:rsidR="00D66084" w:rsidRPr="00B14F1C" w:rsidRDefault="00507994" w:rsidP="00D66084">
      <w:pPr>
        <w:pStyle w:val="Prrafodelista"/>
        <w:numPr>
          <w:ilvl w:val="0"/>
          <w:numId w:val="6"/>
        </w:numPr>
        <w:spacing w:before="100" w:beforeAutospacing="1" w:after="100" w:afterAutospacing="1" w:line="360" w:lineRule="auto"/>
        <w:contextualSpacing/>
        <w:jc w:val="both"/>
        <w:rPr>
          <w:rFonts w:ascii="Palatino Linotype" w:eastAsia="Arial Unicode MS" w:hAnsi="Palatino Linotype" w:cs="Arial"/>
          <w:b/>
        </w:rPr>
      </w:pPr>
      <w:hyperlink r:id="rId30" w:history="1">
        <w:r w:rsidR="00D66084" w:rsidRPr="00B14F1C">
          <w:rPr>
            <w:rFonts w:ascii="Palatino Linotype" w:eastAsia="Arial Unicode MS" w:hAnsi="Palatino Linotype"/>
            <w:b/>
          </w:rPr>
          <w:t>1512 RR.pdf</w:t>
        </w:r>
      </w:hyperlink>
      <w:r w:rsidR="00D66084" w:rsidRPr="00B14F1C">
        <w:rPr>
          <w:rFonts w:ascii="Palatino Linotype" w:eastAsia="Arial Unicode MS" w:hAnsi="Palatino Linotype" w:cs="Arial"/>
          <w:b/>
        </w:rPr>
        <w:t xml:space="preserve">: </w:t>
      </w:r>
      <w:r w:rsidR="00D66084" w:rsidRPr="00B14F1C">
        <w:rPr>
          <w:rFonts w:ascii="Palatino Linotype" w:eastAsia="Arial Unicode MS" w:hAnsi="Palatino Linotype" w:cs="Arial"/>
        </w:rPr>
        <w:t xml:space="preserve">contiene el oficio número 20706005000200S-0139/2020, signado por el Servidor Público Habilitado de la Dirección General de Recursos </w:t>
      </w:r>
      <w:r w:rsidR="00D66084" w:rsidRPr="00B14F1C">
        <w:rPr>
          <w:rFonts w:ascii="Palatino Linotype" w:eastAsia="Arial Unicode MS" w:hAnsi="Palatino Linotype" w:cs="Arial"/>
        </w:rPr>
        <w:lastRenderedPageBreak/>
        <w:t>Materiales en el cual indicó que adjuntaba al presente dos contratos en su versión íntegra, indicando que es toda la información que obra en dicha área.</w:t>
      </w:r>
    </w:p>
    <w:p w:rsidR="00D66084" w:rsidRPr="00B14F1C" w:rsidRDefault="00D66084" w:rsidP="00D66084">
      <w:pPr>
        <w:spacing w:before="100" w:beforeAutospacing="1" w:after="100" w:afterAutospacing="1" w:line="360" w:lineRule="auto"/>
        <w:contextualSpacing/>
        <w:jc w:val="both"/>
        <w:rPr>
          <w:rFonts w:ascii="Palatino Linotype" w:hAnsi="Palatino Linotype" w:cs="Arial"/>
        </w:rPr>
      </w:pPr>
      <w:r w:rsidRPr="00B14F1C">
        <w:rPr>
          <w:rFonts w:ascii="Palatino Linotype" w:eastAsia="Arial Unicode MS" w:hAnsi="Palatino Linotype" w:cs="Arial"/>
        </w:rPr>
        <w:t xml:space="preserve">Por su parte el hoy </w:t>
      </w:r>
      <w:r w:rsidRPr="00B14F1C">
        <w:rPr>
          <w:rFonts w:ascii="Palatino Linotype" w:eastAsia="Arial Unicode MS" w:hAnsi="Palatino Linotype" w:cs="Arial"/>
          <w:b/>
        </w:rPr>
        <w:t>RECURRENTE</w:t>
      </w:r>
      <w:r w:rsidRPr="00B14F1C">
        <w:rPr>
          <w:rFonts w:ascii="Palatino Linotype" w:eastAsia="Arial Unicode MS" w:hAnsi="Palatino Linotype" w:cs="Arial"/>
        </w:rPr>
        <w:t xml:space="preserve">, no realizó manifestaciones, ni presentó pruebas o alegatos, que a su derecho convinieran, tal y como se aprecia en la siguiente imagen: </w:t>
      </w:r>
      <w:r w:rsidRPr="00B14F1C">
        <w:rPr>
          <w:rFonts w:ascii="Palatino Linotype" w:hAnsi="Palatino Linotype" w:cs="Arial"/>
        </w:rPr>
        <w:t xml:space="preserve"> </w:t>
      </w:r>
    </w:p>
    <w:p w:rsidR="00D66084" w:rsidRPr="00B14F1C" w:rsidRDefault="00D66084" w:rsidP="00D66084">
      <w:pPr>
        <w:pStyle w:val="Prrafodelista"/>
        <w:widowControl w:val="0"/>
        <w:tabs>
          <w:tab w:val="left" w:pos="0"/>
        </w:tabs>
        <w:autoSpaceDE w:val="0"/>
        <w:autoSpaceDN w:val="0"/>
        <w:adjustRightInd w:val="0"/>
        <w:spacing w:before="100" w:beforeAutospacing="1" w:after="100" w:afterAutospacing="1" w:line="360" w:lineRule="auto"/>
        <w:ind w:left="0"/>
        <w:jc w:val="center"/>
        <w:rPr>
          <w:rFonts w:ascii="Palatino Linotype" w:hAnsi="Palatino Linotype" w:cs="Arial"/>
        </w:rPr>
      </w:pPr>
      <w:r w:rsidRPr="00B14F1C">
        <w:rPr>
          <w:noProof/>
          <w:lang w:eastAsia="es-MX"/>
        </w:rPr>
        <w:drawing>
          <wp:inline distT="0" distB="0" distL="0" distR="0">
            <wp:extent cx="5445844" cy="1153236"/>
            <wp:effectExtent l="0" t="0" r="254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534" t="10334" r="28635" b="75021"/>
                    <a:stretch/>
                  </pic:blipFill>
                  <pic:spPr bwMode="auto">
                    <a:xfrm>
                      <a:off x="0" y="0"/>
                      <a:ext cx="5506604" cy="1166103"/>
                    </a:xfrm>
                    <a:prstGeom prst="rect">
                      <a:avLst/>
                    </a:prstGeom>
                    <a:ln>
                      <a:noFill/>
                    </a:ln>
                    <a:extLst>
                      <a:ext uri="{53640926-AAD7-44D8-BBD7-CCE9431645EC}">
                        <a14:shadowObscured xmlns:a14="http://schemas.microsoft.com/office/drawing/2010/main"/>
                      </a:ext>
                    </a:extLst>
                  </pic:spPr>
                </pic:pic>
              </a:graphicData>
            </a:graphic>
          </wp:inline>
        </w:drawing>
      </w:r>
    </w:p>
    <w:p w:rsidR="00D66084" w:rsidRPr="00B14F1C" w:rsidRDefault="00D66084" w:rsidP="00D66084">
      <w:pPr>
        <w:spacing w:before="100" w:beforeAutospacing="1" w:after="100" w:afterAutospacing="1" w:line="360" w:lineRule="auto"/>
        <w:jc w:val="both"/>
        <w:rPr>
          <w:rFonts w:ascii="Palatino Linotype" w:hAnsi="Palatino Linotype" w:cs="Arial"/>
        </w:rPr>
      </w:pPr>
      <w:r w:rsidRPr="00B14F1C">
        <w:rPr>
          <w:rFonts w:ascii="Palatino Linotype" w:eastAsia="Arial Unicode MS" w:hAnsi="Palatino Linotype" w:cs="Arial"/>
          <w:b/>
          <w:sz w:val="28"/>
          <w:szCs w:val="28"/>
        </w:rPr>
        <w:t xml:space="preserve">VIII. </w:t>
      </w:r>
      <w:r w:rsidRPr="00B14F1C">
        <w:rPr>
          <w:rFonts w:ascii="Palatino Linotype" w:hAnsi="Palatino Linotype" w:cs="Arial"/>
        </w:rPr>
        <w:t xml:space="preserve">Una vez </w:t>
      </w:r>
      <w:r w:rsidRPr="00B14F1C">
        <w:rPr>
          <w:rFonts w:ascii="Palatino Linotype" w:hAnsi="Palatino Linotype" w:cs="Arial"/>
          <w:color w:val="000000" w:themeColor="text1"/>
        </w:rPr>
        <w:t>analizado</w:t>
      </w:r>
      <w:r w:rsidRPr="00B14F1C">
        <w:rPr>
          <w:rFonts w:ascii="Palatino Linotype" w:hAnsi="Palatino Linotype" w:cs="Arial"/>
        </w:rPr>
        <w:t xml:space="preserve"> el estado procesal que guardaba el expediente, en fecha veintisiete de agosto de dos mil veinte, la Comisionada Ponente acordó el cierre de instrucción; así </w:t>
      </w:r>
      <w:r w:rsidRPr="00B14F1C">
        <w:rPr>
          <w:rFonts w:ascii="Palatino Linotype" w:hAnsi="Palatino Linotype" w:cs="Arial"/>
          <w:lang w:val="es-ES_tradnl"/>
        </w:rPr>
        <w:t>como,</w:t>
      </w:r>
      <w:r w:rsidRPr="00B14F1C">
        <w:rPr>
          <w:rFonts w:ascii="Palatino Linotype" w:hAnsi="Palatino Linotype" w:cs="Arial"/>
        </w:rPr>
        <w:t xml:space="preserve"> la remisión del mismo a efecto </w:t>
      </w:r>
      <w:r w:rsidRPr="00B14F1C">
        <w:rPr>
          <w:rFonts w:ascii="Palatino Linotype" w:hAnsi="Palatino Linotype" w:cs="Arial"/>
          <w:lang w:val="es-ES_tradnl"/>
        </w:rPr>
        <w:t>de</w:t>
      </w:r>
      <w:r w:rsidRPr="00B14F1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D66084" w:rsidRPr="00B14F1C" w:rsidRDefault="00D66084" w:rsidP="00D66084">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b/>
          <w:sz w:val="28"/>
          <w:szCs w:val="28"/>
        </w:rPr>
        <w:t xml:space="preserve">IX. </w:t>
      </w:r>
      <w:r w:rsidRPr="00B14F1C">
        <w:rPr>
          <w:rFonts w:ascii="Palatino Linotype" w:hAnsi="Palatino Linotype" w:cs="Arial"/>
        </w:rPr>
        <w:t xml:space="preserve">En fecha quince de septiembre de dos mil veinte, mediante correo electrónico institucional, </w:t>
      </w:r>
      <w:r w:rsidRPr="00B14F1C">
        <w:rPr>
          <w:rFonts w:ascii="Palatino Linotype" w:hAnsi="Palatino Linotype" w:cs="Arial"/>
          <w:b/>
        </w:rPr>
        <w:t xml:space="preserve">EL SUJETO OBLIGADO </w:t>
      </w:r>
      <w:r w:rsidRPr="00B14F1C">
        <w:rPr>
          <w:rFonts w:ascii="Palatino Linotype" w:hAnsi="Palatino Linotype" w:cs="Arial"/>
        </w:rPr>
        <w:t>remitió un alcance al Informe Justificado; al cual adjuntó cinco archivos electrónicos en formato PDF, mismos que se describen a continuación:</w:t>
      </w:r>
    </w:p>
    <w:p w:rsidR="00FB1099" w:rsidRPr="00B14F1C" w:rsidRDefault="00D66084" w:rsidP="00926D51">
      <w:pPr>
        <w:pStyle w:val="Prrafodelista"/>
        <w:numPr>
          <w:ilvl w:val="0"/>
          <w:numId w:val="19"/>
        </w:numPr>
        <w:spacing w:before="100" w:beforeAutospacing="1" w:after="100" w:afterAutospacing="1" w:line="360" w:lineRule="auto"/>
        <w:jc w:val="both"/>
        <w:rPr>
          <w:rFonts w:ascii="Palatino Linotype" w:hAnsi="Palatino Linotype" w:cs="Arial"/>
        </w:rPr>
      </w:pPr>
      <w:r w:rsidRPr="00B14F1C">
        <w:rPr>
          <w:rFonts w:ascii="Palatino Linotype" w:hAnsi="Palatino Linotype" w:cs="Arial"/>
          <w:b/>
        </w:rPr>
        <w:t xml:space="preserve">RR 1512 COORD ADM..pdf: </w:t>
      </w:r>
      <w:r w:rsidRPr="00B14F1C">
        <w:rPr>
          <w:rFonts w:ascii="Palatino Linotype" w:hAnsi="Palatino Linotype" w:cs="Arial"/>
        </w:rPr>
        <w:t xml:space="preserve">mismo que contiene el oficio 20700002S-2919/2020, signado por la Coordinadora Administrativa, indicando que todas las solicitudes de las diferentes áreas ejecutoras de la Secretaría de Finanzas se </w:t>
      </w:r>
      <w:r w:rsidRPr="00B14F1C">
        <w:rPr>
          <w:rFonts w:ascii="Palatino Linotype" w:hAnsi="Palatino Linotype" w:cs="Arial"/>
        </w:rPr>
        <w:lastRenderedPageBreak/>
        <w:t xml:space="preserve">ingresan a la Dirección General de Recursos Materiales </w:t>
      </w:r>
      <w:r w:rsidR="00FB1099" w:rsidRPr="00B14F1C">
        <w:rPr>
          <w:rFonts w:ascii="Palatino Linotype" w:hAnsi="Palatino Linotype" w:cs="Arial"/>
        </w:rPr>
        <w:t>por conducto de dicha Coordinación la cual aparece en los contratos como área usuaria; sin embargo, la ejecutora espec</w:t>
      </w:r>
      <w:r w:rsidR="001F015F" w:rsidRPr="00B14F1C">
        <w:rPr>
          <w:rFonts w:ascii="Palatino Linotype" w:hAnsi="Palatino Linotype" w:cs="Arial"/>
        </w:rPr>
        <w:t>í</w:t>
      </w:r>
      <w:r w:rsidR="00FB1099" w:rsidRPr="00B14F1C">
        <w:rPr>
          <w:rFonts w:ascii="Palatino Linotype" w:hAnsi="Palatino Linotype" w:cs="Arial"/>
        </w:rPr>
        <w:t xml:space="preserve">fica del contrato CS-6-2019, formalizado con la empresa Comunicación Segura, era la Dirección General del Sistema Estatal de Informática; toda vez que, la convocante es la Dirección General de Recursos Materiales y la usuaria la citada Dirección General, reiterando que en dicha Unidad Administrativa no contaban con el contrato en mención, ni las facturas o algún otro de los documentos requeridos. </w:t>
      </w:r>
    </w:p>
    <w:p w:rsidR="005B763B" w:rsidRPr="00B14F1C" w:rsidRDefault="00FB1099" w:rsidP="00FB1099">
      <w:pPr>
        <w:pStyle w:val="Prrafodelista"/>
        <w:numPr>
          <w:ilvl w:val="0"/>
          <w:numId w:val="19"/>
        </w:numPr>
        <w:spacing w:before="100" w:beforeAutospacing="1" w:after="100" w:afterAutospacing="1" w:line="360" w:lineRule="auto"/>
        <w:jc w:val="both"/>
        <w:rPr>
          <w:rFonts w:ascii="Palatino Linotype" w:hAnsi="Palatino Linotype" w:cs="Arial"/>
          <w:b/>
        </w:rPr>
      </w:pPr>
      <w:r w:rsidRPr="00B14F1C">
        <w:rPr>
          <w:rFonts w:ascii="Palatino Linotype" w:hAnsi="Palatino Linotype" w:cs="Arial"/>
          <w:b/>
        </w:rPr>
        <w:t xml:space="preserve">RR 1512 SEI.pdf: </w:t>
      </w:r>
      <w:r w:rsidR="00BE0779" w:rsidRPr="00B14F1C">
        <w:rPr>
          <w:rFonts w:ascii="Palatino Linotype" w:hAnsi="Palatino Linotype" w:cs="Arial"/>
        </w:rPr>
        <w:t xml:space="preserve">contiene el oficio número 20706007040000L/031/2020, signado por el Servidor Público Habilitado de la Dirección General del Sistema Estatal de Informática, mediante el cual, informó que en relación al contrato CS/6/2019 y con la solicitud de información que diera origen al recurso de revisión al rubro citado, comentaba que después de haber verificado en los archivos de esa Dirección, el contrato referido no tiene relación alguna con las empresas listadas por la particular o con alguna de sus filiales, agregando que el contrato en mención o tiene relación con </w:t>
      </w:r>
      <w:r w:rsidR="005B763B" w:rsidRPr="00B14F1C">
        <w:rPr>
          <w:rFonts w:ascii="Palatino Linotype" w:hAnsi="Palatino Linotype" w:cs="Arial"/>
        </w:rPr>
        <w:t>la versión pública de cualquier documento que tuviera que ver con el contrato o renovación de cualquier software, licencia o herramienta tecnológica para la intervención de comunicaciones privadas y/o investigación forense.</w:t>
      </w:r>
    </w:p>
    <w:p w:rsidR="0098314C" w:rsidRPr="00B14F1C" w:rsidRDefault="005B763B" w:rsidP="00FB1099">
      <w:pPr>
        <w:pStyle w:val="Prrafodelista"/>
        <w:numPr>
          <w:ilvl w:val="0"/>
          <w:numId w:val="19"/>
        </w:numPr>
        <w:spacing w:before="100" w:beforeAutospacing="1" w:after="100" w:afterAutospacing="1" w:line="360" w:lineRule="auto"/>
        <w:jc w:val="both"/>
        <w:rPr>
          <w:rFonts w:ascii="Palatino Linotype" w:hAnsi="Palatino Linotype" w:cs="Arial"/>
          <w:b/>
        </w:rPr>
      </w:pPr>
      <w:r w:rsidRPr="00B14F1C">
        <w:rPr>
          <w:rFonts w:ascii="Palatino Linotype" w:hAnsi="Palatino Linotype" w:cs="Arial"/>
          <w:b/>
        </w:rPr>
        <w:t xml:space="preserve">INVITACIÓN DE PARTICIPACIÓN RR 1512.pdf: </w:t>
      </w:r>
      <w:r w:rsidRPr="00B14F1C">
        <w:rPr>
          <w:rFonts w:ascii="Palatino Linotype" w:hAnsi="Palatino Linotype" w:cs="Arial"/>
        </w:rPr>
        <w:t xml:space="preserve">contiene tres fojas consistentes en la Invitación de Participación a Oferentes de fecha veintisiete de diciembre de dos mil diecisiete, con el número de concurso IRP-094-2017, para la compra de equipos y aparatos para comunicación, telecomunicación y radio </w:t>
      </w:r>
      <w:r w:rsidR="0098314C" w:rsidRPr="00B14F1C">
        <w:rPr>
          <w:rFonts w:ascii="Palatino Linotype" w:hAnsi="Palatino Linotype" w:cs="Arial"/>
        </w:rPr>
        <w:t xml:space="preserve">transmisión. </w:t>
      </w:r>
    </w:p>
    <w:p w:rsidR="00176F53" w:rsidRPr="00B14F1C" w:rsidRDefault="0098314C" w:rsidP="00FD45EF">
      <w:pPr>
        <w:pStyle w:val="Prrafodelista"/>
        <w:numPr>
          <w:ilvl w:val="0"/>
          <w:numId w:val="19"/>
        </w:numPr>
        <w:spacing w:before="100" w:beforeAutospacing="1" w:after="100" w:afterAutospacing="1" w:line="360" w:lineRule="auto"/>
        <w:jc w:val="both"/>
        <w:rPr>
          <w:rFonts w:ascii="Palatino Linotype" w:hAnsi="Palatino Linotype" w:cs="Arial"/>
          <w:b/>
        </w:rPr>
      </w:pPr>
      <w:r w:rsidRPr="00B14F1C">
        <w:rPr>
          <w:rFonts w:ascii="Palatino Linotype" w:hAnsi="Palatino Linotype" w:cs="Arial"/>
          <w:b/>
        </w:rPr>
        <w:lastRenderedPageBreak/>
        <w:t xml:space="preserve">1512 RR DGRM.pdf: </w:t>
      </w:r>
      <w:r w:rsidRPr="00B14F1C">
        <w:rPr>
          <w:rFonts w:ascii="Palatino Linotype" w:hAnsi="Palatino Linotype" w:cs="Arial"/>
        </w:rPr>
        <w:t>contiene el oficio número 20706005000200S-0280/2020, signado por el Servidor Público Habilitado de la Dirección General de Recursos Materiales, en el que manifestó que a fin de garantizar el principio de máxima publicidad adjuntaba a dicho oficio las invitaciones descritas en el archivo anterior, relacionadas con el contrato CB/157/2017, asimismo informó que después de haber verificado informó que no</w:t>
      </w:r>
      <w:r w:rsidR="00176F53" w:rsidRPr="00B14F1C">
        <w:rPr>
          <w:rFonts w:ascii="Palatino Linotype" w:hAnsi="Palatino Linotype" w:cs="Arial"/>
        </w:rPr>
        <w:t xml:space="preserve"> existe relación alguna con las empresas que se enlistan en la solicitud de información de origen; así como tampoco, con la documentación relacionada con la contratación o renovación de cualquier software, licencia o herramienta tecnológica para la intervención de comunicaciones privadas y/o investigación forense. </w:t>
      </w:r>
    </w:p>
    <w:p w:rsidR="00FB1099" w:rsidRPr="00B14F1C" w:rsidRDefault="00176F53" w:rsidP="00FB1099">
      <w:pPr>
        <w:pStyle w:val="Prrafodelista"/>
        <w:numPr>
          <w:ilvl w:val="0"/>
          <w:numId w:val="19"/>
        </w:numPr>
        <w:spacing w:before="100" w:beforeAutospacing="1" w:after="100" w:afterAutospacing="1" w:line="360" w:lineRule="auto"/>
        <w:jc w:val="both"/>
        <w:rPr>
          <w:rFonts w:ascii="Palatino Linotype" w:hAnsi="Palatino Linotype" w:cs="Arial"/>
          <w:b/>
        </w:rPr>
      </w:pPr>
      <w:r w:rsidRPr="00B14F1C">
        <w:rPr>
          <w:rFonts w:ascii="Palatino Linotype" w:hAnsi="Palatino Linotype" w:cs="Arial"/>
          <w:b/>
        </w:rPr>
        <w:t xml:space="preserve">RR 1512 ALCANCE UT.pdf: </w:t>
      </w:r>
      <w:r w:rsidRPr="00B14F1C">
        <w:rPr>
          <w:rFonts w:ascii="Palatino Linotype" w:hAnsi="Palatino Linotype" w:cs="Arial"/>
        </w:rPr>
        <w:t>cont</w:t>
      </w:r>
      <w:bookmarkStart w:id="0" w:name="_GoBack"/>
      <w:bookmarkEnd w:id="0"/>
      <w:r w:rsidRPr="00B14F1C">
        <w:rPr>
          <w:rFonts w:ascii="Palatino Linotype" w:hAnsi="Palatino Linotype" w:cs="Arial"/>
        </w:rPr>
        <w:t xml:space="preserve">iene el escrito mediante el cual el Titular de la Unidad de Transparencia remitió el alcance al Informe Justificado correspondiente al recurso de revisión de mérito. </w:t>
      </w:r>
    </w:p>
    <w:p w:rsidR="00D66084" w:rsidRPr="00B14F1C" w:rsidRDefault="00D66084" w:rsidP="00D66084">
      <w:pPr>
        <w:spacing w:before="100" w:beforeAutospacing="1" w:after="100" w:afterAutospacing="1"/>
        <w:jc w:val="center"/>
        <w:rPr>
          <w:rFonts w:ascii="Palatino Linotype" w:hAnsi="Palatino Linotype"/>
          <w:b/>
          <w:bCs/>
          <w:spacing w:val="40"/>
          <w:sz w:val="28"/>
        </w:rPr>
      </w:pPr>
      <w:r w:rsidRPr="00B14F1C">
        <w:rPr>
          <w:rFonts w:ascii="Palatino Linotype" w:hAnsi="Palatino Linotype"/>
          <w:b/>
          <w:bCs/>
          <w:spacing w:val="40"/>
          <w:sz w:val="28"/>
        </w:rPr>
        <w:t>CONSIDERANDO</w:t>
      </w:r>
    </w:p>
    <w:p w:rsidR="00D66084" w:rsidRPr="00B14F1C" w:rsidRDefault="00D66084" w:rsidP="00D66084">
      <w:pPr>
        <w:spacing w:before="100" w:beforeAutospacing="1" w:after="100" w:afterAutospacing="1" w:line="360" w:lineRule="auto"/>
        <w:ind w:right="50"/>
        <w:jc w:val="both"/>
        <w:rPr>
          <w:rFonts w:ascii="Palatino Linotype" w:hAnsi="Palatino Linotype" w:cs="Arial"/>
        </w:rPr>
      </w:pPr>
      <w:r w:rsidRPr="00B14F1C">
        <w:rPr>
          <w:rFonts w:ascii="Palatino Linotype" w:hAnsi="Palatino Linotype"/>
          <w:b/>
          <w:sz w:val="28"/>
          <w:szCs w:val="28"/>
        </w:rPr>
        <w:t>PRIMERO</w:t>
      </w:r>
      <w:r w:rsidRPr="00B14F1C">
        <w:rPr>
          <w:rFonts w:ascii="Palatino Linotype" w:hAnsi="Palatino Linotype"/>
          <w:b/>
        </w:rPr>
        <w:t>.</w:t>
      </w:r>
      <w:r w:rsidRPr="00B14F1C">
        <w:rPr>
          <w:rFonts w:ascii="Palatino Linotype" w:hAnsi="Palatino Linotype"/>
        </w:rPr>
        <w:t xml:space="preserve"> </w:t>
      </w:r>
      <w:r w:rsidRPr="00B14F1C">
        <w:rPr>
          <w:rFonts w:ascii="Palatino Linotype" w:hAnsi="Palatino Linotype"/>
          <w:b/>
        </w:rPr>
        <w:t>Competencia</w:t>
      </w:r>
      <w:r w:rsidRPr="00B14F1C">
        <w:rPr>
          <w:rFonts w:ascii="Palatino Linotype" w:hAnsi="Palatino Linotype"/>
        </w:rPr>
        <w:t>.</w:t>
      </w:r>
      <w:r w:rsidRPr="00B14F1C">
        <w:rPr>
          <w:rFonts w:ascii="Palatino Linotype" w:hAnsi="Palatino Linotype"/>
          <w:b/>
        </w:rPr>
        <w:t xml:space="preserve"> </w:t>
      </w:r>
      <w:r w:rsidRPr="00B14F1C">
        <w:rPr>
          <w:rFonts w:ascii="Palatino Linotype" w:hAnsi="Palatino Linotype"/>
        </w:rPr>
        <w:t xml:space="preserve">Este Instituto de </w:t>
      </w:r>
      <w:r w:rsidRPr="00B14F1C">
        <w:rPr>
          <w:rFonts w:ascii="Palatino Linotype" w:hAnsi="Palatino Linotype" w:cs="Arial"/>
        </w:rPr>
        <w:t>Transparencia</w:t>
      </w:r>
      <w:r w:rsidRPr="00B14F1C">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B14F1C">
        <w:rPr>
          <w:rFonts w:ascii="Palatino Linotype" w:eastAsia="Calibri" w:hAnsi="Palatino Linotype" w:cs="Arial"/>
        </w:rPr>
        <w:t xml:space="preserve">párrafos </w:t>
      </w:r>
      <w:r w:rsidRPr="00B14F1C">
        <w:rPr>
          <w:rFonts w:ascii="Palatino Linotype" w:hAnsi="Palatino Linotype"/>
        </w:rPr>
        <w:t xml:space="preserve">vigésimo </w:t>
      </w:r>
      <w:r w:rsidRPr="00B14F1C">
        <w:rPr>
          <w:rFonts w:ascii="Palatino Linotype" w:hAnsi="Palatino Linotype" w:cs="Arial"/>
        </w:rPr>
        <w:t>segundo,</w:t>
      </w:r>
      <w:r w:rsidRPr="00B14F1C">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14F1C">
        <w:rPr>
          <w:rFonts w:ascii="Palatino Linotype" w:hAnsi="Palatino Linotype" w:cs="Arial"/>
        </w:rPr>
        <w:t xml:space="preserve">; y 9, fracciones I y XXIV y 11 del Reglamento Interior del Instituto de </w:t>
      </w:r>
      <w:r w:rsidRPr="00B14F1C">
        <w:rPr>
          <w:rFonts w:ascii="Palatino Linotype" w:hAnsi="Palatino Linotype" w:cs="Arial"/>
        </w:rPr>
        <w:lastRenderedPageBreak/>
        <w:t>Transparencia, Acceso a la Información Pública y Protección de Datos Personales del Estado de México y Municipios.</w:t>
      </w:r>
    </w:p>
    <w:p w:rsidR="00D66084" w:rsidRPr="00B14F1C" w:rsidRDefault="00D66084" w:rsidP="00D66084">
      <w:pPr>
        <w:spacing w:before="100" w:beforeAutospacing="1" w:after="100" w:afterAutospacing="1" w:line="360" w:lineRule="auto"/>
        <w:jc w:val="both"/>
        <w:rPr>
          <w:rFonts w:ascii="Palatino Linotype" w:hAnsi="Palatino Linotype" w:cs="Arial"/>
          <w:b/>
          <w:snapToGrid w:val="0"/>
        </w:rPr>
      </w:pPr>
      <w:r w:rsidRPr="00B14F1C">
        <w:rPr>
          <w:rFonts w:ascii="Palatino Linotype" w:hAnsi="Palatino Linotype" w:cs="Arial"/>
          <w:b/>
          <w:sz w:val="28"/>
        </w:rPr>
        <w:t>SEGUNDO</w:t>
      </w:r>
      <w:r w:rsidRPr="00B14F1C">
        <w:rPr>
          <w:rFonts w:ascii="Palatino Linotype" w:hAnsi="Palatino Linotype" w:cs="Arial"/>
          <w:b/>
        </w:rPr>
        <w:t xml:space="preserve">. Interés. </w:t>
      </w:r>
      <w:r w:rsidRPr="00B14F1C">
        <w:rPr>
          <w:rFonts w:ascii="Palatino Linotype" w:hAnsi="Palatino Linotype" w:cs="Arial"/>
          <w:bCs/>
        </w:rPr>
        <w:t xml:space="preserve">El recurso de revisión fue interpuesto por parte legítima, en atención a que se presentó por </w:t>
      </w:r>
      <w:r w:rsidRPr="00B14F1C">
        <w:rPr>
          <w:rFonts w:ascii="Palatino Linotype" w:hAnsi="Palatino Linotype" w:cs="Arial"/>
          <w:b/>
          <w:bCs/>
        </w:rPr>
        <w:t>EL RECURRENTE,</w:t>
      </w:r>
      <w:r w:rsidRPr="00B14F1C">
        <w:rPr>
          <w:rFonts w:ascii="Palatino Linotype" w:hAnsi="Palatino Linotype" w:cs="Arial"/>
          <w:bCs/>
        </w:rPr>
        <w:t xml:space="preserve"> quien es la misma persona que formuló la solicitud de información pública.</w:t>
      </w:r>
    </w:p>
    <w:p w:rsidR="00D66084" w:rsidRPr="00B14F1C" w:rsidRDefault="00D66084" w:rsidP="00D66084">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B14F1C">
        <w:rPr>
          <w:rFonts w:ascii="Palatino Linotype" w:hAnsi="Palatino Linotype" w:cs="Arial"/>
          <w:b/>
          <w:sz w:val="28"/>
          <w:szCs w:val="28"/>
        </w:rPr>
        <w:t>TERCERO. O</w:t>
      </w:r>
      <w:r w:rsidRPr="00B14F1C">
        <w:rPr>
          <w:rFonts w:ascii="Palatino Linotype" w:hAnsi="Palatino Linotype" w:cs="Arial"/>
          <w:b/>
        </w:rPr>
        <w:t xml:space="preserve">portunidad. </w:t>
      </w:r>
      <w:r w:rsidRPr="00B14F1C">
        <w:rPr>
          <w:rFonts w:ascii="Palatino Linotype" w:hAnsi="Palatino Linotype" w:cs="Arial"/>
        </w:rPr>
        <w:t xml:space="preserve">El recurso de revisión fue interpuesto dentro del plazo de quince días hábiles contados a partir del día siguiente al en que </w:t>
      </w:r>
      <w:r w:rsidRPr="00B14F1C">
        <w:rPr>
          <w:rFonts w:ascii="Palatino Linotype" w:hAnsi="Palatino Linotype" w:cs="Arial"/>
          <w:b/>
        </w:rPr>
        <w:t xml:space="preserve">LA RECURRENTE </w:t>
      </w:r>
      <w:r w:rsidRPr="00B14F1C">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D66084" w:rsidRPr="00B14F1C" w:rsidRDefault="00D66084" w:rsidP="00D66084">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D66084" w:rsidRPr="00B14F1C" w:rsidRDefault="00D66084" w:rsidP="00D66084">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14F1C">
        <w:rPr>
          <w:rFonts w:ascii="Palatino Linotype" w:eastAsiaTheme="minorEastAsia" w:hAnsi="Palatino Linotype" w:cs="Arial"/>
          <w:b/>
          <w:i/>
          <w:sz w:val="22"/>
          <w:szCs w:val="22"/>
          <w:lang w:val="es-ES_tradnl"/>
        </w:rPr>
        <w:t>“Artículo 178.</w:t>
      </w:r>
      <w:r w:rsidRPr="00B14F1C">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66084" w:rsidRPr="00B14F1C" w:rsidRDefault="00D66084" w:rsidP="00D66084">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14F1C">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66084" w:rsidRPr="00B14F1C" w:rsidRDefault="00D66084" w:rsidP="00D66084">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B14F1C">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B14F1C">
        <w:rPr>
          <w:rFonts w:ascii="Palatino Linotype" w:eastAsiaTheme="minorEastAsia" w:hAnsi="Palatino Linotype" w:cs="Arial"/>
          <w:b/>
          <w:i/>
          <w:sz w:val="22"/>
          <w:szCs w:val="22"/>
          <w:lang w:val="es-ES_tradnl"/>
        </w:rPr>
        <w:t>”</w:t>
      </w:r>
    </w:p>
    <w:p w:rsidR="00D66084" w:rsidRPr="00B14F1C" w:rsidRDefault="00D66084" w:rsidP="00D66084">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D66084" w:rsidRPr="00B14F1C" w:rsidRDefault="00D66084" w:rsidP="00D66084">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B14F1C">
        <w:rPr>
          <w:rFonts w:ascii="Palatino Linotype" w:eastAsiaTheme="minorEastAsia" w:hAnsi="Palatino Linotype" w:cs="Arial"/>
          <w:color w:val="000000" w:themeColor="text1"/>
          <w:lang w:val="es-ES_tradnl"/>
        </w:rPr>
        <w:t xml:space="preserve">En efecto, atendiendo a que </w:t>
      </w:r>
      <w:r w:rsidRPr="00B14F1C">
        <w:rPr>
          <w:rFonts w:ascii="Palatino Linotype" w:eastAsiaTheme="minorEastAsia" w:hAnsi="Palatino Linotype" w:cs="Arial"/>
          <w:b/>
          <w:color w:val="000000" w:themeColor="text1"/>
          <w:lang w:val="es-ES_tradnl"/>
        </w:rPr>
        <w:t>EL SUJETO OBLIGADO</w:t>
      </w:r>
      <w:r w:rsidRPr="00B14F1C">
        <w:rPr>
          <w:rFonts w:ascii="Palatino Linotype" w:eastAsiaTheme="minorEastAsia" w:hAnsi="Palatino Linotype" w:cs="Arial"/>
          <w:color w:val="000000" w:themeColor="text1"/>
          <w:lang w:val="es-ES_tradnl"/>
        </w:rPr>
        <w:t xml:space="preserve"> notificó la respuesta a la solicitud de información pública el </w:t>
      </w:r>
      <w:r w:rsidRPr="00B14F1C">
        <w:rPr>
          <w:rFonts w:ascii="Palatino Linotype" w:eastAsiaTheme="minorEastAsia" w:hAnsi="Palatino Linotype" w:cs="Arial"/>
          <w:b/>
          <w:color w:val="000000" w:themeColor="text1"/>
          <w:lang w:val="es-ES_tradnl"/>
        </w:rPr>
        <w:t xml:space="preserve">dieciocho de febrero de dos mil veinte; </w:t>
      </w:r>
      <w:r w:rsidRPr="00B14F1C">
        <w:rPr>
          <w:rFonts w:ascii="Palatino Linotype" w:hAnsi="Palatino Linotype" w:cs="Arial"/>
          <w:color w:val="000000" w:themeColor="text1"/>
        </w:rPr>
        <w:t xml:space="preserve">en consecuencia, el plazo de quince días hábiles que el artículo 178 de la ley de la </w:t>
      </w:r>
      <w:r w:rsidRPr="00B14F1C">
        <w:rPr>
          <w:rFonts w:ascii="Palatino Linotype" w:hAnsi="Palatino Linotype" w:cs="Arial"/>
          <w:color w:val="000000" w:themeColor="text1"/>
        </w:rPr>
        <w:lastRenderedPageBreak/>
        <w:t>materia otorga al</w:t>
      </w:r>
      <w:r w:rsidRPr="00B14F1C">
        <w:rPr>
          <w:rFonts w:ascii="Palatino Linotype" w:hAnsi="Palatino Linotype" w:cs="Arial"/>
          <w:b/>
          <w:color w:val="000000" w:themeColor="text1"/>
        </w:rPr>
        <w:t xml:space="preserve"> RECURRENTE</w:t>
      </w:r>
      <w:r w:rsidRPr="00B14F1C">
        <w:rPr>
          <w:rFonts w:ascii="Palatino Linotype" w:hAnsi="Palatino Linotype" w:cs="Arial"/>
          <w:color w:val="000000" w:themeColor="text1"/>
        </w:rPr>
        <w:t xml:space="preserve"> para presentar el recurso de revisión, transcurrió del</w:t>
      </w:r>
      <w:r w:rsidRPr="00B14F1C">
        <w:rPr>
          <w:rFonts w:ascii="Palatino Linotype" w:hAnsi="Palatino Linotype" w:cs="Arial"/>
          <w:b/>
          <w:color w:val="000000" w:themeColor="text1"/>
        </w:rPr>
        <w:t xml:space="preserve"> diecinueve de febrero al quince de marzo de dos mil veinte</w:t>
      </w:r>
      <w:r w:rsidRPr="00B14F1C">
        <w:rPr>
          <w:rFonts w:ascii="Palatino Linotype" w:hAnsi="Palatino Linotype" w:cs="Arial"/>
          <w:color w:val="000000" w:themeColor="text1"/>
        </w:rPr>
        <w:t xml:space="preserve">, sin contemplar en el cómputo los días veintidós, veintitrés y veintinueve de febrero, uno, siete y ocho de marzo de dos mil veinte, </w:t>
      </w:r>
      <w:r w:rsidRPr="00B14F1C">
        <w:rPr>
          <w:rFonts w:ascii="Palatino Linotype" w:hAnsi="Palatino Linotype" w:cs="Arial"/>
        </w:rPr>
        <w:t xml:space="preserve">por corresponder a sábados y domingos, considerados como días inhábiles, en términos del artículo 3, fracción X de la </w:t>
      </w:r>
      <w:r w:rsidRPr="00B14F1C">
        <w:rPr>
          <w:rFonts w:ascii="Palatino Linotype" w:hAnsi="Palatino Linotype"/>
        </w:rPr>
        <w:t xml:space="preserve">Ley de Transparencia y Acceso a la Información Pública del Estado de México y Municipios; </w:t>
      </w:r>
      <w:r w:rsidRPr="00B14F1C">
        <w:rPr>
          <w:rFonts w:ascii="Palatino Linotype" w:hAnsi="Palatino Linotype" w:cs="Arial"/>
        </w:rPr>
        <w:t>así como, el día dos de marzo del presente año, por corresponder a un día de suspensión de labores en el Instituto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D66084" w:rsidRPr="00B14F1C" w:rsidRDefault="00D66084" w:rsidP="00D66084">
      <w:pPr>
        <w:spacing w:before="100" w:beforeAutospacing="1" w:after="100" w:afterAutospacing="1" w:line="360" w:lineRule="auto"/>
        <w:jc w:val="both"/>
        <w:rPr>
          <w:rFonts w:ascii="Palatino Linotype" w:eastAsiaTheme="minorEastAsia" w:hAnsi="Palatino Linotype" w:cs="Arial"/>
          <w:lang w:val="es-ES_tradnl"/>
        </w:rPr>
      </w:pPr>
      <w:r w:rsidRPr="00B14F1C">
        <w:rPr>
          <w:rFonts w:ascii="Palatino Linotype" w:eastAsiaTheme="minorEastAsia" w:hAnsi="Palatino Linotype" w:cs="Arial"/>
          <w:lang w:val="es-ES_tradnl"/>
        </w:rPr>
        <w:t>En ese tenor, si el recurso de revisión que nos ocupa, se interpuso el</w:t>
      </w:r>
      <w:r w:rsidRPr="00B14F1C">
        <w:rPr>
          <w:rFonts w:ascii="Palatino Linotype" w:eastAsiaTheme="minorEastAsia" w:hAnsi="Palatino Linotype" w:cs="Arial"/>
          <w:b/>
          <w:lang w:val="es-ES_tradnl"/>
        </w:rPr>
        <w:t xml:space="preserve"> diez de marzo de dos mil veinte,</w:t>
      </w:r>
      <w:r w:rsidRPr="00B14F1C">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D66084" w:rsidRPr="00B14F1C" w:rsidRDefault="00D66084" w:rsidP="00D66084">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B14F1C">
        <w:rPr>
          <w:rFonts w:ascii="Palatino Linotype" w:hAnsi="Palatino Linotype" w:cs="Arial"/>
          <w:b/>
          <w:sz w:val="28"/>
          <w:szCs w:val="28"/>
        </w:rPr>
        <w:t xml:space="preserve">CUARTO. </w:t>
      </w:r>
      <w:r w:rsidRPr="00B14F1C">
        <w:rPr>
          <w:rFonts w:ascii="Palatino Linotype" w:hAnsi="Palatino Linotype" w:cs="Arial"/>
          <w:b/>
          <w:szCs w:val="28"/>
        </w:rPr>
        <w:t xml:space="preserve">Procedibilidad. </w:t>
      </w:r>
      <w:r w:rsidRPr="00B14F1C">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B14F1C">
        <w:rPr>
          <w:rFonts w:ascii="Palatino Linotype" w:hAnsi="Palatino Linotype" w:cs="Arial"/>
          <w:b/>
          <w:szCs w:val="28"/>
        </w:rPr>
        <w:t>SAIMEX.</w:t>
      </w:r>
    </w:p>
    <w:p w:rsidR="00AE76D1" w:rsidRPr="00B14F1C" w:rsidRDefault="00D66084" w:rsidP="00AE76D1">
      <w:pPr>
        <w:spacing w:before="100" w:beforeAutospacing="1" w:after="100" w:afterAutospacing="1" w:line="360" w:lineRule="auto"/>
        <w:jc w:val="both"/>
        <w:rPr>
          <w:rFonts w:ascii="Palatino Linotype" w:eastAsia="Arial Unicode MS" w:hAnsi="Palatino Linotype" w:cs="Arial"/>
        </w:rPr>
      </w:pPr>
      <w:r w:rsidRPr="00B14F1C">
        <w:rPr>
          <w:rFonts w:ascii="Palatino Linotype" w:hAnsi="Palatino Linotype"/>
          <w:b/>
          <w:sz w:val="28"/>
          <w:szCs w:val="20"/>
          <w:lang w:val="es-ES_tradnl"/>
        </w:rPr>
        <w:t xml:space="preserve">QUINTO. </w:t>
      </w:r>
      <w:r w:rsidR="0010398C" w:rsidRPr="00B14F1C">
        <w:rPr>
          <w:rFonts w:ascii="Palatino Linotype" w:eastAsiaTheme="minorEastAsia" w:hAnsi="Palatino Linotype" w:cs="Arial"/>
          <w:b/>
          <w:lang w:val="es-ES_tradnl"/>
        </w:rPr>
        <w:t>Análisis de causal de sobreseimiento.</w:t>
      </w:r>
      <w:r w:rsidR="0010398C" w:rsidRPr="00B14F1C">
        <w:rPr>
          <w:rFonts w:ascii="Palatino Linotype" w:eastAsia="Arial Unicode MS" w:hAnsi="Palatino Linotype" w:cs="Arial"/>
        </w:rPr>
        <w:t xml:space="preserve"> </w:t>
      </w:r>
      <w:r w:rsidR="00AE76D1" w:rsidRPr="00B14F1C">
        <w:rPr>
          <w:rFonts w:ascii="Palatino Linotype" w:eastAsia="Arial Unicode MS" w:hAnsi="Palatino Linotype" w:cs="Arial"/>
        </w:rPr>
        <w:t xml:space="preserve">Este Órgano Colegiado advierte que en el caso se actualiza la causal de sobreseimiento prevista en la fracción III del </w:t>
      </w:r>
      <w:r w:rsidR="00AE76D1" w:rsidRPr="00B14F1C">
        <w:rPr>
          <w:rFonts w:ascii="Palatino Linotype" w:eastAsia="Arial Unicode MS" w:hAnsi="Palatino Linotype" w:cs="Arial"/>
        </w:rPr>
        <w:lastRenderedPageBreak/>
        <w:t xml:space="preserve">artículo 192 de la Ley de Transparencia y Acceso a la Información Pública del Estado de México y Municipios, que a la letra dice: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w:t>
      </w:r>
      <w:r w:rsidRPr="00B14F1C">
        <w:rPr>
          <w:rFonts w:ascii="Palatino Linotype" w:hAnsi="Palatino Linotype" w:cs="Arial"/>
          <w:b/>
          <w:i/>
          <w:sz w:val="22"/>
          <w:szCs w:val="22"/>
        </w:rPr>
        <w:t xml:space="preserve">Artículo 192. </w:t>
      </w:r>
      <w:r w:rsidRPr="00B14F1C">
        <w:rPr>
          <w:rFonts w:ascii="Palatino Linotype" w:hAnsi="Palatino Linotype" w:cs="Arial"/>
          <w:i/>
          <w:sz w:val="22"/>
          <w:szCs w:val="22"/>
        </w:rPr>
        <w:t>El recurso será sobreseído, en todo o en parte, cuando una vez admitido, se actualicen alguno de los siguientes supuestos:</w:t>
      </w:r>
    </w:p>
    <w:p w:rsidR="00AE76D1" w:rsidRPr="00B14F1C" w:rsidRDefault="00AE76D1" w:rsidP="00AE76D1">
      <w:pPr>
        <w:ind w:left="851" w:right="901"/>
        <w:jc w:val="both"/>
        <w:rPr>
          <w:rFonts w:ascii="Palatino Linotype" w:hAnsi="Palatino Linotype" w:cs="Arial"/>
          <w:i/>
          <w:sz w:val="22"/>
          <w:szCs w:val="22"/>
        </w:rPr>
      </w:pPr>
      <w:r w:rsidRPr="00B14F1C">
        <w:rPr>
          <w:rFonts w:ascii="Palatino Linotype" w:hAnsi="Palatino Linotype" w:cs="Arial"/>
          <w:i/>
          <w:sz w:val="22"/>
          <w:szCs w:val="22"/>
        </w:rPr>
        <w:t>(…)</w:t>
      </w:r>
    </w:p>
    <w:p w:rsidR="00AE76D1" w:rsidRPr="00B14F1C" w:rsidRDefault="00AE76D1" w:rsidP="00AE76D1">
      <w:pPr>
        <w:tabs>
          <w:tab w:val="left" w:pos="851"/>
        </w:tabs>
        <w:ind w:left="851" w:right="901"/>
        <w:jc w:val="both"/>
        <w:rPr>
          <w:rFonts w:ascii="Palatino Linotype" w:hAnsi="Palatino Linotype" w:cs="Arial"/>
          <w:b/>
          <w:i/>
          <w:sz w:val="22"/>
          <w:szCs w:val="22"/>
        </w:rPr>
      </w:pPr>
      <w:r w:rsidRPr="00B14F1C">
        <w:rPr>
          <w:rFonts w:ascii="Palatino Linotype" w:hAnsi="Palatino Linotype" w:cs="Arial"/>
          <w:b/>
          <w:i/>
          <w:sz w:val="22"/>
          <w:szCs w:val="22"/>
        </w:rPr>
        <w:t>III. El sujeto obligado responsable del acto lo modifique o revoque de tal manera que el recurso de revisión quede sin materia;</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(Énfasis añadido)” </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Luego, conforme a la transcripción que antecede, resulta conveniente desglosar los elementos de la disposición enunciada, de manera tal que el sobreseimiento del recurso de revisión cuando </w:t>
      </w:r>
      <w:r w:rsidRPr="00B14F1C">
        <w:rPr>
          <w:rFonts w:ascii="Palatino Linotype" w:hAnsi="Palatino Linotype" w:cs="Arial"/>
          <w:b/>
        </w:rPr>
        <w:t>EL SUJETO OBLIGADO</w:t>
      </w:r>
      <w:r w:rsidRPr="00B14F1C">
        <w:rPr>
          <w:rFonts w:ascii="Palatino Linotype" w:hAnsi="Palatino Linotype" w:cs="Arial"/>
        </w:rPr>
        <w:t xml:space="preserve"> modifique o revoque el acto impugnado, quedando éste sin efecto o materia.</w:t>
      </w:r>
    </w:p>
    <w:p w:rsidR="00AE76D1" w:rsidRPr="00B14F1C" w:rsidRDefault="00AE76D1" w:rsidP="00AE76D1">
      <w:pPr>
        <w:spacing w:line="360" w:lineRule="auto"/>
        <w:jc w:val="both"/>
        <w:rPr>
          <w:rFonts w:ascii="Palatino Linotype" w:hAnsi="Palatino Linotype" w:cs="Arial"/>
        </w:rPr>
      </w:pPr>
      <w:r w:rsidRPr="00B14F1C">
        <w:rPr>
          <w:rFonts w:ascii="Palatino Linotype" w:hAnsi="Palatino Linotype" w:cs="Arial"/>
        </w:rPr>
        <w:t xml:space="preserve">1.- El sujeto obligado responsable, </w:t>
      </w:r>
    </w:p>
    <w:p w:rsidR="00AE76D1" w:rsidRPr="00B14F1C" w:rsidRDefault="00AE76D1" w:rsidP="00AE76D1">
      <w:pPr>
        <w:spacing w:line="360" w:lineRule="auto"/>
        <w:jc w:val="both"/>
        <w:rPr>
          <w:rFonts w:ascii="Palatino Linotype" w:hAnsi="Palatino Linotype" w:cs="Arial"/>
        </w:rPr>
      </w:pPr>
      <w:r w:rsidRPr="00B14F1C">
        <w:rPr>
          <w:rFonts w:ascii="Palatino Linotype" w:hAnsi="Palatino Linotype" w:cs="Arial"/>
        </w:rPr>
        <w:t xml:space="preserve">2.- Acto, </w:t>
      </w:r>
    </w:p>
    <w:p w:rsidR="00AE76D1" w:rsidRPr="00B14F1C" w:rsidRDefault="00AE76D1" w:rsidP="00AE76D1">
      <w:pPr>
        <w:spacing w:line="360" w:lineRule="auto"/>
        <w:jc w:val="both"/>
        <w:rPr>
          <w:rFonts w:ascii="Palatino Linotype" w:hAnsi="Palatino Linotype" w:cs="Arial"/>
        </w:rPr>
      </w:pPr>
      <w:r w:rsidRPr="00B14F1C">
        <w:rPr>
          <w:rFonts w:ascii="Palatino Linotype" w:hAnsi="Palatino Linotype" w:cs="Arial"/>
        </w:rPr>
        <w:t>3.- Que se modifique o revoque, y</w:t>
      </w:r>
    </w:p>
    <w:p w:rsidR="00AE76D1" w:rsidRPr="00B14F1C" w:rsidRDefault="00AE76D1" w:rsidP="00AE76D1">
      <w:pPr>
        <w:spacing w:line="360" w:lineRule="auto"/>
        <w:jc w:val="both"/>
        <w:rPr>
          <w:rFonts w:ascii="Palatino Linotype" w:hAnsi="Palatino Linotype" w:cs="Arial"/>
        </w:rPr>
      </w:pPr>
      <w:r w:rsidRPr="00B14F1C">
        <w:rPr>
          <w:rFonts w:ascii="Palatino Linotype" w:hAnsi="Palatino Linotype" w:cs="Arial"/>
        </w:rPr>
        <w:t>4.- De tal manera que el medio de impugnación quede sin efecto o materia.</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El primer elemento normativo, se actualiza ya que </w:t>
      </w:r>
      <w:r w:rsidRPr="00B14F1C">
        <w:rPr>
          <w:rFonts w:ascii="Palatino Linotype" w:hAnsi="Palatino Linotype" w:cs="Arial"/>
          <w:b/>
        </w:rPr>
        <w:t>EL SUJETO OBLIGADO</w:t>
      </w:r>
      <w:r w:rsidRPr="00B14F1C">
        <w:rPr>
          <w:rFonts w:ascii="Palatino Linotype" w:hAnsi="Palatino Linotype" w:cs="Arial"/>
        </w:rPr>
        <w:t xml:space="preserve"> responsable, es la Secretaría de Finanzas.</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El segundo elemento normativo, es la existencia de un acto, en el caso en concreto que nos ocupa se actualiza con la existencia de la respuesta del </w:t>
      </w:r>
      <w:r w:rsidRPr="00B14F1C">
        <w:rPr>
          <w:rFonts w:ascii="Palatino Linotype" w:hAnsi="Palatino Linotype" w:cs="Arial"/>
          <w:b/>
        </w:rPr>
        <w:t>SUJETO OBLIGADO</w:t>
      </w:r>
      <w:r w:rsidRPr="00B14F1C">
        <w:rPr>
          <w:rFonts w:ascii="Palatino Linotype" w:hAnsi="Palatino Linotype" w:cs="Arial"/>
        </w:rPr>
        <w:t>.</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Cabe destacar que, de la respuesta otorgada por </w:t>
      </w:r>
      <w:r w:rsidRPr="00B14F1C">
        <w:rPr>
          <w:rFonts w:ascii="Palatino Linotype" w:hAnsi="Palatino Linotype" w:cs="Arial"/>
          <w:b/>
        </w:rPr>
        <w:t>EL SUJETO OBLIGADO</w:t>
      </w:r>
      <w:r w:rsidRPr="00B14F1C">
        <w:rPr>
          <w:rFonts w:ascii="Palatino Linotype" w:hAnsi="Palatino Linotype" w:cs="Arial"/>
        </w:rPr>
        <w:t xml:space="preserve">, se desprende el precepto normativo en estudio, el cual se considera como “acto”, esto es así, pues las respuestas emitidas por los Sujetos Obligados son consideradas, (en el </w:t>
      </w:r>
      <w:r w:rsidRPr="00B14F1C">
        <w:rPr>
          <w:rFonts w:ascii="Palatino Linotype" w:hAnsi="Palatino Linotype" w:cs="Arial"/>
        </w:rPr>
        <w:lastRenderedPageBreak/>
        <w:t xml:space="preserve">contexto que la propia Ley establece), como “actos”, sin los cuales no existiría certeza de la de información pública, porque precisamente la evidencia notoria y específica del actuar del </w:t>
      </w:r>
      <w:r w:rsidRPr="00B14F1C">
        <w:rPr>
          <w:rFonts w:ascii="Palatino Linotype" w:hAnsi="Palatino Linotype" w:cs="Arial"/>
          <w:b/>
        </w:rPr>
        <w:t>SUJETO OBLIGADO</w:t>
      </w:r>
      <w:r w:rsidRPr="00B14F1C">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realizar lo que expresamente les faculta la Ley; así como, otros ordenamientos jurídicos. </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b/>
          <w:i/>
          <w:sz w:val="22"/>
          <w:szCs w:val="22"/>
        </w:rPr>
        <w:t>“Artículo 53</w:t>
      </w:r>
      <w:r w:rsidRPr="00B14F1C">
        <w:rPr>
          <w:rFonts w:ascii="Palatino Linotype" w:hAnsi="Palatino Linotype" w:cs="Arial"/>
          <w:i/>
          <w:sz w:val="22"/>
          <w:szCs w:val="22"/>
        </w:rPr>
        <w:t xml:space="preserve">. Las Unidades de Transparencia tendrán las siguientes funciones: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II. Recibir, tramitar y dar respuesta a las solicitudes de acceso a la información;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IV. Realizar, con efectividad, los trámites internos necesarios para la atención de las solicitudes de acceso a la información;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V. Entregar, en su caso, a los particulares la información solicitada;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VI. Efectuar las notificaciones a los solicitantes;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lastRenderedPageBreak/>
        <w:t xml:space="preserve">VIII. Proponer a quien preside el Comité de Transparencia, personal habilitado que sea necesario para recibir y dar trámite a las solicitudes de acceso a la información;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X. Presentar ante el Comité, el proyecto de clasificación de información;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XI. Promover e implementar políticas de transparencia proactiva procurando su accesibilidad;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XII. Fomentar la transparencia y accesibilidad al interior del sujeto obligado;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rsidR="00AE76D1" w:rsidRPr="00B14F1C" w:rsidRDefault="00AE76D1" w:rsidP="00AE76D1">
      <w:pPr>
        <w:tabs>
          <w:tab w:val="left" w:pos="851"/>
        </w:tabs>
        <w:ind w:left="851" w:right="901"/>
        <w:jc w:val="both"/>
        <w:rPr>
          <w:rFonts w:ascii="Palatino Linotype" w:hAnsi="Palatino Linotype" w:cs="Arial"/>
          <w:i/>
          <w:sz w:val="22"/>
          <w:szCs w:val="22"/>
        </w:rPr>
      </w:pPr>
      <w:r w:rsidRPr="00B14F1C">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B14F1C">
        <w:rPr>
          <w:rFonts w:ascii="Palatino Linotype" w:hAnsi="Palatino Linotype" w:cs="Arial"/>
          <w:b/>
          <w:i/>
          <w:sz w:val="22"/>
          <w:szCs w:val="22"/>
        </w:rPr>
        <w:t>”</w:t>
      </w:r>
    </w:p>
    <w:p w:rsidR="00AE76D1" w:rsidRPr="00B14F1C" w:rsidRDefault="00B14F1C"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Es decir, la impugnación del </w:t>
      </w:r>
      <w:r w:rsidR="00AE76D1" w:rsidRPr="00B14F1C">
        <w:rPr>
          <w:rFonts w:ascii="Palatino Linotype" w:hAnsi="Palatino Linotype" w:cs="Arial"/>
          <w:b/>
        </w:rPr>
        <w:t>RECURRENTE</w:t>
      </w:r>
      <w:r w:rsidR="00AE76D1" w:rsidRPr="00B14F1C">
        <w:rPr>
          <w:rFonts w:ascii="Palatino Linotype" w:hAnsi="Palatino Linotype" w:cs="Arial"/>
        </w:rPr>
        <w:t xml:space="preserve"> debe ser sobre la emisión de un “Acto” contenido en la misma Ley o la omisión de éste, lo que en el presente caso se actualiza con la respuesta dada por </w:t>
      </w:r>
      <w:r w:rsidR="00AE76D1" w:rsidRPr="00B14F1C">
        <w:rPr>
          <w:rFonts w:ascii="Palatino Linotype" w:hAnsi="Palatino Linotype" w:cs="Arial"/>
          <w:b/>
        </w:rPr>
        <w:t>EL SUJETO OBLIGADO</w:t>
      </w:r>
      <w:r w:rsidR="00AE76D1" w:rsidRPr="00B14F1C">
        <w:rPr>
          <w:rFonts w:ascii="Palatino Linotype" w:hAnsi="Palatino Linotype" w:cs="Arial"/>
        </w:rPr>
        <w:t>.</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B14F1C">
        <w:rPr>
          <w:rFonts w:ascii="Palatino Linotype" w:hAnsi="Palatino Linotype" w:cs="Arial"/>
          <w:b/>
        </w:rPr>
        <w:t>la modifique o revoque</w:t>
      </w:r>
      <w:r w:rsidRPr="00B14F1C">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Por cuanto hace a la revocación, a diferencia de la modificación, ocurre cuando la dependencia o entidad responsable (</w:t>
      </w:r>
      <w:r w:rsidRPr="00B14F1C">
        <w:rPr>
          <w:rFonts w:ascii="Palatino Linotype" w:hAnsi="Palatino Linotype" w:cs="Arial"/>
          <w:b/>
        </w:rPr>
        <w:t>SUJETO OBLIGADO</w:t>
      </w:r>
      <w:r w:rsidRPr="00B14F1C">
        <w:rPr>
          <w:rFonts w:ascii="Palatino Linotype" w:hAnsi="Palatino Linotype" w:cs="Arial"/>
        </w:rPr>
        <w:t xml:space="preserve">), del acto o resolución </w:t>
      </w:r>
      <w:r w:rsidRPr="00B14F1C">
        <w:rPr>
          <w:rFonts w:ascii="Palatino Linotype" w:hAnsi="Palatino Linotype" w:cs="Arial"/>
        </w:rPr>
        <w:lastRenderedPageBreak/>
        <w:t>impugnada, suprime, elimina o cancela la totalidad de su respuesta y emite otra en su lugar dejando sin efecto lo que en un principio respondió.</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En ese tenor, un acto impugnado queda sin efectos, cuando aun existiendo jurídicamente (esto es, que no se ha modificado, ni revocado) ya no genera ninguna consecuencia legal.</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En tanto que, un acto impugnado queda sin materia, cuando ha sido satisfecha la pretensión de lo pedido o exigido por la parte </w:t>
      </w:r>
      <w:r w:rsidRPr="00B14F1C">
        <w:rPr>
          <w:rFonts w:ascii="Palatino Linotype" w:hAnsi="Palatino Linotype" w:cs="Arial"/>
          <w:b/>
          <w:color w:val="000000"/>
        </w:rPr>
        <w:t>RECURRENTE</w:t>
      </w:r>
      <w:r w:rsidRPr="00B14F1C">
        <w:rPr>
          <w:rFonts w:ascii="Palatino Linotype" w:hAnsi="Palatino Linotype" w:cs="Arial"/>
          <w:b/>
        </w:rPr>
        <w:t xml:space="preserve"> </w:t>
      </w:r>
      <w:r w:rsidRPr="00B14F1C">
        <w:rPr>
          <w:rFonts w:ascii="Palatino Linotype" w:hAnsi="Palatino Linotype" w:cs="Arial"/>
        </w:rPr>
        <w:t xml:space="preserve">de manera que </w:t>
      </w:r>
      <w:r w:rsidRPr="00B14F1C">
        <w:rPr>
          <w:rFonts w:ascii="Palatino Linotype" w:hAnsi="Palatino Linotype" w:cs="Arial"/>
          <w:b/>
        </w:rPr>
        <w:t xml:space="preserve">EL SUJETO OBLIGADO </w:t>
      </w:r>
      <w:r w:rsidRPr="00B14F1C">
        <w:rPr>
          <w:rFonts w:ascii="Palatino Linotype" w:hAnsi="Palatino Linotype" w:cs="Arial"/>
        </w:rPr>
        <w:t xml:space="preserve">entrega una respuesta que aunque sea posterior a los términos previstos en la ley, mediante ésta concede la información solicitada.  </w:t>
      </w:r>
    </w:p>
    <w:p w:rsidR="00AE76D1" w:rsidRPr="00B14F1C" w:rsidRDefault="00AE76D1"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B14F1C">
        <w:rPr>
          <w:rFonts w:ascii="Palatino Linotype" w:hAnsi="Palatino Linotype" w:cs="Arial"/>
          <w:b/>
        </w:rPr>
        <w:t>EL SUJETO OBLIGADO</w:t>
      </w:r>
      <w:r w:rsidRPr="00B14F1C">
        <w:rPr>
          <w:rFonts w:ascii="Palatino Linotype" w:hAnsi="Palatino Linotype" w:cs="Arial"/>
        </w:rPr>
        <w:t xml:space="preserve"> mediante un acto posterior a su respuesta, como lo fue con el Informe Justificado y el alcance al mismo, remitió información con lo cual, dejó sin materia el presente recurso. </w:t>
      </w:r>
    </w:p>
    <w:p w:rsidR="00D66084" w:rsidRPr="00B14F1C" w:rsidRDefault="00763372" w:rsidP="00AE76D1">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Atento a ello, </w:t>
      </w:r>
      <w:r w:rsidRPr="00B14F1C">
        <w:rPr>
          <w:rFonts w:ascii="Palatino Linotype" w:hAnsi="Palatino Linotype" w:cs="Arial"/>
          <w:color w:val="000000" w:themeColor="text1"/>
        </w:rPr>
        <w:t xml:space="preserve">es conveniente recordar que el particular </w:t>
      </w:r>
      <w:r w:rsidRPr="00B14F1C">
        <w:rPr>
          <w:rFonts w:ascii="Palatino Linotype" w:hAnsi="Palatino Linotype"/>
        </w:rPr>
        <w:t xml:space="preserve">mediante el ejercicio derecho de acceso de la información requirió </w:t>
      </w:r>
      <w:r w:rsidR="00D66084" w:rsidRPr="00B14F1C">
        <w:rPr>
          <w:rFonts w:ascii="Palatino Linotype" w:hAnsi="Palatino Linotype"/>
        </w:rPr>
        <w:t xml:space="preserve">vía </w:t>
      </w:r>
      <w:r w:rsidR="00D66084" w:rsidRPr="00B14F1C">
        <w:rPr>
          <w:rFonts w:ascii="Palatino Linotype" w:hAnsi="Palatino Linotype"/>
          <w:b/>
        </w:rPr>
        <w:t>EL</w:t>
      </w:r>
      <w:r w:rsidR="00D66084" w:rsidRPr="00B14F1C">
        <w:rPr>
          <w:rFonts w:ascii="Palatino Linotype" w:hAnsi="Palatino Linotype"/>
        </w:rPr>
        <w:t xml:space="preserve"> </w:t>
      </w:r>
      <w:r w:rsidR="00D66084" w:rsidRPr="00B14F1C">
        <w:rPr>
          <w:rFonts w:ascii="Palatino Linotype" w:hAnsi="Palatino Linotype"/>
          <w:b/>
        </w:rPr>
        <w:t>SAIMEX</w:t>
      </w:r>
      <w:r w:rsidR="00D66084" w:rsidRPr="00B14F1C">
        <w:rPr>
          <w:rFonts w:ascii="Palatino Linotype" w:hAnsi="Palatino Linotype"/>
        </w:rPr>
        <w:t>,</w:t>
      </w:r>
      <w:r w:rsidR="00D66084" w:rsidRPr="00B14F1C">
        <w:rPr>
          <w:rFonts w:ascii="Palatino Linotype" w:hAnsi="Palatino Linotype" w:cs="Arial"/>
        </w:rPr>
        <w:t xml:space="preserve"> del periodo que va del uno de enero de dos mil diez al veintisiete de enero del presente año, la siguiente información:</w:t>
      </w:r>
    </w:p>
    <w:p w:rsidR="00D66084" w:rsidRPr="00B14F1C" w:rsidRDefault="00D66084" w:rsidP="00D66084">
      <w:pPr>
        <w:pStyle w:val="Prrafodelista"/>
        <w:widowControl w:val="0"/>
        <w:numPr>
          <w:ilvl w:val="0"/>
          <w:numId w:val="7"/>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B14F1C">
        <w:rPr>
          <w:rFonts w:ascii="Palatino Linotype" w:hAnsi="Palatino Linotype" w:cs="Arial"/>
        </w:rPr>
        <w:t xml:space="preserve">Las convocatorias, licitaciones, procesos de adjudicación directa o invitación restringida en las que haya participado cualquiera de las empresas ACCESSDATA, ACCESSDATA  GROUP  LLC, BLACKBAG  </w:t>
      </w:r>
      <w:r w:rsidRPr="00B14F1C">
        <w:rPr>
          <w:rFonts w:ascii="Palatino Linotype" w:hAnsi="Palatino Linotype" w:cs="Arial"/>
        </w:rPr>
        <w:lastRenderedPageBreak/>
        <w:t>TECHNOLOGIES  INC, CELLEBRITE, CELLEBRITE  INC, CELLEBRITE  MOBILE S YNCHRONIZATION L TD, NUGA  SYS,  S.A.  DE  C.V., OPENTEXT  CORP, PASSWARE  INC, o cualquiera de sus filiales y/o subsidiarias.</w:t>
      </w:r>
    </w:p>
    <w:p w:rsidR="00D66084" w:rsidRPr="00B14F1C" w:rsidRDefault="00D66084" w:rsidP="00D66084">
      <w:pPr>
        <w:pStyle w:val="Prrafodelista"/>
        <w:widowControl w:val="0"/>
        <w:numPr>
          <w:ilvl w:val="0"/>
          <w:numId w:val="7"/>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B14F1C">
        <w:rPr>
          <w:rFonts w:ascii="Palatino Linotype" w:hAnsi="Palatino Linotype" w:cs="Arial"/>
        </w:rPr>
        <w:t>Todos los contratos celebrados entre la dependencia y las empresas ACCESSDATA, ACCESSDATA  GROUP  LLC, BLACKBAG  TECHNOLOGIES  INC, CELLEBRITE, CELLEBRITE  INC, CELLEBRITE  MOBILE S YNCHRONIZATION L TD, NUGA  SYS,  S.A.  DE  C.V., OPENTEXT  CORP, PASSWARE  INC, o cualquiera de sus filiales y/o subsidiarias.</w:t>
      </w:r>
    </w:p>
    <w:p w:rsidR="00D66084" w:rsidRPr="00B14F1C" w:rsidRDefault="00D66084" w:rsidP="00D66084">
      <w:pPr>
        <w:pStyle w:val="Prrafodelista"/>
        <w:widowControl w:val="0"/>
        <w:numPr>
          <w:ilvl w:val="0"/>
          <w:numId w:val="7"/>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B14F1C">
        <w:rPr>
          <w:rFonts w:ascii="Palatino Linotype" w:hAnsi="Palatino Linotype" w:cs="Arial"/>
        </w:rPr>
        <w:t>Todas las facturas y/o cualquier documento en el que se registre el pago realizado por la dependencia a las empresas ACCESSDATA, ACCESSDATA  GROUP  LLC, BLACKBAG  TECHNOLOGIES  INC, CELLEBRITE, CELLEBRITE  INC, CELLEBRITE  MOBILE S YNCHRONIZATION L TD, NUGA  SYS,  S.A.  DE  C.V., OPENTEXT  CORP, PASSWARE  INC, o cualquiera de sus filiales y/o subsidiarias.</w:t>
      </w:r>
    </w:p>
    <w:p w:rsidR="00D66084" w:rsidRPr="00B14F1C" w:rsidRDefault="00D66084" w:rsidP="00D66084">
      <w:pPr>
        <w:pStyle w:val="Prrafodelista"/>
        <w:widowControl w:val="0"/>
        <w:numPr>
          <w:ilvl w:val="0"/>
          <w:numId w:val="7"/>
        </w:numPr>
        <w:tabs>
          <w:tab w:val="left" w:pos="1701"/>
          <w:tab w:val="left" w:pos="1843"/>
        </w:tabs>
        <w:autoSpaceDE w:val="0"/>
        <w:autoSpaceDN w:val="0"/>
        <w:adjustRightInd w:val="0"/>
        <w:spacing w:before="200" w:beforeAutospacing="1" w:after="200" w:afterAutospacing="1" w:line="360" w:lineRule="auto"/>
        <w:ind w:right="49"/>
        <w:contextualSpacing/>
        <w:jc w:val="both"/>
        <w:rPr>
          <w:rFonts w:ascii="Palatino Linotype" w:hAnsi="Palatino Linotype" w:cs="Arial"/>
        </w:rPr>
      </w:pPr>
      <w:r w:rsidRPr="00B14F1C">
        <w:rPr>
          <w:rFonts w:ascii="Palatino Linotype" w:hAnsi="Palatino Linotype" w:cs="Arial"/>
        </w:rPr>
        <w:t xml:space="preserve">La versión pública de cualquier documento relacionado con la contratación o renovación de cualquier software, licencia o herramienta tecnológica para la intervención de comunicaciones privadas y/o para la investigación forense denominada: ACCESSDATA  FORENSIC  TOOL  KIT, ACCESSDATA  FTK, ACCESSDATA  TRIAGE, AD  TRIAGE, BLACKLIGHT, CELLEBRITE  UFED T OUCH  LOGICAL, CELLEBRITE U FED  ULTIMATE, CELLEBRITE  UMED PRO, ENCASE  FORENSIC, FIRMWARE  UFED T OUCH  ULTIMATE, </w:t>
      </w:r>
      <w:r w:rsidRPr="00B14F1C">
        <w:rPr>
          <w:rFonts w:ascii="Palatino Linotype" w:hAnsi="Palatino Linotype" w:cs="Arial"/>
        </w:rPr>
        <w:lastRenderedPageBreak/>
        <w:t>PASSWARE  FORENSIC  KIT, SISTEMA  CELLEBRITE D E  ANÁLISIS  FORENSE, UFED  4PC, UFED  4PC  ULTIMATE  STANDARD, UFED  TK  ESTÁNDAR, UFED  TOUCH, UFED  TOUCH  2, UFED  ULTIMATE, UMED  PRO.</w:t>
      </w:r>
    </w:p>
    <w:p w:rsidR="00D66084" w:rsidRPr="00B14F1C" w:rsidRDefault="00D66084" w:rsidP="00D66084">
      <w:pPr>
        <w:pStyle w:val="Prrafodelista"/>
        <w:widowControl w:val="0"/>
        <w:numPr>
          <w:ilvl w:val="0"/>
          <w:numId w:val="7"/>
        </w:numPr>
        <w:tabs>
          <w:tab w:val="left" w:pos="1701"/>
          <w:tab w:val="left" w:pos="1843"/>
        </w:tabs>
        <w:autoSpaceDE w:val="0"/>
        <w:autoSpaceDN w:val="0"/>
        <w:adjustRightInd w:val="0"/>
        <w:spacing w:before="200" w:beforeAutospacing="1" w:after="200" w:afterAutospacing="1" w:line="360" w:lineRule="auto"/>
        <w:ind w:right="49"/>
        <w:contextualSpacing/>
        <w:jc w:val="both"/>
        <w:rPr>
          <w:rFonts w:ascii="Palatino Linotype" w:hAnsi="Palatino Linotype" w:cs="Arial"/>
        </w:rPr>
      </w:pPr>
      <w:r w:rsidRPr="00B14F1C">
        <w:rPr>
          <w:rFonts w:ascii="Palatino Linotype" w:hAnsi="Palatino Linotype" w:cs="Arial"/>
        </w:rPr>
        <w:t>En caso de contar con cualquier software, licencia o herramienta tecnológica a la que se refiere la pregunta anterior se solicita:</w:t>
      </w:r>
    </w:p>
    <w:p w:rsidR="00D66084" w:rsidRPr="00B14F1C" w:rsidRDefault="00D66084" w:rsidP="001C1D50">
      <w:pPr>
        <w:pStyle w:val="Prrafodelista"/>
        <w:widowControl w:val="0"/>
        <w:numPr>
          <w:ilvl w:val="0"/>
          <w:numId w:val="8"/>
        </w:numPr>
        <w:tabs>
          <w:tab w:val="left" w:pos="1701"/>
          <w:tab w:val="left" w:pos="1843"/>
        </w:tabs>
        <w:autoSpaceDE w:val="0"/>
        <w:autoSpaceDN w:val="0"/>
        <w:adjustRightInd w:val="0"/>
        <w:spacing w:before="200" w:beforeAutospacing="1" w:after="200" w:afterAutospacing="1" w:line="360" w:lineRule="auto"/>
        <w:ind w:right="901"/>
        <w:contextualSpacing/>
        <w:jc w:val="both"/>
        <w:rPr>
          <w:rFonts w:ascii="Palatino Linotype" w:hAnsi="Palatino Linotype" w:cs="Arial"/>
        </w:rPr>
      </w:pPr>
      <w:r w:rsidRPr="00B14F1C">
        <w:rPr>
          <w:rFonts w:ascii="Palatino Linotype" w:hAnsi="Palatino Linotype" w:cs="Arial"/>
        </w:rPr>
        <w:t>El número de licencias para realizar el análisis forense que fueron adquiridos o contratados, así como la vigencia de dichas licencias.</w:t>
      </w:r>
    </w:p>
    <w:p w:rsidR="00D66084" w:rsidRPr="00B14F1C" w:rsidRDefault="00D66084" w:rsidP="00A85363">
      <w:pPr>
        <w:pStyle w:val="Prrafodelista"/>
        <w:widowControl w:val="0"/>
        <w:numPr>
          <w:ilvl w:val="0"/>
          <w:numId w:val="8"/>
        </w:numPr>
        <w:tabs>
          <w:tab w:val="left" w:pos="1701"/>
          <w:tab w:val="left" w:pos="1843"/>
        </w:tabs>
        <w:autoSpaceDE w:val="0"/>
        <w:autoSpaceDN w:val="0"/>
        <w:adjustRightInd w:val="0"/>
        <w:spacing w:before="100" w:beforeAutospacing="1" w:after="100" w:afterAutospacing="1" w:line="360" w:lineRule="auto"/>
        <w:ind w:right="901"/>
        <w:jc w:val="both"/>
        <w:rPr>
          <w:rFonts w:ascii="Palatino Linotype" w:hAnsi="Palatino Linotype" w:cs="Arial"/>
        </w:rPr>
      </w:pPr>
      <w:r w:rsidRPr="00B14F1C">
        <w:rPr>
          <w:rFonts w:ascii="Palatino Linotype" w:hAnsi="Palatino Linotype" w:cs="Arial"/>
        </w:rPr>
        <w:t>El número de dispositivos que han sido analizados con el software, licencia o herramienta tecnológica referida.</w:t>
      </w:r>
    </w:p>
    <w:p w:rsidR="00D66084" w:rsidRPr="00B14F1C" w:rsidRDefault="00D66084" w:rsidP="00A8536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B14F1C">
        <w:rPr>
          <w:rFonts w:ascii="Palatino Linotype" w:hAnsi="Palatino Linotype" w:cs="Arial"/>
        </w:rPr>
        <w:t xml:space="preserve">Bajo ese tenor, </w:t>
      </w:r>
      <w:r w:rsidRPr="00B14F1C">
        <w:rPr>
          <w:rFonts w:ascii="Palatino Linotype" w:hAnsi="Palatino Linotype" w:cs="Arial"/>
          <w:b/>
        </w:rPr>
        <w:t xml:space="preserve">EL SUJETO OBLIGADO </w:t>
      </w:r>
      <w:r w:rsidRPr="00B14F1C">
        <w:rPr>
          <w:rFonts w:ascii="Palatino Linotype" w:hAnsi="Palatino Linotype" w:cs="Arial"/>
        </w:rPr>
        <w:t>en respuesta a la solicitud de acceso a la información pública, adjuntó diversos oficios signados por los titulares de las áreas de Coordinación Administrativa, Contaduría General Gubernamental, Dirección General de Recursos Materiales y la Dirección General de Tesorería; mediante los cuales se informó al particular que ninguna de ellas contaba con la información solicitada.</w:t>
      </w:r>
    </w:p>
    <w:p w:rsidR="00D66084" w:rsidRPr="00B14F1C" w:rsidRDefault="00D66084" w:rsidP="00D66084">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B14F1C">
        <w:rPr>
          <w:rFonts w:ascii="Palatino Linotype" w:hAnsi="Palatino Linotype" w:cs="Arial"/>
        </w:rPr>
        <w:t xml:space="preserve">Derivado de la respuesta otorgada por </w:t>
      </w:r>
      <w:r w:rsidRPr="00B14F1C">
        <w:rPr>
          <w:rFonts w:ascii="Palatino Linotype" w:hAnsi="Palatino Linotype" w:cs="Arial"/>
          <w:b/>
        </w:rPr>
        <w:t xml:space="preserve">EL SUJETO OBLIGADO </w:t>
      </w:r>
      <w:r w:rsidRPr="00B14F1C">
        <w:rPr>
          <w:rFonts w:ascii="Palatino Linotype" w:hAnsi="Palatino Linotype" w:cs="Arial"/>
        </w:rPr>
        <w:t xml:space="preserve">fue que </w:t>
      </w:r>
      <w:r w:rsidRPr="00B14F1C">
        <w:rPr>
          <w:rFonts w:ascii="Palatino Linotype" w:hAnsi="Palatino Linotype" w:cs="Arial"/>
          <w:b/>
        </w:rPr>
        <w:t xml:space="preserve">EL RECURRENTE </w:t>
      </w:r>
      <w:r w:rsidRPr="00B14F1C">
        <w:rPr>
          <w:rFonts w:ascii="Palatino Linotype" w:hAnsi="Palatino Linotype" w:cs="Arial"/>
        </w:rPr>
        <w:t xml:space="preserve">presentó el recurso de revisión que nos ocupa, doliéndose medularmente de la declaratoria de inexistencia de la información sin encontrarse debidamente fundada y motivada; así como, de referir que existen contratos celebrados por </w:t>
      </w:r>
      <w:r w:rsidRPr="00B14F1C">
        <w:rPr>
          <w:rFonts w:ascii="Palatino Linotype" w:hAnsi="Palatino Linotype" w:cs="Arial"/>
          <w:b/>
        </w:rPr>
        <w:t xml:space="preserve">EL SUJETO OBLIGADO </w:t>
      </w:r>
      <w:r w:rsidRPr="00B14F1C">
        <w:rPr>
          <w:rFonts w:ascii="Palatino Linotype" w:hAnsi="Palatino Linotype" w:cs="Arial"/>
        </w:rPr>
        <w:t>con empresas filiales o subsidiarias de las que se solicitó la información.</w:t>
      </w:r>
    </w:p>
    <w:p w:rsidR="00D66084" w:rsidRPr="00B14F1C" w:rsidRDefault="00D66084" w:rsidP="00D66084">
      <w:pPr>
        <w:autoSpaceDE w:val="0"/>
        <w:autoSpaceDN w:val="0"/>
        <w:adjustRightInd w:val="0"/>
        <w:spacing w:before="100" w:beforeAutospacing="1" w:after="100" w:afterAutospacing="1" w:line="360" w:lineRule="auto"/>
        <w:ind w:right="49"/>
        <w:jc w:val="both"/>
        <w:rPr>
          <w:rFonts w:ascii="Palatino Linotype" w:hAnsi="Palatino Linotype"/>
        </w:rPr>
      </w:pPr>
      <w:r w:rsidRPr="00B14F1C">
        <w:rPr>
          <w:rFonts w:ascii="Palatino Linotype" w:hAnsi="Palatino Linotype"/>
        </w:rPr>
        <w:lastRenderedPageBreak/>
        <w:t xml:space="preserve">Aunado a que, adjuntó los documentos descritos en el Resultando IV de la presente resolución; mismos que al ser de conocimiento de las partes se omite su inserción en el presente apartado a fin de evitar repeticiones innecesarias. </w:t>
      </w:r>
    </w:p>
    <w:p w:rsidR="00257F0F" w:rsidRPr="00B14F1C" w:rsidRDefault="00D66084" w:rsidP="00D6608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14F1C">
        <w:rPr>
          <w:rFonts w:ascii="Palatino Linotype" w:hAnsi="Palatino Linotype"/>
        </w:rPr>
        <w:t xml:space="preserve">Debiendo destacar en este punto que </w:t>
      </w:r>
      <w:r w:rsidRPr="00B14F1C">
        <w:rPr>
          <w:rFonts w:ascii="Palatino Linotype" w:hAnsi="Palatino Linotype"/>
          <w:b/>
        </w:rPr>
        <w:t xml:space="preserve">EL SUJETO OBLIGADO </w:t>
      </w:r>
      <w:r w:rsidRPr="00B14F1C">
        <w:rPr>
          <w:rFonts w:ascii="Palatino Linotype" w:hAnsi="Palatino Linotype"/>
        </w:rPr>
        <w:t xml:space="preserve">mediante Informe Justificado modificó su respuesta indicando que derivado de una nueva búsqueda exhaustiva de la información en los archivos de la </w:t>
      </w:r>
      <w:r w:rsidRPr="00B14F1C">
        <w:rPr>
          <w:rFonts w:ascii="Palatino Linotype" w:eastAsia="Arial Unicode MS" w:hAnsi="Palatino Linotype" w:cs="Arial"/>
        </w:rPr>
        <w:t>Dirección General de Recursos Materiales se encontraron dos contratos</w:t>
      </w:r>
      <w:r w:rsidR="00A85363" w:rsidRPr="00B14F1C">
        <w:rPr>
          <w:rFonts w:ascii="Palatino Linotype" w:eastAsia="Arial Unicode MS" w:hAnsi="Palatino Linotype" w:cs="Arial"/>
        </w:rPr>
        <w:t>,</w:t>
      </w:r>
      <w:r w:rsidRPr="00B14F1C">
        <w:rPr>
          <w:rFonts w:ascii="Palatino Linotype" w:eastAsia="Arial Unicode MS" w:hAnsi="Palatino Linotype" w:cs="Arial"/>
        </w:rPr>
        <w:t xml:space="preserve"> uno de Adquisición de Servicios y el otro de Prestación de Servicios en los que de su contenido se puede advertir que se trata de servicios de comunicación, telecomunicación, radio transmisión y servicios informáticos contratados por </w:t>
      </w:r>
      <w:r w:rsidRPr="00B14F1C">
        <w:rPr>
          <w:rFonts w:ascii="Palatino Linotype" w:eastAsia="Arial Unicode MS" w:hAnsi="Palatino Linotype" w:cs="Arial"/>
          <w:b/>
        </w:rPr>
        <w:t xml:space="preserve">EL SUJETO OBLIGADO </w:t>
      </w:r>
      <w:r w:rsidRPr="00B14F1C">
        <w:rPr>
          <w:rFonts w:ascii="Palatino Linotype" w:eastAsia="Arial Unicode MS" w:hAnsi="Palatino Linotype" w:cs="Arial"/>
        </w:rPr>
        <w:t xml:space="preserve">en los años dos mil diecisiete y dos mil diecinueve respectivamente y que se encuentran relacionados con la solicitud de información identificada en el presente estudio con el inciso d), relativa a la contratación o renovación de cualquier software, licencia o herramienta tecnológica para la intervención de comunicaciones privadas </w:t>
      </w:r>
      <w:r w:rsidRPr="00B14F1C">
        <w:rPr>
          <w:rFonts w:ascii="Palatino Linotype" w:hAnsi="Palatino Linotype" w:cs="Arial"/>
        </w:rPr>
        <w:t>y/o para la investigación forense</w:t>
      </w:r>
      <w:r w:rsidR="00257F0F" w:rsidRPr="00B14F1C">
        <w:rPr>
          <w:rFonts w:ascii="Palatino Linotype" w:hAnsi="Palatino Linotype" w:cs="Arial"/>
        </w:rPr>
        <w:t>.</w:t>
      </w:r>
    </w:p>
    <w:p w:rsidR="00A31CBE" w:rsidRPr="00B14F1C" w:rsidRDefault="00FB0C61" w:rsidP="00D66084">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B14F1C">
        <w:rPr>
          <w:rFonts w:ascii="Palatino Linotype" w:hAnsi="Palatino Linotype"/>
          <w:bCs/>
          <w:lang w:val="es-ES"/>
        </w:rPr>
        <w:t xml:space="preserve">En ese orden de ideas, es necesario destacar que mediante </w:t>
      </w:r>
      <w:r w:rsidR="00703327" w:rsidRPr="00B14F1C">
        <w:rPr>
          <w:rFonts w:ascii="Palatino Linotype" w:hAnsi="Palatino Linotype"/>
          <w:bCs/>
          <w:lang w:val="es-ES"/>
        </w:rPr>
        <w:t>alcance al Informe Justificado, la Coordinadora Administrativa indicó que las solicitudes de requerimientos de las diferentes áreas ejecutoras de la Secretaría de Finanzas, son ingresadas a la Direc</w:t>
      </w:r>
      <w:r w:rsidR="00A31CBE" w:rsidRPr="00B14F1C">
        <w:rPr>
          <w:rFonts w:ascii="Palatino Linotype" w:hAnsi="Palatino Linotype"/>
          <w:bCs/>
          <w:lang w:val="es-ES"/>
        </w:rPr>
        <w:t xml:space="preserve">ción General de Recursos Materiales; agregando que el área ejecutora del contrato </w:t>
      </w:r>
      <w:r w:rsidR="00A31CBE" w:rsidRPr="00B14F1C">
        <w:rPr>
          <w:rFonts w:ascii="Palatino Linotype" w:hAnsi="Palatino Linotype"/>
          <w:b/>
          <w:bCs/>
          <w:lang w:val="es-ES"/>
        </w:rPr>
        <w:t>CS-6-2019</w:t>
      </w:r>
      <w:r w:rsidR="00A31CBE" w:rsidRPr="00B14F1C">
        <w:rPr>
          <w:rFonts w:ascii="Palatino Linotype" w:hAnsi="Palatino Linotype"/>
          <w:bCs/>
          <w:lang w:val="es-ES"/>
        </w:rPr>
        <w:t xml:space="preserve"> que se formalizó con la empresa Comunicación Segura y fuera entregado en Informe Justificado, era la Dirección General del Sistema Estatal de Informática; por lo que, en la Coordinación Administrativa no contaba con el contrato ya referido</w:t>
      </w:r>
      <w:r w:rsidR="00E4631E" w:rsidRPr="00B14F1C">
        <w:rPr>
          <w:rFonts w:ascii="Palatino Linotype" w:hAnsi="Palatino Linotype"/>
          <w:bCs/>
          <w:lang w:val="es-ES"/>
        </w:rPr>
        <w:t xml:space="preserve"> ni con algún otro documento de los requeridos por el solicitante.</w:t>
      </w:r>
    </w:p>
    <w:p w:rsidR="00E4631E" w:rsidRPr="00B14F1C" w:rsidRDefault="00E4631E" w:rsidP="00926D51">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14F1C">
        <w:rPr>
          <w:rFonts w:ascii="Palatino Linotype" w:hAnsi="Palatino Linotype"/>
          <w:bCs/>
          <w:lang w:val="es-ES"/>
        </w:rPr>
        <w:lastRenderedPageBreak/>
        <w:t xml:space="preserve">Así, también en dicho alcance </w:t>
      </w:r>
      <w:r w:rsidRPr="00B14F1C">
        <w:rPr>
          <w:rFonts w:ascii="Palatino Linotype" w:hAnsi="Palatino Linotype"/>
          <w:b/>
          <w:bCs/>
          <w:lang w:val="es-ES"/>
        </w:rPr>
        <w:t xml:space="preserve">EL SUJETO OBLIGADO </w:t>
      </w:r>
      <w:r w:rsidRPr="00B14F1C">
        <w:rPr>
          <w:rFonts w:ascii="Palatino Linotype" w:hAnsi="Palatino Linotype"/>
          <w:bCs/>
          <w:lang w:val="es-ES"/>
        </w:rPr>
        <w:t xml:space="preserve">entregó el oficio signado por el Servidor Público Habilitado de la </w:t>
      </w:r>
      <w:r w:rsidRPr="00B14F1C">
        <w:rPr>
          <w:rFonts w:ascii="Palatino Linotype" w:hAnsi="Palatino Linotype" w:cs="Arial"/>
        </w:rPr>
        <w:t xml:space="preserve">Dirección General del Sistema Estatal de Informática quien en relación al contrato </w:t>
      </w:r>
      <w:r w:rsidRPr="00B14F1C">
        <w:rPr>
          <w:rFonts w:ascii="Palatino Linotype" w:hAnsi="Palatino Linotype"/>
          <w:b/>
          <w:bCs/>
          <w:lang w:val="es-ES"/>
        </w:rPr>
        <w:t>CS-6-2019</w:t>
      </w:r>
      <w:r w:rsidR="00926D51" w:rsidRPr="00B14F1C">
        <w:rPr>
          <w:rFonts w:ascii="Palatino Linotype" w:hAnsi="Palatino Linotype"/>
          <w:b/>
          <w:bCs/>
          <w:lang w:val="es-ES"/>
        </w:rPr>
        <w:t xml:space="preserve"> </w:t>
      </w:r>
      <w:r w:rsidR="00926D51" w:rsidRPr="00B14F1C">
        <w:rPr>
          <w:rFonts w:ascii="Palatino Linotype" w:hAnsi="Palatino Linotype"/>
          <w:bCs/>
          <w:lang w:val="es-ES"/>
        </w:rPr>
        <w:t xml:space="preserve">y a la información que dio origen al recurso de revisión objeto de estudio, informó que tras haber verificado en sus archivos, </w:t>
      </w:r>
      <w:r w:rsidR="00926D51" w:rsidRPr="00B14F1C">
        <w:rPr>
          <w:rFonts w:ascii="Palatino Linotype" w:hAnsi="Palatino Linotype" w:cs="Arial"/>
          <w:b/>
        </w:rPr>
        <w:t>el contrato referido no tiene relación alguna con las empresas listadas por el particular o con alguna de sus filiales</w:t>
      </w:r>
      <w:r w:rsidR="00926D51" w:rsidRPr="00B14F1C">
        <w:rPr>
          <w:rFonts w:ascii="Palatino Linotype" w:hAnsi="Palatino Linotype" w:cs="Arial"/>
        </w:rPr>
        <w:t xml:space="preserve"> añadiendo que el contrato en mención no tiene relación con la versión pública de cualquier documento</w:t>
      </w:r>
      <w:r w:rsidR="00926D51" w:rsidRPr="00B14F1C">
        <w:rPr>
          <w:rFonts w:ascii="Palatino Linotype" w:hAnsi="Palatino Linotype"/>
          <w:bCs/>
          <w:lang w:val="es-ES"/>
        </w:rPr>
        <w:t xml:space="preserve"> </w:t>
      </w:r>
      <w:r w:rsidRPr="00B14F1C">
        <w:rPr>
          <w:rFonts w:ascii="Palatino Linotype" w:hAnsi="Palatino Linotype" w:cs="Arial"/>
        </w:rPr>
        <w:t>que tuviera que ver con el contrato o renovación de cualquier software, licencia o herramienta tecnológica para la intervención de comunicaciones privadas y/o investigación forense.</w:t>
      </w:r>
    </w:p>
    <w:p w:rsidR="00FD45EF" w:rsidRPr="00B14F1C" w:rsidRDefault="00FD45EF" w:rsidP="00FD45EF">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B14F1C">
        <w:rPr>
          <w:rFonts w:ascii="Palatino Linotype" w:hAnsi="Palatino Linotype"/>
          <w:bCs/>
          <w:lang w:val="es-ES"/>
        </w:rPr>
        <w:t xml:space="preserve">Finalmente la Dirección General de Recursos Materiales, manifestó que con la finalidad </w:t>
      </w:r>
      <w:r w:rsidR="007F1C61" w:rsidRPr="00B14F1C">
        <w:rPr>
          <w:rFonts w:ascii="Palatino Linotype" w:hAnsi="Palatino Linotype"/>
          <w:bCs/>
          <w:lang w:val="es-ES"/>
        </w:rPr>
        <w:t>de garantizar el principio de má</w:t>
      </w:r>
      <w:r w:rsidRPr="00B14F1C">
        <w:rPr>
          <w:rFonts w:ascii="Palatino Linotype" w:hAnsi="Palatino Linotype"/>
          <w:bCs/>
          <w:lang w:val="es-ES"/>
        </w:rPr>
        <w:t>xi</w:t>
      </w:r>
      <w:r w:rsidR="007F1C61" w:rsidRPr="00B14F1C">
        <w:rPr>
          <w:rFonts w:ascii="Palatino Linotype" w:hAnsi="Palatino Linotype"/>
          <w:bCs/>
          <w:lang w:val="es-ES"/>
        </w:rPr>
        <w:t>ma</w:t>
      </w:r>
      <w:r w:rsidRPr="00B14F1C">
        <w:rPr>
          <w:rFonts w:ascii="Palatino Linotype" w:hAnsi="Palatino Linotype"/>
          <w:bCs/>
          <w:lang w:val="es-ES"/>
        </w:rPr>
        <w:t xml:space="preserve"> publicidad adjuntaba 3 invitaciones de participación a oferentes </w:t>
      </w:r>
      <w:r w:rsidRPr="00B14F1C">
        <w:rPr>
          <w:rFonts w:ascii="Palatino Linotype" w:hAnsi="Palatino Linotype" w:cs="Arial"/>
        </w:rPr>
        <w:t xml:space="preserve">relacionadas con el contrato </w:t>
      </w:r>
      <w:r w:rsidRPr="00B14F1C">
        <w:rPr>
          <w:rFonts w:ascii="Palatino Linotype" w:hAnsi="Palatino Linotype" w:cs="Arial"/>
          <w:b/>
        </w:rPr>
        <w:t>CB/157/2017</w:t>
      </w:r>
      <w:r w:rsidRPr="00B14F1C">
        <w:rPr>
          <w:rFonts w:ascii="Palatino Linotype" w:hAnsi="Palatino Linotype" w:cs="Arial"/>
        </w:rPr>
        <w:t xml:space="preserve">, reiterando que después de haber verificado </w:t>
      </w:r>
      <w:r w:rsidRPr="00B14F1C">
        <w:rPr>
          <w:rFonts w:ascii="Palatino Linotype" w:hAnsi="Palatino Linotype" w:cs="Arial"/>
          <w:b/>
        </w:rPr>
        <w:t>no existe relación alguna con las empresas que se enlistan en la solicitud de información de origen</w:t>
      </w:r>
      <w:r w:rsidRPr="00B14F1C">
        <w:rPr>
          <w:rFonts w:ascii="Palatino Linotype" w:hAnsi="Palatino Linotype" w:cs="Arial"/>
        </w:rPr>
        <w:t>; así como tampoco, con la documentación relacionada con la contratación o renovación de cualquier software, licencia o herramienta tecnológica para la intervención de comunicaciones privadas y/o investigación forense.</w:t>
      </w:r>
    </w:p>
    <w:p w:rsidR="00926D51" w:rsidRPr="00B14F1C" w:rsidRDefault="00FD45EF" w:rsidP="00D66084">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B14F1C">
        <w:rPr>
          <w:rFonts w:ascii="Palatino Linotype" w:hAnsi="Palatino Linotype"/>
          <w:bCs/>
          <w:lang w:val="es-ES"/>
        </w:rPr>
        <w:t>En ese tenor, derivado del análisis a la respuesta, el Informe Justificado y el alcance al mismo tenemos las conclusiones de hecho y derecho siguientes:</w:t>
      </w:r>
    </w:p>
    <w:p w:rsidR="00AA3CF3" w:rsidRPr="00B14F1C" w:rsidRDefault="00A85363" w:rsidP="00D66084">
      <w:pPr>
        <w:widowControl w:val="0"/>
        <w:tabs>
          <w:tab w:val="left" w:pos="1276"/>
        </w:tabs>
        <w:autoSpaceDE w:val="0"/>
        <w:autoSpaceDN w:val="0"/>
        <w:adjustRightInd w:val="0"/>
        <w:spacing w:before="240" w:after="100" w:afterAutospacing="1" w:line="360" w:lineRule="auto"/>
        <w:jc w:val="both"/>
        <w:rPr>
          <w:rFonts w:ascii="Palatino Linotype" w:hAnsi="Palatino Linotype"/>
          <w:bCs/>
          <w:lang w:val="es-ES"/>
        </w:rPr>
      </w:pPr>
      <w:r w:rsidRPr="00B14F1C">
        <w:rPr>
          <w:rFonts w:ascii="Palatino Linotype" w:hAnsi="Palatino Linotype"/>
          <w:bCs/>
          <w:lang w:val="es-ES"/>
        </w:rPr>
        <w:t xml:space="preserve">Primeramente, </w:t>
      </w:r>
      <w:r w:rsidR="00FD45EF" w:rsidRPr="00B14F1C">
        <w:rPr>
          <w:rFonts w:ascii="Palatino Linotype" w:hAnsi="Palatino Linotype"/>
          <w:bCs/>
          <w:lang w:val="es-ES"/>
        </w:rPr>
        <w:t xml:space="preserve">es necesario recalcar que las </w:t>
      </w:r>
      <w:r w:rsidR="00D66084" w:rsidRPr="00B14F1C">
        <w:rPr>
          <w:rFonts w:ascii="Palatino Linotype" w:hAnsi="Palatino Linotype"/>
          <w:bCs/>
          <w:lang w:val="es-ES"/>
        </w:rPr>
        <w:t>áreas administrativas a las que fue turna</w:t>
      </w:r>
      <w:r w:rsidR="00F43B53" w:rsidRPr="00B14F1C">
        <w:rPr>
          <w:rFonts w:ascii="Palatino Linotype" w:hAnsi="Palatino Linotype"/>
          <w:bCs/>
          <w:lang w:val="es-ES"/>
        </w:rPr>
        <w:t>da la solicitud de información por</w:t>
      </w:r>
      <w:r w:rsidR="00D66084" w:rsidRPr="00B14F1C">
        <w:rPr>
          <w:rFonts w:ascii="Palatino Linotype" w:hAnsi="Palatino Linotype"/>
          <w:bCs/>
          <w:lang w:val="es-ES"/>
        </w:rPr>
        <w:t xml:space="preserve"> parte del Titular de la Unidad de Transparencia</w:t>
      </w:r>
      <w:r w:rsidR="00484C64" w:rsidRPr="00B14F1C">
        <w:rPr>
          <w:rFonts w:ascii="Palatino Linotype" w:hAnsi="Palatino Linotype"/>
          <w:bCs/>
          <w:lang w:val="es-ES"/>
        </w:rPr>
        <w:t xml:space="preserve"> mismas que dieron respuesta y realizaron sus manifestaciones en el </w:t>
      </w:r>
      <w:r w:rsidR="00484C64" w:rsidRPr="00B14F1C">
        <w:rPr>
          <w:rFonts w:ascii="Palatino Linotype" w:hAnsi="Palatino Linotype"/>
          <w:bCs/>
          <w:lang w:val="es-ES"/>
        </w:rPr>
        <w:lastRenderedPageBreak/>
        <w:t xml:space="preserve">alcance al Informe Justificado, </w:t>
      </w:r>
      <w:r w:rsidR="00D66084" w:rsidRPr="00B14F1C">
        <w:rPr>
          <w:rFonts w:ascii="Palatino Linotype" w:hAnsi="Palatino Linotype"/>
          <w:bCs/>
          <w:lang w:val="es-ES"/>
        </w:rPr>
        <w:t xml:space="preserve">constituyen de acuerdo al nivel jerárquico aquellas áreas generales </w:t>
      </w:r>
      <w:r w:rsidR="00FB0C61" w:rsidRPr="00B14F1C">
        <w:rPr>
          <w:rFonts w:ascii="Palatino Linotype" w:hAnsi="Palatino Linotype"/>
          <w:bCs/>
          <w:lang w:val="es-ES"/>
        </w:rPr>
        <w:t xml:space="preserve">competentes y </w:t>
      </w:r>
      <w:r w:rsidR="00D66084" w:rsidRPr="00B14F1C">
        <w:rPr>
          <w:rFonts w:ascii="Palatino Linotype" w:hAnsi="Palatino Linotype"/>
          <w:bCs/>
          <w:lang w:val="es-ES"/>
        </w:rPr>
        <w:t>obligadas a conocer de conformidad con sus atribuciones y funciones de la infor</w:t>
      </w:r>
      <w:r w:rsidR="00FB0C61" w:rsidRPr="00B14F1C">
        <w:rPr>
          <w:rFonts w:ascii="Palatino Linotype" w:hAnsi="Palatino Linotype"/>
          <w:bCs/>
          <w:lang w:val="es-ES"/>
        </w:rPr>
        <w:t xml:space="preserve">mación solicitada; </w:t>
      </w:r>
      <w:r w:rsidR="00FD45EF" w:rsidRPr="00B14F1C">
        <w:rPr>
          <w:rFonts w:ascii="Palatino Linotype" w:hAnsi="Palatino Linotype"/>
          <w:bCs/>
          <w:lang w:val="es-ES"/>
        </w:rPr>
        <w:t>robustece a lo anterior lo establecido en el Manual General de Organización de la Secretaría de Finanzas, en lo que nos interesa:</w:t>
      </w:r>
    </w:p>
    <w:p w:rsidR="00F96713" w:rsidRPr="00B14F1C" w:rsidRDefault="00F43B53"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w:t>
      </w:r>
      <w:r w:rsidR="00F96713" w:rsidRPr="00B14F1C">
        <w:rPr>
          <w:rFonts w:ascii="Palatino Linotype" w:hAnsi="Palatino Linotype"/>
          <w:b/>
          <w:i/>
          <w:sz w:val="22"/>
          <w:szCs w:val="22"/>
        </w:rPr>
        <w:t xml:space="preserve">20700002000000S COORDINACIÓN ADMINISTRATIVA </w:t>
      </w:r>
    </w:p>
    <w:p w:rsidR="00D66084" w:rsidRPr="00B14F1C" w:rsidRDefault="00F9671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b/>
          <w:i/>
          <w:sz w:val="22"/>
          <w:szCs w:val="22"/>
        </w:rPr>
        <w:t>OBJETIVO:</w:t>
      </w:r>
      <w:r w:rsidRPr="00B14F1C">
        <w:rPr>
          <w:rFonts w:ascii="Palatino Linotype" w:hAnsi="Palatino Linotype"/>
          <w:i/>
          <w:sz w:val="22"/>
          <w:szCs w:val="22"/>
        </w:rPr>
        <w:t xml:space="preserve"> Programar, organizar y controlar el suministro de los recursos humanos, materiales, financieros y técnicos que requieran las unidades administrativas de la Secretaría de Finanzas, con base en la normatividad vigente.</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FUNCIONES:</w:t>
      </w: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Coordinar la formulación e integración del Programa Anual de Adquisiciones y Servicios de la Secretaría de Finanzas, de conformidad con lo establecido en la normatividad vigente en la materia.</w:t>
      </w: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Coordinar las actividades para la adquisición, almacenamiento y suministro de materiales, y equipo, así como la contratación de servicios que requiera la oficina de la o del Titular de la Secretaría de Finanzas y sus unidades Staff.</w:t>
      </w: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Autorizar las respuestas a las peticiones de contrataciones de servicios profesionales que realicen las unidades administrativas del Gobierno del Estado de México, así como verificar que se realice de conformidad con lo establecido en los artículos 97, 98 y 99 del Reglamento de la Ley de Contratación Pública del Estado de México y Municipios.</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 xml:space="preserve">20704002000000L CONTADURÍA GENERAL GUBERNAMENTAL </w:t>
      </w: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b/>
          <w:i/>
          <w:sz w:val="22"/>
          <w:szCs w:val="22"/>
        </w:rPr>
        <w:t>OBJETIVO:</w:t>
      </w:r>
      <w:r w:rsidRPr="00B14F1C">
        <w:rPr>
          <w:rFonts w:ascii="Palatino Linotype" w:hAnsi="Palatino Linotype"/>
          <w:i/>
          <w:sz w:val="22"/>
          <w:szCs w:val="22"/>
        </w:rPr>
        <w:t xml:space="preserve"> Planear, programar, controlar y evaluar el registro del ejercicio de las finanzas públicas estatales, de conformidad con las disposiciones legales, lineamientos, normas, políticas y procedimientos aplicables en la materia. </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F96713" w:rsidRPr="00B14F1C" w:rsidRDefault="00F96713"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FUNCIONES:</w:t>
      </w:r>
    </w:p>
    <w:p w:rsidR="00F96713"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Coordinar la recopilación de la documentación comprobatoria, así como el análisis y registro contable y presupuestal de las operaciones financieras no sectorizables y globales de las dependencias y organismos auxiliares.</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lastRenderedPageBreak/>
        <w:t>…</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Coordinar el control de la información contable y presupuestal proveniente del registro de las operaciones financieras realizadas por las dependencias y unidades administrativas ejecutoras del gasto, para integrar los estados financieros y presupuestales del sector central del Gobierno del Estado.</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 xml:space="preserve">20706005000000L DIRECCIÓN GENERAL DE RECURSOS MATERIALES </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b/>
          <w:i/>
          <w:sz w:val="22"/>
          <w:szCs w:val="22"/>
        </w:rPr>
        <w:t>OBJETIVO:</w:t>
      </w:r>
      <w:r w:rsidRPr="00B14F1C">
        <w:rPr>
          <w:rFonts w:ascii="Palatino Linotype" w:hAnsi="Palatino Linotype"/>
          <w:i/>
          <w:sz w:val="22"/>
          <w:szCs w:val="22"/>
        </w:rPr>
        <w:t xml:space="preserve"> 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 y en lo relacionado con la enajenación de bienes del patrimonio estatal; así como ejecutar las acciones pertinentes para el control y registro de la asignación, uso, aseguramiento, protección, conservación, mantenimiento, rehabilitación y disposición final de los mismos. </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FUNCIONES:</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Planear, coordinar, evaluar y ejecutar las acciones y procedimientos relacionados con la adquisición de bienes o la contratación de servicios con recursos federales y estatales.</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Dirigir las acciones para integrar, operar y actualizar los catálogos de bienes y servicios, de las y los proveedores de bienes y prestadores de servicios.</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Participar en los Comités de Adquisiciones y Servicios; Adquisiciones, Arrendamientos y Servicios, y de Arrendamientos, Adquisiciones de Inmuebles y Enajenaciones de la Secretaría de Finanzas, en calidad de Presidenta o Presidente y designar a sus suplentes.</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Emitir los fallos de adjudicación en los procedimientos adquisitivos, de contratación de servicios en sus diferentes modalidades, de arrendamiento y adquisición de bienes inmuebles o de enajenación de bienes.</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Emitir las convocatorias públicas de los procedimientos adquisitivos y de contratación de servicios de su competencia en los medios de comunicación impresa, a nivel nacional y local.</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lastRenderedPageBreak/>
        <w:t xml:space="preserve">20705100000000L DIRECCIÓN GENERAL DE TESORERÍA </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b/>
          <w:i/>
          <w:sz w:val="22"/>
          <w:szCs w:val="22"/>
        </w:rPr>
        <w:t>OBJETIVO:</w:t>
      </w:r>
      <w:r w:rsidRPr="00B14F1C">
        <w:rPr>
          <w:rFonts w:ascii="Palatino Linotype" w:hAnsi="Palatino Linotype"/>
          <w:i/>
          <w:sz w:val="22"/>
          <w:szCs w:val="22"/>
        </w:rPr>
        <w:t xml:space="preserve"> Programar, organizar y determinar los flujos de efectivo para el pago del gasto público, conocer las disponibilidades financieras de las dependencias y organismos auxiliares de la entidad, así como verificar la administración de los fondos y valores propiedad o al cuidado del Gobierno del Estado de México, que se efectúen a través de la Caja General de Gobierno, de conformidad con las disposiciones normativas aplicables en la materia. </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FUNCIONES:</w:t>
      </w:r>
    </w:p>
    <w:p w:rsidR="00690EA0"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F43B53" w:rsidRPr="00B14F1C" w:rsidRDefault="00690EA0"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xml:space="preserve">- </w:t>
      </w:r>
      <w:r w:rsidR="00F43B53" w:rsidRPr="00B14F1C">
        <w:rPr>
          <w:rFonts w:ascii="Palatino Linotype" w:hAnsi="Palatino Linotype"/>
          <w:i/>
          <w:sz w:val="22"/>
          <w:szCs w:val="22"/>
        </w:rPr>
        <w:t xml:space="preserve">Verificar que los pagos que se realicen con base en la disponibilidad de recursos cumplan con lo establecido en el Código Financiero del Estado de México y Municipios. </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 xml:space="preserve">-Dar seguimiento a las disponibilidades financieras de las dependencias y los organismos auxiliares de la Administración Pública Estatal.” </w:t>
      </w: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i/>
          <w:sz w:val="22"/>
          <w:szCs w:val="22"/>
        </w:rPr>
      </w:pPr>
    </w:p>
    <w:p w:rsidR="00F43B53" w:rsidRPr="00B14F1C" w:rsidRDefault="00F43B53" w:rsidP="00F43B53">
      <w:pPr>
        <w:widowControl w:val="0"/>
        <w:tabs>
          <w:tab w:val="left" w:pos="1276"/>
        </w:tabs>
        <w:autoSpaceDE w:val="0"/>
        <w:autoSpaceDN w:val="0"/>
        <w:adjustRightInd w:val="0"/>
        <w:ind w:left="851" w:right="899"/>
        <w:jc w:val="both"/>
        <w:rPr>
          <w:rFonts w:ascii="Palatino Linotype" w:hAnsi="Palatino Linotype"/>
          <w:bCs/>
          <w:i/>
          <w:sz w:val="22"/>
          <w:szCs w:val="22"/>
          <w:lang w:val="es-ES"/>
        </w:rPr>
      </w:pPr>
      <w:r w:rsidRPr="00B14F1C">
        <w:rPr>
          <w:rFonts w:ascii="Palatino Linotype" w:hAnsi="Palatino Linotype"/>
          <w:i/>
          <w:sz w:val="22"/>
          <w:szCs w:val="22"/>
        </w:rPr>
        <w:t>(Énfasis añadido)</w:t>
      </w:r>
    </w:p>
    <w:p w:rsidR="00E65C48" w:rsidRPr="00B14F1C" w:rsidRDefault="00D66084" w:rsidP="00D66084">
      <w:pPr>
        <w:spacing w:before="100" w:beforeAutospacing="1" w:after="100" w:afterAutospacing="1" w:line="360" w:lineRule="auto"/>
        <w:jc w:val="both"/>
        <w:rPr>
          <w:rFonts w:ascii="Palatino Linotype" w:hAnsi="Palatino Linotype"/>
        </w:rPr>
      </w:pPr>
      <w:r w:rsidRPr="00B14F1C">
        <w:rPr>
          <w:rFonts w:ascii="Palatino Linotype" w:hAnsi="Palatino Linotype"/>
        </w:rPr>
        <w:t>En mérito de lo expuesto, es claro que, en este caso en particular, la Unidad de Transparencia</w:t>
      </w:r>
      <w:r w:rsidR="00F43B53" w:rsidRPr="00B14F1C">
        <w:rPr>
          <w:rFonts w:ascii="Palatino Linotype" w:hAnsi="Palatino Linotype"/>
        </w:rPr>
        <w:t xml:space="preserve"> dio cabal cumplimiento a lo establecido en el artículo 162 de la Ley de la materia; por lo que, al haber existido un pronunciamiento de parte de las áreas competentes en el cual refieren que no se tiene celebrado contrato alguno con las </w:t>
      </w:r>
      <w:r w:rsidR="00E65C48" w:rsidRPr="00B14F1C">
        <w:rPr>
          <w:rFonts w:ascii="Palatino Linotype" w:hAnsi="Palatino Linotype"/>
        </w:rPr>
        <w:t xml:space="preserve">empresas o las filiales referidas en la solicitud de información del particular; por consecuencia lógica es </w:t>
      </w:r>
      <w:r w:rsidR="00B14F1C" w:rsidRPr="00B14F1C">
        <w:rPr>
          <w:rFonts w:ascii="Palatino Linotype" w:hAnsi="Palatino Linotype"/>
        </w:rPr>
        <w:t>materialmente imposible</w:t>
      </w:r>
      <w:r w:rsidR="00E65C48" w:rsidRPr="00B14F1C">
        <w:rPr>
          <w:rFonts w:ascii="Palatino Linotype" w:hAnsi="Palatino Linotype"/>
        </w:rPr>
        <w:t xml:space="preserve"> que </w:t>
      </w:r>
      <w:r w:rsidR="00E65C48" w:rsidRPr="00B14F1C">
        <w:rPr>
          <w:rFonts w:ascii="Palatino Linotype" w:hAnsi="Palatino Linotype"/>
          <w:b/>
        </w:rPr>
        <w:t xml:space="preserve">EL SUJETO OBLIGADO </w:t>
      </w:r>
      <w:r w:rsidR="00E65C48" w:rsidRPr="00B14F1C">
        <w:rPr>
          <w:rFonts w:ascii="Palatino Linotype" w:hAnsi="Palatino Linotype"/>
        </w:rPr>
        <w:t>cuente con el resto de la información solicitada.</w:t>
      </w:r>
    </w:p>
    <w:p w:rsidR="002762D5" w:rsidRPr="00B14F1C" w:rsidRDefault="00E65C48" w:rsidP="002762D5">
      <w:pPr>
        <w:spacing w:before="100" w:beforeAutospacing="1" w:after="100" w:afterAutospacing="1" w:line="360" w:lineRule="auto"/>
        <w:jc w:val="both"/>
        <w:rPr>
          <w:rFonts w:ascii="Palatino Linotype" w:hAnsi="Palatino Linotype" w:cs="Arial"/>
        </w:rPr>
      </w:pPr>
      <w:r w:rsidRPr="00B14F1C">
        <w:rPr>
          <w:rFonts w:ascii="Palatino Linotype" w:hAnsi="Palatino Linotype"/>
        </w:rPr>
        <w:t xml:space="preserve">Por lo que, al haber existido un pronunciamiento de parte de las áreas administrativas competentes, y haber referido estas que no contaban con la información solicitada, se </w:t>
      </w:r>
      <w:r w:rsidR="002762D5" w:rsidRPr="00B14F1C">
        <w:rPr>
          <w:rFonts w:ascii="Palatino Linotype" w:hAnsi="Palatino Linotype"/>
        </w:rPr>
        <w:t>está</w:t>
      </w:r>
      <w:r w:rsidRPr="00B14F1C">
        <w:rPr>
          <w:rFonts w:ascii="Palatino Linotype" w:hAnsi="Palatino Linotype"/>
        </w:rPr>
        <w:t xml:space="preserve"> ante </w:t>
      </w:r>
      <w:r w:rsidR="002762D5" w:rsidRPr="00B14F1C">
        <w:rPr>
          <w:rFonts w:ascii="Palatino Linotype" w:hAnsi="Palatino Linotype"/>
        </w:rPr>
        <w:t xml:space="preserve">la presencia de un hecho negativo, </w:t>
      </w:r>
      <w:r w:rsidR="002762D5" w:rsidRPr="00B14F1C">
        <w:rPr>
          <w:rFonts w:ascii="Palatino Linotype" w:hAnsi="Palatino Linotype" w:cs="Arial"/>
        </w:rPr>
        <w:t xml:space="preserve">así, si se considera el hecho negativo, es obvio que éste no puede fácticamente obrar en los archivos del </w:t>
      </w:r>
      <w:r w:rsidR="002762D5" w:rsidRPr="00B14F1C">
        <w:rPr>
          <w:rFonts w:ascii="Palatino Linotype" w:hAnsi="Palatino Linotype" w:cs="Arial"/>
          <w:b/>
        </w:rPr>
        <w:t>SUJETO OBLIGADO</w:t>
      </w:r>
      <w:r w:rsidR="002762D5" w:rsidRPr="00B14F1C">
        <w:rPr>
          <w:rFonts w:ascii="Palatino Linotype" w:hAnsi="Palatino Linotype" w:cs="Arial"/>
        </w:rPr>
        <w:t xml:space="preserve">, ya que no puede probarse por ser lógica y </w:t>
      </w:r>
      <w:r w:rsidR="002762D5" w:rsidRPr="00B14F1C">
        <w:rPr>
          <w:rFonts w:ascii="Palatino Linotype" w:hAnsi="Palatino Linotype" w:cs="Arial"/>
        </w:rPr>
        <w:lastRenderedPageBreak/>
        <w:t>materialmente imposible, en razón de que, al no haber generado dicha información, no la posee, no administra y no cuenta con la misma.</w:t>
      </w:r>
    </w:p>
    <w:p w:rsidR="002762D5" w:rsidRPr="00B14F1C" w:rsidRDefault="002762D5" w:rsidP="002762D5">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2762D5" w:rsidRPr="00B14F1C" w:rsidRDefault="002762D5" w:rsidP="002762D5">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Por ello, de conformidad con lo establecido en el artículo 12 de la Ley de Transparencia y Acceso a la Información Pública del Estado de México y Municipios </w:t>
      </w:r>
      <w:r w:rsidRPr="00B14F1C">
        <w:rPr>
          <w:rFonts w:ascii="Palatino Linotype" w:hAnsi="Palatino Linotype" w:cs="Arial"/>
          <w:b/>
        </w:rPr>
        <w:t>EL SUJETO OBLIGADO</w:t>
      </w:r>
      <w:r w:rsidRPr="00B14F1C">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b/>
          <w:i/>
          <w:sz w:val="22"/>
          <w:szCs w:val="22"/>
        </w:rPr>
      </w:pPr>
      <w:r w:rsidRPr="00B14F1C">
        <w:rPr>
          <w:rFonts w:ascii="Palatino Linotype" w:hAnsi="Palatino Linotype"/>
          <w:b/>
          <w:i/>
          <w:sz w:val="22"/>
          <w:szCs w:val="22"/>
        </w:rPr>
        <w:t>“HECHOS NEGATIVOS, NO SON SUSCEPTIBLES DE DEMOSTRACIÓN.</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Amparo en revisión 2022/61. José García Florín (Menor). 9 de octubre de 1961. Cinco votos. Ponente: José Rivera Pérez Campos.”</w:t>
      </w:r>
    </w:p>
    <w:p w:rsidR="002762D5" w:rsidRPr="00B14F1C" w:rsidRDefault="002762D5" w:rsidP="002762D5">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lastRenderedPageBreak/>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Resoluciones:</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r w:rsidRPr="00B14F1C">
        <w:rPr>
          <w:rFonts w:ascii="Palatino Linotype" w:hAnsi="Palatino Linotype"/>
          <w:i/>
          <w:sz w:val="22"/>
          <w:szCs w:val="22"/>
        </w:rPr>
        <w:tab/>
        <w:t>RRA 2959/16. Secretaría de Gobernación. 23 de noviembre de 2016. Por unanimidad. Comisionado Ponente Rosendoevgueni Monterrey Chepov.</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r w:rsidRPr="00B14F1C">
        <w:rPr>
          <w:rFonts w:ascii="Palatino Linotype" w:hAnsi="Palatino Linotype"/>
          <w:i/>
          <w:sz w:val="22"/>
          <w:szCs w:val="22"/>
        </w:rPr>
        <w:tab/>
        <w:t>RRA 3186/16. Petróleos Mexicanos. 13 de diciembre de 2016. Por unanimidad. Comisionado Ponente Francisco Javier Acuña Llamas.</w:t>
      </w:r>
    </w:p>
    <w:p w:rsidR="002762D5" w:rsidRPr="00B14F1C" w:rsidRDefault="002762D5" w:rsidP="002762D5">
      <w:pPr>
        <w:widowControl w:val="0"/>
        <w:tabs>
          <w:tab w:val="left" w:pos="1276"/>
        </w:tabs>
        <w:autoSpaceDE w:val="0"/>
        <w:autoSpaceDN w:val="0"/>
        <w:adjustRightInd w:val="0"/>
        <w:ind w:left="851" w:right="899"/>
        <w:jc w:val="both"/>
        <w:rPr>
          <w:rFonts w:ascii="Palatino Linotype" w:hAnsi="Palatino Linotype"/>
          <w:i/>
          <w:sz w:val="22"/>
          <w:szCs w:val="22"/>
        </w:rPr>
      </w:pPr>
      <w:r w:rsidRPr="00B14F1C">
        <w:rPr>
          <w:rFonts w:ascii="Palatino Linotype" w:hAnsi="Palatino Linotype"/>
          <w:i/>
          <w:sz w:val="22"/>
          <w:szCs w:val="22"/>
        </w:rPr>
        <w:t>•</w:t>
      </w:r>
      <w:r w:rsidRPr="00B14F1C">
        <w:rPr>
          <w:rFonts w:ascii="Palatino Linotype" w:hAnsi="Palatino Linotype"/>
          <w:i/>
          <w:sz w:val="22"/>
          <w:szCs w:val="22"/>
        </w:rPr>
        <w:tab/>
        <w:t>RRA 4216/16. Cámara de Diputados. 05 de enero de 2017. Por unanimidad. Comisionada Ponente Areli Cano Guadiana.”</w:t>
      </w:r>
    </w:p>
    <w:p w:rsidR="00AE76D1" w:rsidRPr="00B14F1C" w:rsidRDefault="00AE76D1" w:rsidP="00AE76D1">
      <w:pPr>
        <w:spacing w:line="360" w:lineRule="auto"/>
        <w:jc w:val="both"/>
        <w:rPr>
          <w:rFonts w:ascii="Palatino Linotype" w:hAnsi="Palatino Linotype"/>
        </w:rPr>
      </w:pPr>
    </w:p>
    <w:p w:rsidR="00AE76D1" w:rsidRPr="00B14F1C" w:rsidRDefault="00AE76D1" w:rsidP="00AE76D1">
      <w:pPr>
        <w:spacing w:line="360" w:lineRule="auto"/>
        <w:jc w:val="both"/>
        <w:rPr>
          <w:rFonts w:ascii="Palatino Linotype" w:eastAsiaTheme="minorEastAsia" w:hAnsi="Palatino Linotype" w:cs="Arial"/>
          <w:lang w:val="es-ES_tradnl"/>
        </w:rPr>
      </w:pPr>
      <w:r w:rsidRPr="00B14F1C">
        <w:rPr>
          <w:rFonts w:ascii="Palatino Linotype" w:hAnsi="Palatino Linotype"/>
        </w:rPr>
        <w:t xml:space="preserve">De lo anteriormente expuesto, resulta evidente que </w:t>
      </w:r>
      <w:r w:rsidRPr="00B14F1C">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 por las razones anteriormente expuestas.</w:t>
      </w:r>
    </w:p>
    <w:p w:rsidR="002762D5" w:rsidRPr="00B14F1C" w:rsidRDefault="002762D5" w:rsidP="002762D5">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Asimismo, no se omite comentar que al haber existido un pronunciamiento por parte del </w:t>
      </w:r>
      <w:r w:rsidRPr="00B14F1C">
        <w:rPr>
          <w:rFonts w:ascii="Palatino Linotype" w:hAnsi="Palatino Linotype" w:cs="Arial"/>
          <w:b/>
        </w:rPr>
        <w:t>SUJETO OBLIGADO</w:t>
      </w:r>
      <w:r w:rsidRPr="00B14F1C">
        <w:rPr>
          <w:rFonts w:ascii="Palatino Linotype" w:hAnsi="Palatino Linotype" w:cs="Arial"/>
        </w:rPr>
        <w:t xml:space="preserve">, a fin de dar respuesta a la solicitud planteada, este Instituto no está facultado para manifestarse sobre la veracidad de la información proporcionada, pues este Órgano Garante conforme al artículo 36 de la Ley de la </w:t>
      </w:r>
      <w:r w:rsidRPr="00B14F1C">
        <w:rPr>
          <w:rFonts w:ascii="Palatino Linotype" w:hAnsi="Palatino Linotype" w:cs="Arial"/>
        </w:rPr>
        <w:lastRenderedPageBreak/>
        <w:t>Materia, no se encuentra facultado para pronunciarse acerca de la veracidad de la información remitida por los Sujetos Obligados.</w:t>
      </w:r>
    </w:p>
    <w:p w:rsidR="002762D5" w:rsidRPr="00B14F1C" w:rsidRDefault="002762D5" w:rsidP="002762D5">
      <w:pPr>
        <w:spacing w:before="100" w:beforeAutospacing="1" w:after="100" w:afterAutospacing="1" w:line="360" w:lineRule="auto"/>
        <w:jc w:val="both"/>
        <w:rPr>
          <w:rFonts w:ascii="Palatino Linotype" w:eastAsiaTheme="minorEastAsia" w:hAnsi="Palatino Linotype" w:cs="Arial"/>
          <w:lang w:val="es-ES_tradnl"/>
        </w:rPr>
      </w:pPr>
      <w:r w:rsidRPr="00B14F1C">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2762D5" w:rsidRPr="00B14F1C" w:rsidRDefault="002762D5" w:rsidP="002762D5">
      <w:pPr>
        <w:ind w:left="851" w:right="1041"/>
        <w:jc w:val="both"/>
        <w:rPr>
          <w:rFonts w:ascii="Palatino Linotype" w:eastAsiaTheme="minorEastAsia" w:hAnsi="Palatino Linotype" w:cs="Arial"/>
          <w:i/>
          <w:sz w:val="22"/>
          <w:szCs w:val="20"/>
          <w:lang w:val="es-ES_tradnl"/>
        </w:rPr>
      </w:pPr>
      <w:r w:rsidRPr="00B14F1C">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B14F1C">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2762D5" w:rsidRPr="00B14F1C" w:rsidRDefault="002762D5" w:rsidP="002762D5">
      <w:pPr>
        <w:ind w:left="851" w:right="1041"/>
        <w:jc w:val="both"/>
        <w:rPr>
          <w:rFonts w:ascii="Palatino Linotype" w:eastAsiaTheme="minorEastAsia" w:hAnsi="Palatino Linotype" w:cs="Arial"/>
          <w:b/>
          <w:i/>
          <w:sz w:val="22"/>
          <w:szCs w:val="20"/>
          <w:lang w:val="es-ES_tradnl"/>
        </w:rPr>
      </w:pPr>
      <w:r w:rsidRPr="00B14F1C">
        <w:rPr>
          <w:rFonts w:ascii="Palatino Linotype" w:eastAsiaTheme="minorEastAsia" w:hAnsi="Palatino Linotype" w:cs="Arial"/>
          <w:i/>
          <w:sz w:val="22"/>
          <w:szCs w:val="20"/>
          <w:lang w:val="es-ES_tradnl"/>
        </w:rPr>
        <w:t>Criterio 31/10</w:t>
      </w:r>
      <w:r w:rsidRPr="00B14F1C">
        <w:rPr>
          <w:rFonts w:ascii="Palatino Linotype" w:eastAsiaTheme="minorEastAsia" w:hAnsi="Palatino Linotype" w:cs="Arial"/>
          <w:b/>
          <w:i/>
          <w:sz w:val="22"/>
          <w:szCs w:val="20"/>
          <w:lang w:val="es-ES_tradnl"/>
        </w:rPr>
        <w:t>”</w:t>
      </w:r>
      <w:r w:rsidRPr="00B14F1C">
        <w:rPr>
          <w:rFonts w:ascii="Palatino Linotype" w:eastAsiaTheme="minorEastAsia" w:hAnsi="Palatino Linotype" w:cs="Arial"/>
          <w:i/>
          <w:sz w:val="22"/>
          <w:szCs w:val="20"/>
          <w:lang w:val="es-ES_tradnl"/>
        </w:rPr>
        <w:t xml:space="preserve"> (sic)</w:t>
      </w:r>
    </w:p>
    <w:p w:rsidR="002762D5" w:rsidRPr="00B14F1C" w:rsidRDefault="002762D5" w:rsidP="002762D5">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rPr>
        <w:t xml:space="preserve">Es así que, el medio de impugnación que nos ocupa ha quedado sin materia, dado que la inconformidad del hoy </w:t>
      </w:r>
      <w:r w:rsidRPr="00B14F1C">
        <w:rPr>
          <w:rFonts w:ascii="Palatino Linotype" w:hAnsi="Palatino Linotype" w:cs="Arial"/>
          <w:b/>
        </w:rPr>
        <w:t>RECURRENTE</w:t>
      </w:r>
      <w:r w:rsidRPr="00B14F1C">
        <w:rPr>
          <w:rFonts w:ascii="Palatino Linotype" w:hAnsi="Palatino Linotype" w:cs="Arial"/>
        </w:rPr>
        <w:t xml:space="preserve"> fue atendida por </w:t>
      </w:r>
      <w:r w:rsidRPr="00B14F1C">
        <w:rPr>
          <w:rFonts w:ascii="Palatino Linotype" w:hAnsi="Palatino Linotype" w:cs="Arial"/>
          <w:b/>
        </w:rPr>
        <w:t xml:space="preserve">EL SUJETO OBLIGADO; </w:t>
      </w:r>
      <w:r w:rsidRPr="00B14F1C">
        <w:rPr>
          <w:rFonts w:ascii="Palatino Linotype" w:hAnsi="Palatino Linotype" w:cs="Arial"/>
        </w:rPr>
        <w:t xml:space="preserve">esto ya que se aquejó respecto de que no </w:t>
      </w:r>
      <w:r w:rsidR="000A3705" w:rsidRPr="00B14F1C">
        <w:rPr>
          <w:rFonts w:ascii="Palatino Linotype" w:hAnsi="Palatino Linotype" w:cs="Arial"/>
        </w:rPr>
        <w:t>se le dio el debido tr</w:t>
      </w:r>
      <w:r w:rsidR="00194A63" w:rsidRPr="00B14F1C">
        <w:rPr>
          <w:rFonts w:ascii="Palatino Linotype" w:hAnsi="Palatino Linotype" w:cs="Arial"/>
        </w:rPr>
        <w:t>á</w:t>
      </w:r>
      <w:r w:rsidR="000A3705" w:rsidRPr="00B14F1C">
        <w:rPr>
          <w:rFonts w:ascii="Palatino Linotype" w:hAnsi="Palatino Linotype" w:cs="Arial"/>
        </w:rPr>
        <w:t>mite a su solicitud de información</w:t>
      </w:r>
      <w:r w:rsidRPr="00B14F1C">
        <w:rPr>
          <w:rFonts w:ascii="Palatino Linotype" w:hAnsi="Palatino Linotype" w:cs="Arial"/>
        </w:rPr>
        <w:t xml:space="preserve">; sin embargo, </w:t>
      </w:r>
      <w:r w:rsidR="000A3705" w:rsidRPr="00B14F1C">
        <w:rPr>
          <w:rFonts w:ascii="Palatino Linotype" w:hAnsi="Palatino Linotype" w:cs="Arial"/>
        </w:rPr>
        <w:t xml:space="preserve">como ya se ha visto en el presente </w:t>
      </w:r>
      <w:r w:rsidR="000A3705" w:rsidRPr="00B14F1C">
        <w:rPr>
          <w:rFonts w:ascii="Palatino Linotype" w:hAnsi="Palatino Linotype" w:cs="Arial"/>
        </w:rPr>
        <w:lastRenderedPageBreak/>
        <w:t xml:space="preserve">considerando, el Titular de la Unidad de Transparencia turnó la solicitud a las áreas competentes quienes manifestaron no haber celebrado contratos con las empresas referidas por el particular o sus filiales; lo que impide al </w:t>
      </w:r>
      <w:r w:rsidR="000A3705" w:rsidRPr="00B14F1C">
        <w:rPr>
          <w:rFonts w:ascii="Palatino Linotype" w:hAnsi="Palatino Linotype" w:cs="Arial"/>
          <w:b/>
        </w:rPr>
        <w:t xml:space="preserve">SUJETO OBLIGADO </w:t>
      </w:r>
      <w:r w:rsidR="000A3705" w:rsidRPr="00B14F1C">
        <w:rPr>
          <w:rFonts w:ascii="Palatino Linotype" w:hAnsi="Palatino Linotype" w:cs="Arial"/>
        </w:rPr>
        <w:t>a contar con el resto de la información</w:t>
      </w:r>
      <w:r w:rsidRPr="00B14F1C">
        <w:rPr>
          <w:rFonts w:ascii="Palatino Linotype" w:hAnsi="Palatino Linotype" w:cs="Arial"/>
        </w:rPr>
        <w:t xml:space="preserve">, lo que conlleva a </w:t>
      </w:r>
      <w:r w:rsidR="000A3705" w:rsidRPr="00B14F1C">
        <w:rPr>
          <w:rFonts w:ascii="Palatino Linotype" w:hAnsi="Palatino Linotype" w:cs="Arial"/>
        </w:rPr>
        <w:t xml:space="preserve">determinar </w:t>
      </w:r>
      <w:r w:rsidRPr="00B14F1C">
        <w:rPr>
          <w:rFonts w:ascii="Palatino Linotype" w:hAnsi="Palatino Linotype" w:cs="Arial"/>
        </w:rPr>
        <w:t xml:space="preserve">que el acto que dio origen al recurso de revisión ha sido contravenido dejándolo sin materia. </w:t>
      </w:r>
    </w:p>
    <w:p w:rsidR="002762D5" w:rsidRPr="00B14F1C" w:rsidRDefault="002762D5" w:rsidP="002762D5">
      <w:pPr>
        <w:autoSpaceDE w:val="0"/>
        <w:autoSpaceDN w:val="0"/>
        <w:adjustRightInd w:val="0"/>
        <w:spacing w:before="100" w:beforeAutospacing="1" w:after="100" w:afterAutospacing="1" w:line="360" w:lineRule="auto"/>
        <w:ind w:right="51"/>
        <w:jc w:val="both"/>
        <w:rPr>
          <w:rFonts w:ascii="Palatino Linotype" w:hAnsi="Palatino Linotype" w:cs="Arial"/>
          <w:color w:val="000000" w:themeColor="text1"/>
        </w:rPr>
      </w:pPr>
      <w:r w:rsidRPr="00B14F1C">
        <w:rPr>
          <w:rFonts w:ascii="Palatino Linotype" w:eastAsia="Calibri" w:hAnsi="Palatino Linotype" w:cs="Arial"/>
        </w:rPr>
        <w:t xml:space="preserve">Así, con </w:t>
      </w:r>
      <w:r w:rsidRPr="00B14F1C">
        <w:rPr>
          <w:rFonts w:ascii="Palatino Linotype" w:hAnsi="Palatino Linotype" w:cs="Arial"/>
        </w:rPr>
        <w:t>fundamento</w:t>
      </w:r>
      <w:r w:rsidRPr="00B14F1C">
        <w:rPr>
          <w:rFonts w:ascii="Palatino Linotype" w:eastAsia="Calibri" w:hAnsi="Palatino Linotype" w:cs="Arial"/>
        </w:rPr>
        <w:t xml:space="preserve"> en lo prescrito en los artículos 5, párrafos </w:t>
      </w:r>
      <w:r w:rsidRPr="00B14F1C">
        <w:rPr>
          <w:rFonts w:ascii="Palatino Linotype" w:hAnsi="Palatino Linotype"/>
        </w:rPr>
        <w:t xml:space="preserve">vigésimo </w:t>
      </w:r>
      <w:r w:rsidRPr="00B14F1C">
        <w:rPr>
          <w:rFonts w:ascii="Palatino Linotype" w:hAnsi="Palatino Linotype" w:cs="Arial"/>
        </w:rPr>
        <w:t>segundo,</w:t>
      </w:r>
      <w:r w:rsidRPr="00B14F1C">
        <w:rPr>
          <w:rFonts w:ascii="Palatino Linotype" w:hAnsi="Palatino Linotype"/>
        </w:rPr>
        <w:t xml:space="preserve"> vigésimo tercero y vigésimo cuarto</w:t>
      </w:r>
      <w:r w:rsidRPr="00B14F1C">
        <w:rPr>
          <w:rFonts w:ascii="Palatino Linotype" w:hAnsi="Palatino Linotype" w:cs="Arial"/>
        </w:rPr>
        <w:t>,</w:t>
      </w:r>
      <w:r w:rsidRPr="00B14F1C">
        <w:rPr>
          <w:rFonts w:ascii="Palatino Linotype" w:hAnsi="Palatino Linotype"/>
        </w:rPr>
        <w:t xml:space="preserve"> fracciones IV y V,</w:t>
      </w:r>
      <w:r w:rsidRPr="00B14F1C">
        <w:rPr>
          <w:rFonts w:ascii="Palatino Linotype" w:eastAsia="Calibri" w:hAnsi="Palatino Linotype" w:cs="Arial"/>
        </w:rPr>
        <w:t xml:space="preserve"> de la Constitución Política del Estado Libre y Soberano de </w:t>
      </w:r>
      <w:r w:rsidRPr="00B14F1C">
        <w:rPr>
          <w:rFonts w:ascii="Palatino Linotype" w:hAnsi="Palatino Linotype" w:cs="Arial"/>
          <w:lang w:val="es-ES_tradnl"/>
        </w:rPr>
        <w:t>México</w:t>
      </w:r>
      <w:r w:rsidRPr="00B14F1C">
        <w:rPr>
          <w:rFonts w:ascii="Palatino Linotype" w:eastAsia="Calibri" w:hAnsi="Palatino Linotype" w:cs="Arial"/>
        </w:rPr>
        <w:t xml:space="preserve">, y los artículos </w:t>
      </w:r>
      <w:r w:rsidRPr="00B14F1C">
        <w:rPr>
          <w:rFonts w:ascii="Palatino Linotype" w:hAnsi="Palatino Linotype"/>
        </w:rPr>
        <w:t xml:space="preserve">2, </w:t>
      </w:r>
      <w:r w:rsidRPr="00B14F1C">
        <w:rPr>
          <w:rFonts w:ascii="Palatino Linotype" w:hAnsi="Palatino Linotype" w:cs="Arial"/>
        </w:rPr>
        <w:t>fracción</w:t>
      </w:r>
      <w:r w:rsidRPr="00B14F1C">
        <w:rPr>
          <w:rFonts w:ascii="Palatino Linotype" w:hAnsi="Palatino Linotype"/>
        </w:rPr>
        <w:t xml:space="preserve"> II, 9, </w:t>
      </w:r>
      <w:r w:rsidRPr="00B14F1C">
        <w:rPr>
          <w:rFonts w:ascii="Palatino Linotype" w:hAnsi="Palatino Linotype" w:cs="Arial"/>
          <w:lang w:val="es-ES_tradnl"/>
        </w:rPr>
        <w:t>29</w:t>
      </w:r>
      <w:r w:rsidRPr="00B14F1C">
        <w:rPr>
          <w:rFonts w:ascii="Palatino Linotype" w:hAnsi="Palatino Linotype"/>
        </w:rPr>
        <w:t>, 36, fracciones I y II, 176, 178, 179, 181, 185, fracción I, 186 y 188,</w:t>
      </w:r>
      <w:r w:rsidRPr="00B14F1C">
        <w:rPr>
          <w:rFonts w:ascii="Palatino Linotype" w:eastAsia="Calibri" w:hAnsi="Palatino Linotype" w:cs="Arial"/>
        </w:rPr>
        <w:t xml:space="preserve"> de la Ley de Transparencia y Acceso a la Información Pública del Estado de México y </w:t>
      </w:r>
      <w:r w:rsidRPr="00B14F1C">
        <w:rPr>
          <w:rFonts w:ascii="Palatino Linotype" w:hAnsi="Palatino Linotype" w:cs="Arial"/>
        </w:rPr>
        <w:t>Municipios</w:t>
      </w:r>
      <w:r w:rsidRPr="00B14F1C">
        <w:rPr>
          <w:rFonts w:ascii="Palatino Linotype" w:eastAsia="Calibri" w:hAnsi="Palatino Linotype" w:cs="Arial"/>
        </w:rPr>
        <w:t xml:space="preserve">, </w:t>
      </w:r>
      <w:r w:rsidRPr="00B14F1C">
        <w:rPr>
          <w:rFonts w:ascii="Palatino Linotype" w:hAnsi="Palatino Linotype"/>
        </w:rPr>
        <w:t>este</w:t>
      </w:r>
      <w:r w:rsidRPr="00B14F1C">
        <w:rPr>
          <w:rFonts w:ascii="Palatino Linotype" w:eastAsia="Calibri" w:hAnsi="Palatino Linotype" w:cs="Arial"/>
        </w:rPr>
        <w:t xml:space="preserve"> Pleno:</w:t>
      </w:r>
    </w:p>
    <w:p w:rsidR="002762D5" w:rsidRPr="00B14F1C" w:rsidRDefault="002762D5" w:rsidP="002762D5">
      <w:pPr>
        <w:spacing w:before="240" w:after="100" w:afterAutospacing="1" w:line="360" w:lineRule="auto"/>
        <w:jc w:val="center"/>
        <w:rPr>
          <w:rFonts w:ascii="Palatino Linotype" w:hAnsi="Palatino Linotype"/>
          <w:b/>
          <w:bCs/>
          <w:spacing w:val="60"/>
          <w:sz w:val="28"/>
        </w:rPr>
      </w:pPr>
      <w:r w:rsidRPr="00B14F1C">
        <w:rPr>
          <w:rFonts w:ascii="Palatino Linotype" w:hAnsi="Palatino Linotype"/>
          <w:b/>
          <w:bCs/>
          <w:spacing w:val="60"/>
          <w:sz w:val="28"/>
        </w:rPr>
        <w:t>RESUELVE</w:t>
      </w:r>
    </w:p>
    <w:p w:rsidR="002762D5" w:rsidRPr="00B14F1C" w:rsidRDefault="002762D5" w:rsidP="002762D5">
      <w:pPr>
        <w:spacing w:before="100" w:beforeAutospacing="1" w:after="100" w:afterAutospacing="1" w:line="360" w:lineRule="auto"/>
        <w:jc w:val="both"/>
        <w:rPr>
          <w:rFonts w:ascii="Palatino Linotype" w:hAnsi="Palatino Linotype" w:cs="Arial"/>
          <w:lang w:val="es-ES"/>
        </w:rPr>
      </w:pPr>
      <w:r w:rsidRPr="00B14F1C">
        <w:rPr>
          <w:rFonts w:ascii="Palatino Linotype" w:hAnsi="Palatino Linotype" w:cs="Arial"/>
          <w:b/>
          <w:color w:val="000000" w:themeColor="text1"/>
          <w:sz w:val="28"/>
          <w:lang w:val="es-ES"/>
        </w:rPr>
        <w:t>PRIMERO</w:t>
      </w:r>
      <w:r w:rsidRPr="00B14F1C">
        <w:rPr>
          <w:rFonts w:ascii="Palatino Linotype" w:hAnsi="Palatino Linotype" w:cs="Arial"/>
          <w:lang w:val="es-ES"/>
        </w:rPr>
        <w:t xml:space="preserve">. </w:t>
      </w:r>
      <w:r w:rsidRPr="00B14F1C">
        <w:rPr>
          <w:rFonts w:ascii="Palatino Linotype" w:hAnsi="Palatino Linotype" w:cs="Arial"/>
        </w:rPr>
        <w:t xml:space="preserve">Se </w:t>
      </w:r>
      <w:r w:rsidRPr="00B14F1C">
        <w:rPr>
          <w:rFonts w:ascii="Palatino Linotype" w:hAnsi="Palatino Linotype" w:cs="Arial"/>
          <w:b/>
        </w:rPr>
        <w:t xml:space="preserve">SOBRESEE </w:t>
      </w:r>
      <w:r w:rsidRPr="00B14F1C">
        <w:rPr>
          <w:rFonts w:ascii="Palatino Linotype" w:hAnsi="Palatino Linotype" w:cs="Arial"/>
        </w:rPr>
        <w:t>el recurso de revisión número 0</w:t>
      </w:r>
      <w:r w:rsidR="000A3705" w:rsidRPr="00B14F1C">
        <w:rPr>
          <w:rFonts w:ascii="Palatino Linotype" w:hAnsi="Palatino Linotype" w:cs="Arial"/>
        </w:rPr>
        <w:t>1512</w:t>
      </w:r>
      <w:r w:rsidRPr="00B14F1C">
        <w:rPr>
          <w:rFonts w:ascii="Palatino Linotype" w:hAnsi="Palatino Linotype" w:cs="Arial"/>
        </w:rPr>
        <w:t xml:space="preserve">/INFOEM/IP/RR/2020 </w:t>
      </w:r>
      <w:r w:rsidR="00AE76D1" w:rsidRPr="00B14F1C">
        <w:rPr>
          <w:rFonts w:ascii="Palatino Linotype" w:hAnsi="Palatino Linotype" w:cs="Arial"/>
          <w:b/>
        </w:rPr>
        <w:t xml:space="preserve">porque al modificar la respuesta el recurso de revisión quedó </w:t>
      </w:r>
      <w:r w:rsidR="00AE76D1" w:rsidRPr="00B14F1C">
        <w:rPr>
          <w:rFonts w:ascii="Palatino Linotype" w:hAnsi="Palatino Linotype" w:cs="Arial"/>
          <w:b/>
          <w:lang w:val="es-ES"/>
        </w:rPr>
        <w:t>sin materia</w:t>
      </w:r>
      <w:r w:rsidR="00AE76D1" w:rsidRPr="00B14F1C">
        <w:rPr>
          <w:rFonts w:ascii="Palatino Linotype" w:hAnsi="Palatino Linotype" w:cs="Arial"/>
        </w:rPr>
        <w:t xml:space="preserve"> </w:t>
      </w:r>
      <w:r w:rsidRPr="00B14F1C">
        <w:rPr>
          <w:rFonts w:ascii="Palatino Linotype" w:hAnsi="Palatino Linotype" w:cs="Arial"/>
        </w:rPr>
        <w:t xml:space="preserve">en términos del Considerando </w:t>
      </w:r>
      <w:r w:rsidRPr="00B14F1C">
        <w:rPr>
          <w:rFonts w:ascii="Palatino Linotype" w:hAnsi="Palatino Linotype" w:cs="Arial"/>
          <w:b/>
        </w:rPr>
        <w:t>QUINTO</w:t>
      </w:r>
      <w:r w:rsidRPr="00B14F1C">
        <w:rPr>
          <w:rFonts w:ascii="Palatino Linotype" w:hAnsi="Palatino Linotype" w:cs="Arial"/>
          <w:lang w:val="es-ES"/>
        </w:rPr>
        <w:t xml:space="preserve"> de la presente resolución.</w:t>
      </w:r>
    </w:p>
    <w:p w:rsidR="002762D5" w:rsidRPr="00B14F1C" w:rsidRDefault="002762D5" w:rsidP="002762D5">
      <w:pPr>
        <w:spacing w:before="100" w:beforeAutospacing="1" w:after="100" w:afterAutospacing="1" w:line="360" w:lineRule="auto"/>
        <w:jc w:val="both"/>
        <w:rPr>
          <w:rFonts w:ascii="Palatino Linotype" w:hAnsi="Palatino Linotype" w:cs="Arial"/>
        </w:rPr>
      </w:pPr>
      <w:r w:rsidRPr="00B14F1C">
        <w:rPr>
          <w:rFonts w:ascii="Palatino Linotype" w:hAnsi="Palatino Linotype" w:cs="Arial"/>
          <w:b/>
          <w:color w:val="000000" w:themeColor="text1"/>
          <w:sz w:val="28"/>
          <w:lang w:val="es-ES"/>
        </w:rPr>
        <w:t>SEGUNDO</w:t>
      </w:r>
      <w:r w:rsidRPr="00B14F1C">
        <w:rPr>
          <w:rFonts w:ascii="Palatino Linotype" w:hAnsi="Palatino Linotype" w:cs="Arial"/>
          <w:color w:val="000000" w:themeColor="text1"/>
          <w:sz w:val="28"/>
          <w:lang w:val="es-ES"/>
        </w:rPr>
        <w:t xml:space="preserve">. </w:t>
      </w:r>
      <w:r w:rsidRPr="00B14F1C">
        <w:rPr>
          <w:rFonts w:ascii="Palatino Linotype" w:hAnsi="Palatino Linotype" w:cs="Arial"/>
          <w:b/>
          <w:color w:val="222222"/>
          <w:shd w:val="clear" w:color="auto" w:fill="FFFFFF"/>
          <w:lang w:val="es-ES"/>
        </w:rPr>
        <w:t xml:space="preserve">Notifíquese </w:t>
      </w:r>
      <w:r w:rsidRPr="00B14F1C">
        <w:rPr>
          <w:rFonts w:ascii="Palatino Linotype" w:hAnsi="Palatino Linotype" w:cs="Arial"/>
        </w:rPr>
        <w:t>al Titular de la Unidad de Transparencia del</w:t>
      </w:r>
      <w:r w:rsidRPr="00B14F1C">
        <w:rPr>
          <w:rFonts w:ascii="Palatino Linotype" w:hAnsi="Palatino Linotype" w:cs="Arial"/>
          <w:b/>
          <w:color w:val="222222"/>
          <w:shd w:val="clear" w:color="auto" w:fill="FFFFFF"/>
          <w:lang w:val="es-ES"/>
        </w:rPr>
        <w:t xml:space="preserve"> SUJETO OBLIGADO</w:t>
      </w:r>
      <w:r w:rsidRPr="00B14F1C">
        <w:rPr>
          <w:rFonts w:ascii="Palatino Linotype" w:hAnsi="Palatino Linotype" w:cs="Arial"/>
          <w:color w:val="222222"/>
          <w:shd w:val="clear" w:color="auto" w:fill="FFFFFF"/>
          <w:lang w:val="es-ES"/>
        </w:rPr>
        <w:t xml:space="preserve"> </w:t>
      </w:r>
      <w:r w:rsidRPr="00B14F1C">
        <w:rPr>
          <w:rFonts w:ascii="Palatino Linotype" w:hAnsi="Palatino Linotype" w:cs="Arial"/>
        </w:rPr>
        <w:t xml:space="preserve">para su conocimiento. </w:t>
      </w:r>
    </w:p>
    <w:p w:rsidR="002762D5" w:rsidRPr="00B14F1C" w:rsidRDefault="002762D5" w:rsidP="002762D5">
      <w:pPr>
        <w:widowControl w:val="0"/>
        <w:autoSpaceDE w:val="0"/>
        <w:autoSpaceDN w:val="0"/>
        <w:adjustRightInd w:val="0"/>
        <w:spacing w:before="100" w:beforeAutospacing="1" w:after="100" w:afterAutospacing="1" w:line="360" w:lineRule="auto"/>
        <w:jc w:val="both"/>
        <w:rPr>
          <w:rFonts w:ascii="Palatino Linotype" w:hAnsi="Palatino Linotype"/>
          <w:b/>
          <w:lang w:eastAsia="es-ES_tradnl"/>
        </w:rPr>
      </w:pPr>
      <w:r w:rsidRPr="00B14F1C">
        <w:rPr>
          <w:rFonts w:ascii="Palatino Linotype" w:hAnsi="Palatino Linotype" w:cs="Arial"/>
          <w:b/>
          <w:color w:val="000000" w:themeColor="text1"/>
          <w:sz w:val="28"/>
          <w:szCs w:val="28"/>
          <w:lang w:val="es-ES"/>
        </w:rPr>
        <w:t>TERCERO.</w:t>
      </w:r>
      <w:r w:rsidRPr="00B14F1C">
        <w:rPr>
          <w:rFonts w:ascii="Palatino Linotype" w:hAnsi="Palatino Linotype"/>
          <w:b/>
          <w:color w:val="222222"/>
          <w:szCs w:val="17"/>
          <w:lang w:val="es-ES" w:eastAsia="es-ES_tradnl"/>
        </w:rPr>
        <w:t xml:space="preserve"> Notifíquese</w:t>
      </w:r>
      <w:r w:rsidRPr="00B14F1C">
        <w:rPr>
          <w:rFonts w:ascii="Palatino Linotype" w:hAnsi="Palatino Linotype"/>
          <w:color w:val="222222"/>
          <w:szCs w:val="17"/>
          <w:lang w:val="es-ES" w:eastAsia="es-ES_tradnl"/>
        </w:rPr>
        <w:t xml:space="preserve"> a</w:t>
      </w:r>
      <w:r w:rsidR="000A3705" w:rsidRPr="00B14F1C">
        <w:rPr>
          <w:rFonts w:ascii="Palatino Linotype" w:hAnsi="Palatino Linotype"/>
          <w:color w:val="222222"/>
          <w:szCs w:val="17"/>
          <w:lang w:val="es-ES" w:eastAsia="es-ES_tradnl"/>
        </w:rPr>
        <w:t xml:space="preserve">l </w:t>
      </w:r>
      <w:r w:rsidRPr="00B14F1C">
        <w:rPr>
          <w:rFonts w:ascii="Palatino Linotype" w:hAnsi="Palatino Linotype"/>
          <w:b/>
          <w:color w:val="222222"/>
          <w:szCs w:val="17"/>
          <w:lang w:val="es-ES" w:eastAsia="es-ES_tradnl"/>
        </w:rPr>
        <w:t>RECURRENTE</w:t>
      </w:r>
      <w:r w:rsidRPr="00B14F1C">
        <w:rPr>
          <w:rFonts w:ascii="Palatino Linotype" w:hAnsi="Palatino Linotype"/>
          <w:color w:val="222222"/>
          <w:szCs w:val="17"/>
          <w:lang w:val="es-ES" w:eastAsia="es-ES_tradnl"/>
        </w:rPr>
        <w:t xml:space="preserve"> la presente resolución</w:t>
      </w:r>
      <w:r w:rsidR="00B14F1C" w:rsidRPr="00B14F1C">
        <w:rPr>
          <w:rFonts w:ascii="Palatino Linotype" w:hAnsi="Palatino Linotype"/>
          <w:color w:val="222222"/>
          <w:szCs w:val="17"/>
          <w:lang w:val="es-ES" w:eastAsia="es-ES_tradnl"/>
        </w:rPr>
        <w:t xml:space="preserve">, </w:t>
      </w:r>
      <w:r w:rsidR="00194A63" w:rsidRPr="00B14F1C">
        <w:rPr>
          <w:rFonts w:ascii="Palatino Linotype" w:hAnsi="Palatino Linotype"/>
          <w:lang w:eastAsia="es-ES_tradnl"/>
        </w:rPr>
        <w:t>así como el alcance al informe justificado</w:t>
      </w:r>
      <w:r w:rsidR="00316617">
        <w:rPr>
          <w:rFonts w:ascii="Palatino Linotype" w:hAnsi="Palatino Linotype"/>
          <w:lang w:eastAsia="es-ES_tradnl"/>
        </w:rPr>
        <w:t xml:space="preserve"> remitido a través del correo electrónico institucional</w:t>
      </w:r>
      <w:r w:rsidRPr="00B14F1C">
        <w:rPr>
          <w:rFonts w:ascii="Palatino Linotype" w:hAnsi="Palatino Linotype"/>
          <w:lang w:eastAsia="es-ES_tradnl"/>
        </w:rPr>
        <w:t>.</w:t>
      </w:r>
    </w:p>
    <w:p w:rsidR="002762D5" w:rsidRPr="00C66AC1" w:rsidRDefault="002762D5" w:rsidP="002762D5">
      <w:pPr>
        <w:widowControl w:val="0"/>
        <w:autoSpaceDE w:val="0"/>
        <w:autoSpaceDN w:val="0"/>
        <w:adjustRightInd w:val="0"/>
        <w:spacing w:before="100" w:beforeAutospacing="1" w:after="100" w:afterAutospacing="1" w:line="360" w:lineRule="auto"/>
        <w:jc w:val="both"/>
        <w:rPr>
          <w:rFonts w:ascii="Palatino Linotype" w:hAnsi="Palatino Linotype"/>
          <w:color w:val="222222"/>
          <w:szCs w:val="17"/>
          <w:lang w:val="es-ES" w:eastAsia="es-ES_tradnl"/>
        </w:rPr>
      </w:pPr>
      <w:r w:rsidRPr="00B14F1C">
        <w:rPr>
          <w:rFonts w:ascii="Palatino Linotype" w:hAnsi="Palatino Linotype" w:cs="Arial"/>
          <w:b/>
          <w:color w:val="000000" w:themeColor="text1"/>
          <w:sz w:val="28"/>
          <w:szCs w:val="28"/>
          <w:lang w:val="es-ES"/>
        </w:rPr>
        <w:t xml:space="preserve">CUARTO. </w:t>
      </w:r>
      <w:r w:rsidRPr="00B14F1C">
        <w:rPr>
          <w:rFonts w:ascii="Palatino Linotype" w:hAnsi="Palatino Linotype"/>
          <w:b/>
          <w:color w:val="222222"/>
          <w:szCs w:val="17"/>
          <w:lang w:val="es-ES" w:eastAsia="es-ES_tradnl"/>
        </w:rPr>
        <w:t>Hágase del conocimiento</w:t>
      </w:r>
      <w:r w:rsidRPr="00B14F1C">
        <w:rPr>
          <w:rFonts w:ascii="Palatino Linotype" w:hAnsi="Palatino Linotype"/>
          <w:color w:val="222222"/>
          <w:szCs w:val="17"/>
          <w:lang w:val="es-ES" w:eastAsia="es-ES_tradnl"/>
        </w:rPr>
        <w:t xml:space="preserve"> de</w:t>
      </w:r>
      <w:r w:rsidR="000A3705" w:rsidRPr="00B14F1C">
        <w:rPr>
          <w:rFonts w:ascii="Palatino Linotype" w:hAnsi="Palatino Linotype"/>
          <w:color w:val="222222"/>
          <w:szCs w:val="17"/>
          <w:lang w:val="es-ES" w:eastAsia="es-ES_tradnl"/>
        </w:rPr>
        <w:t xml:space="preserve">l </w:t>
      </w:r>
      <w:r w:rsidRPr="00B14F1C">
        <w:rPr>
          <w:rFonts w:ascii="Palatino Linotype" w:hAnsi="Palatino Linotype"/>
          <w:b/>
          <w:color w:val="222222"/>
          <w:szCs w:val="17"/>
          <w:lang w:val="es-ES" w:eastAsia="es-ES_tradnl"/>
        </w:rPr>
        <w:t>RECURRENTE</w:t>
      </w:r>
      <w:r w:rsidRPr="00B14F1C">
        <w:rPr>
          <w:rFonts w:ascii="Palatino Linotype" w:hAnsi="Palatino Linotype"/>
          <w:color w:val="222222"/>
          <w:szCs w:val="17"/>
          <w:lang w:val="es-ES" w:eastAsia="es-ES_tradnl"/>
        </w:rPr>
        <w:t xml:space="preserve">, que de conformidad con lo establecido en el artículo 196 de la Ley de Transparencia y Acceso a la Información </w:t>
      </w:r>
      <w:r w:rsidRPr="00B14F1C">
        <w:rPr>
          <w:rFonts w:ascii="Palatino Linotype" w:hAnsi="Palatino Linotype"/>
          <w:color w:val="222222"/>
          <w:szCs w:val="17"/>
          <w:lang w:val="es-ES" w:eastAsia="es-ES_tradnl"/>
        </w:rPr>
        <w:lastRenderedPageBreak/>
        <w:t>Pública del Estado de México y Municipios, podrá impugnarla vía Juicio de Amparo en los términos de las leyes aplicables.</w:t>
      </w:r>
    </w:p>
    <w:p w:rsidR="00D66084" w:rsidRPr="008F6701" w:rsidRDefault="00DD2A89" w:rsidP="00D66084">
      <w:pPr>
        <w:spacing w:before="100" w:beforeAutospacing="1" w:after="100" w:afterAutospacing="1" w:line="360" w:lineRule="auto"/>
        <w:contextualSpacing/>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ASÍ LO RESUELVE, POR UNANIMIDAD </w:t>
      </w:r>
      <w:r w:rsidR="00D66084" w:rsidRPr="008F6701">
        <w:rPr>
          <w:rFonts w:ascii="Palatino Linotype" w:hAnsi="Palatino Linotype" w:cs="Arial"/>
          <w:color w:val="000000" w:themeColor="text1"/>
          <w:lang w:val="es-ES"/>
        </w:rPr>
        <w:t>DE VOTOS EL PLENO DEL</w:t>
      </w:r>
      <w:r w:rsidR="00D66084" w:rsidRPr="008F6701">
        <w:rPr>
          <w:rFonts w:ascii="Palatino Linotype" w:eastAsia="Arial Unicode MS" w:hAnsi="Palatino Linotype" w:cs="Arial"/>
          <w:color w:val="000000" w:themeColor="text1"/>
          <w:lang w:val="es-ES"/>
        </w:rPr>
        <w:t xml:space="preserve"> INSTITUTO DE </w:t>
      </w:r>
      <w:r w:rsidR="00D66084" w:rsidRPr="008F6701">
        <w:rPr>
          <w:rFonts w:ascii="Palatino Linotype" w:hAnsi="Palatino Linotype"/>
          <w:color w:val="000000" w:themeColor="text1"/>
          <w:lang w:val="es-ES" w:eastAsia="en-US"/>
        </w:rPr>
        <w:t>TRANSPARENCIA</w:t>
      </w:r>
      <w:r w:rsidR="00D66084"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00D66084" w:rsidRPr="008F6701">
        <w:rPr>
          <w:rFonts w:ascii="Palatino Linotype" w:hAnsi="Palatino Linotype" w:cs="Arial"/>
          <w:color w:val="000000" w:themeColor="text1"/>
          <w:lang w:val="es-ES"/>
        </w:rPr>
        <w:t>, CONFORMADO POR LOS COMISIONADOS ZULEMA MARTÍNEZ SÁNCHEZ; EVA ABAID YAPUR; JOSÉ GUADALUPE LUNA HERNÁNDEZ, JAVIER MARTÍNEZ CRUZ Y LUIS GUSTAVO PARRA NOR</w:t>
      </w:r>
      <w:r w:rsidR="00D66084" w:rsidRPr="00DD2A89">
        <w:rPr>
          <w:rFonts w:ascii="Palatino Linotype" w:hAnsi="Palatino Linotype" w:cs="Arial"/>
          <w:color w:val="000000" w:themeColor="text1"/>
          <w:lang w:val="es-ES"/>
        </w:rPr>
        <w:t xml:space="preserve">IEGA; </w:t>
      </w:r>
      <w:r w:rsidR="00D66084" w:rsidRPr="00DD2A89">
        <w:rPr>
          <w:rFonts w:ascii="Palatino Linotype" w:hAnsi="Palatino Linotype" w:cs="Arial"/>
          <w:color w:val="000000" w:themeColor="text1"/>
          <w:shd w:val="clear" w:color="auto" w:fill="FFFFFF" w:themeFill="background1"/>
          <w:lang w:val="es-ES"/>
        </w:rPr>
        <w:t xml:space="preserve">EN LA DÉCIMA </w:t>
      </w:r>
      <w:r w:rsidR="000A3705" w:rsidRPr="00DD2A89">
        <w:rPr>
          <w:rFonts w:ascii="Palatino Linotype" w:hAnsi="Palatino Linotype" w:cs="Arial"/>
          <w:color w:val="000000" w:themeColor="text1"/>
          <w:shd w:val="clear" w:color="auto" w:fill="FFFFFF" w:themeFill="background1"/>
          <w:lang w:val="es-ES"/>
        </w:rPr>
        <w:t>NOVENA</w:t>
      </w:r>
      <w:r w:rsidR="00D66084" w:rsidRPr="00DD2A89">
        <w:rPr>
          <w:rFonts w:ascii="Palatino Linotype" w:hAnsi="Palatino Linotype" w:cs="Arial"/>
          <w:color w:val="000000" w:themeColor="text1"/>
          <w:shd w:val="clear" w:color="auto" w:fill="FFFFFF" w:themeFill="background1"/>
          <w:lang w:val="es-ES"/>
        </w:rPr>
        <w:t xml:space="preserve"> </w:t>
      </w:r>
      <w:r w:rsidR="00D66084" w:rsidRPr="00DD2A89">
        <w:rPr>
          <w:rFonts w:ascii="Palatino Linotype" w:hAnsi="Palatino Linotype" w:cs="Arial"/>
          <w:color w:val="000000" w:themeColor="text1"/>
          <w:lang w:val="es-ES"/>
        </w:rPr>
        <w:t xml:space="preserve">SESIÓN ORDINARIA CELEBRADA EL </w:t>
      </w:r>
      <w:r w:rsidR="000A3705" w:rsidRPr="00DD2A89">
        <w:rPr>
          <w:rFonts w:ascii="Palatino Linotype" w:hAnsi="Palatino Linotype" w:cs="Arial"/>
          <w:color w:val="000000" w:themeColor="text1"/>
          <w:lang w:val="es-ES"/>
        </w:rPr>
        <w:t xml:space="preserve">VEINTITRÉS </w:t>
      </w:r>
      <w:r w:rsidR="00D66084" w:rsidRPr="00DD2A89">
        <w:rPr>
          <w:rFonts w:ascii="Palatino Linotype" w:hAnsi="Palatino Linotype" w:cs="Arial"/>
          <w:color w:val="000000" w:themeColor="text1"/>
          <w:lang w:val="es-ES"/>
        </w:rPr>
        <w:t>DE SEPTIEMBRE DE DOS MIL VEINTE, ANTE EL SECRETARIO TÉCNI</w:t>
      </w:r>
      <w:r w:rsidR="00D66084" w:rsidRPr="008F6701">
        <w:rPr>
          <w:rFonts w:ascii="Palatino Linotype" w:hAnsi="Palatino Linotype" w:cs="Arial"/>
          <w:color w:val="000000" w:themeColor="text1"/>
          <w:lang w:val="es-ES"/>
        </w:rPr>
        <w:t xml:space="preserve">CO DEL PLENO, </w:t>
      </w:r>
      <w:r w:rsidR="00D66084" w:rsidRPr="008F6701">
        <w:rPr>
          <w:rFonts w:ascii="Palatino Linotype" w:eastAsia="Arial Unicode MS" w:hAnsi="Palatino Linotype" w:cs="Arial"/>
          <w:color w:val="000000" w:themeColor="text1"/>
          <w:lang w:val="es-ES"/>
        </w:rPr>
        <w:t>ALEXIS</w:t>
      </w:r>
      <w:r w:rsidR="00D66084" w:rsidRPr="008F6701">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5184"/>
        <w:gridCol w:w="5184"/>
      </w:tblGrid>
      <w:tr w:rsidR="00DD2A89" w:rsidRPr="00120510">
        <w:trPr>
          <w:jc w:val="center"/>
        </w:trPr>
        <w:tc>
          <w:tcPr>
            <w:tcW w:w="10368" w:type="dxa"/>
            <w:gridSpan w:val="2"/>
          </w:tcPr>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DD2A89" w:rsidRPr="00120510">
        <w:trPr>
          <w:jc w:val="center"/>
        </w:trPr>
        <w:tc>
          <w:tcPr>
            <w:tcW w:w="5184" w:type="dxa"/>
          </w:tcPr>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DD2A89" w:rsidRPr="00120510" w:rsidRDefault="00DD2A89" w:rsidP="00F854F5">
            <w:pPr>
              <w:jc w:val="center"/>
              <w:rPr>
                <w:rFonts w:ascii="Palatino Linotype" w:hAnsi="Palatino Linotype" w:cs="Arial"/>
                <w:lang w:val="es-ES_tradnl"/>
              </w:rPr>
            </w:pPr>
            <w:r w:rsidRPr="00120510">
              <w:rPr>
                <w:rFonts w:ascii="Palatino Linotype" w:hAnsi="Palatino Linotype" w:cs="Arial"/>
                <w:lang w:val="es-ES_tradnl"/>
              </w:rPr>
              <w:t>Comisionada</w:t>
            </w: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DD2A89" w:rsidRPr="00120510" w:rsidRDefault="00DD2A89" w:rsidP="00F854F5">
            <w:pPr>
              <w:jc w:val="center"/>
              <w:rPr>
                <w:rFonts w:ascii="Palatino Linotype" w:hAnsi="Palatino Linotype" w:cs="Arial"/>
                <w:lang w:val="es-ES_tradnl"/>
              </w:rPr>
            </w:pPr>
            <w:r w:rsidRPr="00120510">
              <w:rPr>
                <w:rFonts w:ascii="Palatino Linotype" w:hAnsi="Palatino Linotype" w:cs="Arial"/>
                <w:lang w:val="es-ES_tradnl"/>
              </w:rPr>
              <w:t>Comisionado</w:t>
            </w: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DD2A89" w:rsidRPr="00120510">
        <w:trPr>
          <w:jc w:val="center"/>
        </w:trPr>
        <w:tc>
          <w:tcPr>
            <w:tcW w:w="5184" w:type="dxa"/>
          </w:tcPr>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DD2A89" w:rsidRPr="00120510" w:rsidRDefault="00DD2A89" w:rsidP="00F854F5">
            <w:pPr>
              <w:jc w:val="center"/>
              <w:rPr>
                <w:rFonts w:ascii="Palatino Linotype" w:hAnsi="Palatino Linotype" w:cs="Arial"/>
                <w:lang w:val="es-ES_tradnl"/>
              </w:rPr>
            </w:pPr>
            <w:r w:rsidRPr="00120510">
              <w:rPr>
                <w:rFonts w:ascii="Palatino Linotype" w:hAnsi="Palatino Linotype" w:cs="Arial"/>
                <w:lang w:val="es-ES_tradnl"/>
              </w:rPr>
              <w:t>Comisionado</w:t>
            </w: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DD2A89" w:rsidRPr="00120510" w:rsidRDefault="00DD2A89" w:rsidP="00F854F5">
            <w:pPr>
              <w:jc w:val="center"/>
              <w:rPr>
                <w:rFonts w:ascii="Palatino Linotype" w:hAnsi="Palatino Linotype" w:cs="Arial"/>
                <w:lang w:val="es-ES_tradnl"/>
              </w:rPr>
            </w:pPr>
            <w:r w:rsidRPr="00120510">
              <w:rPr>
                <w:rFonts w:ascii="Palatino Linotype" w:hAnsi="Palatino Linotype" w:cs="Arial"/>
                <w:lang w:val="es-ES_tradnl"/>
              </w:rPr>
              <w:t>Comisionado</w:t>
            </w: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DD2A89" w:rsidRPr="00120510">
        <w:trPr>
          <w:jc w:val="center"/>
        </w:trPr>
        <w:tc>
          <w:tcPr>
            <w:tcW w:w="10368" w:type="dxa"/>
            <w:gridSpan w:val="2"/>
          </w:tcPr>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p>
          <w:p w:rsidR="00DD2A89" w:rsidRPr="00120510" w:rsidRDefault="00DD2A89" w:rsidP="00F854F5">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DD2A89" w:rsidRPr="00120510" w:rsidRDefault="00DD2A89" w:rsidP="00F854F5">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DD2A89" w:rsidRPr="00120510" w:rsidRDefault="00DD2A89" w:rsidP="00F854F5">
            <w:pPr>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AE76D1" w:rsidRDefault="00AE76D1" w:rsidP="00D66084">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rsidR="00AE76D1" w:rsidRDefault="00AE76D1" w:rsidP="00D66084">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rsidR="00D66084" w:rsidRPr="008F6701" w:rsidRDefault="00D66084" w:rsidP="00D66084">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sidR="000A3705">
        <w:rPr>
          <w:rFonts w:ascii="Palatino Linotype" w:eastAsiaTheme="minorEastAsia" w:hAnsi="Palatino Linotype" w:cs="Arial"/>
          <w:color w:val="000000" w:themeColor="text1"/>
          <w:sz w:val="20"/>
          <w:szCs w:val="20"/>
          <w:lang w:val="es-ES_tradnl"/>
        </w:rPr>
        <w:t>veintitrés</w:t>
      </w:r>
      <w:r>
        <w:rPr>
          <w:rFonts w:ascii="Palatino Linotype" w:eastAsiaTheme="minorEastAsia" w:hAnsi="Palatino Linotype" w:cs="Arial"/>
          <w:color w:val="000000" w:themeColor="text1"/>
          <w:sz w:val="20"/>
          <w:szCs w:val="20"/>
          <w:lang w:val="es-ES_tradnl"/>
        </w:rPr>
        <w:t xml:space="preserve"> de septiembre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Pr>
          <w:rFonts w:ascii="Palatino Linotype" w:eastAsiaTheme="minorEastAsia" w:hAnsi="Palatino Linotype" w:cs="Arial"/>
          <w:color w:val="000000" w:themeColor="text1"/>
          <w:sz w:val="20"/>
          <w:szCs w:val="20"/>
          <w:lang w:val="es-ES_tradnl"/>
        </w:rPr>
        <w:t>1512</w:t>
      </w:r>
      <w:r w:rsidRPr="008F6701">
        <w:rPr>
          <w:rFonts w:ascii="Palatino Linotype" w:eastAsiaTheme="minorEastAsia" w:hAnsi="Palatino Linotype" w:cs="Arial"/>
          <w:color w:val="000000" w:themeColor="text1"/>
          <w:sz w:val="20"/>
          <w:szCs w:val="20"/>
          <w:lang w:val="es-ES_tradnl"/>
        </w:rPr>
        <w:t>/INFOEM/IP/RR/2020.</w:t>
      </w:r>
    </w:p>
    <w:p w:rsidR="00BC2BC9" w:rsidRDefault="000A3705" w:rsidP="000A3705">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w:t>
      </w:r>
      <w:r w:rsidR="00D66084">
        <w:rPr>
          <w:rFonts w:ascii="Palatino Linotype" w:eastAsiaTheme="minorEastAsia" w:hAnsi="Palatino Linotype" w:cs="Arial"/>
          <w:color w:val="000000" w:themeColor="text1"/>
          <w:sz w:val="20"/>
          <w:szCs w:val="20"/>
          <w:lang w:val="es-ES_tradnl"/>
        </w:rPr>
        <w:t>AMV</w:t>
      </w:r>
    </w:p>
    <w:sectPr w:rsidR="00BC2BC9" w:rsidSect="005B763B">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994" w:rsidRDefault="00507994" w:rsidP="00D66084">
      <w:r>
        <w:separator/>
      </w:r>
    </w:p>
  </w:endnote>
  <w:endnote w:type="continuationSeparator" w:id="0">
    <w:p w:rsidR="00507994" w:rsidRDefault="00507994" w:rsidP="00D6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EA0" w:rsidRPr="0010196A" w:rsidRDefault="00690EA0" w:rsidP="005B763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6F1A60"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6F1A60" w:rsidRPr="0010196A">
      <w:rPr>
        <w:rFonts w:ascii="Palatino Linotype" w:hAnsi="Palatino Linotype" w:cs="Arial"/>
        <w:bCs/>
        <w:sz w:val="22"/>
        <w:szCs w:val="22"/>
      </w:rPr>
      <w:fldChar w:fldCharType="separate"/>
    </w:r>
    <w:r w:rsidR="0006397B">
      <w:rPr>
        <w:rFonts w:ascii="Palatino Linotype" w:hAnsi="Palatino Linotype" w:cs="Arial"/>
        <w:bCs/>
        <w:noProof/>
        <w:sz w:val="22"/>
        <w:szCs w:val="22"/>
      </w:rPr>
      <w:t>17</w:t>
    </w:r>
    <w:r w:rsidR="006F1A60"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6F1A60"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6F1A60" w:rsidRPr="0010196A">
      <w:rPr>
        <w:rFonts w:ascii="Palatino Linotype" w:hAnsi="Palatino Linotype" w:cs="Arial"/>
        <w:bCs/>
        <w:sz w:val="22"/>
        <w:szCs w:val="22"/>
      </w:rPr>
      <w:fldChar w:fldCharType="separate"/>
    </w:r>
    <w:r w:rsidR="0006397B">
      <w:rPr>
        <w:rFonts w:ascii="Palatino Linotype" w:hAnsi="Palatino Linotype" w:cs="Arial"/>
        <w:bCs/>
        <w:noProof/>
        <w:sz w:val="22"/>
        <w:szCs w:val="22"/>
      </w:rPr>
      <w:t>33</w:t>
    </w:r>
    <w:r w:rsidR="006F1A60"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EA0" w:rsidRPr="0010196A" w:rsidRDefault="00690EA0" w:rsidP="005B763B">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6F1A60"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6F1A60" w:rsidRPr="0010196A">
      <w:rPr>
        <w:rFonts w:ascii="Palatino Linotype" w:hAnsi="Palatino Linotype" w:cs="Arial"/>
        <w:bCs/>
        <w:sz w:val="22"/>
        <w:szCs w:val="22"/>
      </w:rPr>
      <w:fldChar w:fldCharType="separate"/>
    </w:r>
    <w:r w:rsidR="0006397B">
      <w:rPr>
        <w:rFonts w:ascii="Palatino Linotype" w:hAnsi="Palatino Linotype" w:cs="Arial"/>
        <w:bCs/>
        <w:noProof/>
        <w:sz w:val="22"/>
        <w:szCs w:val="22"/>
      </w:rPr>
      <w:t>1</w:t>
    </w:r>
    <w:r w:rsidR="006F1A60"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6F1A60"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6F1A60" w:rsidRPr="0010196A">
      <w:rPr>
        <w:rFonts w:ascii="Palatino Linotype" w:hAnsi="Palatino Linotype" w:cs="Arial"/>
        <w:bCs/>
        <w:sz w:val="22"/>
        <w:szCs w:val="22"/>
      </w:rPr>
      <w:fldChar w:fldCharType="separate"/>
    </w:r>
    <w:r w:rsidR="0006397B">
      <w:rPr>
        <w:rFonts w:ascii="Palatino Linotype" w:hAnsi="Palatino Linotype" w:cs="Arial"/>
        <w:bCs/>
        <w:noProof/>
        <w:sz w:val="22"/>
        <w:szCs w:val="22"/>
      </w:rPr>
      <w:t>33</w:t>
    </w:r>
    <w:r w:rsidR="006F1A60"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994" w:rsidRDefault="00507994" w:rsidP="00D66084">
      <w:r>
        <w:separator/>
      </w:r>
    </w:p>
  </w:footnote>
  <w:footnote w:type="continuationSeparator" w:id="0">
    <w:p w:rsidR="00507994" w:rsidRDefault="00507994" w:rsidP="00D66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EA0" w:rsidRDefault="00507994">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EA0" w:rsidRPr="0010196A" w:rsidRDefault="00507994" w:rsidP="005B763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90EA0" w:rsidRPr="008F2CCC">
      <w:tc>
        <w:tcPr>
          <w:tcW w:w="3261" w:type="dxa"/>
          <w:vMerge w:val="restart"/>
        </w:tcPr>
        <w:p w:rsidR="00690EA0" w:rsidRPr="008F2CCC" w:rsidRDefault="00690EA0" w:rsidP="005B763B">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690EA0" w:rsidRPr="00664658" w:rsidRDefault="00690EA0" w:rsidP="005B763B">
          <w:pPr>
            <w:rPr>
              <w:rFonts w:ascii="Palatino Linotype" w:hAnsi="Palatino Linotype"/>
              <w:b/>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690EA0" w:rsidRPr="00664658" w:rsidRDefault="00690EA0" w:rsidP="005B763B">
          <w:pPr>
            <w:jc w:val="both"/>
            <w:rPr>
              <w:rFonts w:ascii="Palatino Linotype" w:hAnsi="Palatino Linotype"/>
              <w:b/>
              <w:lang w:val="es-ES_tradnl"/>
            </w:rPr>
          </w:pPr>
          <w:r>
            <w:rPr>
              <w:rFonts w:ascii="Palatino Linotype" w:hAnsi="Palatino Linotype"/>
              <w:b/>
              <w:sz w:val="22"/>
              <w:szCs w:val="22"/>
              <w:lang w:val="es-ES_tradnl"/>
            </w:rPr>
            <w:t>01512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690EA0" w:rsidRPr="008F2CCC">
      <w:tc>
        <w:tcPr>
          <w:tcW w:w="3261" w:type="dxa"/>
          <w:vMerge/>
        </w:tcPr>
        <w:p w:rsidR="00690EA0" w:rsidRPr="008F2CCC" w:rsidRDefault="00690EA0" w:rsidP="005B763B">
          <w:pPr>
            <w:rPr>
              <w:rFonts w:ascii="Palatino Linotype" w:hAnsi="Palatino Linotype"/>
              <w:b/>
              <w:lang w:val="es-ES_tradnl"/>
            </w:rPr>
          </w:pPr>
        </w:p>
      </w:tc>
      <w:tc>
        <w:tcPr>
          <w:tcW w:w="2551" w:type="dxa"/>
          <w:shd w:val="clear" w:color="auto" w:fill="auto"/>
        </w:tcPr>
        <w:p w:rsidR="00690EA0" w:rsidRPr="00664658" w:rsidRDefault="00690EA0" w:rsidP="005B763B">
          <w:pPr>
            <w:rPr>
              <w:rFonts w:ascii="Palatino Linotype" w:hAnsi="Palatino Linotype"/>
              <w:b/>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690EA0" w:rsidRPr="00D41D47" w:rsidRDefault="00690EA0" w:rsidP="005B763B">
          <w:pPr>
            <w:jc w:val="both"/>
            <w:rPr>
              <w:rFonts w:ascii="Palatino Linotype" w:hAnsi="Palatino Linotype"/>
              <w:b/>
              <w:lang w:val="es-ES_tradnl"/>
            </w:rPr>
          </w:pPr>
          <w:r>
            <w:rPr>
              <w:rFonts w:ascii="Palatino Linotype" w:hAnsi="Palatino Linotype"/>
              <w:b/>
              <w:sz w:val="22"/>
              <w:szCs w:val="22"/>
              <w:lang w:val="es-ES_tradnl"/>
            </w:rPr>
            <w:t xml:space="preserve">Secretaría de Finanzas </w:t>
          </w:r>
        </w:p>
      </w:tc>
    </w:tr>
    <w:tr w:rsidR="00690EA0" w:rsidRPr="008F2CCC">
      <w:trPr>
        <w:trHeight w:val="228"/>
      </w:trPr>
      <w:tc>
        <w:tcPr>
          <w:tcW w:w="3261" w:type="dxa"/>
          <w:vMerge/>
        </w:tcPr>
        <w:p w:rsidR="00690EA0" w:rsidRPr="008F2CCC" w:rsidRDefault="00690EA0" w:rsidP="005B763B">
          <w:pPr>
            <w:rPr>
              <w:rFonts w:ascii="Palatino Linotype" w:hAnsi="Palatino Linotype"/>
              <w:b/>
              <w:lang w:val="es-ES_tradnl"/>
            </w:rPr>
          </w:pPr>
        </w:p>
      </w:tc>
      <w:tc>
        <w:tcPr>
          <w:tcW w:w="2551" w:type="dxa"/>
          <w:shd w:val="clear" w:color="auto" w:fill="auto"/>
        </w:tcPr>
        <w:p w:rsidR="00690EA0" w:rsidRPr="00664658" w:rsidRDefault="00690EA0" w:rsidP="005B763B">
          <w:pPr>
            <w:rPr>
              <w:rFonts w:ascii="Palatino Linotype" w:hAnsi="Palatino Linotype"/>
              <w:b/>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690EA0" w:rsidRPr="00664658" w:rsidRDefault="00690EA0" w:rsidP="005B763B">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90EA0" w:rsidRPr="0010196A" w:rsidRDefault="00690EA0" w:rsidP="005B763B">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EA0" w:rsidRPr="0010196A" w:rsidRDefault="00690EA0">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690EA0" w:rsidRPr="008F2CCC">
      <w:tc>
        <w:tcPr>
          <w:tcW w:w="4253" w:type="dxa"/>
          <w:vMerge w:val="restart"/>
          <w:shd w:val="clear" w:color="auto" w:fill="auto"/>
        </w:tcPr>
        <w:p w:rsidR="00690EA0" w:rsidRPr="008F2CCC" w:rsidRDefault="00690EA0" w:rsidP="005B763B">
          <w:pPr>
            <w:rPr>
              <w:rFonts w:ascii="Palatino Linotype" w:hAnsi="Palatino Linotype"/>
              <w:b/>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690EA0" w:rsidRPr="008F2CCC" w:rsidRDefault="00690EA0" w:rsidP="005B763B">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690EA0" w:rsidRPr="008F2CCC" w:rsidRDefault="00690EA0" w:rsidP="005B763B">
          <w:pPr>
            <w:jc w:val="both"/>
            <w:rPr>
              <w:rFonts w:ascii="Palatino Linotype" w:hAnsi="Palatino Linotype"/>
              <w:b/>
              <w:lang w:val="es-ES_tradnl"/>
            </w:rPr>
          </w:pPr>
          <w:r>
            <w:rPr>
              <w:rFonts w:ascii="Palatino Linotype" w:hAnsi="Palatino Linotype"/>
              <w:b/>
              <w:sz w:val="22"/>
              <w:szCs w:val="22"/>
              <w:lang w:val="es-ES_tradnl"/>
            </w:rPr>
            <w:t xml:space="preserve">01512/INFOEM/IP/RR/2020 </w:t>
          </w:r>
        </w:p>
      </w:tc>
    </w:tr>
    <w:tr w:rsidR="00690EA0" w:rsidRPr="008F2CCC">
      <w:tc>
        <w:tcPr>
          <w:tcW w:w="4253" w:type="dxa"/>
          <w:vMerge/>
          <w:shd w:val="clear" w:color="auto" w:fill="auto"/>
        </w:tcPr>
        <w:p w:rsidR="00690EA0" w:rsidRPr="008F2CCC" w:rsidRDefault="00690EA0" w:rsidP="005B763B">
          <w:pPr>
            <w:rPr>
              <w:rFonts w:ascii="Palatino Linotype" w:hAnsi="Palatino Linotype"/>
              <w:b/>
              <w:lang w:val="es-ES_tradnl"/>
            </w:rPr>
          </w:pPr>
        </w:p>
      </w:tc>
      <w:tc>
        <w:tcPr>
          <w:tcW w:w="2552" w:type="dxa"/>
          <w:shd w:val="clear" w:color="auto" w:fill="auto"/>
        </w:tcPr>
        <w:p w:rsidR="00690EA0" w:rsidRPr="008F2CCC" w:rsidRDefault="00690EA0" w:rsidP="005B763B">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690EA0" w:rsidRPr="008F2CCC" w:rsidRDefault="0006397B" w:rsidP="005B763B">
          <w:pPr>
            <w:jc w:val="both"/>
            <w:rPr>
              <w:rFonts w:ascii="Palatino Linotype" w:hAnsi="Palatino Linotype"/>
              <w:b/>
              <w:lang w:val="es-ES_tradnl"/>
            </w:rPr>
          </w:pPr>
          <w:r>
            <w:rPr>
              <w:rFonts w:ascii="Palatino Linotype" w:hAnsi="Palatino Linotype"/>
              <w:b/>
              <w:sz w:val="22"/>
              <w:szCs w:val="22"/>
              <w:lang w:val="es-ES_tradnl"/>
            </w:rPr>
            <w:t>XXXXXXXXXXXXXXXXXX</w:t>
          </w:r>
          <w:r w:rsidR="00690EA0">
            <w:rPr>
              <w:rFonts w:ascii="Palatino Linotype" w:hAnsi="Palatino Linotype"/>
              <w:b/>
              <w:sz w:val="22"/>
              <w:szCs w:val="22"/>
              <w:lang w:val="es-ES_tradnl"/>
            </w:rPr>
            <w:t xml:space="preserve"> </w:t>
          </w:r>
        </w:p>
      </w:tc>
    </w:tr>
    <w:tr w:rsidR="00690EA0" w:rsidRPr="008F2CCC">
      <w:trPr>
        <w:trHeight w:val="228"/>
      </w:trPr>
      <w:tc>
        <w:tcPr>
          <w:tcW w:w="4253" w:type="dxa"/>
          <w:vMerge/>
          <w:shd w:val="clear" w:color="auto" w:fill="auto"/>
        </w:tcPr>
        <w:p w:rsidR="00690EA0" w:rsidRPr="008F2CCC" w:rsidRDefault="00690EA0" w:rsidP="005B763B">
          <w:pPr>
            <w:rPr>
              <w:rFonts w:ascii="Palatino Linotype" w:hAnsi="Palatino Linotype"/>
              <w:b/>
              <w:lang w:val="es-ES_tradnl"/>
            </w:rPr>
          </w:pPr>
        </w:p>
      </w:tc>
      <w:tc>
        <w:tcPr>
          <w:tcW w:w="2552" w:type="dxa"/>
          <w:shd w:val="clear" w:color="auto" w:fill="auto"/>
        </w:tcPr>
        <w:p w:rsidR="00690EA0" w:rsidRPr="008F2CCC" w:rsidRDefault="00690EA0" w:rsidP="005B763B">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690EA0" w:rsidRPr="00DC41C8" w:rsidRDefault="00690EA0" w:rsidP="005B763B">
          <w:pPr>
            <w:jc w:val="both"/>
            <w:rPr>
              <w:rFonts w:ascii="Palatino Linotype" w:hAnsi="Palatino Linotype"/>
              <w:b/>
            </w:rPr>
          </w:pPr>
          <w:r>
            <w:rPr>
              <w:rFonts w:ascii="Palatino Linotype" w:hAnsi="Palatino Linotype"/>
              <w:b/>
              <w:sz w:val="22"/>
              <w:szCs w:val="22"/>
              <w:lang w:val="es-ES_tradnl"/>
            </w:rPr>
            <w:t>Secretaría de Finanzas</w:t>
          </w:r>
        </w:p>
      </w:tc>
    </w:tr>
    <w:tr w:rsidR="00690EA0" w:rsidRPr="008F2CCC">
      <w:tc>
        <w:tcPr>
          <w:tcW w:w="4253" w:type="dxa"/>
          <w:vMerge/>
          <w:shd w:val="clear" w:color="auto" w:fill="auto"/>
        </w:tcPr>
        <w:p w:rsidR="00690EA0" w:rsidRPr="008F2CCC" w:rsidRDefault="00690EA0" w:rsidP="005B763B">
          <w:pPr>
            <w:rPr>
              <w:rFonts w:ascii="Palatino Linotype" w:hAnsi="Palatino Linotype"/>
              <w:b/>
              <w:lang w:val="es-ES_tradnl"/>
            </w:rPr>
          </w:pPr>
        </w:p>
      </w:tc>
      <w:tc>
        <w:tcPr>
          <w:tcW w:w="2552" w:type="dxa"/>
          <w:shd w:val="clear" w:color="auto" w:fill="auto"/>
        </w:tcPr>
        <w:p w:rsidR="00690EA0" w:rsidRPr="008F2CCC" w:rsidRDefault="00690EA0" w:rsidP="005B763B">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690EA0" w:rsidRPr="008F2CCC" w:rsidRDefault="00690EA0" w:rsidP="005B763B">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90EA0" w:rsidRPr="0010196A" w:rsidRDefault="00507994" w:rsidP="005B763B">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1F5"/>
    <w:multiLevelType w:val="hybridMultilevel"/>
    <w:tmpl w:val="DDDE3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F515595"/>
    <w:multiLevelType w:val="hybridMultilevel"/>
    <w:tmpl w:val="63B478A0"/>
    <w:lvl w:ilvl="0" w:tplc="F8EE624E">
      <w:start w:val="1"/>
      <w:numFmt w:val="decimal"/>
      <w:lvlText w:val="%1."/>
      <w:lvlJc w:val="left"/>
      <w:pPr>
        <w:ind w:left="1080" w:hanging="360"/>
      </w:pPr>
      <w:rPr>
        <w:rFonts w:ascii="Palatino Linotype" w:eastAsia="Times New Roman" w:hAnsi="Palatino Linotype"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82E5B63"/>
    <w:multiLevelType w:val="hybridMultilevel"/>
    <w:tmpl w:val="EA0C6B84"/>
    <w:lvl w:ilvl="0" w:tplc="4572B1F4">
      <w:start w:val="1"/>
      <w:numFmt w:val="upperLetter"/>
      <w:lvlText w:val="%1."/>
      <w:lvlJc w:val="left"/>
      <w:pPr>
        <w:ind w:left="8724" w:hanging="360"/>
      </w:pPr>
      <w:rPr>
        <w:rFonts w:ascii="Palatino Linotype" w:eastAsia="Times New Roman" w:hAnsi="Palatino Linotype" w:cs="Arial"/>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ABE0E6D"/>
    <w:multiLevelType w:val="hybridMultilevel"/>
    <w:tmpl w:val="84B6D4E2"/>
    <w:lvl w:ilvl="0" w:tplc="DA14AEC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1964180"/>
    <w:multiLevelType w:val="hybridMultilevel"/>
    <w:tmpl w:val="16C4C37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43E67EA9"/>
    <w:multiLevelType w:val="hybridMultilevel"/>
    <w:tmpl w:val="F7F2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5E65D9C"/>
    <w:multiLevelType w:val="hybridMultilevel"/>
    <w:tmpl w:val="0C2A1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3B50ACE"/>
    <w:multiLevelType w:val="hybridMultilevel"/>
    <w:tmpl w:val="16C4C37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4547098"/>
    <w:multiLevelType w:val="hybridMultilevel"/>
    <w:tmpl w:val="1FC2B0F2"/>
    <w:lvl w:ilvl="0" w:tplc="B23AFE3E">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72063004"/>
    <w:multiLevelType w:val="hybridMultilevel"/>
    <w:tmpl w:val="6CCC6E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37B79B1"/>
    <w:multiLevelType w:val="hybridMultilevel"/>
    <w:tmpl w:val="45B24690"/>
    <w:lvl w:ilvl="0" w:tplc="DB3A0376">
      <w:start w:val="1"/>
      <w:numFmt w:val="upperLetter"/>
      <w:lvlText w:val="%1."/>
      <w:lvlJc w:val="left"/>
      <w:pPr>
        <w:ind w:left="8157" w:hanging="360"/>
      </w:pPr>
      <w:rPr>
        <w:rFonts w:hint="default"/>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9">
    <w:nsid w:val="77170C11"/>
    <w:multiLevelType w:val="hybridMultilevel"/>
    <w:tmpl w:val="02DAAD44"/>
    <w:lvl w:ilvl="0" w:tplc="5E6CBE9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8"/>
  </w:num>
  <w:num w:numId="2">
    <w:abstractNumId w:val="19"/>
  </w:num>
  <w:num w:numId="3">
    <w:abstractNumId w:val="5"/>
  </w:num>
  <w:num w:numId="4">
    <w:abstractNumId w:val="4"/>
  </w:num>
  <w:num w:numId="5">
    <w:abstractNumId w:val="17"/>
  </w:num>
  <w:num w:numId="6">
    <w:abstractNumId w:val="0"/>
  </w:num>
  <w:num w:numId="7">
    <w:abstractNumId w:val="8"/>
  </w:num>
  <w:num w:numId="8">
    <w:abstractNumId w:val="3"/>
  </w:num>
  <w:num w:numId="9">
    <w:abstractNumId w:val="10"/>
  </w:num>
  <w:num w:numId="10">
    <w:abstractNumId w:val="7"/>
  </w:num>
  <w:num w:numId="11">
    <w:abstractNumId w:val="1"/>
  </w:num>
  <w:num w:numId="12">
    <w:abstractNumId w:val="2"/>
  </w:num>
  <w:num w:numId="13">
    <w:abstractNumId w:val="6"/>
  </w:num>
  <w:num w:numId="14">
    <w:abstractNumId w:val="9"/>
  </w:num>
  <w:num w:numId="15">
    <w:abstractNumId w:val="11"/>
  </w:num>
  <w:num w:numId="16">
    <w:abstractNumId w:val="16"/>
  </w:num>
  <w:num w:numId="17">
    <w:abstractNumId w:val="15"/>
  </w:num>
  <w:num w:numId="18">
    <w:abstractNumId w:val="13"/>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66084"/>
    <w:rsid w:val="000526DF"/>
    <w:rsid w:val="0006397B"/>
    <w:rsid w:val="000A3705"/>
    <w:rsid w:val="0010398C"/>
    <w:rsid w:val="0012058B"/>
    <w:rsid w:val="00176F53"/>
    <w:rsid w:val="00194A63"/>
    <w:rsid w:val="001C1D50"/>
    <w:rsid w:val="001F015F"/>
    <w:rsid w:val="00257F0F"/>
    <w:rsid w:val="002762D5"/>
    <w:rsid w:val="00316617"/>
    <w:rsid w:val="00484C64"/>
    <w:rsid w:val="00507994"/>
    <w:rsid w:val="005B763B"/>
    <w:rsid w:val="00615D70"/>
    <w:rsid w:val="00690EA0"/>
    <w:rsid w:val="0069454D"/>
    <w:rsid w:val="006D1D21"/>
    <w:rsid w:val="006F1A60"/>
    <w:rsid w:val="00703327"/>
    <w:rsid w:val="00763372"/>
    <w:rsid w:val="007F1C61"/>
    <w:rsid w:val="008C5929"/>
    <w:rsid w:val="00926D51"/>
    <w:rsid w:val="0098314C"/>
    <w:rsid w:val="00A31CBE"/>
    <w:rsid w:val="00A34B5C"/>
    <w:rsid w:val="00A52CAA"/>
    <w:rsid w:val="00A85363"/>
    <w:rsid w:val="00AA3CF3"/>
    <w:rsid w:val="00AA75CD"/>
    <w:rsid w:val="00AD74AA"/>
    <w:rsid w:val="00AE76D1"/>
    <w:rsid w:val="00B14F1C"/>
    <w:rsid w:val="00BC2BC9"/>
    <w:rsid w:val="00BE0779"/>
    <w:rsid w:val="00CF3A44"/>
    <w:rsid w:val="00D66084"/>
    <w:rsid w:val="00DD2A89"/>
    <w:rsid w:val="00E4631E"/>
    <w:rsid w:val="00E65C48"/>
    <w:rsid w:val="00F43B53"/>
    <w:rsid w:val="00F96713"/>
    <w:rsid w:val="00FB0C61"/>
    <w:rsid w:val="00FB1099"/>
    <w:rsid w:val="00FD45E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4B65A02-4801-48A9-9A84-3C4A6280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608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D6608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D6608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D6608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D6608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D6608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D6608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608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D6608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D6608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D6608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D6608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D6608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D6608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66084"/>
    <w:rPr>
      <w:rFonts w:eastAsiaTheme="minorEastAsia"/>
      <w:sz w:val="24"/>
      <w:szCs w:val="24"/>
      <w:lang w:val="es-ES_tradnl" w:eastAsia="es-ES"/>
    </w:rPr>
  </w:style>
  <w:style w:type="paragraph" w:styleId="Piedepgina">
    <w:name w:val="footer"/>
    <w:basedOn w:val="Normal"/>
    <w:link w:val="PiedepginaCar"/>
    <w:uiPriority w:val="99"/>
    <w:unhideWhenUsed/>
    <w:rsid w:val="00D6608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6608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6608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66084"/>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66084"/>
  </w:style>
  <w:style w:type="character" w:styleId="Hipervnculo">
    <w:name w:val="Hyperlink"/>
    <w:basedOn w:val="Fuentedeprrafopredeter"/>
    <w:uiPriority w:val="99"/>
    <w:unhideWhenUsed/>
    <w:rsid w:val="00D66084"/>
    <w:rPr>
      <w:color w:val="0000FF"/>
      <w:u w:val="single"/>
    </w:rPr>
  </w:style>
  <w:style w:type="paragraph" w:styleId="Textodeglobo">
    <w:name w:val="Balloon Text"/>
    <w:basedOn w:val="Normal"/>
    <w:link w:val="TextodegloboCar"/>
    <w:uiPriority w:val="99"/>
    <w:semiHidden/>
    <w:unhideWhenUsed/>
    <w:rsid w:val="00D6608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D66084"/>
    <w:rPr>
      <w:rFonts w:ascii="Lucida Grande" w:eastAsiaTheme="minorEastAsia" w:hAnsi="Lucida Grande" w:cs="Lucida Grande"/>
      <w:sz w:val="18"/>
      <w:szCs w:val="18"/>
      <w:lang w:val="es-ES_tradnl" w:eastAsia="es-ES"/>
    </w:rPr>
  </w:style>
  <w:style w:type="paragraph" w:styleId="NormalWeb">
    <w:name w:val="Normal (Web)"/>
    <w:basedOn w:val="Normal"/>
    <w:uiPriority w:val="99"/>
    <w:rsid w:val="00D66084"/>
    <w:pPr>
      <w:spacing w:before="100" w:beforeAutospacing="1" w:after="100" w:afterAutospacing="1"/>
    </w:pPr>
  </w:style>
  <w:style w:type="character" w:styleId="Textoennegrita">
    <w:name w:val="Strong"/>
    <w:uiPriority w:val="22"/>
    <w:qFormat/>
    <w:rsid w:val="00D66084"/>
    <w:rPr>
      <w:b/>
      <w:bCs/>
    </w:rPr>
  </w:style>
  <w:style w:type="character" w:styleId="Hipervnculovisitado">
    <w:name w:val="FollowedHyperlink"/>
    <w:basedOn w:val="Fuentedeprrafopredeter"/>
    <w:uiPriority w:val="99"/>
    <w:semiHidden/>
    <w:unhideWhenUsed/>
    <w:rsid w:val="00D66084"/>
    <w:rPr>
      <w:color w:val="954F72" w:themeColor="followedHyperlink"/>
      <w:u w:val="single"/>
    </w:rPr>
  </w:style>
  <w:style w:type="paragraph" w:styleId="Textoindependiente2">
    <w:name w:val="Body Text 2"/>
    <w:basedOn w:val="Normal"/>
    <w:link w:val="Textoindependiente2Car"/>
    <w:uiPriority w:val="99"/>
    <w:unhideWhenUsed/>
    <w:rsid w:val="00D66084"/>
    <w:pPr>
      <w:spacing w:after="120" w:line="480" w:lineRule="auto"/>
    </w:pPr>
  </w:style>
  <w:style w:type="character" w:customStyle="1" w:styleId="Textoindependiente2Car">
    <w:name w:val="Texto independiente 2 Car"/>
    <w:basedOn w:val="Fuentedeprrafopredeter"/>
    <w:link w:val="Textoindependiente2"/>
    <w:uiPriority w:val="99"/>
    <w:rsid w:val="00D6608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D66084"/>
    <w:rPr>
      <w:sz w:val="16"/>
      <w:szCs w:val="16"/>
    </w:rPr>
  </w:style>
  <w:style w:type="paragraph" w:customStyle="1" w:styleId="Default">
    <w:name w:val="Default"/>
    <w:uiPriority w:val="99"/>
    <w:rsid w:val="00D66084"/>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D66084"/>
    <w:pPr>
      <w:ind w:left="708"/>
    </w:pPr>
  </w:style>
  <w:style w:type="character" w:customStyle="1" w:styleId="Listavistosa-nfasis1Car">
    <w:name w:val="Lista vistosa - Énfasis 1 Car"/>
    <w:link w:val="Listavistosa-nfasis11"/>
    <w:uiPriority w:val="34"/>
    <w:locked/>
    <w:rsid w:val="00D6608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D66084"/>
    <w:pPr>
      <w:spacing w:after="101" w:line="216" w:lineRule="exact"/>
      <w:ind w:firstLine="288"/>
      <w:jc w:val="both"/>
    </w:pPr>
    <w:rPr>
      <w:rFonts w:ascii="Arial" w:hAnsi="Arial" w:cs="Arial"/>
      <w:sz w:val="18"/>
      <w:szCs w:val="18"/>
    </w:rPr>
  </w:style>
  <w:style w:type="character" w:customStyle="1" w:styleId="apple-style-span">
    <w:name w:val="apple-style-span"/>
    <w:rsid w:val="00D6608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6608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6608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D66084"/>
    <w:rPr>
      <w:vertAlign w:val="superscript"/>
    </w:rPr>
  </w:style>
  <w:style w:type="paragraph" w:styleId="Sinespaciado">
    <w:name w:val="No Spacing"/>
    <w:aliases w:val="Francesa"/>
    <w:link w:val="SinespaciadoCar"/>
    <w:uiPriority w:val="1"/>
    <w:qFormat/>
    <w:rsid w:val="00D66084"/>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uiPriority w:val="99"/>
    <w:rsid w:val="00D66084"/>
    <w:rPr>
      <w:rFonts w:ascii="Courier New" w:hAnsi="Courier New"/>
      <w:sz w:val="20"/>
      <w:szCs w:val="20"/>
    </w:rPr>
  </w:style>
  <w:style w:type="character" w:customStyle="1" w:styleId="TextosinformatoCar">
    <w:name w:val="Texto sin formato Car"/>
    <w:basedOn w:val="Fuentedeprrafopredeter"/>
    <w:link w:val="Textosinformato"/>
    <w:uiPriority w:val="99"/>
    <w:rsid w:val="00D66084"/>
    <w:rPr>
      <w:rFonts w:ascii="Courier New" w:eastAsia="Times New Roman" w:hAnsi="Courier New" w:cs="Times New Roman"/>
      <w:sz w:val="20"/>
      <w:szCs w:val="20"/>
      <w:lang w:eastAsia="es-ES"/>
    </w:rPr>
  </w:style>
  <w:style w:type="paragraph" w:customStyle="1" w:styleId="Standard">
    <w:name w:val="Standard"/>
    <w:uiPriority w:val="99"/>
    <w:rsid w:val="00D66084"/>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66084"/>
    <w:rPr>
      <w:rFonts w:ascii="Arial" w:hAnsi="Arial" w:cs="Arial" w:hint="default"/>
      <w:b/>
      <w:bCs/>
      <w:sz w:val="18"/>
      <w:szCs w:val="18"/>
    </w:rPr>
  </w:style>
  <w:style w:type="paragraph" w:customStyle="1" w:styleId="Pa2">
    <w:name w:val="Pa2"/>
    <w:basedOn w:val="Normal"/>
    <w:next w:val="Normal"/>
    <w:uiPriority w:val="99"/>
    <w:rsid w:val="00D6608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D66084"/>
  </w:style>
  <w:style w:type="paragraph" w:customStyle="1" w:styleId="q">
    <w:name w:val="q"/>
    <w:basedOn w:val="Normal"/>
    <w:uiPriority w:val="99"/>
    <w:rsid w:val="00D66084"/>
    <w:pPr>
      <w:spacing w:before="100" w:beforeAutospacing="1" w:after="100" w:afterAutospacing="1"/>
    </w:pPr>
    <w:rPr>
      <w:lang w:eastAsia="es-MX"/>
    </w:rPr>
  </w:style>
  <w:style w:type="character" w:customStyle="1" w:styleId="d">
    <w:name w:val="d"/>
    <w:basedOn w:val="Fuentedeprrafopredeter"/>
    <w:rsid w:val="00D66084"/>
  </w:style>
  <w:style w:type="character" w:customStyle="1" w:styleId="b">
    <w:name w:val="b"/>
    <w:basedOn w:val="Fuentedeprrafopredeter"/>
    <w:rsid w:val="00D66084"/>
  </w:style>
  <w:style w:type="character" w:customStyle="1" w:styleId="k">
    <w:name w:val="k"/>
    <w:basedOn w:val="Fuentedeprrafopredeter"/>
    <w:rsid w:val="00D66084"/>
  </w:style>
  <w:style w:type="character" w:customStyle="1" w:styleId="h">
    <w:name w:val="h"/>
    <w:basedOn w:val="Fuentedeprrafopredeter"/>
    <w:rsid w:val="00D66084"/>
  </w:style>
  <w:style w:type="character" w:styleId="CitaHTML">
    <w:name w:val="HTML Cite"/>
    <w:uiPriority w:val="99"/>
    <w:semiHidden/>
    <w:unhideWhenUsed/>
    <w:rsid w:val="00D66084"/>
    <w:rPr>
      <w:i/>
      <w:iCs/>
    </w:rPr>
  </w:style>
  <w:style w:type="paragraph" w:customStyle="1" w:styleId="RSCGnotaalpie">
    <w:name w:val="RSCG nota al pie"/>
    <w:basedOn w:val="Normal"/>
    <w:uiPriority w:val="99"/>
    <w:qFormat/>
    <w:rsid w:val="00D66084"/>
    <w:pPr>
      <w:spacing w:after="120"/>
      <w:jc w:val="both"/>
    </w:pPr>
    <w:rPr>
      <w:rFonts w:ascii="palatino" w:hAnsi="palatino" w:cstheme="minorBidi"/>
      <w:sz w:val="22"/>
      <w:szCs w:val="22"/>
      <w:lang w:eastAsia="en-US"/>
    </w:rPr>
  </w:style>
  <w:style w:type="character" w:customStyle="1" w:styleId="lbl-encabezado-blanco2">
    <w:name w:val="lbl-encabezado-blanco2"/>
    <w:rsid w:val="00D66084"/>
    <w:rPr>
      <w:color w:val="FFFFFF"/>
    </w:rPr>
  </w:style>
  <w:style w:type="character" w:customStyle="1" w:styleId="TextoCar">
    <w:name w:val="Texto Car"/>
    <w:link w:val="Texto"/>
    <w:locked/>
    <w:rsid w:val="00D66084"/>
    <w:rPr>
      <w:rFonts w:ascii="Arial" w:eastAsia="Times New Roman" w:hAnsi="Arial" w:cs="Arial"/>
      <w:sz w:val="18"/>
      <w:szCs w:val="18"/>
      <w:lang w:eastAsia="es-ES"/>
    </w:rPr>
  </w:style>
  <w:style w:type="paragraph" w:customStyle="1" w:styleId="ANOTACION">
    <w:name w:val="ANOTACION"/>
    <w:basedOn w:val="Normal"/>
    <w:link w:val="ANOTACIONCar"/>
    <w:rsid w:val="00D66084"/>
    <w:pPr>
      <w:spacing w:before="101" w:after="101"/>
      <w:jc w:val="center"/>
    </w:pPr>
    <w:rPr>
      <w:b/>
      <w:sz w:val="18"/>
      <w:szCs w:val="18"/>
    </w:rPr>
  </w:style>
  <w:style w:type="character" w:customStyle="1" w:styleId="ANOTACIONCar">
    <w:name w:val="ANOTACION Car"/>
    <w:link w:val="ANOTACION"/>
    <w:locked/>
    <w:rsid w:val="00D66084"/>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D660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66084"/>
    <w:rPr>
      <w:i/>
      <w:iCs/>
    </w:rPr>
  </w:style>
  <w:style w:type="character" w:customStyle="1" w:styleId="SinespaciadoCar">
    <w:name w:val="Sin espaciado Car"/>
    <w:aliases w:val="Francesa Car"/>
    <w:link w:val="Sinespaciado"/>
    <w:uiPriority w:val="1"/>
    <w:locked/>
    <w:rsid w:val="00D6608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D66084"/>
  </w:style>
  <w:style w:type="paragraph" w:styleId="Textocomentario">
    <w:name w:val="annotation text"/>
    <w:basedOn w:val="Normal"/>
    <w:link w:val="TextocomentarioCar"/>
    <w:uiPriority w:val="99"/>
    <w:semiHidden/>
    <w:unhideWhenUsed/>
    <w:rsid w:val="00D66084"/>
    <w:rPr>
      <w:sz w:val="20"/>
      <w:szCs w:val="20"/>
    </w:rPr>
  </w:style>
  <w:style w:type="character" w:customStyle="1" w:styleId="TextocomentarioCar">
    <w:name w:val="Texto comentario Car"/>
    <w:basedOn w:val="Fuentedeprrafopredeter"/>
    <w:link w:val="Textocomentario"/>
    <w:uiPriority w:val="99"/>
    <w:semiHidden/>
    <w:rsid w:val="00D6608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66084"/>
    <w:rPr>
      <w:b/>
      <w:bCs/>
    </w:rPr>
  </w:style>
  <w:style w:type="character" w:customStyle="1" w:styleId="AsuntodelcomentarioCar">
    <w:name w:val="Asunto del comentario Car"/>
    <w:basedOn w:val="TextocomentarioCar"/>
    <w:link w:val="Asuntodelcomentario"/>
    <w:uiPriority w:val="99"/>
    <w:semiHidden/>
    <w:rsid w:val="00D6608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D6608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6608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D66084"/>
  </w:style>
  <w:style w:type="character" w:customStyle="1" w:styleId="Ninguno">
    <w:name w:val="Ninguno"/>
    <w:rsid w:val="00D66084"/>
    <w:rPr>
      <w:lang w:val="es-ES_tradnl"/>
    </w:rPr>
  </w:style>
  <w:style w:type="paragraph" w:customStyle="1" w:styleId="Cuerpo">
    <w:name w:val="Cuerpo"/>
    <w:uiPriority w:val="99"/>
    <w:rsid w:val="00D6608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D66084"/>
    <w:pPr>
      <w:numPr>
        <w:numId w:val="9"/>
      </w:numPr>
    </w:pPr>
  </w:style>
  <w:style w:type="numbering" w:customStyle="1" w:styleId="Estiloimportado1">
    <w:name w:val="Estilo importado 1"/>
    <w:rsid w:val="00D66084"/>
    <w:pPr>
      <w:numPr>
        <w:numId w:val="10"/>
      </w:numPr>
    </w:pPr>
  </w:style>
  <w:style w:type="character" w:customStyle="1" w:styleId="normaltextrun">
    <w:name w:val="normaltextrun"/>
    <w:basedOn w:val="Fuentedeprrafopredeter"/>
    <w:rsid w:val="00D66084"/>
  </w:style>
  <w:style w:type="paragraph" w:customStyle="1" w:styleId="INCISO">
    <w:name w:val="INCISO"/>
    <w:basedOn w:val="Normal"/>
    <w:uiPriority w:val="99"/>
    <w:rsid w:val="00D6608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D66084"/>
    <w:pPr>
      <w:spacing w:before="100" w:beforeAutospacing="1" w:after="100" w:afterAutospacing="1"/>
    </w:pPr>
    <w:rPr>
      <w:lang w:eastAsia="es-MX"/>
    </w:rPr>
  </w:style>
  <w:style w:type="paragraph" w:customStyle="1" w:styleId="j">
    <w:name w:val="j"/>
    <w:basedOn w:val="Normal"/>
    <w:uiPriority w:val="99"/>
    <w:rsid w:val="00D66084"/>
    <w:pPr>
      <w:spacing w:before="100" w:beforeAutospacing="1" w:after="100" w:afterAutospacing="1"/>
    </w:pPr>
    <w:rPr>
      <w:lang w:eastAsia="es-MX"/>
    </w:rPr>
  </w:style>
  <w:style w:type="character" w:customStyle="1" w:styleId="nacep">
    <w:name w:val="n_acep"/>
    <w:basedOn w:val="Fuentedeprrafopredeter"/>
    <w:rsid w:val="00D66084"/>
  </w:style>
  <w:style w:type="paragraph" w:customStyle="1" w:styleId="m5212863947045306324gmail-msonormal">
    <w:name w:val="m_5212863947045306324gmail-msonormal"/>
    <w:basedOn w:val="Normal"/>
    <w:uiPriority w:val="99"/>
    <w:rsid w:val="00D66084"/>
    <w:pPr>
      <w:spacing w:before="100" w:beforeAutospacing="1" w:after="100" w:afterAutospacing="1"/>
    </w:pPr>
    <w:rPr>
      <w:lang w:eastAsia="es-MX"/>
    </w:rPr>
  </w:style>
  <w:style w:type="character" w:customStyle="1" w:styleId="user-highlighted-active">
    <w:name w:val="user-highlighted-active"/>
    <w:basedOn w:val="Fuentedeprrafopredeter"/>
    <w:rsid w:val="00D66084"/>
  </w:style>
  <w:style w:type="paragraph" w:styleId="Lista">
    <w:name w:val="List"/>
    <w:basedOn w:val="Normal"/>
    <w:uiPriority w:val="99"/>
    <w:unhideWhenUsed/>
    <w:rsid w:val="00D66084"/>
    <w:pPr>
      <w:ind w:left="283" w:hanging="283"/>
      <w:contextualSpacing/>
    </w:pPr>
    <w:rPr>
      <w:lang w:val="es-ES"/>
    </w:rPr>
  </w:style>
  <w:style w:type="paragraph" w:styleId="Lista2">
    <w:name w:val="List 2"/>
    <w:basedOn w:val="Normal"/>
    <w:uiPriority w:val="99"/>
    <w:unhideWhenUsed/>
    <w:rsid w:val="00D66084"/>
    <w:pPr>
      <w:ind w:left="566" w:hanging="283"/>
      <w:contextualSpacing/>
    </w:pPr>
    <w:rPr>
      <w:lang w:val="es-ES"/>
    </w:rPr>
  </w:style>
  <w:style w:type="paragraph" w:styleId="Lista3">
    <w:name w:val="List 3"/>
    <w:basedOn w:val="Normal"/>
    <w:uiPriority w:val="99"/>
    <w:unhideWhenUsed/>
    <w:rsid w:val="00D66084"/>
    <w:pPr>
      <w:ind w:left="849" w:hanging="283"/>
      <w:contextualSpacing/>
    </w:pPr>
    <w:rPr>
      <w:lang w:val="es-ES"/>
    </w:rPr>
  </w:style>
  <w:style w:type="paragraph" w:styleId="Textoindependiente">
    <w:name w:val="Body Text"/>
    <w:basedOn w:val="Normal"/>
    <w:link w:val="TextoindependienteCar"/>
    <w:uiPriority w:val="99"/>
    <w:unhideWhenUsed/>
    <w:rsid w:val="00D66084"/>
    <w:pPr>
      <w:spacing w:after="120"/>
    </w:pPr>
    <w:rPr>
      <w:lang w:val="es-ES"/>
    </w:rPr>
  </w:style>
  <w:style w:type="character" w:customStyle="1" w:styleId="TextoindependienteCar">
    <w:name w:val="Texto independiente Car"/>
    <w:basedOn w:val="Fuentedeprrafopredeter"/>
    <w:link w:val="Textoindependiente"/>
    <w:uiPriority w:val="99"/>
    <w:rsid w:val="00D6608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D6608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D6608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D6608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6608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66084"/>
  </w:style>
  <w:style w:type="character" w:customStyle="1" w:styleId="titulorubrolgt">
    <w:name w:val="titulorubrolgt"/>
    <w:basedOn w:val="Fuentedeprrafopredeter"/>
    <w:rsid w:val="00D66084"/>
  </w:style>
  <w:style w:type="paragraph" w:customStyle="1" w:styleId="Text">
    <w:name w:val="Text"/>
    <w:basedOn w:val="Normal"/>
    <w:link w:val="TextChar"/>
    <w:rsid w:val="00D66084"/>
    <w:pPr>
      <w:spacing w:after="240"/>
    </w:pPr>
    <w:rPr>
      <w:szCs w:val="20"/>
      <w:lang w:val="en-US" w:eastAsia="en-US"/>
    </w:rPr>
  </w:style>
  <w:style w:type="character" w:customStyle="1" w:styleId="TextChar">
    <w:name w:val="Text Char"/>
    <w:link w:val="Text"/>
    <w:locked/>
    <w:rsid w:val="00D66084"/>
    <w:rPr>
      <w:rFonts w:ascii="Times New Roman" w:eastAsia="Times New Roman" w:hAnsi="Times New Roman" w:cs="Times New Roman"/>
      <w:sz w:val="24"/>
      <w:szCs w:val="20"/>
      <w:lang w:val="en-US"/>
    </w:rPr>
  </w:style>
  <w:style w:type="paragraph" w:customStyle="1" w:styleId="corte5transcripcion">
    <w:name w:val="corte5 transcripcion"/>
    <w:basedOn w:val="Normal"/>
    <w:uiPriority w:val="99"/>
    <w:rsid w:val="00D66084"/>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D66084"/>
    <w:rPr>
      <w:rFonts w:asciiTheme="minorHAnsi" w:eastAsia="Cambria" w:hAnsiTheme="minorHAnsi" w:cstheme="minorBidi"/>
      <w:sz w:val="20"/>
      <w:szCs w:val="20"/>
      <w:lang w:eastAsia="en-US"/>
    </w:rPr>
  </w:style>
  <w:style w:type="paragraph" w:customStyle="1" w:styleId="paragraph">
    <w:name w:val="paragraph"/>
    <w:basedOn w:val="Normal"/>
    <w:uiPriority w:val="99"/>
    <w:rsid w:val="00D66084"/>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D66084"/>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6608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D66084"/>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D6608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66084"/>
    <w:rPr>
      <w:rFonts w:ascii="Times New Roman" w:eastAsia="Times New Roman" w:hAnsi="Times New Roman" w:cs="Times New Roman"/>
      <w:sz w:val="16"/>
      <w:szCs w:val="16"/>
      <w:lang w:eastAsia="es-ES"/>
    </w:rPr>
  </w:style>
  <w:style w:type="paragraph" w:customStyle="1" w:styleId="xmsonormal">
    <w:name w:val="x_msonormal"/>
    <w:basedOn w:val="Normal"/>
    <w:uiPriority w:val="99"/>
    <w:rsid w:val="00D66084"/>
    <w:pPr>
      <w:spacing w:before="100" w:beforeAutospacing="1" w:after="100" w:afterAutospacing="1"/>
    </w:pPr>
    <w:rPr>
      <w:lang w:eastAsia="es-MX"/>
    </w:rPr>
  </w:style>
  <w:style w:type="paragraph" w:customStyle="1" w:styleId="francesa">
    <w:name w:val="francesa"/>
    <w:basedOn w:val="Normal"/>
    <w:uiPriority w:val="99"/>
    <w:rsid w:val="00D66084"/>
    <w:pPr>
      <w:spacing w:before="100" w:beforeAutospacing="1" w:after="100" w:afterAutospacing="1"/>
    </w:pPr>
    <w:rPr>
      <w:lang w:eastAsia="es-MX"/>
    </w:rPr>
  </w:style>
  <w:style w:type="character" w:customStyle="1" w:styleId="eop">
    <w:name w:val="eop"/>
    <w:basedOn w:val="Fuentedeprrafopredeter"/>
    <w:rsid w:val="00D66084"/>
  </w:style>
  <w:style w:type="table" w:customStyle="1" w:styleId="Tablaconcuadrcula111">
    <w:name w:val="Tabla con cuadrícula1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D66084"/>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D66084"/>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D66084"/>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D66084"/>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D66084"/>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1">
    <w:name w:val="Tabla con cuadrícula112111"/>
    <w:basedOn w:val="Tablanormal"/>
    <w:uiPriority w:val="39"/>
    <w:rsid w:val="00D66084"/>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D6608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D66084"/>
    <w:pPr>
      <w:spacing w:after="0" w:line="240" w:lineRule="auto"/>
    </w:pPr>
    <w:rPr>
      <w:rFonts w:ascii="Cambria" w:eastAsia="Calibri" w:hAnsi="Cambria"/>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D66084"/>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D66084"/>
    <w:pPr>
      <w:spacing w:after="0" w:line="240" w:lineRule="auto"/>
    </w:pPr>
    <w:rPr>
      <w:lang w:val="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importado12">
    <w:name w:val="Estilo importado 12"/>
    <w:rsid w:val="00D66084"/>
    <w:pPr>
      <w:numPr>
        <w:numId w:val="11"/>
      </w:numPr>
    </w:pPr>
  </w:style>
  <w:style w:type="numbering" w:customStyle="1" w:styleId="Estiloimportado14">
    <w:name w:val="Estilo importado 14"/>
    <w:rsid w:val="00D66084"/>
    <w:pPr>
      <w:numPr>
        <w:numId w:val="12"/>
      </w:numPr>
    </w:pPr>
  </w:style>
  <w:style w:type="numbering" w:customStyle="1" w:styleId="Estiloimportado22">
    <w:name w:val="Estilo importado 22"/>
    <w:rsid w:val="00D66084"/>
    <w:pPr>
      <w:numPr>
        <w:numId w:val="13"/>
      </w:numPr>
    </w:pPr>
  </w:style>
  <w:style w:type="numbering" w:customStyle="1" w:styleId="Estiloimportado212">
    <w:name w:val="Estilo importado 212"/>
    <w:rsid w:val="00D66084"/>
    <w:pPr>
      <w:numPr>
        <w:numId w:val="14"/>
      </w:numPr>
    </w:pPr>
  </w:style>
  <w:style w:type="numbering" w:customStyle="1" w:styleId="Estiloimportado24">
    <w:name w:val="Estilo importado 24"/>
    <w:rsid w:val="00D66084"/>
    <w:pPr>
      <w:numPr>
        <w:numId w:val="15"/>
      </w:numPr>
    </w:pPr>
  </w:style>
  <w:style w:type="numbering" w:customStyle="1" w:styleId="Estiloimportado112">
    <w:name w:val="Estilo importado 112"/>
    <w:rsid w:val="00D66084"/>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564429">
      <w:bodyDiv w:val="1"/>
      <w:marLeft w:val="0"/>
      <w:marRight w:val="0"/>
      <w:marTop w:val="0"/>
      <w:marBottom w:val="0"/>
      <w:divBdr>
        <w:top w:val="none" w:sz="0" w:space="0" w:color="auto"/>
        <w:left w:val="none" w:sz="0" w:space="0" w:color="auto"/>
        <w:bottom w:val="none" w:sz="0" w:space="0" w:color="auto"/>
        <w:right w:val="none" w:sz="0" w:space="0" w:color="auto"/>
      </w:divBdr>
      <w:divsChild>
        <w:div w:id="1440372185">
          <w:marLeft w:val="0"/>
          <w:marRight w:val="0"/>
          <w:marTop w:val="0"/>
          <w:marBottom w:val="0"/>
          <w:divBdr>
            <w:top w:val="none" w:sz="0" w:space="0" w:color="auto"/>
            <w:left w:val="none" w:sz="0" w:space="0" w:color="auto"/>
            <w:bottom w:val="none" w:sz="0" w:space="0" w:color="auto"/>
            <w:right w:val="none" w:sz="0" w:space="0" w:color="auto"/>
          </w:divBdr>
          <w:divsChild>
            <w:div w:id="715661647">
              <w:marLeft w:val="0"/>
              <w:marRight w:val="0"/>
              <w:marTop w:val="0"/>
              <w:marBottom w:val="0"/>
              <w:divBdr>
                <w:top w:val="none" w:sz="0" w:space="0" w:color="auto"/>
                <w:left w:val="none" w:sz="0" w:space="0" w:color="auto"/>
                <w:bottom w:val="none" w:sz="0" w:space="0" w:color="auto"/>
                <w:right w:val="none" w:sz="0" w:space="0" w:color="auto"/>
              </w:divBdr>
              <w:divsChild>
                <w:div w:id="112331828">
                  <w:marLeft w:val="0"/>
                  <w:marRight w:val="0"/>
                  <w:marTop w:val="0"/>
                  <w:marBottom w:val="0"/>
                  <w:divBdr>
                    <w:top w:val="none" w:sz="0" w:space="0" w:color="auto"/>
                    <w:left w:val="none" w:sz="0" w:space="0" w:color="auto"/>
                    <w:bottom w:val="none" w:sz="0" w:space="0" w:color="auto"/>
                    <w:right w:val="none" w:sz="0" w:space="0" w:color="auto"/>
                  </w:divBdr>
                  <w:divsChild>
                    <w:div w:id="5130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84248.page" TargetMode="External"/><Relationship Id="rId13" Type="http://schemas.openxmlformats.org/officeDocument/2006/relationships/hyperlink" Target="https://www.saimex.org.mx/saimex/solicitud/downloadAttach/901773.page" TargetMode="External"/><Relationship Id="rId18" Type="http://schemas.openxmlformats.org/officeDocument/2006/relationships/image" Target="media/image6.png"/><Relationship Id="rId26" Type="http://schemas.openxmlformats.org/officeDocument/2006/relationships/hyperlink" Target="https://www.saimex.org.mx/saimex/solicitud/downloadAttach/934206.page"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saimex.org.mx/saimex/solicitud/downloadAttach/884252.page" TargetMode="External"/><Relationship Id="rId17" Type="http://schemas.openxmlformats.org/officeDocument/2006/relationships/image" Target="media/image5.png"/><Relationship Id="rId25" Type="http://schemas.openxmlformats.org/officeDocument/2006/relationships/hyperlink" Target="https://www.saimex.org.mx/saimex/solicitud/downloadAttach/934205.page"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saimex.org.mx/saimex/solicitud/downloadAttach/934209.pag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884251.page" TargetMode="External"/><Relationship Id="rId24" Type="http://schemas.openxmlformats.org/officeDocument/2006/relationships/hyperlink" Target="https://www.saimex.org.mx/saimex/solicitud/downloadAttach/934204.page"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saimex.org.mx/saimex/solicitud/downloadAttach/934203.page" TargetMode="External"/><Relationship Id="rId28" Type="http://schemas.openxmlformats.org/officeDocument/2006/relationships/hyperlink" Target="https://www.saimex.org.mx/saimex/solicitud/downloadAttach/934208.page" TargetMode="External"/><Relationship Id="rId36" Type="http://schemas.openxmlformats.org/officeDocument/2006/relationships/footer" Target="footer2.xml"/><Relationship Id="rId10" Type="http://schemas.openxmlformats.org/officeDocument/2006/relationships/hyperlink" Target="https://www.saimex.org.mx/saimex/solicitud/downloadAttach/884250.page" TargetMode="External"/><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saimex.org.mx/saimex/solicitud/downloadAttach/884249.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saimex.org.mx/saimex/solicitud/downloadAttach/934207.page" TargetMode="External"/><Relationship Id="rId30" Type="http://schemas.openxmlformats.org/officeDocument/2006/relationships/hyperlink" Target="https://www.saimex.org.mx/saimex/solicitud/downloadAttach/953419.page"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6994</Words>
  <Characters>38472</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5</cp:revision>
  <dcterms:created xsi:type="dcterms:W3CDTF">2020-09-18T14:48:00Z</dcterms:created>
  <dcterms:modified xsi:type="dcterms:W3CDTF">2020-09-29T20:20:00Z</dcterms:modified>
</cp:coreProperties>
</file>