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diecinueve de agosto de dos mil veinte.</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rPr>
        <w:t xml:space="preserve">VISTO el expediente formado con motivo del recurso de revisión </w:t>
      </w:r>
      <w:r>
        <w:rPr>
          <w:rFonts w:ascii="Palatino Linotype" w:hAnsi="Palatino Linotype" w:cs="Arial"/>
          <w:b/>
          <w:color w:val="000000" w:themeColor="text1"/>
        </w:rPr>
        <w:t>01117/</w:t>
      </w:r>
      <w:r>
        <w:rPr>
          <w:rFonts w:ascii="Palatino Linotype" w:hAnsi="Palatino Linotype" w:cs="Arial"/>
          <w:b/>
          <w:bCs/>
          <w:color w:val="000000" w:themeColor="text1"/>
        </w:rPr>
        <w:t>INFOEM/IP/RR/2020</w:t>
      </w:r>
      <w:r>
        <w:rPr>
          <w:rFonts w:ascii="Palatino Linotype" w:hAnsi="Palatino Linotype" w:cs="Arial"/>
          <w:color w:val="000000" w:themeColor="text1"/>
        </w:rPr>
        <w:t xml:space="preserve">, </w:t>
      </w:r>
      <w:r>
        <w:rPr>
          <w:rFonts w:ascii="Palatino Linotype" w:hAnsi="Palatino Linotype"/>
          <w:color w:val="000000" w:themeColor="text1"/>
        </w:rPr>
        <w:t xml:space="preserve">promovido por una persona de manera anónima, </w:t>
      </w:r>
      <w:r>
        <w:rPr>
          <w:rFonts w:ascii="Palatino Linotype" w:hAnsi="Palatino Linotype" w:cs="Arial"/>
          <w:color w:val="000000" w:themeColor="text1"/>
        </w:rPr>
        <w:t>en lo sucesivo</w:t>
      </w:r>
      <w:r>
        <w:rPr>
          <w:rFonts w:ascii="Palatino Linotype" w:hAnsi="Palatino Linotype" w:cs="Arial"/>
          <w:b/>
          <w:color w:val="000000" w:themeColor="text1"/>
        </w:rPr>
        <w:t xml:space="preserve"> EL RECURRENTE,</w:t>
      </w:r>
      <w:r>
        <w:rPr>
          <w:rFonts w:ascii="Palatino Linotype" w:hAnsi="Palatino Linotype" w:cs="Arial"/>
          <w:color w:val="000000" w:themeColor="text1"/>
          <w:lang w:val="es-ES"/>
        </w:rPr>
        <w:t xml:space="preserve"> en contra de la respuesta del </w:t>
      </w:r>
      <w:r>
        <w:rPr>
          <w:rFonts w:ascii="Palatino Linotype" w:hAnsi="Palatino Linotype" w:cs="Arial"/>
          <w:b/>
          <w:color w:val="000000" w:themeColor="text1"/>
          <w:lang w:val="es-ES"/>
        </w:rPr>
        <w:t xml:space="preserve">Instituto Electoral del Estado de México, </w:t>
      </w:r>
      <w:r>
        <w:rPr>
          <w:rFonts w:ascii="Palatino Linotype" w:hAnsi="Palatino Linotype" w:cs="Arial"/>
          <w:color w:val="000000" w:themeColor="text1"/>
          <w:lang w:val="es-ES"/>
        </w:rPr>
        <w:t xml:space="preserve">en lo sucesivo </w:t>
      </w:r>
      <w:r>
        <w:rPr>
          <w:rFonts w:ascii="Palatino Linotype" w:hAnsi="Palatino Linotype" w:cs="Arial"/>
          <w:b/>
          <w:color w:val="000000" w:themeColor="text1"/>
          <w:lang w:val="es-ES"/>
        </w:rPr>
        <w:t>EL SUJ</w:t>
      </w:r>
      <w:r>
        <w:rPr>
          <w:rFonts w:ascii="Palatino Linotype" w:hAnsi="Palatino Linotype" w:cs="Arial"/>
          <w:b/>
          <w:color w:val="000000" w:themeColor="text1"/>
          <w:lang w:val="es-ES"/>
        </w:rPr>
        <w:t xml:space="preserve">ETO OBLIGADO, </w:t>
      </w:r>
      <w:r>
        <w:rPr>
          <w:rFonts w:ascii="Palatino Linotype" w:hAnsi="Palatino Linotype" w:cs="Arial"/>
          <w:color w:val="000000" w:themeColor="text1"/>
          <w:lang w:val="es-ES"/>
        </w:rPr>
        <w:t xml:space="preserve">se procede a dictar la presente resolución con base en lo siguiente: </w:t>
      </w:r>
    </w:p>
    <w:p w:rsidR="00826465" w:rsidRDefault="00826465">
      <w:pPr>
        <w:jc w:val="center"/>
        <w:rPr>
          <w:rFonts w:ascii="Palatino Linotype" w:hAnsi="Palatino Linotype" w:cs="Arial"/>
          <w:b/>
          <w:bCs/>
          <w:color w:val="000000" w:themeColor="text1"/>
          <w:spacing w:val="60"/>
        </w:rPr>
      </w:pPr>
    </w:p>
    <w:p w:rsidR="00826465" w:rsidRDefault="007573A3">
      <w:pPr>
        <w:jc w:val="center"/>
        <w:rPr>
          <w:rFonts w:ascii="Palatino Linotype" w:hAnsi="Palatino Linotype" w:cs="Arial"/>
          <w:b/>
          <w:bCs/>
          <w:color w:val="000000" w:themeColor="text1"/>
          <w:spacing w:val="60"/>
          <w:sz w:val="28"/>
        </w:rPr>
      </w:pPr>
      <w:r>
        <w:rPr>
          <w:rFonts w:ascii="Palatino Linotype" w:hAnsi="Palatino Linotype" w:cs="Arial"/>
          <w:b/>
          <w:bCs/>
          <w:color w:val="000000" w:themeColor="text1"/>
          <w:spacing w:val="60"/>
          <w:sz w:val="28"/>
        </w:rPr>
        <w:t>RESULTANDO</w:t>
      </w:r>
    </w:p>
    <w:p w:rsidR="00826465" w:rsidRDefault="00826465">
      <w:pPr>
        <w:jc w:val="center"/>
        <w:rPr>
          <w:rFonts w:ascii="Palatino Linotype" w:hAnsi="Palatino Linotype" w:cs="Arial"/>
          <w:b/>
          <w:bCs/>
          <w:color w:val="000000" w:themeColor="text1"/>
          <w:spacing w:val="60"/>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b/>
          <w:color w:val="000000" w:themeColor="text1"/>
          <w:sz w:val="28"/>
          <w:szCs w:val="28"/>
        </w:rPr>
        <w:t>I.</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En fecha veintiocho de enero de dos mil veinte, </w:t>
      </w:r>
      <w:r>
        <w:rPr>
          <w:rFonts w:ascii="Palatino Linotype" w:hAnsi="Palatino Linotype" w:cs="Arial"/>
          <w:b/>
          <w:color w:val="000000" w:themeColor="text1"/>
        </w:rPr>
        <w:t>EL RECURRENTE</w:t>
      </w:r>
      <w:r>
        <w:rPr>
          <w:rFonts w:ascii="Palatino Linotype" w:hAnsi="Palatino Linotype" w:cs="Arial"/>
          <w:color w:val="000000" w:themeColor="text1"/>
        </w:rPr>
        <w:t xml:space="preserve"> presentó a través </w:t>
      </w:r>
      <w:proofErr w:type="gramStart"/>
      <w:r>
        <w:rPr>
          <w:rFonts w:ascii="Palatino Linotype" w:hAnsi="Palatino Linotype" w:cs="Arial"/>
          <w:color w:val="000000" w:themeColor="text1"/>
        </w:rPr>
        <w:t>del</w:t>
      </w:r>
      <w:proofErr w:type="gramEnd"/>
      <w:r>
        <w:rPr>
          <w:rFonts w:ascii="Palatino Linotype" w:hAnsi="Palatino Linotype" w:cs="Arial"/>
          <w:color w:val="000000" w:themeColor="text1"/>
        </w:rPr>
        <w:t xml:space="preserve"> Sistema de Acceso a la Información Mexiquense, en lo subsecuente </w:t>
      </w:r>
      <w:r>
        <w:rPr>
          <w:rFonts w:ascii="Palatino Linotype" w:hAnsi="Palatino Linotype" w:cs="Arial"/>
          <w:b/>
          <w:color w:val="000000" w:themeColor="text1"/>
        </w:rPr>
        <w:t xml:space="preserve">EL </w:t>
      </w:r>
      <w:r>
        <w:rPr>
          <w:rFonts w:ascii="Palatino Linotype" w:hAnsi="Palatino Linotype" w:cs="Arial"/>
          <w:b/>
          <w:color w:val="000000" w:themeColor="text1"/>
        </w:rPr>
        <w:t>SAIMEX</w:t>
      </w:r>
      <w:r>
        <w:rPr>
          <w:rFonts w:ascii="Palatino Linotype" w:hAnsi="Palatino Linotype" w:cs="Arial"/>
          <w:color w:val="000000" w:themeColor="text1"/>
        </w:rPr>
        <w:t xml:space="preserve"> ante </w:t>
      </w:r>
      <w:r>
        <w:rPr>
          <w:rFonts w:ascii="Palatino Linotype" w:hAnsi="Palatino Linotype" w:cs="Arial"/>
          <w:b/>
          <w:color w:val="000000" w:themeColor="text1"/>
        </w:rPr>
        <w:t>EL SUJETO OBLIGADO</w:t>
      </w:r>
      <w:r>
        <w:rPr>
          <w:rFonts w:ascii="Palatino Linotype" w:hAnsi="Palatino Linotype" w:cs="Arial"/>
          <w:color w:val="000000" w:themeColor="text1"/>
        </w:rPr>
        <w:t xml:space="preserve">, la solicitud de acceso a la información pública, a la que se le asignó el número de expediente </w:t>
      </w:r>
      <w:r>
        <w:rPr>
          <w:rFonts w:ascii="Palatino Linotype" w:hAnsi="Palatino Linotype" w:cs="Arial"/>
          <w:b/>
          <w:bCs/>
          <w:color w:val="000000" w:themeColor="text1"/>
        </w:rPr>
        <w:t>00027/IEEM/IP/2020</w:t>
      </w:r>
      <w:r>
        <w:rPr>
          <w:rFonts w:ascii="Palatino Linotype" w:hAnsi="Palatino Linotype" w:cs="Arial"/>
          <w:color w:val="000000" w:themeColor="text1"/>
        </w:rPr>
        <w:t xml:space="preserve">, </w:t>
      </w:r>
      <w:r>
        <w:rPr>
          <w:rFonts w:ascii="Palatino Linotype" w:hAnsi="Palatino Linotype" w:cs="Arial"/>
          <w:bCs/>
          <w:color w:val="000000" w:themeColor="text1"/>
        </w:rPr>
        <w:t>por medio de la cual requirió</w:t>
      </w:r>
      <w:r>
        <w:rPr>
          <w:rFonts w:ascii="Palatino Linotype" w:hAnsi="Palatino Linotype" w:cs="Arial"/>
          <w:color w:val="000000" w:themeColor="text1"/>
        </w:rPr>
        <w:t>:</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“solicito información y copias simples del expediente integrado a inscripción</w:t>
      </w:r>
      <w:r>
        <w:rPr>
          <w:rFonts w:ascii="Palatino Linotype" w:hAnsi="Palatino Linotype" w:cs="Arial"/>
          <w:i/>
          <w:color w:val="000000" w:themeColor="text1"/>
          <w:sz w:val="22"/>
          <w:szCs w:val="22"/>
        </w:rPr>
        <w:t xml:space="preserve"> de la c. Georgina </w:t>
      </w:r>
      <w:proofErr w:type="spellStart"/>
      <w:r>
        <w:rPr>
          <w:rFonts w:ascii="Palatino Linotype" w:hAnsi="Palatino Linotype" w:cs="Arial"/>
          <w:i/>
          <w:color w:val="000000" w:themeColor="text1"/>
          <w:sz w:val="22"/>
          <w:szCs w:val="22"/>
        </w:rPr>
        <w:t>Alvarez</w:t>
      </w:r>
      <w:proofErr w:type="spellEnd"/>
      <w:r>
        <w:rPr>
          <w:rFonts w:ascii="Palatino Linotype" w:hAnsi="Palatino Linotype" w:cs="Arial"/>
          <w:i/>
          <w:color w:val="000000" w:themeColor="text1"/>
          <w:sz w:val="22"/>
          <w:szCs w:val="22"/>
        </w:rPr>
        <w:t xml:space="preserve"> </w:t>
      </w:r>
      <w:proofErr w:type="spellStart"/>
      <w:r>
        <w:rPr>
          <w:rFonts w:ascii="Palatino Linotype" w:hAnsi="Palatino Linotype" w:cs="Arial"/>
          <w:i/>
          <w:color w:val="000000" w:themeColor="text1"/>
          <w:sz w:val="22"/>
          <w:szCs w:val="22"/>
        </w:rPr>
        <w:t>Hernandez</w:t>
      </w:r>
      <w:proofErr w:type="spellEnd"/>
      <w:r>
        <w:rPr>
          <w:rFonts w:ascii="Palatino Linotype" w:hAnsi="Palatino Linotype" w:cs="Arial"/>
          <w:i/>
          <w:color w:val="000000" w:themeColor="text1"/>
          <w:sz w:val="22"/>
          <w:szCs w:val="22"/>
        </w:rPr>
        <w:t xml:space="preserve"> como candidata electa del partido morena ANTE EL INSTITUTO ELECTORAL DEL ESTADO DE MÉXICO IEEM” (sic)</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b/>
          <w:color w:val="000000" w:themeColor="text1"/>
        </w:rPr>
        <w:t>MODALIDAD DE ENTREGA:</w:t>
      </w:r>
      <w:r>
        <w:rPr>
          <w:rFonts w:ascii="Palatino Linotype" w:hAnsi="Palatino Linotype" w:cs="Arial"/>
          <w:color w:val="000000" w:themeColor="text1"/>
        </w:rPr>
        <w:t xml:space="preserve"> </w:t>
      </w:r>
      <w:r>
        <w:rPr>
          <w:rFonts w:ascii="Palatino Linotype" w:hAnsi="Palatino Linotype" w:cs="Arial"/>
          <w:color w:val="000000" w:themeColor="text1"/>
        </w:rPr>
        <w:t xml:space="preserve">Vía </w:t>
      </w:r>
      <w:r>
        <w:rPr>
          <w:rFonts w:ascii="Palatino Linotype" w:hAnsi="Palatino Linotype" w:cs="Arial"/>
          <w:b/>
          <w:color w:val="000000" w:themeColor="text1"/>
        </w:rPr>
        <w:t>SAIMEX</w:t>
      </w:r>
      <w:r>
        <w:rPr>
          <w:rFonts w:ascii="Palatino Linotype" w:hAnsi="Palatino Linotype" w:cs="Arial"/>
          <w:color w:val="000000" w:themeColor="text1"/>
        </w:rPr>
        <w:t>.</w:t>
      </w:r>
    </w:p>
    <w:p w:rsidR="00826465" w:rsidRDefault="00826465">
      <w:pPr>
        <w:spacing w:line="360" w:lineRule="auto"/>
        <w:jc w:val="both"/>
        <w:rPr>
          <w:rFonts w:ascii="Palatino Linotype" w:hAnsi="Palatino Linotype"/>
          <w:b/>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b/>
          <w:color w:val="000000" w:themeColor="text1"/>
          <w:sz w:val="28"/>
          <w:szCs w:val="28"/>
        </w:rPr>
        <w:t xml:space="preserve">II. </w:t>
      </w:r>
      <w:r>
        <w:rPr>
          <w:rFonts w:ascii="Palatino Linotype" w:hAnsi="Palatino Linotype" w:cs="Arial"/>
          <w:color w:val="000000" w:themeColor="text1"/>
        </w:rPr>
        <w:t xml:space="preserve">En cumplimiento al artículo 162 de la Ley de Transparencia y Acceso a la Información Pública del Estado de México y Municipios, en fecha veintinueve de enero </w:t>
      </w:r>
      <w:r>
        <w:rPr>
          <w:rFonts w:ascii="Palatino Linotype" w:hAnsi="Palatino Linotype" w:cs="Arial"/>
          <w:color w:val="000000" w:themeColor="text1"/>
        </w:rPr>
        <w:lastRenderedPageBreak/>
        <w:t xml:space="preserve">de dos mil veinte,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turnó mediante requerimiento, el contenido de la solicitud d</w:t>
      </w:r>
      <w:r>
        <w:rPr>
          <w:rFonts w:ascii="Palatino Linotype" w:hAnsi="Palatino Linotype" w:cs="Arial"/>
          <w:color w:val="000000" w:themeColor="text1"/>
        </w:rPr>
        <w:t xml:space="preserve">e información al Servidor Público Habilitado de la Dirección de Partidos Políticos, a efecto de que realizara la búsqueda y localización de la misma, tal como se desprende a continuación: </w:t>
      </w:r>
    </w:p>
    <w:p w:rsidR="00826465" w:rsidRDefault="007573A3">
      <w:pPr>
        <w:spacing w:line="360" w:lineRule="auto"/>
        <w:jc w:val="both"/>
        <w:rPr>
          <w:rFonts w:ascii="Palatino Linotype" w:hAnsi="Palatino Linotype" w:cs="Arial"/>
          <w:color w:val="000000" w:themeColor="text1"/>
        </w:rPr>
      </w:pPr>
      <w:r>
        <w:rPr>
          <w:noProof/>
          <w:lang w:eastAsia="es-MX"/>
        </w:rPr>
        <w:drawing>
          <wp:inline distT="0" distB="0" distL="0" distR="0">
            <wp:extent cx="5791835" cy="1876425"/>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8"/>
                    <a:stretch>
                      <a:fillRect/>
                    </a:stretch>
                  </pic:blipFill>
                  <pic:spPr bwMode="auto">
                    <a:xfrm>
                      <a:off x="0" y="0"/>
                      <a:ext cx="5791835" cy="1876425"/>
                    </a:xfrm>
                    <a:prstGeom prst="rect">
                      <a:avLst/>
                    </a:prstGeom>
                  </pic:spPr>
                </pic:pic>
              </a:graphicData>
            </a:graphic>
          </wp:inline>
        </w:drawing>
      </w:r>
      <w:r>
        <w:rPr>
          <w:noProof/>
          <w:lang w:eastAsia="es-MX"/>
        </w:rPr>
        <mc:AlternateContent>
          <mc:Choice Requires="wps">
            <w:drawing>
              <wp:anchor distT="0" distB="0" distL="0" distR="0" simplePos="0" relativeHeight="56" behindDoc="0" locked="0" layoutInCell="1" allowOverlap="1" wp14:anchorId="0867A4B8">
                <wp:simplePos x="0" y="0"/>
                <wp:positionH relativeFrom="margin">
                  <wp:align>left</wp:align>
                </wp:positionH>
                <wp:positionV relativeFrom="paragraph">
                  <wp:posOffset>364490</wp:posOffset>
                </wp:positionV>
                <wp:extent cx="5654675" cy="744855"/>
                <wp:effectExtent l="76200" t="38100" r="81280" b="95250"/>
                <wp:wrapNone/>
                <wp:docPr id="1" name="Rectángulo redondeado 1"/>
                <wp:cNvGraphicFramePr/>
                <a:graphic xmlns:a="http://schemas.openxmlformats.org/drawingml/2006/main">
                  <a:graphicData uri="http://schemas.microsoft.com/office/word/2010/wordprocessingShape">
                    <wps:wsp>
                      <wps:cNvSpPr/>
                      <wps:spPr>
                        <a:xfrm>
                          <a:off x="0" y="0"/>
                          <a:ext cx="5654160" cy="74412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826465" w:rsidRDefault="007573A3">
      <w:pPr>
        <w:spacing w:line="360" w:lineRule="auto"/>
        <w:jc w:val="center"/>
        <w:rPr>
          <w:rFonts w:ascii="Palatino Linotype" w:hAnsi="Palatino Linotype" w:cs="Arial"/>
          <w:color w:val="000000" w:themeColor="text1"/>
        </w:rPr>
      </w:pPr>
      <w:r>
        <w:rPr>
          <w:noProof/>
          <w:lang w:eastAsia="es-MX"/>
        </w:rPr>
        <w:drawing>
          <wp:inline distT="0" distB="0" distL="0" distR="0">
            <wp:extent cx="5736590" cy="314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stretch>
                      <a:fillRect/>
                    </a:stretch>
                  </pic:blipFill>
                  <pic:spPr bwMode="auto">
                    <a:xfrm>
                      <a:off x="0" y="0"/>
                      <a:ext cx="5736590" cy="314325"/>
                    </a:xfrm>
                    <a:prstGeom prst="rect">
                      <a:avLst/>
                    </a:prstGeom>
                  </pic:spPr>
                </pic:pic>
              </a:graphicData>
            </a:graphic>
          </wp:inline>
        </w:drawing>
      </w:r>
      <w:r>
        <w:rPr>
          <w:noProof/>
          <w:lang w:eastAsia="es-MX"/>
        </w:rPr>
        <w:drawing>
          <wp:inline distT="0" distB="0" distL="0" distR="0">
            <wp:extent cx="5734050" cy="182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stretch>
                      <a:fillRect/>
                    </a:stretch>
                  </pic:blipFill>
                  <pic:spPr bwMode="auto">
                    <a:xfrm>
                      <a:off x="0" y="0"/>
                      <a:ext cx="5734050" cy="1828800"/>
                    </a:xfrm>
                    <a:prstGeom prst="rect">
                      <a:avLst/>
                    </a:prstGeom>
                  </pic:spPr>
                </pic:pic>
              </a:graphicData>
            </a:graphic>
          </wp:inline>
        </w:drawing>
      </w:r>
    </w:p>
    <w:p w:rsidR="00826465" w:rsidRDefault="00826465">
      <w:pPr>
        <w:spacing w:line="360" w:lineRule="auto"/>
        <w:jc w:val="both"/>
        <w:rPr>
          <w:rFonts w:ascii="Palatino Linotype" w:hAnsi="Palatino Linotype" w:cs="Arial"/>
          <w:b/>
          <w:color w:val="000000" w:themeColor="text1"/>
          <w:sz w:val="28"/>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b/>
          <w:color w:val="000000" w:themeColor="text1"/>
          <w:sz w:val="28"/>
        </w:rPr>
        <w:t xml:space="preserve">III. </w:t>
      </w:r>
      <w:r>
        <w:rPr>
          <w:rFonts w:ascii="Palatino Linotype" w:hAnsi="Palatino Linotype"/>
          <w:color w:val="000000" w:themeColor="text1"/>
        </w:rPr>
        <w:t xml:space="preserve">De las constancias que obran en </w:t>
      </w:r>
      <w:r>
        <w:rPr>
          <w:rFonts w:ascii="Palatino Linotype" w:hAnsi="Palatino Linotype"/>
          <w:b/>
          <w:color w:val="000000" w:themeColor="text1"/>
        </w:rPr>
        <w:t>EL SAIMEX,</w:t>
      </w:r>
      <w:r>
        <w:rPr>
          <w:rFonts w:ascii="Palatino Linotype" w:hAnsi="Palatino Linotype"/>
          <w:color w:val="000000" w:themeColor="text1"/>
        </w:rPr>
        <w:t xml:space="preserve"> se advierte </w:t>
      </w:r>
      <w:r>
        <w:rPr>
          <w:rFonts w:ascii="Palatino Linotype" w:hAnsi="Palatino Linotype"/>
          <w:color w:val="000000" w:themeColor="text1"/>
        </w:rPr>
        <w:t xml:space="preserve">que en fecha catorce de febrero de dos mil veinte, </w:t>
      </w:r>
      <w:r>
        <w:rPr>
          <w:rFonts w:ascii="Palatino Linotype" w:hAnsi="Palatino Linotype" w:cs="Arial"/>
          <w:color w:val="000000" w:themeColor="text1"/>
        </w:rPr>
        <w:t>el Responsable de la Unidad de Transparencia del</w:t>
      </w:r>
      <w:r>
        <w:rPr>
          <w:rFonts w:ascii="Palatino Linotype" w:hAnsi="Palatino Linotype" w:cs="Arial"/>
          <w:b/>
          <w:color w:val="000000" w:themeColor="text1"/>
        </w:rPr>
        <w:t xml:space="preserve"> SUJETO OBLIGADO</w:t>
      </w:r>
      <w:r>
        <w:rPr>
          <w:rFonts w:ascii="Palatino Linotype" w:hAnsi="Palatino Linotype" w:cs="Arial"/>
          <w:color w:val="000000" w:themeColor="text1"/>
        </w:rPr>
        <w:t xml:space="preserve"> dio respuesta a la solicitud de información, en los siguientes términos:</w:t>
      </w:r>
    </w:p>
    <w:p w:rsidR="00826465" w:rsidRDefault="00826465">
      <w:pPr>
        <w:spacing w:line="360" w:lineRule="auto"/>
        <w:jc w:val="both"/>
        <w:rPr>
          <w:rFonts w:ascii="Palatino Linotype" w:hAnsi="Palatino Linotype" w:cs="Arial"/>
          <w:color w:val="000000" w:themeColor="text1"/>
        </w:rPr>
      </w:pP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lastRenderedPageBreak/>
        <w:t>“En respuesta a la solicitud recibida, nos permitimos hacer de su</w:t>
      </w:r>
      <w:r>
        <w:rPr>
          <w:rFonts w:ascii="Palatino Linotype" w:hAnsi="Palatino Linotype" w:cs="Arial"/>
          <w:i/>
          <w:color w:val="000000" w:themeColor="text1"/>
          <w:sz w:val="22"/>
          <w:szCs w:val="22"/>
        </w:rPr>
        <w:t xml:space="preserve"> conocimiento que con fundamento en el artículo 53, Fracciones: II, V y VI de la Ley de Transparencia y Acceso a la Información Pública del Estado de México y Municipios, le contestamos que:</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Se adjunta respuesta a su solicitud de información.</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ATENTAMENTE</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color w:val="000000" w:themeColor="text1"/>
        </w:rPr>
      </w:pPr>
      <w:r>
        <w:rPr>
          <w:rFonts w:ascii="Palatino Linotype" w:hAnsi="Palatino Linotype" w:cs="Arial"/>
          <w:i/>
          <w:color w:val="000000" w:themeColor="text1"/>
          <w:sz w:val="22"/>
          <w:szCs w:val="22"/>
        </w:rPr>
        <w:t xml:space="preserve">MAESTRA LILIBETH ÁLVAREZ RODRÍGUEZ” (sic) </w:t>
      </w:r>
    </w:p>
    <w:p w:rsidR="00826465" w:rsidRDefault="00826465">
      <w:pPr>
        <w:jc w:val="both"/>
        <w:rPr>
          <w:rFonts w:ascii="Palatino Linotype" w:hAnsi="Palatino Linotype" w:cs="Arial"/>
          <w:b/>
          <w:color w:val="000000" w:themeColor="text1"/>
          <w:sz w:val="28"/>
        </w:rPr>
      </w:pPr>
    </w:p>
    <w:p w:rsidR="00826465" w:rsidRDefault="007573A3">
      <w:pPr>
        <w:spacing w:line="360" w:lineRule="auto"/>
        <w:jc w:val="both"/>
        <w:rPr>
          <w:rFonts w:ascii="Palatino Linotype" w:hAnsi="Palatino Linotype"/>
          <w:color w:val="000000" w:themeColor="text1"/>
        </w:rPr>
      </w:pPr>
      <w:r>
        <w:rPr>
          <w:rFonts w:ascii="Palatino Linotype" w:hAnsi="Palatino Linotype"/>
          <w:color w:val="000000" w:themeColor="text1"/>
        </w:rPr>
        <w:t xml:space="preserve">Advirtiendo de dicha respuesta, que </w:t>
      </w:r>
      <w:r>
        <w:rPr>
          <w:rFonts w:ascii="Palatino Linotype" w:hAnsi="Palatino Linotype" w:cs="Arial"/>
          <w:b/>
          <w:color w:val="000000" w:themeColor="text1"/>
        </w:rPr>
        <w:t>EL SUJETO OBLIGADO</w:t>
      </w:r>
      <w:r>
        <w:rPr>
          <w:rFonts w:ascii="Palatino Linotype" w:hAnsi="Palatino Linotype"/>
          <w:color w:val="000000" w:themeColor="text1"/>
        </w:rPr>
        <w:t xml:space="preserve"> acompañó los archivos electrónicos siguientes: </w:t>
      </w:r>
    </w:p>
    <w:p w:rsidR="00826465" w:rsidRDefault="00826465">
      <w:pPr>
        <w:spacing w:line="360" w:lineRule="auto"/>
        <w:jc w:val="both"/>
        <w:rPr>
          <w:rFonts w:ascii="Palatino Linotype" w:hAnsi="Palatino Linotype" w:cs="Arial"/>
          <w:b/>
          <w:color w:val="000000" w:themeColor="text1"/>
        </w:rPr>
      </w:pPr>
    </w:p>
    <w:p w:rsidR="00826465" w:rsidRDefault="007573A3">
      <w:pPr>
        <w:spacing w:line="360" w:lineRule="auto"/>
        <w:jc w:val="both"/>
        <w:rPr>
          <w:rFonts w:ascii="Palatino Linotype" w:hAnsi="Palatino Linotype" w:cs="Arial"/>
          <w:color w:val="000000" w:themeColor="text1"/>
        </w:rPr>
      </w:pPr>
      <w:hyperlink r:id="rId11" w:tgtFrame="_blank">
        <w:r>
          <w:rPr>
            <w:rFonts w:ascii="Palatino Linotype" w:hAnsi="Palatino Linotype" w:cs="Arial"/>
            <w:b/>
            <w:color w:val="000000" w:themeColor="text1"/>
          </w:rPr>
          <w:t>RESPUESTA SAIMEX 00027.pdf</w:t>
        </w:r>
      </w:hyperlink>
      <w:r>
        <w:rPr>
          <w:rFonts w:ascii="Palatino Linotype" w:hAnsi="Palatino Linotype" w:cs="Arial"/>
          <w:b/>
          <w:color w:val="000000" w:themeColor="text1"/>
        </w:rPr>
        <w:t xml:space="preserve">: </w:t>
      </w:r>
      <w:r>
        <w:rPr>
          <w:rFonts w:ascii="Palatino Linotype" w:hAnsi="Palatino Linotype" w:cs="Arial"/>
          <w:color w:val="000000" w:themeColor="text1"/>
        </w:rPr>
        <w:t>el cual corresponde al oficio IEEM/DPP/0098/2020, por medio del cual el Jefe del Departamento de Partidos Políticos, remite en versión pública a la Titular de la Unidad de Transparencia, el expediente solicitado por el particula</w:t>
      </w:r>
      <w:r>
        <w:rPr>
          <w:rFonts w:ascii="Palatino Linotype" w:hAnsi="Palatino Linotype" w:cs="Arial"/>
          <w:color w:val="000000" w:themeColor="text1"/>
        </w:rPr>
        <w:t xml:space="preserve">r. </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hyperlink r:id="rId12" w:tgtFrame="_blank">
        <w:r>
          <w:rPr>
            <w:rFonts w:ascii="Palatino Linotype" w:hAnsi="Palatino Linotype" w:cs="Arial"/>
            <w:b/>
            <w:color w:val="000000" w:themeColor="text1"/>
          </w:rPr>
          <w:t xml:space="preserve">Caratula de clasificación y Anexo </w:t>
        </w:r>
        <w:proofErr w:type="spellStart"/>
        <w:r>
          <w:rPr>
            <w:rFonts w:ascii="Palatino Linotype" w:hAnsi="Palatino Linotype" w:cs="Arial"/>
            <w:b/>
            <w:color w:val="000000" w:themeColor="text1"/>
          </w:rPr>
          <w:t>Saimex</w:t>
        </w:r>
        <w:proofErr w:type="spellEnd"/>
        <w:r>
          <w:rPr>
            <w:rFonts w:ascii="Palatino Linotype" w:hAnsi="Palatino Linotype" w:cs="Arial"/>
            <w:b/>
            <w:color w:val="000000" w:themeColor="text1"/>
          </w:rPr>
          <w:t xml:space="preserve"> 00027.pdf</w:t>
        </w:r>
      </w:hyperlink>
      <w:r>
        <w:rPr>
          <w:rFonts w:ascii="Palatino Linotype" w:hAnsi="Palatino Linotype" w:cs="Arial"/>
          <w:b/>
          <w:color w:val="000000" w:themeColor="text1"/>
        </w:rPr>
        <w:t xml:space="preserve">: </w:t>
      </w:r>
      <w:r>
        <w:rPr>
          <w:rFonts w:ascii="Palatino Linotype" w:hAnsi="Palatino Linotype" w:cs="Arial"/>
          <w:color w:val="000000" w:themeColor="text1"/>
        </w:rPr>
        <w:t xml:space="preserve">el cual corresponde a la carátula de clasificación parcial del documento 00027. </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hyperlink r:id="rId13" w:tgtFrame="_blank">
        <w:r>
          <w:rPr>
            <w:rFonts w:ascii="Palatino Linotype" w:hAnsi="Palatino Linotype" w:cs="Arial"/>
            <w:b/>
            <w:color w:val="000000" w:themeColor="text1"/>
          </w:rPr>
          <w:t>Acuerdo IEEM-CT-21-2020.pdf</w:t>
        </w:r>
      </w:hyperlink>
      <w:r>
        <w:rPr>
          <w:rFonts w:ascii="Palatino Linotype" w:hAnsi="Palatino Linotype" w:cs="Arial"/>
          <w:b/>
          <w:color w:val="000000" w:themeColor="text1"/>
        </w:rPr>
        <w:t xml:space="preserve">: </w:t>
      </w:r>
      <w:r>
        <w:rPr>
          <w:rFonts w:ascii="Palatino Linotype" w:hAnsi="Palatino Linotype" w:cs="Arial"/>
          <w:color w:val="000000" w:themeColor="text1"/>
        </w:rPr>
        <w:t>el cual corresponde al Acuerdo número IEEM/CT/21/2020 de Clasificación de Información como Confidencial para otorgar la respuest</w:t>
      </w:r>
      <w:r>
        <w:rPr>
          <w:rFonts w:ascii="Palatino Linotype" w:hAnsi="Palatino Linotype" w:cs="Arial"/>
          <w:color w:val="000000" w:themeColor="text1"/>
        </w:rPr>
        <w:t>a a la solicitud de acceso a la información pública 0027/IEEM/IP/2020.</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hyperlink r:id="rId14" w:tgtFrame="_blank">
        <w:r>
          <w:rPr>
            <w:rFonts w:ascii="Palatino Linotype" w:hAnsi="Palatino Linotype" w:cs="Arial"/>
            <w:b/>
            <w:color w:val="000000" w:themeColor="text1"/>
          </w:rPr>
          <w:t>OFICIO RESPUESTA 27-2020 UT.pdf</w:t>
        </w:r>
      </w:hyperlink>
      <w:r>
        <w:rPr>
          <w:rFonts w:ascii="Palatino Linotype" w:hAnsi="Palatino Linotype" w:cs="Arial"/>
          <w:b/>
          <w:color w:val="000000" w:themeColor="text1"/>
        </w:rPr>
        <w:t xml:space="preserve">: </w:t>
      </w:r>
      <w:r>
        <w:rPr>
          <w:rFonts w:ascii="Palatino Linotype" w:hAnsi="Palatino Linotype" w:cs="Arial"/>
          <w:color w:val="000000" w:themeColor="text1"/>
        </w:rPr>
        <w:t>el cual corresponde al oficio IEEM/UT/265/2020, po</w:t>
      </w:r>
      <w:r>
        <w:rPr>
          <w:rFonts w:ascii="Palatino Linotype" w:hAnsi="Palatino Linotype" w:cs="Arial"/>
          <w:color w:val="000000" w:themeColor="text1"/>
        </w:rPr>
        <w:t xml:space="preserve">r medio del cual el Jefe de la Unidad de Transparencia, refiere </w:t>
      </w:r>
      <w:r>
        <w:rPr>
          <w:rFonts w:ascii="Palatino Linotype" w:hAnsi="Palatino Linotype" w:cs="Arial"/>
          <w:color w:val="000000" w:themeColor="text1"/>
        </w:rPr>
        <w:lastRenderedPageBreak/>
        <w:t xml:space="preserve">adjuntar el oficio emitido por el Servidor Público Habilitado de la Dirección de Partidos Políticos, en el cual se detalla lo referente a la solicitud de información.  </w:t>
      </w:r>
    </w:p>
    <w:p w:rsidR="00826465" w:rsidRDefault="00826465">
      <w:pPr>
        <w:spacing w:line="360" w:lineRule="auto"/>
        <w:jc w:val="both"/>
        <w:rPr>
          <w:rFonts w:ascii="Palatino Linotype" w:hAnsi="Palatino Linotype" w:cs="Arial"/>
          <w:b/>
          <w:color w:val="000000" w:themeColor="text1"/>
        </w:rPr>
      </w:pPr>
    </w:p>
    <w:p w:rsidR="00826465" w:rsidRDefault="007573A3">
      <w:pPr>
        <w:pStyle w:val="Prrafodelista"/>
        <w:spacing w:line="360" w:lineRule="auto"/>
        <w:ind w:left="0"/>
        <w:jc w:val="both"/>
        <w:rPr>
          <w:rFonts w:ascii="Palatino Linotype" w:hAnsi="Palatino Linotype" w:cs="Arial"/>
          <w:color w:val="000000" w:themeColor="text1"/>
        </w:rPr>
      </w:pPr>
      <w:r>
        <w:rPr>
          <w:rFonts w:ascii="Palatino Linotype" w:hAnsi="Palatino Linotype" w:cs="Arial"/>
          <w:b/>
          <w:color w:val="000000" w:themeColor="text1"/>
          <w:sz w:val="28"/>
        </w:rPr>
        <w:t xml:space="preserve">IV. </w:t>
      </w:r>
      <w:r>
        <w:rPr>
          <w:rFonts w:ascii="Palatino Linotype" w:hAnsi="Palatino Linotype" w:cs="Arial"/>
          <w:color w:val="000000" w:themeColor="text1"/>
        </w:rPr>
        <w:t xml:space="preserve">Inconforme con la </w:t>
      </w:r>
      <w:r>
        <w:rPr>
          <w:rFonts w:ascii="Palatino Linotype" w:hAnsi="Palatino Linotype" w:cs="Arial"/>
          <w:color w:val="000000" w:themeColor="text1"/>
        </w:rPr>
        <w:t xml:space="preserve">respuesta, el veinte de febrero de dos mil veinte, </w:t>
      </w:r>
      <w:r>
        <w:rPr>
          <w:rFonts w:ascii="Palatino Linotype" w:hAnsi="Palatino Linotype" w:cs="Arial"/>
          <w:b/>
          <w:color w:val="000000" w:themeColor="text1"/>
        </w:rPr>
        <w:t>EL RECURRENTE</w:t>
      </w:r>
      <w:r>
        <w:rPr>
          <w:rFonts w:ascii="Palatino Linotype" w:hAnsi="Palatino Linotype" w:cs="Arial"/>
          <w:color w:val="000000" w:themeColor="text1"/>
        </w:rPr>
        <w:t xml:space="preserve"> interpuso el recurso de revisión sujeto del presente estudio, el cual fue registrado en </w:t>
      </w:r>
      <w:r>
        <w:rPr>
          <w:rFonts w:ascii="Palatino Linotype" w:hAnsi="Palatino Linotype" w:cs="Arial"/>
          <w:b/>
          <w:color w:val="000000" w:themeColor="text1"/>
        </w:rPr>
        <w:t>EL SAIMEX</w:t>
      </w:r>
      <w:r>
        <w:rPr>
          <w:rFonts w:ascii="Palatino Linotype" w:hAnsi="Palatino Linotype" w:cs="Arial"/>
          <w:color w:val="000000" w:themeColor="text1"/>
        </w:rPr>
        <w:t xml:space="preserve"> y se le asignó el número de expediente </w:t>
      </w:r>
      <w:r>
        <w:rPr>
          <w:rFonts w:ascii="Palatino Linotype" w:hAnsi="Palatino Linotype"/>
          <w:color w:val="000000" w:themeColor="text1"/>
          <w:sz w:val="15"/>
          <w:szCs w:val="15"/>
          <w:lang w:eastAsia="es-MX"/>
        </w:rPr>
        <w:br/>
      </w:r>
      <w:r>
        <w:rPr>
          <w:rFonts w:ascii="Palatino Linotype" w:hAnsi="Palatino Linotype" w:cs="Arial"/>
          <w:b/>
          <w:color w:val="000000" w:themeColor="text1"/>
        </w:rPr>
        <w:t>01117/INFOEM/IP/RR/2020</w:t>
      </w:r>
      <w:r>
        <w:rPr>
          <w:rFonts w:ascii="Palatino Linotype" w:hAnsi="Palatino Linotype" w:cs="Arial"/>
          <w:color w:val="000000" w:themeColor="text1"/>
        </w:rPr>
        <w:t>, en el que señaló como acto i</w:t>
      </w:r>
      <w:r>
        <w:rPr>
          <w:rFonts w:ascii="Palatino Linotype" w:hAnsi="Palatino Linotype" w:cs="Arial"/>
          <w:color w:val="000000" w:themeColor="text1"/>
        </w:rPr>
        <w:t xml:space="preserve">mpugnado: </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“Expediente de la segunda regiduría de Almoloya de Juárez </w:t>
      </w:r>
      <w:proofErr w:type="spellStart"/>
      <w:r>
        <w:rPr>
          <w:rFonts w:ascii="Palatino Linotype" w:hAnsi="Palatino Linotype" w:cs="Arial"/>
          <w:i/>
          <w:color w:val="000000" w:themeColor="text1"/>
          <w:sz w:val="22"/>
          <w:szCs w:val="22"/>
        </w:rPr>
        <w:t>mexico</w:t>
      </w:r>
      <w:proofErr w:type="spellEnd"/>
      <w:r>
        <w:rPr>
          <w:rFonts w:ascii="Palatino Linotype" w:hAnsi="Palatino Linotype" w:cs="Arial"/>
          <w:i/>
          <w:color w:val="000000" w:themeColor="text1"/>
          <w:sz w:val="22"/>
          <w:szCs w:val="22"/>
        </w:rPr>
        <w:t>” (sic)</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como, razones o motivos de inconformidad, lo siguiente: </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 xml:space="preserve">“Entiendo que la protección de datos es importante para las personas sin embargo un expediente no solo se </w:t>
      </w:r>
      <w:r>
        <w:rPr>
          <w:rFonts w:ascii="Palatino Linotype" w:hAnsi="Palatino Linotype" w:cs="Arial"/>
          <w:i/>
          <w:color w:val="000000" w:themeColor="text1"/>
          <w:sz w:val="22"/>
          <w:szCs w:val="22"/>
        </w:rPr>
        <w:t>conforma de información personal existen formatos que contienen anexos u escritos o formatos los cuales si pudieran ser puestos a la solicitud” (sic)</w:t>
      </w:r>
    </w:p>
    <w:p w:rsidR="00826465" w:rsidRDefault="00826465">
      <w:pPr>
        <w:tabs>
          <w:tab w:val="left" w:pos="851"/>
        </w:tabs>
        <w:ind w:left="851" w:right="901"/>
        <w:jc w:val="both"/>
        <w:rPr>
          <w:rFonts w:ascii="Palatino Linotype" w:hAnsi="Palatino Linotype" w:cs="Arial"/>
          <w:i/>
          <w:color w:val="000000" w:themeColor="text1"/>
          <w:sz w:val="22"/>
          <w:szCs w:val="22"/>
        </w:rPr>
      </w:pPr>
    </w:p>
    <w:p w:rsidR="00826465" w:rsidRDefault="007573A3">
      <w:pPr>
        <w:pStyle w:val="Prrafodelista"/>
        <w:spacing w:line="360" w:lineRule="auto"/>
        <w:ind w:left="0"/>
        <w:jc w:val="both"/>
        <w:rPr>
          <w:rFonts w:ascii="Palatino Linotype" w:hAnsi="Palatino Linotype" w:cs="Arial"/>
          <w:color w:val="000000" w:themeColor="text1"/>
        </w:rPr>
      </w:pPr>
      <w:r>
        <w:rPr>
          <w:rFonts w:ascii="Palatino Linotype" w:hAnsi="Palatino Linotype" w:cs="Arial"/>
          <w:b/>
          <w:color w:val="000000" w:themeColor="text1"/>
          <w:sz w:val="28"/>
          <w:szCs w:val="28"/>
        </w:rPr>
        <w:t xml:space="preserve">V. </w:t>
      </w:r>
      <w:r>
        <w:rPr>
          <w:rFonts w:ascii="Palatino Linotype" w:hAnsi="Palatino Linotype" w:cs="Arial"/>
          <w:color w:val="000000" w:themeColor="text1"/>
        </w:rPr>
        <w:t>El veinte de febrero de dos mil veinte, el recurso de que se trata se envió electrónicamente al Instit</w:t>
      </w:r>
      <w:r>
        <w:rPr>
          <w:rFonts w:ascii="Palatino Linotype" w:hAnsi="Palatino Linotype" w:cs="Arial"/>
          <w:color w:val="000000" w:themeColor="text1"/>
        </w:rPr>
        <w:t xml:space="preserve">uto de </w:t>
      </w:r>
      <w:r>
        <w:rPr>
          <w:rFonts w:ascii="Palatino Linotype" w:eastAsia="Arial Unicode MS" w:hAnsi="Palatino Linotype" w:cs="Arial"/>
          <w:color w:val="000000" w:themeColor="text1"/>
        </w:rPr>
        <w:t>Transparencia</w:t>
      </w:r>
      <w:r>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Pr>
          <w:rFonts w:ascii="Palatino Linotype" w:hAnsi="Palatino Linotype"/>
          <w:color w:val="000000" w:themeColor="text1"/>
        </w:rPr>
        <w:t>Ley de Transparencia y Acceso a la Información Pública del Estado de México y Mun</w:t>
      </w:r>
      <w:r>
        <w:rPr>
          <w:rFonts w:ascii="Palatino Linotype" w:hAnsi="Palatino Linotype"/>
          <w:color w:val="000000" w:themeColor="text1"/>
        </w:rPr>
        <w:t>icipios</w:t>
      </w:r>
      <w:r>
        <w:rPr>
          <w:rFonts w:ascii="Palatino Linotype" w:hAnsi="Palatino Linotype" w:cs="Arial"/>
          <w:color w:val="000000" w:themeColor="text1"/>
        </w:rPr>
        <w:t>, se turnó, a través del</w:t>
      </w:r>
      <w:r>
        <w:rPr>
          <w:rFonts w:ascii="Palatino Linotype" w:eastAsia="Arial Unicode MS" w:hAnsi="Palatino Linotype" w:cs="Arial"/>
          <w:color w:val="000000" w:themeColor="text1"/>
        </w:rPr>
        <w:t xml:space="preserve"> </w:t>
      </w:r>
      <w:r>
        <w:rPr>
          <w:rFonts w:ascii="Palatino Linotype" w:eastAsia="Arial Unicode MS" w:hAnsi="Palatino Linotype" w:cs="Arial"/>
          <w:b/>
          <w:color w:val="000000" w:themeColor="text1"/>
        </w:rPr>
        <w:t>SAIMEX</w:t>
      </w:r>
      <w:r>
        <w:rPr>
          <w:rFonts w:ascii="Palatino Linotype" w:hAnsi="Palatino Linotype"/>
          <w:color w:val="000000" w:themeColor="text1"/>
        </w:rPr>
        <w:t xml:space="preserve">, a la </w:t>
      </w:r>
      <w:r>
        <w:rPr>
          <w:rFonts w:ascii="Palatino Linotype" w:hAnsi="Palatino Linotype" w:cs="Arial"/>
          <w:color w:val="000000" w:themeColor="text1"/>
        </w:rPr>
        <w:t xml:space="preserve">Comisionada </w:t>
      </w:r>
      <w:r>
        <w:rPr>
          <w:rFonts w:ascii="Palatino Linotype" w:hAnsi="Palatino Linotype" w:cs="Arial"/>
          <w:b/>
          <w:color w:val="000000" w:themeColor="text1"/>
        </w:rPr>
        <w:t>EVA ABAID YAPUR</w:t>
      </w:r>
      <w:r>
        <w:rPr>
          <w:rFonts w:ascii="Palatino Linotype" w:hAnsi="Palatino Linotype"/>
          <w:color w:val="000000" w:themeColor="text1"/>
        </w:rPr>
        <w:t>,</w:t>
      </w:r>
      <w:r>
        <w:rPr>
          <w:rFonts w:ascii="Palatino Linotype" w:hAnsi="Palatino Linotype" w:cs="Arial"/>
          <w:color w:val="000000" w:themeColor="text1"/>
        </w:rPr>
        <w:t xml:space="preserve"> a efecto de decretar su admisión o desechamiento.</w:t>
      </w:r>
    </w:p>
    <w:p w:rsidR="00826465" w:rsidRDefault="00826465">
      <w:pPr>
        <w:pStyle w:val="Prrafodelista"/>
        <w:spacing w:line="360" w:lineRule="auto"/>
        <w:ind w:left="0"/>
        <w:jc w:val="both"/>
        <w:rPr>
          <w:rFonts w:ascii="Palatino Linotype" w:hAnsi="Palatino Linotype" w:cs="Arial"/>
          <w:color w:val="000000" w:themeColor="text1"/>
        </w:rPr>
      </w:pPr>
    </w:p>
    <w:p w:rsidR="00826465" w:rsidRDefault="007573A3">
      <w:pPr>
        <w:pStyle w:val="Piedepgina"/>
        <w:spacing w:line="360" w:lineRule="auto"/>
        <w:jc w:val="both"/>
        <w:rPr>
          <w:rFonts w:ascii="Palatino Linotype" w:hAnsi="Palatino Linotype" w:cs="Arial" w:hint="eastAsia"/>
          <w:color w:val="000000" w:themeColor="text1"/>
        </w:rPr>
      </w:pPr>
      <w:r>
        <w:rPr>
          <w:rFonts w:ascii="Palatino Linotype" w:hAnsi="Palatino Linotype" w:cs="Arial"/>
          <w:b/>
          <w:color w:val="000000" w:themeColor="text1"/>
          <w:sz w:val="28"/>
        </w:rPr>
        <w:t xml:space="preserve">VI. </w:t>
      </w:r>
      <w:r>
        <w:rPr>
          <w:rFonts w:ascii="Palatino Linotype" w:hAnsi="Palatino Linotype" w:cs="Arial"/>
          <w:color w:val="000000" w:themeColor="text1"/>
        </w:rPr>
        <w:t>De las constancias del expediente electrónico del</w:t>
      </w:r>
      <w:r>
        <w:rPr>
          <w:rFonts w:ascii="Palatino Linotype" w:hAnsi="Palatino Linotype" w:cs="Arial"/>
          <w:b/>
          <w:color w:val="000000" w:themeColor="text1"/>
        </w:rPr>
        <w:t xml:space="preserve"> SAIMEX</w:t>
      </w:r>
      <w:r>
        <w:rPr>
          <w:rFonts w:ascii="Palatino Linotype" w:hAnsi="Palatino Linotype" w:cs="Arial"/>
          <w:color w:val="000000" w:themeColor="text1"/>
        </w:rPr>
        <w:t xml:space="preserve">, se advierte que en fecha veintiséis de febrero de dos mil veinte, se acordó la admisión a trámite del recurso de revisión que nos ocupa; así como la integración del expediente respectivo, mismo que </w:t>
      </w:r>
      <w:r>
        <w:rPr>
          <w:rFonts w:ascii="Palatino Linotype" w:hAnsi="Palatino Linotype" w:cs="Arial"/>
          <w:color w:val="000000" w:themeColor="text1"/>
        </w:rPr>
        <w:lastRenderedPageBreak/>
        <w:t>se puso a disposición de las partes, para que en un plaz</w:t>
      </w:r>
      <w:r>
        <w:rPr>
          <w:rFonts w:ascii="Palatino Linotype" w:hAnsi="Palatino Linotype" w:cs="Arial"/>
          <w:color w:val="000000" w:themeColor="text1"/>
        </w:rPr>
        <w:t>o máximo de siete días hábiles conforme a lo dispuesto por el artículo 185 de la Ley de Transparencia y Acceso a la Información Pública del Estado de México y Municipios, manifestaran lo que a su derecho conviniera, a efecto de presentar pruebas y alegatos</w:t>
      </w:r>
      <w:r>
        <w:rPr>
          <w:rFonts w:ascii="Palatino Linotype" w:hAnsi="Palatino Linotype" w:cs="Arial"/>
          <w:color w:val="000000" w:themeColor="text1"/>
        </w:rPr>
        <w:t xml:space="preserve">; así como para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rindiera su</w:t>
      </w:r>
      <w:r>
        <w:rPr>
          <w:rFonts w:ascii="Palatino Linotype" w:hAnsi="Palatino Linotype" w:cs="Arial"/>
          <w:b/>
          <w:color w:val="000000" w:themeColor="text1"/>
        </w:rPr>
        <w:t xml:space="preserve"> </w:t>
      </w:r>
      <w:r>
        <w:rPr>
          <w:rFonts w:ascii="Palatino Linotype" w:hAnsi="Palatino Linotype" w:cs="Arial"/>
          <w:color w:val="000000" w:themeColor="text1"/>
        </w:rPr>
        <w:t>Informe Justificado.</w:t>
      </w:r>
    </w:p>
    <w:p w:rsidR="00826465" w:rsidRDefault="00826465">
      <w:pPr>
        <w:pStyle w:val="Piedepgina"/>
        <w:spacing w:line="360" w:lineRule="auto"/>
        <w:jc w:val="both"/>
        <w:rPr>
          <w:rFonts w:ascii="Palatino Linotype" w:hAnsi="Palatino Linotype" w:cs="Arial" w:hint="eastAsia"/>
          <w:color w:val="000000" w:themeColor="text1"/>
        </w:rPr>
      </w:pPr>
    </w:p>
    <w:p w:rsidR="00826465" w:rsidRDefault="007573A3">
      <w:pPr>
        <w:spacing w:line="360" w:lineRule="auto"/>
        <w:jc w:val="both"/>
        <w:rPr>
          <w:rFonts w:ascii="Palatino Linotype" w:hAnsi="Palatino Linotype" w:cs="Arial"/>
          <w:color w:val="000000" w:themeColor="text1"/>
          <w:lang w:eastAsia="es-MX"/>
        </w:rPr>
      </w:pPr>
      <w:r>
        <w:rPr>
          <w:rFonts w:ascii="Palatino Linotype" w:eastAsia="Arial Unicode MS" w:hAnsi="Palatino Linotype" w:cs="Arial"/>
          <w:b/>
          <w:color w:val="000000" w:themeColor="text1"/>
          <w:sz w:val="28"/>
          <w:szCs w:val="28"/>
        </w:rPr>
        <w:t>VII.</w:t>
      </w:r>
      <w:r>
        <w:rPr>
          <w:rFonts w:ascii="Palatino Linotype" w:eastAsia="Arial Unicode MS" w:hAnsi="Palatino Linotype" w:cs="Arial"/>
          <w:b/>
          <w:color w:val="000000" w:themeColor="text1"/>
          <w:sz w:val="28"/>
          <w:szCs w:val="28"/>
        </w:rPr>
        <w:t xml:space="preserve"> </w:t>
      </w:r>
      <w:r>
        <w:rPr>
          <w:rFonts w:ascii="Palatino Linotype" w:hAnsi="Palatino Linotype" w:cs="Arial"/>
          <w:color w:val="000000" w:themeColor="text1"/>
        </w:rPr>
        <w:t>En cumplimiento a lo anterior, de las constancias del expediente electrónico del</w:t>
      </w:r>
      <w:r>
        <w:rPr>
          <w:rFonts w:ascii="Palatino Linotype" w:hAnsi="Palatino Linotype" w:cs="Arial"/>
          <w:b/>
          <w:color w:val="000000" w:themeColor="text1"/>
        </w:rPr>
        <w:t xml:space="preserve"> SAIMEX</w:t>
      </w:r>
      <w:r>
        <w:rPr>
          <w:rFonts w:ascii="Palatino Linotype" w:hAnsi="Palatino Linotype" w:cs="Arial"/>
          <w:color w:val="000000" w:themeColor="text1"/>
        </w:rPr>
        <w:t xml:space="preserve">, se advierte que el tres de marzo de dos mil veinte, </w:t>
      </w:r>
      <w:r>
        <w:rPr>
          <w:rFonts w:ascii="Palatino Linotype" w:hAnsi="Palatino Linotype" w:cs="Arial"/>
          <w:b/>
          <w:color w:val="000000" w:themeColor="text1"/>
        </w:rPr>
        <w:t>EL SUJETO OBLIGADO</w:t>
      </w:r>
      <w:r>
        <w:rPr>
          <w:rFonts w:ascii="Palatino Linotype" w:hAnsi="Palatino Linotype" w:cs="Arial"/>
          <w:color w:val="000000" w:themeColor="text1"/>
        </w:rPr>
        <w:t xml:space="preserve"> </w:t>
      </w:r>
      <w:r>
        <w:rPr>
          <w:rFonts w:ascii="Palatino Linotype" w:hAnsi="Palatino Linotype" w:cs="Arial"/>
          <w:color w:val="000000" w:themeColor="text1"/>
          <w:lang w:val="es-ES"/>
        </w:rPr>
        <w:t xml:space="preserve">envió el Informe </w:t>
      </w:r>
      <w:r>
        <w:rPr>
          <w:rFonts w:ascii="Palatino Linotype" w:hAnsi="Palatino Linotype" w:cs="Arial"/>
          <w:color w:val="000000" w:themeColor="text1"/>
          <w:lang w:val="es-ES"/>
        </w:rPr>
        <w:t>Justificado, como se desprende a continuación</w:t>
      </w:r>
      <w:r>
        <w:rPr>
          <w:rFonts w:ascii="Palatino Linotype" w:hAnsi="Palatino Linotype" w:cs="Arial"/>
          <w:color w:val="000000" w:themeColor="text1"/>
          <w:lang w:eastAsia="es-MX"/>
        </w:rPr>
        <w:t xml:space="preserve">: </w:t>
      </w:r>
    </w:p>
    <w:p w:rsidR="00826465" w:rsidRDefault="007573A3">
      <w:pPr>
        <w:spacing w:line="360" w:lineRule="auto"/>
        <w:jc w:val="center"/>
        <w:rPr>
          <w:rFonts w:ascii="Palatino Linotype" w:hAnsi="Palatino Linotype" w:cs="Arial"/>
          <w:color w:val="000000" w:themeColor="text1"/>
          <w:lang w:eastAsia="es-MX"/>
        </w:rPr>
      </w:pPr>
      <w:r>
        <w:rPr>
          <w:noProof/>
          <w:lang w:eastAsia="es-MX"/>
        </w:rPr>
        <w:drawing>
          <wp:inline distT="0" distB="0" distL="0" distR="0">
            <wp:extent cx="5743575" cy="2447925"/>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15"/>
                    <a:stretch>
                      <a:fillRect/>
                    </a:stretch>
                  </pic:blipFill>
                  <pic:spPr bwMode="auto">
                    <a:xfrm>
                      <a:off x="0" y="0"/>
                      <a:ext cx="5743575" cy="2447925"/>
                    </a:xfrm>
                    <a:prstGeom prst="rect">
                      <a:avLst/>
                    </a:prstGeom>
                  </pic:spPr>
                </pic:pic>
              </a:graphicData>
            </a:graphic>
          </wp:inline>
        </w:drawing>
      </w:r>
      <w:r>
        <w:rPr>
          <w:noProof/>
          <w:lang w:eastAsia="es-MX"/>
        </w:rPr>
        <mc:AlternateContent>
          <mc:Choice Requires="wps">
            <w:drawing>
              <wp:anchor distT="0" distB="0" distL="0" distR="0" simplePos="0" relativeHeight="57" behindDoc="0" locked="0" layoutInCell="1" allowOverlap="1" wp14:anchorId="2D50421A">
                <wp:simplePos x="0" y="0"/>
                <wp:positionH relativeFrom="margin">
                  <wp:posOffset>129540</wp:posOffset>
                </wp:positionH>
                <wp:positionV relativeFrom="paragraph">
                  <wp:posOffset>1239520</wp:posOffset>
                </wp:positionV>
                <wp:extent cx="5561965" cy="1125855"/>
                <wp:effectExtent l="76200" t="38100" r="78740" b="95250"/>
                <wp:wrapNone/>
                <wp:docPr id="5" name="Rectángulo redondeado 13"/>
                <wp:cNvGraphicFramePr/>
                <a:graphic xmlns:a="http://schemas.openxmlformats.org/drawingml/2006/main">
                  <a:graphicData uri="http://schemas.microsoft.com/office/word/2010/wordprocessingShape">
                    <wps:wsp>
                      <wps:cNvSpPr/>
                      <wps:spPr>
                        <a:xfrm>
                          <a:off x="0" y="0"/>
                          <a:ext cx="5561280" cy="1125360"/>
                        </a:xfrm>
                        <a:prstGeom prst="roundRect">
                          <a:avLst>
                            <a:gd name="adj" fmla="val 16667"/>
                          </a:avLst>
                        </a:prstGeom>
                        <a:noFill/>
                        <a:ln w="3816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826465" w:rsidRDefault="007573A3">
      <w:pPr>
        <w:spacing w:line="360" w:lineRule="auto"/>
        <w:jc w:val="both"/>
        <w:rPr>
          <w:rFonts w:ascii="Palatino Linotype" w:hAnsi="Palatino Linotype" w:cs="Arial"/>
          <w:color w:val="000000" w:themeColor="text1"/>
          <w:lang w:eastAsia="es-MX"/>
        </w:rPr>
      </w:pPr>
      <w:r>
        <w:rPr>
          <w:rFonts w:ascii="Palatino Linotype" w:hAnsi="Palatino Linotype" w:cs="Arial"/>
          <w:color w:val="000000" w:themeColor="text1"/>
          <w:lang w:eastAsia="es-MX"/>
        </w:rPr>
        <w:t xml:space="preserve">Advirtiendo que en </w:t>
      </w:r>
      <w:r>
        <w:rPr>
          <w:rFonts w:ascii="Palatino Linotype" w:hAnsi="Palatino Linotype" w:cs="Arial"/>
          <w:color w:val="000000" w:themeColor="text1"/>
        </w:rPr>
        <w:t>dicho</w:t>
      </w:r>
      <w:r>
        <w:rPr>
          <w:rFonts w:ascii="Palatino Linotype" w:hAnsi="Palatino Linotype" w:cs="Arial"/>
          <w:color w:val="000000" w:themeColor="text1"/>
          <w:lang w:eastAsia="es-MX"/>
        </w:rPr>
        <w:t xml:space="preserve"> informe, que </w:t>
      </w:r>
      <w:r>
        <w:rPr>
          <w:rFonts w:ascii="Palatino Linotype" w:hAnsi="Palatino Linotype" w:cs="Arial"/>
          <w:b/>
          <w:color w:val="000000" w:themeColor="text1"/>
          <w:lang w:eastAsia="es-MX"/>
        </w:rPr>
        <w:t>EL SUJETO OBLIGADO</w:t>
      </w:r>
      <w:r>
        <w:rPr>
          <w:rFonts w:ascii="Palatino Linotype" w:hAnsi="Palatino Linotype" w:cs="Arial"/>
          <w:color w:val="000000" w:themeColor="text1"/>
          <w:lang w:eastAsia="es-MX"/>
        </w:rPr>
        <w:t xml:space="preserve"> anexó los archivos </w:t>
      </w:r>
      <w:hyperlink r:id="rId16">
        <w:r>
          <w:rPr>
            <w:rFonts w:ascii="Palatino Linotype" w:hAnsi="Palatino Linotype" w:cs="Arial"/>
            <w:b/>
            <w:color w:val="000000" w:themeColor="text1"/>
            <w:lang w:eastAsia="es-MX"/>
          </w:rPr>
          <w:t>INFORME RR 1117-2020 DPP.pdf</w:t>
        </w:r>
      </w:hyperlink>
      <w:r>
        <w:rPr>
          <w:rFonts w:ascii="Palatino Linotype" w:hAnsi="Palatino Linotype" w:cs="Arial"/>
          <w:b/>
          <w:color w:val="000000" w:themeColor="text1"/>
          <w:lang w:eastAsia="es-MX"/>
        </w:rPr>
        <w:t xml:space="preserve"> </w:t>
      </w:r>
      <w:proofErr w:type="spellStart"/>
      <w:r>
        <w:rPr>
          <w:rFonts w:ascii="Palatino Linotype" w:hAnsi="Palatino Linotype" w:cs="Arial"/>
          <w:color w:val="000000" w:themeColor="text1"/>
          <w:lang w:eastAsia="es-MX"/>
        </w:rPr>
        <w:t>y</w:t>
      </w:r>
      <w:proofErr w:type="spellEnd"/>
      <w:r>
        <w:rPr>
          <w:rFonts w:ascii="Palatino Linotype" w:hAnsi="Palatino Linotype" w:cs="Arial"/>
          <w:color w:val="000000" w:themeColor="text1"/>
          <w:lang w:eastAsia="es-MX"/>
        </w:rPr>
        <w:t xml:space="preserve"> </w:t>
      </w:r>
      <w:hyperlink r:id="rId17">
        <w:r>
          <w:rPr>
            <w:rFonts w:ascii="Palatino Linotype" w:hAnsi="Palatino Linotype" w:cs="Arial"/>
            <w:b/>
            <w:color w:val="000000" w:themeColor="text1"/>
            <w:lang w:eastAsia="es-MX"/>
          </w:rPr>
          <w:t>INFORME JUSTIFICADO RR 1117-2020 UT.pdf</w:t>
        </w:r>
      </w:hyperlink>
      <w:r>
        <w:rPr>
          <w:rFonts w:ascii="Palatino Linotype" w:hAnsi="Palatino Linotype" w:cs="Arial"/>
          <w:color w:val="000000" w:themeColor="text1"/>
          <w:lang w:eastAsia="es-MX"/>
        </w:rPr>
        <w:t>;</w:t>
      </w:r>
      <w:r>
        <w:rPr>
          <w:rFonts w:ascii="Palatino Linotype" w:hAnsi="Palatino Linotype" w:cs="Arial"/>
          <w:b/>
          <w:color w:val="000000" w:themeColor="text1"/>
          <w:lang w:eastAsia="es-MX"/>
        </w:rPr>
        <w:t xml:space="preserve"> </w:t>
      </w:r>
      <w:r>
        <w:rPr>
          <w:rFonts w:ascii="Palatino Linotype" w:hAnsi="Palatino Linotype" w:cs="Arial"/>
          <w:color w:val="000000" w:themeColor="text1"/>
          <w:lang w:eastAsia="es-MX"/>
        </w:rPr>
        <w:t xml:space="preserve">los cuales no fueron puestos a disposición del </w:t>
      </w:r>
      <w:r>
        <w:rPr>
          <w:rFonts w:ascii="Palatino Linotype" w:hAnsi="Palatino Linotype" w:cs="Arial"/>
          <w:b/>
          <w:color w:val="000000" w:themeColor="text1"/>
          <w:lang w:eastAsia="es-MX"/>
        </w:rPr>
        <w:t>RECURRENTE</w:t>
      </w:r>
      <w:r>
        <w:rPr>
          <w:rFonts w:ascii="Palatino Linotype" w:hAnsi="Palatino Linotype" w:cs="Arial"/>
          <w:color w:val="000000" w:themeColor="text1"/>
          <w:lang w:eastAsia="es-MX"/>
        </w:rPr>
        <w:t>, en razón de que no se actualizó el supuesto de la fracción III del ar</w:t>
      </w:r>
      <w:r>
        <w:rPr>
          <w:rFonts w:ascii="Palatino Linotype" w:hAnsi="Palatino Linotype" w:cs="Arial"/>
          <w:color w:val="000000" w:themeColor="text1"/>
          <w:lang w:eastAsia="es-MX"/>
        </w:rPr>
        <w:t xml:space="preserve">tículo 185 de la Ley de Transparencia y Acceso a la Información Pública del Estado de México y Municipios; </w:t>
      </w:r>
      <w:r>
        <w:rPr>
          <w:rFonts w:ascii="Palatino Linotype" w:hAnsi="Palatino Linotype" w:cs="Arial"/>
          <w:bCs/>
          <w:color w:val="000000" w:themeColor="text1"/>
        </w:rPr>
        <w:lastRenderedPageBreak/>
        <w:t xml:space="preserve">sin embargo, se hará del conocimiento </w:t>
      </w:r>
      <w:r>
        <w:rPr>
          <w:rFonts w:ascii="Palatino Linotype" w:eastAsia="Arial Unicode MS" w:hAnsi="Palatino Linotype" w:cs="Arial"/>
          <w:color w:val="000000" w:themeColor="text1"/>
        </w:rPr>
        <w:t xml:space="preserve">al momento de notificar la presente resolución al </w:t>
      </w:r>
      <w:r>
        <w:rPr>
          <w:rFonts w:ascii="Palatino Linotype" w:eastAsia="Arial Unicode MS" w:hAnsi="Palatino Linotype" w:cs="Arial"/>
          <w:b/>
          <w:color w:val="000000" w:themeColor="text1"/>
        </w:rPr>
        <w:t>RECURRENTE</w:t>
      </w:r>
      <w:r>
        <w:rPr>
          <w:rFonts w:ascii="Palatino Linotype" w:eastAsia="Arial Unicode MS" w:hAnsi="Palatino Linotype" w:cs="Arial"/>
          <w:color w:val="000000" w:themeColor="text1"/>
        </w:rPr>
        <w:t xml:space="preserve">. </w:t>
      </w:r>
    </w:p>
    <w:p w:rsidR="00826465" w:rsidRDefault="00826465">
      <w:pPr>
        <w:spacing w:line="360" w:lineRule="auto"/>
        <w:jc w:val="both"/>
        <w:rPr>
          <w:rFonts w:ascii="Palatino Linotype" w:hAnsi="Palatino Linotype" w:cs="Arial"/>
          <w:color w:val="000000" w:themeColor="text1"/>
          <w:lang w:eastAsia="es-MX"/>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olor w:val="000000" w:themeColor="text1"/>
          <w:lang w:eastAsia="es-MX"/>
        </w:rPr>
        <w:t xml:space="preserve">Por su parte, el particular no realizó </w:t>
      </w:r>
      <w:proofErr w:type="spellStart"/>
      <w:r>
        <w:rPr>
          <w:rFonts w:ascii="Palatino Linotype" w:hAnsi="Palatino Linotype"/>
          <w:color w:val="000000" w:themeColor="text1"/>
          <w:lang w:eastAsia="es-MX"/>
        </w:rPr>
        <w:t>manifies</w:t>
      </w:r>
      <w:r>
        <w:rPr>
          <w:rFonts w:ascii="Palatino Linotype" w:hAnsi="Palatino Linotype"/>
          <w:color w:val="000000" w:themeColor="text1"/>
          <w:lang w:eastAsia="es-MX"/>
        </w:rPr>
        <w:t>tación</w:t>
      </w:r>
      <w:proofErr w:type="spellEnd"/>
      <w:r>
        <w:rPr>
          <w:rFonts w:ascii="Palatino Linotype" w:hAnsi="Palatino Linotype"/>
          <w:color w:val="000000" w:themeColor="text1"/>
          <w:lang w:eastAsia="es-MX"/>
        </w:rPr>
        <w:t xml:space="preserve"> alguna, ni presentó pruebas o alegatos.</w:t>
      </w:r>
      <w:r>
        <w:rPr>
          <w:rFonts w:ascii="Palatino Linotype" w:hAnsi="Palatino Linotype" w:cs="Arial"/>
          <w:color w:val="000000" w:themeColor="text1"/>
        </w:rPr>
        <w:t xml:space="preserve"> </w:t>
      </w:r>
    </w:p>
    <w:p w:rsidR="00826465" w:rsidRDefault="00826465">
      <w:pPr>
        <w:spacing w:line="360" w:lineRule="auto"/>
        <w:jc w:val="both"/>
        <w:rPr>
          <w:rFonts w:ascii="Palatino Linotype" w:hAnsi="Palatino Linotype"/>
          <w:b/>
          <w:color w:val="000000" w:themeColor="text1"/>
          <w:sz w:val="28"/>
          <w:szCs w:val="28"/>
        </w:rPr>
      </w:pPr>
    </w:p>
    <w:p w:rsidR="00826465" w:rsidRDefault="007573A3">
      <w:pPr>
        <w:spacing w:line="360" w:lineRule="auto"/>
        <w:jc w:val="both"/>
        <w:rPr>
          <w:rFonts w:ascii="Palatino Linotype" w:hAnsi="Palatino Linotype"/>
          <w:color w:val="000000" w:themeColor="text1"/>
        </w:rPr>
      </w:pPr>
      <w:r>
        <w:rPr>
          <w:rFonts w:ascii="Palatino Linotype" w:hAnsi="Palatino Linotype"/>
          <w:b/>
          <w:color w:val="000000" w:themeColor="text1"/>
          <w:sz w:val="28"/>
          <w:szCs w:val="28"/>
        </w:rPr>
        <w:t xml:space="preserve">VIII. </w:t>
      </w:r>
      <w:r>
        <w:rPr>
          <w:rFonts w:ascii="Palatino Linotype" w:hAnsi="Palatino Linotype"/>
          <w:color w:val="000000" w:themeColor="text1"/>
        </w:rPr>
        <w:t>En fecha seis de mayo de dos mil veinte, se notificó a las partes el Acuerdo de Cierre de Instrucción en los siguientes términos:</w:t>
      </w:r>
      <w:r>
        <w:rPr>
          <w:rFonts w:ascii="Palatino Linotype" w:hAnsi="Palatino Linotype"/>
          <w:color w:val="000000" w:themeColor="text1"/>
        </w:rPr>
        <w:t xml:space="preserve"> </w:t>
      </w:r>
    </w:p>
    <w:p w:rsidR="00826465" w:rsidRDefault="007573A3">
      <w:pPr>
        <w:spacing w:line="360" w:lineRule="auto"/>
        <w:jc w:val="center"/>
        <w:rPr>
          <w:rFonts w:ascii="Palatino Linotype" w:hAnsi="Palatino Linotype"/>
          <w:color w:val="000000" w:themeColor="text1"/>
        </w:rPr>
      </w:pPr>
      <w:r>
        <w:rPr>
          <w:noProof/>
          <w:lang w:eastAsia="es-MX"/>
        </w:rPr>
        <w:drawing>
          <wp:inline distT="0" distB="0" distL="0" distR="0">
            <wp:extent cx="3710940" cy="3997325"/>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8"/>
                    <a:srcRect b="682"/>
                    <a:stretch>
                      <a:fillRect/>
                    </a:stretch>
                  </pic:blipFill>
                  <pic:spPr bwMode="auto">
                    <a:xfrm>
                      <a:off x="0" y="0"/>
                      <a:ext cx="3710940" cy="3997325"/>
                    </a:xfrm>
                    <a:prstGeom prst="rect">
                      <a:avLst/>
                    </a:prstGeom>
                  </pic:spPr>
                </pic:pic>
              </a:graphicData>
            </a:graphic>
          </wp:inline>
        </w:drawing>
      </w:r>
    </w:p>
    <w:p w:rsidR="00826465" w:rsidRDefault="00826465">
      <w:pPr>
        <w:spacing w:line="360" w:lineRule="auto"/>
        <w:jc w:val="center"/>
        <w:rPr>
          <w:rFonts w:ascii="Palatino Linotype" w:hAnsi="Palatino Linotype"/>
          <w:color w:val="000000" w:themeColor="text1"/>
        </w:rPr>
      </w:pPr>
    </w:p>
    <w:p w:rsidR="00826465" w:rsidRDefault="007573A3">
      <w:pPr>
        <w:spacing w:line="360" w:lineRule="auto"/>
        <w:ind w:right="50"/>
        <w:jc w:val="both"/>
        <w:rPr>
          <w:rFonts w:ascii="Palatino Linotype" w:hAnsi="Palatino Linotype" w:cs="Arial"/>
          <w:color w:val="000000" w:themeColor="text1"/>
          <w:lang w:val="es-ES"/>
        </w:rPr>
      </w:pPr>
      <w:r>
        <w:rPr>
          <w:rFonts w:ascii="Palatino Linotype" w:hAnsi="Palatino Linotype" w:cs="Arial"/>
          <w:b/>
          <w:color w:val="000000" w:themeColor="text1"/>
          <w:sz w:val="28"/>
        </w:rPr>
        <w:lastRenderedPageBreak/>
        <w:t>IX.</w:t>
      </w:r>
      <w:r>
        <w:rPr>
          <w:rFonts w:ascii="Palatino Linotype" w:hAnsi="Palatino Linotype" w:cs="Arial"/>
          <w:b/>
          <w:color w:val="000000" w:themeColor="text1"/>
        </w:rPr>
        <w:t xml:space="preserve"> </w:t>
      </w:r>
      <w:r>
        <w:rPr>
          <w:rFonts w:ascii="Palatino Linotype" w:hAnsi="Palatino Linotype" w:cs="Arial"/>
          <w:color w:val="000000" w:themeColor="text1"/>
          <w:lang w:val="es-ES"/>
        </w:rPr>
        <w:t xml:space="preserve">Con fundamento en el artículo 185, fracción VIII de la Ley de Transparencia y Acceso a la Información Pública del Estado de México y Municipios, se remitió el expediente a efecto de que la Comisionada </w:t>
      </w:r>
      <w:r>
        <w:rPr>
          <w:rFonts w:ascii="Palatino Linotype" w:hAnsi="Palatino Linotype" w:cs="Arial"/>
          <w:b/>
          <w:color w:val="000000" w:themeColor="text1"/>
          <w:lang w:val="es-ES"/>
        </w:rPr>
        <w:t>EVA ABAID YAPUR</w:t>
      </w:r>
      <w:r>
        <w:rPr>
          <w:rFonts w:ascii="Palatino Linotype" w:hAnsi="Palatino Linotype" w:cs="Arial"/>
          <w:color w:val="000000" w:themeColor="text1"/>
          <w:lang w:val="es-ES"/>
        </w:rPr>
        <w:t xml:space="preserve"> formule y presente al Pleno el proyecto</w:t>
      </w:r>
      <w:r>
        <w:rPr>
          <w:rFonts w:ascii="Palatino Linotype" w:hAnsi="Palatino Linotype" w:cs="Arial"/>
          <w:color w:val="000000" w:themeColor="text1"/>
          <w:lang w:val="es-ES"/>
        </w:rPr>
        <w:t xml:space="preserve"> de resolución correspondiente; y</w:t>
      </w:r>
    </w:p>
    <w:p w:rsidR="00826465" w:rsidRDefault="00826465">
      <w:pPr>
        <w:ind w:right="50"/>
        <w:jc w:val="both"/>
        <w:rPr>
          <w:rFonts w:ascii="Palatino Linotype" w:hAnsi="Palatino Linotype" w:cs="Arial"/>
          <w:color w:val="000000" w:themeColor="text1"/>
        </w:rPr>
      </w:pPr>
    </w:p>
    <w:p w:rsidR="00826465" w:rsidRDefault="007573A3">
      <w:pPr>
        <w:jc w:val="center"/>
        <w:rPr>
          <w:rFonts w:ascii="Palatino Linotype" w:hAnsi="Palatino Linotype" w:cs="Arial"/>
          <w:b/>
          <w:bCs/>
          <w:color w:val="000000" w:themeColor="text1"/>
          <w:spacing w:val="60"/>
          <w:sz w:val="28"/>
        </w:rPr>
      </w:pPr>
      <w:r>
        <w:rPr>
          <w:rFonts w:ascii="Palatino Linotype" w:hAnsi="Palatino Linotype" w:cs="Arial"/>
          <w:b/>
          <w:bCs/>
          <w:color w:val="000000" w:themeColor="text1"/>
          <w:spacing w:val="60"/>
          <w:sz w:val="28"/>
        </w:rPr>
        <w:t>CONSIDERANDO</w:t>
      </w:r>
    </w:p>
    <w:p w:rsidR="00826465" w:rsidRDefault="00826465">
      <w:pPr>
        <w:ind w:right="50"/>
        <w:jc w:val="both"/>
        <w:rPr>
          <w:rFonts w:ascii="Palatino Linotype" w:hAnsi="Palatino Linotype"/>
          <w:b/>
          <w:color w:val="000000" w:themeColor="text1"/>
          <w:szCs w:val="28"/>
        </w:rPr>
      </w:pPr>
    </w:p>
    <w:p w:rsidR="00826465" w:rsidRDefault="007573A3">
      <w:pPr>
        <w:spacing w:line="360" w:lineRule="auto"/>
        <w:ind w:right="50"/>
        <w:jc w:val="both"/>
        <w:rPr>
          <w:rFonts w:ascii="Palatino Linotype" w:hAnsi="Palatino Linotype" w:cs="Arial"/>
          <w:b/>
          <w:color w:val="000000" w:themeColor="text1"/>
        </w:rPr>
      </w:pPr>
      <w:r>
        <w:rPr>
          <w:rFonts w:ascii="Palatino Linotype" w:hAnsi="Palatino Linotype"/>
          <w:b/>
          <w:color w:val="000000" w:themeColor="text1"/>
          <w:sz w:val="28"/>
          <w:szCs w:val="28"/>
        </w:rPr>
        <w:t>PRIMERO</w:t>
      </w:r>
      <w:r>
        <w:rPr>
          <w:rFonts w:ascii="Palatino Linotype" w:hAnsi="Palatino Linotype"/>
          <w:b/>
          <w:color w:val="000000" w:themeColor="text1"/>
        </w:rPr>
        <w:t>.</w:t>
      </w:r>
      <w:r>
        <w:rPr>
          <w:rFonts w:ascii="Palatino Linotype" w:hAnsi="Palatino Linotype"/>
          <w:color w:val="000000" w:themeColor="text1"/>
        </w:rPr>
        <w:t xml:space="preserve"> </w:t>
      </w:r>
      <w:r>
        <w:rPr>
          <w:rFonts w:ascii="Palatino Linotype" w:hAnsi="Palatino Linotype"/>
          <w:b/>
          <w:color w:val="000000" w:themeColor="text1"/>
        </w:rPr>
        <w:t>Competencia</w:t>
      </w:r>
      <w:r>
        <w:rPr>
          <w:rFonts w:ascii="Palatino Linotype" w:hAnsi="Palatino Linotype"/>
          <w:color w:val="000000" w:themeColor="text1"/>
        </w:rPr>
        <w:t>.</w:t>
      </w:r>
      <w:r>
        <w:rPr>
          <w:rFonts w:ascii="Palatino Linotype" w:hAnsi="Palatino Linotype"/>
          <w:b/>
          <w:color w:val="000000" w:themeColor="text1"/>
        </w:rPr>
        <w:t xml:space="preserve"> </w:t>
      </w:r>
      <w:r>
        <w:rPr>
          <w:rFonts w:ascii="Palatino Linotype" w:hAnsi="Palatino Linotype"/>
          <w:color w:val="000000" w:themeColor="text1"/>
        </w:rPr>
        <w:t xml:space="preserve">Este Instituto de </w:t>
      </w:r>
      <w:r>
        <w:rPr>
          <w:rFonts w:ascii="Palatino Linotype" w:hAnsi="Palatino Linotype" w:cs="Arial"/>
          <w:color w:val="000000" w:themeColor="text1"/>
        </w:rPr>
        <w:t>Transparencia</w:t>
      </w:r>
      <w:r>
        <w:rPr>
          <w:rFonts w:ascii="Palatino Linotype" w:hAnsi="Palatino Linotype"/>
          <w:color w:val="000000" w:themeColor="text1"/>
        </w:rPr>
        <w:t xml:space="preserve">, Acceso a la Información Pública y Protección de Datos Personales del Estado de México y Municipios, es competente para conocer y resolver el presente </w:t>
      </w:r>
      <w:r>
        <w:rPr>
          <w:rFonts w:ascii="Palatino Linotype" w:hAnsi="Palatino Linotype"/>
          <w:color w:val="000000" w:themeColor="text1"/>
        </w:rPr>
        <w:t>recurso, conforme a lo dispuesto en los artículos 6, Letra A de la Constitución Política de los Estados Unidos Mexicanos; 5, párrafos vigésimo segundo, vigésimo tercero y vigésimo cuarto, fracciones IV y V de la Constitución Política del Estado Libre y Sob</w:t>
      </w:r>
      <w:r>
        <w:rPr>
          <w:rFonts w:ascii="Palatino Linotype" w:hAnsi="Palatino Linotype"/>
          <w:color w:val="000000" w:themeColor="text1"/>
        </w:rPr>
        <w:t>erano de México; 1, 2, fracción II, 13, 29, 36, fracciones I y II, 176, 178, 179, 181, párrafo tercero y 185 de la Ley de Transparencia y Acceso a la Información Pública del Estado de México y Municipios</w:t>
      </w:r>
      <w:r>
        <w:rPr>
          <w:rFonts w:ascii="Palatino Linotype" w:hAnsi="Palatino Linotype" w:cs="Arial"/>
          <w:color w:val="000000" w:themeColor="text1"/>
        </w:rPr>
        <w:t>; y 9, fracciones I y XXIV y 11 del Reglamento Interi</w:t>
      </w:r>
      <w:r>
        <w:rPr>
          <w:rFonts w:ascii="Palatino Linotype" w:hAnsi="Palatino Linotype" w:cs="Arial"/>
          <w:color w:val="000000" w:themeColor="text1"/>
        </w:rPr>
        <w:t>or del Instituto de Transparencia, Acceso a la Información Pública y Protección de Datos Personales del Estado de México y Municipios; toda vez, que se trata de un recurso de revisión interpuesto por un Ciudadano en términos de la Ley de la materia.</w:t>
      </w:r>
    </w:p>
    <w:p w:rsidR="00826465" w:rsidRDefault="00826465">
      <w:pPr>
        <w:spacing w:line="360" w:lineRule="auto"/>
        <w:jc w:val="both"/>
        <w:rPr>
          <w:rFonts w:ascii="Palatino Linotype" w:hAnsi="Palatino Linotype" w:cs="Arial"/>
          <w:b/>
          <w:color w:val="000000" w:themeColor="text1"/>
        </w:rPr>
      </w:pPr>
    </w:p>
    <w:p w:rsidR="00826465" w:rsidRDefault="007573A3">
      <w:pPr>
        <w:spacing w:line="360" w:lineRule="auto"/>
        <w:jc w:val="both"/>
        <w:rPr>
          <w:rFonts w:ascii="Palatino Linotype" w:hAnsi="Palatino Linotype" w:cs="Arial"/>
          <w:b/>
          <w:color w:val="000000" w:themeColor="text1"/>
        </w:rPr>
      </w:pPr>
      <w:r>
        <w:rPr>
          <w:rFonts w:ascii="Palatino Linotype" w:hAnsi="Palatino Linotype" w:cs="Arial"/>
          <w:b/>
          <w:color w:val="000000" w:themeColor="text1"/>
          <w:sz w:val="28"/>
        </w:rPr>
        <w:t>SEGUN</w:t>
      </w:r>
      <w:r>
        <w:rPr>
          <w:rFonts w:ascii="Palatino Linotype" w:hAnsi="Palatino Linotype" w:cs="Arial"/>
          <w:b/>
          <w:color w:val="000000" w:themeColor="text1"/>
          <w:sz w:val="28"/>
        </w:rPr>
        <w:t>DO</w:t>
      </w:r>
      <w:r>
        <w:rPr>
          <w:rFonts w:ascii="Palatino Linotype" w:hAnsi="Palatino Linotype" w:cs="Arial"/>
          <w:b/>
          <w:color w:val="000000" w:themeColor="text1"/>
        </w:rPr>
        <w:t xml:space="preserve">. </w:t>
      </w:r>
      <w:r>
        <w:rPr>
          <w:rFonts w:ascii="Palatino Linotype" w:hAnsi="Palatino Linotype" w:cs="Arial"/>
          <w:b/>
          <w:color w:val="000000" w:themeColor="text1"/>
        </w:rPr>
        <w:t xml:space="preserve">Interés. </w:t>
      </w:r>
      <w:r>
        <w:rPr>
          <w:rFonts w:ascii="Palatino Linotype" w:hAnsi="Palatino Linotype" w:cs="Arial"/>
          <w:bCs/>
          <w:color w:val="000000" w:themeColor="text1"/>
        </w:rPr>
        <w:t xml:space="preserve">El recurso de revisión fue interpuesto por parte legítima, en atención a que se presentó por </w:t>
      </w:r>
      <w:r>
        <w:rPr>
          <w:rFonts w:ascii="Palatino Linotype" w:hAnsi="Palatino Linotype" w:cs="Arial"/>
          <w:b/>
          <w:bCs/>
          <w:color w:val="000000" w:themeColor="text1"/>
        </w:rPr>
        <w:t>EL RECURRENTE,</w:t>
      </w:r>
      <w:r>
        <w:rPr>
          <w:rFonts w:ascii="Palatino Linotype" w:hAnsi="Palatino Linotype" w:cs="Arial"/>
          <w:bCs/>
          <w:color w:val="000000" w:themeColor="text1"/>
        </w:rPr>
        <w:t xml:space="preserve"> quien es la misma persona que formuló la solicitud de acceso a la información pública al </w:t>
      </w:r>
      <w:r>
        <w:rPr>
          <w:rFonts w:ascii="Palatino Linotype" w:hAnsi="Palatino Linotype" w:cs="Arial"/>
          <w:b/>
          <w:bCs/>
          <w:color w:val="000000" w:themeColor="text1"/>
        </w:rPr>
        <w:t>SUJETO OBLIGADO.</w:t>
      </w:r>
    </w:p>
    <w:p w:rsidR="00826465" w:rsidRDefault="00826465">
      <w:pPr>
        <w:spacing w:line="360" w:lineRule="auto"/>
        <w:jc w:val="both"/>
        <w:rPr>
          <w:rFonts w:ascii="Palatino Linotype" w:hAnsi="Palatino Linotype" w:cs="Arial"/>
          <w:b/>
          <w:color w:val="000000" w:themeColor="text1"/>
          <w:szCs w:val="28"/>
        </w:rPr>
      </w:pPr>
    </w:p>
    <w:p w:rsidR="00826465" w:rsidRDefault="007573A3">
      <w:pPr>
        <w:spacing w:line="360" w:lineRule="auto"/>
        <w:ind w:right="49"/>
        <w:jc w:val="both"/>
        <w:rPr>
          <w:rFonts w:ascii="Palatino Linotype" w:hAnsi="Palatino Linotype" w:cs="Arial"/>
          <w:color w:val="000000" w:themeColor="text1"/>
        </w:rPr>
      </w:pPr>
      <w:r>
        <w:rPr>
          <w:rFonts w:ascii="Palatino Linotype" w:hAnsi="Palatino Linotype" w:cs="Arial"/>
          <w:b/>
          <w:color w:val="000000" w:themeColor="text1"/>
          <w:sz w:val="28"/>
          <w:szCs w:val="28"/>
        </w:rPr>
        <w:lastRenderedPageBreak/>
        <w:t xml:space="preserve">TERCERO. </w:t>
      </w:r>
      <w:r>
        <w:rPr>
          <w:rFonts w:ascii="Palatino Linotype" w:hAnsi="Palatino Linotype" w:cs="Arial"/>
          <w:b/>
          <w:color w:val="000000" w:themeColor="text1"/>
        </w:rPr>
        <w:t xml:space="preserve">Oportunidad. </w:t>
      </w:r>
      <w:r>
        <w:rPr>
          <w:rFonts w:ascii="Palatino Linotype" w:hAnsi="Palatino Linotype" w:cs="Arial"/>
          <w:color w:val="000000" w:themeColor="text1"/>
        </w:rPr>
        <w:t xml:space="preserve">El recurso de revisión fue interpuesto dentro del plazo de quince días hábiles contados a partir del día siguiente al en que </w:t>
      </w:r>
      <w:r>
        <w:rPr>
          <w:rFonts w:ascii="Palatino Linotype" w:hAnsi="Palatino Linotype" w:cs="Arial"/>
          <w:b/>
          <w:color w:val="000000" w:themeColor="text1"/>
        </w:rPr>
        <w:t xml:space="preserve">LA RECURRENTE </w:t>
      </w:r>
      <w:r>
        <w:rPr>
          <w:rFonts w:ascii="Palatino Linotype" w:hAnsi="Palatino Linotype" w:cs="Arial"/>
          <w:color w:val="000000" w:themeColor="text1"/>
        </w:rPr>
        <w:t xml:space="preserve">tuvo conocimiento de la respuesta impugnada, tal y como lo prevé el artículo 178 de la Ley de Transparencia y Acceso </w:t>
      </w:r>
      <w:r>
        <w:rPr>
          <w:rFonts w:ascii="Palatino Linotype" w:hAnsi="Palatino Linotype" w:cs="Arial"/>
          <w:color w:val="000000" w:themeColor="text1"/>
        </w:rPr>
        <w:t xml:space="preserve">a la Información Pública del Estado de México y Municipios, que establece: </w:t>
      </w:r>
    </w:p>
    <w:p w:rsidR="00826465" w:rsidRDefault="00826465">
      <w:pPr>
        <w:ind w:left="851" w:right="902"/>
        <w:jc w:val="both"/>
        <w:rPr>
          <w:rFonts w:ascii="Palatino Linotype" w:hAnsi="Palatino Linotype" w:cs="Arial"/>
          <w:color w:val="000000" w:themeColor="text1"/>
        </w:rPr>
      </w:pP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b/>
          <w:i/>
          <w:color w:val="000000" w:themeColor="text1"/>
          <w:sz w:val="22"/>
          <w:szCs w:val="22"/>
        </w:rPr>
        <w:t>“Artículo 178.</w:t>
      </w:r>
      <w:r>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w:t>
      </w:r>
      <w:r>
        <w:rPr>
          <w:rFonts w:ascii="Palatino Linotype" w:hAnsi="Palatino Linotype" w:cs="Arial"/>
          <w:i/>
          <w:color w:val="000000" w:themeColor="text1"/>
          <w:sz w:val="22"/>
          <w:szCs w:val="22"/>
        </w:rPr>
        <w:t>hábiles, siguientes a la fecha de la notificación de la respuesta.</w:t>
      </w: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w:t>
      </w:r>
      <w:r>
        <w:rPr>
          <w:rFonts w:ascii="Palatino Linotype" w:hAnsi="Palatino Linotype" w:cs="Arial"/>
          <w:i/>
          <w:color w:val="000000" w:themeColor="text1"/>
          <w:sz w:val="22"/>
          <w:szCs w:val="22"/>
        </w:rPr>
        <w:t>mento, acompañado con el documento que pruebe la fecha en que presentó la solicitud.</w:t>
      </w:r>
    </w:p>
    <w:p w:rsidR="00826465" w:rsidRDefault="007573A3">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Pr>
          <w:rFonts w:ascii="Palatino Linotype" w:hAnsi="Palatino Linotype" w:cs="Arial"/>
          <w:b/>
          <w:i/>
          <w:color w:val="000000" w:themeColor="text1"/>
          <w:sz w:val="22"/>
          <w:szCs w:val="22"/>
        </w:rPr>
        <w:t>”</w:t>
      </w:r>
    </w:p>
    <w:p w:rsidR="00826465" w:rsidRDefault="00826465">
      <w:pPr>
        <w:ind w:left="851" w:right="902"/>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En efecto, atendiendo a que </w:t>
      </w:r>
      <w:r>
        <w:rPr>
          <w:rFonts w:ascii="Palatino Linotype" w:hAnsi="Palatino Linotype" w:cs="Arial"/>
          <w:b/>
          <w:color w:val="000000" w:themeColor="text1"/>
        </w:rPr>
        <w:t>EL SUJETO OBLIGADO</w:t>
      </w:r>
      <w:r>
        <w:rPr>
          <w:rFonts w:ascii="Palatino Linotype" w:hAnsi="Palatino Linotype" w:cs="Arial"/>
          <w:color w:val="000000" w:themeColor="text1"/>
        </w:rPr>
        <w:t xml:space="preserve"> notificó la respuesta a la solicitud de información pública el </w:t>
      </w:r>
      <w:r>
        <w:rPr>
          <w:rFonts w:ascii="Palatino Linotype" w:hAnsi="Palatino Linotype" w:cs="Arial"/>
          <w:b/>
          <w:color w:val="000000" w:themeColor="text1"/>
        </w:rPr>
        <w:t xml:space="preserve">catorce de febrero de dos mil veinte; </w:t>
      </w:r>
      <w:r>
        <w:rPr>
          <w:rFonts w:ascii="Palatino Linotype" w:hAnsi="Palatino Linotype" w:cs="Arial"/>
          <w:color w:val="000000" w:themeColor="text1"/>
        </w:rPr>
        <w:t>en consecuencia, el plazo de quince días hábiles que el artículo 178 de la ley de la materia otorga al</w:t>
      </w:r>
      <w:r>
        <w:rPr>
          <w:rFonts w:ascii="Palatino Linotype" w:hAnsi="Palatino Linotype" w:cs="Arial"/>
          <w:b/>
          <w:color w:val="000000" w:themeColor="text1"/>
        </w:rPr>
        <w:t xml:space="preserve"> RECURRENTE</w:t>
      </w:r>
      <w:r>
        <w:rPr>
          <w:rFonts w:ascii="Palatino Linotype" w:hAnsi="Palatino Linotype" w:cs="Arial"/>
          <w:color w:val="000000" w:themeColor="text1"/>
        </w:rPr>
        <w:t xml:space="preserve"> para presentar el recurso de revisión, transcurrió del</w:t>
      </w:r>
      <w:r>
        <w:rPr>
          <w:rFonts w:ascii="Palatino Linotype" w:hAnsi="Palatino Linotype" w:cs="Arial"/>
          <w:b/>
          <w:color w:val="000000" w:themeColor="text1"/>
        </w:rPr>
        <w:t xml:space="preserve"> diecisiete de febrero al  diez de marzo de dos mil veinte</w:t>
      </w:r>
      <w:r>
        <w:rPr>
          <w:rFonts w:ascii="Palatino Linotype" w:hAnsi="Palatino Linotype" w:cs="Arial"/>
          <w:color w:val="000000" w:themeColor="text1"/>
        </w:rPr>
        <w:t>, sin contemplar en el cómputo los días quince, dieciséis, veintidós, veintitrés y veintinueve de febrero; así como, uno, siete y oc</w:t>
      </w:r>
      <w:r>
        <w:rPr>
          <w:rFonts w:ascii="Palatino Linotype" w:hAnsi="Palatino Linotype" w:cs="Arial"/>
          <w:color w:val="000000" w:themeColor="text1"/>
        </w:rPr>
        <w:t xml:space="preserve">ho de marzo de dos mil veinte, por corresponder a sábados y domingos, considerados como días inhábiles; en términos del artículo 3, fracción X de la </w:t>
      </w:r>
      <w:r>
        <w:rPr>
          <w:rFonts w:ascii="Palatino Linotype" w:hAnsi="Palatino Linotype"/>
          <w:color w:val="000000" w:themeColor="text1"/>
        </w:rPr>
        <w:t xml:space="preserve">Ley de Transparencia y Acceso a la Información Pública del Estado de México y Municipios; </w:t>
      </w:r>
      <w:r>
        <w:rPr>
          <w:rFonts w:ascii="Palatino Linotype" w:hAnsi="Palatino Linotype"/>
          <w:color w:val="000000" w:themeColor="text1"/>
        </w:rPr>
        <w:t xml:space="preserve">así como, el día </w:t>
      </w:r>
      <w:r>
        <w:rPr>
          <w:rFonts w:ascii="Palatino Linotype" w:hAnsi="Palatino Linotype"/>
          <w:color w:val="000000" w:themeColor="text1"/>
        </w:rPr>
        <w:t xml:space="preserve">dos de marzo de dos mil veinte, por ser considerados como día inhábil por suspensión de labores, en términos del </w:t>
      </w:r>
      <w:r>
        <w:rPr>
          <w:rFonts w:ascii="Palatino Linotype" w:hAnsi="Palatino Linotype" w:cs="Arial"/>
          <w:color w:val="000000" w:themeColor="text1"/>
        </w:rPr>
        <w:t xml:space="preserve">Calendario Oficial en Materia de </w:t>
      </w:r>
      <w:r>
        <w:rPr>
          <w:rFonts w:ascii="Palatino Linotype" w:hAnsi="Palatino Linotype" w:cs="Arial"/>
          <w:color w:val="000000" w:themeColor="text1"/>
        </w:rPr>
        <w:lastRenderedPageBreak/>
        <w:t>Transparencia, Acceso a la Información Pública y Protección de Datos Personales del Estado de México y Municip</w:t>
      </w:r>
      <w:r>
        <w:rPr>
          <w:rFonts w:ascii="Palatino Linotype" w:hAnsi="Palatino Linotype" w:cs="Arial"/>
          <w:color w:val="000000" w:themeColor="text1"/>
        </w:rPr>
        <w:t>ios; publicado en el Periódico Oficial “Gaceta del Gobierno”, el diecinueve de diciembre de dos mil diecinueve; asimismo, el día nueve de marzo de dos mil veinte, conforme al acuerdo INFOEM/ORD/08/V/2020, aprobado en la Octava Sesión Ordinaria de fecha cin</w:t>
      </w:r>
      <w:r>
        <w:rPr>
          <w:rFonts w:ascii="Palatino Linotype" w:hAnsi="Palatino Linotype" w:cs="Arial"/>
          <w:color w:val="000000" w:themeColor="text1"/>
        </w:rPr>
        <w:t xml:space="preserve">co de marzo de dos mil veinte, por medio del cual el Pleno de este Instituto estableció que no correrían términos para el trámite y desahogo de los procedimientos en materia de acceso a la información y protección de datos personales. </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En ese tenor, si el</w:t>
      </w:r>
      <w:r>
        <w:rPr>
          <w:rFonts w:ascii="Palatino Linotype" w:hAnsi="Palatino Linotype" w:cs="Arial"/>
          <w:color w:val="000000" w:themeColor="text1"/>
        </w:rPr>
        <w:t xml:space="preserve"> recurso de revisión que nos ocupa, se interpuso el</w:t>
      </w:r>
      <w:r>
        <w:rPr>
          <w:rFonts w:ascii="Palatino Linotype" w:hAnsi="Palatino Linotype" w:cs="Arial"/>
          <w:b/>
          <w:color w:val="000000" w:themeColor="text1"/>
        </w:rPr>
        <w:t xml:space="preserve"> veinte de febrero de dos mil veinte,</w:t>
      </w:r>
      <w:r>
        <w:rPr>
          <w:rFonts w:ascii="Palatino Linotype" w:hAnsi="Palatino Linotype" w:cs="Arial"/>
          <w:color w:val="000000" w:themeColor="text1"/>
        </w:rPr>
        <w:t xml:space="preserve"> éste se encuentra dentro de los márgenes temporales previstos en el citado precepto legal y, por tanto, se considera oportuno.</w:t>
      </w:r>
    </w:p>
    <w:p w:rsidR="00826465" w:rsidRDefault="00826465">
      <w:pPr>
        <w:spacing w:line="360" w:lineRule="auto"/>
        <w:jc w:val="both"/>
        <w:rPr>
          <w:rFonts w:ascii="Palatino Linotype" w:hAnsi="Palatino Linotype" w:cs="Arial"/>
          <w:color w:val="000000" w:themeColor="text1"/>
          <w:lang w:val="es-ES"/>
        </w:rPr>
      </w:pPr>
    </w:p>
    <w:p w:rsidR="00826465" w:rsidRDefault="007573A3">
      <w:pPr>
        <w:spacing w:line="360" w:lineRule="auto"/>
        <w:ind w:right="49"/>
        <w:jc w:val="both"/>
        <w:rPr>
          <w:rFonts w:ascii="Palatino Linotype" w:hAnsi="Palatino Linotype" w:cs="Arial"/>
          <w:color w:val="000000" w:themeColor="text1"/>
          <w:lang w:val="es-ES"/>
        </w:rPr>
      </w:pPr>
      <w:r>
        <w:rPr>
          <w:rFonts w:ascii="Palatino Linotype" w:hAnsi="Palatino Linotype"/>
          <w:b/>
          <w:color w:val="000000" w:themeColor="text1"/>
          <w:sz w:val="28"/>
        </w:rPr>
        <w:t xml:space="preserve">CUARTO. </w:t>
      </w:r>
      <w:r>
        <w:rPr>
          <w:rFonts w:ascii="Palatino Linotype" w:hAnsi="Palatino Linotype"/>
          <w:b/>
          <w:color w:val="000000" w:themeColor="text1"/>
        </w:rPr>
        <w:t xml:space="preserve">Procedibilidad. </w:t>
      </w:r>
      <w:r>
        <w:rPr>
          <w:rFonts w:ascii="Palatino Linotype" w:hAnsi="Palatino Linotype" w:cs="Arial"/>
          <w:color w:val="000000" w:themeColor="text1"/>
          <w:lang w:val="es-ES"/>
        </w:rPr>
        <w:t>Esta Ponencia c</w:t>
      </w:r>
      <w:r>
        <w:rPr>
          <w:rFonts w:ascii="Palatino Linotype" w:hAnsi="Palatino Linotype" w:cs="Arial"/>
          <w:color w:val="000000" w:themeColor="text1"/>
          <w:lang w:val="es-ES"/>
        </w:rPr>
        <w:t xml:space="preserve">onsidera importante abordar el análisis de los requisitos de </w:t>
      </w:r>
      <w:proofErr w:type="spellStart"/>
      <w:r>
        <w:rPr>
          <w:rFonts w:ascii="Palatino Linotype" w:hAnsi="Palatino Linotype" w:cs="Arial"/>
          <w:color w:val="000000" w:themeColor="text1"/>
          <w:lang w:val="es-ES"/>
        </w:rPr>
        <w:t>procedibilidad</w:t>
      </w:r>
      <w:proofErr w:type="spellEnd"/>
      <w:r>
        <w:rPr>
          <w:rFonts w:ascii="Palatino Linotype" w:hAnsi="Palatino Linotype" w:cs="Arial"/>
          <w:color w:val="000000" w:themeColor="text1"/>
          <w:lang w:val="es-ES"/>
        </w:rPr>
        <w:t xml:space="preserve"> del recurso de revisión, así el artículo 180 de la </w:t>
      </w:r>
      <w:r>
        <w:rPr>
          <w:rFonts w:ascii="Palatino Linotype" w:hAnsi="Palatino Linotype" w:cs="Arial"/>
          <w:color w:val="000000" w:themeColor="text1"/>
          <w:lang w:val="es-ES" w:eastAsia="es-MX"/>
        </w:rPr>
        <w:t xml:space="preserve">Ley de Transparencia y Acceso a la </w:t>
      </w:r>
      <w:r>
        <w:rPr>
          <w:rFonts w:ascii="Palatino Linotype" w:hAnsi="Palatino Linotype" w:cs="Arial"/>
          <w:color w:val="000000" w:themeColor="text1"/>
          <w:lang w:val="es-ES"/>
        </w:rPr>
        <w:t>Información</w:t>
      </w:r>
      <w:r>
        <w:rPr>
          <w:rFonts w:ascii="Palatino Linotype" w:hAnsi="Palatino Linotype" w:cs="Arial"/>
          <w:color w:val="000000" w:themeColor="text1"/>
          <w:lang w:val="es-ES" w:eastAsia="es-MX"/>
        </w:rPr>
        <w:t xml:space="preserve"> Pública del Estado de México y Municipios, que </w:t>
      </w:r>
      <w:r>
        <w:rPr>
          <w:rFonts w:ascii="Palatino Linotype" w:hAnsi="Palatino Linotype" w:cs="Arial"/>
          <w:color w:val="000000" w:themeColor="text1"/>
          <w:lang w:val="es-ES"/>
        </w:rPr>
        <w:t>establece lo siguiente:</w:t>
      </w:r>
    </w:p>
    <w:p w:rsidR="00826465" w:rsidRDefault="00826465">
      <w:pPr>
        <w:ind w:right="49"/>
        <w:jc w:val="both"/>
        <w:rPr>
          <w:rFonts w:ascii="Palatino Linotype" w:hAnsi="Palatino Linotype" w:cs="Arial"/>
          <w:color w:val="000000" w:themeColor="text1"/>
          <w:lang w:val="es-ES"/>
        </w:rPr>
      </w:pP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w:t>
      </w:r>
      <w:r>
        <w:rPr>
          <w:rFonts w:ascii="Palatino Linotype" w:hAnsi="Palatino Linotype"/>
          <w:b/>
          <w:i/>
          <w:color w:val="000000" w:themeColor="text1"/>
          <w:sz w:val="22"/>
          <w:szCs w:val="22"/>
          <w:lang w:val="es-ES"/>
        </w:rPr>
        <w:t xml:space="preserve">Artículo 180. </w:t>
      </w:r>
      <w:r>
        <w:rPr>
          <w:rFonts w:ascii="Palatino Linotype" w:hAnsi="Palatino Linotype"/>
          <w:i/>
          <w:color w:val="000000" w:themeColor="text1"/>
          <w:sz w:val="22"/>
          <w:szCs w:val="22"/>
          <w:lang w:val="es-ES"/>
        </w:rPr>
        <w:t xml:space="preserve">El </w:t>
      </w:r>
      <w:r>
        <w:rPr>
          <w:rFonts w:ascii="Palatino Linotype" w:hAnsi="Palatino Linotype" w:cs="Arial"/>
          <w:i/>
          <w:color w:val="000000" w:themeColor="text1"/>
          <w:sz w:val="22"/>
          <w:szCs w:val="22"/>
          <w:lang w:val="es-ES"/>
        </w:rPr>
        <w:t>recurso</w:t>
      </w:r>
      <w:r>
        <w:rPr>
          <w:rFonts w:ascii="Palatino Linotype" w:hAnsi="Palatino Linotype"/>
          <w:i/>
          <w:color w:val="000000" w:themeColor="text1"/>
          <w:sz w:val="22"/>
          <w:szCs w:val="22"/>
          <w:lang w:val="es-ES"/>
        </w:rPr>
        <w:t xml:space="preserve"> </w:t>
      </w:r>
      <w:r>
        <w:rPr>
          <w:rFonts w:ascii="Palatino Linotype" w:hAnsi="Palatino Linotype" w:cs="Arial"/>
          <w:i/>
          <w:color w:val="000000" w:themeColor="text1"/>
          <w:sz w:val="22"/>
          <w:szCs w:val="22"/>
          <w:lang w:val="es-ES" w:eastAsia="es-MX"/>
        </w:rPr>
        <w:t>de</w:t>
      </w:r>
      <w:r>
        <w:rPr>
          <w:rFonts w:ascii="Palatino Linotype" w:hAnsi="Palatino Linotype"/>
          <w:i/>
          <w:color w:val="000000" w:themeColor="text1"/>
          <w:sz w:val="22"/>
          <w:szCs w:val="22"/>
          <w:lang w:val="es-ES"/>
        </w:rPr>
        <w:t xml:space="preserve"> revisión contendrá:</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 </w:t>
      </w:r>
      <w:r>
        <w:rPr>
          <w:rFonts w:ascii="Palatino Linotype" w:hAnsi="Palatino Linotype"/>
          <w:i/>
          <w:color w:val="000000" w:themeColor="text1"/>
          <w:sz w:val="22"/>
          <w:szCs w:val="22"/>
          <w:lang w:val="es-ES"/>
        </w:rPr>
        <w:t xml:space="preserve">El sujeto obligado ante </w:t>
      </w:r>
      <w:r>
        <w:rPr>
          <w:rFonts w:ascii="Palatino Linotype" w:hAnsi="Palatino Linotype" w:cs="Arial"/>
          <w:i/>
          <w:color w:val="000000" w:themeColor="text1"/>
          <w:sz w:val="22"/>
          <w:szCs w:val="22"/>
          <w:lang w:val="es-ES"/>
        </w:rPr>
        <w:t>la</w:t>
      </w:r>
      <w:r>
        <w:rPr>
          <w:rFonts w:ascii="Palatino Linotype" w:hAnsi="Palatino Linotype"/>
          <w:i/>
          <w:color w:val="000000" w:themeColor="text1"/>
          <w:sz w:val="22"/>
          <w:szCs w:val="22"/>
          <w:lang w:val="es-ES"/>
        </w:rPr>
        <w:t xml:space="preserve"> cual </w:t>
      </w:r>
      <w:r>
        <w:rPr>
          <w:rFonts w:ascii="Palatino Linotype" w:hAnsi="Palatino Linotype" w:cs="Arial"/>
          <w:i/>
          <w:color w:val="000000" w:themeColor="text1"/>
          <w:sz w:val="22"/>
          <w:szCs w:val="22"/>
          <w:lang w:val="es-ES" w:eastAsia="es-MX"/>
        </w:rPr>
        <w:t>se</w:t>
      </w:r>
      <w:r>
        <w:rPr>
          <w:rFonts w:ascii="Palatino Linotype" w:hAnsi="Palatino Linotype"/>
          <w:i/>
          <w:color w:val="000000" w:themeColor="text1"/>
          <w:sz w:val="22"/>
          <w:szCs w:val="22"/>
          <w:lang w:val="es-ES"/>
        </w:rPr>
        <w:t xml:space="preserve"> presentó la solicitud;</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II. </w:t>
      </w:r>
      <w:r>
        <w:rPr>
          <w:rFonts w:ascii="Palatino Linotype" w:hAnsi="Palatino Linotype"/>
          <w:b/>
          <w:i/>
          <w:color w:val="000000" w:themeColor="text1"/>
          <w:sz w:val="22"/>
          <w:szCs w:val="22"/>
          <w:u w:val="single"/>
          <w:lang w:val="es-ES"/>
        </w:rPr>
        <w:t xml:space="preserve">El nombre del solicitante </w:t>
      </w:r>
      <w:r>
        <w:rPr>
          <w:rFonts w:ascii="Palatino Linotype" w:hAnsi="Palatino Linotype" w:cs="Arial"/>
          <w:b/>
          <w:i/>
          <w:color w:val="000000" w:themeColor="text1"/>
          <w:sz w:val="22"/>
          <w:szCs w:val="22"/>
          <w:u w:val="single"/>
          <w:lang w:val="es-ES" w:eastAsia="es-MX"/>
        </w:rPr>
        <w:t>que</w:t>
      </w:r>
      <w:r>
        <w:rPr>
          <w:rFonts w:ascii="Palatino Linotype" w:hAnsi="Palatino Linotype"/>
          <w:b/>
          <w:i/>
          <w:color w:val="000000" w:themeColor="text1"/>
          <w:sz w:val="22"/>
          <w:szCs w:val="22"/>
          <w:u w:val="single"/>
          <w:lang w:val="es-ES"/>
        </w:rPr>
        <w:t xml:space="preserve"> recurre </w:t>
      </w:r>
      <w:r>
        <w:rPr>
          <w:rFonts w:ascii="Palatino Linotype" w:hAnsi="Palatino Linotype"/>
          <w:i/>
          <w:color w:val="000000" w:themeColor="text1"/>
          <w:sz w:val="22"/>
          <w:szCs w:val="22"/>
          <w:lang w:val="es-ES"/>
        </w:rPr>
        <w:t xml:space="preserve">o de su representante y, en su caso, del tercero interesado, así como la dirección o medio que señale </w:t>
      </w:r>
      <w:r>
        <w:rPr>
          <w:rFonts w:ascii="Palatino Linotype" w:hAnsi="Palatino Linotype"/>
          <w:i/>
          <w:color w:val="000000" w:themeColor="text1"/>
          <w:sz w:val="22"/>
          <w:szCs w:val="22"/>
          <w:lang w:val="es-ES"/>
        </w:rPr>
        <w:t>para recibir notificaciones;</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III. </w:t>
      </w:r>
      <w:r>
        <w:rPr>
          <w:rFonts w:ascii="Palatino Linotype" w:hAnsi="Palatino Linotype"/>
          <w:i/>
          <w:color w:val="000000" w:themeColor="text1"/>
          <w:sz w:val="22"/>
          <w:szCs w:val="22"/>
          <w:lang w:val="es-ES"/>
        </w:rPr>
        <w:t xml:space="preserve">El número de folio de </w:t>
      </w:r>
      <w:r>
        <w:rPr>
          <w:rFonts w:ascii="Palatino Linotype" w:hAnsi="Palatino Linotype" w:cs="Arial"/>
          <w:i/>
          <w:color w:val="000000" w:themeColor="text1"/>
          <w:sz w:val="22"/>
          <w:szCs w:val="22"/>
          <w:lang w:val="es-ES" w:eastAsia="es-MX"/>
        </w:rPr>
        <w:t>respuesta</w:t>
      </w:r>
      <w:r>
        <w:rPr>
          <w:rFonts w:ascii="Palatino Linotype" w:hAnsi="Palatino Linotype"/>
          <w:i/>
          <w:color w:val="000000" w:themeColor="text1"/>
          <w:sz w:val="22"/>
          <w:szCs w:val="22"/>
          <w:lang w:val="es-ES"/>
        </w:rPr>
        <w:t xml:space="preserve"> de la solicitud de acceso;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IV. </w:t>
      </w:r>
      <w:r>
        <w:rPr>
          <w:rFonts w:ascii="Palatino Linotype" w:hAnsi="Palatino Linotype"/>
          <w:i/>
          <w:color w:val="000000" w:themeColor="text1"/>
          <w:sz w:val="22"/>
          <w:szCs w:val="22"/>
          <w:lang w:val="es-ES"/>
        </w:rPr>
        <w:t xml:space="preserve">La fecha en que fue </w:t>
      </w:r>
      <w:r>
        <w:rPr>
          <w:rFonts w:ascii="Palatino Linotype" w:hAnsi="Palatino Linotype" w:cs="Arial"/>
          <w:i/>
          <w:color w:val="000000" w:themeColor="text1"/>
          <w:sz w:val="22"/>
          <w:szCs w:val="22"/>
          <w:lang w:val="es-ES" w:eastAsia="es-MX"/>
        </w:rPr>
        <w:t>notificada</w:t>
      </w:r>
      <w:r>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w:t>
      </w:r>
      <w:r>
        <w:rPr>
          <w:rFonts w:ascii="Palatino Linotype" w:hAnsi="Palatino Linotype"/>
          <w:i/>
          <w:color w:val="000000" w:themeColor="text1"/>
          <w:sz w:val="22"/>
          <w:szCs w:val="22"/>
          <w:lang w:val="es-ES"/>
        </w:rPr>
        <w:t>puesta;</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V. </w:t>
      </w:r>
      <w:r>
        <w:rPr>
          <w:rFonts w:ascii="Palatino Linotype" w:hAnsi="Palatino Linotype"/>
          <w:i/>
          <w:color w:val="000000" w:themeColor="text1"/>
          <w:sz w:val="22"/>
          <w:szCs w:val="22"/>
          <w:lang w:val="es-ES"/>
        </w:rPr>
        <w:t xml:space="preserve">El acto que se </w:t>
      </w:r>
      <w:r>
        <w:rPr>
          <w:rFonts w:ascii="Palatino Linotype" w:hAnsi="Palatino Linotype" w:cs="Arial"/>
          <w:i/>
          <w:color w:val="000000" w:themeColor="text1"/>
          <w:sz w:val="22"/>
          <w:szCs w:val="22"/>
          <w:lang w:val="es-ES" w:eastAsia="es-MX"/>
        </w:rPr>
        <w:t>recurre</w:t>
      </w:r>
      <w:r>
        <w:rPr>
          <w:rFonts w:ascii="Palatino Linotype" w:hAnsi="Palatino Linotype"/>
          <w:i/>
          <w:color w:val="000000" w:themeColor="text1"/>
          <w:sz w:val="22"/>
          <w:szCs w:val="22"/>
          <w:lang w:val="es-ES"/>
        </w:rPr>
        <w:t>;</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t xml:space="preserve">VI. </w:t>
      </w:r>
      <w:r>
        <w:rPr>
          <w:rFonts w:ascii="Palatino Linotype" w:hAnsi="Palatino Linotype"/>
          <w:i/>
          <w:color w:val="000000" w:themeColor="text1"/>
          <w:sz w:val="22"/>
          <w:szCs w:val="22"/>
          <w:lang w:val="es-ES"/>
        </w:rPr>
        <w:t xml:space="preserve">Las razones o </w:t>
      </w:r>
      <w:r>
        <w:rPr>
          <w:rFonts w:ascii="Palatino Linotype" w:hAnsi="Palatino Linotype" w:cs="Arial"/>
          <w:i/>
          <w:color w:val="000000" w:themeColor="text1"/>
          <w:sz w:val="22"/>
          <w:szCs w:val="22"/>
          <w:lang w:val="es-ES" w:eastAsia="es-MX"/>
        </w:rPr>
        <w:t>motivos</w:t>
      </w:r>
      <w:r>
        <w:rPr>
          <w:rFonts w:ascii="Palatino Linotype" w:hAnsi="Palatino Linotype"/>
          <w:i/>
          <w:color w:val="000000" w:themeColor="text1"/>
          <w:sz w:val="22"/>
          <w:szCs w:val="22"/>
          <w:lang w:val="es-ES"/>
        </w:rPr>
        <w:t xml:space="preserve"> de inconformidad;</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lang w:val="es-ES"/>
        </w:rPr>
        <w:lastRenderedPageBreak/>
        <w:t xml:space="preserve">VII. </w:t>
      </w:r>
      <w:r>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Pr>
          <w:rFonts w:ascii="Palatino Linotype" w:hAnsi="Palatino Linotype"/>
          <w:b/>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 xml:space="preserve">VIII. </w:t>
      </w:r>
      <w:r>
        <w:rPr>
          <w:rFonts w:ascii="Palatino Linotype" w:hAnsi="Palatino Linotype"/>
          <w:i/>
          <w:color w:val="000000" w:themeColor="text1"/>
          <w:sz w:val="22"/>
          <w:szCs w:val="22"/>
          <w:lang w:val="es-ES"/>
        </w:rPr>
        <w:t xml:space="preserve">Firma del recurrente, en su </w:t>
      </w:r>
      <w:r>
        <w:rPr>
          <w:rFonts w:ascii="Palatino Linotype" w:hAnsi="Palatino Linotype"/>
          <w:i/>
          <w:color w:val="000000" w:themeColor="text1"/>
          <w:sz w:val="22"/>
          <w:szCs w:val="22"/>
          <w:lang w:val="es-ES"/>
        </w:rPr>
        <w:t>caso, cuando se presente por escrito, requisito sin el cual se dará trámite al recurso.</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En ningún caso será necesario que el particula</w:t>
      </w:r>
      <w:r>
        <w:rPr>
          <w:rFonts w:ascii="Palatino Linotype" w:hAnsi="Palatino Linotype"/>
          <w:i/>
          <w:color w:val="000000" w:themeColor="text1"/>
          <w:sz w:val="22"/>
          <w:szCs w:val="22"/>
          <w:lang w:val="es-ES"/>
        </w:rPr>
        <w:t xml:space="preserve">r ratifique el recurso de revisión interpuesto. </w:t>
      </w:r>
    </w:p>
    <w:p w:rsidR="00826465" w:rsidRDefault="007573A3">
      <w:pPr>
        <w:tabs>
          <w:tab w:val="left" w:pos="851"/>
        </w:tabs>
        <w:ind w:left="851" w:right="901"/>
        <w:jc w:val="both"/>
        <w:rPr>
          <w:rFonts w:ascii="Palatino Linotype" w:hAnsi="Palatino Linotype"/>
          <w:b/>
          <w:i/>
          <w:color w:val="000000" w:themeColor="text1"/>
          <w:sz w:val="22"/>
          <w:szCs w:val="22"/>
          <w:lang w:val="es-ES"/>
        </w:rPr>
      </w:pPr>
      <w:r>
        <w:rPr>
          <w:rFonts w:ascii="Palatino Linotype" w:hAnsi="Palatino Linotype"/>
          <w:b/>
          <w:i/>
          <w:color w:val="000000" w:themeColor="text1"/>
          <w:sz w:val="22"/>
          <w:szCs w:val="22"/>
          <w:u w:val="single"/>
          <w:lang w:val="es-ES"/>
        </w:rPr>
        <w:t xml:space="preserve">En caso de </w:t>
      </w:r>
      <w:r>
        <w:rPr>
          <w:rFonts w:ascii="Palatino Linotype" w:hAnsi="Palatino Linotype" w:cs="Arial"/>
          <w:b/>
          <w:i/>
          <w:color w:val="000000" w:themeColor="text1"/>
          <w:sz w:val="22"/>
          <w:szCs w:val="22"/>
          <w:u w:val="single"/>
          <w:lang w:val="es-ES" w:eastAsia="es-MX"/>
        </w:rPr>
        <w:t>que</w:t>
      </w:r>
      <w:r>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color w:val="000000" w:themeColor="text1"/>
          <w:sz w:val="22"/>
          <w:szCs w:val="22"/>
          <w:lang w:val="es-ES"/>
        </w:rPr>
        <w:t>, IV, VII y VIII.</w:t>
      </w:r>
      <w:r>
        <w:rPr>
          <w:rFonts w:ascii="Palatino Linotype" w:hAnsi="Palatino Linotype"/>
          <w:b/>
          <w:i/>
          <w:color w:val="000000" w:themeColor="text1"/>
          <w:sz w:val="22"/>
          <w:szCs w:val="22"/>
          <w:lang w:val="es-ES"/>
        </w:rPr>
        <w:t>”</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(Énfasis añadido)</w:t>
      </w:r>
    </w:p>
    <w:p w:rsidR="00826465" w:rsidRDefault="00826465">
      <w:pPr>
        <w:tabs>
          <w:tab w:val="left" w:pos="851"/>
        </w:tabs>
        <w:ind w:left="851" w:right="901"/>
        <w:jc w:val="both"/>
        <w:rPr>
          <w:rFonts w:ascii="Palatino Linotype" w:hAnsi="Palatino Linotype"/>
          <w:i/>
          <w:color w:val="000000" w:themeColor="text1"/>
          <w:sz w:val="22"/>
          <w:szCs w:val="22"/>
          <w:lang w:val="es-ES"/>
        </w:rPr>
      </w:pPr>
    </w:p>
    <w:p w:rsidR="00826465" w:rsidRDefault="007573A3">
      <w:pPr>
        <w:spacing w:line="360" w:lineRule="auto"/>
        <w:jc w:val="both"/>
        <w:rPr>
          <w:rFonts w:ascii="Palatino Linotype" w:hAnsi="Palatino Linotype"/>
          <w:b/>
          <w:color w:val="000000" w:themeColor="text1"/>
          <w:lang w:val="es-ES"/>
        </w:rPr>
      </w:pPr>
      <w:r>
        <w:rPr>
          <w:rFonts w:ascii="Palatino Linotype" w:hAnsi="Palatino Linotype"/>
          <w:color w:val="000000" w:themeColor="text1"/>
          <w:lang w:val="es-ES"/>
        </w:rPr>
        <w:t xml:space="preserve">En principio, de una interpretación del artículo transcrito se observan los requisitos que </w:t>
      </w:r>
      <w:r>
        <w:rPr>
          <w:rFonts w:ascii="Palatino Linotype" w:hAnsi="Palatino Linotype" w:cs="Arial"/>
          <w:color w:val="000000" w:themeColor="text1"/>
          <w:lang w:val="es-ES"/>
        </w:rPr>
        <w:t>deberán</w:t>
      </w:r>
      <w:r>
        <w:rPr>
          <w:rFonts w:ascii="Palatino Linotype" w:hAnsi="Palatino Linotype"/>
          <w:color w:val="000000" w:themeColor="text1"/>
          <w:lang w:val="es-ES"/>
        </w:rPr>
        <w:t xml:space="preserve"> </w:t>
      </w:r>
      <w:r>
        <w:rPr>
          <w:rFonts w:ascii="Palatino Linotype" w:hAnsi="Palatino Linotype" w:cs="Arial"/>
          <w:color w:val="000000" w:themeColor="text1"/>
          <w:lang w:val="es-ES"/>
        </w:rPr>
        <w:t>contener</w:t>
      </w:r>
      <w:r>
        <w:rPr>
          <w:rFonts w:ascii="Palatino Linotype" w:hAnsi="Palatino Linotype"/>
          <w:color w:val="000000" w:themeColor="text1"/>
          <w:lang w:val="es-ES"/>
        </w:rPr>
        <w:t xml:space="preserve"> los recursos de revisión; sobre el particular, de la revisión del expediente electrónico del </w:t>
      </w:r>
      <w:r>
        <w:rPr>
          <w:rFonts w:ascii="Palatino Linotype" w:hAnsi="Palatino Linotype"/>
          <w:b/>
          <w:color w:val="000000" w:themeColor="text1"/>
          <w:lang w:val="es-ES"/>
        </w:rPr>
        <w:t>SAIMEX</w:t>
      </w:r>
      <w:r>
        <w:rPr>
          <w:rFonts w:ascii="Palatino Linotype" w:hAnsi="Palatino Linotype"/>
          <w:color w:val="000000" w:themeColor="text1"/>
          <w:lang w:val="es-ES"/>
        </w:rPr>
        <w:t xml:space="preserve"> se desprende que la parte solicitante y ahora </w:t>
      </w:r>
      <w:r>
        <w:rPr>
          <w:rFonts w:ascii="Palatino Linotype" w:hAnsi="Palatino Linotype"/>
          <w:b/>
          <w:color w:val="000000" w:themeColor="text1"/>
          <w:lang w:val="es-ES"/>
        </w:rPr>
        <w:t>RECURRENTE</w:t>
      </w:r>
      <w:r>
        <w:rPr>
          <w:rFonts w:ascii="Palatino Linotype" w:hAnsi="Palatino Linotype"/>
          <w:color w:val="000000" w:themeColor="text1"/>
          <w:lang w:val="es-ES"/>
        </w:rPr>
        <w:t xml:space="preserve">, en ejercicio de su derecho de acceso a la información pública, no proporcionó su nombre para que </w:t>
      </w:r>
      <w:r>
        <w:rPr>
          <w:rFonts w:ascii="Palatino Linotype" w:hAnsi="Palatino Linotype" w:cs="Arial"/>
          <w:color w:val="000000" w:themeColor="text1"/>
          <w:lang w:val="es-ES"/>
        </w:rPr>
        <w:t>sea</w:t>
      </w:r>
      <w:r>
        <w:rPr>
          <w:rFonts w:ascii="Palatino Linotype" w:hAnsi="Palatino Linotype"/>
          <w:color w:val="000000" w:themeColor="text1"/>
          <w:lang w:val="es-ES"/>
        </w:rPr>
        <w:t xml:space="preserve"> identificado, por lo que no se tiene certeza sobre su identidad, lo que en estricto sentido, provoca que </w:t>
      </w:r>
      <w:r>
        <w:rPr>
          <w:rFonts w:ascii="Palatino Linotype" w:hAnsi="Palatino Linotype" w:cs="Arial"/>
          <w:color w:val="000000" w:themeColor="text1"/>
          <w:lang w:val="es-ES"/>
        </w:rPr>
        <w:t>no</w:t>
      </w:r>
      <w:r>
        <w:rPr>
          <w:rFonts w:ascii="Palatino Linotype" w:hAnsi="Palatino Linotype"/>
          <w:color w:val="000000" w:themeColor="text1"/>
          <w:lang w:val="es-ES"/>
        </w:rPr>
        <w:t xml:space="preserve"> se colmen los requisitos establecid</w:t>
      </w:r>
      <w:r>
        <w:rPr>
          <w:rFonts w:ascii="Palatino Linotype" w:hAnsi="Palatino Linotype"/>
          <w:color w:val="000000" w:themeColor="text1"/>
          <w:lang w:val="es-ES"/>
        </w:rPr>
        <w:t>os en el citado artículo 180 de la Ley de Transparencia.</w:t>
      </w:r>
    </w:p>
    <w:p w:rsidR="00826465" w:rsidRDefault="00826465">
      <w:pPr>
        <w:spacing w:line="360" w:lineRule="auto"/>
        <w:jc w:val="both"/>
        <w:rPr>
          <w:rFonts w:ascii="Palatino Linotype" w:hAnsi="Palatino Linotype"/>
          <w:color w:val="000000" w:themeColor="text1"/>
          <w:lang w:val="es-ES"/>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olor w:val="000000" w:themeColor="text1"/>
          <w:lang w:val="es-ES"/>
        </w:rPr>
        <w:t xml:space="preserve">Empero lo anterior, debe destacarse que el artículo 15 de </w:t>
      </w:r>
      <w:r>
        <w:rPr>
          <w:rFonts w:ascii="Palatino Linotype" w:hAnsi="Palatino Linotype" w:cs="Arial"/>
          <w:color w:val="000000" w:themeColor="text1"/>
          <w:lang w:val="es-ES" w:eastAsia="es-MX"/>
        </w:rPr>
        <w:t xml:space="preserve">Ley de Transparencia y Acceso a la </w:t>
      </w:r>
      <w:r>
        <w:rPr>
          <w:rFonts w:ascii="Palatino Linotype" w:hAnsi="Palatino Linotype" w:cs="Arial"/>
          <w:color w:val="000000" w:themeColor="text1"/>
          <w:lang w:val="es-ES"/>
        </w:rPr>
        <w:t>Información</w:t>
      </w:r>
      <w:r>
        <w:rPr>
          <w:rFonts w:ascii="Palatino Linotype" w:hAnsi="Palatino Linotype" w:cs="Arial"/>
          <w:color w:val="000000" w:themeColor="text1"/>
          <w:lang w:val="es-ES" w:eastAsia="es-MX"/>
        </w:rPr>
        <w:t xml:space="preserve"> Pública del Estado de México y Municipios </w:t>
      </w:r>
      <w:r>
        <w:rPr>
          <w:rFonts w:ascii="Palatino Linotype" w:hAnsi="Palatino Linotype" w:cs="Arial"/>
          <w:iCs/>
          <w:color w:val="000000" w:themeColor="text1"/>
          <w:lang w:val="es-ES"/>
        </w:rPr>
        <w:t xml:space="preserve">prevé que, </w:t>
      </w:r>
      <w:r>
        <w:rPr>
          <w:rFonts w:ascii="Palatino Linotype" w:hAnsi="Palatino Linotype"/>
          <w:color w:val="000000" w:themeColor="text1"/>
          <w:lang w:val="es-ES"/>
        </w:rPr>
        <w:t>toda persona tendrá acceso a la informac</w:t>
      </w:r>
      <w:r>
        <w:rPr>
          <w:rFonts w:ascii="Palatino Linotype" w:hAnsi="Palatino Linotype"/>
          <w:color w:val="000000" w:themeColor="text1"/>
          <w:lang w:val="es-ES"/>
        </w:rPr>
        <w:t xml:space="preserve">ión </w:t>
      </w:r>
      <w:r>
        <w:rPr>
          <w:rFonts w:ascii="Palatino Linotype" w:hAnsi="Palatino Linotype" w:cs="Arial"/>
          <w:color w:val="000000" w:themeColor="text1"/>
          <w:lang w:val="es-ES"/>
        </w:rPr>
        <w:t xml:space="preserve">sin necesidad de acreditar interés alguno o justificar su utilización, de lo que se infiere que para el </w:t>
      </w:r>
      <w:r>
        <w:rPr>
          <w:rFonts w:ascii="Palatino Linotype" w:hAnsi="Palatino Linotype"/>
          <w:color w:val="000000" w:themeColor="text1"/>
          <w:lang w:val="es-ES"/>
        </w:rPr>
        <w:t>ejercicio</w:t>
      </w:r>
      <w:r>
        <w:rPr>
          <w:rFonts w:ascii="Palatino Linotype" w:hAnsi="Palatino Linotype" w:cs="Arial"/>
          <w:color w:val="000000" w:themeColor="text1"/>
          <w:lang w:val="es-ES"/>
        </w:rPr>
        <w:t xml:space="preserve"> del derecho de acceso a la información pública, </w:t>
      </w:r>
      <w:r>
        <w:rPr>
          <w:rFonts w:ascii="Palatino Linotype" w:hAnsi="Palatino Linotype" w:cs="Arial"/>
          <w:b/>
          <w:color w:val="000000" w:themeColor="text1"/>
          <w:u w:val="single"/>
          <w:lang w:val="es-ES"/>
        </w:rPr>
        <w:t xml:space="preserve">el nombre no es un requisito </w:t>
      </w:r>
      <w:r>
        <w:rPr>
          <w:rFonts w:ascii="Palatino Linotype" w:hAnsi="Palatino Linotype" w:cs="Arial"/>
          <w:b/>
          <w:i/>
          <w:color w:val="000000" w:themeColor="text1"/>
          <w:u w:val="single"/>
          <w:lang w:val="es-ES"/>
        </w:rPr>
        <w:t>sine qua non</w:t>
      </w:r>
      <w:r>
        <w:rPr>
          <w:rFonts w:ascii="Palatino Linotype" w:hAnsi="Palatino Linotype" w:cs="Arial"/>
          <w:color w:val="000000" w:themeColor="text1"/>
          <w:lang w:val="es-ES"/>
        </w:rPr>
        <w:t xml:space="preserve"> para que los particulares ejerzan el derecho de </w:t>
      </w:r>
      <w:r>
        <w:rPr>
          <w:rFonts w:ascii="Palatino Linotype" w:hAnsi="Palatino Linotype" w:cs="Arial"/>
          <w:color w:val="000000" w:themeColor="text1"/>
          <w:lang w:val="es-ES"/>
        </w:rPr>
        <w:t xml:space="preserve">acceso a la información pública, pues por el contrario la Ley de la materia prevé en su artículo 155, párrafo segundo la posibilidad de que las </w:t>
      </w:r>
      <w:r>
        <w:rPr>
          <w:rFonts w:ascii="Palatino Linotype" w:hAnsi="Palatino Linotype" w:cs="Arial"/>
          <w:color w:val="000000" w:themeColor="text1"/>
          <w:lang w:val="es-ES"/>
        </w:rPr>
        <w:lastRenderedPageBreak/>
        <w:t>solicitudes de información sean anónimas, al utilizar un nombre incompleto o, inclusive un seudónimo.</w:t>
      </w:r>
    </w:p>
    <w:p w:rsidR="00826465" w:rsidRDefault="00826465">
      <w:pPr>
        <w:spacing w:line="360" w:lineRule="auto"/>
        <w:jc w:val="both"/>
        <w:rPr>
          <w:rFonts w:ascii="Palatino Linotype" w:hAnsi="Palatino Linotype" w:cs="Arial"/>
          <w:color w:val="000000" w:themeColor="text1"/>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Correlati</w:t>
      </w:r>
      <w:r>
        <w:rPr>
          <w:rFonts w:ascii="Palatino Linotype" w:hAnsi="Palatino Linotype"/>
          <w:color w:val="000000" w:themeColor="text1"/>
          <w:lang w:val="es-ES"/>
        </w:rPr>
        <w:t>vo a ello, cabe mencionar que los artículos 6, Apartado A, fracciones III y IV de la Constitución Política de los Estados Unidos Mexicanos y 5, párrafos vigésimo segundo, vigésimo tercero y vigésimo cuarto, fracciones I, III, IV y V de la Constitución Polí</w:t>
      </w:r>
      <w:r>
        <w:rPr>
          <w:rFonts w:ascii="Palatino Linotype" w:hAnsi="Palatino Linotype"/>
          <w:color w:val="000000" w:themeColor="text1"/>
          <w:lang w:val="es-ES"/>
        </w:rPr>
        <w:t>tica del Estado Libre y Soberano de México garantizan el ejercicio del derecho de acceso a la información pública, toda vez que disponen que toda persona sin necesidad de acreditar interés alguno o justificar su utilización, tendrá acceso gratuito a la inf</w:t>
      </w:r>
      <w:r>
        <w:rPr>
          <w:rFonts w:ascii="Palatino Linotype" w:hAnsi="Palatino Linotype"/>
          <w:color w:val="000000" w:themeColor="text1"/>
          <w:lang w:val="es-ES"/>
        </w:rPr>
        <w:t>ormación pública; preceptos cuyo texto y sentido literal es el siguiente:</w:t>
      </w:r>
    </w:p>
    <w:p w:rsidR="00826465" w:rsidRDefault="00826465">
      <w:pPr>
        <w:jc w:val="both"/>
        <w:rPr>
          <w:rFonts w:ascii="Palatino Linotype" w:hAnsi="Palatino Linotype"/>
          <w:color w:val="000000" w:themeColor="text1"/>
          <w:lang w:val="es-ES"/>
        </w:rPr>
      </w:pPr>
    </w:p>
    <w:p w:rsidR="00826465" w:rsidRDefault="007573A3">
      <w:pPr>
        <w:tabs>
          <w:tab w:val="left" w:pos="851"/>
        </w:tabs>
        <w:ind w:left="851" w:right="901"/>
        <w:jc w:val="center"/>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Constitución Política de los Estados Unidos Mexicanos</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lang w:val="es-ES"/>
        </w:rPr>
        <w:t>“Artículo 6o.</w:t>
      </w:r>
      <w:r>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w:t>
      </w:r>
      <w:r>
        <w:rPr>
          <w:rFonts w:ascii="Palatino Linotype" w:hAnsi="Palatino Linotype" w:cs="Arial"/>
          <w:i/>
          <w:color w:val="000000" w:themeColor="text1"/>
          <w:sz w:val="22"/>
          <w:szCs w:val="22"/>
          <w:lang w:val="es-ES"/>
        </w:rPr>
        <w:t xml:space="preserve"> será ejercido en los términos dispuestos por la ley. </w:t>
      </w:r>
      <w:r>
        <w:rPr>
          <w:rFonts w:ascii="Palatino Linotype" w:hAnsi="Palatino Linotype" w:cs="Arial"/>
          <w:b/>
          <w:i/>
          <w:color w:val="000000" w:themeColor="text1"/>
          <w:sz w:val="22"/>
          <w:szCs w:val="22"/>
          <w:lang w:val="es-ES"/>
        </w:rPr>
        <w:t>El derecho a la información será garantizado por el Estado.</w:t>
      </w:r>
      <w:r>
        <w:rPr>
          <w:rFonts w:ascii="Palatino Linotype" w:hAnsi="Palatino Linotype" w:cs="Arial"/>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w:t>
      </w:r>
      <w:r>
        <w:rPr>
          <w:rFonts w:ascii="Palatino Linotype" w:hAnsi="Palatino Linotype" w:cs="Arial"/>
          <w:i/>
          <w:color w:val="000000" w:themeColor="text1"/>
          <w:sz w:val="22"/>
          <w:szCs w:val="22"/>
          <w:lang w:val="es-ES"/>
        </w:rPr>
        <w:t xml:space="preserve"> índole por cualquier medio de expresión.</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Para efectos de lo dispuesto en el presente artículo se observará lo siguiente:</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w:t>
      </w:r>
      <w:r>
        <w:rPr>
          <w:rFonts w:ascii="Palatino Linotype" w:hAnsi="Palatino Linotype" w:cs="Arial"/>
          <w:i/>
          <w:color w:val="000000" w:themeColor="text1"/>
          <w:sz w:val="22"/>
          <w:szCs w:val="22"/>
          <w:lang w:val="es-ES"/>
        </w:rPr>
        <w:t>pectivas competencias, se regirán por los siguientes principios y bases:</w:t>
      </w:r>
    </w:p>
    <w:p w:rsidR="00826465" w:rsidRDefault="007573A3">
      <w:pPr>
        <w:tabs>
          <w:tab w:val="left" w:pos="851"/>
        </w:tabs>
        <w:ind w:left="851" w:right="901"/>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w:t>
      </w:r>
      <w:r>
        <w:rPr>
          <w:rFonts w:ascii="Palatino Linotype" w:hAnsi="Palatino Linotype" w:cs="Arial"/>
          <w:i/>
          <w:color w:val="000000" w:themeColor="text1"/>
          <w:sz w:val="22"/>
          <w:szCs w:val="22"/>
          <w:u w:val="single"/>
          <w:lang w:val="es-ES"/>
        </w:rPr>
        <w:t>eicomisos y fondos públicos, así como de cualquier persona física, moral o sindicato que reciba y ejerza recursos públicos o realice actos de autoridad en el ámbito federal, estatal y municipal, es pública y sólo podrá ser reservada temporalmente por razon</w:t>
      </w:r>
      <w:r>
        <w:rPr>
          <w:rFonts w:ascii="Palatino Linotype" w:hAnsi="Palatino Linotype" w:cs="Arial"/>
          <w:i/>
          <w:color w:val="000000" w:themeColor="text1"/>
          <w:sz w:val="22"/>
          <w:szCs w:val="22"/>
          <w:u w:val="single"/>
          <w:lang w:val="es-ES"/>
        </w:rPr>
        <w:t xml:space="preserve">es de interés público y seguridad nacional, en los términos que fijen las leyes. En la interpretación de este derecho deberá prevalecer el principio de máxima publicidad. Los sujetos obligados deberán documentar todo acto </w:t>
      </w:r>
      <w:r>
        <w:rPr>
          <w:rFonts w:ascii="Palatino Linotype" w:hAnsi="Palatino Linotype" w:cs="Arial"/>
          <w:i/>
          <w:color w:val="000000" w:themeColor="text1"/>
          <w:sz w:val="22"/>
          <w:szCs w:val="22"/>
          <w:u w:val="single"/>
          <w:lang w:val="es-ES"/>
        </w:rPr>
        <w:lastRenderedPageBreak/>
        <w:t>que derive del ejercicio de sus fa</w:t>
      </w:r>
      <w:r>
        <w:rPr>
          <w:rFonts w:ascii="Palatino Linotype" w:hAnsi="Palatino Linotype" w:cs="Arial"/>
          <w:i/>
          <w:color w:val="000000" w:themeColor="text1"/>
          <w:sz w:val="22"/>
          <w:szCs w:val="22"/>
          <w:u w:val="single"/>
          <w:lang w:val="es-ES"/>
        </w:rPr>
        <w:t>cultades, competencias o funciones, la ley determinará los supuestos específicos bajo los cuales procederá la declaración de inexistencia de la información.</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II.    La información que se refiere a la vida privada y los datos personales será protegida en los</w:t>
      </w:r>
      <w:r>
        <w:rPr>
          <w:rFonts w:ascii="Palatino Linotype" w:hAnsi="Palatino Linotype" w:cs="Arial"/>
          <w:i/>
          <w:color w:val="000000" w:themeColor="text1"/>
          <w:sz w:val="22"/>
          <w:szCs w:val="22"/>
          <w:lang w:val="es-ES"/>
        </w:rPr>
        <w:t xml:space="preserve"> términos y con las excepciones que fijen las leyes.</w:t>
      </w:r>
    </w:p>
    <w:p w:rsidR="00826465" w:rsidRDefault="007573A3">
      <w:pPr>
        <w:tabs>
          <w:tab w:val="left" w:pos="851"/>
        </w:tabs>
        <w:ind w:left="851" w:right="901"/>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IV.   Se</w:t>
      </w:r>
      <w:r>
        <w:rPr>
          <w:rFonts w:ascii="Palatino Linotype" w:hAnsi="Palatino Linotype" w:cs="Arial"/>
          <w:i/>
          <w:color w:val="000000" w:themeColor="text1"/>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826465" w:rsidRDefault="007573A3">
      <w:pPr>
        <w:tabs>
          <w:tab w:val="left" w:pos="851"/>
        </w:tabs>
        <w:ind w:left="851" w:right="901"/>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V.    Los sujetos obligados deberán preservar sus doc</w:t>
      </w:r>
      <w:r>
        <w:rPr>
          <w:rFonts w:ascii="Palatino Linotype" w:hAnsi="Palatino Linotype" w:cs="Arial"/>
          <w:i/>
          <w:color w:val="000000" w:themeColor="text1"/>
          <w:sz w:val="22"/>
          <w:szCs w:val="22"/>
          <w:u w:val="single"/>
          <w:lang w:val="es-ES"/>
        </w:rPr>
        <w:t xml:space="preserve">umentos en archivos administrativos actualizados y publicarán, a través de los medios electrónicos disponibles, la información completa y actualizada sobre el ejercicio de los recursos públicos y los indicadores que permitan rendir cuenta del cumplimiento </w:t>
      </w:r>
      <w:r>
        <w:rPr>
          <w:rFonts w:ascii="Palatino Linotype" w:hAnsi="Palatino Linotype" w:cs="Arial"/>
          <w:i/>
          <w:color w:val="000000" w:themeColor="text1"/>
          <w:sz w:val="22"/>
          <w:szCs w:val="22"/>
          <w:u w:val="single"/>
          <w:lang w:val="es-ES"/>
        </w:rPr>
        <w:t>de sus objetivos y de los resultados obtenidos.</w:t>
      </w:r>
    </w:p>
    <w:p w:rsidR="00826465" w:rsidRDefault="007573A3">
      <w:pPr>
        <w:tabs>
          <w:tab w:val="left" w:pos="851"/>
        </w:tabs>
        <w:ind w:left="851" w:right="901"/>
        <w:jc w:val="both"/>
        <w:rPr>
          <w:rFonts w:ascii="Palatino Linotype" w:hAnsi="Palatino Linotype" w:cs="Arial"/>
          <w:i/>
          <w:color w:val="000000" w:themeColor="text1"/>
          <w:sz w:val="22"/>
          <w:szCs w:val="22"/>
          <w:u w:val="single"/>
          <w:lang w:val="es-ES"/>
        </w:rPr>
      </w:pPr>
      <w:r>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VII. La inobservancia a la</w:t>
      </w:r>
      <w:r>
        <w:rPr>
          <w:rFonts w:ascii="Palatino Linotype" w:hAnsi="Palatino Linotype" w:cs="Arial"/>
          <w:i/>
          <w:color w:val="000000" w:themeColor="text1"/>
          <w:sz w:val="22"/>
          <w:szCs w:val="22"/>
          <w:lang w:val="es-ES"/>
        </w:rPr>
        <w:t>s disposiciones en materia de acceso a la información pública será sancionada en los términos que dispongan las leyes.</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VIII.             La Federación contará con un organismo autónomo, especializado, imparcial, colegiado, con personalidad jurídica y patri</w:t>
      </w:r>
      <w:r>
        <w:rPr>
          <w:rFonts w:ascii="Palatino Linotype" w:hAnsi="Palatino Linotype" w:cs="Arial"/>
          <w:i/>
          <w:color w:val="000000" w:themeColor="text1"/>
          <w:sz w:val="22"/>
          <w:szCs w:val="22"/>
          <w:lang w:val="es-ES"/>
        </w:rPr>
        <w:t>monio propio, con plena autonomía técnica, de gestión, capacidad para decidir sobre el ejercicio de su presupuesto y determinar su organización interna, responsable de garantizar el cumplimiento del derecho de acceso a la información pública y a la protecc</w:t>
      </w:r>
      <w:r>
        <w:rPr>
          <w:rFonts w:ascii="Palatino Linotype" w:hAnsi="Palatino Linotype" w:cs="Arial"/>
          <w:i/>
          <w:color w:val="000000" w:themeColor="text1"/>
          <w:sz w:val="22"/>
          <w:szCs w:val="22"/>
          <w:lang w:val="es-ES"/>
        </w:rPr>
        <w:t>ión de datos personales en posesión de los sujetos obligados en los términos que establezca la ley.</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w:t>
      </w:r>
    </w:p>
    <w:p w:rsidR="00826465" w:rsidRDefault="007573A3">
      <w:pPr>
        <w:tabs>
          <w:tab w:val="left" w:pos="851"/>
        </w:tabs>
        <w:ind w:left="851" w:right="901"/>
        <w:jc w:val="both"/>
        <w:rPr>
          <w:rFonts w:ascii="Palatino Linotype" w:hAnsi="Palatino Linotype" w:cs="Arial"/>
          <w:i/>
          <w:color w:val="000000" w:themeColor="text1"/>
          <w:sz w:val="22"/>
          <w:szCs w:val="22"/>
          <w:lang w:eastAsia="es-MX"/>
        </w:rPr>
      </w:pPr>
      <w:r>
        <w:rPr>
          <w:rFonts w:ascii="Palatino Linotype" w:hAnsi="Palatino Linotype" w:cs="Arial"/>
          <w:i/>
          <w:color w:val="000000" w:themeColor="text1"/>
          <w:sz w:val="22"/>
          <w:szCs w:val="22"/>
          <w:u w:val="single"/>
          <w:lang w:val="es-ES"/>
        </w:rPr>
        <w:t>La ley establecerá aquella información que se considere reservada o confidencial.</w:t>
      </w:r>
      <w:r>
        <w:rPr>
          <w:rFonts w:ascii="Palatino Linotype" w:hAnsi="Palatino Linotype" w:cs="Arial"/>
          <w:b/>
          <w:i/>
          <w:color w:val="000000" w:themeColor="text1"/>
          <w:sz w:val="22"/>
          <w:szCs w:val="22"/>
          <w:lang w:val="es-ES"/>
        </w:rPr>
        <w:t>”</w:t>
      </w:r>
      <w:r>
        <w:rPr>
          <w:rFonts w:ascii="Palatino Linotype" w:hAnsi="Palatino Linotype" w:cs="Arial"/>
          <w:i/>
          <w:color w:val="000000" w:themeColor="text1"/>
          <w:sz w:val="22"/>
          <w:szCs w:val="22"/>
          <w:lang w:eastAsia="es-MX"/>
        </w:rPr>
        <w:t xml:space="preserve"> </w:t>
      </w:r>
    </w:p>
    <w:p w:rsidR="00826465" w:rsidRDefault="00826465">
      <w:pPr>
        <w:tabs>
          <w:tab w:val="left" w:pos="851"/>
        </w:tabs>
        <w:ind w:left="851" w:right="901"/>
        <w:jc w:val="both"/>
        <w:rPr>
          <w:rFonts w:ascii="Palatino Linotype" w:hAnsi="Palatino Linotype" w:cs="Arial"/>
          <w:i/>
          <w:color w:val="000000" w:themeColor="text1"/>
          <w:sz w:val="22"/>
          <w:szCs w:val="22"/>
          <w:lang w:eastAsia="es-MX"/>
        </w:rPr>
      </w:pPr>
    </w:p>
    <w:p w:rsidR="00826465" w:rsidRDefault="007573A3">
      <w:pPr>
        <w:tabs>
          <w:tab w:val="left" w:pos="851"/>
        </w:tabs>
        <w:ind w:left="851" w:right="901"/>
        <w:jc w:val="center"/>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Constitución Política del Estado Libre y Soberano de México</w:t>
      </w:r>
    </w:p>
    <w:p w:rsidR="00826465" w:rsidRDefault="00826465">
      <w:pPr>
        <w:tabs>
          <w:tab w:val="left" w:pos="851"/>
        </w:tabs>
        <w:ind w:left="851" w:right="901"/>
        <w:jc w:val="center"/>
        <w:rPr>
          <w:rFonts w:ascii="Palatino Linotype" w:hAnsi="Palatino Linotype" w:cs="Arial"/>
          <w:b/>
          <w:i/>
          <w:color w:val="000000" w:themeColor="text1"/>
          <w:sz w:val="22"/>
          <w:szCs w:val="22"/>
          <w:lang w:val="es-ES"/>
        </w:rPr>
      </w:pPr>
    </w:p>
    <w:p w:rsidR="00826465" w:rsidRDefault="007573A3">
      <w:pPr>
        <w:tabs>
          <w:tab w:val="left" w:pos="851"/>
        </w:tabs>
        <w:ind w:left="851" w:right="901"/>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w:t>
      </w:r>
      <w:r>
        <w:rPr>
          <w:rFonts w:ascii="Palatino Linotype" w:hAnsi="Palatino Linotype" w:cs="Arial"/>
          <w:b/>
          <w:i/>
          <w:color w:val="000000" w:themeColor="text1"/>
          <w:sz w:val="22"/>
          <w:szCs w:val="22"/>
          <w:lang w:val="es-ES"/>
        </w:rPr>
        <w:t xml:space="preserve">Artículo 5.  …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Para garantizar el ejercicio del derecho de transparencia, acceso</w:t>
      </w:r>
      <w:r>
        <w:rPr>
          <w:rFonts w:ascii="Palatino Linotype" w:hAnsi="Palatino Linotype"/>
          <w:i/>
          <w:color w:val="000000" w:themeColor="text1"/>
          <w:sz w:val="22"/>
          <w:szCs w:val="22"/>
          <w:lang w:val="es-ES"/>
        </w:rPr>
        <w:t xml:space="preserve"> a la información pública y protección de datos personales, los poderes públicos y los organismos </w:t>
      </w:r>
      <w:r>
        <w:rPr>
          <w:rFonts w:ascii="Palatino Linotype" w:hAnsi="Palatino Linotype"/>
          <w:i/>
          <w:color w:val="000000" w:themeColor="text1"/>
          <w:sz w:val="22"/>
          <w:szCs w:val="22"/>
          <w:lang w:val="es-ES"/>
        </w:rPr>
        <w:lastRenderedPageBreak/>
        <w:t xml:space="preserve">autónomos, transparentarán sus acciones, en términos de las disposiciones aplicables, la información será oportuna, clara, veraz y de fácil acceso.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i/>
          <w:color w:val="000000" w:themeColor="text1"/>
          <w:sz w:val="22"/>
          <w:szCs w:val="22"/>
          <w:lang w:val="es-ES"/>
        </w:rPr>
        <w:t>Este dere</w:t>
      </w:r>
      <w:r>
        <w:rPr>
          <w:rFonts w:ascii="Palatino Linotype" w:hAnsi="Palatino Linotype"/>
          <w:i/>
          <w:color w:val="000000" w:themeColor="text1"/>
          <w:sz w:val="22"/>
          <w:szCs w:val="22"/>
          <w:lang w:val="es-ES"/>
        </w:rPr>
        <w:t xml:space="preserve">cho se regirá por los principios y bases siguientes: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w:t>
      </w:r>
      <w:r>
        <w:rPr>
          <w:rFonts w:ascii="Palatino Linotype" w:hAnsi="Palatino Linotype"/>
          <w:b/>
          <w:i/>
          <w:color w:val="000000" w:themeColor="text1"/>
          <w:sz w:val="22"/>
          <w:szCs w:val="22"/>
          <w:lang w:val="es-ES"/>
        </w:rPr>
        <w:t>licos estatales y municipales</w:t>
      </w:r>
      <w:r>
        <w:rPr>
          <w:rFonts w:ascii="Palatino Linotype" w:hAnsi="Palatino Linotype"/>
          <w:i/>
          <w:color w:val="000000" w:themeColor="text1"/>
          <w:sz w:val="22"/>
          <w:szCs w:val="22"/>
          <w:lang w:val="es-ES"/>
        </w:rPr>
        <w:t>, así como del gobierno y de la administración pública municipal y sus organismos descentralizados, asimismo de cualquier persona física, jurídica colectiva o sindicato que reciba y ejerza recursos públicos o realice actos de a</w:t>
      </w:r>
      <w:r>
        <w:rPr>
          <w:rFonts w:ascii="Palatino Linotype" w:hAnsi="Palatino Linotype"/>
          <w:i/>
          <w:color w:val="000000" w:themeColor="text1"/>
          <w:sz w:val="22"/>
          <w:szCs w:val="22"/>
          <w:lang w:val="es-ES"/>
        </w:rPr>
        <w:t>utoridad en el ámbito estatal y municipal, es pública y sólo podrá ser reservada temporalmente por razones previstas en la Constitución Política de los Estados Unidos Mexicanos de interés público y seguridad, en los términos que fijen las leyes. En la inte</w:t>
      </w:r>
      <w:r>
        <w:rPr>
          <w:rFonts w:ascii="Palatino Linotype" w:hAnsi="Palatino Linotype"/>
          <w:i/>
          <w:color w:val="000000" w:themeColor="text1"/>
          <w:sz w:val="22"/>
          <w:szCs w:val="22"/>
          <w:lang w:val="es-ES"/>
        </w:rPr>
        <w:t>rpretación de este derecho deberá prevalecer el principio de máxima publicidad. Los sujetos obligados deberán documentar todo acto que derive del ejercicio de sus facultades, competencias o funciones, la ley determinará los supuestos específicos bajo los c</w:t>
      </w:r>
      <w:r>
        <w:rPr>
          <w:rFonts w:ascii="Palatino Linotype" w:hAnsi="Palatino Linotype"/>
          <w:i/>
          <w:color w:val="000000" w:themeColor="text1"/>
          <w:sz w:val="22"/>
          <w:szCs w:val="22"/>
          <w:lang w:val="es-ES"/>
        </w:rPr>
        <w:t xml:space="preserve">uales procederá la declaración de inexistencia de la información.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II.</w:t>
      </w:r>
      <w:r>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w:t>
      </w:r>
      <w:r>
        <w:rPr>
          <w:rFonts w:ascii="Palatino Linotype" w:hAnsi="Palatino Linotype"/>
          <w:i/>
          <w:color w:val="000000" w:themeColor="text1"/>
          <w:sz w:val="22"/>
          <w:szCs w:val="22"/>
          <w:lang w:val="es-ES"/>
        </w:rPr>
        <w:t>on las excepciones que establezca la ley reglamentaria.</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Pr>
          <w:rFonts w:ascii="Palatino Linotype" w:hAnsi="Palatino Linotype"/>
          <w:i/>
          <w:color w:val="000000" w:themeColor="text1"/>
          <w:sz w:val="22"/>
          <w:szCs w:val="22"/>
          <w:lang w:val="es-ES"/>
        </w:rPr>
        <w:t xml:space="preserve">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IV.</w:t>
      </w:r>
      <w:r>
        <w:rPr>
          <w:rFonts w:ascii="Palatino Linotype" w:hAnsi="Palatino Linotype"/>
          <w:i/>
          <w:color w:val="000000" w:themeColor="text1"/>
          <w:sz w:val="22"/>
          <w:szCs w:val="22"/>
          <w:lang w:val="es-ES"/>
        </w:rPr>
        <w:t xml:space="preserve"> Se</w:t>
      </w:r>
      <w:r>
        <w:rPr>
          <w:rFonts w:ascii="Palatino Linotype" w:hAnsi="Palatino Linotype"/>
          <w:i/>
          <w:color w:val="000000" w:themeColor="text1"/>
          <w:sz w:val="22"/>
          <w:szCs w:val="22"/>
          <w:lang w:val="es-ES"/>
        </w:rPr>
        <w:t xml:space="preserve"> establecerán mecanismos de acceso a la información y procedimientos de revisión expeditos que se sustanciarán ante el organismo autónomo especializado e imparcial que establece esta Constitución. </w:t>
      </w:r>
    </w:p>
    <w:p w:rsidR="00826465" w:rsidRDefault="007573A3">
      <w:pPr>
        <w:tabs>
          <w:tab w:val="left" w:pos="851"/>
        </w:tabs>
        <w:ind w:left="851" w:right="901"/>
        <w:jc w:val="both"/>
        <w:rPr>
          <w:rFonts w:ascii="Palatino Linotype" w:hAnsi="Palatino Linotype"/>
          <w:i/>
          <w:color w:val="000000" w:themeColor="text1"/>
          <w:sz w:val="22"/>
          <w:szCs w:val="22"/>
          <w:lang w:val="es-ES"/>
        </w:rPr>
      </w:pPr>
      <w:r>
        <w:rPr>
          <w:rFonts w:ascii="Palatino Linotype" w:hAnsi="Palatino Linotype"/>
          <w:b/>
          <w:i/>
          <w:color w:val="000000" w:themeColor="text1"/>
          <w:sz w:val="22"/>
          <w:szCs w:val="22"/>
          <w:lang w:val="es-ES"/>
        </w:rPr>
        <w:t>V.</w:t>
      </w:r>
      <w:r>
        <w:rPr>
          <w:rFonts w:ascii="Palatino Linotype" w:hAnsi="Palatino Linotype"/>
          <w:i/>
          <w:color w:val="000000" w:themeColor="text1"/>
          <w:sz w:val="22"/>
          <w:szCs w:val="22"/>
          <w:lang w:val="es-ES"/>
        </w:rPr>
        <w:t xml:space="preserve"> Los procedimientos de acceso a la información pública, </w:t>
      </w:r>
      <w:r>
        <w:rPr>
          <w:rFonts w:ascii="Palatino Linotype" w:hAnsi="Palatino Linotype"/>
          <w:i/>
          <w:color w:val="000000" w:themeColor="text1"/>
          <w:sz w:val="22"/>
          <w:szCs w:val="22"/>
          <w:lang w:val="es-ES"/>
        </w:rPr>
        <w:t>de acceso, corrección y supresión de datos personales, así como los recursos de revisión derivados de los mismos, podrán tramitarse por medios electrónicos, a través de un sistema automatizado que para tal efecto establezca la ley reglamentaria y el organi</w:t>
      </w:r>
      <w:r>
        <w:rPr>
          <w:rFonts w:ascii="Palatino Linotype" w:hAnsi="Palatino Linotype"/>
          <w:i/>
          <w:color w:val="000000" w:themeColor="text1"/>
          <w:sz w:val="22"/>
          <w:szCs w:val="22"/>
          <w:lang w:val="es-ES"/>
        </w:rPr>
        <w:t>smo autónomo garante en el ámbito de su competencia. Las resoluciones que correspondan a estos procedimientos se sistematizarán para favorecer su consulta.</w:t>
      </w:r>
      <w:r>
        <w:rPr>
          <w:rFonts w:ascii="Palatino Linotype" w:hAnsi="Palatino Linotype"/>
          <w:b/>
          <w:i/>
          <w:color w:val="000000" w:themeColor="text1"/>
          <w:sz w:val="22"/>
          <w:szCs w:val="22"/>
          <w:lang w:val="es-ES"/>
        </w:rPr>
        <w:t>”</w:t>
      </w:r>
    </w:p>
    <w:p w:rsidR="00826465" w:rsidRDefault="007573A3">
      <w:pPr>
        <w:tabs>
          <w:tab w:val="left" w:pos="851"/>
        </w:tabs>
        <w:ind w:left="851" w:right="901"/>
        <w:jc w:val="both"/>
        <w:rPr>
          <w:rFonts w:ascii="Palatino Linotype" w:hAnsi="Palatino Linotype"/>
          <w:color w:val="000000" w:themeColor="text1"/>
          <w:sz w:val="22"/>
          <w:szCs w:val="22"/>
          <w:lang w:val="es-ES"/>
        </w:rPr>
      </w:pPr>
      <w:r>
        <w:rPr>
          <w:rFonts w:ascii="Palatino Linotype" w:hAnsi="Palatino Linotype"/>
          <w:color w:val="000000" w:themeColor="text1"/>
          <w:sz w:val="22"/>
          <w:szCs w:val="22"/>
          <w:lang w:val="es-ES"/>
        </w:rPr>
        <w:t>(Énfasis añadido)</w:t>
      </w:r>
    </w:p>
    <w:p w:rsidR="00826465" w:rsidRDefault="00826465">
      <w:pPr>
        <w:tabs>
          <w:tab w:val="left" w:pos="851"/>
        </w:tabs>
        <w:ind w:left="851" w:right="901"/>
        <w:jc w:val="both"/>
        <w:rPr>
          <w:rFonts w:ascii="Palatino Linotype" w:hAnsi="Palatino Linotype"/>
          <w:color w:val="000000" w:themeColor="text1"/>
          <w:sz w:val="22"/>
          <w:szCs w:val="22"/>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Por otra parte, del contenido del artículo 1 de la Constitución Política de los </w:t>
      </w:r>
      <w:r>
        <w:rPr>
          <w:rFonts w:ascii="Palatino Linotype" w:hAnsi="Palatino Linotype"/>
          <w:color w:val="000000" w:themeColor="text1"/>
          <w:lang w:val="es-ES"/>
        </w:rPr>
        <w:t>Estados Unidos Mexicanos, se destaca lo siguiente:</w:t>
      </w:r>
    </w:p>
    <w:p w:rsidR="00826465" w:rsidRDefault="00826465">
      <w:pPr>
        <w:jc w:val="both"/>
        <w:rPr>
          <w:rFonts w:ascii="Palatino Linotype" w:hAnsi="Palatino Linotype"/>
          <w:color w:val="000000" w:themeColor="text1"/>
          <w:lang w:val="es-ES"/>
        </w:rPr>
      </w:pP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lang w:val="es-ES"/>
        </w:rPr>
        <w:lastRenderedPageBreak/>
        <w:t>“Artículo 1o</w:t>
      </w:r>
      <w:r>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w:t>
      </w:r>
      <w:r>
        <w:rPr>
          <w:rFonts w:ascii="Palatino Linotype" w:hAnsi="Palatino Linotype" w:cs="Arial"/>
          <w:i/>
          <w:color w:val="000000" w:themeColor="text1"/>
          <w:sz w:val="22"/>
          <w:szCs w:val="22"/>
          <w:lang w:val="es-ES"/>
        </w:rPr>
        <w:t xml:space="preserve"> así como de las garantías para su protección, cuyo ejercicio no podrá restringirse ni suspenderse, salvo en los casos y bajo las condiciones que esta Constitución establece.</w:t>
      </w:r>
    </w:p>
    <w:p w:rsidR="00826465" w:rsidRDefault="007573A3">
      <w:pPr>
        <w:tabs>
          <w:tab w:val="left" w:pos="851"/>
        </w:tabs>
        <w:ind w:left="851" w:right="901"/>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u w:val="single"/>
          <w:lang w:val="es-ES"/>
        </w:rPr>
        <w:t>Las normas relativas a los derechos humanos se interpretarán</w:t>
      </w:r>
      <w:r>
        <w:rPr>
          <w:rFonts w:ascii="Palatino Linotype" w:hAnsi="Palatino Linotype" w:cs="Arial"/>
          <w:i/>
          <w:color w:val="000000" w:themeColor="text1"/>
          <w:sz w:val="22"/>
          <w:szCs w:val="22"/>
          <w:lang w:val="es-ES"/>
        </w:rPr>
        <w:t xml:space="preserve"> de conformidad con e</w:t>
      </w:r>
      <w:r>
        <w:rPr>
          <w:rFonts w:ascii="Palatino Linotype" w:hAnsi="Palatino Linotype" w:cs="Arial"/>
          <w:i/>
          <w:color w:val="000000" w:themeColor="text1"/>
          <w:sz w:val="22"/>
          <w:szCs w:val="22"/>
          <w:lang w:val="es-ES"/>
        </w:rPr>
        <w:t xml:space="preserve">sta Constitución y con los tratados internacionales de la </w:t>
      </w:r>
      <w:r>
        <w:rPr>
          <w:rFonts w:ascii="Palatino Linotype" w:hAnsi="Palatino Linotype" w:cs="Arial"/>
          <w:b/>
          <w:i/>
          <w:color w:val="000000" w:themeColor="text1"/>
          <w:sz w:val="22"/>
          <w:szCs w:val="22"/>
          <w:lang w:val="es-ES"/>
        </w:rPr>
        <w:t xml:space="preserve">materia </w:t>
      </w:r>
      <w:r>
        <w:rPr>
          <w:rFonts w:ascii="Palatino Linotype" w:hAnsi="Palatino Linotype" w:cs="Arial"/>
          <w:b/>
          <w:i/>
          <w:color w:val="000000" w:themeColor="text1"/>
          <w:sz w:val="22"/>
          <w:szCs w:val="22"/>
          <w:u w:val="single"/>
          <w:lang w:val="es-ES"/>
        </w:rPr>
        <w:t>favoreciendo en todo tiempo a las personas la protección más amplia</w:t>
      </w:r>
      <w:r>
        <w:rPr>
          <w:rFonts w:ascii="Palatino Linotype" w:hAnsi="Palatino Linotype" w:cs="Arial"/>
          <w:b/>
          <w:i/>
          <w:color w:val="000000" w:themeColor="text1"/>
          <w:sz w:val="22"/>
          <w:szCs w:val="22"/>
          <w:lang w:val="es-ES"/>
        </w:rPr>
        <w:t>.</w:t>
      </w: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w:t>
      </w:r>
      <w:r>
        <w:rPr>
          <w:rFonts w:ascii="Palatino Linotype" w:hAnsi="Palatino Linotype" w:cs="Arial"/>
          <w:b/>
          <w:i/>
          <w:color w:val="000000" w:themeColor="text1"/>
          <w:sz w:val="22"/>
          <w:szCs w:val="22"/>
          <w:u w:val="single"/>
          <w:lang w:val="es-ES"/>
        </w:rPr>
        <w:t>r los derechos humanos de conformidad con los principios de universalidad, interdependencia, indivisibilidad y progresividad</w:t>
      </w:r>
      <w:r>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w:t>
      </w:r>
      <w:r>
        <w:rPr>
          <w:rFonts w:ascii="Palatino Linotype" w:hAnsi="Palatino Linotype" w:cs="Arial"/>
          <w:i/>
          <w:color w:val="000000" w:themeColor="text1"/>
          <w:sz w:val="22"/>
          <w:szCs w:val="22"/>
          <w:lang w:val="es-ES"/>
        </w:rPr>
        <w:t>s que establezca la ley.</w:t>
      </w:r>
      <w:r>
        <w:rPr>
          <w:rFonts w:ascii="Palatino Linotype" w:hAnsi="Palatino Linotype" w:cs="Arial"/>
          <w:b/>
          <w:i/>
          <w:color w:val="000000" w:themeColor="text1"/>
          <w:sz w:val="22"/>
          <w:szCs w:val="22"/>
          <w:lang w:val="es-ES"/>
        </w:rPr>
        <w:t>”</w:t>
      </w:r>
    </w:p>
    <w:p w:rsidR="00826465" w:rsidRDefault="007573A3">
      <w:pPr>
        <w:tabs>
          <w:tab w:val="left" w:pos="851"/>
        </w:tabs>
        <w:ind w:left="851" w:right="901"/>
        <w:jc w:val="both"/>
        <w:rPr>
          <w:rFonts w:ascii="Palatino Linotype" w:hAnsi="Palatino Linotype"/>
          <w:color w:val="000000" w:themeColor="text1"/>
          <w:sz w:val="22"/>
          <w:szCs w:val="22"/>
          <w:lang w:val="es-ES"/>
        </w:rPr>
      </w:pPr>
      <w:r>
        <w:rPr>
          <w:rFonts w:ascii="Palatino Linotype" w:hAnsi="Palatino Linotype"/>
          <w:color w:val="000000" w:themeColor="text1"/>
          <w:sz w:val="22"/>
          <w:szCs w:val="22"/>
          <w:lang w:val="es-ES"/>
        </w:rPr>
        <w:t>(Énfasis añadido)</w:t>
      </w:r>
    </w:p>
    <w:p w:rsidR="00826465" w:rsidRDefault="00826465">
      <w:pPr>
        <w:tabs>
          <w:tab w:val="left" w:pos="851"/>
        </w:tabs>
        <w:ind w:left="851" w:right="901"/>
        <w:jc w:val="both"/>
        <w:rPr>
          <w:rFonts w:ascii="Palatino Linotype" w:hAnsi="Palatino Linotype"/>
          <w:color w:val="000000" w:themeColor="text1"/>
          <w:sz w:val="22"/>
          <w:szCs w:val="22"/>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Pr>
          <w:rFonts w:ascii="Palatino Linotype" w:hAnsi="Palatino Linotype" w:cs="Arial"/>
          <w:color w:val="000000" w:themeColor="text1"/>
          <w:lang w:val="es-ES"/>
        </w:rPr>
        <w:t>alguno</w:t>
      </w:r>
      <w:r>
        <w:rPr>
          <w:rFonts w:ascii="Palatino Linotype" w:hAnsi="Palatino Linotype"/>
          <w:color w:val="000000" w:themeColor="text1"/>
          <w:lang w:val="es-ES"/>
        </w:rPr>
        <w:t xml:space="preserve"> o justificar su utilización, deberá tener acceso a la información pública, es decir, dicho </w:t>
      </w:r>
      <w:r>
        <w:rPr>
          <w:rFonts w:ascii="Palatino Linotype" w:hAnsi="Palatino Linotype" w:cs="Arial"/>
          <w:color w:val="000000" w:themeColor="text1"/>
          <w:lang w:val="es-ES"/>
        </w:rPr>
        <w:t>derecho</w:t>
      </w:r>
      <w:r>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w:t>
      </w:r>
      <w:r>
        <w:rPr>
          <w:rFonts w:ascii="Palatino Linotype" w:hAnsi="Palatino Linotype"/>
          <w:color w:val="000000" w:themeColor="text1"/>
          <w:lang w:val="es-ES"/>
        </w:rPr>
        <w:t>solicitud de acceso a la información pueda ser anónima o no contener un nombre que identifique al solicitante o que permita tener certeza sobre su identidad.</w:t>
      </w:r>
    </w:p>
    <w:p w:rsidR="00826465" w:rsidRDefault="00826465">
      <w:pPr>
        <w:spacing w:line="360" w:lineRule="auto"/>
        <w:jc w:val="both"/>
        <w:rPr>
          <w:rFonts w:ascii="Palatino Linotype" w:hAnsi="Palatino Linotype"/>
          <w:color w:val="000000" w:themeColor="text1"/>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Robustece lo anterior, el Criterio 6/2014 del entonces Instituto Federal de Acceso a la Informaci</w:t>
      </w:r>
      <w:r>
        <w:rPr>
          <w:rFonts w:ascii="Palatino Linotype" w:hAnsi="Palatino Linotype"/>
          <w:color w:val="000000" w:themeColor="text1"/>
          <w:lang w:val="es-ES"/>
        </w:rPr>
        <w:t>ón y Protección de Datos (IFAI), ahora Instituto Nacional de Transparencia, Acceso a la Información y Protección de Datos Personales (INAI), el cual se reproduce para una mayor referencia:</w:t>
      </w:r>
    </w:p>
    <w:p w:rsidR="00826465" w:rsidRDefault="00826465">
      <w:pPr>
        <w:jc w:val="both"/>
        <w:rPr>
          <w:rFonts w:ascii="Palatino Linotype" w:hAnsi="Palatino Linotype"/>
          <w:color w:val="000000" w:themeColor="text1"/>
          <w:lang w:val="es-ES"/>
        </w:rPr>
      </w:pPr>
    </w:p>
    <w:p w:rsidR="00826465" w:rsidRDefault="007573A3">
      <w:pPr>
        <w:tabs>
          <w:tab w:val="left" w:pos="851"/>
        </w:tabs>
        <w:ind w:left="851" w:right="901"/>
        <w:jc w:val="both"/>
        <w:rPr>
          <w:rFonts w:ascii="Palatino Linotype" w:hAnsi="Palatino Linotype" w:cs="Arial"/>
          <w:i/>
          <w:color w:val="000000" w:themeColor="text1"/>
          <w:sz w:val="22"/>
          <w:szCs w:val="22"/>
          <w:lang w:val="es-ES"/>
        </w:rPr>
      </w:pPr>
      <w:r>
        <w:rPr>
          <w:rFonts w:ascii="Palatino Linotype" w:hAnsi="Palatino Linotype" w:cs="Arial"/>
          <w:b/>
          <w:i/>
          <w:color w:val="000000" w:themeColor="text1"/>
          <w:sz w:val="22"/>
          <w:szCs w:val="22"/>
          <w:lang w:val="es-ES"/>
        </w:rPr>
        <w:lastRenderedPageBreak/>
        <w:t xml:space="preserve">“Acceso a información gubernamental. No debe condicionarse a que </w:t>
      </w:r>
      <w:r>
        <w:rPr>
          <w:rFonts w:ascii="Palatino Linotype" w:hAnsi="Palatino Linotype" w:cs="Arial"/>
          <w:b/>
          <w:i/>
          <w:color w:val="000000" w:themeColor="text1"/>
          <w:sz w:val="22"/>
          <w:szCs w:val="22"/>
          <w:lang w:val="es-ES"/>
        </w:rPr>
        <w:t>el solicitante acredite su personalidad, demuestre interés alguno o justifique su utilización.</w:t>
      </w:r>
      <w:r>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w:t>
      </w:r>
      <w:r>
        <w:rPr>
          <w:rFonts w:ascii="Palatino Linotype" w:hAnsi="Palatino Linotype" w:cs="Arial"/>
          <w:i/>
          <w:color w:val="000000" w:themeColor="text1"/>
          <w:sz w:val="22"/>
          <w:szCs w:val="22"/>
          <w:lang w:val="es-ES"/>
        </w:rPr>
        <w:t>la Ley Federal de Transparencia y Acceso a la Información Pública Gubernamental, la respuesta a una solicitud de acceso a información y entrega de la misma, no debe estar condicionada a que el particular acredite su personalidad, demuestre interés alguno o</w:t>
      </w:r>
      <w:r>
        <w:rPr>
          <w:rFonts w:ascii="Palatino Linotype" w:hAnsi="Palatino Linotype" w:cs="Arial"/>
          <w:i/>
          <w:color w:val="000000" w:themeColor="text1"/>
          <w:sz w:val="22"/>
          <w:szCs w:val="22"/>
          <w:lang w:val="es-ES"/>
        </w:rPr>
        <w:t xml:space="preserve"> justifique su utilización, en virtud de que los sujetos obligados no deben requerir al solicitante mayores requisitos que los establecidos en la Ley. En este sentido, las dependencias y entidades, sólo deberán asegurarse de que, en su caso, se haya cubier</w:t>
      </w:r>
      <w:r>
        <w:rPr>
          <w:rFonts w:ascii="Palatino Linotype" w:hAnsi="Palatino Linotype" w:cs="Arial"/>
          <w:i/>
          <w:color w:val="000000" w:themeColor="text1"/>
          <w:sz w:val="22"/>
          <w:szCs w:val="22"/>
          <w:lang w:val="es-ES"/>
        </w:rPr>
        <w:t>to el pago de reproducción y envío de la información, mediante la exhibición del recibo correspondiente.”</w:t>
      </w:r>
    </w:p>
    <w:p w:rsidR="00826465" w:rsidRDefault="00826465">
      <w:pPr>
        <w:tabs>
          <w:tab w:val="left" w:pos="851"/>
        </w:tabs>
        <w:ind w:left="851" w:right="901"/>
        <w:jc w:val="both"/>
        <w:rPr>
          <w:rFonts w:ascii="Palatino Linotype" w:hAnsi="Palatino Linotype" w:cs="Arial"/>
          <w:i/>
          <w:color w:val="000000" w:themeColor="text1"/>
          <w:sz w:val="22"/>
          <w:szCs w:val="22"/>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 xml:space="preserve">En ese orden de ideas, se estima que el requerimiento relativo al nombre como presupuesto de </w:t>
      </w:r>
      <w:proofErr w:type="spellStart"/>
      <w:r>
        <w:rPr>
          <w:rFonts w:ascii="Palatino Linotype" w:hAnsi="Palatino Linotype"/>
          <w:color w:val="000000" w:themeColor="text1"/>
          <w:lang w:val="es-ES"/>
        </w:rPr>
        <w:t>procedibilidad</w:t>
      </w:r>
      <w:proofErr w:type="spellEnd"/>
      <w:r>
        <w:rPr>
          <w:rFonts w:ascii="Palatino Linotype" w:hAnsi="Palatino Linotype"/>
          <w:color w:val="000000" w:themeColor="text1"/>
          <w:lang w:val="es-ES"/>
        </w:rPr>
        <w:t xml:space="preserve">, </w:t>
      </w:r>
      <w:r>
        <w:rPr>
          <w:rFonts w:ascii="Palatino Linotype" w:hAnsi="Palatino Linotype" w:cs="Arial"/>
          <w:color w:val="000000" w:themeColor="text1"/>
          <w:lang w:val="es-ES"/>
        </w:rPr>
        <w:t>podría</w:t>
      </w:r>
      <w:r>
        <w:rPr>
          <w:rFonts w:ascii="Palatino Linotype" w:hAnsi="Palatino Linotype"/>
          <w:color w:val="000000" w:themeColor="text1"/>
          <w:lang w:val="es-ES"/>
        </w:rPr>
        <w:t xml:space="preserve"> limitar el ejercicio del derecho </w:t>
      </w:r>
      <w:r>
        <w:rPr>
          <w:rFonts w:ascii="Palatino Linotype" w:hAnsi="Palatino Linotype"/>
          <w:color w:val="000000" w:themeColor="text1"/>
          <w:lang w:val="es-ES"/>
        </w:rPr>
        <w:t>de acceso a la información pública, debido a que, el hecho de solicitar la identificación del</w:t>
      </w:r>
      <w:r>
        <w:rPr>
          <w:rFonts w:ascii="Palatino Linotype" w:hAnsi="Palatino Linotype" w:cs="Arial"/>
          <w:b/>
          <w:color w:val="000000" w:themeColor="text1"/>
          <w:lang w:val="es-ES"/>
        </w:rPr>
        <w:t xml:space="preserve"> RECURRENTE</w:t>
      </w:r>
      <w:r>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w:t>
      </w:r>
      <w:r>
        <w:rPr>
          <w:rFonts w:ascii="Palatino Linotype" w:hAnsi="Palatino Linotype"/>
          <w:color w:val="000000" w:themeColor="text1"/>
          <w:lang w:val="es-ES"/>
        </w:rPr>
        <w:t>lmente haría nugatorio un derecho fundamental.</w:t>
      </w:r>
    </w:p>
    <w:p w:rsidR="00826465" w:rsidRDefault="00826465">
      <w:pPr>
        <w:spacing w:line="360" w:lineRule="auto"/>
        <w:jc w:val="both"/>
        <w:rPr>
          <w:rFonts w:ascii="Palatino Linotype" w:hAnsi="Palatino Linotype"/>
          <w:color w:val="000000" w:themeColor="text1"/>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Aunado a ello, para el estudio de la materia sobre la que se resuelve el presente recurso de revisión, resulta intrascendente conocer el nombre de la persona que lo hubiere promovido, en virtud de que tanto l</w:t>
      </w:r>
      <w:r>
        <w:rPr>
          <w:rFonts w:ascii="Palatino Linotype" w:hAnsi="Palatino Linotype"/>
          <w:color w:val="000000" w:themeColor="text1"/>
          <w:lang w:val="es-ES"/>
        </w:rPr>
        <w:t xml:space="preserve">a </w:t>
      </w:r>
      <w:r>
        <w:rPr>
          <w:rFonts w:ascii="Palatino Linotype" w:hAnsi="Palatino Linotype" w:cs="Arial"/>
          <w:color w:val="000000" w:themeColor="text1"/>
          <w:lang w:val="es-ES"/>
        </w:rPr>
        <w:t>Constitución</w:t>
      </w:r>
      <w:r>
        <w:rPr>
          <w:rFonts w:ascii="Palatino Linotype" w:hAnsi="Palatino Linotype"/>
          <w:color w:val="000000" w:themeColor="text1"/>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w:t>
      </w:r>
      <w:r>
        <w:rPr>
          <w:rFonts w:ascii="Palatino Linotype" w:hAnsi="Palatino Linotype"/>
          <w:color w:val="000000" w:themeColor="text1"/>
          <w:lang w:val="es-ES"/>
        </w:rPr>
        <w:t xml:space="preserve">esulta ocioso realizar dicho análisis, en la inteligencia de que se limitaría el ejercicio de un Derecho Humano, como el Derecho de Acceso a la Información Pública, por una cuestión procedimental. </w:t>
      </w:r>
    </w:p>
    <w:p w:rsidR="00826465" w:rsidRDefault="00826465">
      <w:pPr>
        <w:tabs>
          <w:tab w:val="left" w:pos="1968"/>
        </w:tabs>
        <w:spacing w:line="360" w:lineRule="auto"/>
        <w:jc w:val="both"/>
        <w:rPr>
          <w:rFonts w:ascii="Palatino Linotype" w:hAnsi="Palatino Linotype"/>
          <w:color w:val="000000" w:themeColor="text1"/>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lastRenderedPageBreak/>
        <w:t>Asimismo, se estima que el requisito relativo al nombre d</w:t>
      </w:r>
      <w:r>
        <w:rPr>
          <w:rFonts w:ascii="Palatino Linotype" w:hAnsi="Palatino Linotype"/>
          <w:color w:val="000000" w:themeColor="text1"/>
          <w:lang w:val="es-ES"/>
        </w:rPr>
        <w:t xml:space="preserve">el </w:t>
      </w:r>
      <w:r>
        <w:rPr>
          <w:rFonts w:ascii="Palatino Linotype" w:hAnsi="Palatino Linotype" w:cs="Arial"/>
          <w:b/>
          <w:color w:val="000000" w:themeColor="text1"/>
          <w:lang w:val="es-ES"/>
        </w:rPr>
        <w:t>RECURRENTE</w:t>
      </w:r>
      <w:r>
        <w:rPr>
          <w:rFonts w:ascii="Palatino Linotype" w:hAnsi="Palatino Linotype"/>
          <w:color w:val="000000" w:themeColor="text1"/>
          <w:lang w:val="es-ES"/>
        </w:rPr>
        <w:t xml:space="preserve"> no constituye un presupuesto indispensable de </w:t>
      </w:r>
      <w:proofErr w:type="spellStart"/>
      <w:r>
        <w:rPr>
          <w:rFonts w:ascii="Palatino Linotype" w:hAnsi="Palatino Linotype"/>
          <w:color w:val="000000" w:themeColor="text1"/>
          <w:lang w:val="es-ES"/>
        </w:rPr>
        <w:t>procedibilidad</w:t>
      </w:r>
      <w:proofErr w:type="spellEnd"/>
      <w:r>
        <w:rPr>
          <w:rFonts w:ascii="Palatino Linotype" w:hAnsi="Palatino Linotype"/>
          <w:color w:val="000000" w:themeColor="text1"/>
          <w:lang w:val="es-ES"/>
        </w:rPr>
        <w:t xml:space="preserve"> de los recursos de revisión, en términos de los artículos 25 de la Convención Americana de Derechos Humanos, 1 párrafos segundo y tercero, 6 apartado A, fracciones III y IV de la Co</w:t>
      </w:r>
      <w:r>
        <w:rPr>
          <w:rFonts w:ascii="Palatino Linotype" w:hAnsi="Palatino Linotype"/>
          <w:color w:val="000000" w:themeColor="text1"/>
          <w:lang w:val="es-ES"/>
        </w:rPr>
        <w:t>nstitución Política de los Estados Unidos Mexicanos y 5, párrafo vigésimo segundo de la Constitución Política del Estado Libre y Soberano de México, debido a que el acceso a la información pública es un Derecho Humano que no requiere legitimación en la cau</w:t>
      </w:r>
      <w:r>
        <w:rPr>
          <w:rFonts w:ascii="Palatino Linotype" w:hAnsi="Palatino Linotype"/>
          <w:color w:val="000000" w:themeColor="text1"/>
          <w:lang w:val="es-ES"/>
        </w:rPr>
        <w:t xml:space="preserve">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cs="Arial"/>
          <w:b/>
          <w:color w:val="000000" w:themeColor="text1"/>
          <w:lang w:val="es-ES"/>
        </w:rPr>
        <w:t>EL RECURRENTE</w:t>
      </w:r>
      <w:r>
        <w:rPr>
          <w:rFonts w:ascii="Palatino Linotype" w:hAnsi="Palatino Linotype"/>
          <w:color w:val="000000" w:themeColor="text1"/>
          <w:lang w:val="es-ES"/>
        </w:rPr>
        <w:t xml:space="preserve"> es la misma persona que realiz</w:t>
      </w:r>
      <w:r>
        <w:rPr>
          <w:rFonts w:ascii="Palatino Linotype" w:hAnsi="Palatino Linotype"/>
          <w:color w:val="000000" w:themeColor="text1"/>
          <w:lang w:val="es-ES"/>
        </w:rPr>
        <w:t>ó la solicitud de acceso a la información pública que ahora se impugna.</w:t>
      </w:r>
    </w:p>
    <w:p w:rsidR="00826465" w:rsidRDefault="00826465">
      <w:pPr>
        <w:spacing w:line="360" w:lineRule="auto"/>
        <w:jc w:val="both"/>
        <w:rPr>
          <w:rFonts w:ascii="Palatino Linotype" w:hAnsi="Palatino Linotype"/>
          <w:color w:val="000000" w:themeColor="text1"/>
          <w:lang w:val="es-ES"/>
        </w:rPr>
      </w:pPr>
    </w:p>
    <w:p w:rsidR="00826465" w:rsidRDefault="007573A3">
      <w:pPr>
        <w:spacing w:line="360" w:lineRule="auto"/>
        <w:jc w:val="both"/>
        <w:rPr>
          <w:rFonts w:ascii="Palatino Linotype" w:hAnsi="Palatino Linotype"/>
          <w:color w:val="000000" w:themeColor="text1"/>
          <w:lang w:val="es-ES"/>
        </w:rPr>
      </w:pPr>
      <w:r>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w:t>
      </w:r>
      <w:r>
        <w:rPr>
          <w:rFonts w:ascii="Palatino Linotype" w:hAnsi="Palatino Linotype"/>
          <w:color w:val="000000" w:themeColor="text1"/>
          <w:lang w:val="es-ES"/>
        </w:rPr>
        <w:t>nga determinados requisitos, entre ellos, el nombre del</w:t>
      </w:r>
      <w:r>
        <w:rPr>
          <w:rFonts w:ascii="Palatino Linotype" w:hAnsi="Palatino Linotype" w:cs="Arial"/>
          <w:b/>
          <w:color w:val="000000" w:themeColor="text1"/>
          <w:lang w:val="es-ES"/>
        </w:rPr>
        <w:t xml:space="preserve"> RECURRENTE;</w:t>
      </w:r>
      <w:r>
        <w:rPr>
          <w:rFonts w:ascii="Palatino Linotype" w:hAnsi="Palatino Linotype"/>
          <w:color w:val="000000" w:themeColor="text1"/>
          <w:lang w:val="es-ES"/>
        </w:rPr>
        <w:t xml:space="preserve"> por lo que, en el presente caso, al haber sido presentado el recurso de revisión vía </w:t>
      </w:r>
      <w:r>
        <w:rPr>
          <w:rFonts w:ascii="Palatino Linotype" w:hAnsi="Palatino Linotype"/>
          <w:b/>
          <w:color w:val="000000" w:themeColor="text1"/>
          <w:lang w:val="es-ES"/>
        </w:rPr>
        <w:t>SAIMEX</w:t>
      </w:r>
      <w:r>
        <w:rPr>
          <w:rFonts w:ascii="Palatino Linotype" w:hAnsi="Palatino Linotype"/>
          <w:color w:val="000000" w:themeColor="text1"/>
          <w:lang w:val="es-ES"/>
        </w:rPr>
        <w:t>, dicho requisito resulta innecesario.</w:t>
      </w:r>
    </w:p>
    <w:p w:rsidR="00826465" w:rsidRDefault="00826465">
      <w:pPr>
        <w:spacing w:line="360" w:lineRule="auto"/>
        <w:jc w:val="both"/>
        <w:rPr>
          <w:rFonts w:ascii="Palatino Linotype" w:hAnsi="Palatino Linotype"/>
          <w:b/>
          <w:color w:val="000000" w:themeColor="text1"/>
          <w:lang w:val="es-ES"/>
        </w:rPr>
      </w:pPr>
    </w:p>
    <w:p w:rsidR="00826465" w:rsidRDefault="007573A3">
      <w:pPr>
        <w:spacing w:line="360" w:lineRule="auto"/>
        <w:ind w:right="49"/>
        <w:jc w:val="both"/>
        <w:rPr>
          <w:rFonts w:ascii="Palatino Linotype" w:hAnsi="Palatino Linotype"/>
          <w:b/>
          <w:color w:val="000000" w:themeColor="text1"/>
          <w:sz w:val="28"/>
          <w:szCs w:val="28"/>
          <w:lang w:val="es-ES"/>
        </w:rPr>
      </w:pPr>
      <w:r>
        <w:rPr>
          <w:rFonts w:ascii="Palatino Linotype" w:hAnsi="Palatino Linotype" w:cs="Arial"/>
          <w:b/>
          <w:color w:val="000000" w:themeColor="text1"/>
          <w:sz w:val="28"/>
          <w:szCs w:val="28"/>
        </w:rPr>
        <w:t>QUINTO</w:t>
      </w:r>
      <w:r>
        <w:rPr>
          <w:rFonts w:ascii="Palatino Linotype" w:hAnsi="Palatino Linotype" w:cs="Arial"/>
          <w:b/>
          <w:color w:val="000000" w:themeColor="text1"/>
        </w:rPr>
        <w:t xml:space="preserve">. </w:t>
      </w:r>
      <w:r>
        <w:rPr>
          <w:rFonts w:ascii="Palatino Linotype" w:hAnsi="Palatino Linotype" w:cs="Arial"/>
          <w:b/>
          <w:color w:val="000000" w:themeColor="text1"/>
          <w:lang w:val="es-ES"/>
        </w:rPr>
        <w:t>Análisis de la causal de sobreseimiento</w:t>
      </w:r>
      <w:r>
        <w:rPr>
          <w:rFonts w:ascii="Palatino Linotype" w:hAnsi="Palatino Linotype"/>
          <w:b/>
          <w:color w:val="000000" w:themeColor="text1"/>
          <w:lang w:val="es-ES"/>
        </w:rPr>
        <w:t>.</w:t>
      </w:r>
      <w:r>
        <w:rPr>
          <w:rFonts w:ascii="Palatino Linotype" w:hAnsi="Palatino Linotype" w:cs="Arial"/>
          <w:color w:val="000000" w:themeColor="text1"/>
          <w:lang w:val="es-ES"/>
        </w:rPr>
        <w:t xml:space="preserve"> </w:t>
      </w:r>
      <w:r>
        <w:rPr>
          <w:rFonts w:ascii="Palatino Linotype" w:hAnsi="Palatino Linotype"/>
          <w:color w:val="000000" w:themeColor="text1"/>
          <w:lang w:val="es-ES"/>
        </w:rPr>
        <w:t xml:space="preserve">En este contexto este Órgano Colegiado advierte que en el caso, se actualiza la causal de sobreseimiento prevista en la fracción V del artículo 192 </w:t>
      </w:r>
      <w:r>
        <w:rPr>
          <w:rFonts w:ascii="Palatino Linotype" w:hAnsi="Palatino Linotype" w:cs="Arial"/>
          <w:color w:val="000000" w:themeColor="text1"/>
          <w:lang w:val="es-ES"/>
        </w:rPr>
        <w:t xml:space="preserve">de la </w:t>
      </w:r>
      <w:r>
        <w:rPr>
          <w:rFonts w:ascii="Palatino Linotype" w:hAnsi="Palatino Linotype"/>
          <w:color w:val="000000" w:themeColor="text1"/>
          <w:lang w:val="es-ES"/>
        </w:rPr>
        <w:t xml:space="preserve">Ley de Transparencia y Acceso a la Información Pública del Estado de México y Municipios, que dispone </w:t>
      </w:r>
      <w:r>
        <w:rPr>
          <w:rFonts w:ascii="Palatino Linotype" w:hAnsi="Palatino Linotype"/>
          <w:color w:val="000000" w:themeColor="text1"/>
          <w:lang w:val="es-ES"/>
        </w:rPr>
        <w:t>lo siguiente:</w:t>
      </w:r>
    </w:p>
    <w:p w:rsidR="00826465" w:rsidRDefault="00826465">
      <w:pPr>
        <w:jc w:val="both"/>
        <w:rPr>
          <w:rFonts w:ascii="Palatino Linotype" w:hAnsi="Palatino Linotype"/>
          <w:color w:val="000000" w:themeColor="text1"/>
          <w:lang w:val="es-ES"/>
        </w:rPr>
      </w:pP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lastRenderedPageBreak/>
        <w:t>“</w:t>
      </w:r>
      <w:r>
        <w:rPr>
          <w:rFonts w:ascii="Palatino Linotype" w:hAnsi="Palatino Linotype" w:cs="Arial"/>
          <w:b/>
          <w:i/>
          <w:color w:val="000000" w:themeColor="text1"/>
          <w:sz w:val="22"/>
          <w:szCs w:val="22"/>
          <w:lang w:val="es-ES"/>
        </w:rPr>
        <w:t>Artículo 192</w:t>
      </w:r>
      <w:r>
        <w:rPr>
          <w:rFonts w:ascii="Palatino Linotype" w:hAnsi="Palatino Linotype" w:cs="Arial"/>
          <w:i/>
          <w:color w:val="000000" w:themeColor="text1"/>
          <w:sz w:val="22"/>
          <w:szCs w:val="22"/>
          <w:lang w:val="es-ES"/>
        </w:rPr>
        <w:t>. El recurso será sobreseído, en todo o en parte, cuando una vez admitido, se actualicen alguno de los siguientes supuestos:</w:t>
      </w:r>
    </w:p>
    <w:p w:rsidR="00826465" w:rsidRDefault="007573A3">
      <w:pPr>
        <w:ind w:left="851" w:right="1134"/>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w:t>
      </w:r>
    </w:p>
    <w:p w:rsidR="00826465" w:rsidRDefault="007573A3">
      <w:pPr>
        <w:ind w:left="851" w:right="1134"/>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V. Cuando por cualquier motivo quede sin materia el recurso.”</w:t>
      </w:r>
    </w:p>
    <w:p w:rsidR="00826465" w:rsidRDefault="00826465">
      <w:pPr>
        <w:ind w:left="851" w:right="1134"/>
        <w:jc w:val="both"/>
        <w:rPr>
          <w:rFonts w:ascii="Palatino Linotype" w:hAnsi="Palatino Linotype" w:cs="Arial"/>
          <w:i/>
          <w:color w:val="000000" w:themeColor="text1"/>
          <w:lang w:val="es-ES"/>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Luego, conforme a la transcripción </w:t>
      </w:r>
      <w:r>
        <w:rPr>
          <w:rFonts w:ascii="Palatino Linotype" w:hAnsi="Palatino Linotype" w:cs="Arial"/>
          <w:color w:val="000000" w:themeColor="text1"/>
          <w:lang w:val="es-ES"/>
        </w:rPr>
        <w:t>que antecede se advierte como causal de sobreseimiento una vez admitido el recurso de revisión, cuando por cualquier causa o motivo quede sin materia el mismo. Es decir, el presente recurso de revisión ha quedado sin materia debido a que, conforme al análi</w:t>
      </w:r>
      <w:r>
        <w:rPr>
          <w:rFonts w:ascii="Palatino Linotype" w:hAnsi="Palatino Linotype" w:cs="Arial"/>
          <w:color w:val="000000" w:themeColor="text1"/>
          <w:lang w:val="es-ES"/>
        </w:rPr>
        <w:t>sis efectuado por este Órgano Autónomo, se advierte lo siguiente:</w:t>
      </w:r>
    </w:p>
    <w:p w:rsidR="00826465" w:rsidRDefault="00826465">
      <w:pPr>
        <w:spacing w:line="360" w:lineRule="auto"/>
        <w:ind w:right="49"/>
        <w:jc w:val="both"/>
        <w:rPr>
          <w:rFonts w:ascii="Palatino Linotype" w:hAnsi="Palatino Linotype" w:cs="Arial"/>
          <w:color w:val="000000" w:themeColor="text1"/>
          <w:lang w:val="es-ES"/>
        </w:rPr>
      </w:pPr>
    </w:p>
    <w:p w:rsidR="00826465" w:rsidRDefault="007573A3">
      <w:pPr>
        <w:spacing w:line="360" w:lineRule="auto"/>
        <w:jc w:val="both"/>
        <w:rPr>
          <w:rFonts w:ascii="Palatino Linotype" w:hAnsi="Palatino Linotype" w:cs="Arial"/>
          <w:color w:val="000000" w:themeColor="text1"/>
        </w:rPr>
      </w:pPr>
      <w:r>
        <w:rPr>
          <w:rFonts w:ascii="Palatino Linotype" w:eastAsiaTheme="minorHAnsi" w:hAnsi="Palatino Linotype"/>
          <w:color w:val="000000" w:themeColor="text1"/>
          <w:lang w:eastAsia="en-US"/>
        </w:rPr>
        <w:t>Una vez precisado lo anterior, se procede al análisis de las d</w:t>
      </w:r>
      <w:r>
        <w:rPr>
          <w:rFonts w:ascii="Palatino Linotype" w:hAnsi="Palatino Linotype" w:cs="Arial"/>
          <w:color w:val="000000" w:themeColor="text1"/>
        </w:rPr>
        <w:t xml:space="preserve">ocumentales que integran de la totalidad de las constancias que integran el expediente electrónico del </w:t>
      </w:r>
      <w:r>
        <w:rPr>
          <w:rFonts w:ascii="Palatino Linotype" w:hAnsi="Palatino Linotype" w:cs="Arial"/>
          <w:b/>
          <w:color w:val="000000" w:themeColor="text1"/>
        </w:rPr>
        <w:t>SAIMEX</w:t>
      </w:r>
      <w:r>
        <w:rPr>
          <w:rFonts w:ascii="Palatino Linotype" w:hAnsi="Palatino Linotype" w:cs="Arial"/>
          <w:color w:val="000000" w:themeColor="text1"/>
        </w:rPr>
        <w:t xml:space="preserve">; por </w:t>
      </w:r>
      <w:r>
        <w:rPr>
          <w:rFonts w:ascii="Palatino Linotype" w:eastAsia="Calibri" w:hAnsi="Palatino Linotype" w:cs="Arial"/>
          <w:color w:val="000000" w:themeColor="text1"/>
        </w:rPr>
        <w:t xml:space="preserve">consiguiente, </w:t>
      </w:r>
      <w:r>
        <w:rPr>
          <w:rFonts w:ascii="Palatino Linotype" w:hAnsi="Palatino Linotype" w:cs="Arial"/>
          <w:color w:val="000000" w:themeColor="text1"/>
        </w:rPr>
        <w:t xml:space="preserve">es importante </w:t>
      </w:r>
      <w:r>
        <w:rPr>
          <w:rFonts w:ascii="Palatino Linotype" w:hAnsi="Palatino Linotype" w:cs="Arial"/>
          <w:color w:val="000000" w:themeColor="text1"/>
        </w:rPr>
        <w:t xml:space="preserve">hacer la precisión que si bien </w:t>
      </w:r>
      <w:r>
        <w:rPr>
          <w:rFonts w:ascii="Palatino Linotype" w:hAnsi="Palatino Linotype" w:cs="Arial"/>
          <w:b/>
          <w:color w:val="000000" w:themeColor="text1"/>
        </w:rPr>
        <w:t>EL RECURRENTE</w:t>
      </w:r>
      <w:r>
        <w:rPr>
          <w:rFonts w:ascii="Palatino Linotype" w:hAnsi="Palatino Linotype" w:cs="Arial"/>
          <w:color w:val="000000" w:themeColor="text1"/>
        </w:rPr>
        <w:t xml:space="preserve"> en su solicitud refirió que requería copias simples del expediente </w:t>
      </w:r>
      <w:r>
        <w:rPr>
          <w:rFonts w:ascii="Palatino Linotype" w:hAnsi="Palatino Linotype"/>
          <w:color w:val="000000" w:themeColor="text1"/>
          <w:lang w:val="es-ES"/>
        </w:rPr>
        <w:t xml:space="preserve">integrado de la C. Georgina Álvarez Hernández como candidata electa del Partido Morena ante </w:t>
      </w:r>
      <w:r>
        <w:rPr>
          <w:rFonts w:ascii="Palatino Linotype" w:hAnsi="Palatino Linotype"/>
          <w:b/>
          <w:color w:val="000000" w:themeColor="text1"/>
          <w:lang w:val="es-ES"/>
        </w:rPr>
        <w:t>EL SUJETO OBLIGADO</w:t>
      </w:r>
      <w:r>
        <w:rPr>
          <w:rFonts w:ascii="Palatino Linotype" w:hAnsi="Palatino Linotype" w:cs="Arial"/>
          <w:color w:val="000000" w:themeColor="text1"/>
        </w:rPr>
        <w:t>, tamb</w:t>
      </w:r>
      <w:r>
        <w:rPr>
          <w:rFonts w:ascii="Palatino Linotype" w:hAnsi="Palatino Linotype" w:cs="Arial"/>
          <w:color w:val="000000" w:themeColor="text1"/>
        </w:rPr>
        <w:t xml:space="preserve">ién lo es, que señaló como medio de entrega vía </w:t>
      </w:r>
      <w:r>
        <w:rPr>
          <w:rFonts w:ascii="Palatino Linotype" w:hAnsi="Palatino Linotype" w:cs="Arial"/>
          <w:b/>
          <w:color w:val="000000" w:themeColor="text1"/>
        </w:rPr>
        <w:t>SAIMEX</w:t>
      </w:r>
      <w:r>
        <w:rPr>
          <w:rFonts w:ascii="Palatino Linotype" w:hAnsi="Palatino Linotype" w:cs="Arial"/>
          <w:color w:val="000000" w:themeColor="text1"/>
        </w:rPr>
        <w:t xml:space="preserve">, por lo que, se entenderá que la información solicitada la requiere en dicho medio. </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Al respecto,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mediante respuesta hizo entrega de los documentos que deben presentar los candidatos para su registro, los cuales se encuentran contemplados en el artículo 252 del Código Electoral del Estado de México, mismo que se inserta a continuación para mayo referen</w:t>
      </w:r>
      <w:r>
        <w:rPr>
          <w:rFonts w:ascii="Palatino Linotype" w:hAnsi="Palatino Linotype" w:cs="Arial"/>
          <w:color w:val="000000" w:themeColor="text1"/>
        </w:rPr>
        <w:t xml:space="preserve">cia: </w:t>
      </w:r>
    </w:p>
    <w:p w:rsidR="00826465" w:rsidRDefault="00826465">
      <w:pPr>
        <w:ind w:left="851" w:right="899"/>
        <w:jc w:val="both"/>
        <w:rPr>
          <w:rFonts w:ascii="Palatino Linotype" w:hAnsi="Palatino Linotype" w:cs="Arial"/>
          <w:i/>
          <w:color w:val="000000" w:themeColor="text1"/>
          <w:sz w:val="22"/>
          <w:szCs w:val="22"/>
          <w:lang w:val="es-ES"/>
        </w:rPr>
      </w:pP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w:t>
      </w:r>
      <w:r>
        <w:rPr>
          <w:rFonts w:ascii="Palatino Linotype" w:hAnsi="Palatino Linotype" w:cs="Arial"/>
          <w:b/>
          <w:i/>
          <w:color w:val="000000" w:themeColor="text1"/>
          <w:sz w:val="22"/>
          <w:szCs w:val="22"/>
          <w:lang w:val="es-ES"/>
        </w:rPr>
        <w:t>Artículo 252.</w:t>
      </w:r>
      <w:r>
        <w:rPr>
          <w:rFonts w:ascii="Palatino Linotype" w:hAnsi="Palatino Linotype" w:cs="Arial"/>
          <w:i/>
          <w:color w:val="000000" w:themeColor="text1"/>
          <w:sz w:val="22"/>
          <w:szCs w:val="22"/>
          <w:lang w:val="es-ES"/>
        </w:rPr>
        <w:t xml:space="preserve"> La </w:t>
      </w:r>
      <w:r>
        <w:rPr>
          <w:rFonts w:ascii="Palatino Linotype" w:hAnsi="Palatino Linotype" w:cs="Arial"/>
          <w:b/>
          <w:i/>
          <w:color w:val="000000" w:themeColor="text1"/>
          <w:sz w:val="22"/>
          <w:szCs w:val="22"/>
          <w:lang w:val="es-ES"/>
        </w:rPr>
        <w:t>solicitud de registro</w:t>
      </w:r>
      <w:r>
        <w:rPr>
          <w:rFonts w:ascii="Palatino Linotype" w:hAnsi="Palatino Linotype" w:cs="Arial"/>
          <w:i/>
          <w:color w:val="000000" w:themeColor="text1"/>
          <w:sz w:val="22"/>
          <w:szCs w:val="22"/>
          <w:lang w:val="es-ES"/>
        </w:rPr>
        <w:t xml:space="preserve"> de candidaturas deberá señalar el partido político o coalición que las postula y los siguientes datos del candidato: </w:t>
      </w:r>
    </w:p>
    <w:p w:rsidR="00826465" w:rsidRDefault="007573A3">
      <w:pPr>
        <w:tabs>
          <w:tab w:val="left" w:pos="3612"/>
        </w:tabs>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ab/>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lastRenderedPageBreak/>
        <w:t xml:space="preserve">I. Apellido paterno, apellido materno y nombre completo.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 xml:space="preserve">II. Lugar y fecha de nacimiento.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 xml:space="preserve">III. Domicilio y tiempo de residencia en el mismo.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 xml:space="preserve">IV. Ocupación.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 xml:space="preserve">V. Clave de la credencial para votar.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 xml:space="preserve">VI. Cargo para el que se postula. </w:t>
      </w:r>
    </w:p>
    <w:p w:rsidR="00826465" w:rsidRDefault="00826465">
      <w:pPr>
        <w:ind w:left="851" w:right="899"/>
        <w:jc w:val="both"/>
        <w:rPr>
          <w:rFonts w:ascii="Palatino Linotype" w:hAnsi="Palatino Linotype" w:cs="Arial"/>
          <w:i/>
          <w:color w:val="000000" w:themeColor="text1"/>
          <w:sz w:val="22"/>
          <w:szCs w:val="22"/>
          <w:lang w:val="es-ES"/>
        </w:rPr>
      </w:pP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Los candidatos a diputados e integrantes de ayuntamientos que busquen reelegirs</w:t>
      </w:r>
      <w:r>
        <w:rPr>
          <w:rFonts w:ascii="Palatino Linotype" w:hAnsi="Palatino Linotype" w:cs="Arial"/>
          <w:i/>
          <w:color w:val="000000" w:themeColor="text1"/>
          <w:sz w:val="22"/>
          <w:szCs w:val="22"/>
          <w:lang w:val="es-ES"/>
        </w:rPr>
        <w:t xml:space="preserve">e en sus cargos, </w:t>
      </w:r>
      <w:r>
        <w:rPr>
          <w:rFonts w:ascii="Palatino Linotype" w:hAnsi="Palatino Linotype" w:cs="Arial"/>
          <w:b/>
          <w:i/>
          <w:color w:val="000000" w:themeColor="text1"/>
          <w:sz w:val="22"/>
          <w:szCs w:val="22"/>
          <w:lang w:val="es-ES"/>
        </w:rPr>
        <w:t>deberán acompañar una carta que especifique los periodos para los que han sido electos en ese cargo y la manifestación de estar cumpliendo los límites establecidos por la Constitución Federal y la Local.</w:t>
      </w:r>
      <w:r>
        <w:rPr>
          <w:rFonts w:ascii="Palatino Linotype" w:hAnsi="Palatino Linotype" w:cs="Arial"/>
          <w:i/>
          <w:color w:val="000000" w:themeColor="text1"/>
          <w:sz w:val="22"/>
          <w:szCs w:val="22"/>
          <w:lang w:val="es-ES"/>
        </w:rPr>
        <w:t xml:space="preserve">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La solicitud de propietarios y sup</w:t>
      </w:r>
      <w:r>
        <w:rPr>
          <w:rFonts w:ascii="Palatino Linotype" w:hAnsi="Palatino Linotype" w:cs="Arial"/>
          <w:i/>
          <w:color w:val="000000" w:themeColor="text1"/>
          <w:sz w:val="22"/>
          <w:szCs w:val="22"/>
          <w:lang w:val="es-ES"/>
        </w:rPr>
        <w:t xml:space="preserve">lentes deberá acompañarse de la declaración de </w:t>
      </w:r>
      <w:r>
        <w:rPr>
          <w:rFonts w:ascii="Palatino Linotype" w:hAnsi="Palatino Linotype" w:cs="Arial"/>
          <w:b/>
          <w:i/>
          <w:color w:val="000000" w:themeColor="text1"/>
          <w:sz w:val="22"/>
          <w:szCs w:val="22"/>
          <w:lang w:val="es-ES"/>
        </w:rPr>
        <w:t>aceptación de la candidatura, copia del acta de nacimiento y de la credencial para votar, así como de la constancia de residencia y la constancia que acredite estar inscrito en la lista nominal de electores</w:t>
      </w:r>
      <w:r>
        <w:rPr>
          <w:rFonts w:ascii="Palatino Linotype" w:hAnsi="Palatino Linotype" w:cs="Arial"/>
          <w:i/>
          <w:color w:val="000000" w:themeColor="text1"/>
          <w:sz w:val="22"/>
          <w:szCs w:val="22"/>
          <w:lang w:val="es-ES"/>
        </w:rPr>
        <w:t xml:space="preserve">. </w:t>
      </w:r>
    </w:p>
    <w:p w:rsidR="00826465" w:rsidRDefault="007573A3">
      <w:pPr>
        <w:ind w:left="851" w:right="899"/>
        <w:jc w:val="both"/>
        <w:rPr>
          <w:rFonts w:ascii="Palatino Linotype" w:hAnsi="Palatino Linotype" w:cs="Arial"/>
          <w:b/>
          <w:i/>
          <w:color w:val="000000" w:themeColor="text1"/>
          <w:sz w:val="22"/>
          <w:szCs w:val="22"/>
          <w:lang w:val="es-ES"/>
        </w:rPr>
      </w:pPr>
      <w:r>
        <w:rPr>
          <w:rFonts w:ascii="Palatino Linotype" w:hAnsi="Palatino Linotype" w:cs="Arial"/>
          <w:b/>
          <w:i/>
          <w:color w:val="000000" w:themeColor="text1"/>
          <w:sz w:val="22"/>
          <w:szCs w:val="22"/>
          <w:lang w:val="es-ES"/>
        </w:rPr>
        <w:t xml:space="preserve">El partido político postulante deberá manifestar por escrito que los candidatos cuyo registro solicitan, fueron seleccionados de conformidad con las normas estatutarias del propio partido.” </w:t>
      </w:r>
    </w:p>
    <w:p w:rsidR="00826465" w:rsidRDefault="007573A3">
      <w:pPr>
        <w:ind w:left="851" w:right="899"/>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(Énfasis añadido)</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Lo anterior es así, pues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me</w:t>
      </w:r>
      <w:r>
        <w:rPr>
          <w:rFonts w:ascii="Palatino Linotype" w:hAnsi="Palatino Linotype" w:cs="Arial"/>
          <w:color w:val="000000" w:themeColor="text1"/>
        </w:rPr>
        <w:t xml:space="preserve">diante respuesta remitió los siguientes documentos: </w:t>
      </w:r>
    </w:p>
    <w:p w:rsidR="00826465" w:rsidRDefault="00826465">
      <w:pPr>
        <w:spacing w:line="360" w:lineRule="auto"/>
        <w:jc w:val="both"/>
        <w:rPr>
          <w:rFonts w:ascii="Palatino Linotype" w:hAnsi="Palatino Linotype" w:cs="Arial"/>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Formato de solicitud para el registro de una Candidatura a miembro del Ayuntamiento. </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Formato de declaratoria de aceptación de la candidata</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Acta de Nacimiento</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Comprobante de residencia </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Credencial para </w:t>
      </w:r>
      <w:r>
        <w:rPr>
          <w:rFonts w:ascii="Palatino Linotype" w:hAnsi="Palatino Linotype" w:cs="Arial"/>
          <w:color w:val="000000" w:themeColor="text1"/>
        </w:rPr>
        <w:t>votar</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Constancia de registro en la nominal y padrón electoral </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Formato de manifestación del partido</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lastRenderedPageBreak/>
        <w:t>Formato de declaratoria bajo de protesta de decir verdad para miembros del Ayuntamiento</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Clave Única de Registro de Población</w:t>
      </w:r>
    </w:p>
    <w:p w:rsidR="00826465" w:rsidRDefault="007573A3">
      <w:pPr>
        <w:pStyle w:val="Prrafodelista"/>
        <w:numPr>
          <w:ilvl w:val="0"/>
          <w:numId w:val="1"/>
        </w:numPr>
        <w:spacing w:line="360" w:lineRule="auto"/>
        <w:contextualSpacing/>
        <w:jc w:val="both"/>
        <w:rPr>
          <w:rFonts w:ascii="Palatino Linotype" w:hAnsi="Palatino Linotype" w:cs="Arial"/>
          <w:color w:val="000000" w:themeColor="text1"/>
        </w:rPr>
      </w:pPr>
      <w:r>
        <w:rPr>
          <w:rFonts w:ascii="Palatino Linotype" w:hAnsi="Palatino Linotype" w:cs="Arial"/>
          <w:color w:val="000000" w:themeColor="text1"/>
        </w:rPr>
        <w:t>Comunicado del SAT</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De los cuales, el Comité de Transparencia del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determinó clasificar como confidencial, la siguiente información: </w:t>
      </w:r>
    </w:p>
    <w:p w:rsidR="00826465" w:rsidRDefault="00826465">
      <w:pPr>
        <w:spacing w:line="360" w:lineRule="auto"/>
        <w:jc w:val="both"/>
        <w:rPr>
          <w:rFonts w:ascii="Palatino Linotype" w:hAnsi="Palatino Linotype" w:cs="Arial"/>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 xml:space="preserve">En el formato de solicitud para el registro de una Candidatura a miembro del Ayuntamiento: </w:t>
      </w:r>
      <w:r>
        <w:rPr>
          <w:rFonts w:ascii="Palatino Linotype" w:hAnsi="Palatino Linotype" w:cs="Arial"/>
          <w:color w:val="000000" w:themeColor="text1"/>
        </w:rPr>
        <w:t>Domicilio a excepción del Municipio</w:t>
      </w:r>
      <w:r>
        <w:rPr>
          <w:rFonts w:ascii="Palatino Linotype" w:hAnsi="Palatino Linotype" w:cs="Arial"/>
          <w:color w:val="000000" w:themeColor="text1"/>
        </w:rPr>
        <w:t>, ocupación, clave de elector, clave CURP, RFC y fecha de nacimiento.</w:t>
      </w:r>
    </w:p>
    <w:p w:rsidR="00826465" w:rsidRDefault="00826465">
      <w:pPr>
        <w:pStyle w:val="Prrafodelista"/>
        <w:spacing w:line="360" w:lineRule="auto"/>
        <w:contextualSpacing/>
        <w:jc w:val="both"/>
        <w:rPr>
          <w:rFonts w:ascii="Palatino Linotype" w:hAnsi="Palatino Linotype" w:cs="Arial"/>
          <w:b/>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 xml:space="preserve">En el acta de Nacimiento: </w:t>
      </w:r>
      <w:r>
        <w:rPr>
          <w:rFonts w:ascii="Palatino Linotype" w:hAnsi="Palatino Linotype" w:cs="Arial"/>
          <w:color w:val="000000" w:themeColor="text1"/>
        </w:rPr>
        <w:t>en su totalidad a excepción del nombre completo.</w:t>
      </w:r>
    </w:p>
    <w:p w:rsidR="00826465" w:rsidRDefault="00826465">
      <w:pPr>
        <w:pStyle w:val="Prrafodelista"/>
        <w:rPr>
          <w:rFonts w:ascii="Palatino Linotype" w:hAnsi="Palatino Linotype" w:cs="Arial"/>
          <w:b/>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 xml:space="preserve">Comprobante de residencia: </w:t>
      </w:r>
      <w:r>
        <w:rPr>
          <w:rFonts w:ascii="Palatino Linotype" w:hAnsi="Palatino Linotype" w:cs="Arial"/>
          <w:color w:val="000000" w:themeColor="text1"/>
        </w:rPr>
        <w:t>Domicilio a excepción del Municipio.</w:t>
      </w:r>
    </w:p>
    <w:p w:rsidR="00826465" w:rsidRDefault="00826465">
      <w:pPr>
        <w:pStyle w:val="Prrafodelista"/>
        <w:rPr>
          <w:rFonts w:ascii="Palatino Linotype" w:hAnsi="Palatino Linotype" w:cs="Arial"/>
          <w:b/>
          <w:color w:val="000000" w:themeColor="text1"/>
        </w:rPr>
      </w:pPr>
    </w:p>
    <w:p w:rsidR="00826465" w:rsidRDefault="00826465">
      <w:pPr>
        <w:pStyle w:val="Prrafodelista"/>
        <w:spacing w:line="360" w:lineRule="auto"/>
        <w:contextualSpacing/>
        <w:jc w:val="both"/>
        <w:rPr>
          <w:rFonts w:ascii="Palatino Linotype" w:hAnsi="Palatino Linotype" w:cs="Arial"/>
          <w:b/>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 xml:space="preserve">Credencial para votar: </w:t>
      </w:r>
      <w:r>
        <w:rPr>
          <w:rFonts w:ascii="Palatino Linotype" w:hAnsi="Palatino Linotype" w:cs="Arial"/>
          <w:color w:val="000000" w:themeColor="text1"/>
        </w:rPr>
        <w:t>en su totalidad</w:t>
      </w:r>
    </w:p>
    <w:p w:rsidR="00826465" w:rsidRDefault="00826465">
      <w:pPr>
        <w:pStyle w:val="Prrafodelista"/>
        <w:spacing w:line="360" w:lineRule="auto"/>
        <w:contextualSpacing/>
        <w:jc w:val="both"/>
        <w:rPr>
          <w:rFonts w:ascii="Palatino Linotype" w:hAnsi="Palatino Linotype" w:cs="Arial"/>
          <w:b/>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Con</w:t>
      </w:r>
      <w:r>
        <w:rPr>
          <w:rFonts w:ascii="Palatino Linotype" w:hAnsi="Palatino Linotype" w:cs="Arial"/>
          <w:b/>
          <w:color w:val="000000" w:themeColor="text1"/>
        </w:rPr>
        <w:t xml:space="preserve">stancia de registro en la nominal y padrón electoral: </w:t>
      </w:r>
      <w:r>
        <w:rPr>
          <w:rFonts w:ascii="Palatino Linotype" w:hAnsi="Palatino Linotype" w:cs="Arial"/>
          <w:color w:val="000000" w:themeColor="text1"/>
        </w:rPr>
        <w:t xml:space="preserve">domicilio a excepción del Municipio, clave de elector, clave CURP, folio nacional y fecha de nacimiento. </w:t>
      </w:r>
    </w:p>
    <w:p w:rsidR="00826465" w:rsidRDefault="00826465">
      <w:pPr>
        <w:pStyle w:val="Prrafodelista"/>
        <w:spacing w:line="360" w:lineRule="auto"/>
        <w:contextualSpacing/>
        <w:jc w:val="both"/>
        <w:rPr>
          <w:rFonts w:ascii="Palatino Linotype" w:hAnsi="Palatino Linotype" w:cs="Arial"/>
          <w:b/>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 xml:space="preserve">Clave Única de Registro de Población: </w:t>
      </w:r>
      <w:r>
        <w:rPr>
          <w:rFonts w:ascii="Palatino Linotype" w:hAnsi="Palatino Linotype" w:cs="Arial"/>
          <w:color w:val="000000" w:themeColor="text1"/>
        </w:rPr>
        <w:t>clave y códigos QR</w:t>
      </w:r>
    </w:p>
    <w:p w:rsidR="00826465" w:rsidRDefault="00826465">
      <w:pPr>
        <w:spacing w:line="360" w:lineRule="auto"/>
        <w:ind w:left="360"/>
        <w:jc w:val="both"/>
        <w:rPr>
          <w:rFonts w:ascii="Palatino Linotype" w:hAnsi="Palatino Linotype" w:cs="Arial"/>
          <w:b/>
          <w:color w:val="000000" w:themeColor="text1"/>
        </w:rPr>
      </w:pPr>
    </w:p>
    <w:p w:rsidR="00826465" w:rsidRDefault="007573A3">
      <w:pPr>
        <w:pStyle w:val="Prrafodelista"/>
        <w:numPr>
          <w:ilvl w:val="0"/>
          <w:numId w:val="1"/>
        </w:numPr>
        <w:spacing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 xml:space="preserve">Comunicado del SAT: </w:t>
      </w:r>
      <w:r>
        <w:rPr>
          <w:rFonts w:ascii="Palatino Linotype" w:hAnsi="Palatino Linotype" w:cs="Arial"/>
          <w:color w:val="000000" w:themeColor="text1"/>
        </w:rPr>
        <w:t>datos de carácter</w:t>
      </w:r>
      <w:r>
        <w:rPr>
          <w:rFonts w:ascii="Palatino Linotype" w:hAnsi="Palatino Linotype" w:cs="Arial"/>
          <w:color w:val="000000" w:themeColor="text1"/>
        </w:rPr>
        <w:t xml:space="preserve"> fiscal RFC, cadena original y sello digital, clave CURP</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Asimismo, es importante destacar que dicha clasificación se encuentra acompañada del Acuerdo número IEEM/CT/21/2020, el cual está debidamente fundado y motivado; toda vez que, en dicho documento se expusieron los fundamentos y razonamientos que llevaron al</w:t>
      </w:r>
      <w:r>
        <w:rPr>
          <w:rFonts w:ascii="Palatino Linotype" w:hAnsi="Palatino Linotype" w:cs="Arial"/>
          <w:color w:val="000000" w:themeColor="text1"/>
        </w:rPr>
        <w:t xml:space="preserve">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a testar, suprimir o eliminar algunos datos o la totalidad de la información; tal como se advierte en las siguientes imágenes: </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center"/>
        <w:rPr>
          <w:rFonts w:ascii="Palatino Linotype" w:hAnsi="Palatino Linotype" w:cs="Arial"/>
          <w:color w:val="000000" w:themeColor="text1"/>
        </w:rPr>
      </w:pPr>
      <w:r>
        <w:rPr>
          <w:noProof/>
          <w:lang w:eastAsia="es-MX"/>
        </w:rPr>
        <w:drawing>
          <wp:inline distT="0" distB="0" distL="0" distR="0">
            <wp:extent cx="5273040" cy="365760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pic:cNvPicPr>
                      <a:picLocks noChangeAspect="1" noChangeArrowheads="1"/>
                    </pic:cNvPicPr>
                  </pic:nvPicPr>
                  <pic:blipFill>
                    <a:blip r:embed="rId19"/>
                    <a:stretch>
                      <a:fillRect/>
                    </a:stretch>
                  </pic:blipFill>
                  <pic:spPr bwMode="auto">
                    <a:xfrm>
                      <a:off x="0" y="0"/>
                      <a:ext cx="5273040" cy="3657600"/>
                    </a:xfrm>
                    <a:prstGeom prst="rect">
                      <a:avLst/>
                    </a:prstGeom>
                  </pic:spPr>
                </pic:pic>
              </a:graphicData>
            </a:graphic>
          </wp:inline>
        </w:drawing>
      </w:r>
    </w:p>
    <w:p w:rsidR="00826465" w:rsidRDefault="000F1879">
      <w:pPr>
        <w:spacing w:line="360" w:lineRule="auto"/>
        <w:jc w:val="center"/>
        <w:rPr>
          <w:rFonts w:ascii="Palatino Linotype" w:hAnsi="Palatino Linotype" w:cs="Arial"/>
          <w:color w:val="000000" w:themeColor="text1"/>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281939</wp:posOffset>
                </wp:positionH>
                <wp:positionV relativeFrom="paragraph">
                  <wp:posOffset>3517900</wp:posOffset>
                </wp:positionV>
                <wp:extent cx="5591175" cy="3810000"/>
                <wp:effectExtent l="38100" t="19050" r="66675" b="95250"/>
                <wp:wrapNone/>
                <wp:docPr id="30" name="Conector recto 30"/>
                <wp:cNvGraphicFramePr/>
                <a:graphic xmlns:a="http://schemas.openxmlformats.org/drawingml/2006/main">
                  <a:graphicData uri="http://schemas.microsoft.com/office/word/2010/wordprocessingShape">
                    <wps:wsp>
                      <wps:cNvCnPr/>
                      <wps:spPr>
                        <a:xfrm>
                          <a:off x="0" y="0"/>
                          <a:ext cx="5591175" cy="3810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304092" id="Conector recto 3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pt,277pt" to="462.4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" strokecolor="#4f81bd [3204]" strokeweight="2pt">
                <v:shadow on="t" color="black" opacity="24903f" origin=",.5" offset="0,.55556mm"/>
              </v:line>
            </w:pict>
          </mc:Fallback>
        </mc:AlternateContent>
      </w:r>
      <w:r w:rsidR="007573A3">
        <w:rPr>
          <w:noProof/>
          <w:lang w:eastAsia="es-MX"/>
        </w:rPr>
        <w:drawing>
          <wp:inline distT="0" distB="0" distL="0" distR="0">
            <wp:extent cx="5473700" cy="3460115"/>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2"/>
                    <pic:cNvPicPr>
                      <a:picLocks noChangeAspect="1" noChangeArrowheads="1"/>
                    </pic:cNvPicPr>
                  </pic:nvPicPr>
                  <pic:blipFill>
                    <a:blip r:embed="rId20"/>
                    <a:srcRect b="45199"/>
                    <a:stretch>
                      <a:fillRect/>
                    </a:stretch>
                  </pic:blipFill>
                  <pic:spPr bwMode="auto">
                    <a:xfrm>
                      <a:off x="0" y="0"/>
                      <a:ext cx="5473700" cy="3460115"/>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327015" cy="4635500"/>
            <wp:effectExtent l="0" t="0" r="0"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4"/>
                    <pic:cNvPicPr>
                      <a:picLocks noChangeAspect="1" noChangeArrowheads="1"/>
                    </pic:cNvPicPr>
                  </pic:nvPicPr>
                  <pic:blipFill>
                    <a:blip r:embed="rId21"/>
                    <a:stretch>
                      <a:fillRect/>
                    </a:stretch>
                  </pic:blipFill>
                  <pic:spPr bwMode="auto">
                    <a:xfrm>
                      <a:off x="0" y="0"/>
                      <a:ext cx="5327015" cy="4635500"/>
                    </a:xfrm>
                    <a:prstGeom prst="rect">
                      <a:avLst/>
                    </a:prstGeom>
                  </pic:spPr>
                </pic:pic>
              </a:graphicData>
            </a:graphic>
          </wp:inline>
        </w:drawing>
      </w:r>
      <w:r>
        <w:rPr>
          <w:noProof/>
          <w:lang w:eastAsia="es-MX"/>
        </w:rPr>
        <w:drawing>
          <wp:inline distT="0" distB="0" distL="0" distR="0">
            <wp:extent cx="5295900" cy="2402840"/>
            <wp:effectExtent l="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
                    <pic:cNvPicPr>
                      <a:picLocks noChangeAspect="1" noChangeArrowheads="1"/>
                    </pic:cNvPicPr>
                  </pic:nvPicPr>
                  <pic:blipFill>
                    <a:blip r:embed="rId22"/>
                    <a:stretch>
                      <a:fillRect/>
                    </a:stretch>
                  </pic:blipFill>
                  <pic:spPr bwMode="auto">
                    <a:xfrm>
                      <a:off x="0" y="0"/>
                      <a:ext cx="5295900" cy="2402840"/>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280025" cy="4673600"/>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
                    <pic:cNvPicPr>
                      <a:picLocks noChangeAspect="1" noChangeArrowheads="1"/>
                    </pic:cNvPicPr>
                  </pic:nvPicPr>
                  <pic:blipFill>
                    <a:blip r:embed="rId23"/>
                    <a:stretch>
                      <a:fillRect/>
                    </a:stretch>
                  </pic:blipFill>
                  <pic:spPr bwMode="auto">
                    <a:xfrm>
                      <a:off x="0" y="0"/>
                      <a:ext cx="5280025" cy="4673600"/>
                    </a:xfrm>
                    <a:prstGeom prst="rect">
                      <a:avLst/>
                    </a:prstGeom>
                  </pic:spPr>
                </pic:pic>
              </a:graphicData>
            </a:graphic>
          </wp:inline>
        </w:drawing>
      </w:r>
      <w:r>
        <w:rPr>
          <w:noProof/>
          <w:lang w:eastAsia="es-MX"/>
        </w:rPr>
        <w:drawing>
          <wp:inline distT="0" distB="0" distL="0" distR="0">
            <wp:extent cx="5234940" cy="2311400"/>
            <wp:effectExtent l="0" t="0" r="0"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7"/>
                    <pic:cNvPicPr>
                      <a:picLocks noChangeAspect="1" noChangeArrowheads="1"/>
                    </pic:cNvPicPr>
                  </pic:nvPicPr>
                  <pic:blipFill>
                    <a:blip r:embed="rId24"/>
                    <a:stretch>
                      <a:fillRect/>
                    </a:stretch>
                  </pic:blipFill>
                  <pic:spPr bwMode="auto">
                    <a:xfrm>
                      <a:off x="0" y="0"/>
                      <a:ext cx="5234940" cy="2311400"/>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295900" cy="5318125"/>
            <wp:effectExtent l="0" t="0" r="0" b="0"/>
            <wp:docPr id="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8"/>
                    <pic:cNvPicPr>
                      <a:picLocks noChangeAspect="1" noChangeArrowheads="1"/>
                    </pic:cNvPicPr>
                  </pic:nvPicPr>
                  <pic:blipFill>
                    <a:blip r:embed="rId25"/>
                    <a:stretch>
                      <a:fillRect/>
                    </a:stretch>
                  </pic:blipFill>
                  <pic:spPr bwMode="auto">
                    <a:xfrm>
                      <a:off x="0" y="0"/>
                      <a:ext cx="5295900" cy="5318125"/>
                    </a:xfrm>
                    <a:prstGeom prst="rect">
                      <a:avLst/>
                    </a:prstGeom>
                  </pic:spPr>
                </pic:pic>
              </a:graphicData>
            </a:graphic>
          </wp:inline>
        </w:drawing>
      </w:r>
      <w:r>
        <w:rPr>
          <w:noProof/>
          <w:lang w:eastAsia="es-MX"/>
        </w:rPr>
        <w:drawing>
          <wp:inline distT="0" distB="0" distL="0" distR="0">
            <wp:extent cx="5098415" cy="1574800"/>
            <wp:effectExtent l="0" t="0" r="0"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
                    <pic:cNvPicPr>
                      <a:picLocks noChangeAspect="1" noChangeArrowheads="1"/>
                    </pic:cNvPicPr>
                  </pic:nvPicPr>
                  <pic:blipFill>
                    <a:blip r:embed="rId26"/>
                    <a:stretch>
                      <a:fillRect/>
                    </a:stretch>
                  </pic:blipFill>
                  <pic:spPr bwMode="auto">
                    <a:xfrm>
                      <a:off x="0" y="0"/>
                      <a:ext cx="5098415" cy="1574800"/>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189855" cy="6299200"/>
            <wp:effectExtent l="0" t="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pic:cNvPicPr>
                      <a:picLocks noChangeAspect="1" noChangeArrowheads="1"/>
                    </pic:cNvPicPr>
                  </pic:nvPicPr>
                  <pic:blipFill>
                    <a:blip r:embed="rId27"/>
                    <a:stretch>
                      <a:fillRect/>
                    </a:stretch>
                  </pic:blipFill>
                  <pic:spPr bwMode="auto">
                    <a:xfrm>
                      <a:off x="0" y="0"/>
                      <a:ext cx="5189855" cy="6299200"/>
                    </a:xfrm>
                    <a:prstGeom prst="rect">
                      <a:avLst/>
                    </a:prstGeom>
                  </pic:spPr>
                </pic:pic>
              </a:graphicData>
            </a:graphic>
          </wp:inline>
        </w:drawing>
      </w:r>
      <w:r>
        <w:rPr>
          <w:noProof/>
          <w:lang w:eastAsia="es-MX"/>
        </w:rPr>
        <w:drawing>
          <wp:inline distT="0" distB="0" distL="0" distR="0">
            <wp:extent cx="4749800" cy="663575"/>
            <wp:effectExtent l="0" t="0" r="0" b="0"/>
            <wp:docPr id="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1"/>
                    <pic:cNvPicPr>
                      <a:picLocks noChangeAspect="1" noChangeArrowheads="1"/>
                    </pic:cNvPicPr>
                  </pic:nvPicPr>
                  <pic:blipFill>
                    <a:blip r:embed="rId28"/>
                    <a:stretch>
                      <a:fillRect/>
                    </a:stretch>
                  </pic:blipFill>
                  <pic:spPr bwMode="auto">
                    <a:xfrm>
                      <a:off x="0" y="0"/>
                      <a:ext cx="4749800" cy="663575"/>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308600" cy="3232785"/>
            <wp:effectExtent l="0" t="0" r="0" b="0"/>
            <wp:docPr id="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2"/>
                    <pic:cNvPicPr>
                      <a:picLocks noChangeAspect="1" noChangeArrowheads="1"/>
                    </pic:cNvPicPr>
                  </pic:nvPicPr>
                  <pic:blipFill>
                    <a:blip r:embed="rId29"/>
                    <a:stretch>
                      <a:fillRect/>
                    </a:stretch>
                  </pic:blipFill>
                  <pic:spPr bwMode="auto">
                    <a:xfrm>
                      <a:off x="0" y="0"/>
                      <a:ext cx="5308600" cy="3232785"/>
                    </a:xfrm>
                    <a:prstGeom prst="rect">
                      <a:avLst/>
                    </a:prstGeom>
                  </pic:spPr>
                </pic:pic>
              </a:graphicData>
            </a:graphic>
          </wp:inline>
        </w:drawing>
      </w:r>
      <w:r>
        <w:rPr>
          <w:noProof/>
          <w:lang w:eastAsia="es-MX"/>
        </w:rPr>
        <w:drawing>
          <wp:inline distT="0" distB="0" distL="0" distR="0">
            <wp:extent cx="5228590" cy="3632200"/>
            <wp:effectExtent l="0" t="0" r="0" b="0"/>
            <wp:docPr id="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3"/>
                    <pic:cNvPicPr>
                      <a:picLocks noChangeAspect="1" noChangeArrowheads="1"/>
                    </pic:cNvPicPr>
                  </pic:nvPicPr>
                  <pic:blipFill>
                    <a:blip r:embed="rId30"/>
                    <a:stretch>
                      <a:fillRect/>
                    </a:stretch>
                  </pic:blipFill>
                  <pic:spPr bwMode="auto">
                    <a:xfrm>
                      <a:off x="0" y="0"/>
                      <a:ext cx="5228590" cy="3632200"/>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536565" cy="1079500"/>
            <wp:effectExtent l="0" t="0" r="0" b="0"/>
            <wp:docPr id="2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4"/>
                    <pic:cNvPicPr>
                      <a:picLocks noChangeAspect="1" noChangeArrowheads="1"/>
                    </pic:cNvPicPr>
                  </pic:nvPicPr>
                  <pic:blipFill>
                    <a:blip r:embed="rId31"/>
                    <a:stretch>
                      <a:fillRect/>
                    </a:stretch>
                  </pic:blipFill>
                  <pic:spPr bwMode="auto">
                    <a:xfrm>
                      <a:off x="0" y="0"/>
                      <a:ext cx="5536565" cy="1079500"/>
                    </a:xfrm>
                    <a:prstGeom prst="rect">
                      <a:avLst/>
                    </a:prstGeom>
                  </pic:spPr>
                </pic:pic>
              </a:graphicData>
            </a:graphic>
          </wp:inline>
        </w:drawing>
      </w:r>
      <w:r>
        <w:rPr>
          <w:noProof/>
          <w:lang w:eastAsia="es-MX"/>
        </w:rPr>
        <w:drawing>
          <wp:inline distT="0" distB="0" distL="0" distR="0">
            <wp:extent cx="5517515" cy="6007100"/>
            <wp:effectExtent l="0" t="0" r="0" b="0"/>
            <wp:docPr id="2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5"/>
                    <pic:cNvPicPr>
                      <a:picLocks noChangeAspect="1" noChangeArrowheads="1"/>
                    </pic:cNvPicPr>
                  </pic:nvPicPr>
                  <pic:blipFill>
                    <a:blip r:embed="rId32"/>
                    <a:stretch>
                      <a:fillRect/>
                    </a:stretch>
                  </pic:blipFill>
                  <pic:spPr bwMode="auto">
                    <a:xfrm>
                      <a:off x="0" y="0"/>
                      <a:ext cx="5517515" cy="6007100"/>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181600" cy="3395345"/>
            <wp:effectExtent l="0" t="0" r="0" b="0"/>
            <wp:docPr id="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6"/>
                    <pic:cNvPicPr>
                      <a:picLocks noChangeAspect="1" noChangeArrowheads="1"/>
                    </pic:cNvPicPr>
                  </pic:nvPicPr>
                  <pic:blipFill>
                    <a:blip r:embed="rId33"/>
                    <a:stretch>
                      <a:fillRect/>
                    </a:stretch>
                  </pic:blipFill>
                  <pic:spPr bwMode="auto">
                    <a:xfrm>
                      <a:off x="0" y="0"/>
                      <a:ext cx="5181600" cy="3395345"/>
                    </a:xfrm>
                    <a:prstGeom prst="rect">
                      <a:avLst/>
                    </a:prstGeom>
                  </pic:spPr>
                </pic:pic>
              </a:graphicData>
            </a:graphic>
          </wp:inline>
        </w:drawing>
      </w:r>
      <w:r>
        <w:rPr>
          <w:noProof/>
          <w:lang w:eastAsia="es-MX"/>
        </w:rPr>
        <w:drawing>
          <wp:inline distT="0" distB="0" distL="0" distR="0">
            <wp:extent cx="5250815" cy="3441700"/>
            <wp:effectExtent l="0" t="0" r="0" b="0"/>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7"/>
                    <pic:cNvPicPr>
                      <a:picLocks noChangeAspect="1" noChangeArrowheads="1"/>
                    </pic:cNvPicPr>
                  </pic:nvPicPr>
                  <pic:blipFill>
                    <a:blip r:embed="rId34"/>
                    <a:stretch>
                      <a:fillRect/>
                    </a:stretch>
                  </pic:blipFill>
                  <pic:spPr bwMode="auto">
                    <a:xfrm>
                      <a:off x="0" y="0"/>
                      <a:ext cx="5250815" cy="3441700"/>
                    </a:xfrm>
                    <a:prstGeom prst="rect">
                      <a:avLst/>
                    </a:prstGeom>
                  </pic:spPr>
                </pic:pic>
              </a:graphicData>
            </a:graphic>
          </wp:inline>
        </w:drawing>
      </w:r>
    </w:p>
    <w:p w:rsidR="00826465" w:rsidRDefault="007573A3">
      <w:pPr>
        <w:spacing w:line="360" w:lineRule="auto"/>
        <w:jc w:val="center"/>
        <w:rPr>
          <w:rFonts w:ascii="Palatino Linotype" w:hAnsi="Palatino Linotype" w:cs="Arial"/>
          <w:color w:val="000000" w:themeColor="text1"/>
        </w:rPr>
      </w:pPr>
      <w:r>
        <w:rPr>
          <w:noProof/>
          <w:lang w:eastAsia="es-MX"/>
        </w:rPr>
        <w:lastRenderedPageBreak/>
        <w:drawing>
          <wp:inline distT="0" distB="0" distL="0" distR="0">
            <wp:extent cx="5346700" cy="4432935"/>
            <wp:effectExtent l="0" t="0" r="0" b="0"/>
            <wp:docPr id="2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8"/>
                    <pic:cNvPicPr>
                      <a:picLocks noChangeAspect="1" noChangeArrowheads="1"/>
                    </pic:cNvPicPr>
                  </pic:nvPicPr>
                  <pic:blipFill>
                    <a:blip r:embed="rId35"/>
                    <a:stretch>
                      <a:fillRect/>
                    </a:stretch>
                  </pic:blipFill>
                  <pic:spPr bwMode="auto">
                    <a:xfrm>
                      <a:off x="0" y="0"/>
                      <a:ext cx="5346700" cy="4432935"/>
                    </a:xfrm>
                    <a:prstGeom prst="rect">
                      <a:avLst/>
                    </a:prstGeom>
                  </pic:spPr>
                </pic:pic>
              </a:graphicData>
            </a:graphic>
          </wp:inline>
        </w:drawing>
      </w:r>
    </w:p>
    <w:p w:rsidR="00826465" w:rsidRDefault="00826465">
      <w:pPr>
        <w:spacing w:line="360" w:lineRule="auto"/>
        <w:jc w:val="center"/>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Asimismo, no se omite comentar que mediante Informe Justificado </w:t>
      </w:r>
      <w:r>
        <w:rPr>
          <w:rFonts w:ascii="Palatino Linotype" w:hAnsi="Palatino Linotype" w:cs="Arial"/>
          <w:b/>
          <w:color w:val="000000" w:themeColor="text1"/>
        </w:rPr>
        <w:t>EL SUJETO OBLIGAD</w:t>
      </w:r>
      <w:r>
        <w:rPr>
          <w:rFonts w:ascii="Palatino Linotype" w:hAnsi="Palatino Linotype" w:cs="Arial"/>
          <w:b/>
          <w:color w:val="000000" w:themeColor="text1"/>
        </w:rPr>
        <w:t xml:space="preserve">O </w:t>
      </w:r>
      <w:r>
        <w:rPr>
          <w:rFonts w:ascii="Palatino Linotype" w:hAnsi="Palatino Linotype" w:cs="Arial"/>
          <w:color w:val="000000" w:themeColor="text1"/>
        </w:rPr>
        <w:t xml:space="preserve">confirmó la respuesta proporcionada al particular. </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rPr>
        <w:t xml:space="preserve">Ahora bien, cabe destacar que si bien fue remitido el expediente integrado solicitado, del análisis realizado al mismo, se pudo advertir que en el archivo denominado </w:t>
      </w:r>
      <w:r>
        <w:rPr>
          <w:rFonts w:ascii="Palatino Linotype" w:hAnsi="Palatino Linotype" w:cs="Arial"/>
          <w:b/>
          <w:color w:val="000000" w:themeColor="text1"/>
        </w:rPr>
        <w:t>RESPUESTA SAIMEX 00027</w:t>
      </w:r>
      <w:r>
        <w:rPr>
          <w:rFonts w:ascii="Palatino Linotype" w:hAnsi="Palatino Linotype" w:cs="Arial"/>
          <w:color w:val="000000" w:themeColor="text1"/>
        </w:rPr>
        <w:t xml:space="preserve">, en el documento consistente en el </w:t>
      </w:r>
      <w:r>
        <w:rPr>
          <w:rFonts w:ascii="Palatino Linotype" w:hAnsi="Palatino Linotype" w:cs="Arial"/>
          <w:i/>
          <w:color w:val="000000" w:themeColor="text1"/>
        </w:rPr>
        <w:t>Formato de solicitud para el registro de una candidatura a miembro del Ayuntamiento</w:t>
      </w:r>
      <w:r>
        <w:rPr>
          <w:rFonts w:ascii="Palatino Linotype" w:hAnsi="Palatino Linotype" w:cs="Arial"/>
          <w:color w:val="000000" w:themeColor="text1"/>
        </w:rPr>
        <w:t xml:space="preserv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dejó visible información susceptible de ser clasificada como confidencial, tal es el caso </w:t>
      </w:r>
      <w:r>
        <w:rPr>
          <w:rFonts w:ascii="Palatino Linotype" w:hAnsi="Palatino Linotype" w:cs="Arial"/>
          <w:color w:val="000000" w:themeColor="text1"/>
        </w:rPr>
        <w:lastRenderedPageBreak/>
        <w:t>de la edad; atento a ello,</w:t>
      </w:r>
      <w:r>
        <w:rPr>
          <w:rFonts w:ascii="Palatino Linotype" w:hAnsi="Palatino Linotype" w:cs="Arial"/>
          <w:color w:val="000000" w:themeColor="text1"/>
        </w:rPr>
        <w:t xml:space="preserve"> se deberá hacer del conocimiento al Contralor de este Instituto a fin de que en términos del ordinal 190 de la </w:t>
      </w:r>
      <w:r>
        <w:rPr>
          <w:rFonts w:ascii="Palatino Linotype" w:hAnsi="Palatino Linotype" w:cs="Arial"/>
          <w:color w:val="000000" w:themeColor="text1"/>
          <w:lang w:val="es-ES"/>
        </w:rPr>
        <w:t xml:space="preserve">Ley de Transparencia y Acceso a la Información Pública del Estado de México y Municipios; así como, al Titular de la Dirección de Protección de </w:t>
      </w:r>
      <w:r>
        <w:rPr>
          <w:rFonts w:ascii="Palatino Linotype" w:hAnsi="Palatino Linotype" w:cs="Arial"/>
          <w:color w:val="000000" w:themeColor="text1"/>
          <w:lang w:val="es-ES"/>
        </w:rPr>
        <w:t>Datos Personales en atención al artículo 82, fracción XXVII de la Ley de Protección de Datos Personales del Estado de México y Municipios.</w:t>
      </w:r>
    </w:p>
    <w:p w:rsidR="00826465" w:rsidRDefault="00826465">
      <w:pPr>
        <w:spacing w:line="360" w:lineRule="auto"/>
        <w:jc w:val="both"/>
        <w:rPr>
          <w:rFonts w:ascii="Palatino Linotype" w:hAnsi="Palatino Linotype" w:cs="Arial"/>
          <w:color w:val="000000" w:themeColor="text1"/>
          <w:lang w:val="es-ES"/>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Por lo anterior, y derivado que de la respuesta se advierte lo solicitado por el particular, este Órgano Garante det</w:t>
      </w:r>
      <w:r>
        <w:rPr>
          <w:rFonts w:ascii="Palatino Linotype" w:hAnsi="Palatino Linotype" w:cs="Arial"/>
          <w:color w:val="000000" w:themeColor="text1"/>
          <w:lang w:val="es-ES"/>
        </w:rPr>
        <w:t xml:space="preserve">ermina de conformidad con los artículos 186, fracción I y 192, fracción V de la Ley de Transparencia y Acceso a la Información Pública del Estado de México y Municipios, </w:t>
      </w:r>
      <w:r>
        <w:rPr>
          <w:rFonts w:ascii="Palatino Linotype" w:hAnsi="Palatino Linotype" w:cs="Arial"/>
          <w:b/>
          <w:color w:val="000000" w:themeColor="text1"/>
          <w:lang w:val="es-ES"/>
        </w:rPr>
        <w:t xml:space="preserve">SOBRESEER </w:t>
      </w:r>
      <w:r>
        <w:rPr>
          <w:rFonts w:ascii="Palatino Linotype" w:hAnsi="Palatino Linotype" w:cs="Arial"/>
          <w:color w:val="000000" w:themeColor="text1"/>
          <w:lang w:val="es-ES"/>
        </w:rPr>
        <w:t>el presente recurso de revisión, al quedar sin materia, toda vez que, si bie</w:t>
      </w:r>
      <w:r>
        <w:rPr>
          <w:rFonts w:ascii="Palatino Linotype" w:hAnsi="Palatino Linotype" w:cs="Arial"/>
          <w:color w:val="000000" w:themeColor="text1"/>
          <w:lang w:val="es-ES"/>
        </w:rPr>
        <w:t xml:space="preserve">n se dejó visible información susceptible de ser clasificada como confidencial, a nada práctico nos conduciría ordenar nuevamente la información en versión pública. </w:t>
      </w:r>
    </w:p>
    <w:p w:rsidR="00826465" w:rsidRDefault="00826465">
      <w:pPr>
        <w:spacing w:line="360" w:lineRule="auto"/>
        <w:jc w:val="both"/>
        <w:rPr>
          <w:rFonts w:ascii="Palatino Linotype" w:hAnsi="Palatino Linotype" w:cs="Arial"/>
          <w:color w:val="000000" w:themeColor="text1"/>
          <w:lang w:val="es-ES" w:eastAsia="es-MX"/>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olor w:val="000000" w:themeColor="text1"/>
        </w:rPr>
        <w:t xml:space="preserve">Finalmente, no se omite comentar que </w:t>
      </w:r>
      <w:r>
        <w:rPr>
          <w:rFonts w:ascii="Palatino Linotype" w:hAnsi="Palatino Linotype" w:cs="Arial"/>
          <w:color w:val="000000" w:themeColor="text1"/>
        </w:rPr>
        <w:t>este Órgano Garante conforme al artículo 36 de la Le</w:t>
      </w:r>
      <w:r>
        <w:rPr>
          <w:rFonts w:ascii="Palatino Linotype" w:hAnsi="Palatino Linotype" w:cs="Arial"/>
          <w:color w:val="000000" w:themeColor="text1"/>
        </w:rPr>
        <w:t>y de la Materia, no se encuentra facultado para pronunciarse acerca de la veracidad de la información remitida por los Sujetos Obligados.</w:t>
      </w:r>
    </w:p>
    <w:p w:rsidR="00826465" w:rsidRDefault="00826465">
      <w:pPr>
        <w:spacing w:line="360" w:lineRule="auto"/>
        <w:jc w:val="both"/>
        <w:rPr>
          <w:rFonts w:ascii="Palatino Linotype" w:hAnsi="Palatino Linotype" w:cs="Arial"/>
          <w:color w:val="000000" w:themeColor="text1"/>
        </w:rPr>
      </w:pPr>
    </w:p>
    <w:p w:rsidR="00826465" w:rsidRDefault="007573A3">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Sirve de sustento a lo anterior, el criterio 31/10 emitido por el entonces Instituto Federal de Acceso a la Informaci</w:t>
      </w:r>
      <w:r>
        <w:rPr>
          <w:rFonts w:ascii="Palatino Linotype" w:hAnsi="Palatino Linotype" w:cs="Arial"/>
          <w:color w:val="000000" w:themeColor="text1"/>
        </w:rPr>
        <w:t xml:space="preserve">ón y Protección de Datos, ahora Instituto Nacional de Acceso a la Información y Protección de Datos, que enuncia lo siguiente: </w:t>
      </w:r>
    </w:p>
    <w:p w:rsidR="00826465" w:rsidRDefault="00826465">
      <w:pPr>
        <w:ind w:right="992"/>
        <w:jc w:val="both"/>
        <w:rPr>
          <w:rFonts w:ascii="Palatino Linotype" w:hAnsi="Palatino Linotype" w:cs="Arial"/>
          <w:color w:val="000000" w:themeColor="text1"/>
        </w:rPr>
      </w:pPr>
    </w:p>
    <w:p w:rsidR="00826465" w:rsidRDefault="007573A3">
      <w:pPr>
        <w:ind w:left="851" w:right="1133"/>
        <w:jc w:val="both"/>
        <w:rPr>
          <w:rFonts w:ascii="Palatino Linotype" w:hAnsi="Palatino Linotype" w:cs="Arial"/>
          <w:i/>
          <w:color w:val="000000" w:themeColor="text1"/>
          <w:sz w:val="22"/>
          <w:lang w:val="es-ES"/>
        </w:rPr>
      </w:pPr>
      <w:r>
        <w:rPr>
          <w:rFonts w:ascii="Palatino Linotype" w:hAnsi="Palatino Linotype" w:cs="Arial"/>
          <w:b/>
          <w:i/>
          <w:color w:val="000000" w:themeColor="text1"/>
          <w:sz w:val="22"/>
          <w:lang w:val="es-ES"/>
        </w:rPr>
        <w:t xml:space="preserve">“El Instituto Federal de Acceso a la Información y Protección de Datos no cuenta con facultades para pronunciarse respecto de </w:t>
      </w:r>
      <w:r>
        <w:rPr>
          <w:rFonts w:ascii="Palatino Linotype" w:hAnsi="Palatino Linotype" w:cs="Arial"/>
          <w:b/>
          <w:i/>
          <w:color w:val="000000" w:themeColor="text1"/>
          <w:sz w:val="22"/>
          <w:lang w:val="es-ES"/>
        </w:rPr>
        <w:t>la veracidad de los documentos proporcionados por los sujetos obligados</w:t>
      </w:r>
      <w:r>
        <w:rPr>
          <w:rFonts w:ascii="Palatino Linotype" w:hAnsi="Palatino Linotype" w:cs="Arial"/>
          <w:i/>
          <w:color w:val="000000" w:themeColor="text1"/>
          <w:sz w:val="22"/>
          <w:lang w:val="es-ES"/>
        </w:rPr>
        <w:t xml:space="preserve">. El Instituto Federal </w:t>
      </w:r>
      <w:r>
        <w:rPr>
          <w:rFonts w:ascii="Palatino Linotype" w:hAnsi="Palatino Linotype" w:cs="Arial"/>
          <w:i/>
          <w:color w:val="000000" w:themeColor="text1"/>
          <w:sz w:val="22"/>
          <w:lang w:val="es-ES"/>
        </w:rPr>
        <w:lastRenderedPageBreak/>
        <w:t>de Acceso a la Información y Protección de Datos es un órgano de la Administración Pública Federal con autonomía operativa, presupuestaria y de decisión, encargad</w:t>
      </w:r>
      <w:r>
        <w:rPr>
          <w:rFonts w:ascii="Palatino Linotype" w:hAnsi="Palatino Linotype" w:cs="Arial"/>
          <w:i/>
          <w:color w:val="000000" w:themeColor="text1"/>
          <w:sz w:val="22"/>
          <w:lang w:val="es-ES"/>
        </w:rPr>
        <w:t>o de promover y difundir el ejercicio del derecho de acceso a la información; resolver sobre la negativa de las solicitudes de acceso a la información; y proteger los datos personales en poder de las dependencias y entidades. Sin embargo, no está facultado</w:t>
      </w:r>
      <w:r>
        <w:rPr>
          <w:rFonts w:ascii="Palatino Linotype" w:hAnsi="Palatino Linotype" w:cs="Arial"/>
          <w:i/>
          <w:color w:val="000000" w:themeColor="text1"/>
          <w:sz w:val="22"/>
          <w:lang w:val="es-ES"/>
        </w:rPr>
        <w:t xml:space="preserve"> para pronunciarse sobre la veracidad de la información proporcionada por las autoridades en respuesta a las solicitudes de información que les presentan los particulares, en virtud de que en los artículos 49 y 50 de la Ley Federal de Transparencia y Acces</w:t>
      </w:r>
      <w:r>
        <w:rPr>
          <w:rFonts w:ascii="Palatino Linotype" w:hAnsi="Palatino Linotype" w:cs="Arial"/>
          <w:i/>
          <w:color w:val="000000" w:themeColor="text1"/>
          <w:sz w:val="22"/>
          <w:lang w:val="es-ES"/>
        </w:rPr>
        <w:t>o a la Información Pública Gubernamental no se prevé una causal que permita al Instituto Federal de Acceso a la Información y Protección de Datos conocer, vía recurso revisión, al respecto. Expedientes: 2440/07 Comisión Federal de Electricidad - Alonso Luj</w:t>
      </w:r>
      <w:r>
        <w:rPr>
          <w:rFonts w:ascii="Palatino Linotype" w:hAnsi="Palatino Linotype" w:cs="Arial"/>
          <w:i/>
          <w:color w:val="000000" w:themeColor="text1"/>
          <w:sz w:val="22"/>
          <w:lang w:val="es-ES"/>
        </w:rPr>
        <w:t xml:space="preserve">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color w:val="000000" w:themeColor="text1"/>
          <w:sz w:val="22"/>
          <w:lang w:val="es-ES"/>
        </w:rPr>
        <w:t>Marván</w:t>
      </w:r>
      <w:proofErr w:type="spellEnd"/>
      <w:r>
        <w:rPr>
          <w:rFonts w:ascii="Palatino Linotype" w:hAnsi="Palatino Linotype" w:cs="Arial"/>
          <w:i/>
          <w:color w:val="000000" w:themeColor="text1"/>
          <w:sz w:val="22"/>
          <w:lang w:val="es-ES"/>
        </w:rPr>
        <w:t xml:space="preserve"> Laborde 2395/09 Secretaría de Economía - María </w:t>
      </w:r>
      <w:proofErr w:type="spellStart"/>
      <w:r>
        <w:rPr>
          <w:rFonts w:ascii="Palatino Linotype" w:hAnsi="Palatino Linotype" w:cs="Arial"/>
          <w:i/>
          <w:color w:val="000000" w:themeColor="text1"/>
          <w:sz w:val="22"/>
          <w:lang w:val="es-ES"/>
        </w:rPr>
        <w:t>Marván</w:t>
      </w:r>
      <w:proofErr w:type="spellEnd"/>
      <w:r>
        <w:rPr>
          <w:rFonts w:ascii="Palatino Linotype" w:hAnsi="Palatino Linotype" w:cs="Arial"/>
          <w:i/>
          <w:color w:val="000000" w:themeColor="text1"/>
          <w:sz w:val="22"/>
          <w:lang w:val="es-ES"/>
        </w:rPr>
        <w:t xml:space="preserve"> La</w:t>
      </w:r>
      <w:r>
        <w:rPr>
          <w:rFonts w:ascii="Palatino Linotype" w:hAnsi="Palatino Linotype" w:cs="Arial"/>
          <w:i/>
          <w:color w:val="000000" w:themeColor="text1"/>
          <w:sz w:val="22"/>
          <w:lang w:val="es-ES"/>
        </w:rPr>
        <w:t xml:space="preserve">borde 0837/10 Administración Portuaria Integral de Veracruz, S.A. de C.V. – María </w:t>
      </w:r>
      <w:proofErr w:type="spellStart"/>
      <w:r>
        <w:rPr>
          <w:rFonts w:ascii="Palatino Linotype" w:hAnsi="Palatino Linotype" w:cs="Arial"/>
          <w:i/>
          <w:color w:val="000000" w:themeColor="text1"/>
          <w:sz w:val="22"/>
          <w:lang w:val="es-ES"/>
        </w:rPr>
        <w:t>Marván</w:t>
      </w:r>
      <w:proofErr w:type="spellEnd"/>
      <w:r>
        <w:rPr>
          <w:rFonts w:ascii="Palatino Linotype" w:hAnsi="Palatino Linotype" w:cs="Arial"/>
          <w:i/>
          <w:color w:val="000000" w:themeColor="text1"/>
          <w:sz w:val="22"/>
          <w:lang w:val="es-ES"/>
        </w:rPr>
        <w:t xml:space="preserve"> Laborde </w:t>
      </w:r>
    </w:p>
    <w:p w:rsidR="00826465" w:rsidRDefault="007573A3">
      <w:pPr>
        <w:ind w:left="851" w:right="1133"/>
        <w:jc w:val="both"/>
        <w:rPr>
          <w:rFonts w:ascii="Palatino Linotype" w:hAnsi="Palatino Linotype" w:cs="Arial"/>
          <w:b/>
          <w:i/>
          <w:color w:val="000000" w:themeColor="text1"/>
          <w:sz w:val="22"/>
          <w:lang w:val="es-ES"/>
        </w:rPr>
      </w:pPr>
      <w:r>
        <w:rPr>
          <w:rFonts w:ascii="Palatino Linotype" w:hAnsi="Palatino Linotype" w:cs="Arial"/>
          <w:i/>
          <w:color w:val="000000" w:themeColor="text1"/>
          <w:sz w:val="22"/>
          <w:lang w:val="es-ES"/>
        </w:rPr>
        <w:t>Criterio 31/10</w:t>
      </w:r>
      <w:r>
        <w:rPr>
          <w:rFonts w:ascii="Palatino Linotype" w:hAnsi="Palatino Linotype" w:cs="Arial"/>
          <w:b/>
          <w:i/>
          <w:color w:val="000000" w:themeColor="text1"/>
          <w:sz w:val="22"/>
          <w:lang w:val="es-ES"/>
        </w:rPr>
        <w:t>”</w:t>
      </w:r>
    </w:p>
    <w:p w:rsidR="00826465" w:rsidRDefault="00826465">
      <w:pPr>
        <w:ind w:left="709" w:right="992"/>
        <w:jc w:val="both"/>
        <w:rPr>
          <w:rFonts w:ascii="Palatino Linotype" w:hAnsi="Palatino Linotype" w:cs="Arial"/>
          <w:b/>
          <w:i/>
          <w:color w:val="000000" w:themeColor="text1"/>
          <w:sz w:val="22"/>
          <w:lang w:val="es-ES"/>
        </w:rPr>
      </w:pPr>
    </w:p>
    <w:p w:rsidR="00826465" w:rsidRDefault="007573A3">
      <w:pPr>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Así, con fundamento en lo prescrito en los artículos 5, párrafos </w:t>
      </w:r>
      <w:r>
        <w:rPr>
          <w:rFonts w:ascii="Palatino Linotype" w:hAnsi="Palatino Linotype"/>
          <w:color w:val="000000" w:themeColor="text1"/>
          <w:lang w:val="es-ES"/>
        </w:rPr>
        <w:t xml:space="preserve">vigésimo </w:t>
      </w:r>
      <w:r>
        <w:rPr>
          <w:rFonts w:ascii="Palatino Linotype" w:hAnsi="Palatino Linotype" w:cs="Arial"/>
          <w:color w:val="000000" w:themeColor="text1"/>
          <w:lang w:val="es-ES"/>
        </w:rPr>
        <w:t>segundo,</w:t>
      </w:r>
      <w:r>
        <w:rPr>
          <w:rFonts w:ascii="Palatino Linotype" w:hAnsi="Palatino Linotype"/>
          <w:color w:val="000000" w:themeColor="text1"/>
          <w:lang w:val="es-ES"/>
        </w:rPr>
        <w:t xml:space="preserve"> vigésimo tercero y vigésimo cuarto, fracciones IV y V </w:t>
      </w:r>
      <w:r>
        <w:rPr>
          <w:rFonts w:ascii="Palatino Linotype" w:eastAsia="Calibri" w:hAnsi="Palatino Linotype" w:cs="Arial"/>
          <w:color w:val="000000" w:themeColor="text1"/>
          <w:lang w:val="es-ES"/>
        </w:rPr>
        <w:t xml:space="preserve">de la Constitución Política del Estado Libre y Soberano de México; </w:t>
      </w:r>
      <w:r>
        <w:rPr>
          <w:rFonts w:ascii="Palatino Linotype" w:hAnsi="Palatino Linotype" w:cs="Arial"/>
          <w:color w:val="000000" w:themeColor="text1"/>
          <w:lang w:val="es-ES"/>
        </w:rPr>
        <w:t>2, fracción II, 9, 29, 36, fracciones I y II, 176, 178, 179, 181, 185, fracción I, 186 y 188</w:t>
      </w:r>
      <w:r>
        <w:rPr>
          <w:rFonts w:ascii="Palatino Linotype" w:eastAsia="Calibri" w:hAnsi="Palatino Linotype" w:cs="Arial"/>
          <w:color w:val="000000" w:themeColor="text1"/>
          <w:lang w:val="es-ES"/>
        </w:rPr>
        <w:t xml:space="preserve"> de la Ley de Transparencia y Acceso a la Información Pública del Estado de México y Municipios, </w:t>
      </w:r>
      <w:r>
        <w:rPr>
          <w:rFonts w:ascii="Palatino Linotype" w:eastAsia="Calibri" w:hAnsi="Palatino Linotype" w:cs="Arial"/>
          <w:color w:val="000000" w:themeColor="text1"/>
          <w:lang w:val="es-ES"/>
        </w:rPr>
        <w:t>este Pleno:</w:t>
      </w:r>
    </w:p>
    <w:p w:rsidR="00826465" w:rsidRDefault="00826465">
      <w:pPr>
        <w:jc w:val="center"/>
        <w:rPr>
          <w:rFonts w:ascii="Palatino Linotype" w:eastAsia="Calibri" w:hAnsi="Palatino Linotype" w:cs="Arial"/>
          <w:b/>
          <w:color w:val="000000" w:themeColor="text1"/>
          <w:spacing w:val="30"/>
          <w:sz w:val="28"/>
          <w:lang w:val="es-ES"/>
        </w:rPr>
      </w:pPr>
    </w:p>
    <w:p w:rsidR="00826465" w:rsidRDefault="007573A3">
      <w:pPr>
        <w:jc w:val="center"/>
        <w:rPr>
          <w:rFonts w:ascii="Palatino Linotype" w:eastAsia="Calibri" w:hAnsi="Palatino Linotype" w:cs="Arial"/>
          <w:b/>
          <w:color w:val="000000" w:themeColor="text1"/>
          <w:spacing w:val="30"/>
          <w:sz w:val="28"/>
          <w:lang w:val="es-ES"/>
        </w:rPr>
      </w:pPr>
      <w:r>
        <w:rPr>
          <w:rFonts w:ascii="Palatino Linotype" w:eastAsia="Calibri" w:hAnsi="Palatino Linotype" w:cs="Arial"/>
          <w:b/>
          <w:color w:val="000000" w:themeColor="text1"/>
          <w:spacing w:val="30"/>
          <w:sz w:val="28"/>
          <w:lang w:val="es-ES"/>
        </w:rPr>
        <w:t>RESUELVE</w:t>
      </w:r>
    </w:p>
    <w:p w:rsidR="00826465" w:rsidRDefault="00826465">
      <w:pPr>
        <w:jc w:val="center"/>
        <w:rPr>
          <w:rFonts w:ascii="Palatino Linotype" w:eastAsia="Calibri" w:hAnsi="Palatino Linotype" w:cs="Arial"/>
          <w:b/>
          <w:color w:val="000000" w:themeColor="text1"/>
          <w:spacing w:val="30"/>
          <w:sz w:val="28"/>
          <w:lang w:val="es-ES"/>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b/>
          <w:color w:val="000000" w:themeColor="text1"/>
          <w:sz w:val="28"/>
          <w:lang w:val="es-ES"/>
        </w:rPr>
        <w:t>PRIMERO</w:t>
      </w:r>
      <w:r>
        <w:rPr>
          <w:rFonts w:ascii="Palatino Linotype" w:hAnsi="Palatino Linotype" w:cs="Arial"/>
          <w:color w:val="000000" w:themeColor="text1"/>
          <w:lang w:val="es-ES"/>
        </w:rPr>
        <w:t xml:space="preserve">. </w:t>
      </w:r>
      <w:r>
        <w:rPr>
          <w:rFonts w:ascii="Palatino Linotype" w:hAnsi="Palatino Linotype" w:cs="Arial"/>
          <w:color w:val="000000" w:themeColor="text1"/>
        </w:rPr>
        <w:t xml:space="preserve">Se </w:t>
      </w:r>
      <w:r>
        <w:rPr>
          <w:rFonts w:ascii="Palatino Linotype" w:hAnsi="Palatino Linotype" w:cs="Arial"/>
          <w:b/>
          <w:color w:val="000000" w:themeColor="text1"/>
        </w:rPr>
        <w:t xml:space="preserve">SOBRESEE </w:t>
      </w:r>
      <w:r>
        <w:rPr>
          <w:rFonts w:ascii="Palatino Linotype" w:hAnsi="Palatino Linotype" w:cs="Arial"/>
          <w:color w:val="000000" w:themeColor="text1"/>
        </w:rPr>
        <w:t>en</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el recurso de revisión número 01117/INFOEM/IP/RR/2020 </w:t>
      </w:r>
      <w:r>
        <w:rPr>
          <w:rFonts w:ascii="Palatino Linotype" w:hAnsi="Palatino Linotype" w:cs="Arial"/>
          <w:b/>
          <w:color w:val="000000" w:themeColor="text1"/>
          <w:lang w:val="es-ES"/>
        </w:rPr>
        <w:t>por quedarse sin materia</w:t>
      </w:r>
      <w:r>
        <w:rPr>
          <w:rFonts w:ascii="Palatino Linotype" w:hAnsi="Palatino Linotype"/>
          <w:b/>
          <w:color w:val="000000" w:themeColor="text1"/>
          <w:lang w:val="es-ES"/>
        </w:rPr>
        <w:t xml:space="preserve"> </w:t>
      </w:r>
      <w:r>
        <w:rPr>
          <w:rFonts w:ascii="Palatino Linotype" w:hAnsi="Palatino Linotype" w:cs="Arial"/>
          <w:color w:val="000000" w:themeColor="text1"/>
        </w:rPr>
        <w:t xml:space="preserve">en términos del Considerando </w:t>
      </w:r>
      <w:r>
        <w:rPr>
          <w:rFonts w:ascii="Palatino Linotype" w:hAnsi="Palatino Linotype" w:cs="Arial"/>
          <w:b/>
          <w:color w:val="000000" w:themeColor="text1"/>
        </w:rPr>
        <w:t>QUINTO</w:t>
      </w:r>
      <w:r>
        <w:rPr>
          <w:rFonts w:ascii="Palatino Linotype" w:hAnsi="Palatino Linotype" w:cs="Arial"/>
          <w:color w:val="000000" w:themeColor="text1"/>
          <w:lang w:val="es-ES"/>
        </w:rPr>
        <w:t xml:space="preserve"> de la presente resolución.</w:t>
      </w:r>
    </w:p>
    <w:p w:rsidR="00826465" w:rsidRDefault="00826465">
      <w:pPr>
        <w:spacing w:line="360" w:lineRule="auto"/>
        <w:jc w:val="both"/>
        <w:rPr>
          <w:rFonts w:ascii="Palatino Linotype" w:hAnsi="Palatino Linotype" w:cs="Arial"/>
          <w:color w:val="000000" w:themeColor="text1"/>
          <w:lang w:val="es-ES"/>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b/>
          <w:color w:val="000000" w:themeColor="text1"/>
          <w:sz w:val="28"/>
          <w:lang w:val="es-ES"/>
        </w:rPr>
        <w:lastRenderedPageBreak/>
        <w:t>SEGUNDO</w:t>
      </w:r>
      <w:r>
        <w:rPr>
          <w:rFonts w:ascii="Palatino Linotype" w:hAnsi="Palatino Linotype" w:cs="Arial"/>
          <w:color w:val="000000" w:themeColor="text1"/>
          <w:sz w:val="28"/>
          <w:lang w:val="es-ES"/>
        </w:rPr>
        <w:t xml:space="preserve">. </w:t>
      </w:r>
      <w:r>
        <w:rPr>
          <w:rFonts w:ascii="Palatino Linotype" w:hAnsi="Palatino Linotype" w:cs="Arial"/>
          <w:b/>
          <w:color w:val="000000" w:themeColor="text1"/>
          <w:shd w:val="clear" w:color="auto" w:fill="FFFFFF"/>
          <w:lang w:val="es-ES"/>
        </w:rPr>
        <w:t xml:space="preserve">Notifíquese </w:t>
      </w:r>
      <w:r>
        <w:rPr>
          <w:rFonts w:ascii="Palatino Linotype" w:hAnsi="Palatino Linotype" w:cs="Arial"/>
          <w:color w:val="000000" w:themeColor="text1"/>
          <w:shd w:val="clear" w:color="auto" w:fill="FFFFFF"/>
          <w:lang w:val="es-ES"/>
        </w:rPr>
        <w:t>al Titular de la Unidad de Transparencia del</w:t>
      </w:r>
      <w:r>
        <w:rPr>
          <w:rFonts w:ascii="Palatino Linotype" w:hAnsi="Palatino Linotype" w:cs="Arial"/>
          <w:b/>
          <w:color w:val="000000" w:themeColor="text1"/>
          <w:shd w:val="clear" w:color="auto" w:fill="FFFFFF"/>
          <w:lang w:val="es-ES"/>
        </w:rPr>
        <w:t xml:space="preserve"> SUJETO OBLIGADO</w:t>
      </w:r>
      <w:r>
        <w:rPr>
          <w:rFonts w:ascii="Palatino Linotype" w:hAnsi="Palatino Linotype" w:cs="Arial"/>
          <w:color w:val="000000" w:themeColor="text1"/>
          <w:shd w:val="clear" w:color="auto" w:fill="FFFFFF"/>
          <w:lang w:val="es-ES"/>
        </w:rPr>
        <w:t xml:space="preserve"> para su conocimiento. </w:t>
      </w:r>
    </w:p>
    <w:p w:rsidR="00826465" w:rsidRDefault="00826465">
      <w:pPr>
        <w:spacing w:line="360" w:lineRule="auto"/>
        <w:jc w:val="both"/>
        <w:rPr>
          <w:rFonts w:ascii="Palatino Linotype" w:hAnsi="Palatino Linotype" w:cs="Arial"/>
          <w:b/>
          <w:bCs/>
          <w:color w:val="000000" w:themeColor="text1"/>
          <w:sz w:val="28"/>
          <w:lang w:val="es-ES" w:eastAsia="es-MX"/>
        </w:rPr>
      </w:pPr>
    </w:p>
    <w:p w:rsidR="00826465" w:rsidRDefault="007573A3">
      <w:pPr>
        <w:widowControl w:val="0"/>
        <w:spacing w:line="360" w:lineRule="auto"/>
        <w:jc w:val="both"/>
        <w:rPr>
          <w:rFonts w:ascii="Palatino Linotype" w:hAnsi="Palatino Linotype"/>
          <w:color w:val="000000" w:themeColor="text1"/>
          <w:szCs w:val="17"/>
          <w:lang w:val="es-ES" w:eastAsia="es-ES_tradnl"/>
        </w:rPr>
      </w:pPr>
      <w:r>
        <w:rPr>
          <w:rFonts w:ascii="Palatino Linotype" w:hAnsi="Palatino Linotype" w:cs="Arial"/>
          <w:b/>
          <w:color w:val="000000" w:themeColor="text1"/>
          <w:sz w:val="28"/>
          <w:szCs w:val="28"/>
          <w:lang w:val="es-ES"/>
        </w:rPr>
        <w:t>TERCERO.</w:t>
      </w:r>
      <w:r>
        <w:rPr>
          <w:rFonts w:ascii="Palatino Linotype" w:hAnsi="Palatino Linotype"/>
          <w:b/>
          <w:color w:val="000000" w:themeColor="text1"/>
          <w:szCs w:val="17"/>
          <w:lang w:val="es-ES" w:eastAsia="es-ES_tradnl"/>
        </w:rPr>
        <w:t xml:space="preserve"> Notifíquese</w:t>
      </w:r>
      <w:r>
        <w:rPr>
          <w:rFonts w:ascii="Palatino Linotype" w:hAnsi="Palatino Linotype"/>
          <w:color w:val="000000" w:themeColor="text1"/>
          <w:szCs w:val="17"/>
          <w:lang w:val="es-ES" w:eastAsia="es-ES_tradnl"/>
        </w:rPr>
        <w:t xml:space="preserve"> al </w:t>
      </w:r>
      <w:r>
        <w:rPr>
          <w:rFonts w:ascii="Palatino Linotype" w:hAnsi="Palatino Linotype"/>
          <w:b/>
          <w:color w:val="000000" w:themeColor="text1"/>
          <w:szCs w:val="17"/>
          <w:lang w:val="es-ES" w:eastAsia="es-ES_tradnl"/>
        </w:rPr>
        <w:t>RECURRENTE</w:t>
      </w:r>
      <w:r>
        <w:rPr>
          <w:rFonts w:ascii="Palatino Linotype" w:hAnsi="Palatino Linotype"/>
          <w:color w:val="000000" w:themeColor="text1"/>
          <w:szCs w:val="17"/>
          <w:lang w:val="es-ES" w:eastAsia="es-ES_tradnl"/>
        </w:rPr>
        <w:t xml:space="preserve"> la presente resolución; así como, el Informe Justificado.</w:t>
      </w:r>
    </w:p>
    <w:p w:rsidR="00826465" w:rsidRDefault="00826465">
      <w:pPr>
        <w:widowControl w:val="0"/>
        <w:spacing w:line="360" w:lineRule="auto"/>
        <w:jc w:val="both"/>
        <w:rPr>
          <w:rFonts w:ascii="Palatino Linotype" w:hAnsi="Palatino Linotype" w:cs="Arial"/>
          <w:b/>
          <w:color w:val="000000" w:themeColor="text1"/>
          <w:sz w:val="28"/>
          <w:szCs w:val="28"/>
          <w:lang w:val="es-ES"/>
        </w:rPr>
      </w:pPr>
    </w:p>
    <w:p w:rsidR="00826465" w:rsidRDefault="007573A3">
      <w:pPr>
        <w:widowControl w:val="0"/>
        <w:spacing w:line="360" w:lineRule="auto"/>
        <w:jc w:val="both"/>
        <w:rPr>
          <w:rFonts w:ascii="Palatino Linotype" w:hAnsi="Palatino Linotype"/>
          <w:color w:val="000000" w:themeColor="text1"/>
          <w:szCs w:val="17"/>
          <w:lang w:val="es-ES" w:eastAsia="es-ES_tradnl"/>
        </w:rPr>
      </w:pPr>
      <w:r>
        <w:rPr>
          <w:rFonts w:ascii="Palatino Linotype" w:hAnsi="Palatino Linotype" w:cs="Arial"/>
          <w:b/>
          <w:color w:val="000000" w:themeColor="text1"/>
          <w:sz w:val="28"/>
          <w:szCs w:val="28"/>
          <w:lang w:val="es-ES"/>
        </w:rPr>
        <w:t xml:space="preserve">CUARTO. </w:t>
      </w:r>
      <w:r>
        <w:rPr>
          <w:rFonts w:ascii="Palatino Linotype" w:hAnsi="Palatino Linotype"/>
          <w:b/>
          <w:color w:val="000000" w:themeColor="text1"/>
          <w:szCs w:val="17"/>
          <w:lang w:val="es-ES" w:eastAsia="es-ES_tradnl"/>
        </w:rPr>
        <w:t>Hágase del conocimiento</w:t>
      </w:r>
      <w:r>
        <w:rPr>
          <w:rFonts w:ascii="Palatino Linotype" w:hAnsi="Palatino Linotype"/>
          <w:color w:val="000000" w:themeColor="text1"/>
          <w:szCs w:val="17"/>
          <w:lang w:val="es-ES" w:eastAsia="es-ES_tradnl"/>
        </w:rPr>
        <w:t xml:space="preserve"> del </w:t>
      </w:r>
      <w:r>
        <w:rPr>
          <w:rFonts w:ascii="Palatino Linotype" w:hAnsi="Palatino Linotype"/>
          <w:b/>
          <w:color w:val="000000" w:themeColor="text1"/>
          <w:szCs w:val="17"/>
          <w:lang w:val="es-ES" w:eastAsia="es-ES_tradnl"/>
        </w:rPr>
        <w:t>RECURRENTE</w:t>
      </w:r>
      <w:r>
        <w:rPr>
          <w:rFonts w:ascii="Palatino Linotype" w:hAnsi="Palatino Linotype"/>
          <w:color w:val="000000" w:themeColor="text1"/>
          <w:szCs w:val="17"/>
          <w:lang w:val="es-ES" w:eastAsia="es-ES_tradnl"/>
        </w:rPr>
        <w:t>, que de conformidad con lo establecido en el artículo 196 de la Ley de Tra</w:t>
      </w:r>
      <w:r>
        <w:rPr>
          <w:rFonts w:ascii="Palatino Linotype" w:hAnsi="Palatino Linotype"/>
          <w:color w:val="000000" w:themeColor="text1"/>
          <w:szCs w:val="17"/>
          <w:lang w:val="es-ES" w:eastAsia="es-ES_tradnl"/>
        </w:rPr>
        <w:t>nsparencia y Acceso a la Información Pública del Estado de México y Municipios, podrá impugnarla vía Juicio de Amparo en los términos de las leyes aplicables.</w:t>
      </w:r>
    </w:p>
    <w:p w:rsidR="00826465" w:rsidRDefault="00826465">
      <w:pPr>
        <w:spacing w:line="360" w:lineRule="auto"/>
        <w:jc w:val="both"/>
        <w:rPr>
          <w:rFonts w:ascii="Palatino Linotype" w:hAnsi="Palatino Linotype" w:cs="Arial"/>
          <w:b/>
          <w:bCs/>
          <w:color w:val="000000" w:themeColor="text1"/>
          <w:lang w:eastAsia="es-MX"/>
        </w:rPr>
      </w:pPr>
    </w:p>
    <w:p w:rsidR="00826465" w:rsidRDefault="007573A3">
      <w:pPr>
        <w:spacing w:line="360" w:lineRule="auto"/>
        <w:jc w:val="both"/>
        <w:rPr>
          <w:rFonts w:ascii="Palatino Linotype" w:hAnsi="Palatino Linotype"/>
          <w:color w:val="000000" w:themeColor="text1"/>
          <w:lang w:eastAsia="es-ES_tradnl"/>
        </w:rPr>
      </w:pPr>
      <w:r>
        <w:rPr>
          <w:rFonts w:ascii="Palatino Linotype" w:hAnsi="Palatino Linotype" w:cs="Arial"/>
          <w:b/>
          <w:color w:val="000000" w:themeColor="text1"/>
          <w:sz w:val="28"/>
          <w:szCs w:val="28"/>
          <w:lang w:val="es-ES"/>
        </w:rPr>
        <w:t>QUINTO</w:t>
      </w:r>
      <w:r>
        <w:rPr>
          <w:rFonts w:ascii="Palatino Linotype" w:hAnsi="Palatino Linotype"/>
          <w:b/>
          <w:color w:val="000000" w:themeColor="text1"/>
          <w:sz w:val="28"/>
          <w:szCs w:val="25"/>
        </w:rPr>
        <w:t xml:space="preserve">. </w:t>
      </w:r>
      <w:r>
        <w:rPr>
          <w:rFonts w:ascii="Palatino Linotype" w:hAnsi="Palatino Linotype"/>
          <w:b/>
          <w:color w:val="000000" w:themeColor="text1"/>
        </w:rPr>
        <w:t>Gírese</w:t>
      </w:r>
      <w:r>
        <w:rPr>
          <w:rFonts w:ascii="Palatino Linotype" w:hAnsi="Palatino Linotype"/>
          <w:color w:val="000000" w:themeColor="text1"/>
        </w:rPr>
        <w:t xml:space="preserve"> </w:t>
      </w:r>
      <w:r>
        <w:rPr>
          <w:rFonts w:ascii="Palatino Linotype" w:hAnsi="Palatino Linotype"/>
          <w:color w:val="000000" w:themeColor="text1"/>
          <w:lang w:eastAsia="es-ES_tradnl"/>
        </w:rPr>
        <w:t xml:space="preserve">oficio al Titular de la Contraloría Interna y Órgano de Control y Vigilancia de este </w:t>
      </w:r>
      <w:r>
        <w:rPr>
          <w:rFonts w:ascii="Palatino Linotype" w:hAnsi="Palatino Linotype" w:cs="Arial"/>
          <w:color w:val="000000" w:themeColor="text1"/>
        </w:rPr>
        <w:t>Instituto</w:t>
      </w:r>
      <w:r>
        <w:rPr>
          <w:rFonts w:ascii="Palatino Linotype" w:hAnsi="Palatino Linotype"/>
          <w:color w:val="000000" w:themeColor="text1"/>
          <w:lang w:eastAsia="es-ES_tradnl"/>
        </w:rPr>
        <w:t xml:space="preserve">, de conformidad con el artículo 190 de la Ley de Transparencia y </w:t>
      </w:r>
      <w:r>
        <w:rPr>
          <w:rFonts w:ascii="Palatino Linotype" w:hAnsi="Palatino Linotype"/>
          <w:color w:val="000000" w:themeColor="text1"/>
          <w:shd w:val="clear" w:color="auto" w:fill="FFFFFF"/>
        </w:rPr>
        <w:t>Acceso</w:t>
      </w:r>
      <w:r>
        <w:rPr>
          <w:rFonts w:ascii="Palatino Linotype" w:hAnsi="Palatino Linotype"/>
          <w:color w:val="000000" w:themeColor="text1"/>
          <w:lang w:eastAsia="es-ES_tradnl"/>
        </w:rPr>
        <w:t xml:space="preserve"> a la Información Pública del Estado de México y Municipios</w:t>
      </w:r>
      <w:r>
        <w:rPr>
          <w:rFonts w:ascii="Palatino Linotype" w:hAnsi="Palatino Linotype" w:cs="Arial"/>
          <w:color w:val="000000" w:themeColor="text1"/>
          <w:lang w:val="es-ES"/>
        </w:rPr>
        <w:t>; así como, al Titular de la Di</w:t>
      </w:r>
      <w:r>
        <w:rPr>
          <w:rFonts w:ascii="Palatino Linotype" w:hAnsi="Palatino Linotype" w:cs="Arial"/>
          <w:color w:val="000000" w:themeColor="text1"/>
          <w:lang w:val="es-ES"/>
        </w:rPr>
        <w:t>rección de Protección de Datos Personales en atención al artículo 82, fracción XXVII de la Ley de Protección de Datos Personales del Estado de México y Municipios</w:t>
      </w:r>
      <w:r>
        <w:rPr>
          <w:rFonts w:ascii="Palatino Linotype" w:hAnsi="Palatino Linotype"/>
          <w:color w:val="000000" w:themeColor="text1"/>
          <w:lang w:eastAsia="es-ES_tradnl"/>
        </w:rPr>
        <w:t xml:space="preserve">, en términos del Considerando </w:t>
      </w:r>
      <w:r>
        <w:rPr>
          <w:rFonts w:ascii="Palatino Linotype" w:hAnsi="Palatino Linotype"/>
          <w:b/>
          <w:color w:val="000000" w:themeColor="text1"/>
          <w:lang w:eastAsia="es-ES_tradnl"/>
        </w:rPr>
        <w:t>QUINTO</w:t>
      </w:r>
      <w:r>
        <w:rPr>
          <w:rFonts w:ascii="Palatino Linotype" w:hAnsi="Palatino Linotype"/>
          <w:color w:val="000000" w:themeColor="text1"/>
          <w:lang w:eastAsia="es-ES_tradnl"/>
        </w:rPr>
        <w:t xml:space="preserve"> de la presente resolución.</w:t>
      </w:r>
    </w:p>
    <w:p w:rsidR="00826465" w:rsidRDefault="00826465">
      <w:pPr>
        <w:spacing w:line="360" w:lineRule="auto"/>
        <w:jc w:val="both"/>
        <w:rPr>
          <w:rFonts w:ascii="Palatino Linotype" w:hAnsi="Palatino Linotype" w:cs="Arial"/>
          <w:color w:val="000000" w:themeColor="text1"/>
          <w:lang w:val="es-ES"/>
        </w:rPr>
      </w:pPr>
    </w:p>
    <w:p w:rsidR="00826465" w:rsidRDefault="007573A3">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ASÍ LO RESUELVE, POR </w:t>
      </w:r>
      <w:r>
        <w:rPr>
          <w:rFonts w:ascii="Palatino Linotype" w:hAnsi="Palatino Linotype" w:cs="Arial"/>
          <w:color w:val="000000" w:themeColor="text1"/>
          <w:lang w:val="es-ES"/>
        </w:rPr>
        <w:t xml:space="preserve">UNANIMIDAD </w:t>
      </w:r>
      <w:r>
        <w:rPr>
          <w:rFonts w:ascii="Palatino Linotype" w:hAnsi="Palatino Linotype" w:cs="Arial"/>
          <w:color w:val="000000" w:themeColor="text1"/>
          <w:lang w:val="es-ES"/>
        </w:rPr>
        <w:t>DE VOTOS EL PLENO DEL</w:t>
      </w:r>
      <w:r>
        <w:rPr>
          <w:rFonts w:ascii="Palatino Linotype" w:eastAsia="Arial Unicode MS" w:hAnsi="Palatino Linotype" w:cs="Arial"/>
          <w:color w:val="000000" w:themeColor="text1"/>
          <w:lang w:val="es-ES"/>
        </w:rPr>
        <w:t xml:space="preserve"> INSTITUTO DE </w:t>
      </w:r>
      <w:r>
        <w:rPr>
          <w:rFonts w:ascii="Palatino Linotype" w:hAnsi="Palatino Linotype"/>
          <w:color w:val="000000" w:themeColor="text1"/>
          <w:lang w:val="es-ES" w:eastAsia="en-US"/>
        </w:rPr>
        <w:t>TRANSPARENCIA</w:t>
      </w:r>
      <w:r>
        <w:rPr>
          <w:rFonts w:ascii="Palatino Linotype" w:eastAsia="Arial Unicode MS" w:hAnsi="Palatino Linotype" w:cs="Arial"/>
          <w:color w:val="000000" w:themeColor="text1"/>
          <w:lang w:val="es-ES"/>
        </w:rPr>
        <w:t>, ACCESO A LA INFORMACIÓN PÚBLICA Y PROTECCIÓN DE DATOS PERSONALES DEL ESTADO DE MÉXICO Y MUNICIPIOS</w:t>
      </w:r>
      <w:r>
        <w:rPr>
          <w:rFonts w:ascii="Palatino Linotype" w:hAnsi="Palatino Linotype" w:cs="Arial"/>
          <w:color w:val="000000" w:themeColor="text1"/>
          <w:lang w:val="es-ES"/>
        </w:rPr>
        <w:t xml:space="preserve">, CONFORMADO POR LOS COMISIONADOS ZULEMA MARTÍNEZ SÁNCHEZ; </w:t>
      </w:r>
      <w:r>
        <w:rPr>
          <w:rFonts w:ascii="Palatino Linotype" w:hAnsi="Palatino Linotype" w:cs="Arial"/>
          <w:color w:val="000000" w:themeColor="text1"/>
          <w:lang w:val="es-ES"/>
        </w:rPr>
        <w:lastRenderedPageBreak/>
        <w:t>EVA ABAID YAPUR; JOSÉ GUADALUPE LUNA H</w:t>
      </w:r>
      <w:r>
        <w:rPr>
          <w:rFonts w:ascii="Palatino Linotype" w:hAnsi="Palatino Linotype" w:cs="Arial"/>
          <w:color w:val="000000" w:themeColor="text1"/>
          <w:lang w:val="es-ES"/>
        </w:rPr>
        <w:t xml:space="preserve">ERNÁNDEZ, JAVIER MARTÍNEZ CRUZ </w:t>
      </w:r>
      <w:r>
        <w:rPr>
          <w:rFonts w:ascii="Palatino Linotype" w:eastAsia="Calibri" w:hAnsi="Palatino Linotype" w:cs="Arial"/>
          <w:color w:val="000000" w:themeColor="text1"/>
          <w:lang w:val="es-ES"/>
        </w:rPr>
        <w:t>EMITIENDO OPINIÓN PARTICULAR</w:t>
      </w:r>
      <w:r>
        <w:rPr>
          <w:rFonts w:ascii="Palatino Linotype" w:hAnsi="Palatino Linotype" w:cs="Arial"/>
          <w:color w:val="000000" w:themeColor="text1"/>
          <w:lang w:val="es-ES"/>
        </w:rPr>
        <w:t xml:space="preserve"> Y LUIS GUSTAVO PARRA NORIEGA </w:t>
      </w:r>
      <w:r>
        <w:rPr>
          <w:rFonts w:ascii="Palatino Linotype" w:eastAsia="Calibri" w:hAnsi="Palatino Linotype" w:cs="Arial"/>
          <w:color w:val="000000" w:themeColor="text1"/>
          <w:lang w:val="es-ES"/>
        </w:rPr>
        <w:t>EMITIENDO VOTO PARTICULAR</w:t>
      </w:r>
      <w:r>
        <w:rPr>
          <w:rFonts w:ascii="Palatino Linotype" w:hAnsi="Palatino Linotype" w:cs="Arial"/>
          <w:color w:val="000000" w:themeColor="text1"/>
          <w:lang w:val="es-ES"/>
        </w:rPr>
        <w:t xml:space="preserve">; </w:t>
      </w:r>
      <w:r>
        <w:rPr>
          <w:rFonts w:ascii="Palatino Linotype" w:hAnsi="Palatino Linotype" w:cs="Arial"/>
          <w:color w:val="000000" w:themeColor="text1"/>
          <w:lang w:val="es-ES"/>
        </w:rPr>
        <w:t xml:space="preserve">EN LA DÉCIMA </w:t>
      </w:r>
      <w:r>
        <w:rPr>
          <w:rFonts w:ascii="Palatino Linotype" w:hAnsi="Palatino Linotype" w:cs="Arial"/>
          <w:color w:val="000000" w:themeColor="text1"/>
          <w:lang w:val="es-ES"/>
        </w:rPr>
        <w:t>CUARTA</w:t>
      </w:r>
      <w:r>
        <w:rPr>
          <w:rFonts w:ascii="Palatino Linotype" w:hAnsi="Palatino Linotype" w:cs="Arial"/>
          <w:color w:val="000000" w:themeColor="text1"/>
          <w:lang w:val="es-ES"/>
        </w:rPr>
        <w:t xml:space="preserve"> </w:t>
      </w:r>
      <w:r>
        <w:rPr>
          <w:rFonts w:ascii="Palatino Linotype" w:hAnsi="Palatino Linotype" w:cs="Arial"/>
          <w:color w:val="000000" w:themeColor="text1"/>
          <w:lang w:val="es-ES"/>
        </w:rPr>
        <w:t xml:space="preserve">SESIÓN ORDINARIA CELEBRADA EL </w:t>
      </w:r>
      <w:r>
        <w:rPr>
          <w:rFonts w:ascii="Palatino Linotype" w:hAnsi="Palatino Linotype" w:cs="Arial"/>
          <w:color w:val="000000" w:themeColor="text1"/>
          <w:lang w:val="es-ES"/>
        </w:rPr>
        <w:t>DIECINUEVE</w:t>
      </w:r>
      <w:r>
        <w:rPr>
          <w:rFonts w:ascii="Palatino Linotype" w:hAnsi="Palatino Linotype" w:cs="Arial"/>
          <w:color w:val="000000" w:themeColor="text1"/>
          <w:lang w:val="es-ES"/>
        </w:rPr>
        <w:t xml:space="preserve"> DE AGOSTO DE DOS MIL VEINTE, ANTE EL SECRETARIO TÉCNICO DEL PLENO, </w:t>
      </w:r>
      <w:r>
        <w:rPr>
          <w:rFonts w:ascii="Palatino Linotype" w:eastAsia="Arial Unicode MS" w:hAnsi="Palatino Linotype" w:cs="Arial"/>
          <w:color w:val="000000" w:themeColor="text1"/>
          <w:lang w:val="es-ES"/>
        </w:rPr>
        <w:t>ALEXIS</w:t>
      </w:r>
      <w:r>
        <w:rPr>
          <w:rFonts w:ascii="Palatino Linotype" w:hAnsi="Palatino Linotype" w:cs="Arial"/>
          <w:color w:val="000000" w:themeColor="text1"/>
          <w:lang w:val="es-ES"/>
        </w:rPr>
        <w:t xml:space="preserve"> TAPIA RAMÍREZ.</w:t>
      </w:r>
    </w:p>
    <w:tbl>
      <w:tblPr>
        <w:tblW w:w="10368" w:type="dxa"/>
        <w:jc w:val="center"/>
        <w:tblLook w:val="04A0" w:firstRow="1" w:lastRow="0" w:firstColumn="1" w:lastColumn="0" w:noHBand="0" w:noVBand="1"/>
      </w:tblPr>
      <w:tblGrid>
        <w:gridCol w:w="10581"/>
      </w:tblGrid>
      <w:tr w:rsidR="00826465">
        <w:trPr>
          <w:jc w:val="center"/>
        </w:trPr>
        <w:tc>
          <w:tcPr>
            <w:tcW w:w="10368" w:type="dxa"/>
          </w:tcPr>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tbl>
            <w:tblPr>
              <w:tblW w:w="10365" w:type="dxa"/>
              <w:jc w:val="center"/>
              <w:tblLook w:val="04A0" w:firstRow="1" w:lastRow="0" w:firstColumn="1" w:lastColumn="0" w:noHBand="0" w:noVBand="1"/>
            </w:tblPr>
            <w:tblGrid>
              <w:gridCol w:w="5182"/>
              <w:gridCol w:w="5183"/>
            </w:tblGrid>
            <w:tr w:rsidR="00826465">
              <w:trPr>
                <w:jc w:val="center"/>
              </w:trPr>
              <w:tc>
                <w:tcPr>
                  <w:tcW w:w="10364" w:type="dxa"/>
                  <w:gridSpan w:val="2"/>
                  <w:shd w:val="clear" w:color="auto" w:fill="auto"/>
                </w:tcPr>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Zulema Martínez Sánchez</w:t>
                  </w:r>
                </w:p>
                <w:p w:rsidR="00826465" w:rsidRDefault="007573A3">
                  <w:pPr>
                    <w:jc w:val="center"/>
                    <w:rPr>
                      <w:rFonts w:ascii="Palatino Linotype" w:hAnsi="Palatino Linotype" w:cs="Arial"/>
                      <w:b/>
                      <w:color w:val="000000" w:themeColor="text1"/>
                    </w:rPr>
                  </w:pPr>
                  <w:r>
                    <w:rPr>
                      <w:rFonts w:ascii="Palatino Linotype" w:hAnsi="Palatino Linotype" w:cs="Arial"/>
                      <w:color w:val="000000" w:themeColor="text1"/>
                    </w:rPr>
                    <w:t>Comisionada Presidenta</w:t>
                  </w: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 xml:space="preserve">(RÚBRICA) </w:t>
                  </w:r>
                </w:p>
              </w:tc>
            </w:tr>
            <w:tr w:rsidR="00826465">
              <w:trPr>
                <w:jc w:val="center"/>
              </w:trPr>
              <w:tc>
                <w:tcPr>
                  <w:tcW w:w="5182" w:type="dxa"/>
                  <w:shd w:val="clear" w:color="auto" w:fill="auto"/>
                </w:tcPr>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Eva Abaid Yapur</w:t>
                  </w:r>
                </w:p>
                <w:p w:rsidR="00826465" w:rsidRDefault="007573A3">
                  <w:pPr>
                    <w:jc w:val="center"/>
                    <w:rPr>
                      <w:rFonts w:ascii="Palatino Linotype" w:hAnsi="Palatino Linotype" w:cs="Arial"/>
                      <w:b/>
                      <w:color w:val="000000" w:themeColor="text1"/>
                    </w:rPr>
                  </w:pPr>
                  <w:r>
                    <w:rPr>
                      <w:rFonts w:ascii="Palatino Linotype" w:hAnsi="Palatino Linotype" w:cs="Arial"/>
                      <w:color w:val="000000" w:themeColor="text1"/>
                    </w:rPr>
                    <w:t>Comisionada</w:t>
                  </w: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c>
                <w:tcPr>
                  <w:tcW w:w="5182" w:type="dxa"/>
                  <w:shd w:val="clear" w:color="auto" w:fill="auto"/>
                </w:tcPr>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José Guadalupe Luna Hernández</w:t>
                  </w:r>
                </w:p>
                <w:p w:rsidR="00826465" w:rsidRDefault="007573A3">
                  <w:pPr>
                    <w:jc w:val="center"/>
                    <w:rPr>
                      <w:rFonts w:ascii="Palatino Linotype" w:hAnsi="Palatino Linotype" w:cs="Arial"/>
                      <w:b/>
                      <w:color w:val="000000" w:themeColor="text1"/>
                    </w:rPr>
                  </w:pPr>
                  <w:r>
                    <w:rPr>
                      <w:rFonts w:ascii="Palatino Linotype" w:hAnsi="Palatino Linotype" w:cs="Arial"/>
                      <w:color w:val="000000" w:themeColor="text1"/>
                    </w:rPr>
                    <w:t>Comisionado</w:t>
                  </w: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26465">
              <w:trPr>
                <w:jc w:val="center"/>
              </w:trPr>
              <w:tc>
                <w:tcPr>
                  <w:tcW w:w="5182" w:type="dxa"/>
                  <w:shd w:val="clear" w:color="auto" w:fill="auto"/>
                </w:tcPr>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Javier Martínez Cruz</w:t>
                  </w:r>
                </w:p>
                <w:p w:rsidR="00826465" w:rsidRDefault="007573A3">
                  <w:pPr>
                    <w:jc w:val="center"/>
                    <w:rPr>
                      <w:rFonts w:ascii="Palatino Linotype" w:hAnsi="Palatino Linotype" w:cs="Arial"/>
                      <w:b/>
                      <w:color w:val="000000" w:themeColor="text1"/>
                    </w:rPr>
                  </w:pPr>
                  <w:r>
                    <w:rPr>
                      <w:rFonts w:ascii="Palatino Linotype" w:hAnsi="Palatino Linotype" w:cs="Arial"/>
                      <w:color w:val="000000" w:themeColor="text1"/>
                    </w:rPr>
                    <w:t>Comisionado</w:t>
                  </w: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c>
                <w:tcPr>
                  <w:tcW w:w="5182" w:type="dxa"/>
                  <w:shd w:val="clear" w:color="auto" w:fill="auto"/>
                </w:tcPr>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Luis Gustavo Parra Noriega</w:t>
                  </w:r>
                </w:p>
                <w:p w:rsidR="00826465" w:rsidRDefault="007573A3">
                  <w:pPr>
                    <w:jc w:val="center"/>
                    <w:rPr>
                      <w:rFonts w:ascii="Palatino Linotype" w:hAnsi="Palatino Linotype" w:cs="Arial"/>
                      <w:b/>
                      <w:color w:val="000000" w:themeColor="text1"/>
                    </w:rPr>
                  </w:pPr>
                  <w:r>
                    <w:rPr>
                      <w:rFonts w:ascii="Palatino Linotype" w:hAnsi="Palatino Linotype" w:cs="Arial"/>
                      <w:color w:val="000000" w:themeColor="text1"/>
                    </w:rPr>
                    <w:t>Comisionado</w:t>
                  </w:r>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r w:rsidR="00826465">
              <w:trPr>
                <w:jc w:val="center"/>
              </w:trPr>
              <w:tc>
                <w:tcPr>
                  <w:tcW w:w="10364" w:type="dxa"/>
                  <w:gridSpan w:val="2"/>
                  <w:shd w:val="clear" w:color="auto" w:fill="auto"/>
                </w:tcPr>
                <w:p w:rsidR="00826465" w:rsidRDefault="00826465">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p>
                <w:p w:rsidR="000F1879" w:rsidRDefault="000F1879">
                  <w:pPr>
                    <w:jc w:val="center"/>
                    <w:rPr>
                      <w:rFonts w:ascii="Palatino Linotype" w:hAnsi="Palatino Linotype" w:cs="Arial"/>
                      <w:b/>
                      <w:color w:val="000000" w:themeColor="text1"/>
                    </w:rPr>
                  </w:pPr>
                </w:p>
                <w:p w:rsidR="00826465" w:rsidRDefault="00826465">
                  <w:pPr>
                    <w:jc w:val="center"/>
                    <w:rPr>
                      <w:rFonts w:ascii="Palatino Linotype" w:hAnsi="Palatino Linotype" w:cs="Arial"/>
                      <w:b/>
                      <w:color w:val="000000" w:themeColor="text1"/>
                    </w:rPr>
                  </w:pPr>
                  <w:bookmarkStart w:id="0" w:name="_GoBack"/>
                  <w:bookmarkEnd w:id="0"/>
                </w:p>
                <w:p w:rsidR="00826465" w:rsidRDefault="007573A3">
                  <w:pPr>
                    <w:jc w:val="center"/>
                    <w:rPr>
                      <w:rFonts w:ascii="Palatino Linotype" w:hAnsi="Palatino Linotype" w:cs="Arial"/>
                      <w:b/>
                      <w:color w:val="000000" w:themeColor="text1"/>
                    </w:rPr>
                  </w:pPr>
                  <w:r>
                    <w:rPr>
                      <w:rFonts w:ascii="Palatino Linotype" w:hAnsi="Palatino Linotype" w:cs="Arial"/>
                      <w:b/>
                      <w:color w:val="000000" w:themeColor="text1"/>
                    </w:rPr>
                    <w:t>Alexis Tapia Ramírez</w:t>
                  </w:r>
                </w:p>
                <w:p w:rsidR="00826465" w:rsidRDefault="007573A3">
                  <w:pPr>
                    <w:jc w:val="center"/>
                    <w:rPr>
                      <w:rFonts w:ascii="Palatino Linotype" w:hAnsi="Palatino Linotype" w:cs="Arial"/>
                      <w:b/>
                      <w:color w:val="000000" w:themeColor="text1"/>
                    </w:rPr>
                  </w:pPr>
                  <w:r>
                    <w:rPr>
                      <w:rFonts w:ascii="Palatino Linotype" w:hAnsi="Palatino Linotype" w:cs="Arial"/>
                      <w:color w:val="000000" w:themeColor="text1"/>
                    </w:rPr>
                    <w:t>Secretario Técnico del Pleno</w:t>
                  </w:r>
                </w:p>
                <w:p w:rsidR="00826465" w:rsidRDefault="007573A3" w:rsidP="000F1879">
                  <w:pPr>
                    <w:jc w:val="center"/>
                    <w:rPr>
                      <w:rFonts w:ascii="Palatino Linotype" w:hAnsi="Palatino Linotype" w:cs="Arial"/>
                      <w:b/>
                      <w:color w:val="000000" w:themeColor="text1"/>
                    </w:rPr>
                  </w:pPr>
                  <w:r>
                    <w:rPr>
                      <w:rFonts w:ascii="Palatino Linotype" w:hAnsi="Palatino Linotype" w:cs="Arial"/>
                      <w:b/>
                      <w:color w:val="000000" w:themeColor="text1"/>
                    </w:rPr>
                    <w:t>(RÚBRICA)</w:t>
                  </w:r>
                </w:p>
              </w:tc>
            </w:tr>
          </w:tbl>
          <w:p w:rsidR="00826465" w:rsidRDefault="00826465">
            <w:pPr>
              <w:jc w:val="center"/>
              <w:rPr>
                <w:rFonts w:ascii="Palatino Linotype" w:hAnsi="Palatino Linotype" w:cs="Arial"/>
                <w:b/>
                <w:color w:val="000000" w:themeColor="text1"/>
              </w:rPr>
            </w:pPr>
          </w:p>
        </w:tc>
      </w:tr>
    </w:tbl>
    <w:p w:rsidR="00826465" w:rsidRDefault="007573A3">
      <w:pPr>
        <w:jc w:val="both"/>
        <w:rPr>
          <w:rFonts w:ascii="Palatino Linotype" w:hAnsi="Palatino Linotype" w:cs="Arial"/>
          <w:color w:val="000000" w:themeColor="text1"/>
        </w:rPr>
      </w:pPr>
      <w:r>
        <w:rPr>
          <w:rFonts w:ascii="Palatino Linotype" w:hAnsi="Palatino Linotype" w:cs="Arial"/>
          <w:color w:val="000000" w:themeColor="text1"/>
        </w:rPr>
        <w:t>Esta hoja corresponde a la resolución de diecinueve de agosto de dos mil veinte, emitida en el recurso de revisión número 01117/INFOEM/IP/RR/2020.</w:t>
      </w:r>
    </w:p>
    <w:p w:rsidR="00826465" w:rsidRDefault="007573A3">
      <w:pPr>
        <w:spacing w:beforeAutospacing="1"/>
        <w:jc w:val="both"/>
        <w:rPr>
          <w:rFonts w:ascii="Palatino Linotype" w:hAnsi="Palatino Linotype" w:cs="Arial"/>
          <w:color w:val="000000" w:themeColor="text1"/>
        </w:rPr>
      </w:pPr>
      <w:r>
        <w:rPr>
          <w:rFonts w:ascii="Palatino Linotype" w:hAnsi="Palatino Linotype" w:cs="Arial"/>
          <w:color w:val="000000" w:themeColor="text1"/>
          <w:sz w:val="20"/>
          <w:szCs w:val="20"/>
          <w:lang w:val="es-ES_tradnl"/>
        </w:rPr>
        <w:t xml:space="preserve">YSM/RPG </w:t>
      </w:r>
    </w:p>
    <w:sectPr w:rsidR="00826465">
      <w:headerReference w:type="default" r:id="rId36"/>
      <w:footerReference w:type="default" r:id="rId37"/>
      <w:headerReference w:type="first" r:id="rId38"/>
      <w:footerReference w:type="first" r:id="rId3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3A3" w:rsidRDefault="007573A3">
      <w:r>
        <w:separator/>
      </w:r>
    </w:p>
  </w:endnote>
  <w:endnote w:type="continuationSeparator" w:id="0">
    <w:p w:rsidR="007573A3" w:rsidRDefault="0075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65" w:rsidRDefault="007573A3">
    <w:pPr>
      <w:pStyle w:val="Piedepgina"/>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F1879">
      <w:rPr>
        <w:rFonts w:ascii="Palatino Linotype" w:hAnsi="Palatino Linotype" w:cs="Arial"/>
        <w:bCs/>
        <w:noProof/>
        <w:sz w:val="22"/>
        <w:szCs w:val="22"/>
      </w:rPr>
      <w:t>32</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F1879">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65" w:rsidRDefault="007573A3">
    <w:pPr>
      <w:pStyle w:val="Piedepgina"/>
      <w:spacing w:before="120"/>
      <w:jc w:val="right"/>
      <w:rPr>
        <w:rFonts w:ascii="Palatino Linotype" w:hAnsi="Palatino Linotype" w:cs="Arial" w:hint="eastAsia"/>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F1879">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F1879">
      <w:rPr>
        <w:rFonts w:ascii="Palatino Linotype" w:hAnsi="Palatino Linotype" w:cs="Arial"/>
        <w:bCs/>
        <w:noProof/>
        <w:sz w:val="22"/>
        <w:szCs w:val="22"/>
      </w:rPr>
      <w:t>34</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3A3" w:rsidRDefault="007573A3">
      <w:r>
        <w:separator/>
      </w:r>
    </w:p>
  </w:footnote>
  <w:footnote w:type="continuationSeparator" w:id="0">
    <w:p w:rsidR="007573A3" w:rsidRDefault="00757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65" w:rsidRDefault="007573A3">
    <w:pPr>
      <w:pStyle w:val="Encabezado"/>
      <w:tabs>
        <w:tab w:val="clear" w:pos="4252"/>
        <w:tab w:val="clear" w:pos="8504"/>
        <w:tab w:val="left" w:pos="2326"/>
      </w:tabs>
      <w:rPr>
        <w:rFonts w:ascii="Palatino Linotype" w:hAnsi="Palatino Linotype" w:hint="eastAsia"/>
        <w:sz w:val="28"/>
        <w:szCs w:val="28"/>
      </w:rPr>
    </w:pPr>
    <w:r>
      <w:rPr>
        <w:rFonts w:ascii="Palatino Linotype" w:hAnsi="Palatino Linotype"/>
        <w:noProof/>
        <w:sz w:val="28"/>
        <w:szCs w:val="28"/>
        <w:lang w:val="es-MX" w:eastAsia="es-MX"/>
      </w:rPr>
      <w:drawing>
        <wp:anchor distT="0" distB="0" distL="0" distR="0" simplePos="0" relativeHeight="54" behindDoc="1" locked="0" layoutInCell="1" allowOverlap="1">
          <wp:simplePos x="0" y="0"/>
          <wp:positionH relativeFrom="column">
            <wp:posOffset>-166370</wp:posOffset>
          </wp:positionH>
          <wp:positionV relativeFrom="paragraph">
            <wp:posOffset>128270</wp:posOffset>
          </wp:positionV>
          <wp:extent cx="6858635" cy="9144635"/>
          <wp:effectExtent l="0" t="0" r="0" b="0"/>
          <wp:wrapNone/>
          <wp:docPr id="26"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826465">
      <w:tc>
        <w:tcPr>
          <w:tcW w:w="3253" w:type="dxa"/>
          <w:vMerge w:val="restart"/>
        </w:tcPr>
        <w:p w:rsidR="00826465" w:rsidRDefault="007573A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826465" w:rsidRDefault="007573A3">
          <w:pPr>
            <w:ind w:right="-533"/>
            <w:rPr>
              <w:rFonts w:ascii="Palatino Linotype" w:hAnsi="Palatino Linotype"/>
              <w:b/>
              <w:sz w:val="22"/>
              <w:szCs w:val="22"/>
            </w:rPr>
          </w:pPr>
          <w:r>
            <w:rPr>
              <w:rFonts w:ascii="Palatino Linotype" w:hAnsi="Palatino Linotype"/>
              <w:b/>
              <w:sz w:val="22"/>
              <w:szCs w:val="22"/>
            </w:rPr>
            <w:t xml:space="preserve">01117/INFOEM/IP/RR/2020 </w:t>
          </w:r>
        </w:p>
      </w:tc>
    </w:tr>
    <w:tr w:rsidR="00826465">
      <w:tc>
        <w:tcPr>
          <w:tcW w:w="3253" w:type="dxa"/>
          <w:vMerge/>
        </w:tcPr>
        <w:p w:rsidR="00826465" w:rsidRDefault="00826465">
          <w:pPr>
            <w:rPr>
              <w:rFonts w:ascii="Palatino Linotype" w:hAnsi="Palatino Linotype"/>
              <w:b/>
              <w:sz w:val="22"/>
              <w:szCs w:val="22"/>
              <w:lang w:val="es-ES_tradnl"/>
            </w:rPr>
          </w:pPr>
        </w:p>
      </w:tc>
      <w:tc>
        <w:tcPr>
          <w:tcW w:w="2557"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826465" w:rsidRDefault="007573A3">
          <w:pPr>
            <w:ind w:right="-44"/>
            <w:jc w:val="both"/>
            <w:rPr>
              <w:rFonts w:ascii="Palatino Linotype" w:hAnsi="Palatino Linotype"/>
              <w:b/>
              <w:sz w:val="22"/>
              <w:szCs w:val="22"/>
            </w:rPr>
          </w:pPr>
          <w:r>
            <w:rPr>
              <w:rFonts w:ascii="Palatino Linotype" w:hAnsi="Palatino Linotype"/>
              <w:b/>
              <w:sz w:val="22"/>
              <w:szCs w:val="22"/>
            </w:rPr>
            <w:t>Instituto Electoral del Estado de México</w:t>
          </w:r>
        </w:p>
      </w:tc>
    </w:tr>
    <w:tr w:rsidR="00826465">
      <w:trPr>
        <w:trHeight w:val="228"/>
      </w:trPr>
      <w:tc>
        <w:tcPr>
          <w:tcW w:w="3253" w:type="dxa"/>
          <w:vMerge/>
        </w:tcPr>
        <w:p w:rsidR="00826465" w:rsidRDefault="00826465">
          <w:pPr>
            <w:rPr>
              <w:rFonts w:ascii="Palatino Linotype" w:hAnsi="Palatino Linotype"/>
              <w:b/>
              <w:sz w:val="22"/>
              <w:szCs w:val="22"/>
              <w:lang w:val="es-ES_tradnl"/>
            </w:rPr>
          </w:pPr>
        </w:p>
      </w:tc>
      <w:tc>
        <w:tcPr>
          <w:tcW w:w="2557"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826465" w:rsidRDefault="007573A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26465" w:rsidRDefault="00826465">
    <w:pPr>
      <w:pStyle w:val="Encabezado"/>
      <w:tabs>
        <w:tab w:val="clear" w:pos="4252"/>
        <w:tab w:val="clear" w:pos="8504"/>
        <w:tab w:val="left" w:pos="2326"/>
      </w:tabs>
      <w:rPr>
        <w:rFonts w:ascii="Palatino Linotype" w:hAnsi="Palatino Linotype" w:hint="eastAsia"/>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465" w:rsidRDefault="007573A3">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55" behindDoc="1" locked="0" layoutInCell="1" allowOverlap="1">
          <wp:simplePos x="0" y="0"/>
          <wp:positionH relativeFrom="column">
            <wp:align>center</wp:align>
          </wp:positionH>
          <wp:positionV relativeFrom="margin">
            <wp:align>center</wp:align>
          </wp:positionV>
          <wp:extent cx="6858635" cy="9144635"/>
          <wp:effectExtent l="0" t="0" r="0" b="0"/>
          <wp:wrapNone/>
          <wp:docPr id="28"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826465">
      <w:tc>
        <w:tcPr>
          <w:tcW w:w="4250" w:type="dxa"/>
          <w:vMerge w:val="restart"/>
          <w:shd w:val="clear" w:color="auto" w:fill="auto"/>
        </w:tcPr>
        <w:p w:rsidR="00826465" w:rsidRDefault="007573A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826465" w:rsidRDefault="007573A3">
          <w:pPr>
            <w:rPr>
              <w:rFonts w:ascii="Palatino Linotype" w:hAnsi="Palatino Linotype"/>
              <w:b/>
              <w:sz w:val="22"/>
              <w:szCs w:val="22"/>
            </w:rPr>
          </w:pPr>
          <w:r>
            <w:rPr>
              <w:rFonts w:ascii="Palatino Linotype" w:hAnsi="Palatino Linotype"/>
              <w:b/>
              <w:sz w:val="22"/>
              <w:szCs w:val="22"/>
            </w:rPr>
            <w:t xml:space="preserve">01117/INFOEM/IP/RR/2020 </w:t>
          </w:r>
        </w:p>
      </w:tc>
    </w:tr>
    <w:tr w:rsidR="00826465">
      <w:tc>
        <w:tcPr>
          <w:tcW w:w="4250" w:type="dxa"/>
          <w:vMerge/>
          <w:shd w:val="clear" w:color="auto" w:fill="auto"/>
        </w:tcPr>
        <w:p w:rsidR="00826465" w:rsidRDefault="00826465">
          <w:pPr>
            <w:rPr>
              <w:rFonts w:ascii="Palatino Linotype" w:hAnsi="Palatino Linotype"/>
              <w:b/>
              <w:sz w:val="22"/>
              <w:szCs w:val="22"/>
              <w:lang w:val="es-ES_tradnl"/>
            </w:rPr>
          </w:pPr>
        </w:p>
      </w:tc>
      <w:tc>
        <w:tcPr>
          <w:tcW w:w="2548"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826465" w:rsidRDefault="00826465">
          <w:pPr>
            <w:jc w:val="both"/>
            <w:rPr>
              <w:rFonts w:ascii="Palatino Linotype" w:hAnsi="Palatino Linotype"/>
              <w:b/>
              <w:sz w:val="22"/>
              <w:szCs w:val="22"/>
            </w:rPr>
          </w:pPr>
        </w:p>
      </w:tc>
    </w:tr>
    <w:tr w:rsidR="00826465">
      <w:trPr>
        <w:trHeight w:val="228"/>
      </w:trPr>
      <w:tc>
        <w:tcPr>
          <w:tcW w:w="4250" w:type="dxa"/>
          <w:vMerge/>
          <w:shd w:val="clear" w:color="auto" w:fill="auto"/>
        </w:tcPr>
        <w:p w:rsidR="00826465" w:rsidRDefault="00826465">
          <w:pPr>
            <w:rPr>
              <w:rFonts w:ascii="Palatino Linotype" w:hAnsi="Palatino Linotype"/>
              <w:b/>
              <w:sz w:val="22"/>
              <w:szCs w:val="22"/>
              <w:lang w:val="es-ES_tradnl"/>
            </w:rPr>
          </w:pPr>
        </w:p>
      </w:tc>
      <w:tc>
        <w:tcPr>
          <w:tcW w:w="2548"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826465" w:rsidRDefault="007573A3">
          <w:pPr>
            <w:jc w:val="both"/>
            <w:rPr>
              <w:rFonts w:ascii="Palatino Linotype" w:hAnsi="Palatino Linotype"/>
              <w:b/>
              <w:sz w:val="22"/>
              <w:szCs w:val="22"/>
            </w:rPr>
          </w:pPr>
          <w:r>
            <w:rPr>
              <w:rFonts w:ascii="Palatino Linotype" w:hAnsi="Palatino Linotype"/>
              <w:b/>
              <w:sz w:val="22"/>
              <w:szCs w:val="22"/>
            </w:rPr>
            <w:t>Instituto Electoral del Estado de México</w:t>
          </w:r>
        </w:p>
      </w:tc>
    </w:tr>
    <w:tr w:rsidR="00826465">
      <w:tc>
        <w:tcPr>
          <w:tcW w:w="4250" w:type="dxa"/>
          <w:vMerge/>
          <w:shd w:val="clear" w:color="auto" w:fill="auto"/>
        </w:tcPr>
        <w:p w:rsidR="00826465" w:rsidRDefault="00826465">
          <w:pPr>
            <w:rPr>
              <w:rFonts w:ascii="Palatino Linotype" w:hAnsi="Palatino Linotype"/>
              <w:b/>
              <w:sz w:val="22"/>
              <w:szCs w:val="22"/>
              <w:lang w:val="es-ES_tradnl"/>
            </w:rPr>
          </w:pPr>
        </w:p>
      </w:tc>
      <w:tc>
        <w:tcPr>
          <w:tcW w:w="2548" w:type="dxa"/>
          <w:shd w:val="clear" w:color="auto" w:fill="auto"/>
        </w:tcPr>
        <w:p w:rsidR="00826465" w:rsidRDefault="007573A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826465" w:rsidRDefault="007573A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26465" w:rsidRDefault="00826465">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94276"/>
    <w:multiLevelType w:val="multilevel"/>
    <w:tmpl w:val="B93A85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43A4538"/>
    <w:multiLevelType w:val="multilevel"/>
    <w:tmpl w:val="8AEACE98"/>
    <w:lvl w:ilvl="0">
      <w:start w:val="4"/>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465"/>
    <w:rsid w:val="000F1879"/>
    <w:rsid w:val="007573A3"/>
    <w:rsid w:val="00826465"/>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49256-5FEE-44E7-AA35-B876CF099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80936.pag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2.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96571.page"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80672.pag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aimex.org.mx/saimex/solicitud/downloadAttach/881200.page"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aimex.org.mx/saimex/solicitud/downloadAttach/880935.page" TargetMode="External"/><Relationship Id="rId17" Type="http://schemas.openxmlformats.org/officeDocument/2006/relationships/hyperlink" Target="https://www.saimex.org.mx/saimex/solicitud/downloadAttach/896572.page"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B3D7C-FC4E-453E-AADF-8115C935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33</Pages>
  <Words>5702</Words>
  <Characters>31366</Characters>
  <Application>Microsoft Office Word</Application>
  <DocSecurity>0</DocSecurity>
  <Lines>261</Lines>
  <Paragraphs>73</Paragraphs>
  <ScaleCrop>false</ScaleCrop>
  <Company>INFOEM</Company>
  <LinksUpToDate>false</LinksUpToDate>
  <CharactersWithSpaces>36995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PONENCIA EAY</cp:lastModifiedBy>
  <cp:revision>25</cp:revision>
  <cp:lastPrinted>2020-01-22T19:55:00Z</cp:lastPrinted>
  <dcterms:created xsi:type="dcterms:W3CDTF">2020-03-20T16:10:00Z</dcterms:created>
  <dcterms:modified xsi:type="dcterms:W3CDTF">2020-08-20T21:32:00Z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