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EAE" w:rsidRPr="00B96EA2" w:rsidRDefault="00CF7EAE" w:rsidP="00CF7EAE">
      <w:pPr>
        <w:spacing w:before="100" w:beforeAutospacing="1" w:after="100" w:afterAutospacing="1" w:line="360" w:lineRule="auto"/>
        <w:jc w:val="both"/>
        <w:rPr>
          <w:rFonts w:ascii="Palatino Linotype" w:hAnsi="Palatino Linotype"/>
        </w:rPr>
      </w:pPr>
      <w:r w:rsidRPr="00B96EA2">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veintitrés de septiembre de dos mil veinte.</w:t>
      </w:r>
    </w:p>
    <w:p w:rsidR="00CF7EAE" w:rsidRPr="00B96EA2" w:rsidRDefault="00CF7EAE" w:rsidP="00CF7EAE">
      <w:pPr>
        <w:spacing w:before="100" w:beforeAutospacing="1" w:after="100" w:afterAutospacing="1" w:line="360" w:lineRule="auto"/>
        <w:jc w:val="both"/>
        <w:rPr>
          <w:rFonts w:ascii="Palatino Linotype" w:hAnsi="Palatino Linotype"/>
          <w:b/>
        </w:rPr>
      </w:pPr>
      <w:r w:rsidRPr="00B96EA2">
        <w:rPr>
          <w:rFonts w:ascii="Palatino Linotype" w:hAnsi="Palatino Linotype"/>
          <w:b/>
        </w:rPr>
        <w:t>VISTO</w:t>
      </w:r>
      <w:r w:rsidRPr="00B96EA2">
        <w:rPr>
          <w:rFonts w:ascii="Palatino Linotype" w:hAnsi="Palatino Linotype"/>
        </w:rPr>
        <w:t xml:space="preserve"> el expediente formado con motivo del recurso de revisión </w:t>
      </w:r>
      <w:r w:rsidR="00DE5591" w:rsidRPr="00B96EA2">
        <w:rPr>
          <w:rFonts w:ascii="Palatino Linotype" w:hAnsi="Palatino Linotype"/>
          <w:b/>
        </w:rPr>
        <w:t>01912</w:t>
      </w:r>
      <w:r w:rsidRPr="00B96EA2">
        <w:rPr>
          <w:rFonts w:ascii="Palatino Linotype" w:hAnsi="Palatino Linotype"/>
          <w:b/>
        </w:rPr>
        <w:t>/INFOEM/IP/RR/2020</w:t>
      </w:r>
      <w:r w:rsidRPr="00B96EA2">
        <w:rPr>
          <w:rFonts w:ascii="Palatino Linotype" w:hAnsi="Palatino Linotype"/>
          <w:spacing w:val="-20"/>
        </w:rPr>
        <w:t xml:space="preserve">, </w:t>
      </w:r>
      <w:r w:rsidR="00C501D6">
        <w:rPr>
          <w:rFonts w:ascii="Palatino Linotype" w:hAnsi="Palatino Linotype"/>
          <w:spacing w:val="-20"/>
        </w:rPr>
        <w:t xml:space="preserve"> </w:t>
      </w:r>
      <w:r w:rsidRPr="00B96EA2">
        <w:rPr>
          <w:rFonts w:ascii="Palatino Linotype" w:hAnsi="Palatino Linotype"/>
        </w:rPr>
        <w:t xml:space="preserve">promovido por </w:t>
      </w:r>
      <w:r w:rsidRPr="00C501D6">
        <w:rPr>
          <w:rFonts w:ascii="Palatino Linotype" w:hAnsi="Palatino Linotype"/>
        </w:rPr>
        <w:t>la C.</w:t>
      </w:r>
      <w:r w:rsidR="00DE5591" w:rsidRPr="00B96EA2">
        <w:rPr>
          <w:rFonts w:ascii="Palatino Linotype" w:hAnsi="Palatino Linotype"/>
          <w:b/>
        </w:rPr>
        <w:t xml:space="preserve"> </w:t>
      </w:r>
      <w:r w:rsidR="00C85D2F">
        <w:rPr>
          <w:rFonts w:ascii="Palatino Linotype" w:hAnsi="Palatino Linotype"/>
          <w:b/>
        </w:rPr>
        <w:t>XXXXXXXXXXXXXXXXXXXXX</w:t>
      </w:r>
      <w:r w:rsidRPr="00B96EA2">
        <w:rPr>
          <w:rFonts w:ascii="Palatino Linotype" w:hAnsi="Palatino Linotype"/>
          <w:b/>
        </w:rPr>
        <w:t xml:space="preserve">, </w:t>
      </w:r>
      <w:r w:rsidRPr="00B96EA2">
        <w:rPr>
          <w:rFonts w:ascii="Palatino Linotype" w:hAnsi="Palatino Linotype" w:cs="Arial"/>
        </w:rPr>
        <w:t>en lo sucesivo</w:t>
      </w:r>
      <w:r w:rsidRPr="00B96EA2">
        <w:rPr>
          <w:rFonts w:ascii="Palatino Linotype" w:hAnsi="Palatino Linotype" w:cs="Arial"/>
          <w:b/>
        </w:rPr>
        <w:t xml:space="preserve"> LA RECURRENTE,</w:t>
      </w:r>
      <w:r w:rsidRPr="00B96EA2">
        <w:rPr>
          <w:rFonts w:ascii="Palatino Linotype" w:hAnsi="Palatino Linotype"/>
        </w:rPr>
        <w:t xml:space="preserve"> en contra de la respuesta emitida por el </w:t>
      </w:r>
      <w:r w:rsidR="00DE5591" w:rsidRPr="00B96EA2">
        <w:rPr>
          <w:rFonts w:ascii="Palatino Linotype" w:hAnsi="Palatino Linotype"/>
          <w:b/>
        </w:rPr>
        <w:t>Ayuntamiento de Tultitlán</w:t>
      </w:r>
      <w:r w:rsidRPr="00B96EA2">
        <w:rPr>
          <w:rFonts w:ascii="Palatino Linotype" w:hAnsi="Palatino Linotype"/>
          <w:b/>
        </w:rPr>
        <w:t xml:space="preserve">, </w:t>
      </w:r>
      <w:r w:rsidRPr="00B96EA2">
        <w:rPr>
          <w:rFonts w:ascii="Palatino Linotype" w:hAnsi="Palatino Linotype"/>
        </w:rPr>
        <w:t xml:space="preserve">en lo sucesivo </w:t>
      </w:r>
      <w:r w:rsidRPr="00B96EA2">
        <w:rPr>
          <w:rFonts w:ascii="Palatino Linotype" w:hAnsi="Palatino Linotype"/>
          <w:b/>
        </w:rPr>
        <w:t>EL SUJETO OBLIGADO</w:t>
      </w:r>
      <w:r w:rsidRPr="00B96EA2">
        <w:rPr>
          <w:rFonts w:ascii="Palatino Linotype" w:hAnsi="Palatino Linotype"/>
        </w:rPr>
        <w:t xml:space="preserve">, se procede a dictar la presente resolución con base en lo siguiente: </w:t>
      </w:r>
    </w:p>
    <w:p w:rsidR="00CF7EAE" w:rsidRPr="00B96EA2" w:rsidRDefault="00CF7EAE" w:rsidP="00CF7EAE">
      <w:pPr>
        <w:spacing w:before="100" w:beforeAutospacing="1" w:after="100" w:afterAutospacing="1"/>
        <w:jc w:val="center"/>
        <w:rPr>
          <w:rFonts w:ascii="Palatino Linotype" w:hAnsi="Palatino Linotype"/>
          <w:b/>
          <w:bCs/>
          <w:spacing w:val="40"/>
          <w:sz w:val="28"/>
        </w:rPr>
      </w:pPr>
      <w:r w:rsidRPr="00B96EA2">
        <w:rPr>
          <w:rFonts w:ascii="Palatino Linotype" w:hAnsi="Palatino Linotype"/>
          <w:b/>
          <w:bCs/>
          <w:spacing w:val="40"/>
          <w:sz w:val="28"/>
        </w:rPr>
        <w:t>RESULTANDO</w:t>
      </w:r>
    </w:p>
    <w:p w:rsidR="00CF7EAE" w:rsidRPr="00B96EA2" w:rsidRDefault="00CF7EAE" w:rsidP="00CF7EAE">
      <w:pPr>
        <w:spacing w:before="100" w:beforeAutospacing="1" w:after="100" w:afterAutospacing="1" w:line="360" w:lineRule="auto"/>
        <w:jc w:val="both"/>
        <w:rPr>
          <w:rFonts w:ascii="Palatino Linotype" w:hAnsi="Palatino Linotype" w:cs="Arial"/>
          <w:b/>
          <w:bCs/>
          <w:lang w:val="es-ES"/>
        </w:rPr>
      </w:pPr>
      <w:r w:rsidRPr="00B96EA2">
        <w:rPr>
          <w:rFonts w:ascii="Palatino Linotype" w:hAnsi="Palatino Linotype"/>
          <w:b/>
          <w:sz w:val="28"/>
          <w:szCs w:val="28"/>
        </w:rPr>
        <w:t xml:space="preserve">I. </w:t>
      </w:r>
      <w:r w:rsidRPr="00B96EA2">
        <w:rPr>
          <w:rFonts w:ascii="Palatino Linotype" w:hAnsi="Palatino Linotype" w:cs="Arial"/>
        </w:rPr>
        <w:t xml:space="preserve">En </w:t>
      </w:r>
      <w:r w:rsidRPr="00B96EA2">
        <w:rPr>
          <w:rFonts w:ascii="Palatino Linotype" w:hAnsi="Palatino Linotype" w:cs="Arial"/>
          <w:lang w:val="es-ES"/>
        </w:rPr>
        <w:t>fecha</w:t>
      </w:r>
      <w:r w:rsidRPr="00B96EA2">
        <w:rPr>
          <w:rFonts w:ascii="Palatino Linotype" w:hAnsi="Palatino Linotype"/>
          <w:lang w:val="es-ES"/>
        </w:rPr>
        <w:t xml:space="preserve"> </w:t>
      </w:r>
      <w:r w:rsidR="00DE5591" w:rsidRPr="00B96EA2">
        <w:rPr>
          <w:rFonts w:ascii="Palatino Linotype" w:hAnsi="Palatino Linotype"/>
          <w:lang w:val="es-ES"/>
        </w:rPr>
        <w:t xml:space="preserve">diecisiete de febrero </w:t>
      </w:r>
      <w:r w:rsidRPr="00B96EA2">
        <w:rPr>
          <w:rFonts w:ascii="Palatino Linotype" w:hAnsi="Palatino Linotype"/>
          <w:lang w:val="es-ES"/>
        </w:rPr>
        <w:t xml:space="preserve">de </w:t>
      </w:r>
      <w:r w:rsidRPr="00B96EA2">
        <w:rPr>
          <w:rFonts w:ascii="Palatino Linotype" w:hAnsi="Palatino Linotype" w:cs="Arial"/>
          <w:lang w:val="es-ES"/>
        </w:rPr>
        <w:t>dos mil veinte</w:t>
      </w:r>
      <w:r w:rsidRPr="00B96EA2">
        <w:rPr>
          <w:rFonts w:ascii="Palatino Linotype" w:hAnsi="Palatino Linotype"/>
          <w:lang w:val="es-ES"/>
        </w:rPr>
        <w:t xml:space="preserve">, </w:t>
      </w:r>
      <w:r w:rsidRPr="00B96EA2">
        <w:rPr>
          <w:rFonts w:ascii="Palatino Linotype" w:hAnsi="Palatino Linotype"/>
          <w:b/>
          <w:lang w:val="es-ES"/>
        </w:rPr>
        <w:t>LA RECURRENTE</w:t>
      </w:r>
      <w:r w:rsidRPr="00B96EA2">
        <w:rPr>
          <w:rFonts w:ascii="Palatino Linotype" w:hAnsi="Palatino Linotype" w:cs="Arial"/>
          <w:lang w:val="es-ES"/>
        </w:rPr>
        <w:t xml:space="preserve"> </w:t>
      </w:r>
      <w:r w:rsidRPr="00B96EA2">
        <w:rPr>
          <w:rFonts w:ascii="Palatino Linotype" w:hAnsi="Palatino Linotype" w:cs="Arial"/>
        </w:rPr>
        <w:t xml:space="preserve">presentó a través del Sistema de Acceso a la Información Mexiquense, en lo subsecuente </w:t>
      </w:r>
      <w:r w:rsidRPr="00B96EA2">
        <w:rPr>
          <w:rFonts w:ascii="Palatino Linotype" w:hAnsi="Palatino Linotype" w:cs="Arial"/>
          <w:b/>
        </w:rPr>
        <w:t>EL SAIMEX</w:t>
      </w:r>
      <w:r w:rsidRPr="00B96EA2">
        <w:rPr>
          <w:rFonts w:ascii="Palatino Linotype" w:hAnsi="Palatino Linotype" w:cs="Arial"/>
        </w:rPr>
        <w:t xml:space="preserve"> ante </w:t>
      </w:r>
      <w:r w:rsidRPr="00B96EA2">
        <w:rPr>
          <w:rFonts w:ascii="Palatino Linotype" w:hAnsi="Palatino Linotype" w:cs="Arial"/>
          <w:b/>
        </w:rPr>
        <w:t>EL SUJETO OBLIGADO</w:t>
      </w:r>
      <w:r w:rsidRPr="00B96EA2">
        <w:rPr>
          <w:rFonts w:ascii="Palatino Linotype" w:hAnsi="Palatino Linotype" w:cs="Arial"/>
          <w:lang w:val="es-ES"/>
        </w:rPr>
        <w:t xml:space="preserve">, la solicitud de acceso a la información pública, a la que se le asignó el número de expediente </w:t>
      </w:r>
      <w:r w:rsidR="00DE5591" w:rsidRPr="00B96EA2">
        <w:rPr>
          <w:rFonts w:ascii="Palatino Linotype" w:hAnsi="Palatino Linotype" w:cs="Arial"/>
          <w:b/>
        </w:rPr>
        <w:t>00032/TULTITLA/IP/2020</w:t>
      </w:r>
      <w:r w:rsidRPr="00B96EA2">
        <w:rPr>
          <w:rFonts w:ascii="Palatino Linotype" w:hAnsi="Palatino Linotype" w:cs="Arial"/>
          <w:b/>
        </w:rPr>
        <w:t xml:space="preserve">, </w:t>
      </w:r>
      <w:r w:rsidRPr="00B96EA2">
        <w:rPr>
          <w:rFonts w:ascii="Palatino Linotype" w:hAnsi="Palatino Linotype" w:cs="Arial"/>
          <w:lang w:val="es-ES"/>
        </w:rPr>
        <w:t>mediante la cual requirió:</w:t>
      </w:r>
    </w:p>
    <w:p w:rsidR="00CF7EAE" w:rsidRPr="00B96EA2" w:rsidRDefault="00CF7EAE" w:rsidP="00CF7EA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B96EA2">
        <w:rPr>
          <w:rFonts w:ascii="Palatino Linotype" w:hAnsi="Palatino Linotype" w:cs="Arial"/>
          <w:i/>
          <w:sz w:val="22"/>
          <w:szCs w:val="22"/>
        </w:rPr>
        <w:t>“</w:t>
      </w:r>
      <w:r w:rsidR="00DE5591" w:rsidRPr="00B96EA2">
        <w:rPr>
          <w:rFonts w:ascii="Palatino Linotype" w:hAnsi="Palatino Linotype" w:cs="Arial"/>
          <w:i/>
          <w:sz w:val="22"/>
          <w:szCs w:val="22"/>
        </w:rPr>
        <w:t>LICITACIÓN PÚBLICA NACIONAL PRESENCIAL NÚMERO LPN-TULTI-EF2019-003-19 CONTRATACIÓN DE UN “MODELO DE GESTIÓN OPERATIVO PARA OTORGAR LOS SERVICIOS DE CONSULTORÍA, IMPLEMENTACIÓN, PUESTA EN MARCHA Y MANTENIMIENTO DE UN SISTEMA INTEGRAL DIGITAL DE ADMINISTRACIÓN DE RECURSOS GUBERNAMENTALES”</w:t>
      </w:r>
      <w:r w:rsidRPr="00B96EA2">
        <w:rPr>
          <w:rFonts w:ascii="Palatino Linotype" w:hAnsi="Palatino Linotype" w:cs="Arial"/>
          <w:i/>
          <w:sz w:val="22"/>
          <w:szCs w:val="22"/>
        </w:rPr>
        <w:t xml:space="preserve"> (Sic)</w:t>
      </w:r>
    </w:p>
    <w:p w:rsidR="00CF7EAE" w:rsidRPr="00B96EA2" w:rsidRDefault="00CF7EAE" w:rsidP="00CF7EAE">
      <w:pPr>
        <w:tabs>
          <w:tab w:val="left" w:pos="851"/>
        </w:tabs>
        <w:spacing w:before="100" w:beforeAutospacing="1" w:after="100" w:afterAutospacing="1"/>
        <w:ind w:left="851" w:right="901"/>
        <w:contextualSpacing/>
        <w:jc w:val="both"/>
        <w:rPr>
          <w:rFonts w:ascii="Palatino Linotype" w:hAnsi="Palatino Linotype" w:cs="Arial"/>
          <w:i/>
          <w:sz w:val="22"/>
          <w:szCs w:val="22"/>
        </w:rPr>
      </w:pPr>
    </w:p>
    <w:p w:rsidR="00CF7EAE" w:rsidRPr="00B96EA2" w:rsidRDefault="00CF7EAE" w:rsidP="00CF7EAE">
      <w:pPr>
        <w:spacing w:before="100" w:beforeAutospacing="1" w:after="100" w:afterAutospacing="1" w:line="360" w:lineRule="auto"/>
        <w:contextualSpacing/>
        <w:jc w:val="both"/>
        <w:rPr>
          <w:rFonts w:ascii="Palatino Linotype" w:hAnsi="Palatino Linotype" w:cs="Arial"/>
          <w:b/>
        </w:rPr>
      </w:pPr>
      <w:r w:rsidRPr="00B96EA2">
        <w:rPr>
          <w:rFonts w:ascii="Palatino Linotype" w:hAnsi="Palatino Linotype" w:cs="Arial"/>
          <w:b/>
        </w:rPr>
        <w:t>MODALIDAD DE ENTREGA:</w:t>
      </w:r>
      <w:r w:rsidRPr="00B96EA2">
        <w:rPr>
          <w:rFonts w:ascii="Palatino Linotype" w:hAnsi="Palatino Linotype" w:cs="Arial"/>
        </w:rPr>
        <w:t xml:space="preserve"> Vía </w:t>
      </w:r>
      <w:r w:rsidRPr="00B96EA2">
        <w:rPr>
          <w:rFonts w:ascii="Palatino Linotype" w:hAnsi="Palatino Linotype" w:cs="Arial"/>
          <w:b/>
        </w:rPr>
        <w:t>SAIMEX.</w:t>
      </w:r>
    </w:p>
    <w:p w:rsidR="00CF7EAE" w:rsidRPr="00B96EA2" w:rsidRDefault="00CF7EAE" w:rsidP="00DE5591">
      <w:pPr>
        <w:pStyle w:val="Prrafodelista"/>
        <w:tabs>
          <w:tab w:val="left" w:pos="0"/>
        </w:tabs>
        <w:spacing w:before="100" w:beforeAutospacing="1" w:after="100" w:afterAutospacing="1" w:line="360" w:lineRule="auto"/>
        <w:ind w:left="0"/>
        <w:jc w:val="both"/>
        <w:rPr>
          <w:rFonts w:ascii="Palatino Linotype" w:hAnsi="Palatino Linotype"/>
          <w:bCs/>
        </w:rPr>
      </w:pPr>
      <w:r w:rsidRPr="00B96EA2">
        <w:rPr>
          <w:rFonts w:ascii="Palatino Linotype" w:hAnsi="Palatino Linotype"/>
          <w:b/>
          <w:sz w:val="28"/>
          <w:szCs w:val="28"/>
        </w:rPr>
        <w:t xml:space="preserve">II. </w:t>
      </w:r>
      <w:r w:rsidRPr="00B96EA2">
        <w:rPr>
          <w:rFonts w:ascii="Palatino Linotype" w:hAnsi="Palatino Linotype" w:cs="Arial"/>
        </w:rPr>
        <w:t xml:space="preserve">En cumplimiento al artículo 162 de la Ley de Transparencia y Acceso a la Información Pública del Estado de México y Municipios, el </w:t>
      </w:r>
      <w:r w:rsidR="00DE5591" w:rsidRPr="00B96EA2">
        <w:rPr>
          <w:rFonts w:ascii="Palatino Linotype" w:hAnsi="Palatino Linotype" w:cs="Arial"/>
        </w:rPr>
        <w:t xml:space="preserve">diecisiete y veintitrés de </w:t>
      </w:r>
      <w:r w:rsidR="00DE5591" w:rsidRPr="00B96EA2">
        <w:rPr>
          <w:rFonts w:ascii="Palatino Linotype" w:hAnsi="Palatino Linotype" w:cs="Arial"/>
        </w:rPr>
        <w:lastRenderedPageBreak/>
        <w:t xml:space="preserve">marzo de </w:t>
      </w:r>
      <w:r w:rsidRPr="00B96EA2">
        <w:rPr>
          <w:rFonts w:ascii="Palatino Linotype" w:hAnsi="Palatino Linotype" w:cs="Arial"/>
        </w:rPr>
        <w:t xml:space="preserve">dos mil veinte, el Titular de la Unidad de Transparencia del </w:t>
      </w:r>
      <w:r w:rsidRPr="00B96EA2">
        <w:rPr>
          <w:rFonts w:ascii="Palatino Linotype" w:hAnsi="Palatino Linotype" w:cs="Arial"/>
          <w:b/>
        </w:rPr>
        <w:t>SUJETO OBLIGADO</w:t>
      </w:r>
      <w:r w:rsidRPr="00B96EA2">
        <w:rPr>
          <w:rFonts w:ascii="Palatino Linotype" w:hAnsi="Palatino Linotype" w:cs="Arial"/>
        </w:rPr>
        <w:t xml:space="preserve">, </w:t>
      </w:r>
      <w:r w:rsidRPr="00B96EA2">
        <w:rPr>
          <w:rFonts w:ascii="Palatino Linotype" w:hAnsi="Palatino Linotype"/>
          <w:bCs/>
        </w:rPr>
        <w:t>turnó la solicitud de información a la</w:t>
      </w:r>
      <w:r w:rsidR="00DE5591" w:rsidRPr="00B96EA2">
        <w:rPr>
          <w:rFonts w:ascii="Palatino Linotype" w:hAnsi="Palatino Linotype"/>
          <w:bCs/>
        </w:rPr>
        <w:t>s</w:t>
      </w:r>
      <w:r w:rsidRPr="00B96EA2">
        <w:rPr>
          <w:rFonts w:ascii="Palatino Linotype" w:hAnsi="Palatino Linotype"/>
          <w:bCs/>
        </w:rPr>
        <w:t xml:space="preserve"> Servidora</w:t>
      </w:r>
      <w:r w:rsidR="00DE5591" w:rsidRPr="00B96EA2">
        <w:rPr>
          <w:rFonts w:ascii="Palatino Linotype" w:hAnsi="Palatino Linotype"/>
          <w:bCs/>
        </w:rPr>
        <w:t>s</w:t>
      </w:r>
      <w:r w:rsidRPr="00B96EA2">
        <w:rPr>
          <w:rFonts w:ascii="Palatino Linotype" w:hAnsi="Palatino Linotype"/>
          <w:bCs/>
        </w:rPr>
        <w:t xml:space="preserve"> Pública</w:t>
      </w:r>
      <w:r w:rsidR="00DE5591" w:rsidRPr="00B96EA2">
        <w:rPr>
          <w:rFonts w:ascii="Palatino Linotype" w:hAnsi="Palatino Linotype"/>
          <w:bCs/>
        </w:rPr>
        <w:t>s</w:t>
      </w:r>
      <w:r w:rsidRPr="00B96EA2">
        <w:rPr>
          <w:rFonts w:ascii="Palatino Linotype" w:hAnsi="Palatino Linotype"/>
          <w:bCs/>
        </w:rPr>
        <w:t xml:space="preserve"> Habilitada</w:t>
      </w:r>
      <w:r w:rsidR="00DE5591" w:rsidRPr="00B96EA2">
        <w:rPr>
          <w:rFonts w:ascii="Palatino Linotype" w:hAnsi="Palatino Linotype"/>
          <w:bCs/>
        </w:rPr>
        <w:t>s</w:t>
      </w:r>
      <w:r w:rsidRPr="00B96EA2">
        <w:rPr>
          <w:rFonts w:ascii="Palatino Linotype" w:hAnsi="Palatino Linotype"/>
          <w:bCs/>
        </w:rPr>
        <w:t xml:space="preserve"> que estimó competente</w:t>
      </w:r>
      <w:r w:rsidR="00DE5591" w:rsidRPr="00B96EA2">
        <w:rPr>
          <w:rFonts w:ascii="Palatino Linotype" w:hAnsi="Palatino Linotype"/>
          <w:bCs/>
        </w:rPr>
        <w:t>s</w:t>
      </w:r>
      <w:r w:rsidRPr="00B96EA2">
        <w:rPr>
          <w:rFonts w:ascii="Palatino Linotype" w:hAnsi="Palatino Linotype"/>
          <w:bCs/>
        </w:rPr>
        <w:t xml:space="preserve"> a fin de colmar la solicitud de acceso a la información; tal y como, se aprecia en la imagen siguiente:</w:t>
      </w:r>
    </w:p>
    <w:p w:rsidR="00CF7EAE" w:rsidRPr="00B96EA2" w:rsidRDefault="00DE5591" w:rsidP="00CF7EAE">
      <w:pPr>
        <w:pStyle w:val="Prrafodelista"/>
        <w:tabs>
          <w:tab w:val="left" w:pos="0"/>
        </w:tabs>
        <w:spacing w:line="360" w:lineRule="auto"/>
        <w:ind w:left="0"/>
        <w:jc w:val="center"/>
        <w:rPr>
          <w:rFonts w:ascii="Palatino Linotype" w:hAnsi="Palatino Linotype" w:cs="Arial"/>
        </w:rPr>
      </w:pPr>
      <w:r w:rsidRPr="00B96EA2">
        <w:rPr>
          <w:noProof/>
          <w:lang w:eastAsia="es-MX"/>
        </w:rPr>
        <w:drawing>
          <wp:inline distT="0" distB="0" distL="0" distR="0">
            <wp:extent cx="5478780" cy="892454"/>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47" t="39314" r="4513" b="42040"/>
                    <a:stretch/>
                  </pic:blipFill>
                  <pic:spPr bwMode="auto">
                    <a:xfrm>
                      <a:off x="0" y="0"/>
                      <a:ext cx="5512764" cy="897990"/>
                    </a:xfrm>
                    <a:prstGeom prst="rect">
                      <a:avLst/>
                    </a:prstGeom>
                    <a:ln>
                      <a:noFill/>
                    </a:ln>
                    <a:extLst>
                      <a:ext uri="{53640926-AAD7-44D8-BBD7-CCE9431645EC}">
                        <a14:shadowObscured xmlns:a14="http://schemas.microsoft.com/office/drawing/2010/main"/>
                      </a:ext>
                    </a:extLst>
                  </pic:spPr>
                </pic:pic>
              </a:graphicData>
            </a:graphic>
          </wp:inline>
        </w:drawing>
      </w:r>
    </w:p>
    <w:p w:rsidR="00DE5591" w:rsidRPr="00B96EA2" w:rsidRDefault="00CF7EAE" w:rsidP="00DE5591">
      <w:pPr>
        <w:spacing w:before="100" w:beforeAutospacing="1" w:after="100" w:afterAutospacing="1" w:line="360" w:lineRule="auto"/>
        <w:jc w:val="both"/>
        <w:rPr>
          <w:rFonts w:ascii="Palatino Linotype" w:hAnsi="Palatino Linotype"/>
          <w:lang w:val="es-ES_tradnl"/>
        </w:rPr>
      </w:pPr>
      <w:r w:rsidRPr="00B96EA2">
        <w:rPr>
          <w:rFonts w:ascii="Palatino Linotype" w:hAnsi="Palatino Linotype"/>
          <w:b/>
          <w:sz w:val="28"/>
          <w:szCs w:val="28"/>
        </w:rPr>
        <w:t>III</w:t>
      </w:r>
      <w:r w:rsidRPr="00B96EA2">
        <w:rPr>
          <w:rFonts w:ascii="Palatino Linotype" w:hAnsi="Palatino Linotype"/>
        </w:rPr>
        <w:t xml:space="preserve">. </w:t>
      </w:r>
      <w:r w:rsidR="00DE5591" w:rsidRPr="00B96EA2">
        <w:rPr>
          <w:rFonts w:ascii="Palatino Linotype" w:hAnsi="Palatino Linotype"/>
        </w:rPr>
        <w:t xml:space="preserve">En fecha once de marzo de dos mil veinte, se advierte que </w:t>
      </w:r>
      <w:r w:rsidR="00DE5591" w:rsidRPr="00B96EA2">
        <w:rPr>
          <w:rFonts w:ascii="Palatino Linotype" w:hAnsi="Palatino Linotype"/>
          <w:b/>
        </w:rPr>
        <w:t>EL SUJETO OBLIGADO</w:t>
      </w:r>
      <w:r w:rsidR="00DE5591" w:rsidRPr="00B96EA2">
        <w:rPr>
          <w:rFonts w:ascii="Palatino Linotype" w:hAnsi="Palatino Linotype" w:cs="Arial"/>
        </w:rPr>
        <w:t xml:space="preserve"> notificó al solicitante la ampliación del plazo para otorgar respuesta, en la solicitud de información;</w:t>
      </w:r>
      <w:r w:rsidR="00DE5591" w:rsidRPr="00B96EA2">
        <w:rPr>
          <w:rFonts w:ascii="Palatino Linotype" w:hAnsi="Palatino Linotype" w:cs="Arial"/>
          <w:b/>
        </w:rPr>
        <w:t xml:space="preserve"> </w:t>
      </w:r>
      <w:r w:rsidR="00DE5591" w:rsidRPr="00B96EA2">
        <w:rPr>
          <w:rFonts w:ascii="Palatino Linotype" w:hAnsi="Palatino Linotype"/>
          <w:lang w:val="es-ES_tradnl"/>
        </w:rPr>
        <w:t>tal y como, se aprecia enseguida:</w:t>
      </w:r>
    </w:p>
    <w:p w:rsidR="00DE5591" w:rsidRPr="00B96EA2" w:rsidRDefault="00DE5591" w:rsidP="00DE5591">
      <w:pPr>
        <w:spacing w:before="100" w:beforeAutospacing="1" w:after="100" w:afterAutospacing="1" w:line="360" w:lineRule="auto"/>
        <w:jc w:val="center"/>
        <w:rPr>
          <w:rFonts w:ascii="Palatino Linotype" w:hAnsi="Palatino Linotype"/>
        </w:rPr>
      </w:pPr>
      <w:r w:rsidRPr="00B96EA2">
        <w:rPr>
          <w:noProof/>
          <w:lang w:eastAsia="es-MX"/>
        </w:rPr>
        <w:drawing>
          <wp:inline distT="0" distB="0" distL="0" distR="0">
            <wp:extent cx="5597014" cy="145572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52" t="29879" r="29382" b="43607"/>
                    <a:stretch/>
                  </pic:blipFill>
                  <pic:spPr bwMode="auto">
                    <a:xfrm>
                      <a:off x="0" y="0"/>
                      <a:ext cx="5630186" cy="1464353"/>
                    </a:xfrm>
                    <a:prstGeom prst="rect">
                      <a:avLst/>
                    </a:prstGeom>
                    <a:ln>
                      <a:noFill/>
                    </a:ln>
                    <a:extLst>
                      <a:ext uri="{53640926-AAD7-44D8-BBD7-CCE9431645EC}">
                        <a14:shadowObscured xmlns:a14="http://schemas.microsoft.com/office/drawing/2010/main"/>
                      </a:ext>
                    </a:extLst>
                  </pic:spPr>
                </pic:pic>
              </a:graphicData>
            </a:graphic>
          </wp:inline>
        </w:drawing>
      </w:r>
    </w:p>
    <w:p w:rsidR="00DE5591" w:rsidRPr="00B96EA2" w:rsidRDefault="00DE5591" w:rsidP="00DE5591">
      <w:pPr>
        <w:spacing w:before="100" w:beforeAutospacing="1" w:after="100" w:afterAutospacing="1" w:line="360" w:lineRule="auto"/>
        <w:jc w:val="both"/>
        <w:rPr>
          <w:rFonts w:ascii="Palatino Linotype" w:hAnsi="Palatino Linotype"/>
        </w:rPr>
      </w:pPr>
      <w:r w:rsidRPr="00B96EA2">
        <w:rPr>
          <w:rFonts w:ascii="Palatino Linotype" w:hAnsi="Palatino Linotype"/>
        </w:rPr>
        <w:t xml:space="preserve">Destacando que, dicha prórroga no cumple </w:t>
      </w:r>
      <w:r w:rsidRPr="00B96EA2">
        <w:rPr>
          <w:rFonts w:ascii="Palatino Linotype" w:hAnsi="Palatino Linotype" w:cs="Arial"/>
        </w:rPr>
        <w:t xml:space="preserve">con la debida fundamentación y motivación de acuerdo a </w:t>
      </w:r>
      <w:r w:rsidRPr="00B96EA2">
        <w:rPr>
          <w:rFonts w:ascii="Palatino Linotype" w:hAnsi="Palatino Linotype"/>
        </w:rPr>
        <w:t xml:space="preserve">lo establecido en los artículos 49, fracción II y 163, párrafo segundo de la </w:t>
      </w:r>
      <w:r w:rsidRPr="00B96EA2">
        <w:rPr>
          <w:rFonts w:ascii="Palatino Linotype" w:hAnsi="Palatino Linotype" w:cs="Arial"/>
        </w:rPr>
        <w:t xml:space="preserve">Ley de Transparencia y Acceso a la Información Pública del Estado de México y Municipios; toda vez que omitió adjuntar el Acuerdo </w:t>
      </w:r>
      <w:r w:rsidR="00EA190B" w:rsidRPr="00B96EA2">
        <w:rPr>
          <w:rFonts w:ascii="Palatino Linotype" w:hAnsi="Palatino Linotype" w:cs="Arial"/>
        </w:rPr>
        <w:t>correspondiente donde el Comité de Transparencia aprobara dicha prórroga.</w:t>
      </w:r>
    </w:p>
    <w:p w:rsidR="00EA190B" w:rsidRPr="00B96EA2" w:rsidRDefault="00EA190B" w:rsidP="00CF7EAE">
      <w:pPr>
        <w:spacing w:before="100" w:beforeAutospacing="1" w:after="100" w:afterAutospacing="1" w:line="360" w:lineRule="auto"/>
        <w:jc w:val="both"/>
        <w:rPr>
          <w:rFonts w:ascii="Palatino Linotype" w:hAnsi="Palatino Linotype" w:cs="Arial"/>
          <w:lang w:val="es-ES_tradnl"/>
        </w:rPr>
      </w:pPr>
      <w:r w:rsidRPr="00B96EA2">
        <w:rPr>
          <w:rFonts w:ascii="Palatino Linotype" w:hAnsi="Palatino Linotype"/>
          <w:b/>
          <w:sz w:val="28"/>
          <w:szCs w:val="28"/>
        </w:rPr>
        <w:lastRenderedPageBreak/>
        <w:t xml:space="preserve">IV. </w:t>
      </w:r>
      <w:r w:rsidR="00CF7EAE" w:rsidRPr="00B96EA2">
        <w:rPr>
          <w:rFonts w:ascii="Palatino Linotype" w:hAnsi="Palatino Linotype"/>
        </w:rPr>
        <w:t xml:space="preserve">De las constancias que obran en </w:t>
      </w:r>
      <w:r w:rsidR="00CF7EAE" w:rsidRPr="00B96EA2">
        <w:rPr>
          <w:rFonts w:ascii="Palatino Linotype" w:hAnsi="Palatino Linotype"/>
          <w:b/>
        </w:rPr>
        <w:t>EL SAIMEX,</w:t>
      </w:r>
      <w:r w:rsidR="00CF7EAE" w:rsidRPr="00B96EA2">
        <w:rPr>
          <w:rFonts w:ascii="Palatino Linotype" w:hAnsi="Palatino Linotype"/>
        </w:rPr>
        <w:t xml:space="preserve"> se advierte que el </w:t>
      </w:r>
      <w:r w:rsidRPr="00B96EA2">
        <w:rPr>
          <w:rFonts w:ascii="Palatino Linotype" w:hAnsi="Palatino Linotype"/>
        </w:rPr>
        <w:t xml:space="preserve">veintitrés de  marzo </w:t>
      </w:r>
      <w:r w:rsidR="00CF7EAE" w:rsidRPr="00B96EA2">
        <w:rPr>
          <w:rFonts w:ascii="Palatino Linotype" w:hAnsi="Palatino Linotype"/>
        </w:rPr>
        <w:t xml:space="preserve">de dos mil veinte, </w:t>
      </w:r>
      <w:r w:rsidR="00CF7EAE" w:rsidRPr="00B96EA2">
        <w:rPr>
          <w:rFonts w:ascii="Palatino Linotype" w:hAnsi="Palatino Linotype" w:cs="Arial"/>
          <w:lang w:val="es-ES_tradnl"/>
        </w:rPr>
        <w:t>el Responsable de la Unidad de Transparencia del</w:t>
      </w:r>
      <w:r w:rsidR="00CF7EAE" w:rsidRPr="00B96EA2">
        <w:rPr>
          <w:rFonts w:ascii="Palatino Linotype" w:hAnsi="Palatino Linotype" w:cs="Arial"/>
          <w:b/>
          <w:lang w:val="es-ES_tradnl"/>
        </w:rPr>
        <w:t xml:space="preserve"> SUJETO OBLIGADO</w:t>
      </w:r>
      <w:r w:rsidR="00CF7EAE" w:rsidRPr="00B96EA2">
        <w:rPr>
          <w:rFonts w:ascii="Palatino Linotype" w:hAnsi="Palatino Linotype" w:cs="Arial"/>
          <w:lang w:val="es-ES_tradnl"/>
        </w:rPr>
        <w:t xml:space="preserve"> dio respuesta a la solicitud de información, </w:t>
      </w:r>
      <w:r w:rsidRPr="00B96EA2">
        <w:rPr>
          <w:rFonts w:ascii="Palatino Linotype" w:hAnsi="Palatino Linotype" w:cs="Arial"/>
          <w:lang w:val="es-ES_tradnl"/>
        </w:rPr>
        <w:t>en los siguientes términos:</w:t>
      </w:r>
    </w:p>
    <w:p w:rsidR="00EA190B" w:rsidRPr="00B96EA2" w:rsidRDefault="00EA190B" w:rsidP="00EA190B">
      <w:pPr>
        <w:ind w:left="851" w:right="902"/>
        <w:jc w:val="both"/>
        <w:rPr>
          <w:rFonts w:ascii="Palatino Linotype" w:hAnsi="Palatino Linotype" w:cs="Arial"/>
          <w:i/>
          <w:sz w:val="22"/>
          <w:szCs w:val="22"/>
          <w:lang w:val="es-ES_tradnl"/>
        </w:rPr>
      </w:pPr>
      <w:r w:rsidRPr="00B96EA2">
        <w:rPr>
          <w:rFonts w:ascii="Palatino Linotype" w:hAnsi="Palatino Linotype"/>
          <w:i/>
          <w:color w:val="000000"/>
          <w:sz w:val="22"/>
          <w:szCs w:val="22"/>
        </w:rPr>
        <w:t>“POR ESTE MEDIO RECIBA UN CORDIAL SALUDO; AL TIEMPO QUE APROVECHO PARA DAR RESPUESTA A SU SOLICITUD DE INFORMACIÓN INGRESADA A ESTA PLATAFORMA SAIMEX CON EL FOLIO 00032/ TULTITLA/IP/2020 CON ATENCIÓN POR PARTE DE LA DIRECCIÓN DE ADMINISTRACIÓN Y LA JEFATURA DE DE ADQUISICIONES, SIN MÁS POR EL MOMENTO QUEDO A SUS ORDENES EN EL TELÉFONO 26208900 EXTENSIÓN 1106 RESPUESTA DE LA DEPENDENCIAS: EN RELACIÓN AL PUNTO SOLICITADO SE INFORMA QUE SE LLEVO A CABO EN FECHA 29 DE MARZO DEL 2019 LA PUBLICACIÓN DE LA LICITACIÓN PÚBLICA NACIONAL PRESENCIAL NÚMERO LPN-TULTI-EF2019-003-19DE CUMPLIENDO CONFORME A LOS MONTOS DE RECUPERACIÓN ESTABLECIDOS EN LA GACETA DE GOBIERNO 2019.” (Sic)</w:t>
      </w:r>
    </w:p>
    <w:p w:rsidR="00CF7EAE" w:rsidRPr="00B96EA2" w:rsidRDefault="00CF7EAE" w:rsidP="00CF7EAE">
      <w:pPr>
        <w:spacing w:before="100" w:beforeAutospacing="1" w:after="100" w:afterAutospacing="1" w:line="360" w:lineRule="auto"/>
        <w:jc w:val="both"/>
        <w:rPr>
          <w:rFonts w:ascii="Palatino Linotype" w:hAnsi="Palatino Linotype" w:cs="Arial"/>
        </w:rPr>
      </w:pPr>
      <w:r w:rsidRPr="00B96EA2">
        <w:rPr>
          <w:rFonts w:ascii="Palatino Linotype" w:hAnsi="Palatino Linotype"/>
          <w:b/>
          <w:sz w:val="28"/>
          <w:szCs w:val="28"/>
        </w:rPr>
        <w:t>V.</w:t>
      </w:r>
      <w:r w:rsidRPr="00B96EA2">
        <w:rPr>
          <w:rFonts w:ascii="Palatino Linotype" w:hAnsi="Palatino Linotype"/>
          <w:b/>
        </w:rPr>
        <w:t xml:space="preserve"> </w:t>
      </w:r>
      <w:r w:rsidRPr="00B96EA2">
        <w:rPr>
          <w:rFonts w:ascii="Palatino Linotype" w:hAnsi="Palatino Linotype"/>
        </w:rPr>
        <w:t xml:space="preserve">Inconforme con la </w:t>
      </w:r>
      <w:r w:rsidRPr="00B96EA2">
        <w:rPr>
          <w:rFonts w:ascii="Palatino Linotype" w:hAnsi="Palatino Linotype" w:cs="Arial"/>
        </w:rPr>
        <w:t xml:space="preserve">respuesta, el </w:t>
      </w:r>
      <w:r w:rsidR="00EA190B" w:rsidRPr="00B96EA2">
        <w:rPr>
          <w:rFonts w:ascii="Palatino Linotype" w:hAnsi="Palatino Linotype" w:cs="Arial"/>
        </w:rPr>
        <w:t xml:space="preserve">veintiuno de abril </w:t>
      </w:r>
      <w:r w:rsidRPr="00B96EA2">
        <w:rPr>
          <w:rFonts w:ascii="Palatino Linotype" w:hAnsi="Palatino Linotype" w:cs="Arial"/>
        </w:rPr>
        <w:t xml:space="preserve">de dos mil veinte, </w:t>
      </w:r>
      <w:r w:rsidRPr="00B96EA2">
        <w:rPr>
          <w:rFonts w:ascii="Palatino Linotype" w:hAnsi="Palatino Linotype"/>
          <w:b/>
        </w:rPr>
        <w:t>LA RECURRENTE</w:t>
      </w:r>
      <w:r w:rsidRPr="00B96EA2">
        <w:rPr>
          <w:rFonts w:ascii="Palatino Linotype" w:hAnsi="Palatino Linotype"/>
        </w:rPr>
        <w:t xml:space="preserve"> interpuso el recurso de revisión objeto del presente estudio, al que se le asignó el número al rubro citado</w:t>
      </w:r>
      <w:r w:rsidRPr="00B96EA2">
        <w:rPr>
          <w:rFonts w:ascii="Palatino Linotype" w:hAnsi="Palatino Linotype" w:cs="Arial"/>
        </w:rPr>
        <w:t xml:space="preserve">, en el que señaló como acto impugnado lo siguiente: </w:t>
      </w:r>
    </w:p>
    <w:p w:rsidR="00CF7EAE" w:rsidRPr="00B96EA2" w:rsidRDefault="00CF7EAE" w:rsidP="00CF7EAE">
      <w:pPr>
        <w:spacing w:before="100" w:beforeAutospacing="1" w:after="100" w:afterAutospacing="1"/>
        <w:ind w:left="851" w:right="899"/>
        <w:jc w:val="both"/>
        <w:rPr>
          <w:rFonts w:ascii="Palatino Linotype" w:hAnsi="Palatino Linotype" w:cs="Arial"/>
          <w:i/>
          <w:sz w:val="22"/>
          <w:szCs w:val="22"/>
        </w:rPr>
      </w:pPr>
      <w:r w:rsidRPr="00B96EA2">
        <w:rPr>
          <w:rFonts w:ascii="Palatino Linotype" w:hAnsi="Palatino Linotype" w:cs="Arial"/>
          <w:i/>
          <w:sz w:val="22"/>
          <w:szCs w:val="22"/>
        </w:rPr>
        <w:t>“</w:t>
      </w:r>
      <w:r w:rsidR="00EA190B" w:rsidRPr="00B96EA2">
        <w:rPr>
          <w:rFonts w:ascii="Palatino Linotype" w:hAnsi="Palatino Linotype" w:cs="Arial"/>
          <w:i/>
          <w:sz w:val="22"/>
          <w:szCs w:val="22"/>
        </w:rPr>
        <w:t>Respuesta de la autoridad de fecha 23 de marzo 2020 en la que señala que la licitación fue publicada en la gaceta, sin embargo no esta publicada completa ni en el sistema de compramex. Quiero los datos del contrato, las bases y toda la licitación completa, ya que es información publica</w:t>
      </w:r>
      <w:r w:rsidRPr="00B96EA2">
        <w:rPr>
          <w:rFonts w:ascii="Palatino Linotype" w:hAnsi="Palatino Linotype" w:cs="Arial"/>
          <w:i/>
          <w:sz w:val="22"/>
          <w:szCs w:val="22"/>
        </w:rPr>
        <w:t>.” (Sic)</w:t>
      </w:r>
    </w:p>
    <w:p w:rsidR="00CF7EAE" w:rsidRPr="00B96EA2" w:rsidRDefault="00CF7EAE" w:rsidP="00CF7EAE">
      <w:pPr>
        <w:spacing w:before="100" w:beforeAutospacing="1" w:after="100" w:afterAutospacing="1" w:line="360" w:lineRule="auto"/>
        <w:jc w:val="both"/>
        <w:rPr>
          <w:rFonts w:ascii="Palatino Linotype" w:hAnsi="Palatino Linotype" w:cs="Arial"/>
        </w:rPr>
      </w:pPr>
      <w:r w:rsidRPr="00B96EA2">
        <w:rPr>
          <w:rFonts w:ascii="Palatino Linotype" w:hAnsi="Palatino Linotype" w:cs="Arial"/>
        </w:rPr>
        <w:t>Asimismo,</w:t>
      </w:r>
      <w:r w:rsidRPr="00B96EA2">
        <w:t xml:space="preserve"> </w:t>
      </w:r>
      <w:r w:rsidRPr="00B96EA2">
        <w:rPr>
          <w:b/>
        </w:rPr>
        <w:t>LA RECURRENTE</w:t>
      </w:r>
      <w:r w:rsidRPr="00B96EA2">
        <w:rPr>
          <w:rFonts w:ascii="Palatino Linotype" w:hAnsi="Palatino Linotype" w:cs="Arial"/>
        </w:rPr>
        <w:t xml:space="preserve"> indicó como razones o motivos de inconformidad, lo siguiente: </w:t>
      </w:r>
    </w:p>
    <w:p w:rsidR="00CF7EAE" w:rsidRPr="00B96EA2" w:rsidRDefault="00CF7EAE" w:rsidP="00CF7EAE">
      <w:pPr>
        <w:spacing w:before="100" w:beforeAutospacing="1" w:after="100" w:afterAutospacing="1"/>
        <w:ind w:left="851" w:right="899"/>
        <w:jc w:val="both"/>
        <w:rPr>
          <w:rFonts w:ascii="Palatino Linotype" w:hAnsi="Palatino Linotype" w:cs="Arial"/>
          <w:i/>
          <w:sz w:val="22"/>
          <w:szCs w:val="22"/>
        </w:rPr>
      </w:pPr>
      <w:r w:rsidRPr="00B96EA2">
        <w:rPr>
          <w:rFonts w:ascii="Palatino Linotype" w:hAnsi="Palatino Linotype" w:cs="Arial"/>
          <w:i/>
          <w:sz w:val="22"/>
          <w:szCs w:val="22"/>
        </w:rPr>
        <w:t>“</w:t>
      </w:r>
      <w:r w:rsidR="00EA190B" w:rsidRPr="00B96EA2">
        <w:rPr>
          <w:rFonts w:ascii="Palatino Linotype" w:hAnsi="Palatino Linotype" w:cs="Arial"/>
          <w:i/>
          <w:sz w:val="22"/>
          <w:szCs w:val="22"/>
        </w:rPr>
        <w:t>no me mandaron la informacion completa que solicité, misma que es publica en virtud de la ley</w:t>
      </w:r>
      <w:r w:rsidRPr="00B96EA2">
        <w:rPr>
          <w:rFonts w:ascii="Palatino Linotype" w:hAnsi="Palatino Linotype" w:cs="Arial"/>
          <w:i/>
          <w:sz w:val="22"/>
          <w:szCs w:val="22"/>
        </w:rPr>
        <w:t xml:space="preserve">.” (Sic) </w:t>
      </w:r>
    </w:p>
    <w:p w:rsidR="00EA190B" w:rsidRPr="00B96EA2" w:rsidRDefault="00EA190B" w:rsidP="00EA190B">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rPr>
      </w:pPr>
      <w:r w:rsidRPr="00B96EA2">
        <w:rPr>
          <w:rFonts w:ascii="Palatino Linotype" w:hAnsi="Palatino Linotype"/>
        </w:rPr>
        <w:lastRenderedPageBreak/>
        <w:t>Adjuntando a dicho recurso de revisión lo siguiente:</w:t>
      </w:r>
    </w:p>
    <w:p w:rsidR="00EA190B" w:rsidRPr="00B96EA2" w:rsidRDefault="002E5920" w:rsidP="00EA190B">
      <w:pPr>
        <w:spacing w:before="100" w:beforeAutospacing="1" w:after="100" w:afterAutospacing="1"/>
        <w:ind w:right="49"/>
        <w:jc w:val="center"/>
        <w:rPr>
          <w:rFonts w:ascii="Palatino Linotype" w:hAnsi="Palatino Linotype" w:cs="Arial"/>
          <w:i/>
          <w:sz w:val="22"/>
          <w:szCs w:val="22"/>
        </w:rPr>
      </w:pPr>
      <w:r w:rsidRPr="00B96EA2">
        <w:rPr>
          <w:noProof/>
          <w:lang w:eastAsia="es-MX"/>
        </w:rPr>
        <w:t xml:space="preserve"> </w:t>
      </w:r>
      <w:r w:rsidR="00EA190B" w:rsidRPr="00B96EA2">
        <w:rPr>
          <w:noProof/>
          <w:lang w:eastAsia="es-MX"/>
        </w:rPr>
        <w:drawing>
          <wp:inline distT="0" distB="0" distL="0" distR="0">
            <wp:extent cx="4695147" cy="22311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86" t="27865" r="36597" b="52150"/>
                    <a:stretch/>
                  </pic:blipFill>
                  <pic:spPr bwMode="auto">
                    <a:xfrm>
                      <a:off x="0" y="0"/>
                      <a:ext cx="4735461" cy="2250293"/>
                    </a:xfrm>
                    <a:prstGeom prst="rect">
                      <a:avLst/>
                    </a:prstGeom>
                    <a:ln>
                      <a:noFill/>
                    </a:ln>
                    <a:extLst>
                      <a:ext uri="{53640926-AAD7-44D8-BBD7-CCE9431645EC}">
                        <a14:shadowObscured xmlns:a14="http://schemas.microsoft.com/office/drawing/2010/main"/>
                      </a:ext>
                    </a:extLst>
                  </pic:spPr>
                </pic:pic>
              </a:graphicData>
            </a:graphic>
          </wp:inline>
        </w:drawing>
      </w:r>
    </w:p>
    <w:p w:rsidR="00CF7EAE" w:rsidRPr="00B96EA2" w:rsidRDefault="00CF7EAE" w:rsidP="00CF7EA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B96EA2">
        <w:rPr>
          <w:rFonts w:ascii="Palatino Linotype" w:hAnsi="Palatino Linotype"/>
          <w:b/>
          <w:sz w:val="28"/>
          <w:szCs w:val="28"/>
        </w:rPr>
        <w:t>V</w:t>
      </w:r>
      <w:r w:rsidR="00EA190B" w:rsidRPr="00B96EA2">
        <w:rPr>
          <w:rFonts w:ascii="Palatino Linotype" w:hAnsi="Palatino Linotype"/>
          <w:b/>
          <w:sz w:val="28"/>
          <w:szCs w:val="28"/>
        </w:rPr>
        <w:t>I</w:t>
      </w:r>
      <w:r w:rsidRPr="00B96EA2">
        <w:rPr>
          <w:rFonts w:ascii="Palatino Linotype" w:hAnsi="Palatino Linotype"/>
          <w:b/>
          <w:sz w:val="28"/>
          <w:szCs w:val="28"/>
        </w:rPr>
        <w:t xml:space="preserve">. </w:t>
      </w:r>
      <w:r w:rsidRPr="00B96EA2">
        <w:rPr>
          <w:rFonts w:ascii="Palatino Linotype" w:hAnsi="Palatino Linotype" w:cs="Arial"/>
        </w:rPr>
        <w:t xml:space="preserve">En fecha </w:t>
      </w:r>
      <w:r w:rsidR="00EA190B" w:rsidRPr="00B96EA2">
        <w:rPr>
          <w:rFonts w:ascii="Palatino Linotype" w:hAnsi="Palatino Linotype" w:cs="Arial"/>
        </w:rPr>
        <w:t xml:space="preserve">veintiuno de abril </w:t>
      </w:r>
      <w:r w:rsidRPr="00B96EA2">
        <w:rPr>
          <w:rFonts w:ascii="Palatino Linotype" w:hAnsi="Palatino Linotype"/>
        </w:rPr>
        <w:t>de dos mil veinte</w:t>
      </w:r>
      <w:r w:rsidRPr="00B96EA2">
        <w:rPr>
          <w:rFonts w:ascii="Palatino Linotype" w:hAnsi="Palatino Linotype" w:cs="Arial"/>
        </w:rPr>
        <w:t>, el recurso de revisión que se trata se envió electrónicamente al Instituto de Transparencia, Acceso a la Información Pública</w:t>
      </w:r>
      <w:r w:rsidRPr="00B96EA2">
        <w:rPr>
          <w:rFonts w:ascii="Palatino Linotype" w:hAnsi="Palatino Linotype" w:cs="Arial"/>
          <w:lang w:val="es-ES_tradnl"/>
        </w:rPr>
        <w:t xml:space="preserve"> y </w:t>
      </w:r>
      <w:r w:rsidRPr="00B96EA2">
        <w:rPr>
          <w:rFonts w:ascii="Palatino Linotype" w:hAnsi="Palatino Linotype" w:cs="Arial"/>
        </w:rPr>
        <w:t>Protección</w:t>
      </w:r>
      <w:r w:rsidRPr="00B96EA2">
        <w:rPr>
          <w:rFonts w:ascii="Palatino Linotype" w:hAnsi="Palatino Linotype" w:cs="Arial"/>
          <w:lang w:val="es-ES_tradnl"/>
        </w:rPr>
        <w:t xml:space="preserve"> </w:t>
      </w:r>
      <w:r w:rsidRPr="00B96EA2">
        <w:rPr>
          <w:rFonts w:ascii="Palatino Linotype" w:hAnsi="Palatino Linotype" w:cs="Arial"/>
        </w:rPr>
        <w:t>de</w:t>
      </w:r>
      <w:r w:rsidRPr="00B96EA2">
        <w:rPr>
          <w:rFonts w:ascii="Palatino Linotype" w:hAnsi="Palatino Linotype" w:cs="Arial"/>
          <w:lang w:val="es-ES_tradnl"/>
        </w:rPr>
        <w:t xml:space="preserve"> </w:t>
      </w:r>
      <w:r w:rsidRPr="00B96EA2">
        <w:rPr>
          <w:rFonts w:ascii="Palatino Linotype" w:hAnsi="Palatino Linotype"/>
        </w:rPr>
        <w:t>Datos</w:t>
      </w:r>
      <w:r w:rsidRPr="00B96EA2">
        <w:rPr>
          <w:rFonts w:ascii="Palatino Linotype" w:hAnsi="Palatino Linotype" w:cs="Arial"/>
          <w:lang w:val="es-ES_tradnl"/>
        </w:rPr>
        <w:t xml:space="preserve"> </w:t>
      </w:r>
      <w:r w:rsidRPr="00B96EA2">
        <w:rPr>
          <w:rFonts w:ascii="Palatino Linotype" w:hAnsi="Palatino Linotype" w:cs="Arial"/>
        </w:rPr>
        <w:t>Personales</w:t>
      </w:r>
      <w:r w:rsidRPr="00B96EA2">
        <w:rPr>
          <w:rFonts w:ascii="Palatino Linotype" w:hAnsi="Palatino Linotype" w:cs="Arial"/>
          <w:lang w:val="es-ES_tradnl"/>
        </w:rPr>
        <w:t xml:space="preserve"> </w:t>
      </w:r>
      <w:r w:rsidRPr="00B96EA2">
        <w:rPr>
          <w:rFonts w:ascii="Palatino Linotype" w:hAnsi="Palatino Linotype" w:cs="Arial"/>
        </w:rPr>
        <w:t>del</w:t>
      </w:r>
      <w:r w:rsidRPr="00B96EA2">
        <w:rPr>
          <w:rFonts w:ascii="Palatino Linotype" w:hAnsi="Palatino Linotype" w:cs="Arial"/>
          <w:lang w:val="es-ES_tradnl"/>
        </w:rPr>
        <w:t xml:space="preserve"> </w:t>
      </w:r>
      <w:r w:rsidRPr="00B96EA2">
        <w:rPr>
          <w:rFonts w:ascii="Palatino Linotype" w:hAnsi="Palatino Linotype"/>
        </w:rPr>
        <w:t>Estado</w:t>
      </w:r>
      <w:r w:rsidRPr="00B96EA2">
        <w:rPr>
          <w:rFonts w:ascii="Palatino Linotype" w:hAnsi="Palatino Linotype" w:cs="Arial"/>
          <w:lang w:val="es-ES_tradnl"/>
        </w:rPr>
        <w:t xml:space="preserve"> de México y Municipios y con fundamento en el </w:t>
      </w:r>
      <w:r w:rsidRPr="00B96EA2">
        <w:rPr>
          <w:rFonts w:ascii="Palatino Linotype" w:hAnsi="Palatino Linotype" w:cs="Arial"/>
        </w:rPr>
        <w:t>artículo</w:t>
      </w:r>
      <w:r w:rsidRPr="00B96EA2">
        <w:rPr>
          <w:rFonts w:ascii="Palatino Linotype" w:hAnsi="Palatino Linotype" w:cs="Arial"/>
          <w:lang w:val="es-ES_tradnl"/>
        </w:rPr>
        <w:t xml:space="preserve"> 185, </w:t>
      </w:r>
      <w:r w:rsidRPr="00B96EA2">
        <w:rPr>
          <w:rFonts w:ascii="Palatino Linotype" w:hAnsi="Palatino Linotype" w:cs="Arial"/>
        </w:rPr>
        <w:t>fracción</w:t>
      </w:r>
      <w:r w:rsidRPr="00B96EA2">
        <w:rPr>
          <w:rFonts w:ascii="Palatino Linotype" w:hAnsi="Palatino Linotype" w:cs="Arial"/>
          <w:lang w:val="es-ES_tradnl"/>
        </w:rPr>
        <w:t xml:space="preserve"> I de la </w:t>
      </w:r>
      <w:r w:rsidRPr="00B96EA2">
        <w:rPr>
          <w:rFonts w:ascii="Palatino Linotype" w:hAnsi="Palatino Linotype"/>
        </w:rPr>
        <w:t>Ley de Transparencia y Acceso a la Información Pública del Estado de México y Municipios</w:t>
      </w:r>
      <w:r w:rsidRPr="00B96EA2">
        <w:rPr>
          <w:rFonts w:ascii="Palatino Linotype" w:hAnsi="Palatino Linotype" w:cs="Arial"/>
          <w:lang w:val="es-ES_tradnl"/>
        </w:rPr>
        <w:t xml:space="preserve">, el cual se turnó a través del </w:t>
      </w:r>
      <w:r w:rsidRPr="00B96EA2">
        <w:rPr>
          <w:rFonts w:ascii="Palatino Linotype" w:hAnsi="Palatino Linotype" w:cs="Arial"/>
          <w:b/>
          <w:lang w:val="es-ES_tradnl"/>
        </w:rPr>
        <w:t>SAIMEX</w:t>
      </w:r>
      <w:r w:rsidRPr="00B96EA2">
        <w:rPr>
          <w:rFonts w:ascii="Palatino Linotype" w:hAnsi="Palatino Linotype" w:cs="Arial"/>
          <w:lang w:val="es-ES_tradnl"/>
        </w:rPr>
        <w:t xml:space="preserve"> a la Comisionada Ponente a efecto de que decretara su admisión o desechamiento.</w:t>
      </w:r>
    </w:p>
    <w:p w:rsidR="00CF7EAE" w:rsidRPr="00B96EA2" w:rsidRDefault="00CF7EAE" w:rsidP="00CF7EA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B96EA2">
        <w:rPr>
          <w:rFonts w:ascii="Palatino Linotype" w:hAnsi="Palatino Linotype"/>
          <w:b/>
          <w:sz w:val="28"/>
          <w:szCs w:val="28"/>
        </w:rPr>
        <w:t>V</w:t>
      </w:r>
      <w:r w:rsidR="00EA190B" w:rsidRPr="00B96EA2">
        <w:rPr>
          <w:rFonts w:ascii="Palatino Linotype" w:hAnsi="Palatino Linotype"/>
          <w:b/>
          <w:sz w:val="28"/>
          <w:szCs w:val="28"/>
        </w:rPr>
        <w:t>I</w:t>
      </w:r>
      <w:r w:rsidRPr="00B96EA2">
        <w:rPr>
          <w:rFonts w:ascii="Palatino Linotype" w:hAnsi="Palatino Linotype"/>
          <w:b/>
          <w:sz w:val="28"/>
          <w:szCs w:val="28"/>
        </w:rPr>
        <w:t>I.</w:t>
      </w:r>
      <w:r w:rsidRPr="00B96EA2">
        <w:rPr>
          <w:rFonts w:ascii="Palatino Linotype" w:hAnsi="Palatino Linotype" w:cs="Arial"/>
          <w:lang w:val="es-ES_tradnl"/>
        </w:rPr>
        <w:t xml:space="preserve"> </w:t>
      </w:r>
      <w:r w:rsidRPr="00B96EA2">
        <w:rPr>
          <w:rFonts w:ascii="Palatino Linotype" w:hAnsi="Palatino Linotype"/>
        </w:rPr>
        <w:t xml:space="preserve">El siete de agosto de dos mil veinte, </w:t>
      </w:r>
      <w:r w:rsidRPr="00B96EA2">
        <w:rPr>
          <w:rFonts w:ascii="Palatino Linotype" w:hAnsi="Palatino Linotype" w:cs="Arial"/>
        </w:rPr>
        <w:t xml:space="preserve">atento a lo dispuesto en el artículo 185, fracciones I, II y IV, de la </w:t>
      </w:r>
      <w:r w:rsidRPr="00B96EA2">
        <w:rPr>
          <w:rFonts w:ascii="Palatino Linotype" w:hAnsi="Palatino Linotype"/>
        </w:rPr>
        <w:t xml:space="preserve">Ley de Transparencia y Acceso a la Información Pública del </w:t>
      </w:r>
      <w:r w:rsidRPr="00B96EA2">
        <w:rPr>
          <w:rFonts w:ascii="Palatino Linotype" w:hAnsi="Palatino Linotype" w:cs="Arial"/>
        </w:rPr>
        <w:t>Estado</w:t>
      </w:r>
      <w:r w:rsidRPr="00B96EA2">
        <w:rPr>
          <w:rFonts w:ascii="Palatino Linotype" w:hAnsi="Palatino Linotype"/>
        </w:rPr>
        <w:t xml:space="preserve"> de México y </w:t>
      </w:r>
      <w:r w:rsidRPr="00B96EA2">
        <w:rPr>
          <w:rFonts w:ascii="Palatino Linotype" w:hAnsi="Palatino Linotype" w:cs="Arial"/>
          <w:lang w:val="es-ES_tradnl"/>
        </w:rPr>
        <w:t>Municipios</w:t>
      </w:r>
      <w:r w:rsidRPr="00B96EA2">
        <w:rPr>
          <w:rFonts w:ascii="Palatino Linotype" w:hAnsi="Palatino Linotype"/>
        </w:rPr>
        <w:t>, se a</w:t>
      </w:r>
      <w:r w:rsidRPr="00B96EA2">
        <w:rPr>
          <w:rFonts w:ascii="Palatino Linotype" w:hAnsi="Palatino Linotype" w:cs="Arial"/>
        </w:rPr>
        <w:t xml:space="preserve">cordó la admisión a trámite del referido recurso de </w:t>
      </w:r>
      <w:r w:rsidRPr="00B96EA2">
        <w:rPr>
          <w:rFonts w:ascii="Palatino Linotype" w:hAnsi="Palatino Linotype" w:cs="Arial"/>
          <w:lang w:val="es-ES_tradnl"/>
        </w:rPr>
        <w:t>revisión;</w:t>
      </w:r>
      <w:r w:rsidRPr="00B96EA2">
        <w:rPr>
          <w:rFonts w:ascii="Palatino Linotype" w:hAnsi="Palatino Linotype" w:cs="Arial"/>
        </w:rPr>
        <w:t xml:space="preserve"> así como, la </w:t>
      </w:r>
      <w:r w:rsidRPr="00B96EA2">
        <w:rPr>
          <w:rFonts w:ascii="Palatino Linotype" w:hAnsi="Palatino Linotype" w:cs="Arial"/>
          <w:lang w:val="es-ES_tradnl"/>
        </w:rPr>
        <w:t>integración</w:t>
      </w:r>
      <w:r w:rsidRPr="00B96EA2">
        <w:rPr>
          <w:rFonts w:ascii="Palatino Linotype" w:hAnsi="Palatino Linotype" w:cs="Arial"/>
        </w:rPr>
        <w:t xml:space="preserve"> del expediente respectivo, mismo que se puso a disposición de las partes, para que en el plazo máximo de siete días hábiles, </w:t>
      </w:r>
      <w:r w:rsidRPr="00B96EA2">
        <w:rPr>
          <w:rFonts w:ascii="Palatino Linotype" w:hAnsi="Palatino Linotype" w:cs="Arial"/>
          <w:b/>
        </w:rPr>
        <w:t>LA RECURRENTE</w:t>
      </w:r>
      <w:r w:rsidRPr="00B96EA2">
        <w:rPr>
          <w:rFonts w:ascii="Palatino Linotype" w:hAnsi="Palatino Linotype" w:cs="Arial"/>
        </w:rPr>
        <w:t xml:space="preserve"> realizara manifestaciones, alegatos y ofreciera las pruebas que a su </w:t>
      </w:r>
      <w:r w:rsidRPr="00B96EA2">
        <w:rPr>
          <w:rFonts w:ascii="Palatino Linotype" w:hAnsi="Palatino Linotype" w:cs="Arial"/>
        </w:rPr>
        <w:lastRenderedPageBreak/>
        <w:t xml:space="preserve">derecho </w:t>
      </w:r>
      <w:r w:rsidRPr="00B96EA2">
        <w:rPr>
          <w:rFonts w:ascii="Palatino Linotype" w:hAnsi="Palatino Linotype" w:cs="Arial"/>
          <w:lang w:val="es-ES_tradnl"/>
        </w:rPr>
        <w:t>conviniera</w:t>
      </w:r>
      <w:r w:rsidRPr="00B96EA2">
        <w:rPr>
          <w:rFonts w:ascii="Palatino Linotype" w:hAnsi="Palatino Linotype" w:cs="Arial"/>
        </w:rPr>
        <w:t xml:space="preserve"> y, en el caso del</w:t>
      </w:r>
      <w:r w:rsidRPr="00B96EA2">
        <w:rPr>
          <w:rFonts w:ascii="Palatino Linotype" w:hAnsi="Palatino Linotype" w:cs="Arial"/>
          <w:b/>
        </w:rPr>
        <w:t xml:space="preserve"> SUJETO OBLIGADO</w:t>
      </w:r>
      <w:r w:rsidRPr="00B96EA2">
        <w:rPr>
          <w:rFonts w:ascii="Palatino Linotype" w:hAnsi="Palatino Linotype" w:cs="Arial"/>
        </w:rPr>
        <w:t>, para que exhibiera el  Informe Justificado correspondiente.</w:t>
      </w:r>
    </w:p>
    <w:p w:rsidR="00EA190B" w:rsidRPr="00B96EA2" w:rsidRDefault="00CF7EAE" w:rsidP="00EA190B">
      <w:pPr>
        <w:spacing w:before="100" w:beforeAutospacing="1" w:after="100" w:afterAutospacing="1" w:line="360" w:lineRule="auto"/>
        <w:contextualSpacing/>
        <w:jc w:val="both"/>
        <w:rPr>
          <w:rFonts w:ascii="Palatino Linotype" w:eastAsia="Arial Unicode MS" w:hAnsi="Palatino Linotype"/>
        </w:rPr>
      </w:pPr>
      <w:r w:rsidRPr="00B96EA2">
        <w:rPr>
          <w:rFonts w:ascii="Palatino Linotype" w:hAnsi="Palatino Linotype"/>
          <w:b/>
          <w:sz w:val="28"/>
          <w:szCs w:val="28"/>
        </w:rPr>
        <w:t>VI</w:t>
      </w:r>
      <w:r w:rsidR="00EA190B" w:rsidRPr="00B96EA2">
        <w:rPr>
          <w:rFonts w:ascii="Palatino Linotype" w:hAnsi="Palatino Linotype"/>
          <w:b/>
          <w:sz w:val="28"/>
          <w:szCs w:val="28"/>
        </w:rPr>
        <w:t>I</w:t>
      </w:r>
      <w:r w:rsidRPr="00B96EA2">
        <w:rPr>
          <w:rFonts w:ascii="Palatino Linotype" w:hAnsi="Palatino Linotype"/>
          <w:b/>
          <w:sz w:val="28"/>
          <w:szCs w:val="28"/>
        </w:rPr>
        <w:t xml:space="preserve">I. </w:t>
      </w:r>
      <w:r w:rsidRPr="00B96EA2">
        <w:rPr>
          <w:rFonts w:ascii="Palatino Linotype" w:eastAsia="Arial Unicode MS" w:hAnsi="Palatino Linotype" w:cs="Arial"/>
        </w:rPr>
        <w:t xml:space="preserve">Conforme a las constancias del </w:t>
      </w:r>
      <w:r w:rsidRPr="00B96EA2">
        <w:rPr>
          <w:rFonts w:ascii="Palatino Linotype" w:eastAsia="Arial Unicode MS" w:hAnsi="Palatino Linotype" w:cs="Arial"/>
          <w:b/>
        </w:rPr>
        <w:t>SAIMEX</w:t>
      </w:r>
      <w:r w:rsidRPr="00B96EA2">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B96EA2">
        <w:rPr>
          <w:rFonts w:ascii="Palatino Linotype" w:eastAsia="Arial Unicode MS" w:hAnsi="Palatino Linotype" w:cs="Arial"/>
          <w:b/>
        </w:rPr>
        <w:t xml:space="preserve">SUJETO OBLIGADO </w:t>
      </w:r>
      <w:r w:rsidRPr="00B96EA2">
        <w:rPr>
          <w:rFonts w:ascii="Palatino Linotype" w:eastAsia="Arial Unicode MS" w:hAnsi="Palatino Linotype" w:cs="Arial"/>
        </w:rPr>
        <w:t>en fecha diecinueve de agosto del presente año, rindió el Informe Justificado correspondiente</w:t>
      </w:r>
      <w:r w:rsidR="00CC3776">
        <w:rPr>
          <w:rFonts w:ascii="Palatino Linotype" w:eastAsia="Arial Unicode MS" w:hAnsi="Palatino Linotype" w:cs="Arial"/>
        </w:rPr>
        <w:t xml:space="preserve">, mismo que no fue puesto a la vista de la particular; toda vez que únicamente refirió agregar los cuatro tomos de la información pero no anexo dicha información en sus manifestaciones; así que, únicamente </w:t>
      </w:r>
      <w:r w:rsidRPr="00B96EA2">
        <w:rPr>
          <w:rFonts w:ascii="Palatino Linotype" w:eastAsia="Arial Unicode MS" w:hAnsi="Palatino Linotype" w:cs="Arial"/>
        </w:rPr>
        <w:t>adjunt</w:t>
      </w:r>
      <w:r w:rsidR="00CC3776">
        <w:rPr>
          <w:rFonts w:ascii="Palatino Linotype" w:eastAsia="Arial Unicode MS" w:hAnsi="Palatino Linotype" w:cs="Arial"/>
        </w:rPr>
        <w:t xml:space="preserve">ó </w:t>
      </w:r>
      <w:r w:rsidR="00EA190B" w:rsidRPr="00B96EA2">
        <w:rPr>
          <w:rFonts w:ascii="Palatino Linotype" w:eastAsia="Arial Unicode MS" w:hAnsi="Palatino Linotype" w:cs="Arial"/>
        </w:rPr>
        <w:t xml:space="preserve">el archivo electrónico denominado </w:t>
      </w:r>
      <w:hyperlink r:id="rId10" w:history="1">
        <w:r w:rsidR="00EA190B" w:rsidRPr="00B96EA2">
          <w:rPr>
            <w:rFonts w:ascii="Palatino Linotype" w:eastAsia="Arial Unicode MS" w:hAnsi="Palatino Linotype"/>
            <w:b/>
          </w:rPr>
          <w:t>RESPUESTA RR1912.pdf</w:t>
        </w:r>
      </w:hyperlink>
      <w:r w:rsidR="00EA190B" w:rsidRPr="00B96EA2">
        <w:rPr>
          <w:rFonts w:ascii="Palatino Linotype" w:eastAsia="Arial Unicode MS" w:hAnsi="Palatino Linotype"/>
          <w:b/>
        </w:rPr>
        <w:t xml:space="preserve">, </w:t>
      </w:r>
      <w:r w:rsidR="001B2C57" w:rsidRPr="00B96EA2">
        <w:rPr>
          <w:rFonts w:ascii="Palatino Linotype" w:eastAsia="Arial Unicode MS" w:hAnsi="Palatino Linotype"/>
        </w:rPr>
        <w:t>cuyo contenido es el siguiente:</w:t>
      </w:r>
    </w:p>
    <w:p w:rsidR="001B2C57" w:rsidRPr="00B96EA2" w:rsidRDefault="001B2C57" w:rsidP="001B2C57">
      <w:pPr>
        <w:spacing w:before="100" w:beforeAutospacing="1" w:after="100" w:afterAutospacing="1" w:line="360" w:lineRule="auto"/>
        <w:contextualSpacing/>
        <w:jc w:val="center"/>
        <w:rPr>
          <w:rFonts w:ascii="Palatino Linotype" w:eastAsia="Arial Unicode MS" w:hAnsi="Palatino Linotype" w:cs="Arial"/>
        </w:rPr>
      </w:pPr>
      <w:bookmarkStart w:id="0" w:name="_GoBack"/>
      <w:r w:rsidRPr="00B96EA2">
        <w:rPr>
          <w:noProof/>
          <w:lang w:eastAsia="es-MX"/>
        </w:rPr>
        <w:lastRenderedPageBreak/>
        <w:drawing>
          <wp:inline distT="0" distB="0" distL="0" distR="0">
            <wp:extent cx="3972153" cy="4240666"/>
            <wp:effectExtent l="0" t="0" r="952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776" t="9435" r="33687" b="9458"/>
                    <a:stretch/>
                  </pic:blipFill>
                  <pic:spPr bwMode="auto">
                    <a:xfrm>
                      <a:off x="0" y="0"/>
                      <a:ext cx="3989654" cy="425935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F7EAE" w:rsidRPr="00B96EA2" w:rsidRDefault="00CF7EAE" w:rsidP="00CF7EAE">
      <w:pPr>
        <w:spacing w:before="100" w:beforeAutospacing="1" w:after="100" w:afterAutospacing="1" w:line="360" w:lineRule="auto"/>
        <w:contextualSpacing/>
        <w:jc w:val="both"/>
        <w:rPr>
          <w:rFonts w:ascii="Palatino Linotype" w:hAnsi="Palatino Linotype" w:cs="Arial"/>
        </w:rPr>
      </w:pPr>
      <w:r w:rsidRPr="00B96EA2">
        <w:rPr>
          <w:rFonts w:ascii="Palatino Linotype" w:eastAsia="Arial Unicode MS" w:hAnsi="Palatino Linotype" w:cs="Arial"/>
        </w:rPr>
        <w:t xml:space="preserve">Por su </w:t>
      </w:r>
      <w:r w:rsidR="00CC3776" w:rsidRPr="00B96EA2">
        <w:rPr>
          <w:rFonts w:ascii="Palatino Linotype" w:eastAsia="Arial Unicode MS" w:hAnsi="Palatino Linotype" w:cs="Arial"/>
        </w:rPr>
        <w:t>parte</w:t>
      </w:r>
      <w:r w:rsidR="00CC3776">
        <w:rPr>
          <w:rFonts w:ascii="Palatino Linotype" w:eastAsia="Arial Unicode MS" w:hAnsi="Palatino Linotype" w:cs="Arial"/>
        </w:rPr>
        <w:t xml:space="preserve">, </w:t>
      </w:r>
      <w:r w:rsidRPr="00B96EA2">
        <w:rPr>
          <w:rFonts w:ascii="Palatino Linotype" w:eastAsia="Arial Unicode MS" w:hAnsi="Palatino Linotype" w:cs="Arial"/>
        </w:rPr>
        <w:t xml:space="preserve">la hoy </w:t>
      </w:r>
      <w:r w:rsidRPr="00B96EA2">
        <w:rPr>
          <w:rFonts w:ascii="Palatino Linotype" w:eastAsia="Arial Unicode MS" w:hAnsi="Palatino Linotype" w:cs="Arial"/>
          <w:b/>
        </w:rPr>
        <w:t>RECURRENTE</w:t>
      </w:r>
      <w:r w:rsidRPr="00B96EA2">
        <w:rPr>
          <w:rFonts w:ascii="Palatino Linotype" w:eastAsia="Arial Unicode MS" w:hAnsi="Palatino Linotype" w:cs="Arial"/>
        </w:rPr>
        <w:t xml:space="preserve">, no realizó manifestaciones, ni presentó pruebas o alegatos, que a su derecho convinieran, tal y como se aprecia en la siguiente imagen: </w:t>
      </w:r>
      <w:r w:rsidRPr="00B96EA2">
        <w:rPr>
          <w:rFonts w:ascii="Palatino Linotype" w:hAnsi="Palatino Linotype" w:cs="Arial"/>
        </w:rPr>
        <w:t xml:space="preserve"> </w:t>
      </w:r>
    </w:p>
    <w:p w:rsidR="00CF7EAE" w:rsidRPr="00B96EA2" w:rsidRDefault="001B2C57" w:rsidP="00CF7EAE">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B96EA2">
        <w:rPr>
          <w:noProof/>
          <w:lang w:eastAsia="es-MX"/>
        </w:rPr>
        <w:drawing>
          <wp:inline distT="0" distB="0" distL="0" distR="0">
            <wp:extent cx="5371692" cy="1250899"/>
            <wp:effectExtent l="0" t="0" r="63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30" t="24038" r="13982" b="47879"/>
                    <a:stretch/>
                  </pic:blipFill>
                  <pic:spPr bwMode="auto">
                    <a:xfrm>
                      <a:off x="0" y="0"/>
                      <a:ext cx="5393736" cy="1256032"/>
                    </a:xfrm>
                    <a:prstGeom prst="rect">
                      <a:avLst/>
                    </a:prstGeom>
                    <a:ln>
                      <a:noFill/>
                    </a:ln>
                    <a:extLst>
                      <a:ext uri="{53640926-AAD7-44D8-BBD7-CCE9431645EC}">
                        <a14:shadowObscured xmlns:a14="http://schemas.microsoft.com/office/drawing/2010/main"/>
                      </a:ext>
                    </a:extLst>
                  </pic:spPr>
                </pic:pic>
              </a:graphicData>
            </a:graphic>
          </wp:inline>
        </w:drawing>
      </w:r>
    </w:p>
    <w:p w:rsidR="00CF7EAE" w:rsidRPr="00B96EA2" w:rsidRDefault="00CF7EAE" w:rsidP="00CF7EAE">
      <w:pPr>
        <w:spacing w:before="100" w:beforeAutospacing="1" w:after="100" w:afterAutospacing="1" w:line="360" w:lineRule="auto"/>
        <w:jc w:val="both"/>
        <w:rPr>
          <w:rFonts w:ascii="Palatino Linotype" w:hAnsi="Palatino Linotype" w:cs="Arial"/>
        </w:rPr>
      </w:pPr>
      <w:r w:rsidRPr="00B96EA2">
        <w:rPr>
          <w:rFonts w:ascii="Palatino Linotype" w:eastAsia="Arial Unicode MS" w:hAnsi="Palatino Linotype" w:cs="Arial"/>
          <w:b/>
          <w:sz w:val="28"/>
          <w:szCs w:val="28"/>
        </w:rPr>
        <w:lastRenderedPageBreak/>
        <w:t>I</w:t>
      </w:r>
      <w:r w:rsidR="001B2C57" w:rsidRPr="00B96EA2">
        <w:rPr>
          <w:rFonts w:ascii="Palatino Linotype" w:eastAsia="Arial Unicode MS" w:hAnsi="Palatino Linotype" w:cs="Arial"/>
          <w:b/>
          <w:sz w:val="28"/>
          <w:szCs w:val="28"/>
        </w:rPr>
        <w:t>X</w:t>
      </w:r>
      <w:r w:rsidRPr="00B96EA2">
        <w:rPr>
          <w:rFonts w:ascii="Palatino Linotype" w:eastAsia="Arial Unicode MS" w:hAnsi="Palatino Linotype" w:cs="Arial"/>
          <w:b/>
          <w:sz w:val="28"/>
          <w:szCs w:val="28"/>
        </w:rPr>
        <w:t xml:space="preserve">. </w:t>
      </w:r>
      <w:r w:rsidRPr="00B96EA2">
        <w:rPr>
          <w:rFonts w:ascii="Palatino Linotype" w:hAnsi="Palatino Linotype" w:cs="Arial"/>
        </w:rPr>
        <w:t xml:space="preserve">Una vez </w:t>
      </w:r>
      <w:r w:rsidRPr="00B96EA2">
        <w:rPr>
          <w:rFonts w:ascii="Palatino Linotype" w:hAnsi="Palatino Linotype" w:cs="Arial"/>
          <w:color w:val="000000" w:themeColor="text1"/>
        </w:rPr>
        <w:t>analizado</w:t>
      </w:r>
      <w:r w:rsidRPr="00B96EA2">
        <w:rPr>
          <w:rFonts w:ascii="Palatino Linotype" w:hAnsi="Palatino Linotype" w:cs="Arial"/>
        </w:rPr>
        <w:t xml:space="preserve"> el estado procesal que guardaba el expediente, en fecha </w:t>
      </w:r>
      <w:r w:rsidR="001B2C57" w:rsidRPr="00B96EA2">
        <w:rPr>
          <w:rFonts w:ascii="Palatino Linotype" w:hAnsi="Palatino Linotype" w:cs="Arial"/>
        </w:rPr>
        <w:t xml:space="preserve">veintisiete de agosto </w:t>
      </w:r>
      <w:r w:rsidRPr="00B96EA2">
        <w:rPr>
          <w:rFonts w:ascii="Palatino Linotype" w:hAnsi="Palatino Linotype" w:cs="Arial"/>
        </w:rPr>
        <w:t xml:space="preserve">de dos mil veinte, la Comisionada Ponente acordó el cierre de instrucción; así </w:t>
      </w:r>
      <w:r w:rsidRPr="00B96EA2">
        <w:rPr>
          <w:rFonts w:ascii="Palatino Linotype" w:hAnsi="Palatino Linotype" w:cs="Arial"/>
          <w:lang w:val="es-ES_tradnl"/>
        </w:rPr>
        <w:t>como,</w:t>
      </w:r>
      <w:r w:rsidRPr="00B96EA2">
        <w:rPr>
          <w:rFonts w:ascii="Palatino Linotype" w:hAnsi="Palatino Linotype" w:cs="Arial"/>
        </w:rPr>
        <w:t xml:space="preserve"> la remisión del mismo a efecto </w:t>
      </w:r>
      <w:r w:rsidRPr="00B96EA2">
        <w:rPr>
          <w:rFonts w:ascii="Palatino Linotype" w:hAnsi="Palatino Linotype" w:cs="Arial"/>
          <w:lang w:val="es-ES_tradnl"/>
        </w:rPr>
        <w:t>de</w:t>
      </w:r>
      <w:r w:rsidRPr="00B96EA2">
        <w:rPr>
          <w:rFonts w:ascii="Palatino Linotype" w:hAnsi="Palatino Linotype" w:cs="Arial"/>
        </w:rPr>
        <w:t xml:space="preserve"> ser resuelto, de conformidad con lo establecido en el artículo 185, fracciones VI y VIII de la Ley de Transparencia y Acceso a la Información Pública del E</w:t>
      </w:r>
      <w:r w:rsidR="001B2C57" w:rsidRPr="00B96EA2">
        <w:rPr>
          <w:rFonts w:ascii="Palatino Linotype" w:hAnsi="Palatino Linotype" w:cs="Arial"/>
        </w:rPr>
        <w:t>stado de México y Municipios.</w:t>
      </w:r>
    </w:p>
    <w:p w:rsidR="001B2C57" w:rsidRPr="00B96EA2" w:rsidRDefault="001B2C57" w:rsidP="001B2C57">
      <w:pPr>
        <w:pStyle w:val="Prrafodelista"/>
        <w:spacing w:before="240" w:after="240" w:line="360" w:lineRule="auto"/>
        <w:ind w:left="0"/>
        <w:jc w:val="both"/>
        <w:rPr>
          <w:rFonts w:ascii="Palatino Linotype" w:hAnsi="Palatino Linotype"/>
        </w:rPr>
      </w:pPr>
      <w:r w:rsidRPr="00B96EA2">
        <w:rPr>
          <w:rFonts w:ascii="Palatino Linotype" w:hAnsi="Palatino Linotype" w:cs="Arial"/>
          <w:b/>
          <w:sz w:val="28"/>
          <w:szCs w:val="28"/>
        </w:rPr>
        <w:t>X.</w:t>
      </w:r>
      <w:r w:rsidRPr="00B96EA2">
        <w:rPr>
          <w:rFonts w:ascii="Palatino Linotype" w:hAnsi="Palatino Linotype" w:cs="Arial"/>
        </w:rPr>
        <w:t xml:space="preserve"> </w:t>
      </w:r>
      <w:r w:rsidRPr="00B96EA2">
        <w:rPr>
          <w:rFonts w:ascii="Palatino Linotype" w:hAnsi="Palatino Linotype"/>
        </w:rPr>
        <w:t xml:space="preserve">En </w:t>
      </w:r>
      <w:r w:rsidRPr="00CC3776">
        <w:rPr>
          <w:rFonts w:ascii="Palatino Linotype" w:hAnsi="Palatino Linotype"/>
        </w:rPr>
        <w:t>fecha veintiuno de septiembre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CF7EAE" w:rsidRPr="00B96EA2" w:rsidRDefault="00CF7EAE" w:rsidP="00CF7EAE">
      <w:pPr>
        <w:spacing w:before="100" w:beforeAutospacing="1" w:after="100" w:afterAutospacing="1"/>
        <w:jc w:val="center"/>
        <w:rPr>
          <w:rFonts w:ascii="Palatino Linotype" w:hAnsi="Palatino Linotype"/>
          <w:b/>
          <w:bCs/>
          <w:spacing w:val="40"/>
          <w:sz w:val="28"/>
        </w:rPr>
      </w:pPr>
      <w:r w:rsidRPr="00B96EA2">
        <w:rPr>
          <w:rFonts w:ascii="Palatino Linotype" w:hAnsi="Palatino Linotype"/>
          <w:b/>
          <w:bCs/>
          <w:spacing w:val="40"/>
          <w:sz w:val="28"/>
        </w:rPr>
        <w:t>CONSIDERANDO</w:t>
      </w:r>
    </w:p>
    <w:p w:rsidR="00CF7EAE" w:rsidRPr="00B96EA2" w:rsidRDefault="00CF7EAE" w:rsidP="00CF7EAE">
      <w:pPr>
        <w:spacing w:before="100" w:beforeAutospacing="1" w:after="100" w:afterAutospacing="1" w:line="360" w:lineRule="auto"/>
        <w:ind w:right="50"/>
        <w:jc w:val="both"/>
        <w:rPr>
          <w:rFonts w:ascii="Palatino Linotype" w:hAnsi="Palatino Linotype" w:cs="Arial"/>
        </w:rPr>
      </w:pPr>
      <w:r w:rsidRPr="00B96EA2">
        <w:rPr>
          <w:rFonts w:ascii="Palatino Linotype" w:hAnsi="Palatino Linotype"/>
          <w:b/>
          <w:sz w:val="28"/>
          <w:szCs w:val="28"/>
        </w:rPr>
        <w:t>PRIMERO</w:t>
      </w:r>
      <w:r w:rsidRPr="00B96EA2">
        <w:rPr>
          <w:rFonts w:ascii="Palatino Linotype" w:hAnsi="Palatino Linotype"/>
          <w:b/>
        </w:rPr>
        <w:t>.</w:t>
      </w:r>
      <w:r w:rsidRPr="00B96EA2">
        <w:rPr>
          <w:rFonts w:ascii="Palatino Linotype" w:hAnsi="Palatino Linotype"/>
        </w:rPr>
        <w:t xml:space="preserve"> </w:t>
      </w:r>
      <w:r w:rsidRPr="00B96EA2">
        <w:rPr>
          <w:rFonts w:ascii="Palatino Linotype" w:hAnsi="Palatino Linotype"/>
          <w:b/>
        </w:rPr>
        <w:t>Competencia</w:t>
      </w:r>
      <w:r w:rsidRPr="00B96EA2">
        <w:rPr>
          <w:rFonts w:ascii="Palatino Linotype" w:hAnsi="Palatino Linotype"/>
        </w:rPr>
        <w:t>.</w:t>
      </w:r>
      <w:r w:rsidRPr="00B96EA2">
        <w:rPr>
          <w:rFonts w:ascii="Palatino Linotype" w:hAnsi="Palatino Linotype"/>
          <w:b/>
        </w:rPr>
        <w:t xml:space="preserve"> </w:t>
      </w:r>
      <w:r w:rsidRPr="00B96EA2">
        <w:rPr>
          <w:rFonts w:ascii="Palatino Linotype" w:hAnsi="Palatino Linotype"/>
        </w:rPr>
        <w:t xml:space="preserve">Este Instituto de </w:t>
      </w:r>
      <w:r w:rsidRPr="00B96EA2">
        <w:rPr>
          <w:rFonts w:ascii="Palatino Linotype" w:hAnsi="Palatino Linotype" w:cs="Arial"/>
        </w:rPr>
        <w:t>Transparencia</w:t>
      </w:r>
      <w:r w:rsidRPr="00B96EA2">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sidRPr="00B96EA2">
        <w:rPr>
          <w:rFonts w:ascii="Palatino Linotype" w:eastAsia="Calibri" w:hAnsi="Palatino Linotype" w:cs="Arial"/>
        </w:rPr>
        <w:t xml:space="preserve">párrafos </w:t>
      </w:r>
      <w:r w:rsidRPr="00B96EA2">
        <w:rPr>
          <w:rFonts w:ascii="Palatino Linotype" w:hAnsi="Palatino Linotype"/>
        </w:rPr>
        <w:t xml:space="preserve">vigésimo </w:t>
      </w:r>
      <w:r w:rsidRPr="00B96EA2">
        <w:rPr>
          <w:rFonts w:ascii="Palatino Linotype" w:hAnsi="Palatino Linotype" w:cs="Arial"/>
        </w:rPr>
        <w:t>segundo,</w:t>
      </w:r>
      <w:r w:rsidRPr="00B96EA2">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96EA2">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CF7EAE" w:rsidRPr="00B96EA2" w:rsidRDefault="00CF7EAE" w:rsidP="00CF7EAE">
      <w:pPr>
        <w:spacing w:before="100" w:beforeAutospacing="1" w:after="100" w:afterAutospacing="1" w:line="360" w:lineRule="auto"/>
        <w:jc w:val="both"/>
        <w:rPr>
          <w:rFonts w:ascii="Palatino Linotype" w:hAnsi="Palatino Linotype" w:cs="Arial"/>
          <w:b/>
          <w:snapToGrid w:val="0"/>
        </w:rPr>
      </w:pPr>
      <w:r w:rsidRPr="00B96EA2">
        <w:rPr>
          <w:rFonts w:ascii="Palatino Linotype" w:hAnsi="Palatino Linotype" w:cs="Arial"/>
          <w:b/>
          <w:sz w:val="28"/>
        </w:rPr>
        <w:lastRenderedPageBreak/>
        <w:t>SEGUNDO</w:t>
      </w:r>
      <w:r w:rsidRPr="00B96EA2">
        <w:rPr>
          <w:rFonts w:ascii="Palatino Linotype" w:hAnsi="Palatino Linotype" w:cs="Arial"/>
          <w:b/>
        </w:rPr>
        <w:t xml:space="preserve">. Interés. </w:t>
      </w:r>
      <w:r w:rsidRPr="00B96EA2">
        <w:rPr>
          <w:rFonts w:ascii="Palatino Linotype" w:hAnsi="Palatino Linotype" w:cs="Arial"/>
          <w:bCs/>
        </w:rPr>
        <w:t xml:space="preserve">El recurso de revisión fue interpuesto por parte legítima, en atención a que se presentó por </w:t>
      </w:r>
      <w:r w:rsidRPr="00B96EA2">
        <w:rPr>
          <w:rFonts w:ascii="Palatino Linotype" w:hAnsi="Palatino Linotype" w:cs="Arial"/>
          <w:b/>
          <w:bCs/>
        </w:rPr>
        <w:t>LA RECURRENTE,</w:t>
      </w:r>
      <w:r w:rsidRPr="00B96EA2">
        <w:rPr>
          <w:rFonts w:ascii="Palatino Linotype" w:hAnsi="Palatino Linotype" w:cs="Arial"/>
          <w:bCs/>
        </w:rPr>
        <w:t xml:space="preserve"> quien es la misma persona que formuló la solicitud de información pública.</w:t>
      </w:r>
    </w:p>
    <w:p w:rsidR="00CF7EAE" w:rsidRPr="00B96EA2" w:rsidRDefault="00CF7EAE" w:rsidP="00CF7EAE">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B96EA2">
        <w:rPr>
          <w:rFonts w:ascii="Palatino Linotype" w:hAnsi="Palatino Linotype" w:cs="Arial"/>
          <w:b/>
          <w:sz w:val="28"/>
          <w:szCs w:val="28"/>
        </w:rPr>
        <w:t>TERCERO. O</w:t>
      </w:r>
      <w:r w:rsidRPr="00B96EA2">
        <w:rPr>
          <w:rFonts w:ascii="Palatino Linotype" w:hAnsi="Palatino Linotype" w:cs="Arial"/>
          <w:b/>
        </w:rPr>
        <w:t xml:space="preserve">portunidad. </w:t>
      </w:r>
      <w:r w:rsidRPr="00B96EA2">
        <w:rPr>
          <w:rFonts w:ascii="Palatino Linotype" w:hAnsi="Palatino Linotype" w:cs="Arial"/>
        </w:rPr>
        <w:t xml:space="preserve">El recurso de revisión fue interpuesto dentro del plazo de quince días hábiles contados a partir del día siguiente al en que </w:t>
      </w:r>
      <w:r w:rsidRPr="00B96EA2">
        <w:rPr>
          <w:rFonts w:ascii="Palatino Linotype" w:hAnsi="Palatino Linotype" w:cs="Arial"/>
          <w:b/>
        </w:rPr>
        <w:t xml:space="preserve">LA RECURRENTE </w:t>
      </w:r>
      <w:r w:rsidRPr="00B96EA2">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F7EAE" w:rsidRPr="00B96EA2" w:rsidRDefault="00CF7EAE" w:rsidP="00CF7EAE">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CF7EAE" w:rsidRPr="00B96EA2" w:rsidRDefault="00CF7EAE" w:rsidP="00CF7EAE">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96EA2">
        <w:rPr>
          <w:rFonts w:ascii="Palatino Linotype" w:eastAsiaTheme="minorEastAsia" w:hAnsi="Palatino Linotype" w:cs="Arial"/>
          <w:b/>
          <w:i/>
          <w:sz w:val="22"/>
          <w:szCs w:val="22"/>
          <w:lang w:val="es-ES_tradnl"/>
        </w:rPr>
        <w:t>“Artículo 178.</w:t>
      </w:r>
      <w:r w:rsidRPr="00B96EA2">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F7EAE" w:rsidRPr="00B96EA2" w:rsidRDefault="00CF7EAE" w:rsidP="00CF7EAE">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96EA2">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F7EAE" w:rsidRPr="00B96EA2" w:rsidRDefault="00CF7EAE" w:rsidP="00CF7EAE">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96EA2">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B96EA2">
        <w:rPr>
          <w:rFonts w:ascii="Palatino Linotype" w:eastAsiaTheme="minorEastAsia" w:hAnsi="Palatino Linotype" w:cs="Arial"/>
          <w:b/>
          <w:i/>
          <w:sz w:val="22"/>
          <w:szCs w:val="22"/>
          <w:lang w:val="es-ES_tradnl"/>
        </w:rPr>
        <w:t>”</w:t>
      </w:r>
    </w:p>
    <w:p w:rsidR="00CF7EAE" w:rsidRPr="00B96EA2" w:rsidRDefault="00CF7EAE" w:rsidP="00CF7EAE">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CF7EAE" w:rsidRPr="00B96EA2" w:rsidRDefault="00CF7EAE" w:rsidP="00CF7EAE">
      <w:pPr>
        <w:spacing w:before="100" w:beforeAutospacing="1" w:after="100" w:afterAutospacing="1" w:line="360" w:lineRule="auto"/>
        <w:jc w:val="both"/>
        <w:rPr>
          <w:rFonts w:ascii="Palatino Linotype" w:hAnsi="Palatino Linotype" w:cs="Arial"/>
          <w:color w:val="000000" w:themeColor="text1"/>
        </w:rPr>
      </w:pPr>
      <w:r w:rsidRPr="00B96EA2">
        <w:rPr>
          <w:rFonts w:ascii="Palatino Linotype" w:eastAsiaTheme="minorEastAsia" w:hAnsi="Palatino Linotype" w:cs="Arial"/>
          <w:color w:val="000000" w:themeColor="text1"/>
          <w:lang w:val="es-ES_tradnl"/>
        </w:rPr>
        <w:t xml:space="preserve">En efecto, atendiendo a que </w:t>
      </w:r>
      <w:r w:rsidRPr="00B96EA2">
        <w:rPr>
          <w:rFonts w:ascii="Palatino Linotype" w:eastAsiaTheme="minorEastAsia" w:hAnsi="Palatino Linotype" w:cs="Arial"/>
          <w:b/>
          <w:color w:val="000000" w:themeColor="text1"/>
          <w:lang w:val="es-ES_tradnl"/>
        </w:rPr>
        <w:t>EL SUJETO OBLIGADO</w:t>
      </w:r>
      <w:r w:rsidRPr="00B96EA2">
        <w:rPr>
          <w:rFonts w:ascii="Palatino Linotype" w:eastAsiaTheme="minorEastAsia" w:hAnsi="Palatino Linotype" w:cs="Arial"/>
          <w:color w:val="000000" w:themeColor="text1"/>
          <w:lang w:val="es-ES_tradnl"/>
        </w:rPr>
        <w:t xml:space="preserve"> notificó la respuesta a la solicitud de información pública el </w:t>
      </w:r>
      <w:r w:rsidR="0059020F" w:rsidRPr="00B96EA2">
        <w:rPr>
          <w:rFonts w:ascii="Palatino Linotype" w:eastAsiaTheme="minorEastAsia" w:hAnsi="Palatino Linotype" w:cs="Arial"/>
          <w:b/>
          <w:color w:val="000000" w:themeColor="text1"/>
          <w:lang w:val="es-ES_tradnl"/>
        </w:rPr>
        <w:t xml:space="preserve">veintitrés </w:t>
      </w:r>
      <w:r w:rsidRPr="00B96EA2">
        <w:rPr>
          <w:rFonts w:ascii="Palatino Linotype" w:eastAsiaTheme="minorEastAsia" w:hAnsi="Palatino Linotype" w:cs="Arial"/>
          <w:b/>
          <w:color w:val="000000" w:themeColor="text1"/>
          <w:lang w:val="es-ES_tradnl"/>
        </w:rPr>
        <w:t xml:space="preserve">de marzo de dos mil veinte; </w:t>
      </w:r>
      <w:r w:rsidRPr="00B96EA2">
        <w:rPr>
          <w:rFonts w:ascii="Palatino Linotype" w:hAnsi="Palatino Linotype" w:cs="Arial"/>
          <w:color w:val="000000" w:themeColor="text1"/>
        </w:rPr>
        <w:t>en consecuencia, el plazo de quince días hábiles que el artículo 178 de la ley de la materia otorga a</w:t>
      </w:r>
      <w:r w:rsidR="0059020F" w:rsidRPr="00B96EA2">
        <w:rPr>
          <w:rFonts w:ascii="Palatino Linotype" w:hAnsi="Palatino Linotype" w:cs="Arial"/>
          <w:color w:val="000000" w:themeColor="text1"/>
        </w:rPr>
        <w:t xml:space="preserve"> </w:t>
      </w:r>
      <w:r w:rsidRPr="00B96EA2">
        <w:rPr>
          <w:rFonts w:ascii="Palatino Linotype" w:hAnsi="Palatino Linotype" w:cs="Arial"/>
          <w:color w:val="000000" w:themeColor="text1"/>
        </w:rPr>
        <w:t>l</w:t>
      </w:r>
      <w:r w:rsidR="0059020F" w:rsidRPr="00B96EA2">
        <w:rPr>
          <w:rFonts w:ascii="Palatino Linotype" w:hAnsi="Palatino Linotype" w:cs="Arial"/>
          <w:color w:val="000000" w:themeColor="text1"/>
        </w:rPr>
        <w:t>a hoy</w:t>
      </w:r>
      <w:r w:rsidRPr="00B96EA2">
        <w:rPr>
          <w:rFonts w:ascii="Palatino Linotype" w:hAnsi="Palatino Linotype" w:cs="Arial"/>
          <w:b/>
          <w:color w:val="000000" w:themeColor="text1"/>
        </w:rPr>
        <w:t xml:space="preserve"> RECURRENTE</w:t>
      </w:r>
      <w:r w:rsidRPr="00B96EA2">
        <w:rPr>
          <w:rFonts w:ascii="Palatino Linotype" w:hAnsi="Palatino Linotype" w:cs="Arial"/>
          <w:color w:val="000000" w:themeColor="text1"/>
        </w:rPr>
        <w:t xml:space="preserve"> para presentar el recurso de revisión, transcurrió del</w:t>
      </w:r>
      <w:r w:rsidR="0059020F" w:rsidRPr="00B96EA2">
        <w:rPr>
          <w:rFonts w:ascii="Palatino Linotype" w:hAnsi="Palatino Linotype" w:cs="Arial"/>
          <w:b/>
          <w:color w:val="000000" w:themeColor="text1"/>
        </w:rPr>
        <w:t xml:space="preserve"> tres al veintiuno de agosto de </w:t>
      </w:r>
      <w:r w:rsidRPr="00B96EA2">
        <w:rPr>
          <w:rFonts w:ascii="Palatino Linotype" w:hAnsi="Palatino Linotype" w:cs="Arial"/>
          <w:b/>
          <w:color w:val="000000" w:themeColor="text1"/>
        </w:rPr>
        <w:t>dos mil veinte</w:t>
      </w:r>
      <w:r w:rsidR="0059020F" w:rsidRPr="00B96EA2">
        <w:rPr>
          <w:rFonts w:ascii="Palatino Linotype" w:hAnsi="Palatino Linotype" w:cs="Arial"/>
          <w:color w:val="000000" w:themeColor="text1"/>
        </w:rPr>
        <w:t xml:space="preserve">; </w:t>
      </w:r>
      <w:r w:rsidRPr="00B96EA2">
        <w:rPr>
          <w:rFonts w:ascii="Palatino Linotype" w:hAnsi="Palatino Linotype" w:cs="Arial"/>
        </w:rPr>
        <w:t xml:space="preserve">de conformidad con el Calendario Oficial en Materia de Transparencia, Acceso a la Información Pública y </w:t>
      </w:r>
      <w:r w:rsidRPr="00B96EA2">
        <w:rPr>
          <w:rFonts w:ascii="Palatino Linotype" w:hAnsi="Palatino Linotype" w:cs="Arial"/>
        </w:rPr>
        <w:lastRenderedPageBreak/>
        <w:t xml:space="preserve">Protección de Datos Personales del Estado de México y Municipios, para el año dos mil diecinueve y enero dos mil veinte, publicado en el Periódico Oficial “Gaceta del Gobierno”, el diecinueve de diciembre de dos mil diecinueve, </w:t>
      </w:r>
      <w:r w:rsidRPr="00B96EA2">
        <w:rPr>
          <w:rFonts w:ascii="Palatino Linotype" w:hAnsi="Palatino Linotype" w:cs="Arial"/>
          <w:color w:val="000000" w:themeColor="text1"/>
        </w:rPr>
        <w:t xml:space="preserve">asimismo, el día nueve de marzo de dos mil veinte, conforme al acuerdo INFOEM/ORD/08/V/2020, aprobado en la Octava Sesión Ordinaria de fecha cinco de marzo de dos mil veinte, por medio del cual el Pleno de este Instituto estableció que no correrían términos para el trámite y desahogo de los procedimientos en materia de acceso a la información y protección de datos personales;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rsidR="00CF7EAE" w:rsidRPr="00B96EA2" w:rsidRDefault="00CF7EAE" w:rsidP="00CF7EAE">
      <w:pPr>
        <w:spacing w:before="100" w:beforeAutospacing="1" w:after="100" w:afterAutospacing="1" w:line="360" w:lineRule="auto"/>
        <w:jc w:val="both"/>
        <w:rPr>
          <w:rFonts w:ascii="Palatino Linotype" w:eastAsiaTheme="minorEastAsia" w:hAnsi="Palatino Linotype" w:cs="Arial"/>
          <w:lang w:val="es-ES_tradnl"/>
        </w:rPr>
      </w:pPr>
      <w:r w:rsidRPr="00B96EA2">
        <w:rPr>
          <w:rFonts w:ascii="Palatino Linotype" w:eastAsiaTheme="minorEastAsia" w:hAnsi="Palatino Linotype" w:cs="Arial"/>
          <w:lang w:val="es-ES_tradnl"/>
        </w:rPr>
        <w:t>En ese tenor, si el recurso de revisión que nos ocupa, se interpuso el</w:t>
      </w:r>
      <w:r w:rsidR="0059020F" w:rsidRPr="00B96EA2">
        <w:rPr>
          <w:rFonts w:ascii="Palatino Linotype" w:eastAsiaTheme="minorEastAsia" w:hAnsi="Palatino Linotype" w:cs="Arial"/>
          <w:b/>
          <w:lang w:val="es-ES_tradnl"/>
        </w:rPr>
        <w:t xml:space="preserve"> veintiuno de abril </w:t>
      </w:r>
      <w:r w:rsidRPr="00B96EA2">
        <w:rPr>
          <w:rFonts w:ascii="Palatino Linotype" w:eastAsiaTheme="minorEastAsia" w:hAnsi="Palatino Linotype" w:cs="Arial"/>
          <w:b/>
          <w:lang w:val="es-ES_tradnl"/>
        </w:rPr>
        <w:t>de dos mil veinte,</w:t>
      </w:r>
      <w:r w:rsidRPr="00B96EA2">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CF7EAE" w:rsidRPr="00B96EA2" w:rsidRDefault="00CF7EAE" w:rsidP="00CF7EAE">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B96EA2">
        <w:rPr>
          <w:rFonts w:ascii="Palatino Linotype" w:hAnsi="Palatino Linotype" w:cs="Arial"/>
          <w:b/>
          <w:sz w:val="28"/>
          <w:szCs w:val="28"/>
        </w:rPr>
        <w:t xml:space="preserve">CUARTO. </w:t>
      </w:r>
      <w:r w:rsidRPr="00B96EA2">
        <w:rPr>
          <w:rFonts w:ascii="Palatino Linotype" w:hAnsi="Palatino Linotype" w:cs="Arial"/>
          <w:b/>
          <w:szCs w:val="28"/>
        </w:rPr>
        <w:t xml:space="preserve">Procedibilidad. </w:t>
      </w:r>
      <w:r w:rsidRPr="00B96EA2">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B96EA2">
        <w:rPr>
          <w:rFonts w:ascii="Palatino Linotype" w:hAnsi="Palatino Linotype" w:cs="Arial"/>
          <w:b/>
          <w:szCs w:val="28"/>
        </w:rPr>
        <w:t>SAIMEX.</w:t>
      </w:r>
    </w:p>
    <w:p w:rsidR="00123F1D" w:rsidRPr="00B96EA2" w:rsidRDefault="00CF7EAE" w:rsidP="00CF7EA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B96EA2">
        <w:rPr>
          <w:rFonts w:ascii="Palatino Linotype" w:hAnsi="Palatino Linotype"/>
          <w:b/>
          <w:sz w:val="28"/>
          <w:szCs w:val="20"/>
          <w:lang w:val="es-ES_tradnl"/>
        </w:rPr>
        <w:t xml:space="preserve">QUINTO. </w:t>
      </w:r>
      <w:r w:rsidRPr="00B96EA2">
        <w:rPr>
          <w:rFonts w:ascii="Palatino Linotype" w:hAnsi="Palatino Linotype" w:cs="Arial"/>
          <w:b/>
        </w:rPr>
        <w:t>Estudio y resolución del asunto.</w:t>
      </w:r>
      <w:r w:rsidRPr="00B96EA2">
        <w:rPr>
          <w:rFonts w:ascii="Palatino Linotype" w:hAnsi="Palatino Linotype" w:cs="Arial"/>
        </w:rPr>
        <w:t xml:space="preserve"> </w:t>
      </w:r>
      <w:r w:rsidRPr="00B96EA2">
        <w:rPr>
          <w:rFonts w:ascii="Palatino Linotype" w:hAnsi="Palatino Linotype" w:cs="Arial"/>
          <w:color w:val="000000" w:themeColor="text1"/>
        </w:rPr>
        <w:t>Tal y como quedó precisado en los resultandos de la presente reso</w:t>
      </w:r>
      <w:r w:rsidR="00123F1D" w:rsidRPr="00B96EA2">
        <w:rPr>
          <w:rFonts w:ascii="Palatino Linotype" w:hAnsi="Palatino Linotype" w:cs="Arial"/>
          <w:color w:val="000000" w:themeColor="text1"/>
        </w:rPr>
        <w:t xml:space="preserve">lución, la particular requirió del </w:t>
      </w:r>
      <w:r w:rsidRPr="00B96EA2">
        <w:rPr>
          <w:rFonts w:ascii="Palatino Linotype" w:hAnsi="Palatino Linotype" w:cs="Arial"/>
          <w:b/>
          <w:color w:val="000000" w:themeColor="text1"/>
        </w:rPr>
        <w:t xml:space="preserve">SUJETO OBLIGADO </w:t>
      </w:r>
      <w:r w:rsidRPr="00B96EA2">
        <w:rPr>
          <w:rFonts w:ascii="Palatino Linotype" w:hAnsi="Palatino Linotype" w:cs="Arial"/>
          <w:color w:val="000000" w:themeColor="text1"/>
        </w:rPr>
        <w:t>l</w:t>
      </w:r>
      <w:r w:rsidR="00123F1D" w:rsidRPr="00B96EA2">
        <w:rPr>
          <w:rFonts w:ascii="Palatino Linotype" w:hAnsi="Palatino Linotype" w:cs="Arial"/>
          <w:color w:val="000000" w:themeColor="text1"/>
        </w:rPr>
        <w:t xml:space="preserve">a licitación pública nacional presencial número LPN-TULTI-EF2019-003-19, cuya </w:t>
      </w:r>
      <w:r w:rsidR="00123F1D" w:rsidRPr="00B96EA2">
        <w:rPr>
          <w:rFonts w:ascii="Palatino Linotype" w:hAnsi="Palatino Linotype" w:cs="Arial"/>
          <w:color w:val="000000" w:themeColor="text1"/>
        </w:rPr>
        <w:lastRenderedPageBreak/>
        <w:t>contratación de un modelo de gestión operativo serviría para otorgar los servicios de consultoría implementación, puesta en marcha y mantenimiento de sistemas integrales digitales de administración de recursos gubernamentales.</w:t>
      </w:r>
    </w:p>
    <w:p w:rsidR="00123F1D" w:rsidRPr="00B96EA2" w:rsidRDefault="00CF7EAE" w:rsidP="00CF7EA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96EA2">
        <w:rPr>
          <w:rFonts w:ascii="Palatino Linotype" w:hAnsi="Palatino Linotype" w:cs="Arial"/>
        </w:rPr>
        <w:t>Al respecto,</w:t>
      </w:r>
      <w:r w:rsidRPr="00B96EA2">
        <w:rPr>
          <w:rFonts w:ascii="Palatino Linotype" w:hAnsi="Palatino Linotype" w:cs="Arial"/>
          <w:b/>
        </w:rPr>
        <w:t xml:space="preserve"> EL SUJETO OBLIGADO, </w:t>
      </w:r>
      <w:r w:rsidRPr="00B96EA2">
        <w:rPr>
          <w:rFonts w:ascii="Palatino Linotype" w:hAnsi="Palatino Linotype" w:cs="Arial"/>
        </w:rPr>
        <w:t xml:space="preserve">a través de su respuesta </w:t>
      </w:r>
      <w:r w:rsidR="00123F1D" w:rsidRPr="00B96EA2">
        <w:rPr>
          <w:rFonts w:ascii="Palatino Linotype" w:hAnsi="Palatino Linotype" w:cs="Arial"/>
        </w:rPr>
        <w:t>refirió que la Dirección de Administración y la Jefatura de Adquisiciones señalaron que la licitación solicitada se llevó a cabo el día veintinueve de marzo de</w:t>
      </w:r>
      <w:r w:rsidR="005A636F" w:rsidRPr="00B96EA2">
        <w:rPr>
          <w:rFonts w:ascii="Palatino Linotype" w:hAnsi="Palatino Linotype" w:cs="Arial"/>
        </w:rPr>
        <w:t xml:space="preserve"> dos mil diecinueve y fue publicada en la Gaceta del Gobierno.</w:t>
      </w:r>
    </w:p>
    <w:p w:rsidR="00CC3776" w:rsidRDefault="00CF7EAE" w:rsidP="009D52A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B96EA2">
        <w:rPr>
          <w:rFonts w:ascii="Palatino Linotype" w:hAnsi="Palatino Linotype" w:cs="Arial"/>
        </w:rPr>
        <w:t xml:space="preserve">Inconforme con dicha respuesta, la hoy </w:t>
      </w:r>
      <w:r w:rsidRPr="00B96EA2">
        <w:rPr>
          <w:rFonts w:ascii="Palatino Linotype" w:hAnsi="Palatino Linotype" w:cs="Arial"/>
          <w:b/>
        </w:rPr>
        <w:t>RECURRENTE</w:t>
      </w:r>
      <w:r w:rsidRPr="00B96EA2">
        <w:rPr>
          <w:rFonts w:ascii="Palatino Linotype" w:hAnsi="Palatino Linotype" w:cs="Arial"/>
        </w:rPr>
        <w:t xml:space="preserve"> interpuso el medio de defensa de análisis, en el cual argumentó genéricamente su inconformidad con la respuesta otorgada, pues a su decir </w:t>
      </w:r>
      <w:r w:rsidRPr="00B96EA2">
        <w:rPr>
          <w:rFonts w:ascii="Palatino Linotype" w:hAnsi="Palatino Linotype" w:cs="Arial"/>
          <w:b/>
        </w:rPr>
        <w:t xml:space="preserve">EL SUJETO OBLIGADO </w:t>
      </w:r>
      <w:r w:rsidR="009D52AA" w:rsidRPr="00B96EA2">
        <w:rPr>
          <w:rFonts w:ascii="Palatino Linotype" w:hAnsi="Palatino Linotype" w:cs="Arial"/>
        </w:rPr>
        <w:t>refirió que dicha licitación fue publicada; sin em</w:t>
      </w:r>
      <w:r w:rsidR="00CC3776">
        <w:rPr>
          <w:rFonts w:ascii="Palatino Linotype" w:hAnsi="Palatino Linotype" w:cs="Arial"/>
        </w:rPr>
        <w:t>bargo, no se encuentra completa.</w:t>
      </w:r>
    </w:p>
    <w:p w:rsidR="009D52AA" w:rsidRPr="00B96EA2" w:rsidRDefault="00CF7EAE" w:rsidP="00CF7EA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96EA2">
        <w:rPr>
          <w:rFonts w:ascii="Palatino Linotype" w:hAnsi="Palatino Linotype" w:cs="Arial"/>
        </w:rPr>
        <w:t xml:space="preserve">En ese tenor, </w:t>
      </w:r>
      <w:r w:rsidRPr="00B96EA2">
        <w:rPr>
          <w:rFonts w:ascii="Palatino Linotype" w:hAnsi="Palatino Linotype" w:cs="Arial"/>
          <w:b/>
        </w:rPr>
        <w:t>EL SUJETO OBLIGADO</w:t>
      </w:r>
      <w:r w:rsidRPr="00B96EA2">
        <w:rPr>
          <w:rFonts w:ascii="Palatino Linotype" w:hAnsi="Palatino Linotype" w:cs="Arial"/>
        </w:rPr>
        <w:t xml:space="preserve"> mediante Informe Justificado; </w:t>
      </w:r>
      <w:r w:rsidR="009D52AA" w:rsidRPr="00B96EA2">
        <w:rPr>
          <w:rFonts w:ascii="Palatino Linotype" w:hAnsi="Palatino Linotype" w:cs="Arial"/>
        </w:rPr>
        <w:t xml:space="preserve">remitió el oficio número DA/0329/2020, signado por la Directora de Administración y dirigido al Titular de la Unidad de Transparencia, mediante el cual le comentó a este último que remitía de manera electrónica el documento digitalizado </w:t>
      </w:r>
      <w:r w:rsidR="005A636F" w:rsidRPr="00B96EA2">
        <w:rPr>
          <w:rFonts w:ascii="Palatino Linotype" w:hAnsi="Palatino Linotype" w:cs="Arial"/>
        </w:rPr>
        <w:t>relativo al procedimiento número LPN-TULTI-EF2019-003-19, de manera íntegra en sus cuatro tomos para revisión del Comité de Transparencia; con la finalidad de analizar su contenido y tomar la determinación correspondiente para emitir el documento público respectivo.</w:t>
      </w:r>
    </w:p>
    <w:p w:rsidR="00CF7EAE" w:rsidRPr="00B96EA2" w:rsidRDefault="00CF7EAE" w:rsidP="00CF7EA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96EA2">
        <w:rPr>
          <w:rFonts w:ascii="Palatino Linotype" w:hAnsi="Palatino Linotype" w:cs="Arial"/>
        </w:rPr>
        <w:t xml:space="preserve">Cabe destacar que </w:t>
      </w:r>
      <w:r w:rsidRPr="00B96EA2">
        <w:rPr>
          <w:rFonts w:ascii="Palatino Linotype" w:hAnsi="Palatino Linotype" w:cs="Arial"/>
          <w:b/>
        </w:rPr>
        <w:t xml:space="preserve">LA RECURRENTE </w:t>
      </w:r>
      <w:r w:rsidRPr="00B96EA2">
        <w:rPr>
          <w:rFonts w:ascii="Palatino Linotype" w:hAnsi="Palatino Linotype" w:cs="Arial"/>
        </w:rPr>
        <w:t>fue omisa en realizar manifestaciones o alegatos ni ofreció los medios de prueba que a su derecho convinieran.</w:t>
      </w:r>
    </w:p>
    <w:p w:rsidR="00CF7EAE" w:rsidRPr="00B96EA2" w:rsidRDefault="00CF7EAE" w:rsidP="00CF7EA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96EA2">
        <w:rPr>
          <w:rFonts w:ascii="Palatino Linotype" w:hAnsi="Palatino Linotype" w:cs="Arial"/>
        </w:rPr>
        <w:lastRenderedPageBreak/>
        <w:t xml:space="preserve">Bajo ese contexto, este Instituto analizó la totalidad de constancias que integran el expediente electrónico del </w:t>
      </w:r>
      <w:r w:rsidRPr="00B96EA2">
        <w:rPr>
          <w:rFonts w:ascii="Palatino Linotype" w:hAnsi="Palatino Linotype" w:cs="Arial"/>
          <w:b/>
        </w:rPr>
        <w:t>SAIMEX</w:t>
      </w:r>
      <w:r w:rsidRPr="00B96EA2">
        <w:rPr>
          <w:rFonts w:ascii="Palatino Linotype" w:hAnsi="Palatino Linotype" w:cs="Arial"/>
        </w:rPr>
        <w:t xml:space="preserve"> y advirtió que las razones o motivos de inconformidad hechos valer por </w:t>
      </w:r>
      <w:r w:rsidRPr="00B96EA2">
        <w:rPr>
          <w:rFonts w:ascii="Palatino Linotype" w:hAnsi="Palatino Linotype" w:cs="Arial"/>
          <w:b/>
        </w:rPr>
        <w:t>EL RECURRENTE</w:t>
      </w:r>
      <w:r w:rsidRPr="00B96EA2">
        <w:rPr>
          <w:rFonts w:ascii="Palatino Linotype" w:hAnsi="Palatino Linotype" w:cs="Arial"/>
        </w:rPr>
        <w:t xml:space="preserve"> devienen </w:t>
      </w:r>
      <w:r w:rsidR="005A636F" w:rsidRPr="00B96EA2">
        <w:rPr>
          <w:rFonts w:ascii="Palatino Linotype" w:hAnsi="Palatino Linotype" w:cs="Arial"/>
          <w:b/>
        </w:rPr>
        <w:t>parcialmente f</w:t>
      </w:r>
      <w:r w:rsidRPr="00B96EA2">
        <w:rPr>
          <w:rFonts w:ascii="Palatino Linotype" w:hAnsi="Palatino Linotype" w:cs="Arial"/>
          <w:b/>
        </w:rPr>
        <w:t>undados</w:t>
      </w:r>
      <w:r w:rsidRPr="00B96EA2">
        <w:rPr>
          <w:rFonts w:ascii="Palatino Linotype" w:hAnsi="Palatino Linotype" w:cs="Arial"/>
        </w:rPr>
        <w:t xml:space="preserve">; por lo que, lo procedente es </w:t>
      </w:r>
      <w:r w:rsidR="005A636F" w:rsidRPr="00B96EA2">
        <w:rPr>
          <w:rFonts w:ascii="Palatino Linotype" w:hAnsi="Palatino Linotype" w:cs="Arial"/>
          <w:b/>
        </w:rPr>
        <w:t>MODIFICA</w:t>
      </w:r>
      <w:r w:rsidRPr="00B96EA2">
        <w:rPr>
          <w:rFonts w:ascii="Palatino Linotype" w:hAnsi="Palatino Linotype" w:cs="Arial"/>
          <w:b/>
        </w:rPr>
        <w:t>R</w:t>
      </w:r>
      <w:r w:rsidRPr="00B96EA2">
        <w:rPr>
          <w:rFonts w:ascii="Palatino Linotype" w:hAnsi="Palatino Linotype" w:cs="Arial"/>
        </w:rPr>
        <w:t xml:space="preserve"> la respuesta del </w:t>
      </w:r>
      <w:r w:rsidRPr="00B96EA2">
        <w:rPr>
          <w:rFonts w:ascii="Palatino Linotype" w:hAnsi="Palatino Linotype" w:cs="Arial"/>
          <w:b/>
        </w:rPr>
        <w:t>SUJETO OBLIGADO</w:t>
      </w:r>
      <w:r w:rsidRPr="00B96EA2">
        <w:rPr>
          <w:rFonts w:ascii="Palatino Linotype" w:hAnsi="Palatino Linotype" w:cs="Arial"/>
        </w:rPr>
        <w:t>, en atención a las Consideraciones de hecho y de derecho siguientes:</w:t>
      </w:r>
    </w:p>
    <w:p w:rsidR="005A636F" w:rsidRPr="00B96EA2" w:rsidRDefault="00CF7EAE" w:rsidP="00CF7EAE">
      <w:pPr>
        <w:spacing w:before="100" w:beforeAutospacing="1" w:after="100" w:afterAutospacing="1" w:line="360" w:lineRule="auto"/>
        <w:jc w:val="both"/>
        <w:rPr>
          <w:rFonts w:ascii="Palatino Linotype" w:hAnsi="Palatino Linotype"/>
        </w:rPr>
      </w:pPr>
      <w:r w:rsidRPr="00B96EA2">
        <w:rPr>
          <w:rFonts w:ascii="Palatino Linotype" w:eastAsia="Calibri" w:hAnsi="Palatino Linotype" w:cs="Arial"/>
        </w:rPr>
        <w:t xml:space="preserve">Primeramente, este Instituto precisa que, </w:t>
      </w:r>
      <w:r w:rsidRPr="00B96EA2">
        <w:rPr>
          <w:rFonts w:ascii="Palatino Linotype" w:hAnsi="Palatino Linotype"/>
        </w:rPr>
        <w:t xml:space="preserve">se obvia el análisis de la competencia por parte del </w:t>
      </w:r>
      <w:r w:rsidRPr="00B96EA2">
        <w:rPr>
          <w:rFonts w:ascii="Palatino Linotype" w:hAnsi="Palatino Linotype"/>
          <w:b/>
        </w:rPr>
        <w:t>SUJETO OBLIGADO</w:t>
      </w:r>
      <w:r w:rsidRPr="00B96EA2">
        <w:rPr>
          <w:rFonts w:ascii="Palatino Linotype" w:hAnsi="Palatino Linotype"/>
        </w:rPr>
        <w:t xml:space="preserve">, para generar, administrar o poseer la información solicitada, dado que éste ha asumido la misma, en razón de que </w:t>
      </w:r>
      <w:r w:rsidR="005A636F" w:rsidRPr="00B96EA2">
        <w:rPr>
          <w:rFonts w:ascii="Palatino Linotype" w:hAnsi="Palatino Linotype"/>
        </w:rPr>
        <w:t xml:space="preserve">tanto en </w:t>
      </w:r>
      <w:r w:rsidRPr="00B96EA2">
        <w:rPr>
          <w:rFonts w:ascii="Palatino Linotype" w:hAnsi="Palatino Linotype"/>
        </w:rPr>
        <w:t>su respuesta</w:t>
      </w:r>
      <w:r w:rsidR="005A636F" w:rsidRPr="00B96EA2">
        <w:rPr>
          <w:rFonts w:ascii="Palatino Linotype" w:hAnsi="Palatino Linotype"/>
        </w:rPr>
        <w:t xml:space="preserve"> como en el Informe Justificado</w:t>
      </w:r>
      <w:r w:rsidRPr="00B96EA2">
        <w:rPr>
          <w:rFonts w:ascii="Palatino Linotype" w:hAnsi="Palatino Linotype"/>
        </w:rPr>
        <w:t xml:space="preserve"> le informó a </w:t>
      </w:r>
      <w:r w:rsidRPr="00B96EA2">
        <w:rPr>
          <w:rFonts w:ascii="Palatino Linotype" w:hAnsi="Palatino Linotype"/>
          <w:b/>
        </w:rPr>
        <w:t xml:space="preserve">LA RECURRENTE </w:t>
      </w:r>
      <w:r w:rsidR="005A636F" w:rsidRPr="00B96EA2">
        <w:rPr>
          <w:rFonts w:ascii="Palatino Linotype" w:hAnsi="Palatino Linotype"/>
        </w:rPr>
        <w:t xml:space="preserve">que la licitación solicitada había sido publicada en la Gaceta del Gobierno y la fecha de su elaboración; aunado a que la Directora de Administración informó que constaba de cuatro tomos y que los mismos habían sido remitidos a la Unidad de Transparencia para la revisión del Comité de Transparencia y elaborar la versión pública correspondiente; para posteriormente hacer del conocimiento de la solicitante. </w:t>
      </w:r>
    </w:p>
    <w:p w:rsidR="005A636F" w:rsidRPr="00B96EA2" w:rsidRDefault="005A636F" w:rsidP="005A636F">
      <w:pPr>
        <w:spacing w:before="100" w:beforeAutospacing="1" w:after="100" w:afterAutospacing="1" w:line="360" w:lineRule="auto"/>
        <w:jc w:val="both"/>
        <w:rPr>
          <w:rFonts w:ascii="Palatino Linotype" w:hAnsi="Palatino Linotype" w:cs="Arial"/>
          <w:lang w:val="es-ES_tradnl"/>
        </w:rPr>
      </w:pPr>
      <w:r w:rsidRPr="00B96EA2">
        <w:rPr>
          <w:rFonts w:ascii="Palatino Linotype" w:eastAsia="Calibri" w:hAnsi="Palatino Linotype"/>
          <w:szCs w:val="22"/>
          <w:lang w:eastAsia="en-US"/>
        </w:rPr>
        <w:t xml:space="preserve">Una vez delimitado lo anterior, </w:t>
      </w:r>
      <w:r w:rsidRPr="00B96EA2">
        <w:rPr>
          <w:rFonts w:ascii="Palatino Linotype" w:eastAsia="Calibri" w:hAnsi="Palatino Linotype" w:cs="Arial"/>
        </w:rPr>
        <w:t xml:space="preserve">este Instituto </w:t>
      </w:r>
      <w:r w:rsidRPr="00B96EA2">
        <w:rPr>
          <w:rFonts w:ascii="Palatino Linotype" w:hAnsi="Palatino Linotype"/>
        </w:rPr>
        <w:t xml:space="preserve">precisa que se obvia el análisis de la competencia, para generar, administrar o poseer la información solicitada, dado que éste ha asumido la misma, en razón de que tanto en respuesta como en Informe Justificado, indicó poseer y administrar los documentos que contienen la información solicitada </w:t>
      </w:r>
      <w:r w:rsidR="00213EB0" w:rsidRPr="00B96EA2">
        <w:rPr>
          <w:rFonts w:ascii="Palatino Linotype" w:hAnsi="Palatino Linotype"/>
        </w:rPr>
        <w:t xml:space="preserve">por la </w:t>
      </w:r>
      <w:r w:rsidRPr="00B96EA2">
        <w:rPr>
          <w:rFonts w:ascii="Palatino Linotype" w:hAnsi="Palatino Linotype"/>
        </w:rPr>
        <w:t>particular.</w:t>
      </w:r>
    </w:p>
    <w:p w:rsidR="005A636F" w:rsidRPr="00B96EA2" w:rsidRDefault="005A636F" w:rsidP="005A636F">
      <w:pPr>
        <w:spacing w:before="240" w:after="240" w:line="360" w:lineRule="auto"/>
        <w:jc w:val="both"/>
        <w:rPr>
          <w:rFonts w:ascii="Palatino Linotype" w:hAnsi="Palatino Linotype"/>
        </w:rPr>
      </w:pPr>
      <w:r w:rsidRPr="00B96EA2">
        <w:rPr>
          <w:rFonts w:ascii="Palatino Linotype" w:hAnsi="Palatino Linotype"/>
        </w:rPr>
        <w:t xml:space="preserve">En efecto, el hecho de que </w:t>
      </w:r>
      <w:r w:rsidRPr="00B96EA2">
        <w:rPr>
          <w:rFonts w:ascii="Palatino Linotype" w:hAnsi="Palatino Linotype"/>
          <w:b/>
        </w:rPr>
        <w:t>EL SUJETO OBLIGADO</w:t>
      </w:r>
      <w:r w:rsidRPr="00B96EA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B96EA2">
        <w:rPr>
          <w:rFonts w:ascii="Palatino Linotype" w:hAnsi="Palatino Linotype"/>
        </w:rPr>
        <w:lastRenderedPageBreak/>
        <w:t xml:space="preserve">jurídico, previsto en el artículo 12 de la Ley de Transparencia y Acceso a la Información Pública del Estado de México y Municipios. </w:t>
      </w:r>
    </w:p>
    <w:p w:rsidR="005A636F" w:rsidRPr="00B96EA2" w:rsidRDefault="005A636F" w:rsidP="005A636F">
      <w:pPr>
        <w:tabs>
          <w:tab w:val="left" w:pos="851"/>
          <w:tab w:val="left" w:pos="8505"/>
        </w:tabs>
        <w:ind w:left="851" w:right="902"/>
        <w:jc w:val="both"/>
        <w:rPr>
          <w:rFonts w:ascii="Palatino Linotype" w:hAnsi="Palatino Linotype" w:cs="Arial"/>
          <w:i/>
          <w:sz w:val="22"/>
          <w:szCs w:val="22"/>
        </w:rPr>
      </w:pPr>
      <w:r w:rsidRPr="00B96EA2">
        <w:rPr>
          <w:rFonts w:ascii="Palatino Linotype" w:hAnsi="Palatino Linotype" w:cs="Arial"/>
          <w:i/>
          <w:sz w:val="22"/>
          <w:szCs w:val="22"/>
        </w:rPr>
        <w:t>“</w:t>
      </w:r>
      <w:r w:rsidRPr="00B96EA2">
        <w:rPr>
          <w:rFonts w:ascii="Palatino Linotype" w:hAnsi="Palatino Linotype" w:cs="Arial"/>
          <w:b/>
          <w:i/>
          <w:sz w:val="22"/>
          <w:szCs w:val="22"/>
        </w:rPr>
        <w:t>Artículo 12.</w:t>
      </w:r>
      <w:r w:rsidRPr="00B96EA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5A636F" w:rsidRPr="00B96EA2" w:rsidRDefault="005A636F" w:rsidP="005A636F">
      <w:pPr>
        <w:ind w:left="851" w:right="902"/>
        <w:jc w:val="both"/>
        <w:rPr>
          <w:rFonts w:ascii="Palatino Linotype" w:hAnsi="Palatino Linotype" w:cs="Arial"/>
          <w:i/>
          <w:sz w:val="22"/>
          <w:szCs w:val="22"/>
        </w:rPr>
      </w:pPr>
      <w:r w:rsidRPr="00B96EA2">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A636F" w:rsidRPr="00B96EA2" w:rsidRDefault="005A636F" w:rsidP="005A636F">
      <w:pPr>
        <w:spacing w:before="240" w:after="240" w:line="360" w:lineRule="auto"/>
        <w:jc w:val="both"/>
      </w:pPr>
      <w:r w:rsidRPr="00B96EA2">
        <w:rPr>
          <w:rFonts w:ascii="Palatino Linotype" w:hAnsi="Palatino Linotype"/>
        </w:rPr>
        <w:t xml:space="preserve">Así, el estudio de la naturaleza jurídica de la información pública solicitada, tiene por objeto determinar si ésta la genera, posee o administra </w:t>
      </w:r>
      <w:r w:rsidRPr="00B96EA2">
        <w:rPr>
          <w:rFonts w:ascii="Palatino Linotype" w:hAnsi="Palatino Linotype"/>
          <w:b/>
        </w:rPr>
        <w:t>EL SUJETO OBLIGADO</w:t>
      </w:r>
      <w:r w:rsidRPr="00B96EA2">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96EA2">
        <w:t xml:space="preserve"> </w:t>
      </w:r>
    </w:p>
    <w:p w:rsidR="00213EB0" w:rsidRPr="00B96EA2" w:rsidRDefault="00213EB0" w:rsidP="00213EB0">
      <w:pPr>
        <w:spacing w:line="360" w:lineRule="auto"/>
        <w:jc w:val="both"/>
        <w:rPr>
          <w:rFonts w:ascii="Palatino Linotype" w:hAnsi="Palatino Linotype" w:cs="Arial"/>
        </w:rPr>
      </w:pPr>
      <w:r w:rsidRPr="00B96EA2">
        <w:rPr>
          <w:rFonts w:ascii="Palatino Linotype" w:hAnsi="Palatino Linotype"/>
        </w:rPr>
        <w:t xml:space="preserve">Por otro lado, </w:t>
      </w:r>
      <w:r w:rsidRPr="00B96EA2">
        <w:rPr>
          <w:rFonts w:ascii="Palatino Linotype" w:hAnsi="Palatino Linotype" w:cs="Arial"/>
        </w:rPr>
        <w:t>es importante destacar que la información relacionada con licitaciones públicas, se encuentra considerada como una de las obligaciones de transparencias comunes que l</w:t>
      </w:r>
      <w:r w:rsidRPr="00B96EA2">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B96EA2">
        <w:rPr>
          <w:rFonts w:ascii="Palatino Linotype" w:hAnsi="Palatino Linotype" w:cs="Arial"/>
          <w:color w:val="000000"/>
        </w:rPr>
        <w:t xml:space="preserve">el </w:t>
      </w:r>
      <w:r w:rsidRPr="00B96EA2">
        <w:rPr>
          <w:rFonts w:ascii="Palatino Linotype" w:hAnsi="Palatino Linotype" w:cs="Arial"/>
        </w:rPr>
        <w:t>artículo 92 de la de la Ley de Transparencia y Acceso a la Información Pública del Estado de México y Municipios, en su fracción XXIX, dispone lo siguiente:</w:t>
      </w:r>
    </w:p>
    <w:p w:rsidR="00213EB0" w:rsidRPr="00B96EA2" w:rsidRDefault="00213EB0" w:rsidP="00213EB0">
      <w:pPr>
        <w:jc w:val="both"/>
        <w:rPr>
          <w:rFonts w:ascii="Palatino Linotype" w:hAnsi="Palatino Linotype" w:cs="Arial"/>
        </w:rPr>
      </w:pP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“Artículo 92. </w:t>
      </w:r>
      <w:r w:rsidRPr="00B96EA2">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i/>
          <w:iCs/>
          <w:sz w:val="22"/>
          <w:szCs w:val="22"/>
        </w:rPr>
        <w:t>(…)</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XXIX. </w:t>
      </w:r>
      <w:r w:rsidRPr="00B96EA2">
        <w:rPr>
          <w:rFonts w:ascii="Palatino Linotype" w:hAnsi="Palatino Linotype" w:cs="Arial"/>
          <w:i/>
          <w:iCs/>
          <w:sz w:val="22"/>
          <w:szCs w:val="22"/>
        </w:rPr>
        <w:t xml:space="preserve">La información sobre los procesos y resultados sobre procedimientos de adjudicación directa, invitación restringida y </w:t>
      </w:r>
      <w:r w:rsidRPr="00B96EA2">
        <w:rPr>
          <w:rFonts w:ascii="Palatino Linotype" w:hAnsi="Palatino Linotype" w:cs="Arial"/>
          <w:b/>
          <w:i/>
          <w:iCs/>
          <w:sz w:val="22"/>
          <w:szCs w:val="22"/>
          <w:u w:val="single"/>
        </w:rPr>
        <w:t>licitación</w:t>
      </w:r>
      <w:r w:rsidRPr="00B96EA2">
        <w:rPr>
          <w:rFonts w:ascii="Palatino Linotype" w:hAnsi="Palatino Linotype" w:cs="Arial"/>
          <w:i/>
          <w:iCs/>
          <w:sz w:val="22"/>
          <w:szCs w:val="22"/>
        </w:rPr>
        <w:t xml:space="preserve"> de cualquier naturaleza, </w:t>
      </w:r>
      <w:r w:rsidRPr="00B96EA2">
        <w:rPr>
          <w:rFonts w:ascii="Palatino Linotype" w:hAnsi="Palatino Linotype" w:cs="Arial"/>
          <w:b/>
          <w:bCs/>
          <w:i/>
          <w:iCs/>
          <w:sz w:val="22"/>
          <w:szCs w:val="22"/>
          <w:u w:val="single"/>
        </w:rPr>
        <w:t>incluyendo la versión pública del expediente respectivo y de los contratos</w:t>
      </w:r>
      <w:r w:rsidRPr="00B96EA2">
        <w:rPr>
          <w:rFonts w:ascii="Palatino Linotype" w:hAnsi="Palatino Linotype" w:cs="Arial"/>
          <w:i/>
          <w:iCs/>
          <w:sz w:val="22"/>
          <w:szCs w:val="22"/>
        </w:rPr>
        <w:t> celebrados, que deberán contener, por los menos, lo siguiente:</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a) </w:t>
      </w:r>
      <w:r w:rsidRPr="00B96EA2">
        <w:rPr>
          <w:rFonts w:ascii="Palatino Linotype" w:hAnsi="Palatino Linotype" w:cs="Arial"/>
          <w:i/>
          <w:iCs/>
          <w:sz w:val="22"/>
          <w:szCs w:val="22"/>
        </w:rPr>
        <w:t>De licitaciones públicas o procedimientos de invitación restringida:</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1)</w:t>
      </w:r>
      <w:r w:rsidRPr="00B96EA2">
        <w:rPr>
          <w:rFonts w:ascii="Palatino Linotype" w:hAnsi="Palatino Linotype" w:cs="Arial"/>
          <w:i/>
          <w:iCs/>
          <w:sz w:val="22"/>
          <w:szCs w:val="22"/>
        </w:rPr>
        <w:t> La convocatoria o invitación emitida, así como los fundamentos legales aplicados para llevarla a cabo;</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2) </w:t>
      </w:r>
      <w:r w:rsidRPr="00B96EA2">
        <w:rPr>
          <w:rFonts w:ascii="Palatino Linotype" w:hAnsi="Palatino Linotype" w:cs="Arial"/>
          <w:i/>
          <w:iCs/>
          <w:sz w:val="22"/>
          <w:szCs w:val="22"/>
        </w:rPr>
        <w:t>Los nombres de los participantes o invitados;</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3)</w:t>
      </w:r>
      <w:r w:rsidRPr="00B96EA2">
        <w:rPr>
          <w:rFonts w:ascii="Palatino Linotype" w:hAnsi="Palatino Linotype" w:cs="Arial"/>
          <w:i/>
          <w:iCs/>
          <w:sz w:val="22"/>
          <w:szCs w:val="22"/>
        </w:rPr>
        <w:t> El nombre del ganador y las razones que lo justifican;</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4) </w:t>
      </w:r>
      <w:r w:rsidRPr="00B96EA2">
        <w:rPr>
          <w:rFonts w:ascii="Palatino Linotype" w:hAnsi="Palatino Linotype" w:cs="Arial"/>
          <w:i/>
          <w:iCs/>
          <w:sz w:val="22"/>
          <w:szCs w:val="22"/>
        </w:rPr>
        <w:t>El área solicitante y la responsable de su ejecución;</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5) </w:t>
      </w:r>
      <w:r w:rsidRPr="00B96EA2">
        <w:rPr>
          <w:rFonts w:ascii="Palatino Linotype" w:hAnsi="Palatino Linotype" w:cs="Arial"/>
          <w:i/>
          <w:iCs/>
          <w:sz w:val="22"/>
          <w:szCs w:val="22"/>
        </w:rPr>
        <w:t>Las convocatorias e invitaciones emitidas;</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6)</w:t>
      </w:r>
      <w:r w:rsidRPr="00B96EA2">
        <w:rPr>
          <w:rFonts w:ascii="Palatino Linotype" w:hAnsi="Palatino Linotype" w:cs="Arial"/>
          <w:i/>
          <w:iCs/>
          <w:sz w:val="22"/>
          <w:szCs w:val="22"/>
        </w:rPr>
        <w:t> Los dictámenes y fallo de adjudicación;</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7)</w:t>
      </w:r>
      <w:r w:rsidRPr="00B96EA2">
        <w:rPr>
          <w:rFonts w:ascii="Palatino Linotype" w:hAnsi="Palatino Linotype" w:cs="Arial"/>
          <w:bCs/>
          <w:i/>
          <w:iCs/>
          <w:sz w:val="22"/>
          <w:szCs w:val="22"/>
        </w:rPr>
        <w:t> El contrato</w:t>
      </w:r>
      <w:r w:rsidRPr="00B96EA2">
        <w:rPr>
          <w:rFonts w:ascii="Palatino Linotype" w:hAnsi="Palatino Linotype" w:cs="Arial"/>
          <w:b/>
          <w:bCs/>
          <w:i/>
          <w:iCs/>
          <w:sz w:val="22"/>
          <w:szCs w:val="22"/>
        </w:rPr>
        <w:t xml:space="preserve"> </w:t>
      </w:r>
      <w:r w:rsidRPr="00B96EA2">
        <w:rPr>
          <w:rFonts w:ascii="Palatino Linotype" w:hAnsi="Palatino Linotype" w:cs="Arial"/>
          <w:bCs/>
          <w:i/>
          <w:iCs/>
          <w:sz w:val="22"/>
          <w:szCs w:val="22"/>
        </w:rPr>
        <w:t xml:space="preserve">y, en </w:t>
      </w:r>
      <w:r w:rsidRPr="00B96EA2">
        <w:rPr>
          <w:rFonts w:ascii="Palatino Linotype" w:hAnsi="Palatino Linotype" w:cs="Arial"/>
          <w:i/>
          <w:iCs/>
          <w:sz w:val="22"/>
          <w:szCs w:val="22"/>
        </w:rPr>
        <w:t>su</w:t>
      </w:r>
      <w:r w:rsidRPr="00B96EA2">
        <w:rPr>
          <w:rFonts w:ascii="Palatino Linotype" w:hAnsi="Palatino Linotype" w:cs="Arial"/>
          <w:bCs/>
          <w:i/>
          <w:iCs/>
          <w:sz w:val="22"/>
          <w:szCs w:val="22"/>
        </w:rPr>
        <w:t xml:space="preserve"> caso, sus anexos;</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8) </w:t>
      </w:r>
      <w:r w:rsidRPr="00B96EA2">
        <w:rPr>
          <w:rFonts w:ascii="Palatino Linotype" w:hAnsi="Palatino Linotype" w:cs="Arial"/>
          <w:i/>
          <w:iCs/>
          <w:sz w:val="22"/>
          <w:szCs w:val="22"/>
        </w:rPr>
        <w:t>Los mecanismos de vigilancia y supervisión, incluyendo en su caso, los estudios de impacto urbano y ambiental, según corresponda;</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9) </w:t>
      </w:r>
      <w:r w:rsidRPr="00B96EA2">
        <w:rPr>
          <w:rFonts w:ascii="Palatino Linotype" w:hAnsi="Palatino Linotype" w:cs="Arial"/>
          <w:i/>
          <w:iCs/>
          <w:sz w:val="22"/>
          <w:szCs w:val="22"/>
        </w:rPr>
        <w:t>La partida presupuestal, de conformidad con el clasificador por objeto del gasto, en el caso de ser aplicable;</w:t>
      </w:r>
    </w:p>
    <w:p w:rsidR="00213EB0" w:rsidRPr="00B96EA2" w:rsidRDefault="00213EB0" w:rsidP="00213EB0">
      <w:pPr>
        <w:ind w:left="851" w:right="901"/>
        <w:jc w:val="both"/>
        <w:rPr>
          <w:rFonts w:ascii="Palatino Linotype" w:hAnsi="Palatino Linotype" w:cs="Arial"/>
          <w:b/>
          <w:sz w:val="22"/>
          <w:szCs w:val="22"/>
        </w:rPr>
      </w:pPr>
      <w:r w:rsidRPr="00B96EA2">
        <w:rPr>
          <w:rFonts w:ascii="Palatino Linotype" w:hAnsi="Palatino Linotype" w:cs="Arial"/>
          <w:b/>
          <w:bCs/>
          <w:i/>
          <w:iCs/>
          <w:sz w:val="22"/>
          <w:szCs w:val="22"/>
        </w:rPr>
        <w:t>10) </w:t>
      </w:r>
      <w:r w:rsidRPr="00B96EA2">
        <w:rPr>
          <w:rFonts w:ascii="Palatino Linotype" w:hAnsi="Palatino Linotype" w:cs="Arial"/>
          <w:i/>
          <w:iCs/>
          <w:sz w:val="22"/>
          <w:szCs w:val="22"/>
        </w:rPr>
        <w:t>Origen de los recursos especificando si son federales, estatales o municipales, así como el tipo de fondo de participación o aportación respectiva;</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11) </w:t>
      </w:r>
      <w:r w:rsidRPr="00B96EA2">
        <w:rPr>
          <w:rFonts w:ascii="Palatino Linotype" w:hAnsi="Palatino Linotype" w:cs="Arial"/>
          <w:i/>
          <w:iCs/>
          <w:sz w:val="22"/>
          <w:szCs w:val="22"/>
        </w:rPr>
        <w:t>Los convenios modificatorios que, en su caso, sean firmados, precisando el objeto y la fecha de celebración;</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12) </w:t>
      </w:r>
      <w:r w:rsidRPr="00B96EA2">
        <w:rPr>
          <w:rFonts w:ascii="Palatino Linotype" w:hAnsi="Palatino Linotype" w:cs="Arial"/>
          <w:i/>
          <w:iCs/>
          <w:sz w:val="22"/>
          <w:szCs w:val="22"/>
        </w:rPr>
        <w:t>Los informes de avance físico y financiero sobre las obras o servicios contratados;</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13) </w:t>
      </w:r>
      <w:r w:rsidRPr="00B96EA2">
        <w:rPr>
          <w:rFonts w:ascii="Palatino Linotype" w:hAnsi="Palatino Linotype" w:cs="Arial"/>
          <w:i/>
          <w:iCs/>
          <w:sz w:val="22"/>
          <w:szCs w:val="22"/>
        </w:rPr>
        <w:t>El convenio de terminación; y</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14) </w:t>
      </w:r>
      <w:r w:rsidRPr="00B96EA2">
        <w:rPr>
          <w:rFonts w:ascii="Palatino Linotype" w:hAnsi="Palatino Linotype" w:cs="Arial"/>
          <w:i/>
          <w:iCs/>
          <w:sz w:val="22"/>
          <w:szCs w:val="22"/>
        </w:rPr>
        <w:t>El finiquito.</w:t>
      </w:r>
    </w:p>
    <w:p w:rsidR="00213EB0" w:rsidRPr="00B96EA2" w:rsidRDefault="00213EB0" w:rsidP="00213EB0">
      <w:pPr>
        <w:ind w:left="851" w:right="901"/>
        <w:jc w:val="both"/>
        <w:rPr>
          <w:rFonts w:ascii="Palatino Linotype" w:hAnsi="Palatino Linotype" w:cs="Arial"/>
          <w:b/>
          <w:bCs/>
          <w:i/>
          <w:iCs/>
          <w:sz w:val="22"/>
          <w:szCs w:val="22"/>
        </w:rPr>
      </w:pP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b) </w:t>
      </w:r>
      <w:r w:rsidRPr="00B96EA2">
        <w:rPr>
          <w:rFonts w:ascii="Palatino Linotype" w:hAnsi="Palatino Linotype" w:cs="Arial"/>
          <w:i/>
          <w:iCs/>
          <w:sz w:val="22"/>
          <w:szCs w:val="22"/>
        </w:rPr>
        <w:t>De las adjudicaciones directas:</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1) </w:t>
      </w:r>
      <w:r w:rsidRPr="00B96EA2">
        <w:rPr>
          <w:rFonts w:ascii="Palatino Linotype" w:hAnsi="Palatino Linotype" w:cs="Arial"/>
          <w:i/>
          <w:iCs/>
          <w:sz w:val="22"/>
          <w:szCs w:val="22"/>
        </w:rPr>
        <w:t>La propuesta enviada por el participante;</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2) </w:t>
      </w:r>
      <w:r w:rsidRPr="00B96EA2">
        <w:rPr>
          <w:rFonts w:ascii="Palatino Linotype" w:hAnsi="Palatino Linotype" w:cs="Arial"/>
          <w:i/>
          <w:iCs/>
          <w:sz w:val="22"/>
          <w:szCs w:val="22"/>
        </w:rPr>
        <w:t>Los motivos y fundamentos legales aplicados para llevarla a cabo;</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3) </w:t>
      </w:r>
      <w:r w:rsidRPr="00B96EA2">
        <w:rPr>
          <w:rFonts w:ascii="Palatino Linotype" w:hAnsi="Palatino Linotype" w:cs="Arial"/>
          <w:i/>
          <w:iCs/>
          <w:sz w:val="22"/>
          <w:szCs w:val="22"/>
        </w:rPr>
        <w:t>La autorización del ejercicio de la opción;</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4) </w:t>
      </w:r>
      <w:r w:rsidRPr="00B96EA2">
        <w:rPr>
          <w:rFonts w:ascii="Palatino Linotype" w:hAnsi="Palatino Linotype" w:cs="Arial"/>
          <w:i/>
          <w:iCs/>
          <w:sz w:val="22"/>
          <w:szCs w:val="22"/>
        </w:rPr>
        <w:t>En su caso, las cotizaciones consideradas, especificando los nombres de los proveedores y sus montos;</w:t>
      </w:r>
    </w:p>
    <w:p w:rsidR="00213EB0" w:rsidRPr="00B96EA2" w:rsidRDefault="00213EB0" w:rsidP="00213EB0">
      <w:pPr>
        <w:ind w:left="851" w:right="901"/>
        <w:jc w:val="both"/>
        <w:rPr>
          <w:rFonts w:ascii="Palatino Linotype" w:hAnsi="Palatino Linotype" w:cs="Arial"/>
          <w:b/>
          <w:sz w:val="22"/>
          <w:szCs w:val="22"/>
        </w:rPr>
      </w:pPr>
      <w:r w:rsidRPr="00B96EA2">
        <w:rPr>
          <w:rFonts w:ascii="Palatino Linotype" w:hAnsi="Palatino Linotype" w:cs="Arial"/>
          <w:b/>
          <w:bCs/>
          <w:i/>
          <w:iCs/>
          <w:sz w:val="22"/>
          <w:szCs w:val="22"/>
        </w:rPr>
        <w:lastRenderedPageBreak/>
        <w:t>5) </w:t>
      </w:r>
      <w:r w:rsidRPr="00B96EA2">
        <w:rPr>
          <w:rFonts w:ascii="Palatino Linotype" w:hAnsi="Palatino Linotype" w:cs="Arial"/>
          <w:i/>
          <w:iCs/>
          <w:sz w:val="22"/>
          <w:szCs w:val="22"/>
        </w:rPr>
        <w:t xml:space="preserve">El </w:t>
      </w:r>
      <w:r w:rsidRPr="00B96EA2">
        <w:rPr>
          <w:rFonts w:ascii="Palatino Linotype" w:hAnsi="Palatino Linotype" w:cs="Arial"/>
          <w:b/>
          <w:i/>
          <w:iCs/>
          <w:sz w:val="22"/>
          <w:szCs w:val="22"/>
        </w:rPr>
        <w:t>nombre de la persona física o jurídica colectiva adjudicada;</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6) </w:t>
      </w:r>
      <w:r w:rsidRPr="00B96EA2">
        <w:rPr>
          <w:rFonts w:ascii="Palatino Linotype" w:hAnsi="Palatino Linotype" w:cs="Arial"/>
          <w:i/>
          <w:iCs/>
          <w:sz w:val="22"/>
          <w:szCs w:val="22"/>
        </w:rPr>
        <w:t>La unidad administrativa solicitante y la responsable de su ejecución;</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7)</w:t>
      </w:r>
      <w:r w:rsidRPr="00B96EA2">
        <w:rPr>
          <w:rFonts w:ascii="Palatino Linotype" w:hAnsi="Palatino Linotype" w:cs="Arial"/>
          <w:bCs/>
          <w:i/>
          <w:iCs/>
          <w:sz w:val="22"/>
          <w:szCs w:val="22"/>
        </w:rPr>
        <w:t> El número, fecha, el monto del contrato y el plazo de entrega o de ejecución de los servicios u obra;</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8) </w:t>
      </w:r>
      <w:r w:rsidRPr="00B96EA2">
        <w:rPr>
          <w:rFonts w:ascii="Palatino Linotype" w:hAnsi="Palatino Linotype" w:cs="Arial"/>
          <w:i/>
          <w:iCs/>
          <w:sz w:val="22"/>
          <w:szCs w:val="22"/>
        </w:rPr>
        <w:t>Los mecanismos de vigilancia y supervisión, incluyendo, en su caso, los estudios de impacto urbano y ambiental, según corresponda;</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9) </w:t>
      </w:r>
      <w:r w:rsidRPr="00B96EA2">
        <w:rPr>
          <w:rFonts w:ascii="Palatino Linotype" w:hAnsi="Palatino Linotype" w:cs="Arial"/>
          <w:i/>
          <w:iCs/>
          <w:sz w:val="22"/>
          <w:szCs w:val="22"/>
        </w:rPr>
        <w:t>Los informes de avance sobre las obras o servicios contratados;</w:t>
      </w:r>
    </w:p>
    <w:p w:rsidR="00213EB0" w:rsidRPr="00B96EA2" w:rsidRDefault="00213EB0" w:rsidP="00213EB0">
      <w:pPr>
        <w:ind w:left="851" w:right="901"/>
        <w:jc w:val="both"/>
        <w:rPr>
          <w:rFonts w:ascii="Palatino Linotype" w:hAnsi="Palatino Linotype" w:cs="Arial"/>
          <w:sz w:val="22"/>
          <w:szCs w:val="22"/>
        </w:rPr>
      </w:pPr>
      <w:r w:rsidRPr="00B96EA2">
        <w:rPr>
          <w:rFonts w:ascii="Palatino Linotype" w:hAnsi="Palatino Linotype" w:cs="Arial"/>
          <w:b/>
          <w:bCs/>
          <w:i/>
          <w:iCs/>
          <w:sz w:val="22"/>
          <w:szCs w:val="22"/>
        </w:rPr>
        <w:t>10) </w:t>
      </w:r>
      <w:r w:rsidRPr="00B96EA2">
        <w:rPr>
          <w:rFonts w:ascii="Palatino Linotype" w:hAnsi="Palatino Linotype" w:cs="Arial"/>
          <w:i/>
          <w:iCs/>
          <w:sz w:val="22"/>
          <w:szCs w:val="22"/>
        </w:rPr>
        <w:t>El convenio de terminación; y</w:t>
      </w:r>
    </w:p>
    <w:p w:rsidR="00213EB0" w:rsidRPr="00B96EA2" w:rsidRDefault="00213EB0" w:rsidP="00213EB0">
      <w:pPr>
        <w:ind w:left="851" w:right="901"/>
        <w:jc w:val="both"/>
        <w:rPr>
          <w:rFonts w:ascii="Palatino Linotype" w:hAnsi="Palatino Linotype" w:cs="Arial"/>
          <w:b/>
          <w:i/>
          <w:iCs/>
          <w:sz w:val="22"/>
          <w:szCs w:val="22"/>
        </w:rPr>
      </w:pPr>
      <w:r w:rsidRPr="00B96EA2">
        <w:rPr>
          <w:rFonts w:ascii="Palatino Linotype" w:hAnsi="Palatino Linotype" w:cs="Arial"/>
          <w:b/>
          <w:bCs/>
          <w:i/>
          <w:iCs/>
          <w:sz w:val="22"/>
          <w:szCs w:val="22"/>
        </w:rPr>
        <w:t>11) </w:t>
      </w:r>
      <w:r w:rsidRPr="00B96EA2">
        <w:rPr>
          <w:rFonts w:ascii="Palatino Linotype" w:hAnsi="Palatino Linotype" w:cs="Arial"/>
          <w:i/>
          <w:iCs/>
          <w:sz w:val="22"/>
          <w:szCs w:val="22"/>
        </w:rPr>
        <w:t>El finiquito.</w:t>
      </w:r>
      <w:r w:rsidRPr="00B96EA2">
        <w:rPr>
          <w:rFonts w:ascii="Palatino Linotype" w:hAnsi="Palatino Linotype" w:cs="Arial"/>
          <w:b/>
          <w:i/>
          <w:iCs/>
          <w:sz w:val="22"/>
          <w:szCs w:val="22"/>
        </w:rPr>
        <w:t>”</w:t>
      </w:r>
    </w:p>
    <w:p w:rsidR="00213EB0" w:rsidRPr="00B96EA2" w:rsidRDefault="00213EB0" w:rsidP="00213EB0">
      <w:pPr>
        <w:ind w:left="851" w:right="901"/>
        <w:jc w:val="both"/>
        <w:rPr>
          <w:rFonts w:ascii="Palatino Linotype" w:hAnsi="Palatino Linotype" w:cs="Arial"/>
          <w:b/>
          <w:i/>
          <w:iCs/>
          <w:sz w:val="22"/>
          <w:szCs w:val="22"/>
        </w:rPr>
      </w:pPr>
      <w:r w:rsidRPr="00B96EA2">
        <w:rPr>
          <w:rFonts w:ascii="Palatino Linotype" w:hAnsi="Palatino Linotype" w:cs="Arial"/>
          <w:b/>
          <w:i/>
          <w:iCs/>
          <w:sz w:val="22"/>
          <w:szCs w:val="22"/>
        </w:rPr>
        <w:t>(Énfasis añadido)</w:t>
      </w:r>
    </w:p>
    <w:p w:rsidR="00213EB0" w:rsidRPr="00B96EA2" w:rsidRDefault="00213EB0" w:rsidP="00213EB0">
      <w:pPr>
        <w:spacing w:before="100" w:beforeAutospacing="1" w:after="100" w:afterAutospacing="1" w:line="360" w:lineRule="auto"/>
        <w:jc w:val="both"/>
        <w:rPr>
          <w:rFonts w:ascii="Palatino Linotype" w:hAnsi="Palatino Linotype" w:cs="Arial"/>
          <w:b/>
        </w:rPr>
      </w:pPr>
      <w:r w:rsidRPr="00B96EA2">
        <w:rPr>
          <w:rFonts w:ascii="Palatino Linotype" w:hAnsi="Palatino Linotype" w:cs="Arial"/>
        </w:rPr>
        <w:t xml:space="preserve">De lo anterior, se desprende que los Sujetos Obligados están compelidos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w:t>
      </w:r>
      <w:r w:rsidRPr="00B96EA2">
        <w:rPr>
          <w:rFonts w:ascii="Palatino Linotype" w:hAnsi="Palatino Linotype" w:cs="Arial"/>
          <w:b/>
        </w:rPr>
        <w:t>licitación</w:t>
      </w:r>
      <w:r w:rsidRPr="00B96EA2">
        <w:rPr>
          <w:rFonts w:ascii="Palatino Linotype" w:hAnsi="Palatino Linotype" w:cs="Arial"/>
        </w:rPr>
        <w:t xml:space="preserve"> de cualquier naturaleza, en el que se debe contener dentro de la </w:t>
      </w:r>
      <w:r w:rsidRPr="00B96EA2">
        <w:rPr>
          <w:rFonts w:ascii="Palatino Linotype" w:hAnsi="Palatino Linotype" w:cs="Arial"/>
          <w:b/>
        </w:rPr>
        <w:t>versión pública</w:t>
      </w:r>
      <w:r w:rsidRPr="00B96EA2">
        <w:rPr>
          <w:rFonts w:ascii="Palatino Linotype" w:hAnsi="Palatino Linotype" w:cs="Arial"/>
        </w:rPr>
        <w:t xml:space="preserve"> del </w:t>
      </w:r>
      <w:r w:rsidRPr="00B96EA2">
        <w:rPr>
          <w:rFonts w:ascii="Palatino Linotype" w:hAnsi="Palatino Linotype" w:cs="Arial"/>
          <w:b/>
        </w:rPr>
        <w:t>expediente respectivo.</w:t>
      </w:r>
    </w:p>
    <w:p w:rsidR="00213EB0" w:rsidRPr="00B96EA2" w:rsidRDefault="00213EB0" w:rsidP="00213EB0">
      <w:pPr>
        <w:spacing w:before="100" w:beforeAutospacing="1" w:after="100" w:afterAutospacing="1" w:line="360" w:lineRule="auto"/>
        <w:jc w:val="both"/>
        <w:rPr>
          <w:rFonts w:ascii="Palatino Linotype" w:hAnsi="Palatino Linotype"/>
        </w:rPr>
      </w:pPr>
      <w:r w:rsidRPr="00B96EA2">
        <w:rPr>
          <w:rFonts w:ascii="Palatino Linotype" w:hAnsi="Palatino Linotype"/>
        </w:rPr>
        <w:t xml:space="preserve">En consecuencia, este Órgano Garante determina ordenar en </w:t>
      </w:r>
      <w:r w:rsidRPr="00B96EA2">
        <w:rPr>
          <w:rFonts w:ascii="Palatino Linotype" w:hAnsi="Palatino Linotype"/>
          <w:b/>
        </w:rPr>
        <w:t xml:space="preserve">versión pública </w:t>
      </w:r>
      <w:r w:rsidRPr="00B96EA2">
        <w:rPr>
          <w:rFonts w:ascii="Palatino Linotype" w:hAnsi="Palatino Linotype"/>
        </w:rPr>
        <w:t xml:space="preserve">el expediente completo de la licitación </w:t>
      </w:r>
      <w:r w:rsidRPr="00B96EA2">
        <w:rPr>
          <w:rFonts w:ascii="Palatino Linotype" w:hAnsi="Palatino Linotype" w:cs="Arial"/>
          <w:color w:val="000000" w:themeColor="text1"/>
        </w:rPr>
        <w:t xml:space="preserve">presencial número LPN-TULTI-EF2019-003-19, misma que se llevó a cabo en fecha </w:t>
      </w:r>
      <w:r w:rsidRPr="00B96EA2">
        <w:rPr>
          <w:rFonts w:ascii="Palatino Linotype" w:hAnsi="Palatino Linotype" w:cs="Arial"/>
        </w:rPr>
        <w:t>veintinueve de marzo de dos mil diecinueve.</w:t>
      </w:r>
    </w:p>
    <w:p w:rsidR="005B4296" w:rsidRPr="00B96EA2" w:rsidRDefault="005B4296" w:rsidP="005B4296">
      <w:pPr>
        <w:spacing w:line="360" w:lineRule="auto"/>
        <w:jc w:val="both"/>
        <w:rPr>
          <w:rFonts w:ascii="Palatino Linotype" w:hAnsi="Palatino Linotype" w:cs="Arial"/>
          <w:bCs/>
        </w:rPr>
      </w:pPr>
      <w:r w:rsidRPr="00B96EA2">
        <w:rPr>
          <w:rFonts w:ascii="Palatino Linotype" w:hAnsi="Palatino Linotype"/>
        </w:rPr>
        <w:t xml:space="preserve">Por lo anterior, no </w:t>
      </w:r>
      <w:r w:rsidRPr="00B96EA2">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B96EA2">
        <w:rPr>
          <w:rFonts w:ascii="Palatino Linotype" w:hAnsi="Palatino Linotype" w:cs="Arial"/>
          <w:b/>
        </w:rPr>
        <w:t>versión pública</w:t>
      </w:r>
      <w:r w:rsidRPr="00B96EA2">
        <w:rPr>
          <w:rFonts w:ascii="Palatino Linotype" w:hAnsi="Palatino Linotype" w:cs="Arial"/>
        </w:rPr>
        <w:t>; pues, el</w:t>
      </w:r>
      <w:r w:rsidRPr="00B96EA2">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w:t>
      </w:r>
      <w:r w:rsidRPr="00B96EA2">
        <w:rPr>
          <w:rFonts w:ascii="Palatino Linotype" w:hAnsi="Palatino Linotype" w:cs="Arial"/>
          <w:bCs/>
        </w:rPr>
        <w:lastRenderedPageBreak/>
        <w:t>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B4296" w:rsidRPr="00B96EA2" w:rsidRDefault="005B4296" w:rsidP="005B4296">
      <w:pPr>
        <w:spacing w:line="360" w:lineRule="auto"/>
        <w:jc w:val="both"/>
        <w:rPr>
          <w:rFonts w:ascii="Palatino Linotype" w:eastAsia="Calibri" w:hAnsi="Palatino Linotype" w:cs="Arial"/>
          <w:bCs/>
          <w:lang w:eastAsia="en-US"/>
        </w:rPr>
      </w:pPr>
    </w:p>
    <w:p w:rsidR="005B4296" w:rsidRPr="00B96EA2" w:rsidRDefault="005B4296" w:rsidP="005B4296">
      <w:pPr>
        <w:spacing w:line="360" w:lineRule="auto"/>
        <w:jc w:val="both"/>
        <w:rPr>
          <w:rFonts w:ascii="Palatino Linotype" w:hAnsi="Palatino Linotype" w:cs="Arial"/>
          <w:bCs/>
        </w:rPr>
      </w:pPr>
      <w:r w:rsidRPr="00B96EA2">
        <w:rPr>
          <w:rFonts w:ascii="Palatino Linotype" w:hAnsi="Palatino Linotype" w:cs="Arial"/>
          <w:bCs/>
        </w:rPr>
        <w:t>A este respecto, los artículos 3, fracciones IX, XX, XXI y XLV; 51 y 52 de la Ley de Transparencia y Acceso a la Información Pública del Estado de México y Municipios establecen:</w:t>
      </w:r>
    </w:p>
    <w:p w:rsidR="005B4296" w:rsidRPr="00B96EA2" w:rsidRDefault="005B4296" w:rsidP="005B4296">
      <w:pPr>
        <w:autoSpaceDE w:val="0"/>
        <w:autoSpaceDN w:val="0"/>
        <w:adjustRightInd w:val="0"/>
        <w:ind w:right="899"/>
        <w:jc w:val="both"/>
        <w:rPr>
          <w:rFonts w:ascii="Palatino Linotype" w:hAnsi="Palatino Linotype" w:cs="Arial"/>
        </w:rPr>
      </w:pPr>
    </w:p>
    <w:p w:rsidR="005B4296" w:rsidRPr="00B96EA2" w:rsidRDefault="005B4296" w:rsidP="005B4296">
      <w:pPr>
        <w:ind w:left="851" w:right="901"/>
        <w:jc w:val="both"/>
        <w:rPr>
          <w:rFonts w:ascii="Palatino Linotype" w:hAnsi="Palatino Linotype"/>
          <w:i/>
          <w:sz w:val="22"/>
          <w:szCs w:val="22"/>
        </w:rPr>
      </w:pPr>
      <w:r w:rsidRPr="00B96EA2">
        <w:rPr>
          <w:rFonts w:ascii="Palatino Linotype" w:hAnsi="Palatino Linotype" w:cs="Arial"/>
          <w:b/>
          <w:bCs/>
          <w:i/>
          <w:noProof/>
          <w:sz w:val="22"/>
          <w:szCs w:val="22"/>
        </w:rPr>
        <w:t>“</w:t>
      </w:r>
      <w:r w:rsidRPr="00B96EA2">
        <w:rPr>
          <w:rFonts w:ascii="Palatino Linotype" w:hAnsi="Palatino Linotype" w:cs="Arial"/>
          <w:b/>
          <w:bCs/>
          <w:i/>
          <w:sz w:val="22"/>
          <w:szCs w:val="22"/>
        </w:rPr>
        <w:t xml:space="preserve">Artículo 3. </w:t>
      </w:r>
      <w:r w:rsidRPr="00B96EA2">
        <w:rPr>
          <w:rFonts w:ascii="Palatino Linotype" w:hAnsi="Palatino Linotype"/>
          <w:i/>
          <w:sz w:val="22"/>
          <w:szCs w:val="22"/>
        </w:rPr>
        <w:t xml:space="preserve">Para los efectos de la presente Ley se entenderá por: </w:t>
      </w:r>
    </w:p>
    <w:p w:rsidR="005B4296" w:rsidRPr="00B96EA2" w:rsidRDefault="005B4296" w:rsidP="005B4296">
      <w:pPr>
        <w:ind w:left="851" w:right="899"/>
        <w:jc w:val="both"/>
        <w:rPr>
          <w:rFonts w:ascii="Palatino Linotype" w:hAnsi="Palatino Linotype" w:cs="Arial"/>
          <w:i/>
          <w:sz w:val="22"/>
          <w:szCs w:val="22"/>
        </w:rPr>
      </w:pPr>
      <w:r w:rsidRPr="00B96EA2">
        <w:rPr>
          <w:rFonts w:ascii="Palatino Linotype" w:hAnsi="Palatino Linotype" w:cs="Arial"/>
          <w:b/>
          <w:i/>
          <w:sz w:val="22"/>
          <w:szCs w:val="22"/>
        </w:rPr>
        <w:t>IX.</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 xml:space="preserve">Datos personales: </w:t>
      </w:r>
      <w:r w:rsidRPr="00B96EA2">
        <w:rPr>
          <w:rFonts w:ascii="Palatino Linotype" w:hAnsi="Palatino Linotype" w:cs="Arial"/>
          <w:i/>
          <w:sz w:val="22"/>
          <w:szCs w:val="22"/>
        </w:rPr>
        <w:t xml:space="preserve">La información concerniente a una persona, identificada o identificable según lo dispuesto por la Ley de </w:t>
      </w:r>
      <w:r w:rsidRPr="00B96EA2">
        <w:rPr>
          <w:rFonts w:ascii="Palatino Linotype" w:hAnsi="Palatino Linotype"/>
          <w:i/>
          <w:sz w:val="22"/>
          <w:szCs w:val="22"/>
        </w:rPr>
        <w:t>Protección</w:t>
      </w:r>
      <w:r w:rsidRPr="00B96EA2">
        <w:rPr>
          <w:rFonts w:ascii="Palatino Linotype" w:hAnsi="Palatino Linotype" w:cs="Arial"/>
          <w:i/>
          <w:sz w:val="22"/>
          <w:szCs w:val="22"/>
        </w:rPr>
        <w:t xml:space="preserve"> de Datos Personales del Estado de México; </w:t>
      </w:r>
    </w:p>
    <w:p w:rsidR="005B4296" w:rsidRPr="00B96EA2" w:rsidRDefault="005B4296" w:rsidP="005B4296">
      <w:pPr>
        <w:ind w:left="851" w:right="899"/>
        <w:jc w:val="both"/>
        <w:rPr>
          <w:rFonts w:ascii="Palatino Linotype" w:hAnsi="Palatino Linotype" w:cs="Arial"/>
          <w:i/>
          <w:sz w:val="22"/>
          <w:szCs w:val="22"/>
        </w:rPr>
      </w:pPr>
      <w:r w:rsidRPr="00B96EA2">
        <w:rPr>
          <w:rFonts w:ascii="Palatino Linotype" w:hAnsi="Palatino Linotype" w:cs="Arial"/>
          <w:b/>
          <w:i/>
          <w:sz w:val="22"/>
          <w:szCs w:val="22"/>
        </w:rPr>
        <w:t>XX.</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Información clasificada:</w:t>
      </w:r>
      <w:r w:rsidRPr="00B96EA2">
        <w:rPr>
          <w:rFonts w:ascii="Palatino Linotype" w:hAnsi="Palatino Linotype" w:cs="Arial"/>
          <w:i/>
          <w:sz w:val="22"/>
          <w:szCs w:val="22"/>
        </w:rPr>
        <w:t xml:space="preserve"> Aquella considerada por la presente Ley como reservada o confidencial; </w:t>
      </w:r>
    </w:p>
    <w:p w:rsidR="005B4296" w:rsidRPr="00B96EA2" w:rsidRDefault="005B4296" w:rsidP="005B4296">
      <w:pPr>
        <w:ind w:left="851" w:right="899"/>
        <w:jc w:val="both"/>
        <w:rPr>
          <w:rFonts w:ascii="Palatino Linotype" w:hAnsi="Palatino Linotype" w:cs="Arial"/>
          <w:i/>
          <w:sz w:val="22"/>
          <w:szCs w:val="22"/>
        </w:rPr>
      </w:pPr>
      <w:r w:rsidRPr="00B96EA2">
        <w:rPr>
          <w:rFonts w:ascii="Palatino Linotype" w:hAnsi="Palatino Linotype" w:cs="Arial"/>
          <w:b/>
          <w:i/>
          <w:sz w:val="22"/>
          <w:szCs w:val="22"/>
        </w:rPr>
        <w:t>XXI.</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Información confidencial</w:t>
      </w:r>
      <w:r w:rsidRPr="00B96EA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B4296" w:rsidRPr="00B96EA2" w:rsidRDefault="005B4296" w:rsidP="005B4296">
      <w:pPr>
        <w:ind w:left="851" w:right="899"/>
        <w:jc w:val="both"/>
        <w:rPr>
          <w:rFonts w:ascii="Palatino Linotype" w:hAnsi="Palatino Linotype" w:cs="Arial"/>
          <w:i/>
          <w:sz w:val="22"/>
          <w:szCs w:val="22"/>
        </w:rPr>
      </w:pPr>
      <w:r w:rsidRPr="00B96EA2">
        <w:rPr>
          <w:rFonts w:ascii="Palatino Linotype" w:hAnsi="Palatino Linotype" w:cs="Arial"/>
          <w:b/>
          <w:i/>
          <w:sz w:val="22"/>
          <w:szCs w:val="22"/>
        </w:rPr>
        <w:t>XLV. Versión pública:</w:t>
      </w:r>
      <w:r w:rsidRPr="00B96EA2">
        <w:rPr>
          <w:rFonts w:ascii="Palatino Linotype" w:hAnsi="Palatino Linotype" w:cs="Arial"/>
          <w:i/>
          <w:sz w:val="22"/>
          <w:szCs w:val="22"/>
        </w:rPr>
        <w:t xml:space="preserve"> Documento en el que se elimine, suprime o borra la información clasificada como reservada o confidencial para permitir su acceso. </w:t>
      </w:r>
    </w:p>
    <w:p w:rsidR="005B4296" w:rsidRPr="00B96EA2" w:rsidRDefault="005B4296" w:rsidP="005B4296">
      <w:pPr>
        <w:ind w:left="851" w:right="899"/>
        <w:jc w:val="both"/>
        <w:rPr>
          <w:rFonts w:ascii="Palatino Linotype" w:hAnsi="Palatino Linotype" w:cs="Arial"/>
          <w:i/>
          <w:sz w:val="22"/>
          <w:szCs w:val="22"/>
        </w:rPr>
      </w:pPr>
      <w:r w:rsidRPr="00B96EA2">
        <w:rPr>
          <w:rFonts w:ascii="Palatino Linotype" w:hAnsi="Palatino Linotype" w:cs="Arial"/>
          <w:b/>
          <w:i/>
          <w:sz w:val="22"/>
          <w:szCs w:val="22"/>
        </w:rPr>
        <w:t>Artículo 51.</w:t>
      </w:r>
      <w:r w:rsidRPr="00B96EA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96EA2">
        <w:rPr>
          <w:rFonts w:ascii="Palatino Linotype" w:hAnsi="Palatino Linotype" w:cs="Arial"/>
          <w:b/>
          <w:i/>
          <w:sz w:val="22"/>
          <w:szCs w:val="22"/>
        </w:rPr>
        <w:t xml:space="preserve">y tendrá la responsabilidad de verificar en cada caso que la misma no sea confidencial o reservada. </w:t>
      </w:r>
      <w:r w:rsidRPr="00B96EA2">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5B4296" w:rsidRPr="00B96EA2" w:rsidRDefault="005B4296" w:rsidP="005B4296">
      <w:pPr>
        <w:ind w:left="851" w:right="899"/>
        <w:jc w:val="both"/>
        <w:rPr>
          <w:rFonts w:ascii="Palatino Linotype" w:hAnsi="Palatino Linotype" w:cs="Arial"/>
          <w:i/>
          <w:sz w:val="22"/>
          <w:szCs w:val="22"/>
        </w:rPr>
      </w:pPr>
      <w:r w:rsidRPr="00B96EA2">
        <w:rPr>
          <w:rFonts w:ascii="Palatino Linotype" w:hAnsi="Palatino Linotype" w:cs="Arial"/>
          <w:b/>
          <w:i/>
          <w:sz w:val="22"/>
          <w:szCs w:val="22"/>
        </w:rPr>
        <w:t>Artículo 52.</w:t>
      </w:r>
      <w:r w:rsidRPr="00B96EA2">
        <w:rPr>
          <w:rFonts w:ascii="Palatino Linotype" w:hAnsi="Palatino Linotype" w:cs="Arial"/>
          <w:i/>
          <w:sz w:val="22"/>
          <w:szCs w:val="22"/>
        </w:rPr>
        <w:t xml:space="preserve"> Las solicitudes de acceso a la información y las respuestas que se les dé, incluyendo, en su caso, </w:t>
      </w:r>
      <w:r w:rsidRPr="00B96EA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96EA2">
        <w:rPr>
          <w:rFonts w:ascii="Palatino Linotype" w:hAnsi="Palatino Linotype" w:cs="Arial"/>
          <w:i/>
          <w:sz w:val="22"/>
          <w:szCs w:val="22"/>
        </w:rPr>
        <w:t>, siempre y cuando la resolución de referencia se someta a un proceso de disociación, es decir, no haga identificable al titular de tales datos personales.</w:t>
      </w:r>
      <w:r w:rsidRPr="00B96EA2">
        <w:rPr>
          <w:rFonts w:ascii="Palatino Linotype" w:hAnsi="Palatino Linotype" w:cs="Arial"/>
          <w:bCs/>
          <w:i/>
          <w:noProof/>
          <w:sz w:val="22"/>
          <w:szCs w:val="22"/>
        </w:rPr>
        <w:t>”</w:t>
      </w:r>
    </w:p>
    <w:p w:rsidR="005B4296" w:rsidRPr="00B96EA2" w:rsidRDefault="005B4296" w:rsidP="005B4296">
      <w:pPr>
        <w:ind w:right="899" w:firstLine="708"/>
        <w:jc w:val="both"/>
        <w:rPr>
          <w:rFonts w:ascii="Palatino Linotype" w:hAnsi="Palatino Linotype" w:cs="Arial"/>
          <w:sz w:val="22"/>
          <w:szCs w:val="22"/>
        </w:rPr>
      </w:pPr>
      <w:r w:rsidRPr="00B96EA2">
        <w:rPr>
          <w:rFonts w:ascii="Palatino Linotype" w:hAnsi="Palatino Linotype" w:cs="Arial"/>
          <w:sz w:val="22"/>
          <w:szCs w:val="22"/>
        </w:rPr>
        <w:lastRenderedPageBreak/>
        <w:t>(Énfasis añadido)</w:t>
      </w:r>
    </w:p>
    <w:p w:rsidR="005B4296" w:rsidRPr="00B96EA2" w:rsidRDefault="005B4296" w:rsidP="005B4296">
      <w:pPr>
        <w:ind w:right="899" w:firstLine="708"/>
        <w:jc w:val="both"/>
        <w:rPr>
          <w:rFonts w:ascii="Palatino Linotype" w:hAnsi="Palatino Linotype" w:cs="Arial"/>
        </w:rPr>
      </w:pPr>
    </w:p>
    <w:p w:rsidR="005B4296" w:rsidRPr="00B96EA2" w:rsidRDefault="005B4296" w:rsidP="005B4296">
      <w:pPr>
        <w:spacing w:line="360" w:lineRule="auto"/>
        <w:jc w:val="both"/>
        <w:rPr>
          <w:rFonts w:ascii="Palatino Linotype" w:hAnsi="Palatino Linotype" w:cs="Arial"/>
        </w:rPr>
      </w:pPr>
      <w:r w:rsidRPr="00B96EA2">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5B4296" w:rsidRPr="00B96EA2" w:rsidRDefault="005B4296" w:rsidP="005B4296">
      <w:pPr>
        <w:jc w:val="both"/>
        <w:rPr>
          <w:rFonts w:ascii="Palatino Linotype" w:hAnsi="Palatino Linotype" w:cs="Arial"/>
        </w:rPr>
      </w:pPr>
    </w:p>
    <w:p w:rsidR="005B4296" w:rsidRPr="00B96EA2" w:rsidRDefault="005B4296" w:rsidP="005B4296">
      <w:pPr>
        <w:ind w:left="851" w:right="902"/>
        <w:jc w:val="both"/>
        <w:rPr>
          <w:rFonts w:ascii="Palatino Linotype" w:eastAsia="Arial Unicode MS" w:hAnsi="Palatino Linotype" w:cs="Arial"/>
          <w:i/>
          <w:sz w:val="22"/>
          <w:szCs w:val="22"/>
        </w:rPr>
      </w:pPr>
      <w:r w:rsidRPr="00B96EA2">
        <w:rPr>
          <w:rFonts w:ascii="Palatino Linotype" w:eastAsia="Arial Unicode MS" w:hAnsi="Palatino Linotype" w:cs="Arial"/>
          <w:b/>
          <w:i/>
          <w:sz w:val="22"/>
          <w:szCs w:val="22"/>
        </w:rPr>
        <w:t>“Artículo 22.</w:t>
      </w:r>
      <w:r w:rsidRPr="00B96EA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5B4296" w:rsidRPr="00B96EA2" w:rsidRDefault="005B4296" w:rsidP="005B4296">
      <w:pPr>
        <w:ind w:left="851" w:right="902"/>
        <w:jc w:val="both"/>
        <w:rPr>
          <w:rFonts w:ascii="Palatino Linotype" w:eastAsia="Arial Unicode MS" w:hAnsi="Palatino Linotype" w:cs="Arial"/>
          <w:i/>
          <w:sz w:val="22"/>
          <w:szCs w:val="22"/>
        </w:rPr>
      </w:pPr>
      <w:r w:rsidRPr="00B96EA2">
        <w:rPr>
          <w:rFonts w:ascii="Palatino Linotype" w:eastAsia="Arial Unicode MS" w:hAnsi="Palatino Linotype" w:cs="Arial"/>
          <w:b/>
          <w:i/>
          <w:sz w:val="22"/>
          <w:szCs w:val="22"/>
        </w:rPr>
        <w:t>Artículo 38.</w:t>
      </w:r>
      <w:r w:rsidRPr="00B96EA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96EA2">
        <w:rPr>
          <w:rFonts w:ascii="Palatino Linotype" w:eastAsia="Arial Unicode MS" w:hAnsi="Palatino Linotype" w:cs="Arial"/>
          <w:b/>
          <w:i/>
          <w:sz w:val="22"/>
          <w:szCs w:val="22"/>
        </w:rPr>
        <w:t>”</w:t>
      </w:r>
      <w:r w:rsidRPr="00B96EA2">
        <w:rPr>
          <w:rFonts w:ascii="Palatino Linotype" w:eastAsia="Arial Unicode MS" w:hAnsi="Palatino Linotype" w:cs="Arial"/>
          <w:i/>
          <w:sz w:val="22"/>
          <w:szCs w:val="22"/>
        </w:rPr>
        <w:t xml:space="preserve"> </w:t>
      </w:r>
    </w:p>
    <w:p w:rsidR="005B4296" w:rsidRPr="00B96EA2" w:rsidRDefault="005B4296" w:rsidP="005B4296">
      <w:pPr>
        <w:ind w:left="851" w:right="850"/>
        <w:jc w:val="both"/>
        <w:rPr>
          <w:rFonts w:ascii="Palatino Linotype" w:eastAsia="Arial Unicode MS" w:hAnsi="Palatino Linotype" w:cs="Arial"/>
          <w:i/>
          <w:sz w:val="22"/>
          <w:szCs w:val="22"/>
        </w:rPr>
      </w:pPr>
    </w:p>
    <w:p w:rsidR="005B4296" w:rsidRPr="00B96EA2" w:rsidRDefault="005B4296" w:rsidP="005B4296">
      <w:pPr>
        <w:spacing w:line="360" w:lineRule="auto"/>
        <w:jc w:val="both"/>
        <w:rPr>
          <w:rFonts w:ascii="Palatino Linotype" w:hAnsi="Palatino Linotype" w:cs="Arial"/>
        </w:rPr>
      </w:pPr>
      <w:r w:rsidRPr="00B96EA2">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5B4296" w:rsidRPr="00B96EA2" w:rsidRDefault="005B4296" w:rsidP="005B4296">
      <w:pPr>
        <w:spacing w:line="360" w:lineRule="auto"/>
        <w:jc w:val="both"/>
        <w:rPr>
          <w:rFonts w:ascii="Palatino Linotype" w:hAnsi="Palatino Linotype" w:cs="Arial"/>
        </w:rPr>
      </w:pPr>
    </w:p>
    <w:p w:rsidR="005B4296" w:rsidRPr="00B96EA2" w:rsidRDefault="005B4296" w:rsidP="005B4296">
      <w:pPr>
        <w:spacing w:line="360" w:lineRule="auto"/>
        <w:jc w:val="both"/>
        <w:rPr>
          <w:rFonts w:ascii="Palatino Linotype" w:hAnsi="Palatino Linotype" w:cs="Arial"/>
        </w:rPr>
      </w:pPr>
      <w:r w:rsidRPr="00B96EA2">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96EA2">
        <w:rPr>
          <w:rFonts w:ascii="Palatino Linotype" w:eastAsia="Arial Unicode MS" w:hAnsi="Palatino Linotype" w:cs="Arial"/>
        </w:rPr>
        <w:t xml:space="preserve"> que debe ser protegida por </w:t>
      </w:r>
      <w:r w:rsidRPr="00B96EA2">
        <w:rPr>
          <w:rFonts w:ascii="Palatino Linotype" w:eastAsia="Arial Unicode MS" w:hAnsi="Palatino Linotype" w:cs="Arial"/>
          <w:b/>
        </w:rPr>
        <w:t>EL SUJETO OBLIGADO,</w:t>
      </w:r>
      <w:r w:rsidRPr="00B96EA2">
        <w:rPr>
          <w:rFonts w:ascii="Palatino Linotype" w:eastAsia="Arial Unicode MS" w:hAnsi="Palatino Linotype" w:cs="Arial"/>
        </w:rPr>
        <w:t xml:space="preserve"> por lo </w:t>
      </w:r>
      <w:r w:rsidRPr="00B96EA2">
        <w:rPr>
          <w:rFonts w:ascii="Palatino Linotype" w:hAnsi="Palatino Linotype" w:cs="Arial"/>
        </w:rPr>
        <w:t>que, todo dato personal susceptible de clasificación debe ser protegido.</w:t>
      </w:r>
    </w:p>
    <w:p w:rsidR="005B4296" w:rsidRPr="00B96EA2" w:rsidRDefault="005B4296" w:rsidP="005B4296">
      <w:pPr>
        <w:spacing w:line="360" w:lineRule="auto"/>
        <w:jc w:val="both"/>
        <w:rPr>
          <w:rFonts w:ascii="Palatino Linotype" w:hAnsi="Palatino Linotype" w:cs="Arial"/>
        </w:rPr>
      </w:pPr>
    </w:p>
    <w:p w:rsidR="005B4296" w:rsidRPr="00B96EA2" w:rsidRDefault="005B4296" w:rsidP="005B4296">
      <w:pPr>
        <w:spacing w:line="360" w:lineRule="auto"/>
        <w:jc w:val="both"/>
        <w:rPr>
          <w:rFonts w:ascii="Palatino Linotype" w:hAnsi="Palatino Linotype" w:cs="Arial"/>
        </w:rPr>
      </w:pPr>
      <w:r w:rsidRPr="00B96EA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5B4296" w:rsidRPr="00B96EA2" w:rsidRDefault="005B4296" w:rsidP="005B4296">
      <w:pPr>
        <w:spacing w:line="360" w:lineRule="auto"/>
        <w:jc w:val="both"/>
        <w:rPr>
          <w:rFonts w:ascii="Palatino Linotype" w:hAnsi="Palatino Linotype" w:cs="Arial"/>
        </w:rPr>
      </w:pPr>
    </w:p>
    <w:p w:rsidR="005B4296" w:rsidRPr="00B96EA2" w:rsidRDefault="005B4296" w:rsidP="005B4296">
      <w:pPr>
        <w:spacing w:line="360" w:lineRule="auto"/>
        <w:jc w:val="both"/>
        <w:rPr>
          <w:rFonts w:ascii="Palatino Linotype" w:hAnsi="Palatino Linotype" w:cs="Arial"/>
        </w:rPr>
      </w:pPr>
      <w:r w:rsidRPr="00B96EA2">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B4296" w:rsidRPr="00B96EA2" w:rsidRDefault="005B4296" w:rsidP="005B4296">
      <w:pPr>
        <w:jc w:val="both"/>
        <w:rPr>
          <w:rFonts w:ascii="Palatino Linotype" w:hAnsi="Palatino Linotype" w:cs="Arial"/>
        </w:rPr>
      </w:pP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lastRenderedPageBreak/>
        <w:t xml:space="preserve">“Artículo 49. </w:t>
      </w:r>
      <w:r w:rsidRPr="00B96EA2">
        <w:rPr>
          <w:rFonts w:ascii="Palatino Linotype" w:hAnsi="Palatino Linotype" w:cs="Arial"/>
          <w:i/>
          <w:sz w:val="22"/>
          <w:szCs w:val="22"/>
        </w:rPr>
        <w:t>Los Comités de Transparencia tendrán las siguientes atribuciones:</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VIII.</w:t>
      </w:r>
      <w:r w:rsidRPr="00B96EA2">
        <w:rPr>
          <w:rFonts w:ascii="Palatino Linotype" w:hAnsi="Palatino Linotype" w:cs="Arial"/>
          <w:i/>
          <w:sz w:val="22"/>
          <w:szCs w:val="22"/>
        </w:rPr>
        <w:t xml:space="preserve"> Aprobar, modificar o revocar la clasificación de la información;</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Artículo 132.</w:t>
      </w:r>
      <w:r w:rsidRPr="00B96EA2">
        <w:rPr>
          <w:rFonts w:ascii="Palatino Linotype" w:hAnsi="Palatino Linotype" w:cs="Arial"/>
          <w:i/>
          <w:sz w:val="22"/>
          <w:szCs w:val="22"/>
        </w:rPr>
        <w:t xml:space="preserve"> La clasificación de la información se llevará a cabo en el momento en que:</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I.</w:t>
      </w:r>
      <w:r w:rsidRPr="00B96EA2">
        <w:rPr>
          <w:rFonts w:ascii="Palatino Linotype" w:hAnsi="Palatino Linotype" w:cs="Arial"/>
          <w:i/>
          <w:sz w:val="22"/>
          <w:szCs w:val="22"/>
        </w:rPr>
        <w:t xml:space="preserve"> Se reciba una solicitud de acceso a la información;</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II.</w:t>
      </w:r>
      <w:r w:rsidRPr="00B96EA2">
        <w:rPr>
          <w:rFonts w:ascii="Palatino Linotype" w:hAnsi="Palatino Linotype" w:cs="Arial"/>
          <w:i/>
          <w:sz w:val="22"/>
          <w:szCs w:val="22"/>
        </w:rPr>
        <w:t xml:space="preserve"> Se determine mediante resolución de autoridad competente; o</w:t>
      </w:r>
    </w:p>
    <w:p w:rsidR="005B4296" w:rsidRPr="00B96EA2" w:rsidRDefault="005B4296" w:rsidP="005B4296">
      <w:pPr>
        <w:ind w:left="851" w:right="902"/>
        <w:jc w:val="both"/>
        <w:rPr>
          <w:rFonts w:ascii="Palatino Linotype" w:hAnsi="Palatino Linotype" w:cs="Arial"/>
          <w:b/>
          <w:i/>
          <w:sz w:val="22"/>
          <w:szCs w:val="22"/>
        </w:rPr>
      </w:pPr>
      <w:r w:rsidRPr="00B96EA2">
        <w:rPr>
          <w:rFonts w:ascii="Palatino Linotype" w:hAnsi="Palatino Linotype" w:cs="Arial"/>
          <w:i/>
          <w:sz w:val="22"/>
          <w:szCs w:val="22"/>
        </w:rPr>
        <w:t>III. Se generen versiones públicas para dar cumplimiento a las obligaciones de transparencia previstas en esta Ley.</w:t>
      </w:r>
      <w:r w:rsidRPr="00B96EA2">
        <w:rPr>
          <w:rFonts w:ascii="Palatino Linotype" w:hAnsi="Palatino Linotype" w:cs="Arial"/>
          <w:b/>
          <w:i/>
          <w:sz w:val="22"/>
          <w:szCs w:val="22"/>
        </w:rPr>
        <w:t>”</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“Segundo.-</w:t>
      </w:r>
      <w:r w:rsidRPr="00B96EA2">
        <w:rPr>
          <w:rFonts w:ascii="Palatino Linotype" w:hAnsi="Palatino Linotype" w:cs="Arial"/>
          <w:i/>
          <w:sz w:val="22"/>
          <w:szCs w:val="22"/>
        </w:rPr>
        <w:t xml:space="preserve"> Para efectos de los presentes Lineamientos Generales, se entenderá por:</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XVIII.</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Versión pública:</w:t>
      </w:r>
      <w:r w:rsidRPr="00B96EA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Cuarto.</w:t>
      </w:r>
      <w:r w:rsidRPr="00B96EA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Quinto.</w:t>
      </w:r>
      <w:r w:rsidRPr="00B96EA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Sexto.</w:t>
      </w:r>
      <w:r w:rsidRPr="00B96EA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i/>
          <w:sz w:val="22"/>
          <w:szCs w:val="22"/>
        </w:rPr>
        <w:t>La clasificación de información se realizará conforme a un análisis caso por caso, mediante la aplicación de la prueba de daño y de interés público.</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Séptimo.</w:t>
      </w:r>
      <w:r w:rsidRPr="00B96EA2">
        <w:rPr>
          <w:rFonts w:ascii="Palatino Linotype" w:hAnsi="Palatino Linotype" w:cs="Arial"/>
          <w:i/>
          <w:sz w:val="22"/>
          <w:szCs w:val="22"/>
        </w:rPr>
        <w:t xml:space="preserve"> La clasificación de la información se llevará a cabo en el momento en que:</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I.</w:t>
      </w:r>
      <w:r w:rsidRPr="00B96EA2">
        <w:rPr>
          <w:rFonts w:ascii="Palatino Linotype" w:hAnsi="Palatino Linotype" w:cs="Arial"/>
          <w:i/>
          <w:sz w:val="22"/>
          <w:szCs w:val="22"/>
        </w:rPr>
        <w:t xml:space="preserve">        Se reciba una solicitud de acceso a la información;</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lastRenderedPageBreak/>
        <w:t>II.</w:t>
      </w:r>
      <w:r w:rsidRPr="00B96EA2">
        <w:rPr>
          <w:rFonts w:ascii="Palatino Linotype" w:hAnsi="Palatino Linotype" w:cs="Arial"/>
          <w:i/>
          <w:sz w:val="22"/>
          <w:szCs w:val="22"/>
        </w:rPr>
        <w:t xml:space="preserve">       Se determine mediante resolución de autoridad competente, o</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III.</w:t>
      </w:r>
      <w:r w:rsidRPr="00B96EA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Octavo.</w:t>
      </w:r>
      <w:r w:rsidRPr="00B96EA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Noveno.</w:t>
      </w:r>
      <w:r w:rsidRPr="00B96EA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b/>
          <w:i/>
          <w:sz w:val="22"/>
          <w:szCs w:val="22"/>
        </w:rPr>
        <w:t>Décimo.</w:t>
      </w:r>
      <w:r w:rsidRPr="00B96EA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B4296" w:rsidRPr="00B96EA2" w:rsidRDefault="005B4296" w:rsidP="005B4296">
      <w:pPr>
        <w:ind w:left="851" w:right="902"/>
        <w:jc w:val="both"/>
        <w:rPr>
          <w:rFonts w:ascii="Palatino Linotype" w:hAnsi="Palatino Linotype" w:cs="Arial"/>
          <w:i/>
          <w:sz w:val="22"/>
          <w:szCs w:val="22"/>
        </w:rPr>
      </w:pPr>
      <w:r w:rsidRPr="00B96EA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5B4296" w:rsidRPr="00B96EA2" w:rsidRDefault="005B4296" w:rsidP="005B4296">
      <w:pPr>
        <w:ind w:left="851" w:right="899"/>
        <w:jc w:val="both"/>
        <w:rPr>
          <w:rFonts w:ascii="Palatino Linotype" w:hAnsi="Palatino Linotype" w:cs="Arial"/>
          <w:b/>
          <w:i/>
          <w:sz w:val="22"/>
          <w:szCs w:val="22"/>
        </w:rPr>
      </w:pPr>
      <w:r w:rsidRPr="00B96EA2">
        <w:rPr>
          <w:rFonts w:ascii="Palatino Linotype" w:hAnsi="Palatino Linotype" w:cs="Arial"/>
          <w:b/>
          <w:i/>
          <w:sz w:val="22"/>
          <w:szCs w:val="22"/>
        </w:rPr>
        <w:t>Décimo primero.</w:t>
      </w:r>
      <w:r w:rsidRPr="00B96EA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96EA2">
        <w:rPr>
          <w:rFonts w:ascii="Palatino Linotype" w:hAnsi="Palatino Linotype" w:cs="Arial"/>
          <w:b/>
          <w:i/>
          <w:sz w:val="22"/>
          <w:szCs w:val="22"/>
        </w:rPr>
        <w:t>”</w:t>
      </w:r>
    </w:p>
    <w:p w:rsidR="005B4296" w:rsidRPr="00B96EA2" w:rsidRDefault="005B4296" w:rsidP="005B4296">
      <w:pPr>
        <w:ind w:left="851" w:right="899"/>
        <w:jc w:val="both"/>
        <w:rPr>
          <w:rFonts w:ascii="Palatino Linotype" w:hAnsi="Palatino Linotype" w:cs="Arial"/>
          <w:b/>
          <w:bCs/>
          <w:i/>
          <w:noProof/>
        </w:rPr>
      </w:pPr>
    </w:p>
    <w:p w:rsidR="005B4296" w:rsidRPr="00B96EA2" w:rsidRDefault="005B4296" w:rsidP="005B4296">
      <w:pPr>
        <w:spacing w:line="360" w:lineRule="auto"/>
        <w:jc w:val="both"/>
        <w:rPr>
          <w:rFonts w:ascii="Palatino Linotype" w:hAnsi="Palatino Linotype" w:cs="Arial"/>
        </w:rPr>
      </w:pPr>
      <w:r w:rsidRPr="00B96EA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B4296" w:rsidRPr="00B96EA2" w:rsidRDefault="005B4296" w:rsidP="005B4296">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B96EA2">
        <w:rPr>
          <w:rFonts w:ascii="Palatino Linotype" w:hAnsi="Palatino Linotype" w:cs="Arial"/>
        </w:rPr>
        <w:t xml:space="preserve">Consecuentemente, se destaca que la versión pública que elabore </w:t>
      </w:r>
      <w:r w:rsidRPr="00B96EA2">
        <w:rPr>
          <w:rFonts w:ascii="Palatino Linotype" w:hAnsi="Palatino Linotype" w:cs="Arial"/>
          <w:b/>
        </w:rPr>
        <w:t>EL SUJETO OBLIGADO</w:t>
      </w:r>
      <w:r w:rsidRPr="00B96EA2">
        <w:rPr>
          <w:rFonts w:ascii="Palatino Linotype" w:hAnsi="Palatino Linotype" w:cs="Arial"/>
        </w:rPr>
        <w:t xml:space="preserve"> debe cumplir con las formalidades exigidas en la Ley, por lo que para tal efecto emitirá el </w:t>
      </w:r>
      <w:r w:rsidRPr="00B96EA2">
        <w:rPr>
          <w:rFonts w:ascii="Palatino Linotype" w:hAnsi="Palatino Linotype" w:cs="Arial"/>
          <w:b/>
        </w:rPr>
        <w:t>Acuerdo del Comité de Transparencia</w:t>
      </w:r>
      <w:r w:rsidRPr="00B96EA2">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96EA2">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B4296" w:rsidRPr="00B96EA2" w:rsidRDefault="005B4296" w:rsidP="005B429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B96EA2">
        <w:rPr>
          <w:rFonts w:ascii="Palatino Linotype" w:hAnsi="Palatino Linotype" w:cs="Arial"/>
          <w:color w:val="000000" w:themeColor="text1"/>
        </w:rPr>
        <w:t xml:space="preserve">En razón de lo anteriormente expuesto, este Instituto estima que las razones o motivos de inconformidad hechos valer por </w:t>
      </w:r>
      <w:r w:rsidRPr="00B96EA2">
        <w:rPr>
          <w:rFonts w:ascii="Palatino Linotype" w:hAnsi="Palatino Linotype" w:cs="Arial"/>
          <w:b/>
          <w:color w:val="000000" w:themeColor="text1"/>
        </w:rPr>
        <w:t>LA RECURRENTE</w:t>
      </w:r>
      <w:r w:rsidRPr="00B96EA2">
        <w:rPr>
          <w:rFonts w:ascii="Palatino Linotype" w:hAnsi="Palatino Linotype" w:cs="Arial"/>
          <w:color w:val="000000" w:themeColor="text1"/>
        </w:rPr>
        <w:t xml:space="preserve"> devienen </w:t>
      </w:r>
      <w:r w:rsidRPr="00B96EA2">
        <w:rPr>
          <w:rFonts w:ascii="Palatino Linotype" w:hAnsi="Palatino Linotype" w:cs="Arial"/>
          <w:b/>
          <w:color w:val="000000" w:themeColor="text1"/>
        </w:rPr>
        <w:t>fundadas</w:t>
      </w:r>
      <w:r w:rsidRPr="00B96EA2">
        <w:rPr>
          <w:rFonts w:ascii="Palatino Linotype" w:hAnsi="Palatino Linotype" w:cs="Arial"/>
          <w:color w:val="000000" w:themeColor="text1"/>
        </w:rPr>
        <w:t xml:space="preserve"> y suficientes para </w:t>
      </w:r>
      <w:r w:rsidRPr="00B96EA2">
        <w:rPr>
          <w:rFonts w:ascii="Palatino Linotype" w:hAnsi="Palatino Linotype" w:cs="Arial"/>
          <w:b/>
          <w:color w:val="000000" w:themeColor="text1"/>
        </w:rPr>
        <w:t>MODIFICAR</w:t>
      </w:r>
      <w:r w:rsidRPr="00B96EA2">
        <w:rPr>
          <w:rFonts w:ascii="Palatino Linotype" w:hAnsi="Palatino Linotype" w:cs="Arial"/>
          <w:color w:val="000000" w:themeColor="text1"/>
        </w:rPr>
        <w:t xml:space="preserve"> la respuesta del </w:t>
      </w:r>
      <w:r w:rsidRPr="00B96EA2">
        <w:rPr>
          <w:rFonts w:ascii="Palatino Linotype" w:hAnsi="Palatino Linotype" w:cs="Arial"/>
          <w:b/>
          <w:color w:val="000000" w:themeColor="text1"/>
        </w:rPr>
        <w:t>SUJETO OBLIGADO</w:t>
      </w:r>
      <w:r w:rsidRPr="00B96EA2">
        <w:rPr>
          <w:rFonts w:ascii="Palatino Linotype" w:hAnsi="Palatino Linotype" w:cs="Arial"/>
          <w:color w:val="000000" w:themeColor="text1"/>
        </w:rPr>
        <w:t xml:space="preserve"> y ordenarle haga entrega de la información descrita en el presente Considerando.</w:t>
      </w:r>
    </w:p>
    <w:p w:rsidR="00CF7EAE" w:rsidRPr="00B96EA2" w:rsidRDefault="00CF7EAE" w:rsidP="00CF7EAE">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96EA2">
        <w:rPr>
          <w:rFonts w:ascii="Palatino Linotype" w:eastAsia="Calibri" w:hAnsi="Palatino Linotype" w:cs="Arial"/>
        </w:rPr>
        <w:lastRenderedPageBreak/>
        <w:t xml:space="preserve">Así, con </w:t>
      </w:r>
      <w:r w:rsidRPr="00B96EA2">
        <w:rPr>
          <w:rFonts w:ascii="Palatino Linotype" w:hAnsi="Palatino Linotype" w:cs="Arial"/>
        </w:rPr>
        <w:t>fundamento</w:t>
      </w:r>
      <w:r w:rsidRPr="00B96EA2">
        <w:rPr>
          <w:rFonts w:ascii="Palatino Linotype" w:eastAsia="Calibri" w:hAnsi="Palatino Linotype" w:cs="Arial"/>
        </w:rPr>
        <w:t xml:space="preserve"> en lo prescrito en los artículos 5, </w:t>
      </w:r>
      <w:r w:rsidRPr="00B96EA2">
        <w:rPr>
          <w:rFonts w:ascii="Palatino Linotype" w:hAnsi="Palatino Linotype"/>
        </w:rPr>
        <w:t>párrafos vigésimo segundo, vigésimo tercero y vigésimo cuarto</w:t>
      </w:r>
      <w:r w:rsidRPr="00B96EA2">
        <w:rPr>
          <w:rFonts w:ascii="Palatino Linotype" w:hAnsi="Palatino Linotype" w:cs="Arial"/>
        </w:rPr>
        <w:t>,</w:t>
      </w:r>
      <w:r w:rsidRPr="00B96EA2">
        <w:rPr>
          <w:rFonts w:ascii="Palatino Linotype" w:hAnsi="Palatino Linotype"/>
        </w:rPr>
        <w:t xml:space="preserve"> fracciones IV y V,</w:t>
      </w:r>
      <w:r w:rsidRPr="00B96EA2">
        <w:rPr>
          <w:rFonts w:ascii="Palatino Linotype" w:eastAsia="Calibri" w:hAnsi="Palatino Linotype" w:cs="Arial"/>
        </w:rPr>
        <w:t xml:space="preserve"> de la Constitución Política del Estado Libre y Soberano de </w:t>
      </w:r>
      <w:r w:rsidRPr="00B96EA2">
        <w:rPr>
          <w:rFonts w:ascii="Palatino Linotype" w:hAnsi="Palatino Linotype" w:cs="Arial"/>
          <w:lang w:val="es-ES_tradnl"/>
        </w:rPr>
        <w:t>México</w:t>
      </w:r>
      <w:r w:rsidRPr="00B96EA2">
        <w:rPr>
          <w:rFonts w:ascii="Palatino Linotype" w:eastAsia="Calibri" w:hAnsi="Palatino Linotype" w:cs="Arial"/>
        </w:rPr>
        <w:t xml:space="preserve"> y los artículos </w:t>
      </w:r>
      <w:r w:rsidRPr="00B96EA2">
        <w:rPr>
          <w:rFonts w:ascii="Palatino Linotype" w:hAnsi="Palatino Linotype"/>
        </w:rPr>
        <w:t xml:space="preserve">2, </w:t>
      </w:r>
      <w:r w:rsidRPr="00B96EA2">
        <w:rPr>
          <w:rFonts w:ascii="Palatino Linotype" w:hAnsi="Palatino Linotype" w:cs="Arial"/>
        </w:rPr>
        <w:t>fracción</w:t>
      </w:r>
      <w:r w:rsidRPr="00B96EA2">
        <w:rPr>
          <w:rFonts w:ascii="Palatino Linotype" w:hAnsi="Palatino Linotype"/>
        </w:rPr>
        <w:t xml:space="preserve"> II, 9, </w:t>
      </w:r>
      <w:r w:rsidRPr="00B96EA2">
        <w:rPr>
          <w:rFonts w:ascii="Palatino Linotype" w:hAnsi="Palatino Linotype" w:cs="Arial"/>
          <w:lang w:val="es-ES_tradnl"/>
        </w:rPr>
        <w:t>29</w:t>
      </w:r>
      <w:r w:rsidRPr="00B96EA2">
        <w:rPr>
          <w:rFonts w:ascii="Palatino Linotype" w:hAnsi="Palatino Linotype"/>
        </w:rPr>
        <w:t>, 36, fracciones I y II, 176, 178, 179, 181, 185, fracción I, 186, 188 y 192, fracción I</w:t>
      </w:r>
      <w:r w:rsidRPr="00B96EA2">
        <w:rPr>
          <w:rFonts w:ascii="Palatino Linotype" w:eastAsia="Calibri" w:hAnsi="Palatino Linotype" w:cs="Arial"/>
        </w:rPr>
        <w:t xml:space="preserve"> de la Ley de Transparencia y Acceso a la Información Pública del Estado de México y </w:t>
      </w:r>
      <w:r w:rsidRPr="00B96EA2">
        <w:rPr>
          <w:rFonts w:ascii="Palatino Linotype" w:hAnsi="Palatino Linotype" w:cs="Arial"/>
        </w:rPr>
        <w:t>Municipios</w:t>
      </w:r>
      <w:r w:rsidRPr="00B96EA2">
        <w:rPr>
          <w:rFonts w:ascii="Palatino Linotype" w:eastAsia="Calibri" w:hAnsi="Palatino Linotype" w:cs="Arial"/>
        </w:rPr>
        <w:t xml:space="preserve">, </w:t>
      </w:r>
      <w:r w:rsidRPr="00B96EA2">
        <w:rPr>
          <w:rFonts w:ascii="Palatino Linotype" w:hAnsi="Palatino Linotype"/>
        </w:rPr>
        <w:t>este</w:t>
      </w:r>
      <w:r w:rsidRPr="00B96EA2">
        <w:rPr>
          <w:rFonts w:ascii="Palatino Linotype" w:eastAsia="Calibri" w:hAnsi="Palatino Linotype" w:cs="Arial"/>
        </w:rPr>
        <w:t xml:space="preserve"> Pleno:</w:t>
      </w:r>
    </w:p>
    <w:p w:rsidR="00CF7EAE" w:rsidRPr="00B96EA2" w:rsidRDefault="00CF7EAE" w:rsidP="00CF7EAE">
      <w:pPr>
        <w:spacing w:before="100" w:beforeAutospacing="1" w:after="100" w:afterAutospacing="1"/>
        <w:jc w:val="center"/>
        <w:rPr>
          <w:rFonts w:ascii="Palatino Linotype" w:hAnsi="Palatino Linotype"/>
          <w:b/>
          <w:bCs/>
          <w:color w:val="000000" w:themeColor="text1"/>
          <w:spacing w:val="40"/>
          <w:sz w:val="28"/>
        </w:rPr>
      </w:pPr>
      <w:r w:rsidRPr="00B96EA2">
        <w:rPr>
          <w:rFonts w:ascii="Palatino Linotype" w:hAnsi="Palatino Linotype"/>
          <w:b/>
          <w:bCs/>
          <w:color w:val="000000" w:themeColor="text1"/>
          <w:spacing w:val="40"/>
          <w:sz w:val="28"/>
        </w:rPr>
        <w:t>RESUELVE</w:t>
      </w:r>
    </w:p>
    <w:p w:rsidR="00CF7EAE" w:rsidRPr="00B96EA2" w:rsidRDefault="00CF7EAE" w:rsidP="00CF7EAE">
      <w:pPr>
        <w:spacing w:before="100" w:beforeAutospacing="1" w:after="100" w:afterAutospacing="1" w:line="360" w:lineRule="auto"/>
        <w:jc w:val="both"/>
        <w:rPr>
          <w:rFonts w:ascii="Palatino Linotype" w:eastAsia="Calibri" w:hAnsi="Palatino Linotype" w:cs="Arial"/>
        </w:rPr>
      </w:pPr>
      <w:r w:rsidRPr="00B96EA2">
        <w:rPr>
          <w:rFonts w:ascii="Palatino Linotype" w:eastAsia="Calibri" w:hAnsi="Palatino Linotype" w:cs="Arial"/>
          <w:b/>
          <w:sz w:val="28"/>
        </w:rPr>
        <w:t>PRIMERO</w:t>
      </w:r>
      <w:r w:rsidRPr="00B96EA2">
        <w:rPr>
          <w:rFonts w:ascii="Palatino Linotype" w:eastAsia="Calibri" w:hAnsi="Palatino Linotype" w:cs="Arial"/>
        </w:rPr>
        <w:t xml:space="preserve">. Resultan </w:t>
      </w:r>
      <w:r w:rsidRPr="00B96EA2">
        <w:rPr>
          <w:rFonts w:ascii="Palatino Linotype" w:eastAsia="Calibri" w:hAnsi="Palatino Linotype" w:cs="Arial"/>
          <w:b/>
        </w:rPr>
        <w:t xml:space="preserve">fundadas </w:t>
      </w:r>
      <w:r w:rsidRPr="00B96EA2">
        <w:rPr>
          <w:rFonts w:ascii="Palatino Linotype" w:eastAsia="Calibri" w:hAnsi="Palatino Linotype" w:cs="Arial"/>
        </w:rPr>
        <w:t xml:space="preserve">las razones o motivos de inconformidad planteadas por </w:t>
      </w:r>
      <w:r w:rsidR="005B4296" w:rsidRPr="00B96EA2">
        <w:rPr>
          <w:rFonts w:ascii="Palatino Linotype" w:eastAsia="Calibri" w:hAnsi="Palatino Linotype" w:cs="Arial"/>
          <w:b/>
        </w:rPr>
        <w:t>LA</w:t>
      </w:r>
      <w:r w:rsidRPr="00B96EA2">
        <w:rPr>
          <w:rFonts w:ascii="Palatino Linotype" w:eastAsia="Calibri" w:hAnsi="Palatino Linotype" w:cs="Arial"/>
          <w:b/>
        </w:rPr>
        <w:t xml:space="preserve"> RECURRENTE</w:t>
      </w:r>
      <w:r w:rsidRPr="00B96EA2">
        <w:rPr>
          <w:rFonts w:ascii="Palatino Linotype" w:eastAsia="Calibri" w:hAnsi="Palatino Linotype" w:cs="Arial"/>
        </w:rPr>
        <w:t xml:space="preserve">, en términos del Considerando </w:t>
      </w:r>
      <w:r w:rsidRPr="00B96EA2">
        <w:rPr>
          <w:rFonts w:ascii="Palatino Linotype" w:eastAsia="Calibri" w:hAnsi="Palatino Linotype" w:cs="Arial"/>
          <w:b/>
        </w:rPr>
        <w:t>QUINTO</w:t>
      </w:r>
      <w:r w:rsidRPr="00B96EA2">
        <w:rPr>
          <w:rFonts w:ascii="Palatino Linotype" w:eastAsia="Calibri" w:hAnsi="Palatino Linotype" w:cs="Arial"/>
        </w:rPr>
        <w:t xml:space="preserve"> de la presente resolución.</w:t>
      </w:r>
    </w:p>
    <w:p w:rsidR="00CF7EAE" w:rsidRPr="00B96EA2" w:rsidRDefault="00CF7EAE" w:rsidP="00CF7EAE">
      <w:pPr>
        <w:spacing w:before="100" w:beforeAutospacing="1" w:after="100" w:afterAutospacing="1" w:line="360" w:lineRule="auto"/>
        <w:jc w:val="both"/>
        <w:rPr>
          <w:rFonts w:ascii="Palatino Linotype" w:eastAsia="Calibri" w:hAnsi="Palatino Linotype" w:cs="Arial"/>
        </w:rPr>
      </w:pPr>
      <w:r w:rsidRPr="00B96EA2">
        <w:rPr>
          <w:rFonts w:ascii="Palatino Linotype" w:eastAsia="Calibri" w:hAnsi="Palatino Linotype" w:cs="Arial"/>
          <w:b/>
          <w:sz w:val="28"/>
        </w:rPr>
        <w:t>SEGUNDO</w:t>
      </w:r>
      <w:r w:rsidRPr="00B96EA2">
        <w:rPr>
          <w:rFonts w:ascii="Palatino Linotype" w:eastAsia="Calibri" w:hAnsi="Palatino Linotype" w:cs="Arial"/>
        </w:rPr>
        <w:t xml:space="preserve">. Se </w:t>
      </w:r>
      <w:r w:rsidRPr="00B96EA2">
        <w:rPr>
          <w:rFonts w:ascii="Palatino Linotype" w:eastAsia="Calibri" w:hAnsi="Palatino Linotype" w:cs="Arial"/>
          <w:b/>
        </w:rPr>
        <w:t xml:space="preserve">MODIFICA </w:t>
      </w:r>
      <w:r w:rsidRPr="00B96EA2">
        <w:rPr>
          <w:rFonts w:ascii="Palatino Linotype" w:eastAsia="Calibri" w:hAnsi="Palatino Linotype" w:cs="Arial"/>
        </w:rPr>
        <w:t xml:space="preserve">la respuesta otorgada por </w:t>
      </w:r>
      <w:r w:rsidRPr="00B96EA2">
        <w:rPr>
          <w:rFonts w:ascii="Palatino Linotype" w:eastAsia="Calibri" w:hAnsi="Palatino Linotype" w:cs="Arial"/>
          <w:b/>
        </w:rPr>
        <w:t>EL SUJETO OBLIGADO</w:t>
      </w:r>
      <w:r w:rsidRPr="00B96EA2">
        <w:rPr>
          <w:rFonts w:ascii="Palatino Linotype" w:eastAsia="Calibri" w:hAnsi="Palatino Linotype" w:cs="Arial"/>
        </w:rPr>
        <w:t xml:space="preserve"> a la solicitud de información motivo del recurso de revisión </w:t>
      </w:r>
      <w:r w:rsidR="005B4296" w:rsidRPr="00B96EA2">
        <w:rPr>
          <w:rFonts w:ascii="Palatino Linotype" w:eastAsia="Calibri" w:hAnsi="Palatino Linotype" w:cs="Arial"/>
          <w:b/>
        </w:rPr>
        <w:t>01912</w:t>
      </w:r>
      <w:r w:rsidRPr="00B96EA2">
        <w:rPr>
          <w:rFonts w:ascii="Palatino Linotype" w:eastAsia="Calibri" w:hAnsi="Palatino Linotype" w:cs="Arial"/>
          <w:b/>
        </w:rPr>
        <w:t>/INFOEM/IP/RR/2020</w:t>
      </w:r>
      <w:r w:rsidRPr="00B96EA2">
        <w:rPr>
          <w:rFonts w:ascii="Palatino Linotype" w:eastAsia="Calibri" w:hAnsi="Palatino Linotype" w:cs="Arial"/>
        </w:rPr>
        <w:t xml:space="preserve"> y se le ordena en términos del Considerando </w:t>
      </w:r>
      <w:r w:rsidRPr="00B96EA2">
        <w:rPr>
          <w:rFonts w:ascii="Palatino Linotype" w:eastAsia="Calibri" w:hAnsi="Palatino Linotype" w:cs="Arial"/>
          <w:b/>
        </w:rPr>
        <w:t>QUINTO</w:t>
      </w:r>
      <w:r w:rsidRPr="00B96EA2">
        <w:rPr>
          <w:rFonts w:ascii="Palatino Linotype" w:eastAsia="Calibri" w:hAnsi="Palatino Linotype" w:cs="Arial"/>
        </w:rPr>
        <w:t xml:space="preserve"> de la presente resolución, entregue a</w:t>
      </w:r>
      <w:r w:rsidR="00CC3776">
        <w:rPr>
          <w:rFonts w:ascii="Palatino Linotype" w:eastAsia="Calibri" w:hAnsi="Palatino Linotype" w:cs="Arial"/>
        </w:rPr>
        <w:t xml:space="preserve"> </w:t>
      </w:r>
      <w:r w:rsidR="00CC3776">
        <w:rPr>
          <w:rFonts w:ascii="Palatino Linotype" w:eastAsia="Calibri" w:hAnsi="Palatino Linotype" w:cs="Arial"/>
          <w:b/>
        </w:rPr>
        <w:t>LA</w:t>
      </w:r>
      <w:r w:rsidRPr="00B96EA2">
        <w:rPr>
          <w:rFonts w:ascii="Palatino Linotype" w:eastAsia="Calibri" w:hAnsi="Palatino Linotype" w:cs="Arial"/>
        </w:rPr>
        <w:t xml:space="preserve"> </w:t>
      </w:r>
      <w:r w:rsidRPr="00B96EA2">
        <w:rPr>
          <w:rFonts w:ascii="Palatino Linotype" w:eastAsia="Calibri" w:hAnsi="Palatino Linotype" w:cs="Arial"/>
          <w:b/>
        </w:rPr>
        <w:t xml:space="preserve">RECURRENTE </w:t>
      </w:r>
      <w:r w:rsidRPr="00B96EA2">
        <w:rPr>
          <w:rFonts w:ascii="Palatino Linotype" w:eastAsia="Calibri" w:hAnsi="Palatino Linotype" w:cs="Arial"/>
        </w:rPr>
        <w:t xml:space="preserve">en </w:t>
      </w:r>
      <w:r w:rsidRPr="00B96EA2">
        <w:rPr>
          <w:rFonts w:ascii="Palatino Linotype" w:eastAsia="Calibri" w:hAnsi="Palatino Linotype" w:cs="Arial"/>
          <w:b/>
        </w:rPr>
        <w:t xml:space="preserve">versión </w:t>
      </w:r>
      <w:r w:rsidR="005B4296" w:rsidRPr="00B96EA2">
        <w:rPr>
          <w:rFonts w:ascii="Palatino Linotype" w:eastAsia="Calibri" w:hAnsi="Palatino Linotype" w:cs="Arial"/>
          <w:b/>
        </w:rPr>
        <w:t>pública</w:t>
      </w:r>
      <w:r w:rsidR="002E5920" w:rsidRPr="00B96EA2">
        <w:rPr>
          <w:rFonts w:ascii="Palatino Linotype" w:eastAsia="Calibri" w:hAnsi="Palatino Linotype" w:cs="Arial"/>
          <w:b/>
        </w:rPr>
        <w:t xml:space="preserve"> </w:t>
      </w:r>
      <w:r w:rsidR="002E5920" w:rsidRPr="00CC3776">
        <w:rPr>
          <w:rFonts w:ascii="Palatino Linotype" w:eastAsia="Calibri" w:hAnsi="Palatino Linotype" w:cs="Arial"/>
        </w:rPr>
        <w:t>de ser procedente</w:t>
      </w:r>
      <w:r w:rsidRPr="00B96EA2">
        <w:rPr>
          <w:rFonts w:ascii="Palatino Linotype" w:eastAsia="Calibri" w:hAnsi="Palatino Linotype" w:cs="Arial"/>
          <w:b/>
        </w:rPr>
        <w:t>,</w:t>
      </w:r>
      <w:r w:rsidRPr="00B96EA2">
        <w:rPr>
          <w:rFonts w:ascii="Palatino Linotype" w:eastAsia="Calibri" w:hAnsi="Palatino Linotype" w:cs="Arial"/>
        </w:rPr>
        <w:t xml:space="preserve"> vía </w:t>
      </w:r>
      <w:r w:rsidRPr="00B96EA2">
        <w:rPr>
          <w:rFonts w:ascii="Palatino Linotype" w:eastAsia="Calibri" w:hAnsi="Palatino Linotype" w:cs="Arial"/>
          <w:b/>
        </w:rPr>
        <w:t>SAIMEX</w:t>
      </w:r>
      <w:r w:rsidRPr="00B96EA2">
        <w:rPr>
          <w:rFonts w:ascii="Palatino Linotype" w:eastAsia="Calibri" w:hAnsi="Palatino Linotype" w:cs="Arial"/>
        </w:rPr>
        <w:t>, de lo siguiente:</w:t>
      </w:r>
    </w:p>
    <w:p w:rsidR="005B4296" w:rsidRPr="00B96EA2" w:rsidRDefault="005B4296" w:rsidP="00CF7EAE">
      <w:pPr>
        <w:ind w:left="709" w:right="902"/>
        <w:jc w:val="both"/>
        <w:rPr>
          <w:rFonts w:ascii="Palatino Linotype" w:eastAsia="Calibri" w:hAnsi="Palatino Linotype" w:cs="Arial"/>
          <w:i/>
          <w:sz w:val="22"/>
          <w:szCs w:val="22"/>
        </w:rPr>
      </w:pPr>
      <w:r w:rsidRPr="00B96EA2">
        <w:rPr>
          <w:rFonts w:ascii="Palatino Linotype" w:eastAsia="Calibri" w:hAnsi="Palatino Linotype" w:cs="Arial"/>
          <w:i/>
          <w:sz w:val="22"/>
          <w:szCs w:val="22"/>
        </w:rPr>
        <w:t xml:space="preserve">”Los documentos </w:t>
      </w:r>
      <w:r w:rsidR="002E5920" w:rsidRPr="00B96EA2">
        <w:rPr>
          <w:rFonts w:ascii="Palatino Linotype" w:eastAsia="Calibri" w:hAnsi="Palatino Linotype" w:cs="Arial"/>
          <w:i/>
          <w:sz w:val="22"/>
          <w:szCs w:val="22"/>
        </w:rPr>
        <w:t>que integran</w:t>
      </w:r>
      <w:r w:rsidRPr="00B96EA2">
        <w:rPr>
          <w:rFonts w:ascii="Palatino Linotype" w:eastAsia="Calibri" w:hAnsi="Palatino Linotype" w:cs="Arial"/>
          <w:i/>
          <w:sz w:val="22"/>
          <w:szCs w:val="22"/>
        </w:rPr>
        <w:t xml:space="preserve"> el expediente completo de la licitación pública número LPN-TULTI-EF2019-003-19, de fecha 29 de marzo de 2019.”</w:t>
      </w:r>
    </w:p>
    <w:p w:rsidR="005B4296" w:rsidRPr="00B96EA2" w:rsidRDefault="005B4296" w:rsidP="00CF7EAE">
      <w:pPr>
        <w:ind w:left="709" w:right="902"/>
        <w:jc w:val="both"/>
        <w:rPr>
          <w:rFonts w:ascii="Palatino Linotype" w:hAnsi="Palatino Linotype"/>
          <w:i/>
          <w:iCs/>
          <w:color w:val="222222"/>
          <w:sz w:val="22"/>
          <w:szCs w:val="22"/>
          <w:lang w:eastAsia="es-MX"/>
        </w:rPr>
      </w:pPr>
    </w:p>
    <w:p w:rsidR="00CF7EAE" w:rsidRPr="00B96EA2" w:rsidRDefault="00CF7EAE" w:rsidP="00CF7EAE">
      <w:pPr>
        <w:ind w:left="709" w:right="902"/>
        <w:jc w:val="both"/>
        <w:rPr>
          <w:rFonts w:ascii="Palatino Linotype" w:hAnsi="Palatino Linotype"/>
          <w:i/>
          <w:iCs/>
          <w:color w:val="222222"/>
          <w:sz w:val="22"/>
          <w:szCs w:val="22"/>
          <w:lang w:eastAsia="es-MX"/>
        </w:rPr>
      </w:pPr>
      <w:r w:rsidRPr="00B96EA2">
        <w:rPr>
          <w:rFonts w:ascii="Palatino Linotype" w:hAnsi="Palatino Linotype"/>
          <w:i/>
          <w:iCs/>
          <w:color w:val="222222"/>
          <w:sz w:val="22"/>
          <w:szCs w:val="22"/>
          <w:lang w:eastAsia="es-MX"/>
        </w:rPr>
        <w:t xml:space="preserve">Debiendo notificar a </w:t>
      </w:r>
      <w:r w:rsidR="00CC3776">
        <w:rPr>
          <w:rFonts w:ascii="Palatino Linotype" w:hAnsi="Palatino Linotype"/>
          <w:b/>
          <w:i/>
          <w:iCs/>
          <w:color w:val="222222"/>
          <w:sz w:val="22"/>
          <w:szCs w:val="22"/>
          <w:lang w:eastAsia="es-MX"/>
        </w:rPr>
        <w:t xml:space="preserve">LA </w:t>
      </w:r>
      <w:r w:rsidRPr="00B96EA2">
        <w:rPr>
          <w:rFonts w:ascii="Palatino Linotype" w:hAnsi="Palatino Linotype"/>
          <w:b/>
          <w:i/>
          <w:iCs/>
          <w:color w:val="222222"/>
          <w:sz w:val="22"/>
          <w:szCs w:val="22"/>
          <w:lang w:eastAsia="es-MX"/>
        </w:rPr>
        <w:t>RECURRENTE</w:t>
      </w:r>
      <w:r w:rsidRPr="00B96EA2">
        <w:rPr>
          <w:rFonts w:ascii="Palatino Linotype" w:hAnsi="Palatino Linotype"/>
          <w:i/>
          <w:iCs/>
          <w:color w:val="222222"/>
          <w:sz w:val="22"/>
          <w:szCs w:val="22"/>
          <w:lang w:eastAsia="es-MX"/>
        </w:rPr>
        <w:t xml:space="preserve"> el Acuerdo de Clasificación de la información que emita el Comité de Transparencia con motivo de</w:t>
      </w:r>
      <w:r w:rsidR="005B4296" w:rsidRPr="00B96EA2">
        <w:rPr>
          <w:rFonts w:ascii="Palatino Linotype" w:hAnsi="Palatino Linotype"/>
          <w:i/>
          <w:iCs/>
          <w:color w:val="222222"/>
          <w:sz w:val="22"/>
          <w:szCs w:val="22"/>
          <w:lang w:eastAsia="es-MX"/>
        </w:rPr>
        <w:t xml:space="preserve"> la versión pública. </w:t>
      </w:r>
    </w:p>
    <w:p w:rsidR="00CF7EAE" w:rsidRPr="00B96EA2" w:rsidRDefault="00CF7EAE" w:rsidP="00CF7EAE">
      <w:pPr>
        <w:spacing w:before="100" w:beforeAutospacing="1" w:after="100" w:afterAutospacing="1" w:line="360" w:lineRule="auto"/>
        <w:jc w:val="both"/>
        <w:rPr>
          <w:rFonts w:ascii="Palatino Linotype" w:eastAsia="Calibri" w:hAnsi="Palatino Linotype" w:cs="Arial"/>
        </w:rPr>
      </w:pPr>
      <w:r w:rsidRPr="00B96EA2">
        <w:rPr>
          <w:rFonts w:ascii="Palatino Linotype" w:eastAsia="Calibri" w:hAnsi="Palatino Linotype" w:cs="Arial"/>
          <w:b/>
          <w:sz w:val="28"/>
        </w:rPr>
        <w:t>TERCERO</w:t>
      </w:r>
      <w:r w:rsidRPr="00B96EA2">
        <w:rPr>
          <w:rFonts w:ascii="Palatino Linotype" w:eastAsia="Calibri" w:hAnsi="Palatino Linotype" w:cs="Arial"/>
        </w:rPr>
        <w:t xml:space="preserve">. Notifíquese a la Titular de la Unidad de Transparencia del </w:t>
      </w:r>
      <w:r w:rsidRPr="00B96EA2">
        <w:rPr>
          <w:rFonts w:ascii="Palatino Linotype" w:eastAsia="Calibri" w:hAnsi="Palatino Linotype" w:cs="Arial"/>
          <w:b/>
        </w:rPr>
        <w:t>SUJETO OBLIGADO</w:t>
      </w:r>
      <w:r w:rsidRPr="00B96EA2">
        <w:rPr>
          <w:rFonts w:ascii="Palatino Linotype" w:eastAsia="Calibri" w:hAnsi="Palatino Linotype" w:cs="Arial"/>
        </w:rPr>
        <w:t xml:space="preserve">, para que conforme a los artículos 186, último párrafo y 189, párrafo segundo de la Ley de Transparencia y Acceso a la Información Pública del Estado de </w:t>
      </w:r>
      <w:r w:rsidRPr="00B96EA2">
        <w:rPr>
          <w:rFonts w:ascii="Palatino Linotype" w:eastAsia="Calibri" w:hAnsi="Palatino Linotype" w:cs="Arial"/>
        </w:rPr>
        <w:lastRenderedPageBreak/>
        <w:t>México y Municipios, dé cumplimiento a lo ordenado dentro del plazo de diez días hábiles, debiendo informar a este Instituto en un plazo de tres días hábiles siguientes sobre el cumplimiento dado a la presente resolución.</w:t>
      </w:r>
    </w:p>
    <w:p w:rsidR="00CF7EAE" w:rsidRPr="00B96EA2" w:rsidRDefault="00CF7EAE" w:rsidP="00CF7EAE">
      <w:pPr>
        <w:spacing w:before="100" w:beforeAutospacing="1" w:after="100" w:afterAutospacing="1" w:line="360" w:lineRule="auto"/>
        <w:jc w:val="both"/>
        <w:rPr>
          <w:rFonts w:ascii="Palatino Linotype" w:eastAsia="Calibri" w:hAnsi="Palatino Linotype" w:cs="Arial"/>
        </w:rPr>
      </w:pPr>
      <w:r w:rsidRPr="00B96EA2">
        <w:rPr>
          <w:rFonts w:ascii="Palatino Linotype" w:eastAsia="Calibri" w:hAnsi="Palatino Linotype" w:cs="Arial"/>
          <w:b/>
          <w:sz w:val="28"/>
        </w:rPr>
        <w:t>CUARTO</w:t>
      </w:r>
      <w:r w:rsidRPr="00B96EA2">
        <w:rPr>
          <w:rFonts w:ascii="Palatino Linotype" w:eastAsia="Calibri" w:hAnsi="Palatino Linotype" w:cs="Arial"/>
        </w:rPr>
        <w:t xml:space="preserve">. </w:t>
      </w:r>
      <w:r w:rsidRPr="00B96EA2">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B96EA2">
        <w:rPr>
          <w:rFonts w:ascii="Palatino Linotype" w:hAnsi="Palatino Linotype"/>
          <w:b/>
          <w:szCs w:val="17"/>
          <w:lang w:eastAsia="es-ES_tradnl"/>
        </w:rPr>
        <w:t>SUJETO OBLIGADO</w:t>
      </w:r>
      <w:r w:rsidRPr="00B96EA2">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CF7EAE" w:rsidRPr="00B96EA2" w:rsidRDefault="00CF7EAE" w:rsidP="00CF7EAE">
      <w:pPr>
        <w:spacing w:before="100" w:beforeAutospacing="1" w:after="100" w:afterAutospacing="1" w:line="360" w:lineRule="auto"/>
        <w:jc w:val="both"/>
        <w:rPr>
          <w:rFonts w:ascii="Palatino Linotype" w:eastAsia="Calibri" w:hAnsi="Palatino Linotype" w:cs="Arial"/>
        </w:rPr>
      </w:pPr>
      <w:r w:rsidRPr="00B96EA2">
        <w:rPr>
          <w:rFonts w:ascii="Palatino Linotype" w:eastAsia="Calibri" w:hAnsi="Palatino Linotype" w:cs="Arial"/>
          <w:b/>
          <w:sz w:val="28"/>
        </w:rPr>
        <w:t>QUINTO</w:t>
      </w:r>
      <w:r w:rsidRPr="00B96EA2">
        <w:rPr>
          <w:rFonts w:ascii="Palatino Linotype" w:eastAsia="Calibri" w:hAnsi="Palatino Linotype" w:cs="Arial"/>
        </w:rPr>
        <w:t>. Notifíquese a</w:t>
      </w:r>
      <w:r w:rsidR="005B4296" w:rsidRPr="00B96EA2">
        <w:rPr>
          <w:rFonts w:ascii="Palatino Linotype" w:eastAsia="Calibri" w:hAnsi="Palatino Linotype" w:cs="Arial"/>
        </w:rPr>
        <w:t xml:space="preserve"> </w:t>
      </w:r>
      <w:r w:rsidR="005B4296" w:rsidRPr="00B96EA2">
        <w:rPr>
          <w:rFonts w:ascii="Palatino Linotype" w:eastAsia="Calibri" w:hAnsi="Palatino Linotype" w:cs="Arial"/>
          <w:b/>
        </w:rPr>
        <w:t>LA</w:t>
      </w:r>
      <w:r w:rsidR="005B4296" w:rsidRPr="00B96EA2">
        <w:rPr>
          <w:rFonts w:ascii="Palatino Linotype" w:eastAsia="Calibri" w:hAnsi="Palatino Linotype" w:cs="Arial"/>
        </w:rPr>
        <w:t xml:space="preserve"> </w:t>
      </w:r>
      <w:r w:rsidRPr="00B96EA2">
        <w:rPr>
          <w:rFonts w:ascii="Palatino Linotype" w:eastAsia="Calibri" w:hAnsi="Palatino Linotype" w:cs="Arial"/>
          <w:b/>
        </w:rPr>
        <w:t>RECURRENTE</w:t>
      </w:r>
      <w:r w:rsidRPr="00B96EA2">
        <w:rPr>
          <w:rFonts w:ascii="Palatino Linotype" w:eastAsia="Calibri" w:hAnsi="Palatino Linotype" w:cs="Arial"/>
        </w:rPr>
        <w:t xml:space="preserve"> la presente resolución.</w:t>
      </w:r>
    </w:p>
    <w:p w:rsidR="00CF7EAE" w:rsidRDefault="00CF7EAE" w:rsidP="00CF7EAE">
      <w:pPr>
        <w:spacing w:before="100" w:beforeAutospacing="1" w:after="100" w:afterAutospacing="1" w:line="360" w:lineRule="auto"/>
        <w:jc w:val="both"/>
        <w:rPr>
          <w:rFonts w:ascii="Palatino Linotype" w:eastAsia="Calibri" w:hAnsi="Palatino Linotype" w:cs="Arial"/>
        </w:rPr>
      </w:pPr>
      <w:r w:rsidRPr="00B96EA2">
        <w:rPr>
          <w:rFonts w:ascii="Palatino Linotype" w:eastAsia="Calibri" w:hAnsi="Palatino Linotype" w:cs="Arial"/>
          <w:b/>
          <w:sz w:val="28"/>
          <w:szCs w:val="28"/>
        </w:rPr>
        <w:t>SEXTO.</w:t>
      </w:r>
      <w:r w:rsidRPr="00B96EA2">
        <w:rPr>
          <w:rFonts w:ascii="Palatino Linotype" w:eastAsia="Calibri" w:hAnsi="Palatino Linotype" w:cs="Arial"/>
        </w:rPr>
        <w:t xml:space="preserve"> Hágase del conocimiento de</w:t>
      </w:r>
      <w:r w:rsidR="005B4296" w:rsidRPr="00B96EA2">
        <w:rPr>
          <w:rFonts w:ascii="Palatino Linotype" w:eastAsia="Calibri" w:hAnsi="Palatino Linotype" w:cs="Arial"/>
        </w:rPr>
        <w:t xml:space="preserve"> </w:t>
      </w:r>
      <w:r w:rsidR="005B4296" w:rsidRPr="00B96EA2">
        <w:rPr>
          <w:rFonts w:ascii="Palatino Linotype" w:eastAsia="Calibri" w:hAnsi="Palatino Linotype" w:cs="Arial"/>
          <w:b/>
        </w:rPr>
        <w:t>LA</w:t>
      </w:r>
      <w:r w:rsidRPr="00B96EA2">
        <w:rPr>
          <w:rFonts w:ascii="Palatino Linotype" w:eastAsia="Calibri" w:hAnsi="Palatino Linotype" w:cs="Arial"/>
        </w:rPr>
        <w:t xml:space="preserve"> </w:t>
      </w:r>
      <w:r w:rsidRPr="00B96EA2">
        <w:rPr>
          <w:rFonts w:ascii="Palatino Linotype" w:eastAsia="Calibri" w:hAnsi="Palatino Linotype" w:cs="Arial"/>
          <w:b/>
        </w:rPr>
        <w:t>RECURRENTE</w:t>
      </w:r>
      <w:r w:rsidRPr="00B96EA2">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CF7EAE" w:rsidRPr="008F6701" w:rsidRDefault="00597CAC" w:rsidP="00CF7EAE">
      <w:pPr>
        <w:spacing w:before="100" w:beforeAutospacing="1" w:after="100" w:afterAutospacing="1" w:line="360" w:lineRule="auto"/>
        <w:contextualSpacing/>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ASÍ LO RESUELVE, POR UNANIMIDAD </w:t>
      </w:r>
      <w:r w:rsidR="00CF7EAE" w:rsidRPr="008F6701">
        <w:rPr>
          <w:rFonts w:ascii="Palatino Linotype" w:hAnsi="Palatino Linotype" w:cs="Arial"/>
          <w:color w:val="000000" w:themeColor="text1"/>
          <w:lang w:val="es-ES"/>
        </w:rPr>
        <w:t>DE VOTOS EL PLENO DEL</w:t>
      </w:r>
      <w:r w:rsidR="00CF7EAE" w:rsidRPr="008F6701">
        <w:rPr>
          <w:rFonts w:ascii="Palatino Linotype" w:eastAsia="Arial Unicode MS" w:hAnsi="Palatino Linotype" w:cs="Arial"/>
          <w:color w:val="000000" w:themeColor="text1"/>
          <w:lang w:val="es-ES"/>
        </w:rPr>
        <w:t xml:space="preserve"> INSTITUTO DE </w:t>
      </w:r>
      <w:r w:rsidR="00CF7EAE" w:rsidRPr="008F6701">
        <w:rPr>
          <w:rFonts w:ascii="Palatino Linotype" w:hAnsi="Palatino Linotype"/>
          <w:color w:val="000000" w:themeColor="text1"/>
          <w:lang w:val="es-ES" w:eastAsia="en-US"/>
        </w:rPr>
        <w:t>TRANSPARENCIA</w:t>
      </w:r>
      <w:r w:rsidR="00CF7EAE" w:rsidRPr="008F6701">
        <w:rPr>
          <w:rFonts w:ascii="Palatino Linotype" w:eastAsia="Arial Unicode MS" w:hAnsi="Palatino Linotype" w:cs="Arial"/>
          <w:color w:val="000000" w:themeColor="text1"/>
          <w:lang w:val="es-ES"/>
        </w:rPr>
        <w:t>, ACCESO A LA INFORMACIÓN PÚBLICA Y PROTECCIÓN DE DATOS PERSONALES DEL ESTADO DE MÉXICO Y MUNICIPIOS</w:t>
      </w:r>
      <w:r w:rsidR="00CF7EAE" w:rsidRPr="008F6701">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00CF7EAE" w:rsidRPr="00597CAC">
        <w:rPr>
          <w:rFonts w:ascii="Palatino Linotype" w:hAnsi="Palatino Linotype" w:cs="Arial"/>
          <w:color w:val="000000" w:themeColor="text1"/>
          <w:shd w:val="clear" w:color="auto" w:fill="FFFFFF" w:themeFill="background1"/>
          <w:lang w:val="es-ES"/>
        </w:rPr>
        <w:t xml:space="preserve">EN LA DÉCIMA </w:t>
      </w:r>
      <w:r w:rsidR="005B4296" w:rsidRPr="00597CAC">
        <w:rPr>
          <w:rFonts w:ascii="Palatino Linotype" w:hAnsi="Palatino Linotype" w:cs="Arial"/>
          <w:color w:val="000000" w:themeColor="text1"/>
          <w:shd w:val="clear" w:color="auto" w:fill="FFFFFF" w:themeFill="background1"/>
          <w:lang w:val="es-ES"/>
        </w:rPr>
        <w:t>NOVENA</w:t>
      </w:r>
      <w:r w:rsidR="00CF7EAE" w:rsidRPr="00597CAC">
        <w:rPr>
          <w:rFonts w:ascii="Palatino Linotype" w:hAnsi="Palatino Linotype" w:cs="Arial"/>
          <w:color w:val="000000" w:themeColor="text1"/>
          <w:shd w:val="clear" w:color="auto" w:fill="FFFFFF" w:themeFill="background1"/>
          <w:lang w:val="es-ES"/>
        </w:rPr>
        <w:t xml:space="preserve"> </w:t>
      </w:r>
      <w:r w:rsidR="00CF7EAE" w:rsidRPr="00597CAC">
        <w:rPr>
          <w:rFonts w:ascii="Palatino Linotype" w:hAnsi="Palatino Linotype" w:cs="Arial"/>
          <w:color w:val="000000" w:themeColor="text1"/>
          <w:lang w:val="es-ES"/>
        </w:rPr>
        <w:t xml:space="preserve">SESIÓN ORDINARIA CELEBRADA EL </w:t>
      </w:r>
      <w:r w:rsidR="005B4296" w:rsidRPr="00597CAC">
        <w:rPr>
          <w:rFonts w:ascii="Palatino Linotype" w:hAnsi="Palatino Linotype" w:cs="Arial"/>
          <w:color w:val="000000" w:themeColor="text1"/>
          <w:lang w:val="es-ES"/>
        </w:rPr>
        <w:t>VEINTITRÉS</w:t>
      </w:r>
      <w:r w:rsidR="00CF7EAE" w:rsidRPr="00597CAC">
        <w:rPr>
          <w:rFonts w:ascii="Palatino Linotype" w:hAnsi="Palatino Linotype" w:cs="Arial"/>
          <w:color w:val="000000" w:themeColor="text1"/>
          <w:lang w:val="es-ES"/>
        </w:rPr>
        <w:t xml:space="preserve"> DE SEPTIEMBRE </w:t>
      </w:r>
      <w:r w:rsidR="00CF7EAE" w:rsidRPr="00597CAC">
        <w:rPr>
          <w:rFonts w:ascii="Palatino Linotype" w:hAnsi="Palatino Linotype" w:cs="Arial"/>
          <w:color w:val="000000" w:themeColor="text1"/>
          <w:lang w:val="es-ES"/>
        </w:rPr>
        <w:lastRenderedPageBreak/>
        <w:t xml:space="preserve">DE DOS MIL VEINTE, ANTE EL SECRETARIO TÉCNICO DEL PLENO, </w:t>
      </w:r>
      <w:r w:rsidR="00CF7EAE" w:rsidRPr="00597CAC">
        <w:rPr>
          <w:rFonts w:ascii="Palatino Linotype" w:eastAsia="Arial Unicode MS" w:hAnsi="Palatino Linotype" w:cs="Arial"/>
          <w:color w:val="000000" w:themeColor="text1"/>
          <w:lang w:val="es-ES"/>
        </w:rPr>
        <w:t>ALEXIS</w:t>
      </w:r>
      <w:r w:rsidR="00CF7EAE" w:rsidRPr="00597CAC">
        <w:rPr>
          <w:rFonts w:ascii="Palatino Linotype" w:hAnsi="Palatino Linotype" w:cs="Arial"/>
          <w:color w:val="000000" w:themeColor="text1"/>
          <w:lang w:val="es-ES"/>
        </w:rPr>
        <w:t xml:space="preserve"> TAPIA RAMÍREZ.</w:t>
      </w:r>
    </w:p>
    <w:tbl>
      <w:tblPr>
        <w:tblW w:w="10365" w:type="dxa"/>
        <w:jc w:val="center"/>
        <w:tblLayout w:type="fixed"/>
        <w:tblLook w:val="04A0" w:firstRow="1" w:lastRow="0" w:firstColumn="1" w:lastColumn="0" w:noHBand="0" w:noVBand="1"/>
      </w:tblPr>
      <w:tblGrid>
        <w:gridCol w:w="5182"/>
        <w:gridCol w:w="5183"/>
      </w:tblGrid>
      <w:tr w:rsidR="00AA7021" w:rsidRPr="00876939">
        <w:trPr>
          <w:jc w:val="center"/>
        </w:trPr>
        <w:tc>
          <w:tcPr>
            <w:tcW w:w="10365" w:type="dxa"/>
            <w:gridSpan w:val="2"/>
            <w:shd w:val="clear" w:color="auto" w:fill="auto"/>
          </w:tcPr>
          <w:p w:rsidR="00AA7021" w:rsidRDefault="00AA7021" w:rsidP="00AA7021">
            <w:pPr>
              <w:tabs>
                <w:tab w:val="left" w:pos="3587"/>
                <w:tab w:val="center" w:pos="5074"/>
              </w:tabs>
              <w:rPr>
                <w:rFonts w:ascii="Palatino Linotype" w:eastAsiaTheme="minorEastAsia" w:hAnsi="Palatino Linotype" w:cs="Arial"/>
                <w:b/>
                <w:lang w:val="es-ES_tradnl"/>
              </w:rPr>
            </w:pPr>
            <w:r>
              <w:rPr>
                <w:rFonts w:ascii="Palatino Linotype" w:eastAsiaTheme="minorEastAsia" w:hAnsi="Palatino Linotype" w:cs="Arial"/>
                <w:b/>
                <w:lang w:val="es-ES_tradnl"/>
              </w:rPr>
              <w:tab/>
            </w:r>
          </w:p>
          <w:p w:rsidR="00AA7021" w:rsidRDefault="00AA7021" w:rsidP="00AA7021">
            <w:pPr>
              <w:tabs>
                <w:tab w:val="left" w:pos="3587"/>
                <w:tab w:val="center" w:pos="5074"/>
              </w:tabs>
              <w:rPr>
                <w:rFonts w:ascii="Palatino Linotype" w:eastAsiaTheme="minorEastAsia" w:hAnsi="Palatino Linotype" w:cs="Arial"/>
                <w:b/>
                <w:lang w:val="es-ES_tradnl"/>
              </w:rPr>
            </w:pPr>
          </w:p>
          <w:p w:rsidR="00AA7021" w:rsidRDefault="00AA7021" w:rsidP="00AA7021">
            <w:pPr>
              <w:tabs>
                <w:tab w:val="left" w:pos="3587"/>
                <w:tab w:val="center" w:pos="5074"/>
              </w:tabs>
              <w:rPr>
                <w:rFonts w:ascii="Palatino Linotype" w:eastAsiaTheme="minorEastAsia" w:hAnsi="Palatino Linotype" w:cs="Arial"/>
                <w:b/>
                <w:lang w:val="es-ES_tradnl"/>
              </w:rPr>
            </w:pPr>
          </w:p>
          <w:p w:rsidR="00AA7021" w:rsidRPr="00876939" w:rsidRDefault="00AA7021" w:rsidP="00AA7021">
            <w:pPr>
              <w:tabs>
                <w:tab w:val="left" w:pos="3587"/>
                <w:tab w:val="center" w:pos="5074"/>
              </w:tabs>
              <w:rPr>
                <w:rFonts w:ascii="Palatino Linotype" w:eastAsiaTheme="minorEastAsia" w:hAnsi="Palatino Linotype" w:cs="Arial"/>
                <w:b/>
                <w:lang w:val="es-ES_tradnl"/>
              </w:rPr>
            </w:pPr>
            <w:r>
              <w:rPr>
                <w:rFonts w:ascii="Palatino Linotype" w:eastAsiaTheme="minorEastAsia" w:hAnsi="Palatino Linotype" w:cs="Arial"/>
                <w:b/>
                <w:lang w:val="es-ES_tradnl"/>
              </w:rPr>
              <w:tab/>
            </w:r>
            <w:r w:rsidRPr="00876939">
              <w:rPr>
                <w:rFonts w:ascii="Palatino Linotype" w:eastAsiaTheme="minorEastAsia" w:hAnsi="Palatino Linotype" w:cs="Arial"/>
                <w:b/>
                <w:lang w:val="es-ES_tradnl"/>
              </w:rPr>
              <w:t>Zulema Martínez Sánchez</w:t>
            </w:r>
          </w:p>
          <w:p w:rsidR="00AA7021" w:rsidRPr="000E6DCB" w:rsidRDefault="00AA7021"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Comisionada Presidenta</w:t>
            </w:r>
          </w:p>
          <w:p w:rsidR="00AA7021" w:rsidRPr="00876939" w:rsidRDefault="00AA7021"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 xml:space="preserve">(RÚBRICA) </w:t>
            </w:r>
          </w:p>
        </w:tc>
      </w:tr>
      <w:tr w:rsidR="00AA7021" w:rsidRPr="00876939">
        <w:trPr>
          <w:jc w:val="center"/>
        </w:trPr>
        <w:tc>
          <w:tcPr>
            <w:tcW w:w="5182" w:type="dxa"/>
            <w:shd w:val="clear" w:color="auto" w:fill="auto"/>
          </w:tcPr>
          <w:p w:rsidR="00AA7021" w:rsidRDefault="00AA7021" w:rsidP="00AC7BDB">
            <w:pPr>
              <w:jc w:val="center"/>
              <w:rPr>
                <w:rFonts w:ascii="Palatino Linotype" w:eastAsiaTheme="minorEastAsia" w:hAnsi="Palatino Linotype" w:cs="Arial"/>
                <w:b/>
                <w:lang w:val="es-ES_tradnl"/>
              </w:rPr>
            </w:pPr>
          </w:p>
          <w:p w:rsidR="00AA7021"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Eva Abaid Yapur</w:t>
            </w:r>
          </w:p>
          <w:p w:rsidR="00AA7021" w:rsidRPr="000E6DCB" w:rsidRDefault="00AA7021"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Comisionada</w:t>
            </w:r>
          </w:p>
          <w:p w:rsidR="00AA7021" w:rsidRPr="00876939" w:rsidRDefault="00AA7021"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(RÚBRICA)</w:t>
            </w:r>
          </w:p>
        </w:tc>
        <w:tc>
          <w:tcPr>
            <w:tcW w:w="5183" w:type="dxa"/>
            <w:shd w:val="clear" w:color="auto" w:fill="auto"/>
          </w:tcPr>
          <w:p w:rsidR="00AA7021" w:rsidRDefault="00AA7021" w:rsidP="00AC7BDB">
            <w:pPr>
              <w:jc w:val="center"/>
              <w:rPr>
                <w:rFonts w:ascii="Palatino Linotype" w:eastAsiaTheme="minorEastAsia" w:hAnsi="Palatino Linotype" w:cs="Arial"/>
                <w:b/>
                <w:lang w:val="es-ES_tradnl"/>
              </w:rPr>
            </w:pPr>
          </w:p>
          <w:p w:rsidR="00AA7021"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José Guadalupe Luna Hernández</w:t>
            </w:r>
          </w:p>
          <w:p w:rsidR="00AA7021" w:rsidRPr="000E6DCB" w:rsidRDefault="00AA7021"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Comisionado</w:t>
            </w:r>
          </w:p>
          <w:p w:rsidR="00AA7021" w:rsidRPr="00876939" w:rsidRDefault="00AA7021"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(RÚBRICA)</w:t>
            </w:r>
          </w:p>
        </w:tc>
      </w:tr>
      <w:tr w:rsidR="00AA7021" w:rsidRPr="00876939">
        <w:trPr>
          <w:jc w:val="center"/>
        </w:trPr>
        <w:tc>
          <w:tcPr>
            <w:tcW w:w="5182" w:type="dxa"/>
            <w:shd w:val="clear" w:color="auto" w:fill="auto"/>
          </w:tcPr>
          <w:p w:rsidR="00AA7021"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p>
          <w:p w:rsidR="00AA7021"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Javier Martínez Cruz</w:t>
            </w:r>
          </w:p>
          <w:p w:rsidR="00AA7021" w:rsidRPr="000E6DCB" w:rsidRDefault="00AA7021"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Comisionado</w:t>
            </w:r>
          </w:p>
          <w:p w:rsidR="00AA7021" w:rsidRPr="00876939" w:rsidRDefault="00AA7021"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(RÚBRICA)</w:t>
            </w:r>
          </w:p>
        </w:tc>
        <w:tc>
          <w:tcPr>
            <w:tcW w:w="5183" w:type="dxa"/>
            <w:shd w:val="clear" w:color="auto" w:fill="auto"/>
          </w:tcPr>
          <w:p w:rsidR="00AA7021"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p>
          <w:p w:rsidR="00AA7021"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Luis Gustavo Parra Noriega</w:t>
            </w:r>
          </w:p>
          <w:p w:rsidR="00AA7021" w:rsidRPr="000E6DCB" w:rsidRDefault="00AA7021"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Comisionado</w:t>
            </w:r>
          </w:p>
          <w:p w:rsidR="00AA7021" w:rsidRPr="00876939" w:rsidRDefault="00AA7021"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(RÚBRICA)</w:t>
            </w:r>
          </w:p>
        </w:tc>
      </w:tr>
      <w:tr w:rsidR="00AA7021" w:rsidRPr="00876939">
        <w:trPr>
          <w:jc w:val="center"/>
        </w:trPr>
        <w:tc>
          <w:tcPr>
            <w:tcW w:w="10365" w:type="dxa"/>
            <w:gridSpan w:val="2"/>
            <w:shd w:val="clear" w:color="auto" w:fill="auto"/>
          </w:tcPr>
          <w:p w:rsidR="00AA7021" w:rsidRDefault="00AA7021" w:rsidP="00AC7BDB">
            <w:pPr>
              <w:jc w:val="center"/>
              <w:rPr>
                <w:rFonts w:ascii="Palatino Linotype" w:eastAsiaTheme="minorEastAsia" w:hAnsi="Palatino Linotype" w:cs="Arial"/>
                <w:b/>
                <w:lang w:val="es-ES_tradnl"/>
              </w:rPr>
            </w:pPr>
          </w:p>
          <w:p w:rsidR="00AA7021" w:rsidRDefault="00AA7021" w:rsidP="00AC7BDB">
            <w:pPr>
              <w:jc w:val="center"/>
              <w:rPr>
                <w:rFonts w:ascii="Palatino Linotype" w:eastAsiaTheme="minorEastAsia" w:hAnsi="Palatino Linotype" w:cs="Arial"/>
                <w:b/>
                <w:lang w:val="es-ES_tradnl"/>
              </w:rPr>
            </w:pPr>
          </w:p>
          <w:p w:rsidR="00AA7021" w:rsidRDefault="00AA7021" w:rsidP="00AC7BDB">
            <w:pPr>
              <w:jc w:val="center"/>
              <w:rPr>
                <w:rFonts w:ascii="Palatino Linotype" w:eastAsiaTheme="minorEastAsia" w:hAnsi="Palatino Linotype" w:cs="Arial"/>
                <w:b/>
                <w:lang w:val="es-ES_tradnl"/>
              </w:rPr>
            </w:pPr>
          </w:p>
          <w:p w:rsidR="00AA7021" w:rsidRDefault="00AA7021" w:rsidP="00AC7BDB">
            <w:pPr>
              <w:jc w:val="center"/>
              <w:rPr>
                <w:rFonts w:ascii="Palatino Linotype" w:eastAsiaTheme="minorEastAsia" w:hAnsi="Palatino Linotype" w:cs="Arial"/>
                <w:b/>
                <w:lang w:val="es-ES_tradnl"/>
              </w:rPr>
            </w:pPr>
          </w:p>
          <w:p w:rsidR="00AA7021"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p>
          <w:p w:rsidR="00AA7021" w:rsidRPr="00876939" w:rsidRDefault="00AA7021" w:rsidP="00AC7BD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Alexis Tapia Ramírez</w:t>
            </w:r>
          </w:p>
          <w:p w:rsidR="00AA7021" w:rsidRPr="000E6DCB" w:rsidRDefault="00AA7021" w:rsidP="00AC7BDB">
            <w:pPr>
              <w:jc w:val="center"/>
              <w:rPr>
                <w:rFonts w:ascii="Palatino Linotype" w:eastAsiaTheme="minorEastAsia" w:hAnsi="Palatino Linotype" w:cs="Arial"/>
                <w:lang w:val="es-ES_tradnl"/>
              </w:rPr>
            </w:pPr>
            <w:r w:rsidRPr="000E6DCB">
              <w:rPr>
                <w:rFonts w:ascii="Palatino Linotype" w:eastAsiaTheme="minorEastAsia" w:hAnsi="Palatino Linotype" w:cs="Arial"/>
                <w:lang w:val="es-ES_tradnl"/>
              </w:rPr>
              <w:t>Secretario Técnico del Pleno</w:t>
            </w:r>
          </w:p>
          <w:p w:rsidR="00AA7021" w:rsidRPr="00876939" w:rsidRDefault="00AA7021" w:rsidP="000E6DCB">
            <w:pPr>
              <w:jc w:val="center"/>
              <w:rPr>
                <w:rFonts w:ascii="Palatino Linotype" w:eastAsiaTheme="minorEastAsia" w:hAnsi="Palatino Linotype" w:cs="Arial"/>
                <w:b/>
                <w:lang w:val="es-ES_tradnl"/>
              </w:rPr>
            </w:pPr>
            <w:r w:rsidRPr="00876939">
              <w:rPr>
                <w:rFonts w:ascii="Palatino Linotype" w:eastAsiaTheme="minorEastAsia" w:hAnsi="Palatino Linotype" w:cs="Arial"/>
                <w:b/>
                <w:lang w:val="es-ES_tradnl"/>
              </w:rPr>
              <w:t xml:space="preserve">(RÚBRICA) </w:t>
            </w:r>
          </w:p>
        </w:tc>
      </w:tr>
    </w:tbl>
    <w:p w:rsidR="00AA7021" w:rsidRDefault="00AA7021" w:rsidP="00CF7EAE">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rsidR="00CF7EAE" w:rsidRPr="008F6701" w:rsidRDefault="00CF7EAE" w:rsidP="00CF7EAE">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corresponde a la resolución de </w:t>
      </w:r>
      <w:r w:rsidR="005B4296">
        <w:rPr>
          <w:rFonts w:ascii="Palatino Linotype" w:eastAsiaTheme="minorEastAsia" w:hAnsi="Palatino Linotype" w:cs="Arial"/>
          <w:color w:val="000000" w:themeColor="text1"/>
          <w:sz w:val="20"/>
          <w:szCs w:val="20"/>
          <w:lang w:val="es-ES_tradnl"/>
        </w:rPr>
        <w:t xml:space="preserve">veintitrés de </w:t>
      </w:r>
      <w:r>
        <w:rPr>
          <w:rFonts w:ascii="Palatino Linotype" w:eastAsiaTheme="minorEastAsia" w:hAnsi="Palatino Linotype" w:cs="Arial"/>
          <w:color w:val="000000" w:themeColor="text1"/>
          <w:sz w:val="20"/>
          <w:szCs w:val="20"/>
          <w:lang w:val="es-ES_tradnl"/>
        </w:rPr>
        <w:t xml:space="preserve">septiembre </w:t>
      </w:r>
      <w:r w:rsidRPr="008F6701">
        <w:rPr>
          <w:rFonts w:ascii="Palatino Linotype" w:eastAsiaTheme="minorEastAsia" w:hAnsi="Palatino Linotype" w:cs="Arial"/>
          <w:color w:val="000000" w:themeColor="text1"/>
          <w:sz w:val="20"/>
          <w:szCs w:val="20"/>
          <w:lang w:val="es-ES_tradnl"/>
        </w:rPr>
        <w:t xml:space="preserve">de dos mil veinte, emitida en </w:t>
      </w:r>
      <w:r>
        <w:rPr>
          <w:rFonts w:ascii="Palatino Linotype" w:eastAsiaTheme="minorEastAsia" w:hAnsi="Palatino Linotype" w:cs="Arial"/>
          <w:color w:val="000000" w:themeColor="text1"/>
          <w:sz w:val="20"/>
          <w:szCs w:val="20"/>
          <w:lang w:val="es-ES_tradnl"/>
        </w:rPr>
        <w:t xml:space="preserve">el recurso </w:t>
      </w:r>
      <w:r w:rsidRPr="008F6701">
        <w:rPr>
          <w:rFonts w:ascii="Palatino Linotype" w:eastAsiaTheme="minorEastAsia" w:hAnsi="Palatino Linotype" w:cs="Arial"/>
          <w:color w:val="000000" w:themeColor="text1"/>
          <w:sz w:val="20"/>
          <w:szCs w:val="20"/>
          <w:lang w:val="es-ES_tradnl"/>
        </w:rPr>
        <w:t>de revisión 0</w:t>
      </w:r>
      <w:r w:rsidR="005B4296">
        <w:rPr>
          <w:rFonts w:ascii="Palatino Linotype" w:eastAsiaTheme="minorEastAsia" w:hAnsi="Palatino Linotype" w:cs="Arial"/>
          <w:color w:val="000000" w:themeColor="text1"/>
          <w:sz w:val="20"/>
          <w:szCs w:val="20"/>
          <w:lang w:val="es-ES_tradnl"/>
        </w:rPr>
        <w:t>1912</w:t>
      </w:r>
      <w:r w:rsidRPr="008F6701">
        <w:rPr>
          <w:rFonts w:ascii="Palatino Linotype" w:eastAsiaTheme="minorEastAsia" w:hAnsi="Palatino Linotype" w:cs="Arial"/>
          <w:color w:val="000000" w:themeColor="text1"/>
          <w:sz w:val="20"/>
          <w:szCs w:val="20"/>
          <w:lang w:val="es-ES_tradnl"/>
        </w:rPr>
        <w:t>/INFOEM/IP/RR/2020.</w:t>
      </w:r>
    </w:p>
    <w:p w:rsidR="00BF7C3E" w:rsidRDefault="005B4296" w:rsidP="005B4296">
      <w:pPr>
        <w:spacing w:before="100" w:beforeAutospacing="1" w:after="100" w:afterAutospacing="1"/>
        <w:contextualSpacing/>
        <w:jc w:val="both"/>
      </w:pPr>
      <w:r>
        <w:rPr>
          <w:rFonts w:ascii="Palatino Linotype" w:eastAsiaTheme="minorEastAsia" w:hAnsi="Palatino Linotype" w:cs="Arial"/>
          <w:color w:val="000000" w:themeColor="text1"/>
          <w:sz w:val="20"/>
          <w:szCs w:val="20"/>
          <w:lang w:val="es-ES_tradnl"/>
        </w:rPr>
        <w:t>YSM/</w:t>
      </w:r>
      <w:r w:rsidR="00CF7EAE">
        <w:rPr>
          <w:rFonts w:ascii="Palatino Linotype" w:eastAsiaTheme="minorEastAsia" w:hAnsi="Palatino Linotype" w:cs="Arial"/>
          <w:color w:val="000000" w:themeColor="text1"/>
          <w:sz w:val="20"/>
          <w:szCs w:val="20"/>
          <w:lang w:val="es-ES_tradnl"/>
        </w:rPr>
        <w:t>AMV</w:t>
      </w:r>
    </w:p>
    <w:sectPr w:rsidR="00BF7C3E" w:rsidSect="00D67100">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141" w:rsidRDefault="00391141" w:rsidP="00CF7EAE">
      <w:r>
        <w:separator/>
      </w:r>
    </w:p>
  </w:endnote>
  <w:endnote w:type="continuationSeparator" w:id="0">
    <w:p w:rsidR="00391141" w:rsidRDefault="00391141" w:rsidP="00CF7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100" w:rsidRPr="0010196A" w:rsidRDefault="001D1DD4" w:rsidP="00D67100">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CA716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CA7161" w:rsidRPr="0010196A">
      <w:rPr>
        <w:rFonts w:ascii="Palatino Linotype" w:hAnsi="Palatino Linotype" w:cs="Arial"/>
        <w:bCs/>
        <w:sz w:val="22"/>
        <w:szCs w:val="22"/>
      </w:rPr>
      <w:fldChar w:fldCharType="separate"/>
    </w:r>
    <w:r w:rsidR="00C85D2F">
      <w:rPr>
        <w:rFonts w:ascii="Palatino Linotype" w:hAnsi="Palatino Linotype" w:cs="Arial"/>
        <w:bCs/>
        <w:noProof/>
        <w:sz w:val="22"/>
        <w:szCs w:val="22"/>
      </w:rPr>
      <w:t>18</w:t>
    </w:r>
    <w:r w:rsidR="00CA7161"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CA716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CA7161" w:rsidRPr="0010196A">
      <w:rPr>
        <w:rFonts w:ascii="Palatino Linotype" w:hAnsi="Palatino Linotype" w:cs="Arial"/>
        <w:bCs/>
        <w:sz w:val="22"/>
        <w:szCs w:val="22"/>
      </w:rPr>
      <w:fldChar w:fldCharType="separate"/>
    </w:r>
    <w:r w:rsidR="00C85D2F">
      <w:rPr>
        <w:rFonts w:ascii="Palatino Linotype" w:hAnsi="Palatino Linotype" w:cs="Arial"/>
        <w:bCs/>
        <w:noProof/>
        <w:sz w:val="22"/>
        <w:szCs w:val="22"/>
      </w:rPr>
      <w:t>23</w:t>
    </w:r>
    <w:r w:rsidR="00CA7161"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100" w:rsidRPr="0010196A" w:rsidRDefault="001D1DD4" w:rsidP="00D6710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CA716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CA7161" w:rsidRPr="0010196A">
      <w:rPr>
        <w:rFonts w:ascii="Palatino Linotype" w:hAnsi="Palatino Linotype" w:cs="Arial"/>
        <w:bCs/>
        <w:sz w:val="22"/>
        <w:szCs w:val="22"/>
      </w:rPr>
      <w:fldChar w:fldCharType="separate"/>
    </w:r>
    <w:r w:rsidR="00C85D2F">
      <w:rPr>
        <w:rFonts w:ascii="Palatino Linotype" w:hAnsi="Palatino Linotype" w:cs="Arial"/>
        <w:bCs/>
        <w:noProof/>
        <w:sz w:val="22"/>
        <w:szCs w:val="22"/>
      </w:rPr>
      <w:t>1</w:t>
    </w:r>
    <w:r w:rsidR="00CA7161"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CA716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CA7161" w:rsidRPr="0010196A">
      <w:rPr>
        <w:rFonts w:ascii="Palatino Linotype" w:hAnsi="Palatino Linotype" w:cs="Arial"/>
        <w:bCs/>
        <w:sz w:val="22"/>
        <w:szCs w:val="22"/>
      </w:rPr>
      <w:fldChar w:fldCharType="separate"/>
    </w:r>
    <w:r w:rsidR="00C85D2F">
      <w:rPr>
        <w:rFonts w:ascii="Palatino Linotype" w:hAnsi="Palatino Linotype" w:cs="Arial"/>
        <w:bCs/>
        <w:noProof/>
        <w:sz w:val="22"/>
        <w:szCs w:val="22"/>
      </w:rPr>
      <w:t>23</w:t>
    </w:r>
    <w:r w:rsidR="00CA7161"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141" w:rsidRDefault="00391141" w:rsidP="00CF7EAE">
      <w:r>
        <w:separator/>
      </w:r>
    </w:p>
  </w:footnote>
  <w:footnote w:type="continuationSeparator" w:id="0">
    <w:p w:rsidR="00391141" w:rsidRDefault="00391141" w:rsidP="00CF7E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100" w:rsidRDefault="0039114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100" w:rsidRPr="0010196A" w:rsidRDefault="00391141" w:rsidP="00D6710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67100" w:rsidRPr="008F2CCC">
      <w:tc>
        <w:tcPr>
          <w:tcW w:w="3261" w:type="dxa"/>
          <w:vMerge w:val="restart"/>
        </w:tcPr>
        <w:p w:rsidR="00D67100" w:rsidRPr="008F2CCC" w:rsidRDefault="001D1DD4" w:rsidP="00D67100">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D67100" w:rsidRPr="00664658" w:rsidRDefault="001D1DD4" w:rsidP="00D67100">
          <w:pPr>
            <w:rPr>
              <w:rFonts w:ascii="Palatino Linotype" w:hAnsi="Palatino Linotype"/>
              <w:b/>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D67100" w:rsidRPr="00664658" w:rsidRDefault="00DE5591" w:rsidP="00D67100">
          <w:pPr>
            <w:jc w:val="both"/>
            <w:rPr>
              <w:rFonts w:ascii="Palatino Linotype" w:hAnsi="Palatino Linotype"/>
              <w:b/>
              <w:lang w:val="es-ES_tradnl"/>
            </w:rPr>
          </w:pPr>
          <w:r>
            <w:rPr>
              <w:rFonts w:ascii="Palatino Linotype" w:hAnsi="Palatino Linotype"/>
              <w:b/>
              <w:sz w:val="22"/>
              <w:szCs w:val="22"/>
              <w:lang w:val="es-ES_tradnl"/>
            </w:rPr>
            <w:t>01912</w:t>
          </w:r>
          <w:r w:rsidR="001D1DD4" w:rsidRPr="00E6045D">
            <w:rPr>
              <w:rFonts w:ascii="Palatino Linotype" w:hAnsi="Palatino Linotype"/>
              <w:b/>
              <w:sz w:val="22"/>
              <w:szCs w:val="22"/>
              <w:lang w:val="es-ES_tradnl"/>
            </w:rPr>
            <w:t>/INFOEM/IP/RR/20</w:t>
          </w:r>
          <w:r w:rsidR="001D1DD4">
            <w:rPr>
              <w:rFonts w:ascii="Palatino Linotype" w:hAnsi="Palatino Linotype"/>
              <w:b/>
              <w:sz w:val="22"/>
              <w:szCs w:val="22"/>
              <w:lang w:val="es-ES_tradnl"/>
            </w:rPr>
            <w:t>20</w:t>
          </w:r>
        </w:p>
      </w:tc>
    </w:tr>
    <w:tr w:rsidR="00D67100" w:rsidRPr="008F2CCC">
      <w:tc>
        <w:tcPr>
          <w:tcW w:w="3261" w:type="dxa"/>
          <w:vMerge/>
        </w:tcPr>
        <w:p w:rsidR="00D67100" w:rsidRPr="008F2CCC" w:rsidRDefault="00391141" w:rsidP="00D67100">
          <w:pPr>
            <w:rPr>
              <w:rFonts w:ascii="Palatino Linotype" w:hAnsi="Palatino Linotype"/>
              <w:b/>
              <w:lang w:val="es-ES_tradnl"/>
            </w:rPr>
          </w:pPr>
        </w:p>
      </w:tc>
      <w:tc>
        <w:tcPr>
          <w:tcW w:w="2551" w:type="dxa"/>
          <w:shd w:val="clear" w:color="auto" w:fill="auto"/>
        </w:tcPr>
        <w:p w:rsidR="00D67100" w:rsidRPr="00664658" w:rsidRDefault="001D1DD4" w:rsidP="00D67100">
          <w:pPr>
            <w:rPr>
              <w:rFonts w:ascii="Palatino Linotype" w:hAnsi="Palatino Linotype"/>
              <w:b/>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D67100" w:rsidRPr="00D41D47" w:rsidRDefault="00DE5591" w:rsidP="00D67100">
          <w:pPr>
            <w:jc w:val="both"/>
            <w:rPr>
              <w:rFonts w:ascii="Palatino Linotype" w:hAnsi="Palatino Linotype"/>
              <w:b/>
              <w:lang w:val="es-ES_tradnl"/>
            </w:rPr>
          </w:pPr>
          <w:r>
            <w:rPr>
              <w:rFonts w:ascii="Palatino Linotype" w:hAnsi="Palatino Linotype"/>
              <w:b/>
              <w:sz w:val="22"/>
              <w:szCs w:val="22"/>
              <w:lang w:val="es-ES_tradnl"/>
            </w:rPr>
            <w:t xml:space="preserve">Ayuntamiento de Tultitlán </w:t>
          </w:r>
        </w:p>
      </w:tc>
    </w:tr>
    <w:tr w:rsidR="00D67100" w:rsidRPr="008F2CCC">
      <w:trPr>
        <w:trHeight w:val="228"/>
      </w:trPr>
      <w:tc>
        <w:tcPr>
          <w:tcW w:w="3261" w:type="dxa"/>
          <w:vMerge/>
        </w:tcPr>
        <w:p w:rsidR="00D67100" w:rsidRPr="008F2CCC" w:rsidRDefault="00391141" w:rsidP="00D67100">
          <w:pPr>
            <w:rPr>
              <w:rFonts w:ascii="Palatino Linotype" w:hAnsi="Palatino Linotype"/>
              <w:b/>
              <w:lang w:val="es-ES_tradnl"/>
            </w:rPr>
          </w:pPr>
        </w:p>
      </w:tc>
      <w:tc>
        <w:tcPr>
          <w:tcW w:w="2551" w:type="dxa"/>
          <w:shd w:val="clear" w:color="auto" w:fill="auto"/>
        </w:tcPr>
        <w:p w:rsidR="00D67100" w:rsidRPr="00664658" w:rsidRDefault="001D1DD4" w:rsidP="00D67100">
          <w:pPr>
            <w:rPr>
              <w:rFonts w:ascii="Palatino Linotype" w:hAnsi="Palatino Linotype"/>
              <w:b/>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D67100" w:rsidRPr="00664658" w:rsidRDefault="001D1DD4" w:rsidP="00D67100">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67100" w:rsidRPr="0010196A" w:rsidRDefault="00391141" w:rsidP="00D67100">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100" w:rsidRPr="0010196A" w:rsidRDefault="0039114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D67100" w:rsidRPr="008F2CCC">
      <w:tc>
        <w:tcPr>
          <w:tcW w:w="4253" w:type="dxa"/>
          <w:vMerge w:val="restart"/>
          <w:shd w:val="clear" w:color="auto" w:fill="auto"/>
        </w:tcPr>
        <w:p w:rsidR="00D67100" w:rsidRPr="008F2CCC" w:rsidRDefault="001D1DD4" w:rsidP="00D67100">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D67100" w:rsidRPr="008F2CCC" w:rsidRDefault="001D1DD4" w:rsidP="00D67100">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D67100" w:rsidRPr="008F2CCC" w:rsidRDefault="00CF7EAE" w:rsidP="00D67100">
          <w:pPr>
            <w:jc w:val="both"/>
            <w:rPr>
              <w:rFonts w:ascii="Palatino Linotype" w:hAnsi="Palatino Linotype"/>
              <w:b/>
              <w:lang w:val="es-ES_tradnl"/>
            </w:rPr>
          </w:pPr>
          <w:r>
            <w:rPr>
              <w:rFonts w:ascii="Palatino Linotype" w:hAnsi="Palatino Linotype"/>
              <w:b/>
              <w:sz w:val="22"/>
              <w:szCs w:val="22"/>
              <w:lang w:val="es-ES_tradnl"/>
            </w:rPr>
            <w:t>01912</w:t>
          </w:r>
          <w:r w:rsidR="001D1DD4">
            <w:rPr>
              <w:rFonts w:ascii="Palatino Linotype" w:hAnsi="Palatino Linotype"/>
              <w:b/>
              <w:sz w:val="22"/>
              <w:szCs w:val="22"/>
              <w:lang w:val="es-ES_tradnl"/>
            </w:rPr>
            <w:t xml:space="preserve">/INFOEM/IP/RR/2020 </w:t>
          </w:r>
        </w:p>
      </w:tc>
    </w:tr>
    <w:tr w:rsidR="00D67100" w:rsidRPr="008F2CCC">
      <w:tc>
        <w:tcPr>
          <w:tcW w:w="4253" w:type="dxa"/>
          <w:vMerge/>
          <w:shd w:val="clear" w:color="auto" w:fill="auto"/>
        </w:tcPr>
        <w:p w:rsidR="00D67100" w:rsidRPr="008F2CCC" w:rsidRDefault="00391141" w:rsidP="00D67100">
          <w:pPr>
            <w:rPr>
              <w:rFonts w:ascii="Palatino Linotype" w:hAnsi="Palatino Linotype"/>
              <w:b/>
              <w:lang w:val="es-ES_tradnl"/>
            </w:rPr>
          </w:pPr>
        </w:p>
      </w:tc>
      <w:tc>
        <w:tcPr>
          <w:tcW w:w="2552" w:type="dxa"/>
          <w:shd w:val="clear" w:color="auto" w:fill="auto"/>
        </w:tcPr>
        <w:p w:rsidR="00D67100" w:rsidRPr="008F2CCC" w:rsidRDefault="001D1DD4" w:rsidP="00D67100">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D67100" w:rsidRPr="008F2CCC" w:rsidRDefault="00C85D2F" w:rsidP="00D67100">
          <w:pPr>
            <w:jc w:val="both"/>
            <w:rPr>
              <w:rFonts w:ascii="Palatino Linotype" w:hAnsi="Palatino Linotype"/>
              <w:b/>
              <w:lang w:val="es-ES_tradnl"/>
            </w:rPr>
          </w:pPr>
          <w:r>
            <w:rPr>
              <w:rFonts w:ascii="Palatino Linotype" w:hAnsi="Palatino Linotype"/>
              <w:b/>
              <w:sz w:val="22"/>
              <w:szCs w:val="22"/>
              <w:lang w:val="es-ES_tradnl"/>
            </w:rPr>
            <w:t>XXXXXXXXXXXXXXXXXXX</w:t>
          </w:r>
        </w:p>
      </w:tc>
    </w:tr>
    <w:tr w:rsidR="00D67100" w:rsidRPr="008F2CCC">
      <w:trPr>
        <w:trHeight w:val="228"/>
      </w:trPr>
      <w:tc>
        <w:tcPr>
          <w:tcW w:w="4253" w:type="dxa"/>
          <w:vMerge/>
          <w:shd w:val="clear" w:color="auto" w:fill="auto"/>
        </w:tcPr>
        <w:p w:rsidR="00D67100" w:rsidRPr="008F2CCC" w:rsidRDefault="00391141" w:rsidP="00D67100">
          <w:pPr>
            <w:rPr>
              <w:rFonts w:ascii="Palatino Linotype" w:hAnsi="Palatino Linotype"/>
              <w:b/>
              <w:lang w:val="es-ES_tradnl"/>
            </w:rPr>
          </w:pPr>
        </w:p>
      </w:tc>
      <w:tc>
        <w:tcPr>
          <w:tcW w:w="2552" w:type="dxa"/>
          <w:shd w:val="clear" w:color="auto" w:fill="auto"/>
        </w:tcPr>
        <w:p w:rsidR="00D67100" w:rsidRPr="008F2CCC" w:rsidRDefault="001D1DD4" w:rsidP="00D67100">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D67100" w:rsidRPr="00DC41C8" w:rsidRDefault="00C85D2F" w:rsidP="00DE5591">
          <w:pPr>
            <w:jc w:val="both"/>
            <w:rPr>
              <w:rFonts w:ascii="Palatino Linotype" w:hAnsi="Palatino Linotype"/>
              <w:b/>
            </w:rPr>
          </w:pPr>
          <w:r>
            <w:rPr>
              <w:rFonts w:ascii="Palatino Linotype" w:hAnsi="Palatino Linotype"/>
              <w:b/>
              <w:sz w:val="22"/>
              <w:szCs w:val="22"/>
              <w:lang w:val="es-ES_tradnl"/>
            </w:rPr>
            <w:t>Ayuntamiento de Tultitlán</w:t>
          </w:r>
        </w:p>
      </w:tc>
    </w:tr>
    <w:tr w:rsidR="00D67100" w:rsidRPr="008F2CCC">
      <w:tc>
        <w:tcPr>
          <w:tcW w:w="4253" w:type="dxa"/>
          <w:vMerge/>
          <w:shd w:val="clear" w:color="auto" w:fill="auto"/>
        </w:tcPr>
        <w:p w:rsidR="00D67100" w:rsidRPr="008F2CCC" w:rsidRDefault="00391141" w:rsidP="00D67100">
          <w:pPr>
            <w:rPr>
              <w:rFonts w:ascii="Palatino Linotype" w:hAnsi="Palatino Linotype"/>
              <w:b/>
              <w:lang w:val="es-ES_tradnl"/>
            </w:rPr>
          </w:pPr>
        </w:p>
      </w:tc>
      <w:tc>
        <w:tcPr>
          <w:tcW w:w="2552" w:type="dxa"/>
          <w:shd w:val="clear" w:color="auto" w:fill="auto"/>
        </w:tcPr>
        <w:p w:rsidR="00D67100" w:rsidRPr="008F2CCC" w:rsidRDefault="001D1DD4" w:rsidP="00D67100">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D67100" w:rsidRPr="008F2CCC" w:rsidRDefault="001D1DD4" w:rsidP="00D67100">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67100" w:rsidRPr="0010196A" w:rsidRDefault="00391141" w:rsidP="00D67100">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9.4pt;margin-top:13.2pt;width:540pt;height:10in;z-index:-25165516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21F5"/>
    <w:multiLevelType w:val="hybridMultilevel"/>
    <w:tmpl w:val="DDDE3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2063004"/>
    <w:multiLevelType w:val="hybridMultilevel"/>
    <w:tmpl w:val="6CCC6E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F7EAE"/>
    <w:rsid w:val="00123F1D"/>
    <w:rsid w:val="001B2C57"/>
    <w:rsid w:val="001D1DD4"/>
    <w:rsid w:val="00213EB0"/>
    <w:rsid w:val="002E5920"/>
    <w:rsid w:val="00391141"/>
    <w:rsid w:val="003E5529"/>
    <w:rsid w:val="0059020F"/>
    <w:rsid w:val="00597CAC"/>
    <w:rsid w:val="005A636F"/>
    <w:rsid w:val="005B4296"/>
    <w:rsid w:val="005E0F4C"/>
    <w:rsid w:val="008B3FE1"/>
    <w:rsid w:val="009D52AA"/>
    <w:rsid w:val="00AA7021"/>
    <w:rsid w:val="00B96EA2"/>
    <w:rsid w:val="00BF7C3E"/>
    <w:rsid w:val="00C0125A"/>
    <w:rsid w:val="00C501D6"/>
    <w:rsid w:val="00C85D2F"/>
    <w:rsid w:val="00CA7161"/>
    <w:rsid w:val="00CC3776"/>
    <w:rsid w:val="00CF7EAE"/>
    <w:rsid w:val="00DE5591"/>
    <w:rsid w:val="00EA190B"/>
    <w:rsid w:val="00EF14A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94D4B1A-E88C-4F64-8444-843C5A6C7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EA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7EA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F7EAE"/>
    <w:rPr>
      <w:rFonts w:eastAsiaTheme="minorEastAsia"/>
      <w:sz w:val="24"/>
      <w:szCs w:val="24"/>
      <w:lang w:val="es-ES_tradnl" w:eastAsia="es-ES"/>
    </w:rPr>
  </w:style>
  <w:style w:type="paragraph" w:styleId="Piedepgina">
    <w:name w:val="footer"/>
    <w:basedOn w:val="Normal"/>
    <w:link w:val="PiedepginaCar"/>
    <w:uiPriority w:val="99"/>
    <w:unhideWhenUsed/>
    <w:rsid w:val="00CF7EA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F7EA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CF7EA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F7EAE"/>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EA190B"/>
    <w:rPr>
      <w:color w:val="0000FF"/>
      <w:u w:val="single"/>
    </w:rPr>
  </w:style>
  <w:style w:type="character" w:styleId="Refdecomentario">
    <w:name w:val="annotation reference"/>
    <w:basedOn w:val="Fuentedeprrafopredeter"/>
    <w:uiPriority w:val="99"/>
    <w:semiHidden/>
    <w:unhideWhenUsed/>
    <w:rsid w:val="002E5920"/>
    <w:rPr>
      <w:sz w:val="16"/>
      <w:szCs w:val="16"/>
    </w:rPr>
  </w:style>
  <w:style w:type="paragraph" w:styleId="Textocomentario">
    <w:name w:val="annotation text"/>
    <w:basedOn w:val="Normal"/>
    <w:link w:val="TextocomentarioCar"/>
    <w:uiPriority w:val="99"/>
    <w:semiHidden/>
    <w:unhideWhenUsed/>
    <w:rsid w:val="002E5920"/>
    <w:rPr>
      <w:sz w:val="20"/>
      <w:szCs w:val="20"/>
    </w:rPr>
  </w:style>
  <w:style w:type="character" w:customStyle="1" w:styleId="TextocomentarioCar">
    <w:name w:val="Texto comentario Car"/>
    <w:basedOn w:val="Fuentedeprrafopredeter"/>
    <w:link w:val="Textocomentario"/>
    <w:uiPriority w:val="99"/>
    <w:semiHidden/>
    <w:rsid w:val="002E592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E5920"/>
    <w:rPr>
      <w:b/>
      <w:bCs/>
    </w:rPr>
  </w:style>
  <w:style w:type="character" w:customStyle="1" w:styleId="AsuntodelcomentarioCar">
    <w:name w:val="Asunto del comentario Car"/>
    <w:basedOn w:val="TextocomentarioCar"/>
    <w:link w:val="Asuntodelcomentario"/>
    <w:uiPriority w:val="99"/>
    <w:semiHidden/>
    <w:rsid w:val="002E5920"/>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2E592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5920"/>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aimex.org.mx/saimex/solicitud/downloadAttach/944409.pag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5623</Words>
  <Characters>30931</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pcs</cp:lastModifiedBy>
  <cp:revision>5</cp:revision>
  <dcterms:created xsi:type="dcterms:W3CDTF">2020-09-17T23:36:00Z</dcterms:created>
  <dcterms:modified xsi:type="dcterms:W3CDTF">2020-09-29T20:46:00Z</dcterms:modified>
</cp:coreProperties>
</file>