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5F4" w:rsidRDefault="00D9247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cinco de agosto de dos mil veinte.</w:t>
      </w:r>
    </w:p>
    <w:p w:rsidR="007755F4" w:rsidRDefault="007755F4">
      <w:pPr>
        <w:spacing w:line="360" w:lineRule="auto"/>
        <w:jc w:val="both"/>
        <w:rPr>
          <w:rFonts w:ascii="Palatino Linotype" w:eastAsia="Palatino Linotype" w:hAnsi="Palatino Linotype" w:cs="Palatino Linotype"/>
        </w:rPr>
      </w:pPr>
    </w:p>
    <w:p w:rsidR="007755F4" w:rsidRDefault="00D92470">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VISTO el expediente formado con motivo del recurso de revisión </w:t>
      </w:r>
      <w:r>
        <w:rPr>
          <w:rFonts w:ascii="Palatino Linotype" w:eastAsia="Palatino Linotype" w:hAnsi="Palatino Linotype" w:cs="Palatino Linotype"/>
          <w:b/>
        </w:rPr>
        <w:t>00572/INFOEM/IP/RR/2020</w:t>
      </w:r>
      <w:r>
        <w:rPr>
          <w:rFonts w:ascii="Palatino Linotype" w:eastAsia="Palatino Linotype" w:hAnsi="Palatino Linotype" w:cs="Palatino Linotype"/>
        </w:rPr>
        <w:t xml:space="preserve">, promovido por el C.  </w:t>
      </w:r>
      <w:proofErr w:type="spellStart"/>
      <w:proofErr w:type="gramStart"/>
      <w:r w:rsidR="004743FE">
        <w:rPr>
          <w:rFonts w:ascii="Palatino Linotype" w:eastAsia="Palatino Linotype" w:hAnsi="Palatino Linotype" w:cs="Palatino Linotype"/>
        </w:rPr>
        <w:t>xxxx</w:t>
      </w:r>
      <w:proofErr w:type="spellEnd"/>
      <w:proofErr w:type="gramEnd"/>
      <w:r w:rsidR="004743FE">
        <w:rPr>
          <w:rFonts w:ascii="Palatino Linotype" w:eastAsia="Palatino Linotype" w:hAnsi="Palatino Linotype" w:cs="Palatino Linotype"/>
        </w:rPr>
        <w:t xml:space="preserve"> </w:t>
      </w:r>
      <w:proofErr w:type="spellStart"/>
      <w:r w:rsidR="004743FE">
        <w:rPr>
          <w:rFonts w:ascii="Palatino Linotype" w:eastAsia="Palatino Linotype" w:hAnsi="Palatino Linotype" w:cs="Palatino Linotype"/>
        </w:rPr>
        <w:t>xxxx</w:t>
      </w:r>
      <w:proofErr w:type="spellEnd"/>
      <w:r>
        <w:rPr>
          <w:rFonts w:ascii="Palatino Linotype" w:eastAsia="Palatino Linotype" w:hAnsi="Palatino Linotype" w:cs="Palatino Linotype"/>
          <w:b/>
          <w:sz w:val="22"/>
          <w:szCs w:val="22"/>
        </w:rPr>
        <w:t xml:space="preserve"> </w:t>
      </w:r>
      <w:proofErr w:type="spellStart"/>
      <w:r w:rsidR="004743FE">
        <w:rPr>
          <w:rFonts w:ascii="Palatino Linotype" w:eastAsia="Palatino Linotype" w:hAnsi="Palatino Linotype" w:cs="Palatino Linotype"/>
          <w:b/>
          <w:sz w:val="22"/>
          <w:szCs w:val="22"/>
        </w:rPr>
        <w:t>xxxxxx</w:t>
      </w:r>
      <w:proofErr w:type="spellEnd"/>
      <w:r>
        <w:rPr>
          <w:rFonts w:ascii="Palatino Linotype" w:eastAsia="Palatino Linotype" w:hAnsi="Palatino Linotype" w:cs="Palatino Linotype"/>
          <w:b/>
          <w:sz w:val="22"/>
          <w:szCs w:val="22"/>
        </w:rPr>
        <w:t xml:space="preserve"> </w:t>
      </w:r>
      <w:r w:rsidR="004743FE">
        <w:rPr>
          <w:rFonts w:ascii="Palatino Linotype" w:eastAsia="Palatino Linotype" w:hAnsi="Palatino Linotype" w:cs="Palatino Linotype"/>
          <w:b/>
          <w:sz w:val="22"/>
          <w:szCs w:val="22"/>
        </w:rPr>
        <w:t>xxxx</w:t>
      </w:r>
      <w:bookmarkStart w:id="0" w:name="_GoBack"/>
      <w:bookmarkEnd w:id="0"/>
      <w:r>
        <w:rPr>
          <w:rFonts w:ascii="Palatino Linotype" w:eastAsia="Palatino Linotype" w:hAnsi="Palatino Linotype" w:cs="Palatino Linotype"/>
        </w:rPr>
        <w:t xml:space="preserve">, en lo sucesivo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en contra de la respuesta emitida por el</w:t>
      </w:r>
      <w:r>
        <w:rPr>
          <w:rFonts w:ascii="Palatino Linotype" w:eastAsia="Palatino Linotype" w:hAnsi="Palatino Linotype" w:cs="Palatino Linotype"/>
          <w:b/>
        </w:rPr>
        <w:t xml:space="preserve"> Ayuntamiento de Tlalnepantla de Baz</w:t>
      </w:r>
      <w:r>
        <w:rPr>
          <w:rFonts w:ascii="Palatino Linotype" w:eastAsia="Palatino Linotype" w:hAnsi="Palatino Linotype" w:cs="Palatino Linotype"/>
        </w:rPr>
        <w:t xml:space="preserve">, en lo sucesivo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se procede a dictar la presente resolución con base en lo que se expone: </w:t>
      </w:r>
    </w:p>
    <w:p w:rsidR="007755F4" w:rsidRDefault="007755F4">
      <w:pPr>
        <w:tabs>
          <w:tab w:val="left" w:pos="9072"/>
        </w:tabs>
        <w:spacing w:line="360" w:lineRule="auto"/>
        <w:jc w:val="both"/>
        <w:rPr>
          <w:rFonts w:ascii="Palatino Linotype" w:eastAsia="Palatino Linotype" w:hAnsi="Palatino Linotype" w:cs="Palatino Linotype"/>
        </w:rPr>
      </w:pPr>
    </w:p>
    <w:p w:rsidR="007755F4" w:rsidRDefault="00D92470">
      <w:pPr>
        <w:spacing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RESULTANDO</w:t>
      </w:r>
    </w:p>
    <w:p w:rsidR="007755F4" w:rsidRDefault="007755F4">
      <w:pPr>
        <w:spacing w:line="360" w:lineRule="auto"/>
        <w:jc w:val="center"/>
        <w:rPr>
          <w:rFonts w:ascii="Palatino Linotype" w:eastAsia="Palatino Linotype" w:hAnsi="Palatino Linotype" w:cs="Palatino Linotype"/>
          <w:b/>
        </w:rPr>
      </w:pPr>
    </w:p>
    <w:p w:rsidR="007755F4" w:rsidRDefault="00D92470">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fecha doce de diciembre de dos mil diecinueve, </w:t>
      </w:r>
      <w:r>
        <w:rPr>
          <w:rFonts w:ascii="Palatino Linotype" w:eastAsia="Palatino Linotype" w:hAnsi="Palatino Linotype" w:cs="Palatino Linotype"/>
          <w:b/>
          <w:color w:val="000000"/>
        </w:rPr>
        <w:t>EL RECURRENTE</w:t>
      </w:r>
      <w:r>
        <w:rPr>
          <w:rFonts w:ascii="Palatino Linotype" w:eastAsia="Palatino Linotype" w:hAnsi="Palatino Linotype" w:cs="Palatino Linotype"/>
          <w:color w:val="000000"/>
        </w:rPr>
        <w:t xml:space="preserve"> presentó a través del Sistema de Acceso a la Información Mexiquense, en lo subsecuente </w:t>
      </w:r>
      <w:r>
        <w:rPr>
          <w:rFonts w:ascii="Palatino Linotype" w:eastAsia="Palatino Linotype" w:hAnsi="Palatino Linotype" w:cs="Palatino Linotype"/>
          <w:b/>
          <w:color w:val="000000"/>
        </w:rPr>
        <w:t>EL SAIMEX</w:t>
      </w:r>
      <w:r>
        <w:rPr>
          <w:rFonts w:ascii="Palatino Linotype" w:eastAsia="Palatino Linotype" w:hAnsi="Palatino Linotype" w:cs="Palatino Linotype"/>
          <w:color w:val="000000"/>
        </w:rPr>
        <w:t xml:space="preserve">, ante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la solicitud de acceso a información pública, a la que se le asignó el número </w:t>
      </w:r>
      <w:r>
        <w:rPr>
          <w:rFonts w:ascii="Palatino Linotype" w:eastAsia="Palatino Linotype" w:hAnsi="Palatino Linotype" w:cs="Palatino Linotype"/>
          <w:b/>
          <w:color w:val="000000"/>
        </w:rPr>
        <w:t>01306/TLALNEPA/IP/2019,</w:t>
      </w:r>
      <w:r>
        <w:rPr>
          <w:rFonts w:ascii="Palatino Linotype" w:eastAsia="Palatino Linotype" w:hAnsi="Palatino Linotype" w:cs="Palatino Linotype"/>
          <w:color w:val="000000"/>
        </w:rPr>
        <w:t xml:space="preserve"> mediante la cual solicitó, vía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 lo siguiente:</w:t>
      </w:r>
    </w:p>
    <w:p w:rsidR="007755F4" w:rsidRDefault="007755F4">
      <w:pPr>
        <w:pBdr>
          <w:top w:val="nil"/>
          <w:left w:val="nil"/>
          <w:bottom w:val="nil"/>
          <w:right w:val="nil"/>
          <w:between w:val="nil"/>
        </w:pBdr>
        <w:spacing w:line="360" w:lineRule="auto"/>
        <w:ind w:left="851" w:right="899"/>
        <w:jc w:val="both"/>
        <w:rPr>
          <w:rFonts w:ascii="Palatino Linotype" w:eastAsia="Palatino Linotype" w:hAnsi="Palatino Linotype" w:cs="Palatino Linotype"/>
          <w:i/>
          <w:color w:val="000000"/>
        </w:rPr>
      </w:pPr>
    </w:p>
    <w:p w:rsidR="007755F4" w:rsidRDefault="00D92470">
      <w:pPr>
        <w:pBdr>
          <w:top w:val="nil"/>
          <w:left w:val="nil"/>
          <w:bottom w:val="nil"/>
          <w:right w:val="nil"/>
          <w:between w:val="nil"/>
        </w:pBdr>
        <w:ind w:left="709" w:right="75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“DE CONFORMIDAD CON el artículo 6 segundo párrafo, apartado A de la Constitución Política de Los Estados Unidos Mexicanos, 12 y el TITULO QUINTO, artículo 92 fracción XXXII, entre otras de la Ley de Transparencia y Acceso a la Información Pública del Estado de México y Municipios y los LINEAMIENTOS GENERALES EN MATERIA DE CLASIFICACIÓN Y DESCLASIFICACIÓN DE LA INFORMACIÓN, ASÍ COMO PARA LA ELABORACIÓN DE VERSIONES PÚBLICAS; Capítulos IX y del artículo 63 de la LEY GENERAL DE ASENTAMIENTOS HUMANOS, ORDENAMIENTO TERRITORIAL Y </w:t>
      </w:r>
      <w:r>
        <w:rPr>
          <w:rFonts w:ascii="Palatino Linotype" w:eastAsia="Palatino Linotype" w:hAnsi="Palatino Linotype" w:cs="Palatino Linotype"/>
          <w:i/>
          <w:color w:val="000000"/>
          <w:sz w:val="22"/>
          <w:szCs w:val="22"/>
        </w:rPr>
        <w:lastRenderedPageBreak/>
        <w:t xml:space="preserve">DESARROLLO URBANO, el artículo 87 de la LEY AGRARIA y el 58 del REGLAMENTO DE LA LEY AGRARIA EN MATERIA DE CERTIFICACION DE DERECHOS EJIDALES Y TITULACION DE SOLARES, 5.4, 5.9, 5.26 fracción IV, 5.42 fracción IV y 5.44 fracción II del LIBRO QUINTO DEL CÓDIGO ADMINISTRATIVO DEL ESTADO DE MÉXICO así como de los artículos 35, 36 fracción II, el TÍTULO QUINTO DE LA SUBDIVISIÓN Y FUSIÓN, CAPÍTULO PRIMERO DE LA SUBDIVISIÓN, Artículo 89 fracciones I y VI inciso A) y tomando como antecedente el que la asamblea de ejidatarios del ejido de San Juan </w:t>
      </w:r>
      <w:proofErr w:type="spellStart"/>
      <w:r>
        <w:rPr>
          <w:rFonts w:ascii="Palatino Linotype" w:eastAsia="Palatino Linotype" w:hAnsi="Palatino Linotype" w:cs="Palatino Linotype"/>
          <w:i/>
          <w:color w:val="000000"/>
          <w:sz w:val="22"/>
          <w:szCs w:val="22"/>
        </w:rPr>
        <w:t>Ixhuatepec</w:t>
      </w:r>
      <w:proofErr w:type="spellEnd"/>
      <w:r>
        <w:rPr>
          <w:rFonts w:ascii="Palatino Linotype" w:eastAsia="Palatino Linotype" w:hAnsi="Palatino Linotype" w:cs="Palatino Linotype"/>
          <w:i/>
          <w:color w:val="000000"/>
          <w:sz w:val="22"/>
          <w:szCs w:val="22"/>
        </w:rPr>
        <w:t xml:space="preserve"> del municipio de Tlalnepantla con fecha 5 de diciembre de 2010 aprobaron los planos que incluyen los solares urbanos al interior de las zonas de asentamiento humanos irregulares dentro del ejido en comento y que conforman las colonias irregulares de </w:t>
      </w:r>
      <w:proofErr w:type="spellStart"/>
      <w:r>
        <w:rPr>
          <w:rFonts w:ascii="Palatino Linotype" w:eastAsia="Palatino Linotype" w:hAnsi="Palatino Linotype" w:cs="Palatino Linotype"/>
          <w:i/>
          <w:color w:val="000000"/>
          <w:sz w:val="22"/>
          <w:szCs w:val="22"/>
        </w:rPr>
        <w:t>Tepeoluco</w:t>
      </w:r>
      <w:proofErr w:type="spellEnd"/>
      <w:r>
        <w:rPr>
          <w:rFonts w:ascii="Palatino Linotype" w:eastAsia="Palatino Linotype" w:hAnsi="Palatino Linotype" w:cs="Palatino Linotype"/>
          <w:i/>
          <w:color w:val="000000"/>
          <w:sz w:val="22"/>
          <w:szCs w:val="22"/>
        </w:rPr>
        <w:t xml:space="preserve"> y Loma Linda, los cuales fueron inscritos en el Registro Agrario Nacional bajo el FOLIO: 15104003123031926R, por lo que solicito la siguiente información pública, que debe enviárseme vía SAIMEX; 1.- Los planos de lotificación mencionados en el enunciado de la presente solicitud de información y que debe de contar con ellos la Dirección de Transformación Urbana. 2.- Los oficios o el oficio emitido por la Secretaria de Desarrollo Urbano del Gobierno del Estado de México donde autoriza dichos planos o plano en comento.”</w:t>
      </w:r>
    </w:p>
    <w:p w:rsidR="007755F4" w:rsidRDefault="007755F4">
      <w:pPr>
        <w:pBdr>
          <w:top w:val="nil"/>
          <w:left w:val="nil"/>
          <w:bottom w:val="nil"/>
          <w:right w:val="nil"/>
          <w:between w:val="nil"/>
        </w:pBdr>
        <w:spacing w:line="360" w:lineRule="auto"/>
        <w:ind w:left="709" w:right="757"/>
        <w:jc w:val="both"/>
        <w:rPr>
          <w:rFonts w:ascii="Palatino Linotype" w:eastAsia="Palatino Linotype" w:hAnsi="Palatino Linotype" w:cs="Palatino Linotype"/>
          <w:color w:val="000000"/>
        </w:rPr>
      </w:pPr>
    </w:p>
    <w:p w:rsidR="007755F4" w:rsidRDefault="00D92470">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 las constancias que integran el expediente electrónico del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 xml:space="preserve"> se advierte que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dio respuesta a la solicitud de acceso a la información, en fecha veinte de enero de dos mil veinte, en los términos que a continuación se citan:</w:t>
      </w:r>
    </w:p>
    <w:p w:rsidR="007755F4" w:rsidRDefault="00D92470">
      <w:pPr>
        <w:ind w:left="709" w:right="757"/>
        <w:jc w:val="right"/>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7755F4" w:rsidRDefault="007755F4">
      <w:pPr>
        <w:ind w:left="709" w:right="757"/>
        <w:jc w:val="right"/>
        <w:rPr>
          <w:rFonts w:ascii="Palatino Linotype" w:eastAsia="Palatino Linotype" w:hAnsi="Palatino Linotype" w:cs="Palatino Linotype"/>
          <w:i/>
          <w:sz w:val="22"/>
          <w:szCs w:val="22"/>
        </w:rPr>
      </w:pPr>
    </w:p>
    <w:p w:rsidR="007755F4" w:rsidRDefault="00D92470">
      <w:pPr>
        <w:spacing w:line="360" w:lineRule="auto"/>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7755F4" w:rsidRDefault="007755F4">
      <w:pPr>
        <w:spacing w:line="360" w:lineRule="auto"/>
        <w:ind w:left="709" w:right="757"/>
        <w:jc w:val="both"/>
        <w:rPr>
          <w:rFonts w:ascii="Palatino Linotype" w:eastAsia="Palatino Linotype" w:hAnsi="Palatino Linotype" w:cs="Palatino Linotype"/>
          <w:i/>
          <w:sz w:val="22"/>
          <w:szCs w:val="22"/>
        </w:rPr>
      </w:pPr>
    </w:p>
    <w:p w:rsidR="007755F4" w:rsidRDefault="00D92470">
      <w:pPr>
        <w:spacing w:line="360" w:lineRule="auto"/>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SE ANEXA RESPUESTA RESPECTIVA</w:t>
      </w:r>
    </w:p>
    <w:p w:rsidR="007755F4" w:rsidRDefault="007755F4">
      <w:pPr>
        <w:spacing w:line="360" w:lineRule="auto"/>
        <w:ind w:left="709" w:right="757"/>
        <w:jc w:val="both"/>
        <w:rPr>
          <w:rFonts w:ascii="Palatino Linotype" w:eastAsia="Palatino Linotype" w:hAnsi="Palatino Linotype" w:cs="Palatino Linotype"/>
          <w:i/>
          <w:sz w:val="22"/>
          <w:szCs w:val="22"/>
        </w:rPr>
      </w:pPr>
    </w:p>
    <w:p w:rsidR="007755F4" w:rsidRDefault="00D92470">
      <w:pPr>
        <w:spacing w:line="360" w:lineRule="auto"/>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ATENTAMENTE</w:t>
      </w:r>
    </w:p>
    <w:p w:rsidR="007755F4" w:rsidRDefault="00D92470">
      <w:pPr>
        <w:spacing w:line="360" w:lineRule="auto"/>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Lic. </w:t>
      </w:r>
      <w:proofErr w:type="spellStart"/>
      <w:r>
        <w:rPr>
          <w:rFonts w:ascii="Palatino Linotype" w:eastAsia="Palatino Linotype" w:hAnsi="Palatino Linotype" w:cs="Palatino Linotype"/>
          <w:i/>
          <w:sz w:val="22"/>
          <w:szCs w:val="22"/>
        </w:rPr>
        <w:t>Monica</w:t>
      </w:r>
      <w:proofErr w:type="spellEnd"/>
      <w:r>
        <w:rPr>
          <w:rFonts w:ascii="Palatino Linotype" w:eastAsia="Palatino Linotype" w:hAnsi="Palatino Linotype" w:cs="Palatino Linotype"/>
          <w:i/>
          <w:sz w:val="22"/>
          <w:szCs w:val="22"/>
        </w:rPr>
        <w:t xml:space="preserve"> Chávez Durán” </w:t>
      </w:r>
    </w:p>
    <w:p w:rsidR="007755F4" w:rsidRDefault="007755F4">
      <w:pPr>
        <w:spacing w:line="360" w:lineRule="auto"/>
        <w:jc w:val="both"/>
        <w:rPr>
          <w:rFonts w:ascii="Palatino Linotype" w:eastAsia="Palatino Linotype" w:hAnsi="Palatino Linotype" w:cs="Palatino Linotype"/>
          <w:i/>
          <w:sz w:val="22"/>
          <w:szCs w:val="22"/>
        </w:rPr>
      </w:pPr>
    </w:p>
    <w:p w:rsidR="007755F4" w:rsidRDefault="00D9247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Adjunto a su respuesta,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remitió el archivo electrónico </w:t>
      </w:r>
      <w:r>
        <w:rPr>
          <w:rFonts w:ascii="Palatino Linotype" w:eastAsia="Palatino Linotype" w:hAnsi="Palatino Linotype" w:cs="Palatino Linotype"/>
          <w:b/>
        </w:rPr>
        <w:t xml:space="preserve">RESP-TRANSFORMACION_URBANA.zip </w:t>
      </w:r>
      <w:r>
        <w:rPr>
          <w:rFonts w:ascii="Palatino Linotype" w:eastAsia="Palatino Linotype" w:hAnsi="Palatino Linotype" w:cs="Palatino Linotype"/>
        </w:rPr>
        <w:t>a través del cual el Director de Transformación Urbana, informa al particular que el Jefe de Departamento de Tenencia de la Tierra y Control de crecimiento urbano había manifestado no contar con la información requerida.</w:t>
      </w:r>
    </w:p>
    <w:p w:rsidR="007755F4" w:rsidRDefault="007755F4">
      <w:pPr>
        <w:spacing w:line="360" w:lineRule="auto"/>
        <w:jc w:val="both"/>
        <w:rPr>
          <w:rFonts w:ascii="Palatino Linotype" w:eastAsia="Palatino Linotype" w:hAnsi="Palatino Linotype" w:cs="Palatino Linotype"/>
        </w:rPr>
      </w:pPr>
    </w:p>
    <w:p w:rsidR="007755F4" w:rsidRDefault="00D92470">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Inconforme con la respuesta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el veintiuno de enero de dos mil veinte, </w:t>
      </w:r>
      <w:r>
        <w:rPr>
          <w:rFonts w:ascii="Palatino Linotype" w:eastAsia="Palatino Linotype" w:hAnsi="Palatino Linotype" w:cs="Palatino Linotype"/>
          <w:b/>
          <w:color w:val="000000"/>
        </w:rPr>
        <w:t>EL RECURRENTE</w:t>
      </w:r>
      <w:r>
        <w:rPr>
          <w:rFonts w:ascii="Palatino Linotype" w:eastAsia="Palatino Linotype" w:hAnsi="Palatino Linotype" w:cs="Palatino Linotype"/>
          <w:color w:val="000000"/>
        </w:rPr>
        <w:t xml:space="preserve"> interpuso el recurso de revisión objeto del presente estudio, el cual fue registrado en </w:t>
      </w:r>
      <w:r>
        <w:rPr>
          <w:rFonts w:ascii="Palatino Linotype" w:eastAsia="Palatino Linotype" w:hAnsi="Palatino Linotype" w:cs="Palatino Linotype"/>
          <w:b/>
          <w:color w:val="000000"/>
        </w:rPr>
        <w:t>EL SAIMEX</w:t>
      </w:r>
      <w:r>
        <w:rPr>
          <w:rFonts w:ascii="Palatino Linotype" w:eastAsia="Palatino Linotype" w:hAnsi="Palatino Linotype" w:cs="Palatino Linotype"/>
          <w:color w:val="000000"/>
        </w:rPr>
        <w:t xml:space="preserve"> y se le asignó el número de expediente </w:t>
      </w:r>
      <w:r>
        <w:rPr>
          <w:rFonts w:ascii="Palatino Linotype" w:eastAsia="Palatino Linotype" w:hAnsi="Palatino Linotype" w:cs="Palatino Linotype"/>
          <w:b/>
          <w:color w:val="000000"/>
        </w:rPr>
        <w:t>00572/INFOEM/IP/RR/2020</w:t>
      </w:r>
      <w:r>
        <w:rPr>
          <w:rFonts w:ascii="Palatino Linotype" w:eastAsia="Palatino Linotype" w:hAnsi="Palatino Linotype" w:cs="Palatino Linotype"/>
          <w:color w:val="000000"/>
        </w:rPr>
        <w:t xml:space="preserve"> en el que señaló como acto impugnado lo siguiente:</w:t>
      </w:r>
    </w:p>
    <w:p w:rsidR="007755F4" w:rsidRDefault="007755F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7755F4" w:rsidRDefault="00D92470">
      <w:pPr>
        <w:ind w:left="709" w:right="75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“La falta de sustento y </w:t>
      </w:r>
      <w:proofErr w:type="spellStart"/>
      <w:r>
        <w:rPr>
          <w:rFonts w:ascii="Palatino Linotype" w:eastAsia="Palatino Linotype" w:hAnsi="Palatino Linotype" w:cs="Palatino Linotype"/>
          <w:i/>
          <w:color w:val="000000"/>
          <w:sz w:val="22"/>
          <w:szCs w:val="22"/>
        </w:rPr>
        <w:t>fundamentacion</w:t>
      </w:r>
      <w:proofErr w:type="spellEnd"/>
      <w:r>
        <w:rPr>
          <w:rFonts w:ascii="Palatino Linotype" w:eastAsia="Palatino Linotype" w:hAnsi="Palatino Linotype" w:cs="Palatino Linotype"/>
          <w:i/>
          <w:color w:val="000000"/>
          <w:sz w:val="22"/>
          <w:szCs w:val="22"/>
        </w:rPr>
        <w:t xml:space="preserve"> en la respuesta emitida por el sujeto obligado.”</w:t>
      </w:r>
    </w:p>
    <w:p w:rsidR="007755F4" w:rsidRDefault="007755F4">
      <w:pPr>
        <w:spacing w:line="360" w:lineRule="auto"/>
        <w:ind w:right="757"/>
        <w:jc w:val="both"/>
        <w:rPr>
          <w:rFonts w:ascii="Palatino Linotype" w:eastAsia="Palatino Linotype" w:hAnsi="Palatino Linotype" w:cs="Palatino Linotype"/>
        </w:rPr>
      </w:pPr>
    </w:p>
    <w:p w:rsidR="007755F4" w:rsidRDefault="00D92470">
      <w:pPr>
        <w:ind w:right="757"/>
        <w:jc w:val="both"/>
        <w:rPr>
          <w:rFonts w:ascii="Palatino Linotype" w:eastAsia="Palatino Linotype" w:hAnsi="Palatino Linotype" w:cs="Palatino Linotype"/>
        </w:rPr>
      </w:pPr>
      <w:r>
        <w:rPr>
          <w:rFonts w:ascii="Palatino Linotype" w:eastAsia="Palatino Linotype" w:hAnsi="Palatino Linotype" w:cs="Palatino Linotype"/>
        </w:rPr>
        <w:t>Asimismo, manifestó como razones o motivos de inconformidad:</w:t>
      </w:r>
    </w:p>
    <w:p w:rsidR="007755F4" w:rsidRDefault="007755F4">
      <w:pPr>
        <w:pBdr>
          <w:top w:val="nil"/>
          <w:left w:val="nil"/>
          <w:bottom w:val="nil"/>
          <w:right w:val="nil"/>
          <w:between w:val="nil"/>
        </w:pBdr>
        <w:ind w:left="709" w:right="757"/>
        <w:jc w:val="both"/>
        <w:rPr>
          <w:rFonts w:ascii="Palatino Linotype" w:eastAsia="Palatino Linotype" w:hAnsi="Palatino Linotype" w:cs="Palatino Linotype"/>
          <w:i/>
          <w:color w:val="000000"/>
        </w:rPr>
      </w:pPr>
    </w:p>
    <w:p w:rsidR="007755F4" w:rsidRDefault="00D92470">
      <w:pPr>
        <w:pBdr>
          <w:top w:val="nil"/>
          <w:left w:val="nil"/>
          <w:bottom w:val="nil"/>
          <w:right w:val="nil"/>
          <w:between w:val="nil"/>
        </w:pBdr>
        <w:ind w:left="709" w:right="75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“En la respuesta enviada por el sujeto obligado, se omite, entre otras disposiciones legales, lo establecido en el </w:t>
      </w:r>
      <w:proofErr w:type="spellStart"/>
      <w:r>
        <w:rPr>
          <w:rFonts w:ascii="Palatino Linotype" w:eastAsia="Palatino Linotype" w:hAnsi="Palatino Linotype" w:cs="Palatino Linotype"/>
          <w:i/>
          <w:color w:val="000000"/>
          <w:sz w:val="22"/>
          <w:szCs w:val="22"/>
        </w:rPr>
        <w:t>articulo</w:t>
      </w:r>
      <w:proofErr w:type="spellEnd"/>
      <w:r>
        <w:rPr>
          <w:rFonts w:ascii="Palatino Linotype" w:eastAsia="Palatino Linotype" w:hAnsi="Palatino Linotype" w:cs="Palatino Linotype"/>
          <w:i/>
          <w:color w:val="000000"/>
          <w:sz w:val="22"/>
          <w:szCs w:val="22"/>
        </w:rPr>
        <w:t xml:space="preserve"> 49 de la Ley de Transparencia y Acceso a la Información </w:t>
      </w:r>
      <w:proofErr w:type="spellStart"/>
      <w:r>
        <w:rPr>
          <w:rFonts w:ascii="Palatino Linotype" w:eastAsia="Palatino Linotype" w:hAnsi="Palatino Linotype" w:cs="Palatino Linotype"/>
          <w:i/>
          <w:color w:val="000000"/>
          <w:sz w:val="22"/>
          <w:szCs w:val="22"/>
        </w:rPr>
        <w:t>Publica</w:t>
      </w:r>
      <w:proofErr w:type="spellEnd"/>
      <w:r>
        <w:rPr>
          <w:rFonts w:ascii="Palatino Linotype" w:eastAsia="Palatino Linotype" w:hAnsi="Palatino Linotype" w:cs="Palatino Linotype"/>
          <w:i/>
          <w:color w:val="000000"/>
          <w:sz w:val="22"/>
          <w:szCs w:val="22"/>
        </w:rPr>
        <w:t xml:space="preserve"> del Estado de México y su Reglamento respectivo.”</w:t>
      </w:r>
    </w:p>
    <w:p w:rsidR="007755F4" w:rsidRDefault="007755F4">
      <w:pPr>
        <w:spacing w:line="360" w:lineRule="auto"/>
        <w:ind w:right="757"/>
        <w:jc w:val="both"/>
        <w:rPr>
          <w:rFonts w:ascii="Palatino Linotype" w:eastAsia="Palatino Linotype" w:hAnsi="Palatino Linotype" w:cs="Palatino Linotype"/>
          <w:i/>
        </w:rPr>
      </w:pPr>
    </w:p>
    <w:p w:rsidR="007755F4" w:rsidRDefault="00D92470">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El recurso de que se trata se envió electrónicamente al Instituto de Transparencia, Acceso a la Información Pública y Protección de Datos Personales del Estado de México y Municipios en fecha veintiuno de enero de dos mil veinte y con fundamento en el artículo 185, fracción I de la Ley de Transparencia y Acceso a la Información Pública del Estado de México y Municipios, se turnó, a través del </w:t>
      </w:r>
      <w:r>
        <w:rPr>
          <w:rFonts w:ascii="Palatino Linotype" w:eastAsia="Palatino Linotype" w:hAnsi="Palatino Linotype" w:cs="Palatino Linotype"/>
          <w:b/>
          <w:color w:val="000000"/>
        </w:rPr>
        <w:lastRenderedPageBreak/>
        <w:t>SAIMEX</w:t>
      </w:r>
      <w:r>
        <w:rPr>
          <w:rFonts w:ascii="Palatino Linotype" w:eastAsia="Palatino Linotype" w:hAnsi="Palatino Linotype" w:cs="Palatino Linotype"/>
          <w:color w:val="000000"/>
        </w:rPr>
        <w:t xml:space="preserve">, a la Comisionada </w:t>
      </w:r>
      <w:r>
        <w:rPr>
          <w:rFonts w:ascii="Palatino Linotype" w:eastAsia="Palatino Linotype" w:hAnsi="Palatino Linotype" w:cs="Palatino Linotype"/>
          <w:b/>
          <w:color w:val="000000"/>
        </w:rPr>
        <w:t>EVA ABAID YAPUR</w:t>
      </w:r>
      <w:r>
        <w:rPr>
          <w:rFonts w:ascii="Palatino Linotype" w:eastAsia="Palatino Linotype" w:hAnsi="Palatino Linotype" w:cs="Palatino Linotype"/>
          <w:color w:val="000000"/>
        </w:rPr>
        <w:t>, a efecto de que decretara su admisión o desechamiento.</w:t>
      </w:r>
    </w:p>
    <w:p w:rsidR="007755F4" w:rsidRDefault="007755F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7755F4" w:rsidRDefault="00D92470">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fecha diez de enero de dos mil veinte, atento a lo dispuesto en el artículo 185, fracciones I, II y IV de la Ley de Transparencia y Acceso a la Información Pública del Estado de México y Municipios, se acordó la admisión a trámite del referido recurso de revisión, así como la integración del expediente respectivo, mismo que se puso a disposición de las partes, para que, de considerarlo conveniente, en el plazo máximo de siete días hábiles, </w:t>
      </w:r>
      <w:r>
        <w:rPr>
          <w:rFonts w:ascii="Palatino Linotype" w:eastAsia="Palatino Linotype" w:hAnsi="Palatino Linotype" w:cs="Palatino Linotype"/>
          <w:b/>
          <w:color w:val="000000"/>
        </w:rPr>
        <w:t>EL RECURRENTE</w:t>
      </w:r>
      <w:r>
        <w:rPr>
          <w:rFonts w:ascii="Palatino Linotype" w:eastAsia="Palatino Linotype" w:hAnsi="Palatino Linotype" w:cs="Palatino Linotype"/>
          <w:color w:val="000000"/>
        </w:rPr>
        <w:t xml:space="preserve"> realizara manifestaciones y alegatos, así como ofreciera las pruebas que a su derecho conviniera y, en el caso del</w:t>
      </w:r>
      <w:r>
        <w:rPr>
          <w:rFonts w:ascii="Palatino Linotype" w:eastAsia="Palatino Linotype" w:hAnsi="Palatino Linotype" w:cs="Palatino Linotype"/>
          <w:b/>
          <w:color w:val="000000"/>
        </w:rPr>
        <w:t xml:space="preserve"> SUJETO OBLIGADO</w:t>
      </w:r>
      <w:r>
        <w:rPr>
          <w:rFonts w:ascii="Palatino Linotype" w:eastAsia="Palatino Linotype" w:hAnsi="Palatino Linotype" w:cs="Palatino Linotype"/>
          <w:color w:val="000000"/>
        </w:rPr>
        <w:t xml:space="preserve"> exhibiera el Informe Justificado. </w:t>
      </w:r>
    </w:p>
    <w:p w:rsidR="007755F4" w:rsidRDefault="007755F4">
      <w:pPr>
        <w:pBdr>
          <w:top w:val="nil"/>
          <w:left w:val="nil"/>
          <w:bottom w:val="nil"/>
          <w:right w:val="nil"/>
          <w:between w:val="nil"/>
        </w:pBdr>
        <w:spacing w:line="360" w:lineRule="auto"/>
        <w:ind w:left="720"/>
        <w:rPr>
          <w:rFonts w:ascii="Palatino Linotype" w:eastAsia="Palatino Linotype" w:hAnsi="Palatino Linotype" w:cs="Palatino Linotype"/>
          <w:color w:val="000000"/>
        </w:rPr>
      </w:pPr>
    </w:p>
    <w:p w:rsidR="007755F4" w:rsidRDefault="00D92470">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 las constancias que obran en el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 xml:space="preserve">, se desprende que dentro del término concedido a las partes </w:t>
      </w:r>
      <w:r>
        <w:rPr>
          <w:rFonts w:ascii="Palatino Linotype" w:eastAsia="Palatino Linotype" w:hAnsi="Palatino Linotype" w:cs="Palatino Linotype"/>
          <w:b/>
          <w:color w:val="000000"/>
        </w:rPr>
        <w:t xml:space="preserve">EL RECURRENTE </w:t>
      </w:r>
      <w:r>
        <w:rPr>
          <w:rFonts w:ascii="Palatino Linotype" w:eastAsia="Palatino Linotype" w:hAnsi="Palatino Linotype" w:cs="Palatino Linotype"/>
          <w:color w:val="000000"/>
        </w:rPr>
        <w:t xml:space="preserve">no presentó manifestaciones y alegatos, ni ofreció los medios de prueba que a su derecho convinieran. Por su parte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el día seis de febrero de dos mil veinte, rindió su Informe Justificado, tal y como se observa a continuación:</w:t>
      </w:r>
    </w:p>
    <w:p w:rsidR="007755F4" w:rsidRDefault="00D92470">
      <w:pPr>
        <w:rPr>
          <w:rFonts w:ascii="Palatino Linotype" w:eastAsia="Palatino Linotype" w:hAnsi="Palatino Linotype" w:cs="Palatino Linotype"/>
        </w:rPr>
      </w:pPr>
      <w:r>
        <w:rPr>
          <w:noProof/>
          <w:lang w:eastAsia="es-MX"/>
        </w:rPr>
        <w:drawing>
          <wp:inline distT="0" distB="0" distL="0" distR="0">
            <wp:extent cx="5791835" cy="2076450"/>
            <wp:effectExtent l="0" t="0" r="0" b="0"/>
            <wp:docPr id="2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8"/>
                    <a:srcRect/>
                    <a:stretch>
                      <a:fillRect/>
                    </a:stretch>
                  </pic:blipFill>
                  <pic:spPr>
                    <a:xfrm>
                      <a:off x="0" y="0"/>
                      <a:ext cx="5791835" cy="2076450"/>
                    </a:xfrm>
                    <a:prstGeom prst="rect">
                      <a:avLst/>
                    </a:prstGeom>
                    <a:ln/>
                  </pic:spPr>
                </pic:pic>
              </a:graphicData>
            </a:graphic>
          </wp:inline>
        </w:drawing>
      </w:r>
    </w:p>
    <w:p w:rsidR="007755F4" w:rsidRDefault="00D92470">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Transcurrido el plazo señalado en el párrafo anterior y, una vez analizado el estado procesal que guardaba el expediente, en fecha cinco de marzo de dos mil veinte,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7755F4" w:rsidRDefault="007755F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7755F4" w:rsidRDefault="00D92470">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El seis de marzo de dos mil veinte,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w:t>
      </w:r>
    </w:p>
    <w:p w:rsidR="007755F4" w:rsidRDefault="007755F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7755F4" w:rsidRDefault="00D92470">
      <w:pPr>
        <w:spacing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CONSIDERANDO</w:t>
      </w:r>
    </w:p>
    <w:p w:rsidR="007755F4" w:rsidRDefault="007755F4">
      <w:pPr>
        <w:spacing w:line="360" w:lineRule="auto"/>
        <w:jc w:val="center"/>
        <w:rPr>
          <w:rFonts w:ascii="Palatino Linotype" w:eastAsia="Palatino Linotype" w:hAnsi="Palatino Linotype" w:cs="Palatino Linotype"/>
          <w:b/>
        </w:rPr>
      </w:pPr>
    </w:p>
    <w:p w:rsidR="007755F4" w:rsidRDefault="00D92470">
      <w:pPr>
        <w:widowControl w:val="0"/>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Competencia</w:t>
      </w:r>
      <w:r>
        <w:rPr>
          <w:rFonts w:ascii="Palatino Linotype" w:eastAsia="Palatino Linotype" w:hAnsi="Palatino Linotype" w:cs="Palatino Linotype"/>
          <w:color w:val="000000"/>
        </w:rPr>
        <w:t>.</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vigésimo segundo, vigésimo tercero y vigésimo cuarto,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rsidR="007755F4" w:rsidRDefault="007755F4">
      <w:pPr>
        <w:widowControl w:val="0"/>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7755F4" w:rsidRDefault="00D92470">
      <w:pPr>
        <w:widowControl w:val="0"/>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Interés.</w:t>
      </w:r>
      <w:r>
        <w:rPr>
          <w:rFonts w:ascii="Palatino Linotype" w:eastAsia="Palatino Linotype" w:hAnsi="Palatino Linotype" w:cs="Palatino Linotype"/>
          <w:color w:val="000000"/>
        </w:rPr>
        <w:t xml:space="preserve"> El recurso de revisión fue interpuesto por parte legítima en atención a que fue presentado por </w:t>
      </w:r>
      <w:r>
        <w:rPr>
          <w:rFonts w:ascii="Palatino Linotype" w:eastAsia="Palatino Linotype" w:hAnsi="Palatino Linotype" w:cs="Palatino Linotype"/>
          <w:b/>
          <w:color w:val="000000"/>
        </w:rPr>
        <w:t>EL RECURRENTE</w:t>
      </w:r>
      <w:r>
        <w:rPr>
          <w:rFonts w:ascii="Palatino Linotype" w:eastAsia="Palatino Linotype" w:hAnsi="Palatino Linotype" w:cs="Palatino Linotype"/>
          <w:color w:val="000000"/>
        </w:rPr>
        <w:t xml:space="preserve">, quien es la misma persona que formuló la solicitud de información pública número </w:t>
      </w:r>
      <w:r>
        <w:rPr>
          <w:rFonts w:ascii="Palatino Linotype" w:eastAsia="Palatino Linotype" w:hAnsi="Palatino Linotype" w:cs="Palatino Linotype"/>
          <w:b/>
          <w:color w:val="000000"/>
        </w:rPr>
        <w:t xml:space="preserve">01306/TLALNEPA/IP/2019 </w:t>
      </w:r>
      <w:r>
        <w:rPr>
          <w:rFonts w:ascii="Palatino Linotype" w:eastAsia="Palatino Linotype" w:hAnsi="Palatino Linotype" w:cs="Palatino Linotype"/>
          <w:color w:val="000000"/>
        </w:rPr>
        <w:t>al</w:t>
      </w:r>
      <w:r>
        <w:rPr>
          <w:rFonts w:ascii="Palatino Linotype" w:eastAsia="Palatino Linotype" w:hAnsi="Palatino Linotype" w:cs="Palatino Linotype"/>
          <w:b/>
          <w:color w:val="000000"/>
        </w:rPr>
        <w:t xml:space="preserve"> SUJETO OBLIGADO</w:t>
      </w:r>
      <w:r>
        <w:rPr>
          <w:rFonts w:ascii="Palatino Linotype" w:eastAsia="Palatino Linotype" w:hAnsi="Palatino Linotype" w:cs="Palatino Linotype"/>
          <w:color w:val="000000"/>
        </w:rPr>
        <w:t>.</w:t>
      </w:r>
    </w:p>
    <w:p w:rsidR="007755F4" w:rsidRDefault="007755F4">
      <w:pPr>
        <w:widowControl w:val="0"/>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7755F4" w:rsidRDefault="00D92470">
      <w:pPr>
        <w:widowControl w:val="0"/>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Oportunidad. </w:t>
      </w:r>
      <w:r>
        <w:rPr>
          <w:rFonts w:ascii="Palatino Linotype" w:eastAsia="Palatino Linotype" w:hAnsi="Palatino Linotype" w:cs="Palatino Linotype"/>
          <w:color w:val="000000"/>
        </w:rPr>
        <w:t xml:space="preserve">El recurso de revisión fue interpuesto dentro del plazo de quince días hábiles contados a partir del día siguiente a aquel en que </w:t>
      </w:r>
      <w:r>
        <w:rPr>
          <w:rFonts w:ascii="Palatino Linotype" w:eastAsia="Palatino Linotype" w:hAnsi="Palatino Linotype" w:cs="Palatino Linotype"/>
          <w:b/>
          <w:color w:val="000000"/>
        </w:rPr>
        <w:t xml:space="preserve">EL RECURRENTE </w:t>
      </w:r>
      <w:r>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rsidR="007755F4" w:rsidRDefault="007755F4">
      <w:pPr>
        <w:widowControl w:val="0"/>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7755F4" w:rsidRDefault="00D92470">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178.</w:t>
      </w:r>
      <w:r>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7755F4" w:rsidRDefault="007755F4">
      <w:pPr>
        <w:ind w:left="709" w:right="757"/>
        <w:jc w:val="both"/>
        <w:rPr>
          <w:rFonts w:ascii="Palatino Linotype" w:eastAsia="Palatino Linotype" w:hAnsi="Palatino Linotype" w:cs="Palatino Linotype"/>
          <w:i/>
          <w:sz w:val="22"/>
          <w:szCs w:val="22"/>
        </w:rPr>
      </w:pPr>
    </w:p>
    <w:p w:rsidR="007755F4" w:rsidRDefault="00D92470">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7755F4" w:rsidRDefault="007755F4">
      <w:pPr>
        <w:ind w:left="709" w:right="757"/>
        <w:jc w:val="both"/>
        <w:rPr>
          <w:rFonts w:ascii="Palatino Linotype" w:eastAsia="Palatino Linotype" w:hAnsi="Palatino Linotype" w:cs="Palatino Linotype"/>
          <w:i/>
          <w:sz w:val="22"/>
          <w:szCs w:val="22"/>
        </w:rPr>
      </w:pPr>
    </w:p>
    <w:p w:rsidR="007755F4" w:rsidRDefault="00D92470">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rsidR="007755F4" w:rsidRDefault="007755F4">
      <w:pPr>
        <w:spacing w:line="360" w:lineRule="auto"/>
        <w:ind w:left="709" w:right="709"/>
        <w:jc w:val="both"/>
        <w:rPr>
          <w:rFonts w:ascii="Palatino Linotype" w:eastAsia="Palatino Linotype" w:hAnsi="Palatino Linotype" w:cs="Palatino Linotype"/>
          <w:i/>
        </w:rPr>
      </w:pPr>
    </w:p>
    <w:p w:rsidR="007755F4" w:rsidRDefault="00D9247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esa tesitura, atendiendo a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notificó la respuesta a la solicitud de información pública el día</w:t>
      </w:r>
      <w:r>
        <w:rPr>
          <w:rFonts w:ascii="Palatino Linotype" w:eastAsia="Palatino Linotype" w:hAnsi="Palatino Linotype" w:cs="Palatino Linotype"/>
          <w:b/>
        </w:rPr>
        <w:t xml:space="preserve"> dos de octubre de dos mil diecinueve</w:t>
      </w:r>
      <w:r>
        <w:rPr>
          <w:rFonts w:ascii="Palatino Linotype" w:eastAsia="Palatino Linotype" w:hAnsi="Palatino Linotype" w:cs="Palatino Linotype"/>
        </w:rPr>
        <w:t xml:space="preserve">; el plazo de quince días hábiles que el artículo 178 de la Ley de la materia otorga a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para presentar el recurso de revisión, transcurrió del </w:t>
      </w:r>
      <w:r>
        <w:rPr>
          <w:rFonts w:ascii="Palatino Linotype" w:eastAsia="Palatino Linotype" w:hAnsi="Palatino Linotype" w:cs="Palatino Linotype"/>
          <w:b/>
        </w:rPr>
        <w:t>tres a veintitrés de octubre de dos mil diecinueve</w:t>
      </w:r>
      <w:r>
        <w:rPr>
          <w:rFonts w:ascii="Palatino Linotype" w:eastAsia="Palatino Linotype" w:hAnsi="Palatino Linotype" w:cs="Palatino Linotype"/>
        </w:rPr>
        <w:t>, sin contemplar en el cómputo los días cinco, seis, doce, trece diecinueve y veinte de octubre de dos mil diecinueve, por corresponder a sábados y domingos, en términos del artículo 3, fracción X, de la Ley de Transparencia y Acceso a la Información Pública del Estado de México y Municipios.</w:t>
      </w:r>
    </w:p>
    <w:p w:rsidR="007755F4" w:rsidRDefault="007755F4">
      <w:pPr>
        <w:spacing w:line="360" w:lineRule="auto"/>
        <w:jc w:val="both"/>
        <w:rPr>
          <w:rFonts w:ascii="Palatino Linotype" w:eastAsia="Palatino Linotype" w:hAnsi="Palatino Linotype" w:cs="Palatino Linotype"/>
        </w:rPr>
      </w:pPr>
    </w:p>
    <w:p w:rsidR="007755F4" w:rsidRDefault="00D92470">
      <w:pPr>
        <w:spacing w:line="360" w:lineRule="auto"/>
        <w:jc w:val="both"/>
        <w:rPr>
          <w:rFonts w:ascii="Palatino Linotype" w:eastAsia="Palatino Linotype" w:hAnsi="Palatino Linotype" w:cs="Palatino Linotype"/>
          <w:b/>
          <w:u w:val="single"/>
        </w:rPr>
      </w:pPr>
      <w:r>
        <w:rPr>
          <w:rFonts w:ascii="Palatino Linotype" w:eastAsia="Palatino Linotype" w:hAnsi="Palatino Linotype" w:cs="Palatino Linotype"/>
        </w:rPr>
        <w:t>En ese tenor, si el recurso de revisión que nos ocupa, se interpuso el</w:t>
      </w:r>
      <w:r>
        <w:rPr>
          <w:rFonts w:ascii="Palatino Linotype" w:eastAsia="Palatino Linotype" w:hAnsi="Palatino Linotype" w:cs="Palatino Linotype"/>
          <w:b/>
        </w:rPr>
        <w:t xml:space="preserve"> </w:t>
      </w:r>
      <w:r>
        <w:rPr>
          <w:rFonts w:ascii="Palatino Linotype" w:eastAsia="Palatino Linotype" w:hAnsi="Palatino Linotype" w:cs="Palatino Linotype"/>
          <w:b/>
          <w:u w:val="single"/>
        </w:rPr>
        <w:t>tres de octubre de dos mil diecinueve</w:t>
      </w:r>
      <w:r>
        <w:rPr>
          <w:rFonts w:ascii="Palatino Linotype" w:eastAsia="Palatino Linotype" w:hAnsi="Palatino Linotype" w:cs="Palatino Linotype"/>
        </w:rPr>
        <w:t>, éste se encuentra dentro de los márgenes temporales previstos en el precepto legal citado en el párrafo anterior y, por tanto, su interposición se considera oportuna.</w:t>
      </w:r>
    </w:p>
    <w:p w:rsidR="007755F4" w:rsidRDefault="007755F4">
      <w:pPr>
        <w:widowControl w:val="0"/>
        <w:pBdr>
          <w:top w:val="nil"/>
          <w:left w:val="nil"/>
          <w:bottom w:val="nil"/>
          <w:right w:val="nil"/>
          <w:between w:val="nil"/>
        </w:pBdr>
        <w:tabs>
          <w:tab w:val="left" w:pos="1701"/>
        </w:tabs>
        <w:spacing w:line="360" w:lineRule="auto"/>
        <w:jc w:val="both"/>
        <w:rPr>
          <w:rFonts w:ascii="Palatino Linotype" w:eastAsia="Palatino Linotype" w:hAnsi="Palatino Linotype" w:cs="Palatino Linotype"/>
          <w:color w:val="000000"/>
        </w:rPr>
      </w:pPr>
    </w:p>
    <w:p w:rsidR="007755F4" w:rsidRDefault="00D92470">
      <w:pPr>
        <w:widowControl w:val="0"/>
        <w:pBdr>
          <w:top w:val="nil"/>
          <w:left w:val="nil"/>
          <w:bottom w:val="nil"/>
          <w:right w:val="nil"/>
          <w:between w:val="nil"/>
        </w:pBdr>
        <w:tabs>
          <w:tab w:val="left" w:pos="1701"/>
          <w:tab w:val="left" w:pos="1843"/>
        </w:tabs>
        <w:spacing w:before="240" w:after="240"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sz w:val="28"/>
          <w:szCs w:val="28"/>
        </w:rPr>
        <w:t xml:space="preserve">CUARTO. </w:t>
      </w:r>
      <w:r>
        <w:rPr>
          <w:rFonts w:ascii="Palatino Linotype" w:eastAsia="Palatino Linotype" w:hAnsi="Palatino Linotype" w:cs="Palatino Linotype"/>
          <w:b/>
          <w:color w:val="000000"/>
        </w:rPr>
        <w:t xml:space="preserve">Procedibilidad. </w:t>
      </w:r>
      <w:r>
        <w:rPr>
          <w:rFonts w:ascii="Palatino Linotype" w:eastAsia="Palatino Linotype" w:hAnsi="Palatino Linotype" w:cs="Palatino Linotype"/>
          <w:color w:val="000000"/>
        </w:rPr>
        <w:t>Del análisis efectuado se advierte que resulta procedente la interposición de los recursos y se concluye la acreditación plena de todos y cada uno de los elementos formales exigidos por el artículo 180 de la Ley de Transparencia y Acceso a la Información Pública del Estado de México y Municipios, en atención a que fue presentado mediante el formato visible en EL SAIMEX.</w:t>
      </w:r>
    </w:p>
    <w:p w:rsidR="007755F4" w:rsidRDefault="007755F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7755F4" w:rsidRDefault="00D92470">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Estudio y resolución del recurso. </w:t>
      </w:r>
      <w:r>
        <w:rPr>
          <w:rFonts w:ascii="Palatino Linotype" w:eastAsia="Palatino Linotype" w:hAnsi="Palatino Linotype" w:cs="Palatino Linotype"/>
          <w:color w:val="000000"/>
        </w:rPr>
        <w:t>Es así que, una vez determinada la vía sobre la que versará el presente Recurso, y previa revisión del expediente electrónico formado en el</w:t>
      </w:r>
      <w:r>
        <w:rPr>
          <w:rFonts w:ascii="Palatino Linotype" w:eastAsia="Palatino Linotype" w:hAnsi="Palatino Linotype" w:cs="Palatino Linotype"/>
          <w:b/>
          <w:color w:val="000000"/>
        </w:rPr>
        <w:t xml:space="preserve"> SAIMEX</w:t>
      </w:r>
      <w:r>
        <w:rPr>
          <w:rFonts w:ascii="Palatino Linotype" w:eastAsia="Palatino Linotype" w:hAnsi="Palatino Linotype" w:cs="Palatino Linotype"/>
          <w:color w:val="000000"/>
        </w:rPr>
        <w:t xml:space="preserve"> por motivo de la solicitud de información y del recurso a que da origen,  se advierte que es procedente, toda vez que se actualiza la hipótesis prevista en la fracción V, del artículo 179 de la Ley de la materia, que a la letra dice:</w:t>
      </w:r>
    </w:p>
    <w:p w:rsidR="007755F4" w:rsidRDefault="007755F4">
      <w:pPr>
        <w:widowControl w:val="0"/>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7755F4" w:rsidRDefault="00D92470">
      <w:pPr>
        <w:widowControl w:val="0"/>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i/>
          <w:sz w:val="22"/>
          <w:szCs w:val="22"/>
        </w:rPr>
        <w:t>. El recurso de revisión es un medio de protección que la Ley otorga a los particulares, para hacer valer su derecho de acceso a la información pública, y procederá en contra de las siguientes causas:</w:t>
      </w:r>
    </w:p>
    <w:p w:rsidR="007755F4" w:rsidRDefault="007755F4">
      <w:pPr>
        <w:widowControl w:val="0"/>
        <w:ind w:left="709" w:right="757"/>
        <w:jc w:val="both"/>
        <w:rPr>
          <w:rFonts w:ascii="Palatino Linotype" w:eastAsia="Palatino Linotype" w:hAnsi="Palatino Linotype" w:cs="Palatino Linotype"/>
          <w:i/>
          <w:sz w:val="22"/>
          <w:szCs w:val="22"/>
        </w:rPr>
      </w:pPr>
    </w:p>
    <w:p w:rsidR="007755F4" w:rsidRDefault="00D92470">
      <w:pPr>
        <w:widowControl w:val="0"/>
        <w:ind w:left="709" w:right="757"/>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sz w:val="22"/>
          <w:szCs w:val="22"/>
        </w:rPr>
        <w:t>XIII. La falta, deficiencia o insuficiencia de la fundamentación y/o motivación en la respuesta; y</w:t>
      </w:r>
      <w:r>
        <w:rPr>
          <w:rFonts w:ascii="Palatino Linotype" w:eastAsia="Palatino Linotype" w:hAnsi="Palatino Linotype" w:cs="Palatino Linotype"/>
          <w:b/>
          <w:i/>
          <w:sz w:val="22"/>
          <w:szCs w:val="22"/>
          <w:u w:val="single"/>
        </w:rPr>
        <w:t>;</w:t>
      </w:r>
    </w:p>
    <w:p w:rsidR="007755F4" w:rsidRDefault="00D92470">
      <w:pPr>
        <w:widowControl w:val="0"/>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7755F4" w:rsidRDefault="007755F4">
      <w:pPr>
        <w:widowControl w:val="0"/>
        <w:ind w:left="709" w:right="757"/>
        <w:jc w:val="both"/>
        <w:rPr>
          <w:rFonts w:ascii="Palatino Linotype" w:eastAsia="Palatino Linotype" w:hAnsi="Palatino Linotype" w:cs="Palatino Linotype"/>
          <w:b/>
          <w:i/>
          <w:sz w:val="22"/>
          <w:szCs w:val="22"/>
          <w:u w:val="single"/>
        </w:rPr>
      </w:pPr>
    </w:p>
    <w:p w:rsidR="007755F4" w:rsidRDefault="00D92470">
      <w:pPr>
        <w:widowControl w:val="0"/>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rsidR="007755F4" w:rsidRDefault="007755F4">
      <w:pPr>
        <w:widowControl w:val="0"/>
        <w:spacing w:line="360" w:lineRule="auto"/>
        <w:ind w:left="709" w:right="757"/>
        <w:jc w:val="both"/>
        <w:rPr>
          <w:rFonts w:ascii="Palatino Linotype" w:eastAsia="Palatino Linotype" w:hAnsi="Palatino Linotype" w:cs="Palatino Linotype"/>
          <w:b/>
          <w:i/>
          <w:u w:val="single"/>
        </w:rPr>
      </w:pPr>
    </w:p>
    <w:p w:rsidR="007755F4" w:rsidRDefault="00D92470">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El precepto legal citado establece como supuesto de procedencia del recurso de revisión, la entrega de la información que no satisface el requerimiento del particular y por ende el derecho de acceso a la información pública del</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por no emitir una respuesta apegado a la normatividad de la materia los requerimientos de éste por parte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en su respuesta; por lo que, resulta conveniente analizar si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cumple con los requisitos y procedimientos del derecho de acceso a la información pública, por lo que en primer término debemos recordar que </w:t>
      </w:r>
      <w:r>
        <w:rPr>
          <w:rFonts w:ascii="Palatino Linotype" w:eastAsia="Palatino Linotype" w:hAnsi="Palatino Linotype" w:cs="Palatino Linotype"/>
          <w:b/>
        </w:rPr>
        <w:t xml:space="preserve">EL RECURRENTE </w:t>
      </w:r>
      <w:r>
        <w:rPr>
          <w:rFonts w:ascii="Palatino Linotype" w:eastAsia="Palatino Linotype" w:hAnsi="Palatino Linotype" w:cs="Palatino Linotype"/>
        </w:rPr>
        <w:t xml:space="preserve">solicitó al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lo que a continuación de desagrega:</w:t>
      </w:r>
    </w:p>
    <w:p w:rsidR="007755F4" w:rsidRDefault="007755F4">
      <w:pPr>
        <w:pBdr>
          <w:top w:val="nil"/>
          <w:left w:val="nil"/>
          <w:bottom w:val="nil"/>
          <w:right w:val="nil"/>
          <w:between w:val="nil"/>
        </w:pBdr>
        <w:spacing w:line="360" w:lineRule="auto"/>
        <w:ind w:left="720"/>
        <w:rPr>
          <w:rFonts w:ascii="Palatino Linotype" w:eastAsia="Palatino Linotype" w:hAnsi="Palatino Linotype" w:cs="Palatino Linotype"/>
          <w:color w:val="000000"/>
        </w:rPr>
      </w:pPr>
    </w:p>
    <w:p w:rsidR="007755F4" w:rsidRDefault="007755F4">
      <w:pPr>
        <w:widowControl w:val="0"/>
        <w:ind w:right="757" w:firstLine="708"/>
        <w:jc w:val="both"/>
        <w:rPr>
          <w:rFonts w:ascii="Palatino Linotype" w:eastAsia="Palatino Linotype" w:hAnsi="Palatino Linotype" w:cs="Palatino Linotype"/>
          <w:i/>
          <w:sz w:val="22"/>
          <w:szCs w:val="22"/>
        </w:rPr>
      </w:pPr>
    </w:p>
    <w:p w:rsidR="007755F4" w:rsidRDefault="00D92470">
      <w:pPr>
        <w:widowControl w:val="0"/>
        <w:numPr>
          <w:ilvl w:val="3"/>
          <w:numId w:val="3"/>
        </w:numPr>
        <w:pBdr>
          <w:top w:val="nil"/>
          <w:left w:val="nil"/>
          <w:bottom w:val="nil"/>
          <w:right w:val="nil"/>
          <w:between w:val="nil"/>
        </w:pBdr>
        <w:ind w:left="993" w:right="757" w:hanging="28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Información y planos de lotificación que incluyen los solares urbanos al interior de las zonas de asentamientos humanos irregulares, colonias de </w:t>
      </w:r>
      <w:proofErr w:type="spellStart"/>
      <w:r>
        <w:rPr>
          <w:rFonts w:ascii="Palatino Linotype" w:eastAsia="Palatino Linotype" w:hAnsi="Palatino Linotype" w:cs="Palatino Linotype"/>
          <w:i/>
          <w:color w:val="000000"/>
          <w:sz w:val="22"/>
          <w:szCs w:val="22"/>
        </w:rPr>
        <w:t>Tepeoluco</w:t>
      </w:r>
      <w:proofErr w:type="spellEnd"/>
      <w:r>
        <w:rPr>
          <w:rFonts w:ascii="Palatino Linotype" w:eastAsia="Palatino Linotype" w:hAnsi="Palatino Linotype" w:cs="Palatino Linotype"/>
          <w:i/>
          <w:color w:val="000000"/>
          <w:sz w:val="22"/>
          <w:szCs w:val="22"/>
        </w:rPr>
        <w:t xml:space="preserve"> y Loma Linda;</w:t>
      </w:r>
    </w:p>
    <w:p w:rsidR="007755F4" w:rsidRDefault="00D92470">
      <w:pPr>
        <w:widowControl w:val="0"/>
        <w:pBdr>
          <w:top w:val="nil"/>
          <w:left w:val="nil"/>
          <w:bottom w:val="nil"/>
          <w:right w:val="nil"/>
          <w:between w:val="nil"/>
        </w:pBdr>
        <w:ind w:left="993" w:right="75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 </w:t>
      </w:r>
    </w:p>
    <w:p w:rsidR="007755F4" w:rsidRDefault="00D92470">
      <w:pPr>
        <w:widowControl w:val="0"/>
        <w:numPr>
          <w:ilvl w:val="3"/>
          <w:numId w:val="3"/>
        </w:numPr>
        <w:pBdr>
          <w:top w:val="nil"/>
          <w:left w:val="nil"/>
          <w:bottom w:val="nil"/>
          <w:right w:val="nil"/>
          <w:between w:val="nil"/>
        </w:pBdr>
        <w:ind w:left="993" w:right="757" w:hanging="28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Oficios emitidos por la Secretaría de Desarrollo Urbano del Gobierno del Estado de México;</w:t>
      </w:r>
    </w:p>
    <w:p w:rsidR="007755F4" w:rsidRDefault="007755F4">
      <w:pPr>
        <w:spacing w:line="360" w:lineRule="auto"/>
        <w:jc w:val="both"/>
        <w:rPr>
          <w:rFonts w:ascii="Palatino Linotype" w:eastAsia="Palatino Linotype" w:hAnsi="Palatino Linotype" w:cs="Palatino Linotype"/>
        </w:rPr>
      </w:pPr>
    </w:p>
    <w:p w:rsidR="007755F4" w:rsidRDefault="00D92470">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Precisado lo anterior, y en respuesta a la referida solicitud,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rPr>
        <w:t>informa al particular que el Jefe de Departamento de Tenencia de la Tierra y Control de Crecimiento Urbano había manifestado no contar con la información requerida.</w:t>
      </w:r>
    </w:p>
    <w:p w:rsidR="007755F4" w:rsidRDefault="007755F4">
      <w:pPr>
        <w:spacing w:line="360" w:lineRule="auto"/>
        <w:jc w:val="both"/>
        <w:rPr>
          <w:rFonts w:ascii="Palatino Linotype" w:eastAsia="Palatino Linotype" w:hAnsi="Palatino Linotype" w:cs="Palatino Linotype"/>
          <w:color w:val="000000"/>
        </w:rPr>
      </w:pPr>
    </w:p>
    <w:p w:rsidR="007755F4" w:rsidRDefault="00D92470">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Inconforme con dicha respuesta</w:t>
      </w:r>
      <w:r>
        <w:rPr>
          <w:rFonts w:ascii="Palatino Linotype" w:eastAsia="Palatino Linotype" w:hAnsi="Palatino Linotype" w:cs="Palatino Linotype"/>
          <w:b/>
        </w:rPr>
        <w:t xml:space="preserve"> EL RECURRENTE</w:t>
      </w:r>
      <w:r>
        <w:rPr>
          <w:rFonts w:ascii="Palatino Linotype" w:eastAsia="Palatino Linotype" w:hAnsi="Palatino Linotype" w:cs="Palatino Linotype"/>
        </w:rPr>
        <w:t xml:space="preserve">, procedió a interponer el presente recurso de revisión, adoleciéndose de la respuesta, argumentando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no realizó el debido sustento y fundamentación a su pronunciamiento.</w:t>
      </w:r>
    </w:p>
    <w:p w:rsidR="007755F4" w:rsidRDefault="007755F4">
      <w:pPr>
        <w:widowControl w:val="0"/>
        <w:spacing w:line="360" w:lineRule="auto"/>
        <w:jc w:val="both"/>
        <w:rPr>
          <w:rFonts w:ascii="Palatino Linotype" w:eastAsia="Palatino Linotype" w:hAnsi="Palatino Linotype" w:cs="Palatino Linotype"/>
        </w:rPr>
      </w:pPr>
    </w:p>
    <w:p w:rsidR="007755F4" w:rsidRDefault="00D92470">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un acto procesal posterior,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rindió su informe Justificado, remitiendo el archivo electrónico denominado </w:t>
      </w:r>
      <w:r>
        <w:rPr>
          <w:rFonts w:ascii="Palatino Linotype" w:eastAsia="Palatino Linotype" w:hAnsi="Palatino Linotype" w:cs="Palatino Linotype"/>
          <w:b/>
          <w:i/>
        </w:rPr>
        <w:t>MANIFESTACIONES 572.zip</w:t>
      </w:r>
      <w:r>
        <w:rPr>
          <w:rFonts w:ascii="Palatino Linotype" w:eastAsia="Palatino Linotype" w:hAnsi="Palatino Linotype" w:cs="Palatino Linotype"/>
        </w:rPr>
        <w:t>, mismo que es del contenido siguiente:</w:t>
      </w:r>
      <w:r>
        <w:rPr>
          <w:noProof/>
          <w:lang w:eastAsia="es-MX"/>
        </w:rPr>
        <mc:AlternateContent>
          <mc:Choice Requires="wpg">
            <w:drawing>
              <wp:anchor distT="0" distB="0" distL="114300" distR="114300" simplePos="0" relativeHeight="251658240" behindDoc="0" locked="0" layoutInCell="1" hidden="0" allowOverlap="1">
                <wp:simplePos x="0" y="0"/>
                <wp:positionH relativeFrom="column">
                  <wp:posOffset>12701</wp:posOffset>
                </wp:positionH>
                <wp:positionV relativeFrom="paragraph">
                  <wp:posOffset>863600</wp:posOffset>
                </wp:positionV>
                <wp:extent cx="5962650" cy="4257675"/>
                <wp:effectExtent l="0" t="0" r="0" b="0"/>
                <wp:wrapNone/>
                <wp:docPr id="20" name="Conector recto de flecha 20"/>
                <wp:cNvGraphicFramePr/>
                <a:graphic xmlns:a="http://schemas.openxmlformats.org/drawingml/2006/main">
                  <a:graphicData uri="http://schemas.microsoft.com/office/word/2010/wordprocessingShape">
                    <wps:wsp>
                      <wps:cNvCnPr/>
                      <wps:spPr>
                        <a:xfrm>
                          <a:off x="2378963" y="1665450"/>
                          <a:ext cx="5934075" cy="4229100"/>
                        </a:xfrm>
                        <a:prstGeom prst="straightConnector1">
                          <a:avLst/>
                        </a:prstGeom>
                        <a:noFill/>
                        <a:ln w="28575" cap="flat" cmpd="sng">
                          <a:solidFill>
                            <a:schemeClr val="accent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12701</wp:posOffset>
                </wp:positionH>
                <wp:positionV relativeFrom="paragraph">
                  <wp:posOffset>863600</wp:posOffset>
                </wp:positionV>
                <wp:extent cx="5962650" cy="4257675"/>
                <wp:effectExtent b="0" l="0" r="0" t="0"/>
                <wp:wrapNone/>
                <wp:docPr id="20"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5962650" cy="4257675"/>
                        </a:xfrm>
                        <a:prstGeom prst="rect"/>
                        <a:ln/>
                      </pic:spPr>
                    </pic:pic>
                  </a:graphicData>
                </a:graphic>
              </wp:anchor>
            </w:drawing>
          </mc:Fallback>
        </mc:AlternateContent>
      </w:r>
    </w:p>
    <w:p w:rsidR="007755F4" w:rsidRDefault="007755F4">
      <w:pPr>
        <w:widowControl w:val="0"/>
        <w:spacing w:line="360" w:lineRule="auto"/>
        <w:jc w:val="both"/>
        <w:rPr>
          <w:rFonts w:ascii="Palatino Linotype" w:eastAsia="Palatino Linotype" w:hAnsi="Palatino Linotype" w:cs="Palatino Linotype"/>
        </w:rPr>
      </w:pPr>
    </w:p>
    <w:p w:rsidR="007755F4" w:rsidRDefault="00D92470">
      <w:pPr>
        <w:widowControl w:val="0"/>
        <w:spacing w:line="360" w:lineRule="auto"/>
        <w:jc w:val="both"/>
        <w:rPr>
          <w:rFonts w:ascii="Palatino Linotype" w:eastAsia="Palatino Linotype" w:hAnsi="Palatino Linotype" w:cs="Palatino Linotype"/>
        </w:rPr>
      </w:pPr>
      <w:r>
        <w:rPr>
          <w:noProof/>
          <w:lang w:eastAsia="es-MX"/>
        </w:rPr>
        <w:drawing>
          <wp:inline distT="0" distB="0" distL="0" distR="0">
            <wp:extent cx="5362575" cy="4629150"/>
            <wp:effectExtent l="0" t="0" r="0" b="0"/>
            <wp:docPr id="2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362575" cy="4629150"/>
                    </a:xfrm>
                    <a:prstGeom prst="rect">
                      <a:avLst/>
                    </a:prstGeom>
                    <a:ln/>
                  </pic:spPr>
                </pic:pic>
              </a:graphicData>
            </a:graphic>
          </wp:inline>
        </w:drawing>
      </w:r>
    </w:p>
    <w:p w:rsidR="007755F4" w:rsidRDefault="00D92470">
      <w:pPr>
        <w:widowControl w:val="0"/>
        <w:spacing w:line="360" w:lineRule="auto"/>
        <w:jc w:val="both"/>
        <w:rPr>
          <w:rFonts w:ascii="Palatino Linotype" w:eastAsia="Palatino Linotype" w:hAnsi="Palatino Linotype" w:cs="Palatino Linotype"/>
        </w:rPr>
      </w:pPr>
      <w:r>
        <w:rPr>
          <w:noProof/>
          <w:lang w:eastAsia="es-MX"/>
        </w:rPr>
        <w:drawing>
          <wp:inline distT="0" distB="0" distL="0" distR="0">
            <wp:extent cx="5095875" cy="2600325"/>
            <wp:effectExtent l="0" t="0" r="0" b="0"/>
            <wp:docPr id="2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5095875" cy="2600325"/>
                    </a:xfrm>
                    <a:prstGeom prst="rect">
                      <a:avLst/>
                    </a:prstGeom>
                    <a:ln/>
                  </pic:spPr>
                </pic:pic>
              </a:graphicData>
            </a:graphic>
          </wp:inline>
        </w:drawing>
      </w:r>
    </w:p>
    <w:p w:rsidR="007755F4" w:rsidRDefault="00D92470">
      <w:pPr>
        <w:widowControl w:val="0"/>
        <w:spacing w:line="360" w:lineRule="auto"/>
        <w:jc w:val="both"/>
        <w:rPr>
          <w:rFonts w:ascii="Palatino Linotype" w:eastAsia="Palatino Linotype" w:hAnsi="Palatino Linotype" w:cs="Palatino Linotype"/>
        </w:rPr>
      </w:pPr>
      <w:r>
        <w:rPr>
          <w:noProof/>
          <w:lang w:eastAsia="es-MX"/>
        </w:rPr>
        <w:drawing>
          <wp:inline distT="0" distB="0" distL="0" distR="0">
            <wp:extent cx="5791835" cy="5198745"/>
            <wp:effectExtent l="0" t="0" r="0" b="0"/>
            <wp:docPr id="2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5791835" cy="5198745"/>
                    </a:xfrm>
                    <a:prstGeom prst="rect">
                      <a:avLst/>
                    </a:prstGeom>
                    <a:ln/>
                  </pic:spPr>
                </pic:pic>
              </a:graphicData>
            </a:graphic>
          </wp:inline>
        </w:drawing>
      </w:r>
      <w:r>
        <w:rPr>
          <w:noProof/>
          <w:lang w:eastAsia="es-MX"/>
        </w:rPr>
        <mc:AlternateContent>
          <mc:Choice Requires="wpg">
            <w:drawing>
              <wp:anchor distT="0" distB="0" distL="114300" distR="114300" simplePos="0" relativeHeight="251659264" behindDoc="0" locked="0" layoutInCell="1" hidden="0" allowOverlap="1">
                <wp:simplePos x="0" y="0"/>
                <wp:positionH relativeFrom="column">
                  <wp:posOffset>-12699</wp:posOffset>
                </wp:positionH>
                <wp:positionV relativeFrom="paragraph">
                  <wp:posOffset>5346700</wp:posOffset>
                </wp:positionV>
                <wp:extent cx="6096000" cy="2247900"/>
                <wp:effectExtent l="0" t="0" r="0" b="0"/>
                <wp:wrapNone/>
                <wp:docPr id="21" name="Conector recto de flecha 21"/>
                <wp:cNvGraphicFramePr/>
                <a:graphic xmlns:a="http://schemas.openxmlformats.org/drawingml/2006/main">
                  <a:graphicData uri="http://schemas.microsoft.com/office/word/2010/wordprocessingShape">
                    <wps:wsp>
                      <wps:cNvCnPr/>
                      <wps:spPr>
                        <a:xfrm>
                          <a:off x="2312288" y="2670338"/>
                          <a:ext cx="6067425" cy="2219325"/>
                        </a:xfrm>
                        <a:prstGeom prst="straightConnector1">
                          <a:avLst/>
                        </a:prstGeom>
                        <a:noFill/>
                        <a:ln w="28575" cap="flat" cmpd="sng">
                          <a:solidFill>
                            <a:schemeClr val="accent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-12699</wp:posOffset>
                </wp:positionH>
                <wp:positionV relativeFrom="paragraph">
                  <wp:posOffset>5346700</wp:posOffset>
                </wp:positionV>
                <wp:extent cx="6096000" cy="2247900"/>
                <wp:effectExtent b="0" l="0" r="0" t="0"/>
                <wp:wrapNone/>
                <wp:docPr id="21" name="image7.png"/>
                <a:graphic>
                  <a:graphicData uri="http://schemas.openxmlformats.org/drawingml/2006/picture">
                    <pic:pic>
                      <pic:nvPicPr>
                        <pic:cNvPr id="0" name="image7.png"/>
                        <pic:cNvPicPr preferRelativeResize="0"/>
                      </pic:nvPicPr>
                      <pic:blipFill>
                        <a:blip r:embed="rId13"/>
                        <a:srcRect/>
                        <a:stretch>
                          <a:fillRect/>
                        </a:stretch>
                      </pic:blipFill>
                      <pic:spPr>
                        <a:xfrm>
                          <a:off x="0" y="0"/>
                          <a:ext cx="6096000" cy="2247900"/>
                        </a:xfrm>
                        <a:prstGeom prst="rect"/>
                        <a:ln/>
                      </pic:spPr>
                    </pic:pic>
                  </a:graphicData>
                </a:graphic>
              </wp:anchor>
            </w:drawing>
          </mc:Fallback>
        </mc:AlternateContent>
      </w:r>
    </w:p>
    <w:p w:rsidR="007755F4" w:rsidRDefault="00D92470">
      <w:pPr>
        <w:widowControl w:val="0"/>
        <w:spacing w:line="360" w:lineRule="auto"/>
        <w:jc w:val="both"/>
        <w:rPr>
          <w:rFonts w:ascii="Palatino Linotype" w:eastAsia="Palatino Linotype" w:hAnsi="Palatino Linotype" w:cs="Palatino Linotype"/>
        </w:rPr>
      </w:pPr>
      <w:r>
        <w:rPr>
          <w:noProof/>
          <w:lang w:eastAsia="es-MX"/>
        </w:rPr>
        <w:drawing>
          <wp:inline distT="0" distB="0" distL="0" distR="0">
            <wp:extent cx="5791835" cy="5186680"/>
            <wp:effectExtent l="0" t="0" r="0" b="0"/>
            <wp:docPr id="2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4"/>
                    <a:srcRect/>
                    <a:stretch>
                      <a:fillRect/>
                    </a:stretch>
                  </pic:blipFill>
                  <pic:spPr>
                    <a:xfrm>
                      <a:off x="0" y="0"/>
                      <a:ext cx="5791835" cy="5186680"/>
                    </a:xfrm>
                    <a:prstGeom prst="rect">
                      <a:avLst/>
                    </a:prstGeom>
                    <a:ln/>
                  </pic:spPr>
                </pic:pic>
              </a:graphicData>
            </a:graphic>
          </wp:inline>
        </w:drawing>
      </w:r>
      <w:r>
        <w:rPr>
          <w:noProof/>
          <w:lang w:eastAsia="es-MX"/>
        </w:rPr>
        <mc:AlternateContent>
          <mc:Choice Requires="wpg">
            <w:drawing>
              <wp:anchor distT="0" distB="0" distL="114300" distR="114300" simplePos="0" relativeHeight="251660288" behindDoc="0" locked="0" layoutInCell="1" hidden="0" allowOverlap="1">
                <wp:simplePos x="0" y="0"/>
                <wp:positionH relativeFrom="column">
                  <wp:posOffset>241300</wp:posOffset>
                </wp:positionH>
                <wp:positionV relativeFrom="paragraph">
                  <wp:posOffset>5219700</wp:posOffset>
                </wp:positionV>
                <wp:extent cx="5705475" cy="2409825"/>
                <wp:effectExtent l="0" t="0" r="0" b="0"/>
                <wp:wrapNone/>
                <wp:docPr id="22" name="Conector recto de flecha 22"/>
                <wp:cNvGraphicFramePr/>
                <a:graphic xmlns:a="http://schemas.openxmlformats.org/drawingml/2006/main">
                  <a:graphicData uri="http://schemas.microsoft.com/office/word/2010/wordprocessingShape">
                    <wps:wsp>
                      <wps:cNvCnPr/>
                      <wps:spPr>
                        <a:xfrm>
                          <a:off x="2507550" y="2589375"/>
                          <a:ext cx="5676900" cy="2381250"/>
                        </a:xfrm>
                        <a:prstGeom prst="straightConnector1">
                          <a:avLst/>
                        </a:prstGeom>
                        <a:noFill/>
                        <a:ln w="28575" cap="flat" cmpd="sng">
                          <a:solidFill>
                            <a:schemeClr val="accent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241300</wp:posOffset>
                </wp:positionH>
                <wp:positionV relativeFrom="paragraph">
                  <wp:posOffset>5219700</wp:posOffset>
                </wp:positionV>
                <wp:extent cx="5705475" cy="2409825"/>
                <wp:effectExtent b="0" l="0" r="0" t="0"/>
                <wp:wrapNone/>
                <wp:docPr id="22" name="image9.png"/>
                <a:graphic>
                  <a:graphicData uri="http://schemas.openxmlformats.org/drawingml/2006/picture">
                    <pic:pic>
                      <pic:nvPicPr>
                        <pic:cNvPr id="0" name="image9.png"/>
                        <pic:cNvPicPr preferRelativeResize="0"/>
                      </pic:nvPicPr>
                      <pic:blipFill>
                        <a:blip r:embed="rId15"/>
                        <a:srcRect/>
                        <a:stretch>
                          <a:fillRect/>
                        </a:stretch>
                      </pic:blipFill>
                      <pic:spPr>
                        <a:xfrm>
                          <a:off x="0" y="0"/>
                          <a:ext cx="5705475" cy="2409825"/>
                        </a:xfrm>
                        <a:prstGeom prst="rect"/>
                        <a:ln/>
                      </pic:spPr>
                    </pic:pic>
                  </a:graphicData>
                </a:graphic>
              </wp:anchor>
            </w:drawing>
          </mc:Fallback>
        </mc:AlternateContent>
      </w:r>
    </w:p>
    <w:p w:rsidR="007755F4" w:rsidRDefault="00D92470">
      <w:pPr>
        <w:widowControl w:val="0"/>
        <w:spacing w:line="360" w:lineRule="auto"/>
        <w:jc w:val="both"/>
        <w:rPr>
          <w:rFonts w:ascii="Palatino Linotype" w:eastAsia="Palatino Linotype" w:hAnsi="Palatino Linotype" w:cs="Palatino Linotype"/>
        </w:rPr>
      </w:pPr>
      <w:r>
        <w:rPr>
          <w:noProof/>
          <w:lang w:eastAsia="es-MX"/>
        </w:rPr>
        <w:drawing>
          <wp:inline distT="0" distB="0" distL="0" distR="0">
            <wp:extent cx="5591175" cy="7524750"/>
            <wp:effectExtent l="0" t="0" r="0" b="0"/>
            <wp:docPr id="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5591175" cy="7524750"/>
                    </a:xfrm>
                    <a:prstGeom prst="rect">
                      <a:avLst/>
                    </a:prstGeom>
                    <a:ln/>
                  </pic:spPr>
                </pic:pic>
              </a:graphicData>
            </a:graphic>
          </wp:inline>
        </w:drawing>
      </w:r>
    </w:p>
    <w:p w:rsidR="007755F4" w:rsidRDefault="00D9247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por esta razón por la que esta Ponencia considera conveniente entrar al estudio de lo solicitado, a fin de verificar si tanto la respuesta como el informe justificado rendido por </w:t>
      </w:r>
      <w:r>
        <w:rPr>
          <w:rFonts w:ascii="Palatino Linotype" w:eastAsia="Palatino Linotype" w:hAnsi="Palatino Linotype" w:cs="Palatino Linotype"/>
          <w:b/>
        </w:rPr>
        <w:t>EL</w:t>
      </w:r>
      <w:r>
        <w:rPr>
          <w:rFonts w:ascii="Palatino Linotype" w:eastAsia="Palatino Linotype" w:hAnsi="Palatino Linotype" w:cs="Palatino Linotype"/>
        </w:rPr>
        <w:t xml:space="preserve">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colmaron el derecho de acceso a la información pública del</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w:t>
      </w:r>
    </w:p>
    <w:p w:rsidR="007755F4" w:rsidRDefault="007755F4">
      <w:pPr>
        <w:spacing w:line="360" w:lineRule="auto"/>
        <w:jc w:val="both"/>
        <w:rPr>
          <w:rFonts w:ascii="Palatino Linotype" w:eastAsia="Palatino Linotype" w:hAnsi="Palatino Linotype" w:cs="Palatino Linotype"/>
        </w:rPr>
      </w:pPr>
    </w:p>
    <w:p w:rsidR="007755F4" w:rsidRDefault="00D9247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Lo anterior, atendiendo al principio de máxima publicidad de conformidad con el artículo 8 de la Ley de Transparencia y Acceso a la Información Pública del Estado de México y Municipios que señala:</w:t>
      </w:r>
    </w:p>
    <w:p w:rsidR="007755F4" w:rsidRDefault="007755F4">
      <w:pPr>
        <w:spacing w:line="360" w:lineRule="auto"/>
        <w:jc w:val="both"/>
        <w:rPr>
          <w:rFonts w:ascii="Palatino Linotype" w:eastAsia="Palatino Linotype" w:hAnsi="Palatino Linotype" w:cs="Palatino Linotype"/>
        </w:rPr>
      </w:pPr>
    </w:p>
    <w:p w:rsidR="007755F4" w:rsidRDefault="00D92470">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8</w:t>
      </w:r>
      <w:r>
        <w:rPr>
          <w:rFonts w:ascii="Palatino Linotype" w:eastAsia="Palatino Linotype" w:hAnsi="Palatino Linotype" w:cs="Palatino Linotype"/>
          <w:i/>
          <w:sz w:val="22"/>
          <w:szCs w:val="22"/>
        </w:rPr>
        <w:t>.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rsidR="007755F4" w:rsidRDefault="007755F4">
      <w:pPr>
        <w:ind w:left="709" w:right="757"/>
        <w:jc w:val="both"/>
        <w:rPr>
          <w:rFonts w:ascii="Palatino Linotype" w:eastAsia="Palatino Linotype" w:hAnsi="Palatino Linotype" w:cs="Palatino Linotype"/>
          <w:i/>
          <w:sz w:val="22"/>
          <w:szCs w:val="22"/>
        </w:rPr>
      </w:pPr>
    </w:p>
    <w:p w:rsidR="007755F4" w:rsidRDefault="00D92470">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 “</w:t>
      </w:r>
    </w:p>
    <w:p w:rsidR="007755F4" w:rsidRDefault="007755F4">
      <w:pPr>
        <w:spacing w:line="360" w:lineRule="auto"/>
        <w:jc w:val="both"/>
        <w:rPr>
          <w:rFonts w:ascii="Palatino Linotype" w:eastAsia="Palatino Linotype" w:hAnsi="Palatino Linotype" w:cs="Palatino Linotype"/>
        </w:rPr>
      </w:pPr>
    </w:p>
    <w:p w:rsidR="007755F4" w:rsidRDefault="00D9247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este sentido, es conveniente invocar la tesis 1a. CCCXXVII/2014 (10a.) emitida por la Primera Sala de la Suprema Corte de Justicia de la Nación, cuyo sentido es el siguiente:</w:t>
      </w:r>
    </w:p>
    <w:p w:rsidR="007755F4" w:rsidRDefault="007755F4">
      <w:pPr>
        <w:spacing w:line="360" w:lineRule="auto"/>
        <w:jc w:val="both"/>
        <w:rPr>
          <w:rFonts w:ascii="Palatino Linotype" w:eastAsia="Palatino Linotype" w:hAnsi="Palatino Linotype" w:cs="Palatino Linotype"/>
        </w:rPr>
      </w:pPr>
    </w:p>
    <w:p w:rsidR="007755F4" w:rsidRPr="002A5B04" w:rsidRDefault="00D92470">
      <w:pPr>
        <w:ind w:left="709" w:right="757"/>
        <w:jc w:val="both"/>
        <w:rPr>
          <w:rFonts w:ascii="Palatino Linotype" w:eastAsia="Palatino Linotype" w:hAnsi="Palatino Linotype" w:cs="Palatino Linotype"/>
          <w:i/>
          <w:sz w:val="22"/>
          <w:szCs w:val="22"/>
          <w:lang w:val="pt-BR"/>
        </w:rPr>
      </w:pPr>
      <w:r w:rsidRPr="002A5B04">
        <w:rPr>
          <w:rFonts w:ascii="Palatino Linotype" w:eastAsia="Palatino Linotype" w:hAnsi="Palatino Linotype" w:cs="Palatino Linotype"/>
          <w:i/>
          <w:sz w:val="22"/>
          <w:szCs w:val="22"/>
          <w:lang w:val="pt-BR"/>
        </w:rPr>
        <w:t xml:space="preserve">Época: Décima Época </w:t>
      </w:r>
    </w:p>
    <w:p w:rsidR="007755F4" w:rsidRPr="002A5B04" w:rsidRDefault="00D92470">
      <w:pPr>
        <w:ind w:left="709" w:right="757"/>
        <w:jc w:val="both"/>
        <w:rPr>
          <w:rFonts w:ascii="Palatino Linotype" w:eastAsia="Palatino Linotype" w:hAnsi="Palatino Linotype" w:cs="Palatino Linotype"/>
          <w:i/>
          <w:sz w:val="22"/>
          <w:szCs w:val="22"/>
          <w:lang w:val="pt-BR"/>
        </w:rPr>
      </w:pPr>
      <w:r w:rsidRPr="002A5B04">
        <w:rPr>
          <w:rFonts w:ascii="Palatino Linotype" w:eastAsia="Palatino Linotype" w:hAnsi="Palatino Linotype" w:cs="Palatino Linotype"/>
          <w:i/>
          <w:sz w:val="22"/>
          <w:szCs w:val="22"/>
          <w:lang w:val="pt-BR"/>
        </w:rPr>
        <w:t xml:space="preserve">Registro: 2007561 </w:t>
      </w:r>
    </w:p>
    <w:p w:rsidR="007755F4" w:rsidRPr="002A5B04" w:rsidRDefault="00D92470">
      <w:pPr>
        <w:ind w:left="709" w:right="757"/>
        <w:jc w:val="both"/>
        <w:rPr>
          <w:rFonts w:ascii="Palatino Linotype" w:eastAsia="Palatino Linotype" w:hAnsi="Palatino Linotype" w:cs="Palatino Linotype"/>
          <w:i/>
          <w:sz w:val="22"/>
          <w:szCs w:val="22"/>
          <w:lang w:val="pt-BR"/>
        </w:rPr>
      </w:pPr>
      <w:r w:rsidRPr="002A5B04">
        <w:rPr>
          <w:rFonts w:ascii="Palatino Linotype" w:eastAsia="Palatino Linotype" w:hAnsi="Palatino Linotype" w:cs="Palatino Linotype"/>
          <w:i/>
          <w:sz w:val="22"/>
          <w:szCs w:val="22"/>
          <w:lang w:val="pt-BR"/>
        </w:rPr>
        <w:t xml:space="preserve">Instancia: </w:t>
      </w:r>
      <w:proofErr w:type="spellStart"/>
      <w:r w:rsidRPr="002A5B04">
        <w:rPr>
          <w:rFonts w:ascii="Palatino Linotype" w:eastAsia="Palatino Linotype" w:hAnsi="Palatino Linotype" w:cs="Palatino Linotype"/>
          <w:i/>
          <w:sz w:val="22"/>
          <w:szCs w:val="22"/>
          <w:lang w:val="pt-BR"/>
        </w:rPr>
        <w:t>Primera</w:t>
      </w:r>
      <w:proofErr w:type="spellEnd"/>
      <w:r w:rsidRPr="002A5B04">
        <w:rPr>
          <w:rFonts w:ascii="Palatino Linotype" w:eastAsia="Palatino Linotype" w:hAnsi="Palatino Linotype" w:cs="Palatino Linotype"/>
          <w:i/>
          <w:sz w:val="22"/>
          <w:szCs w:val="22"/>
          <w:lang w:val="pt-BR"/>
        </w:rPr>
        <w:t xml:space="preserve"> Sala </w:t>
      </w:r>
    </w:p>
    <w:p w:rsidR="007755F4" w:rsidRDefault="00D92470">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Tipo de Tesis: Aislada </w:t>
      </w:r>
    </w:p>
    <w:p w:rsidR="007755F4" w:rsidRDefault="00D92470">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Fuente: Gaceta del Semanario Judicial de la Federación </w:t>
      </w:r>
    </w:p>
    <w:p w:rsidR="007755F4" w:rsidRDefault="00D92470">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Libro 11, Octubre de 2014, Tomo I </w:t>
      </w:r>
    </w:p>
    <w:p w:rsidR="007755F4" w:rsidRDefault="00D92470">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Materia(s): Constitucional, Común </w:t>
      </w:r>
    </w:p>
    <w:p w:rsidR="007755F4" w:rsidRDefault="00D92470">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Tesis: 1a. CCCXXVII/2014 (10a.) </w:t>
      </w:r>
    </w:p>
    <w:p w:rsidR="007755F4" w:rsidRDefault="00D92470">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Página: 613 </w:t>
      </w:r>
    </w:p>
    <w:p w:rsidR="007755F4" w:rsidRDefault="007755F4">
      <w:pPr>
        <w:ind w:left="709" w:right="757"/>
        <w:jc w:val="both"/>
        <w:rPr>
          <w:rFonts w:ascii="Palatino Linotype" w:eastAsia="Palatino Linotype" w:hAnsi="Palatino Linotype" w:cs="Palatino Linotype"/>
          <w:i/>
          <w:sz w:val="22"/>
          <w:szCs w:val="22"/>
        </w:rPr>
      </w:pPr>
    </w:p>
    <w:p w:rsidR="007755F4" w:rsidRDefault="00D92470">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PRINCIPIO PRO PERSONA. REQUISITOS MÍNIMOS PARA QUE SE ATIENDA EL FONDO DE LA SOLICITUD DE SU APLICACIÓN, O LA IMPUGNACIÓN DE SU OMISIÓN POR LA AUTORIDAD RESPONSABLE.</w:t>
      </w:r>
    </w:p>
    <w:p w:rsidR="007755F4" w:rsidRDefault="007755F4">
      <w:pPr>
        <w:ind w:left="709" w:right="757"/>
        <w:jc w:val="both"/>
        <w:rPr>
          <w:rFonts w:ascii="Palatino Linotype" w:eastAsia="Palatino Linotype" w:hAnsi="Palatino Linotype" w:cs="Palatino Linotype"/>
          <w:i/>
          <w:sz w:val="22"/>
          <w:szCs w:val="22"/>
        </w:rPr>
      </w:pPr>
    </w:p>
    <w:p w:rsidR="007755F4" w:rsidRDefault="00D92470">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El artículo 1o. de la Constitución Política de los Estados Unidos Mexicanos impone a las autoridades el deber de aplicar el principio pro persona como un criterio de interpretación de las normas relativas a derechos humanos, el cual busca maximizar su vigencia y respeto, para optar por la aplicación o interpretación de la norma que los favorezca en mayor medida, o bien, que implique menores restricciones a su ejercicio. Así, como deber, se entiende que dicho principio es aplicable de oficio,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w:t>
      </w:r>
      <w:proofErr w:type="spellStart"/>
      <w:r>
        <w:rPr>
          <w:rFonts w:ascii="Palatino Linotype" w:eastAsia="Palatino Linotype" w:hAnsi="Palatino Linotype" w:cs="Palatino Linotype"/>
          <w:i/>
          <w:sz w:val="22"/>
          <w:szCs w:val="22"/>
        </w:rPr>
        <w:t>pro</w:t>
      </w:r>
      <w:proofErr w:type="spellEnd"/>
      <w:r>
        <w:rPr>
          <w:rFonts w:ascii="Palatino Linotype" w:eastAsia="Palatino Linotype" w:hAnsi="Palatino Linotype" w:cs="Palatino Linotype"/>
          <w:i/>
          <w:sz w:val="22"/>
          <w:szCs w:val="22"/>
        </w:rPr>
        <w:t xml:space="preserve"> persona, pues para realizarlo debe conocerse cuál es el derecho humano que se busca maximizar,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p>
    <w:p w:rsidR="007755F4" w:rsidRDefault="007755F4">
      <w:pPr>
        <w:spacing w:line="360" w:lineRule="auto"/>
        <w:jc w:val="both"/>
        <w:rPr>
          <w:rFonts w:ascii="Palatino Linotype" w:eastAsia="Palatino Linotype" w:hAnsi="Palatino Linotype" w:cs="Palatino Linotype"/>
        </w:rPr>
      </w:pPr>
    </w:p>
    <w:p w:rsidR="007755F4" w:rsidRDefault="007755F4">
      <w:pPr>
        <w:ind w:left="1418" w:right="757" w:hanging="709"/>
        <w:jc w:val="both"/>
        <w:rPr>
          <w:rFonts w:ascii="Palatino Linotype" w:eastAsia="Palatino Linotype" w:hAnsi="Palatino Linotype" w:cs="Palatino Linotype"/>
          <w:i/>
          <w:sz w:val="22"/>
          <w:szCs w:val="22"/>
        </w:rPr>
      </w:pPr>
    </w:p>
    <w:p w:rsidR="007755F4" w:rsidRDefault="007755F4">
      <w:pPr>
        <w:widowControl w:val="0"/>
        <w:spacing w:line="360" w:lineRule="auto"/>
        <w:jc w:val="both"/>
        <w:rPr>
          <w:rFonts w:ascii="Palatino Linotype" w:eastAsia="Palatino Linotype" w:hAnsi="Palatino Linotype" w:cs="Palatino Linotype"/>
        </w:rPr>
      </w:pPr>
    </w:p>
    <w:p w:rsidR="007755F4" w:rsidRDefault="00D92470">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sentido, este Órgano Garante advierte que resultan </w:t>
      </w:r>
      <w:r>
        <w:rPr>
          <w:rFonts w:ascii="Palatino Linotype" w:eastAsia="Palatino Linotype" w:hAnsi="Palatino Linotype" w:cs="Palatino Linotype"/>
          <w:b/>
        </w:rPr>
        <w:t>fundadas</w:t>
      </w:r>
      <w:r>
        <w:rPr>
          <w:rFonts w:ascii="Palatino Linotype" w:eastAsia="Palatino Linotype" w:hAnsi="Palatino Linotype" w:cs="Palatino Linotype"/>
        </w:rPr>
        <w:t xml:space="preserve"> las razones o motivos de inconformidad hechas valer por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de conformidad con lo siguiente:</w:t>
      </w:r>
    </w:p>
    <w:p w:rsidR="007755F4" w:rsidRDefault="007755F4">
      <w:pPr>
        <w:widowControl w:val="0"/>
        <w:spacing w:line="360" w:lineRule="auto"/>
        <w:jc w:val="both"/>
        <w:rPr>
          <w:rFonts w:ascii="Palatino Linotype" w:eastAsia="Palatino Linotype" w:hAnsi="Palatino Linotype" w:cs="Palatino Linotype"/>
        </w:rPr>
      </w:pPr>
    </w:p>
    <w:p w:rsidR="007755F4" w:rsidRDefault="00D92470">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primer término, es conveniente analizar si efectivamente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está constreñido a generar la información que es solicitud por el particular dentro de la solicitud de acceso a la información pública.</w:t>
      </w:r>
    </w:p>
    <w:p w:rsidR="007755F4" w:rsidRDefault="007755F4">
      <w:pPr>
        <w:widowControl w:val="0"/>
        <w:spacing w:line="360" w:lineRule="auto"/>
        <w:jc w:val="both"/>
        <w:rPr>
          <w:rFonts w:ascii="Palatino Linotype" w:eastAsia="Palatino Linotype" w:hAnsi="Palatino Linotype" w:cs="Palatino Linotype"/>
        </w:rPr>
      </w:pPr>
    </w:p>
    <w:p w:rsidR="007755F4" w:rsidRDefault="00D92470">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sentido, hay que remitirnos a lo que estipula la Ley Agraria numeral 68, ya que podemos advertir que las extensiones de solares serán determinadas por la asamblea, con la participación del Municipio, tal y como se advierte a continuación.</w:t>
      </w:r>
    </w:p>
    <w:p w:rsidR="007755F4" w:rsidRDefault="007755F4">
      <w:pPr>
        <w:widowControl w:val="0"/>
        <w:spacing w:line="360" w:lineRule="auto"/>
        <w:jc w:val="both"/>
        <w:rPr>
          <w:rFonts w:ascii="Palatino Linotype" w:eastAsia="Palatino Linotype" w:hAnsi="Palatino Linotype" w:cs="Palatino Linotype"/>
        </w:rPr>
      </w:pPr>
    </w:p>
    <w:p w:rsidR="007755F4" w:rsidRDefault="00D92470">
      <w:pPr>
        <w:widowControl w:val="0"/>
        <w:spacing w:line="360" w:lineRule="auto"/>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68.- Los solares serán de propiedad plena de sus titulares. Todo ejidatario tendrá derecho a recibir gratuitamente un solar al constituirse, cuando ello sea posible, la zona de urbanización. </w:t>
      </w:r>
      <w:r>
        <w:rPr>
          <w:rFonts w:ascii="Palatino Linotype" w:eastAsia="Palatino Linotype" w:hAnsi="Palatino Linotype" w:cs="Palatino Linotype"/>
          <w:b/>
          <w:i/>
          <w:sz w:val="22"/>
          <w:szCs w:val="22"/>
        </w:rPr>
        <w:t>La extensión del solar se determinará por la asamblea, con la participación del municipio correspondiente, de conformidad con las leyes aplicables en materia de fraccionamientos y atendiendo a las características, usos y costumbres de cada región.</w:t>
      </w:r>
    </w:p>
    <w:p w:rsidR="007755F4" w:rsidRDefault="007755F4">
      <w:pPr>
        <w:widowControl w:val="0"/>
        <w:spacing w:line="360" w:lineRule="auto"/>
        <w:ind w:left="709" w:right="757"/>
        <w:jc w:val="both"/>
        <w:rPr>
          <w:rFonts w:ascii="Palatino Linotype" w:eastAsia="Palatino Linotype" w:hAnsi="Palatino Linotype" w:cs="Palatino Linotype"/>
          <w:i/>
          <w:sz w:val="22"/>
          <w:szCs w:val="22"/>
        </w:rPr>
      </w:pPr>
    </w:p>
    <w:p w:rsidR="007755F4" w:rsidRDefault="00D92470">
      <w:pPr>
        <w:widowControl w:val="0"/>
        <w:spacing w:line="360" w:lineRule="auto"/>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La asamblea hará la asignación de solares a los ejidatarios, determinando en forma equitativa la superficie que corresponda a cada uno de ellos. Esta asignación se hará en presencia de un representante de la Procuraduría Agraria y de acuerdo con los solares que resulten del plano aprobado por la misma asamblea e inscrito en el Registro Agrario Nacional. El acta respectiva se inscribirá en dicho Registro y los certificados que éste expida de cada solar constituirán los títulos oficiales correspondientes.</w:t>
      </w:r>
    </w:p>
    <w:p w:rsidR="007755F4" w:rsidRDefault="007755F4">
      <w:pPr>
        <w:widowControl w:val="0"/>
        <w:spacing w:line="360" w:lineRule="auto"/>
        <w:ind w:left="709" w:right="757"/>
        <w:jc w:val="both"/>
        <w:rPr>
          <w:rFonts w:ascii="Palatino Linotype" w:eastAsia="Palatino Linotype" w:hAnsi="Palatino Linotype" w:cs="Palatino Linotype"/>
          <w:i/>
          <w:sz w:val="22"/>
          <w:szCs w:val="22"/>
        </w:rPr>
      </w:pPr>
    </w:p>
    <w:p w:rsidR="007755F4" w:rsidRDefault="00D92470">
      <w:pPr>
        <w:widowControl w:val="0"/>
        <w:spacing w:line="360" w:lineRule="auto"/>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Una vez satisfechas las necesidades de los ejidatarios, los solares excedentes podrán ser arrendados o enajenados por el núcleo de población ejidal a personas que deseen avecindarse. </w:t>
      </w:r>
    </w:p>
    <w:p w:rsidR="007755F4" w:rsidRDefault="007755F4">
      <w:pPr>
        <w:widowControl w:val="0"/>
        <w:spacing w:line="360" w:lineRule="auto"/>
        <w:ind w:left="709" w:right="757"/>
        <w:jc w:val="both"/>
        <w:rPr>
          <w:rFonts w:ascii="Palatino Linotype" w:eastAsia="Palatino Linotype" w:hAnsi="Palatino Linotype" w:cs="Palatino Linotype"/>
          <w:i/>
          <w:sz w:val="22"/>
          <w:szCs w:val="22"/>
        </w:rPr>
      </w:pPr>
    </w:p>
    <w:p w:rsidR="007755F4" w:rsidRDefault="00D92470">
      <w:pPr>
        <w:widowControl w:val="0"/>
        <w:spacing w:line="360" w:lineRule="auto"/>
        <w:ind w:left="709" w:right="757"/>
        <w:jc w:val="both"/>
        <w:rPr>
          <w:rFonts w:ascii="Palatino Linotype" w:eastAsia="Palatino Linotype" w:hAnsi="Palatino Linotype" w:cs="Palatino Linotype"/>
        </w:rPr>
      </w:pPr>
      <w:r>
        <w:rPr>
          <w:rFonts w:ascii="Palatino Linotype" w:eastAsia="Palatino Linotype" w:hAnsi="Palatino Linotype" w:cs="Palatino Linotype"/>
          <w:i/>
          <w:sz w:val="22"/>
          <w:szCs w:val="22"/>
        </w:rPr>
        <w:t>Cuando se trate de ejidos en los que ya esté constituida la zona de urbanización y los solares ya hubieren sido asignados, los títulos se expedirán en favor de sus legítimos poseedores.</w:t>
      </w:r>
    </w:p>
    <w:p w:rsidR="007755F4" w:rsidRDefault="007755F4">
      <w:pPr>
        <w:widowControl w:val="0"/>
        <w:spacing w:line="360" w:lineRule="auto"/>
        <w:jc w:val="both"/>
        <w:rPr>
          <w:rFonts w:ascii="Palatino Linotype" w:eastAsia="Palatino Linotype" w:hAnsi="Palatino Linotype" w:cs="Palatino Linotype"/>
          <w:i/>
          <w:sz w:val="22"/>
          <w:szCs w:val="22"/>
        </w:rPr>
      </w:pPr>
    </w:p>
    <w:p w:rsidR="007755F4" w:rsidRDefault="00D9247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 así que, es menester remitirse al Reglamento de la Ley Agraria en Materia de Edificación de Derechos Ejidales y Titulación de Solares en su numeral 48 y 49, mismos que a la letra dicen:</w:t>
      </w:r>
    </w:p>
    <w:p w:rsidR="007755F4" w:rsidRDefault="00D92470">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48</w:t>
      </w:r>
      <w:r>
        <w:rPr>
          <w:rFonts w:ascii="Palatino Linotype" w:eastAsia="Palatino Linotype" w:hAnsi="Palatino Linotype" w:cs="Palatino Linotype"/>
          <w:i/>
          <w:sz w:val="22"/>
          <w:szCs w:val="22"/>
        </w:rPr>
        <w:t>.- En el caso de las fracciones I y III del artículo anterior, la Procuraduría vigilará que la Asamblea cumpla con lo siguiente:</w:t>
      </w:r>
    </w:p>
    <w:p w:rsidR="007755F4" w:rsidRDefault="00D92470">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I. Que en la localización, deslinde y fraccionamiento de las tierras de que se trate, intervenga la autoridad municipal; </w:t>
      </w:r>
    </w:p>
    <w:p w:rsidR="007755F4" w:rsidRDefault="00D92470">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Que se observen las normas técnicas que al efecto emita la Secretaría de Desarrollo Social; </w:t>
      </w:r>
    </w:p>
    <w:p w:rsidR="007755F4" w:rsidRDefault="00D92470">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III. Que se separen las áreas necesarias para los servicios públicos de la comunidad, con la intervención de las autoridades competentes; </w:t>
      </w:r>
    </w:p>
    <w:p w:rsidR="007755F4" w:rsidRDefault="00D92470">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IV. Que el plano que se elabore se apegue a las normas técnicas expedidas por el Registro, sea aprobado por la Asamblea e inscrito en aquél, y </w:t>
      </w:r>
    </w:p>
    <w:p w:rsidR="007755F4" w:rsidRDefault="00D92470">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 En el plano que contenga la lotificación de la zona de urbanización, deberá cuidarse que la determinación de la superficie de cada solar se haga en forma equitativa, de conformidad con la legislación aplicable en materia de fraccionamientos y atendiendo a las características, usos y costumbres de cada región</w:t>
      </w:r>
      <w:r>
        <w:rPr>
          <w:rFonts w:ascii="Palatino Linotype" w:eastAsia="Palatino Linotype" w:hAnsi="Palatino Linotype" w:cs="Palatino Linotype"/>
          <w:i/>
          <w:sz w:val="22"/>
          <w:szCs w:val="22"/>
        </w:rPr>
        <w:t>.</w:t>
      </w:r>
    </w:p>
    <w:p w:rsidR="007755F4" w:rsidRDefault="007755F4">
      <w:pPr>
        <w:ind w:left="709" w:right="757"/>
        <w:jc w:val="both"/>
        <w:rPr>
          <w:rFonts w:ascii="Palatino Linotype" w:eastAsia="Palatino Linotype" w:hAnsi="Palatino Linotype" w:cs="Palatino Linotype"/>
          <w:i/>
          <w:sz w:val="22"/>
          <w:szCs w:val="22"/>
        </w:rPr>
      </w:pPr>
    </w:p>
    <w:p w:rsidR="007755F4" w:rsidRDefault="00D92470">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49</w:t>
      </w:r>
      <w:r>
        <w:rPr>
          <w:rFonts w:ascii="Palatino Linotype" w:eastAsia="Palatino Linotype" w:hAnsi="Palatino Linotype" w:cs="Palatino Linotype"/>
          <w:i/>
          <w:sz w:val="22"/>
          <w:szCs w:val="22"/>
        </w:rPr>
        <w:t xml:space="preserve">.- Cuando se constituya o amplíe la zona de urbanización, los solares que resulten serán asignados por la Asamblea, debiendo estar presente un representante de la Procuraduría, quien cuidará que se observe el siguiente procedimiento: </w:t>
      </w:r>
    </w:p>
    <w:p w:rsidR="007755F4" w:rsidRDefault="00D92470">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Deberá considerarse el número de solares que resulte del plano aprobado e inscrito en el Registro, a que se refiere la fracción </w:t>
      </w:r>
      <w:proofErr w:type="spellStart"/>
      <w:r>
        <w:rPr>
          <w:rFonts w:ascii="Palatino Linotype" w:eastAsia="Palatino Linotype" w:hAnsi="Palatino Linotype" w:cs="Palatino Linotype"/>
          <w:i/>
          <w:sz w:val="22"/>
          <w:szCs w:val="22"/>
        </w:rPr>
        <w:t>lV</w:t>
      </w:r>
      <w:proofErr w:type="spellEnd"/>
      <w:r>
        <w:rPr>
          <w:rFonts w:ascii="Palatino Linotype" w:eastAsia="Palatino Linotype" w:hAnsi="Palatino Linotype" w:cs="Palatino Linotype"/>
          <w:i/>
          <w:sz w:val="22"/>
          <w:szCs w:val="22"/>
        </w:rPr>
        <w:t xml:space="preserve"> del artículo anterior; </w:t>
      </w:r>
    </w:p>
    <w:p w:rsidR="007755F4" w:rsidRDefault="00D92470">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Se asignará un solar de manera gratuita a cada ejidatario, siempre y cuando éste no sea propietario de uno, o ya se le hubiere asignado con anterioridad, y</w:t>
      </w:r>
    </w:p>
    <w:p w:rsidR="007755F4" w:rsidRDefault="00D92470">
      <w:pPr>
        <w:ind w:left="709" w:right="757"/>
        <w:jc w:val="both"/>
      </w:pPr>
      <w:r>
        <w:rPr>
          <w:rFonts w:ascii="Palatino Linotype" w:eastAsia="Palatino Linotype" w:hAnsi="Palatino Linotype" w:cs="Palatino Linotype"/>
          <w:i/>
          <w:sz w:val="22"/>
          <w:szCs w:val="22"/>
        </w:rPr>
        <w:t xml:space="preserve"> III. El acta de Asamblea de asignación de solares, se inscribirá en el Registro, la cual hará las veces de solicitud para la expedición de los títulos de solares. Cuando la Asamblea no realice asignación individual sobre algún solar, éste deberá ser titulado a favor del ejido. Podrán ser arrendados o enajenados por el núcleo de población ejidal los solares excedentes a personas que deseen avecindarse.</w:t>
      </w:r>
    </w:p>
    <w:p w:rsidR="007755F4" w:rsidRDefault="007755F4">
      <w:pPr>
        <w:spacing w:line="360" w:lineRule="auto"/>
        <w:jc w:val="both"/>
        <w:rPr>
          <w:rFonts w:ascii="Palatino Linotype" w:eastAsia="Palatino Linotype" w:hAnsi="Palatino Linotype" w:cs="Palatino Linotype"/>
        </w:rPr>
      </w:pPr>
    </w:p>
    <w:p w:rsidR="007755F4" w:rsidRDefault="00D9247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 de los dispositivos jurídicos anteriormente expuestos, que nos llevan a analizar el numeral 62 del Reglamento en cita, mismo en donde nos señala el procedimiento para la inscripción del Acta de asamblea.</w:t>
      </w:r>
    </w:p>
    <w:p w:rsidR="007755F4" w:rsidRDefault="007755F4">
      <w:pPr>
        <w:spacing w:line="360" w:lineRule="auto"/>
        <w:jc w:val="both"/>
        <w:rPr>
          <w:rFonts w:ascii="Palatino Linotype" w:eastAsia="Palatino Linotype" w:hAnsi="Palatino Linotype" w:cs="Palatino Linotype"/>
        </w:rPr>
      </w:pPr>
    </w:p>
    <w:p w:rsidR="007755F4" w:rsidRDefault="00D92470">
      <w:pPr>
        <w:spacing w:line="360" w:lineRule="auto"/>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62</w:t>
      </w:r>
      <w:r>
        <w:rPr>
          <w:rFonts w:ascii="Palatino Linotype" w:eastAsia="Palatino Linotype" w:hAnsi="Palatino Linotype" w:cs="Palatino Linotype"/>
          <w:i/>
          <w:sz w:val="22"/>
          <w:szCs w:val="22"/>
        </w:rPr>
        <w:t>.- Para que el Registro proceda a llevar a cabo la inscripción de un acta de Asamblea, adicionalmente deberá observarse lo siguiente:</w:t>
      </w:r>
    </w:p>
    <w:p w:rsidR="007755F4" w:rsidRDefault="00D92470">
      <w:pPr>
        <w:spacing w:line="360" w:lineRule="auto"/>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I. Tratándose de delimitación de tierras, se deberá detallar en el acta, la forma en que la Asamblea señaló e identificó las áreas;</w:t>
      </w:r>
    </w:p>
    <w:p w:rsidR="007755F4" w:rsidRDefault="00D92470">
      <w:pPr>
        <w:spacing w:line="360" w:lineRule="auto"/>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II. Cuando en la delimitación de las tierras de uso común, se hubieren asignado proporciones distintas, deberá señalarse el porcentaje que corresponda a cada individuo, en los términos del artículo 43 de este reglamento, y </w:t>
      </w:r>
    </w:p>
    <w:p w:rsidR="007755F4" w:rsidRDefault="00D92470">
      <w:pPr>
        <w:spacing w:line="360" w:lineRule="auto"/>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III. Cuando se trate de la delimitación y deslinde de las tierras del asentamiento humano o de la zona de urbanización, el </w:t>
      </w:r>
      <w:r>
        <w:rPr>
          <w:rFonts w:ascii="Palatino Linotype" w:eastAsia="Palatino Linotype" w:hAnsi="Palatino Linotype" w:cs="Palatino Linotype"/>
          <w:b/>
          <w:i/>
          <w:sz w:val="22"/>
          <w:szCs w:val="22"/>
        </w:rPr>
        <w:t>acta deberá contener anexa</w:t>
      </w:r>
      <w:r>
        <w:rPr>
          <w:rFonts w:ascii="Palatino Linotype" w:eastAsia="Palatino Linotype" w:hAnsi="Palatino Linotype" w:cs="Palatino Linotype"/>
          <w:i/>
          <w:sz w:val="22"/>
          <w:szCs w:val="22"/>
        </w:rPr>
        <w:t xml:space="preserve">, en su caso, </w:t>
      </w:r>
      <w:r>
        <w:rPr>
          <w:rFonts w:ascii="Palatino Linotype" w:eastAsia="Palatino Linotype" w:hAnsi="Palatino Linotype" w:cs="Palatino Linotype"/>
          <w:b/>
          <w:i/>
          <w:sz w:val="22"/>
          <w:szCs w:val="22"/>
        </w:rPr>
        <w:t>la opinión o autorización</w:t>
      </w:r>
      <w:r>
        <w:rPr>
          <w:rFonts w:ascii="Palatino Linotype" w:eastAsia="Palatino Linotype" w:hAnsi="Palatino Linotype" w:cs="Palatino Linotype"/>
          <w:i/>
          <w:sz w:val="22"/>
          <w:szCs w:val="22"/>
        </w:rPr>
        <w:t xml:space="preserve"> de las autoridades competentes a que se hace referencia en el artículo 58 de este reglamento.</w:t>
      </w:r>
    </w:p>
    <w:p w:rsidR="007755F4" w:rsidRDefault="007755F4">
      <w:pPr>
        <w:spacing w:line="360" w:lineRule="auto"/>
        <w:jc w:val="both"/>
        <w:rPr>
          <w:rFonts w:ascii="Palatino Linotype" w:eastAsia="Palatino Linotype" w:hAnsi="Palatino Linotype" w:cs="Palatino Linotype"/>
        </w:rPr>
      </w:pPr>
    </w:p>
    <w:p w:rsidR="007755F4" w:rsidRDefault="00D9247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de los dispositivo jurídicos anteriores, que podemos advertir que efectivamente el Ayuntamiento pudo intervenir al momento en el que se establecieron la delimitaciones y al aprobar las extensiones de solares tal y como lo mandata el artículo 68 anteriormente referidos; sin embargo, no se advierte que efectivamente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se encentre constreñido a poseer o administrar los planos en los cuales fueron basadas dichas delimitaciones, asimismo se advierte del Informe Justificado rendido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solicitó los planos al Registro Agrario Nacional, es por ello que únicamente por lo que hace al requerimiento enlistado con el número  1.Información y planos de lotificación que incluyen los solares urbanos al interior de las zonas de asentamientos humanos irregulares, colonias de </w:t>
      </w:r>
      <w:proofErr w:type="spellStart"/>
      <w:r>
        <w:rPr>
          <w:rFonts w:ascii="Palatino Linotype" w:eastAsia="Palatino Linotype" w:hAnsi="Palatino Linotype" w:cs="Palatino Linotype"/>
        </w:rPr>
        <w:t>Tepeoluco</w:t>
      </w:r>
      <w:proofErr w:type="spellEnd"/>
      <w:r>
        <w:rPr>
          <w:rFonts w:ascii="Palatino Linotype" w:eastAsia="Palatino Linotype" w:hAnsi="Palatino Linotype" w:cs="Palatino Linotype"/>
        </w:rPr>
        <w:t xml:space="preserve"> y Loma Linda, en el caso de que ya cuente con una contestación positiva por parte del Registro Agrario Nacional, es decir, ya hubiese remitido la documentación requerida al momento de dar cumplimiento al medio de impugnación que nos ocupa es que  deberá hacer entrega de la información, de lo contrario se deberá emitir el debido Acuerdo de Incompetencia y hacerlo del conocimiento del particular, aunado a que debe de declarar la incompetencia respecto de los oficios emitidos por la Secretaría de Desarrollo Urbano mediante los cuales se autorizaron los planos de referencia.</w:t>
      </w:r>
    </w:p>
    <w:p w:rsidR="007755F4" w:rsidRDefault="007755F4">
      <w:pPr>
        <w:spacing w:line="360" w:lineRule="auto"/>
        <w:jc w:val="both"/>
        <w:rPr>
          <w:rFonts w:ascii="Palatino Linotype" w:eastAsia="Palatino Linotype" w:hAnsi="Palatino Linotype" w:cs="Palatino Linotype"/>
        </w:rPr>
      </w:pPr>
    </w:p>
    <w:p w:rsidR="007755F4" w:rsidRDefault="00D9247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la norma indica que la información sobre la cual es incompetente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deberá notificar al particular y de ser el caso orientarlo con el Sujeto Obligado competente, situación que se advirtió en los documentos enviados mediante Informe Justificado; también lo es que, dicha incompetencia tiene que ser aprobada por 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términos del artículo 49, fracciones I y II de la Ley de Transparencia y Acceso a la Información Pública del Estado de México y Municipios, que literalmente  señala:</w:t>
      </w:r>
    </w:p>
    <w:p w:rsidR="007755F4" w:rsidRDefault="007755F4">
      <w:pPr>
        <w:spacing w:line="360" w:lineRule="auto"/>
        <w:jc w:val="both"/>
        <w:rPr>
          <w:rFonts w:ascii="Palatino Linotype" w:eastAsia="Palatino Linotype" w:hAnsi="Palatino Linotype" w:cs="Palatino Linotype"/>
        </w:rPr>
      </w:pPr>
    </w:p>
    <w:p w:rsidR="007755F4" w:rsidRDefault="00D92470">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49</w:t>
      </w:r>
      <w:r>
        <w:rPr>
          <w:rFonts w:ascii="Palatino Linotype" w:eastAsia="Palatino Linotype" w:hAnsi="Palatino Linotype" w:cs="Palatino Linotype"/>
          <w:i/>
          <w:sz w:val="22"/>
          <w:szCs w:val="22"/>
        </w:rPr>
        <w:t>. Los Comités de Transparencia tendrán las siguientes atribuciones:</w:t>
      </w:r>
    </w:p>
    <w:p w:rsidR="007755F4" w:rsidRDefault="007755F4">
      <w:pPr>
        <w:ind w:left="709" w:right="757"/>
        <w:jc w:val="both"/>
        <w:rPr>
          <w:rFonts w:ascii="Palatino Linotype" w:eastAsia="Palatino Linotype" w:hAnsi="Palatino Linotype" w:cs="Palatino Linotype"/>
          <w:i/>
          <w:sz w:val="22"/>
          <w:szCs w:val="22"/>
        </w:rPr>
      </w:pPr>
    </w:p>
    <w:p w:rsidR="007755F4" w:rsidRDefault="00D92470">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Instituir, coordinar y supervisar en términos de las disposiciones aplicables, las acciones, medidas y procedimientos que coadyuven a asegurar una mayor eficacia en la gestión y atención de las solicitudes en materia de acceso a la información;</w:t>
      </w:r>
    </w:p>
    <w:p w:rsidR="007755F4" w:rsidRDefault="007755F4">
      <w:pPr>
        <w:ind w:left="709" w:right="757"/>
        <w:jc w:val="both"/>
        <w:rPr>
          <w:rFonts w:ascii="Palatino Linotype" w:eastAsia="Palatino Linotype" w:hAnsi="Palatino Linotype" w:cs="Palatino Linotype"/>
          <w:i/>
          <w:sz w:val="22"/>
          <w:szCs w:val="22"/>
        </w:rPr>
      </w:pPr>
    </w:p>
    <w:p w:rsidR="007755F4" w:rsidRDefault="00D92470">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Confirmar, modificar o revocar las determinaciones que en materia de ampliación del plazo de respuesta, clasificación de la información y declaración de inexistencia o de incompetencia realicen los titulares de las áreas de los sujetos obligados;”</w:t>
      </w:r>
    </w:p>
    <w:p w:rsidR="007755F4" w:rsidRDefault="007755F4">
      <w:pPr>
        <w:spacing w:line="360" w:lineRule="auto"/>
        <w:jc w:val="both"/>
        <w:rPr>
          <w:rFonts w:ascii="Palatino Linotype" w:eastAsia="Palatino Linotype" w:hAnsi="Palatino Linotype" w:cs="Palatino Linotype"/>
        </w:rPr>
      </w:pPr>
    </w:p>
    <w:p w:rsidR="007755F4" w:rsidRDefault="007755F4">
      <w:pPr>
        <w:spacing w:line="360" w:lineRule="auto"/>
        <w:jc w:val="both"/>
        <w:rPr>
          <w:rFonts w:ascii="Palatino Linotype" w:eastAsia="Palatino Linotype" w:hAnsi="Palatino Linotype" w:cs="Palatino Linotype"/>
        </w:rPr>
      </w:pPr>
    </w:p>
    <w:p w:rsidR="007755F4" w:rsidRDefault="00D9247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dicha incompetencia enunciada tanto en respuesta como en Informe Justificado, debió haber sido confirmada, modificada o revocada por 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términos del precepto legal referido, razón por la cual se considera viable ordenar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realizar a través de su Comité de Transparencia, el Acuerdo mediante el cual se confirme la incompetencia declarada por el Titular de la Unidad de Transparencia, respecto a la solicitud de información presentada por </w:t>
      </w:r>
      <w:r>
        <w:rPr>
          <w:rFonts w:ascii="Palatino Linotype" w:eastAsia="Palatino Linotype" w:hAnsi="Palatino Linotype" w:cs="Palatino Linotype"/>
          <w:b/>
        </w:rPr>
        <w:t>EL RECURRENTE</w:t>
      </w:r>
      <w:r>
        <w:rPr>
          <w:rFonts w:ascii="Palatino Linotype" w:eastAsia="Palatino Linotype" w:hAnsi="Palatino Linotype" w:cs="Palatino Linotype"/>
        </w:rPr>
        <w:t>, debiendo notificarle de igual forma el Acuerdo de referencia.</w:t>
      </w:r>
    </w:p>
    <w:p w:rsidR="007755F4" w:rsidRDefault="007755F4">
      <w:pPr>
        <w:spacing w:line="360" w:lineRule="auto"/>
        <w:jc w:val="both"/>
        <w:rPr>
          <w:rFonts w:ascii="Palatino Linotype" w:eastAsia="Palatino Linotype" w:hAnsi="Palatino Linotype" w:cs="Palatino Linotype"/>
        </w:rPr>
      </w:pPr>
    </w:p>
    <w:p w:rsidR="007755F4" w:rsidRDefault="00D9247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No obstante lo anterior, y bajo los principios de certeza, eficacia y objetividad, establecidos en el artículo 9 de la Ley de Transparencia y Acceso a la Información Pública del Estado de México y Municipios, y derivado de que la información requerida corresponde con atribuciones de un Sujeto Obligado distinto al que le fue presentada la solicitud, y a fin de no dilatar el derecho de acceso a la información, se dejan a salvo los derechos del</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para que pueda realizar la solicitud de información ante el Sujeto Obligado correspondiente.</w:t>
      </w:r>
    </w:p>
    <w:p w:rsidR="007755F4" w:rsidRDefault="007755F4">
      <w:pPr>
        <w:spacing w:line="360" w:lineRule="auto"/>
        <w:jc w:val="both"/>
        <w:rPr>
          <w:rFonts w:ascii="Palatino Linotype" w:eastAsia="Palatino Linotype" w:hAnsi="Palatino Linotype" w:cs="Palatino Linotype"/>
        </w:rPr>
      </w:pPr>
    </w:p>
    <w:p w:rsidR="007755F4" w:rsidRDefault="00D9247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Consecuentemente, este Instituto estima que lo dable es ordenar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haga entrega de la expresión documental que satisfaga el derecho de acceso a la información, en </w:t>
      </w:r>
      <w:r>
        <w:rPr>
          <w:rFonts w:ascii="Palatino Linotype" w:eastAsia="Palatino Linotype" w:hAnsi="Palatino Linotype" w:cs="Palatino Linotype"/>
          <w:b/>
        </w:rPr>
        <w:t>versión pública</w:t>
      </w:r>
      <w:r>
        <w:rPr>
          <w:rFonts w:ascii="Palatino Linotype" w:eastAsia="Palatino Linotype" w:hAnsi="Palatino Linotype" w:cs="Palatino Linotype"/>
        </w:rPr>
        <w:t>, de ser procedente.</w:t>
      </w:r>
    </w:p>
    <w:p w:rsidR="007755F4" w:rsidRDefault="007755F4">
      <w:pPr>
        <w:spacing w:line="360" w:lineRule="auto"/>
        <w:jc w:val="both"/>
        <w:rPr>
          <w:rFonts w:ascii="Palatino Linotype" w:eastAsia="Palatino Linotype" w:hAnsi="Palatino Linotype" w:cs="Palatino Linotype"/>
        </w:rPr>
      </w:pPr>
    </w:p>
    <w:p w:rsidR="007755F4" w:rsidRDefault="00D9247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en razón de que ante la incerteza de que la información requerida contenga datos personales, se considera procedente ordenar que estos deberán ser entregados en </w:t>
      </w:r>
      <w:r>
        <w:rPr>
          <w:rFonts w:ascii="Palatino Linotype" w:eastAsia="Palatino Linotype" w:hAnsi="Palatino Linotype" w:cs="Palatino Linotype"/>
          <w:b/>
        </w:rPr>
        <w:t>versión pública</w:t>
      </w:r>
      <w:r>
        <w:rPr>
          <w:rFonts w:ascii="Palatino Linotype" w:eastAsia="Palatino Linotype" w:hAnsi="Palatino Linotype" w:cs="Palatino Linotype"/>
        </w:rPr>
        <w:t>, esto es, omitirá, eliminará o suprimirá la información personal de particulares, susceptibles de ser clasificadas como confidencial o cualquier otro dato que ponga en riesgo la vida, seguridad o salud de dicha persona.</w:t>
      </w:r>
    </w:p>
    <w:p w:rsidR="007755F4" w:rsidRDefault="007755F4">
      <w:pPr>
        <w:spacing w:line="360" w:lineRule="auto"/>
        <w:jc w:val="both"/>
        <w:rPr>
          <w:rFonts w:ascii="Palatino Linotype" w:eastAsia="Palatino Linotype" w:hAnsi="Palatino Linotype" w:cs="Palatino Linotype"/>
        </w:rPr>
      </w:pPr>
    </w:p>
    <w:p w:rsidR="007755F4" w:rsidRDefault="00D92470">
      <w:pPr>
        <w:widowControl w:val="0"/>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Así, en relación a la información de la que se ordena su entrega en versión pública, en términos del artículo 143 de la Ley de Transparencia y Acceso a la Información Pública del Estado de México y Municipios, se deberá omitir, eliminar o suprimir la información </w:t>
      </w:r>
      <w:r>
        <w:rPr>
          <w:rFonts w:ascii="Palatino Linotype" w:eastAsia="Palatino Linotype" w:hAnsi="Palatino Linotype" w:cs="Palatino Linotype"/>
          <w:b/>
          <w:color w:val="000000"/>
        </w:rPr>
        <w:t>confidencial</w:t>
      </w:r>
      <w:r>
        <w:rPr>
          <w:rFonts w:ascii="Palatino Linotype" w:eastAsia="Palatino Linotype" w:hAnsi="Palatino Linotype" w:cs="Palatino Linotype"/>
          <w:color w:val="000000"/>
        </w:rPr>
        <w:t xml:space="preserve">. En ese sentido, sólo podrán ser testados los datos que actualicen las hipótesis normativas previstas en dicho precepto legal, y deberá procederse a su clasificación mediante las formalidades de Ley, es decir, que el Comité de Transparencia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emita el Acuerdo de Clasificación correspondiente debidamente fundado y motivado, en el cual se sustente la versión pública, en términos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7755F4" w:rsidRDefault="007755F4">
      <w:pPr>
        <w:widowControl w:val="0"/>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7755F4" w:rsidRDefault="00D92470">
      <w:pPr>
        <w:ind w:left="709" w:right="757"/>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Ley de Transparencia y Acceso a la Información Pública del Estado de México y Municipios</w:t>
      </w:r>
    </w:p>
    <w:p w:rsidR="007755F4" w:rsidRDefault="007755F4">
      <w:pPr>
        <w:ind w:left="709" w:right="757"/>
        <w:jc w:val="center"/>
        <w:rPr>
          <w:rFonts w:ascii="Palatino Linotype" w:eastAsia="Palatino Linotype" w:hAnsi="Palatino Linotype" w:cs="Palatino Linotype"/>
          <w:b/>
          <w:i/>
          <w:sz w:val="22"/>
          <w:szCs w:val="22"/>
        </w:rPr>
      </w:pPr>
    </w:p>
    <w:p w:rsidR="007755F4" w:rsidRDefault="00D92470">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49. </w:t>
      </w:r>
      <w:r>
        <w:rPr>
          <w:rFonts w:ascii="Palatino Linotype" w:eastAsia="Palatino Linotype" w:hAnsi="Palatino Linotype" w:cs="Palatino Linotype"/>
          <w:i/>
          <w:sz w:val="22"/>
          <w:szCs w:val="22"/>
        </w:rPr>
        <w:t>Los Comités de Transparencia tendrán las siguientes atribuciones:</w:t>
      </w:r>
    </w:p>
    <w:p w:rsidR="007755F4" w:rsidRDefault="00D92470">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xml:space="preserve"> Aprobar, modificar o revocar la clasificación de la información;</w:t>
      </w:r>
    </w:p>
    <w:p w:rsidR="007755F4" w:rsidRDefault="007755F4">
      <w:pPr>
        <w:ind w:left="709" w:right="757"/>
        <w:jc w:val="both"/>
        <w:rPr>
          <w:rFonts w:ascii="Palatino Linotype" w:eastAsia="Palatino Linotype" w:hAnsi="Palatino Linotype" w:cs="Palatino Linotype"/>
          <w:b/>
          <w:i/>
          <w:sz w:val="22"/>
          <w:szCs w:val="22"/>
        </w:rPr>
      </w:pPr>
    </w:p>
    <w:p w:rsidR="007755F4" w:rsidRDefault="00D92470">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132.</w:t>
      </w:r>
      <w:r>
        <w:rPr>
          <w:rFonts w:ascii="Palatino Linotype" w:eastAsia="Palatino Linotype" w:hAnsi="Palatino Linotype" w:cs="Palatino Linotype"/>
          <w:i/>
          <w:sz w:val="22"/>
          <w:szCs w:val="22"/>
        </w:rPr>
        <w:t xml:space="preserve"> La clasificación de la información se llevará a cabo en el momento en que:</w:t>
      </w:r>
    </w:p>
    <w:p w:rsidR="007755F4" w:rsidRDefault="00D92470">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7755F4" w:rsidRDefault="00D92470">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Se determine mediante resolución de autoridad competente; o</w:t>
      </w:r>
    </w:p>
    <w:p w:rsidR="007755F4" w:rsidRDefault="00D92470">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Se generen versiones públicas para dar cumplimiento a las obligaciones de transparencia previstas en esta Ley.”</w:t>
      </w:r>
    </w:p>
    <w:p w:rsidR="007755F4" w:rsidRDefault="007755F4">
      <w:pPr>
        <w:ind w:left="709" w:right="757"/>
        <w:jc w:val="center"/>
        <w:rPr>
          <w:rFonts w:ascii="Palatino Linotype" w:eastAsia="Palatino Linotype" w:hAnsi="Palatino Linotype" w:cs="Palatino Linotype"/>
          <w:b/>
          <w:i/>
          <w:sz w:val="22"/>
          <w:szCs w:val="22"/>
        </w:rPr>
      </w:pPr>
    </w:p>
    <w:p w:rsidR="007755F4" w:rsidRDefault="00D92470">
      <w:pPr>
        <w:ind w:left="709" w:right="757"/>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rsidR="007755F4" w:rsidRDefault="007755F4">
      <w:pPr>
        <w:ind w:left="709" w:right="757"/>
        <w:jc w:val="both"/>
        <w:rPr>
          <w:rFonts w:ascii="Palatino Linotype" w:eastAsia="Palatino Linotype" w:hAnsi="Palatino Linotype" w:cs="Palatino Linotype"/>
          <w:i/>
          <w:sz w:val="22"/>
          <w:szCs w:val="22"/>
        </w:rPr>
      </w:pPr>
    </w:p>
    <w:p w:rsidR="007755F4" w:rsidRDefault="00D92470">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Segundo.-</w:t>
      </w:r>
      <w:r>
        <w:rPr>
          <w:rFonts w:ascii="Palatino Linotype" w:eastAsia="Palatino Linotype" w:hAnsi="Palatino Linotype" w:cs="Palatino Linotype"/>
          <w:i/>
          <w:sz w:val="22"/>
          <w:szCs w:val="22"/>
        </w:rPr>
        <w:t xml:space="preserve"> Para efectos de los presentes Lineamientos Generales, se entenderá por:</w:t>
      </w:r>
    </w:p>
    <w:p w:rsidR="007755F4" w:rsidRDefault="007755F4">
      <w:pPr>
        <w:ind w:left="709" w:right="757"/>
        <w:jc w:val="both"/>
        <w:rPr>
          <w:rFonts w:ascii="Palatino Linotype" w:eastAsia="Palatino Linotype" w:hAnsi="Palatino Linotype" w:cs="Palatino Linotype"/>
          <w:b/>
          <w:i/>
          <w:sz w:val="22"/>
          <w:szCs w:val="22"/>
        </w:rPr>
      </w:pPr>
    </w:p>
    <w:p w:rsidR="007755F4" w:rsidRDefault="00D92470">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XVIII.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Versión pública:</w:t>
      </w:r>
      <w:r>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Pr>
          <w:rFonts w:ascii="Palatino Linotype" w:eastAsia="Palatino Linotype" w:hAnsi="Palatino Linotype" w:cs="Palatino Linotype"/>
          <w:b/>
          <w:i/>
          <w:sz w:val="22"/>
          <w:szCs w:val="22"/>
          <w:u w:val="single"/>
        </w:rPr>
        <w:t>fundando y motivando la</w:t>
      </w:r>
      <w:r>
        <w:rPr>
          <w:rFonts w:ascii="Palatino Linotype" w:eastAsia="Palatino Linotype" w:hAnsi="Palatino Linotype" w:cs="Palatino Linotype"/>
          <w:i/>
          <w:sz w:val="22"/>
          <w:szCs w:val="22"/>
        </w:rPr>
        <w:t xml:space="preserve"> reserva o </w:t>
      </w:r>
      <w:r>
        <w:rPr>
          <w:rFonts w:ascii="Palatino Linotype" w:eastAsia="Palatino Linotype" w:hAnsi="Palatino Linotype" w:cs="Palatino Linotype"/>
          <w:b/>
          <w:i/>
          <w:sz w:val="22"/>
          <w:szCs w:val="22"/>
          <w:u w:val="single"/>
        </w:rPr>
        <w:t>confidencialidad</w:t>
      </w:r>
      <w:r>
        <w:rPr>
          <w:rFonts w:ascii="Palatino Linotype" w:eastAsia="Palatino Linotype" w:hAnsi="Palatino Linotype" w:cs="Palatino Linotype"/>
          <w:i/>
          <w:sz w:val="22"/>
          <w:szCs w:val="22"/>
        </w:rPr>
        <w:t>, a través de la resolución que para tal efecto emita el Comité de Transparencia.</w:t>
      </w:r>
    </w:p>
    <w:p w:rsidR="007755F4" w:rsidRDefault="007755F4">
      <w:pPr>
        <w:ind w:left="709" w:right="757"/>
        <w:jc w:val="both"/>
        <w:rPr>
          <w:rFonts w:ascii="Palatino Linotype" w:eastAsia="Palatino Linotype" w:hAnsi="Palatino Linotype" w:cs="Palatino Linotype"/>
          <w:b/>
          <w:i/>
          <w:sz w:val="22"/>
          <w:szCs w:val="22"/>
        </w:rPr>
      </w:pPr>
    </w:p>
    <w:p w:rsidR="007755F4" w:rsidRDefault="00D92470">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Cuarto.</w:t>
      </w:r>
      <w:r>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7755F4" w:rsidRDefault="007755F4">
      <w:pPr>
        <w:ind w:left="709" w:right="757"/>
        <w:jc w:val="both"/>
        <w:rPr>
          <w:rFonts w:ascii="Palatino Linotype" w:eastAsia="Palatino Linotype" w:hAnsi="Palatino Linotype" w:cs="Palatino Linotype"/>
          <w:i/>
          <w:sz w:val="22"/>
          <w:szCs w:val="22"/>
        </w:rPr>
      </w:pPr>
    </w:p>
    <w:p w:rsidR="007755F4" w:rsidRDefault="00D92470">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rsidR="007755F4" w:rsidRDefault="007755F4">
      <w:pPr>
        <w:ind w:left="709" w:right="757"/>
        <w:jc w:val="both"/>
        <w:rPr>
          <w:rFonts w:ascii="Palatino Linotype" w:eastAsia="Palatino Linotype" w:hAnsi="Palatino Linotype" w:cs="Palatino Linotype"/>
          <w:b/>
          <w:i/>
          <w:sz w:val="22"/>
          <w:szCs w:val="22"/>
        </w:rPr>
      </w:pPr>
    </w:p>
    <w:p w:rsidR="007755F4" w:rsidRDefault="00D92470">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Quinto.</w:t>
      </w:r>
      <w:r>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7755F4" w:rsidRDefault="007755F4">
      <w:pPr>
        <w:ind w:left="709" w:right="757"/>
        <w:jc w:val="both"/>
        <w:rPr>
          <w:rFonts w:ascii="Palatino Linotype" w:eastAsia="Palatino Linotype" w:hAnsi="Palatino Linotype" w:cs="Palatino Linotype"/>
          <w:b/>
          <w:i/>
          <w:sz w:val="22"/>
          <w:szCs w:val="22"/>
        </w:rPr>
      </w:pPr>
    </w:p>
    <w:p w:rsidR="007755F4" w:rsidRDefault="00D92470">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Sexto.</w:t>
      </w:r>
      <w:r>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7755F4" w:rsidRDefault="00D92470">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rsidR="007755F4" w:rsidRDefault="007755F4">
      <w:pPr>
        <w:ind w:left="709" w:right="757"/>
        <w:jc w:val="both"/>
        <w:rPr>
          <w:rFonts w:ascii="Palatino Linotype" w:eastAsia="Palatino Linotype" w:hAnsi="Palatino Linotype" w:cs="Palatino Linotype"/>
          <w:b/>
          <w:i/>
          <w:sz w:val="22"/>
          <w:szCs w:val="22"/>
        </w:rPr>
      </w:pPr>
    </w:p>
    <w:p w:rsidR="007755F4" w:rsidRDefault="00D92470">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Séptimo.</w:t>
      </w:r>
      <w:r>
        <w:rPr>
          <w:rFonts w:ascii="Palatino Linotype" w:eastAsia="Palatino Linotype" w:hAnsi="Palatino Linotype" w:cs="Palatino Linotype"/>
          <w:i/>
          <w:sz w:val="22"/>
          <w:szCs w:val="22"/>
        </w:rPr>
        <w:t xml:space="preserve"> La clasificación de la información se llevará a cabo en el momento en que:</w:t>
      </w:r>
    </w:p>
    <w:p w:rsidR="007755F4" w:rsidRDefault="007755F4">
      <w:pPr>
        <w:ind w:left="709" w:right="757"/>
        <w:jc w:val="both"/>
        <w:rPr>
          <w:rFonts w:ascii="Palatino Linotype" w:eastAsia="Palatino Linotype" w:hAnsi="Palatino Linotype" w:cs="Palatino Linotype"/>
          <w:b/>
          <w:i/>
          <w:sz w:val="22"/>
          <w:szCs w:val="22"/>
        </w:rPr>
      </w:pPr>
    </w:p>
    <w:p w:rsidR="007755F4" w:rsidRDefault="00D92470">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reciba una solicitud de acceso a la información;</w:t>
      </w:r>
    </w:p>
    <w:p w:rsidR="007755F4" w:rsidRDefault="00D92470">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Se determine mediante resolución de autoridad competente, o</w:t>
      </w:r>
    </w:p>
    <w:p w:rsidR="007755F4" w:rsidRDefault="00D92470">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rsidR="007755F4" w:rsidRDefault="007755F4">
      <w:pPr>
        <w:ind w:left="709" w:right="757"/>
        <w:jc w:val="both"/>
        <w:rPr>
          <w:rFonts w:ascii="Palatino Linotype" w:eastAsia="Palatino Linotype" w:hAnsi="Palatino Linotype" w:cs="Palatino Linotype"/>
          <w:i/>
          <w:sz w:val="22"/>
          <w:szCs w:val="22"/>
        </w:rPr>
      </w:pPr>
    </w:p>
    <w:p w:rsidR="007755F4" w:rsidRDefault="00D92470">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rsidR="007755F4" w:rsidRDefault="007755F4">
      <w:pPr>
        <w:ind w:left="709" w:right="757"/>
        <w:jc w:val="both"/>
        <w:rPr>
          <w:rFonts w:ascii="Palatino Linotype" w:eastAsia="Palatino Linotype" w:hAnsi="Palatino Linotype" w:cs="Palatino Linotype"/>
          <w:b/>
          <w:i/>
          <w:sz w:val="22"/>
          <w:szCs w:val="22"/>
        </w:rPr>
      </w:pPr>
    </w:p>
    <w:p w:rsidR="007755F4" w:rsidRDefault="00D92470">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Octavo.</w:t>
      </w:r>
      <w:r>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7755F4" w:rsidRDefault="00D92470">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rsidR="007755F4" w:rsidRDefault="007755F4">
      <w:pPr>
        <w:ind w:left="709" w:right="757"/>
        <w:jc w:val="both"/>
        <w:rPr>
          <w:rFonts w:ascii="Palatino Linotype" w:eastAsia="Palatino Linotype" w:hAnsi="Palatino Linotype" w:cs="Palatino Linotype"/>
          <w:i/>
          <w:sz w:val="22"/>
          <w:szCs w:val="22"/>
        </w:rPr>
      </w:pPr>
    </w:p>
    <w:p w:rsidR="007755F4" w:rsidRDefault="00D92470">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rsidR="007755F4" w:rsidRDefault="007755F4">
      <w:pPr>
        <w:ind w:left="709" w:right="757"/>
        <w:jc w:val="both"/>
        <w:rPr>
          <w:rFonts w:ascii="Palatino Linotype" w:eastAsia="Palatino Linotype" w:hAnsi="Palatino Linotype" w:cs="Palatino Linotype"/>
          <w:i/>
          <w:sz w:val="22"/>
          <w:szCs w:val="22"/>
        </w:rPr>
      </w:pPr>
    </w:p>
    <w:p w:rsidR="007755F4" w:rsidRDefault="00D92470">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7755F4" w:rsidRDefault="007755F4">
      <w:pPr>
        <w:ind w:left="709" w:right="757"/>
        <w:jc w:val="both"/>
        <w:rPr>
          <w:rFonts w:ascii="Palatino Linotype" w:eastAsia="Palatino Linotype" w:hAnsi="Palatino Linotype" w:cs="Palatino Linotype"/>
          <w:i/>
          <w:sz w:val="22"/>
          <w:szCs w:val="22"/>
        </w:rPr>
      </w:pPr>
    </w:p>
    <w:p w:rsidR="007755F4" w:rsidRDefault="00D92470">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rsidR="007755F4" w:rsidRDefault="007755F4">
      <w:pPr>
        <w:ind w:left="709" w:right="757"/>
        <w:jc w:val="both"/>
        <w:rPr>
          <w:rFonts w:ascii="Palatino Linotype" w:eastAsia="Palatino Linotype" w:hAnsi="Palatino Linotype" w:cs="Palatino Linotype"/>
          <w:b/>
          <w:i/>
          <w:sz w:val="22"/>
          <w:szCs w:val="22"/>
        </w:rPr>
      </w:pPr>
    </w:p>
    <w:p w:rsidR="007755F4" w:rsidRDefault="00D92470">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Noveno.</w:t>
      </w:r>
      <w:r>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7755F4" w:rsidRDefault="007755F4">
      <w:pPr>
        <w:ind w:left="709" w:right="757"/>
        <w:jc w:val="both"/>
        <w:rPr>
          <w:rFonts w:ascii="Palatino Linotype" w:eastAsia="Palatino Linotype" w:hAnsi="Palatino Linotype" w:cs="Palatino Linotype"/>
          <w:b/>
          <w:i/>
          <w:sz w:val="22"/>
          <w:szCs w:val="22"/>
        </w:rPr>
      </w:pPr>
    </w:p>
    <w:p w:rsidR="007755F4" w:rsidRDefault="00D92470">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w:t>
      </w:r>
      <w:r>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7755F4" w:rsidRDefault="00D92470">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rsidR="007755F4" w:rsidRDefault="007755F4">
      <w:pPr>
        <w:ind w:left="709" w:right="757"/>
        <w:jc w:val="both"/>
        <w:rPr>
          <w:rFonts w:ascii="Palatino Linotype" w:eastAsia="Palatino Linotype" w:hAnsi="Palatino Linotype" w:cs="Palatino Linotype"/>
          <w:b/>
          <w:i/>
          <w:sz w:val="22"/>
          <w:szCs w:val="22"/>
        </w:rPr>
      </w:pPr>
    </w:p>
    <w:p w:rsidR="007755F4" w:rsidRDefault="00D92470">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 primero.</w:t>
      </w:r>
      <w:r>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7755F4" w:rsidRDefault="00D92470">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7755F4" w:rsidRDefault="007755F4">
      <w:pPr>
        <w:ind w:left="709" w:right="757"/>
        <w:jc w:val="center"/>
        <w:rPr>
          <w:rFonts w:ascii="Palatino Linotype" w:eastAsia="Palatino Linotype" w:hAnsi="Palatino Linotype" w:cs="Palatino Linotype"/>
          <w:b/>
          <w:i/>
          <w:sz w:val="22"/>
          <w:szCs w:val="22"/>
        </w:rPr>
      </w:pPr>
    </w:p>
    <w:p w:rsidR="007755F4" w:rsidRDefault="00D92470">
      <w:pPr>
        <w:ind w:left="709" w:right="757"/>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CAPÍTULO VIII</w:t>
      </w:r>
    </w:p>
    <w:p w:rsidR="007755F4" w:rsidRDefault="00D92470">
      <w:pPr>
        <w:ind w:left="709" w:right="757"/>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DE LA LEYENDA DE CLASIFICACIÓN</w:t>
      </w:r>
    </w:p>
    <w:p w:rsidR="007755F4" w:rsidRDefault="007755F4">
      <w:pPr>
        <w:ind w:left="709" w:right="757"/>
        <w:jc w:val="both"/>
        <w:rPr>
          <w:rFonts w:ascii="Palatino Linotype" w:eastAsia="Palatino Linotype" w:hAnsi="Palatino Linotype" w:cs="Palatino Linotype"/>
          <w:b/>
          <w:i/>
          <w:sz w:val="22"/>
          <w:szCs w:val="22"/>
        </w:rPr>
      </w:pPr>
    </w:p>
    <w:p w:rsidR="007755F4" w:rsidRDefault="00D92470">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Quincuagésimo. </w:t>
      </w:r>
      <w:r>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Pr>
          <w:rFonts w:ascii="Palatino Linotype" w:eastAsia="Palatino Linotype" w:hAnsi="Palatino Linotype" w:cs="Palatino Linotype"/>
          <w:i/>
          <w:sz w:val="22"/>
          <w:szCs w:val="22"/>
        </w:rPr>
        <w:t xml:space="preserve"> para señalar la clasificación de documentos o expedientes, sin perjuicio de que establezcan los propios.</w:t>
      </w:r>
    </w:p>
    <w:p w:rsidR="007755F4" w:rsidRDefault="00D92470">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7755F4" w:rsidRDefault="007755F4">
      <w:pPr>
        <w:ind w:left="709" w:right="757"/>
        <w:jc w:val="both"/>
        <w:rPr>
          <w:rFonts w:ascii="Palatino Linotype" w:eastAsia="Palatino Linotype" w:hAnsi="Palatino Linotype" w:cs="Palatino Linotype"/>
          <w:b/>
          <w:i/>
          <w:sz w:val="22"/>
          <w:szCs w:val="22"/>
        </w:rPr>
      </w:pPr>
    </w:p>
    <w:p w:rsidR="007755F4" w:rsidRDefault="00D92470">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Quincuagésimo tercero. </w:t>
      </w:r>
      <w:r>
        <w:rPr>
          <w:rFonts w:ascii="Palatino Linotype" w:eastAsia="Palatino Linotype" w:hAnsi="Palatino Linotype" w:cs="Palatino Linotype"/>
          <w:b/>
          <w:i/>
          <w:sz w:val="22"/>
          <w:szCs w:val="22"/>
          <w:u w:val="single"/>
        </w:rPr>
        <w:t>El formato para señalar la clasificación parcial de un documento</w:t>
      </w:r>
      <w:r>
        <w:rPr>
          <w:rFonts w:ascii="Palatino Linotype" w:eastAsia="Palatino Linotype" w:hAnsi="Palatino Linotype" w:cs="Palatino Linotype"/>
          <w:i/>
          <w:sz w:val="22"/>
          <w:szCs w:val="22"/>
        </w:rPr>
        <w:t>, es el siguiente:</w:t>
      </w:r>
    </w:p>
    <w:p w:rsidR="007755F4" w:rsidRDefault="007755F4">
      <w:pPr>
        <w:ind w:left="709" w:right="757"/>
        <w:jc w:val="both"/>
        <w:rPr>
          <w:rFonts w:ascii="Palatino Linotype" w:eastAsia="Palatino Linotype" w:hAnsi="Palatino Linotype" w:cs="Palatino Linotype"/>
          <w:i/>
          <w:sz w:val="22"/>
          <w:szCs w:val="22"/>
        </w:rPr>
      </w:pPr>
    </w:p>
    <w:tbl>
      <w:tblPr>
        <w:tblStyle w:val="a"/>
        <w:tblW w:w="8407"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2330"/>
        <w:gridCol w:w="4239"/>
      </w:tblGrid>
      <w:tr w:rsidR="007755F4">
        <w:tc>
          <w:tcPr>
            <w:tcW w:w="1838" w:type="dxa"/>
            <w:tcBorders>
              <w:top w:val="nil"/>
              <w:left w:val="nil"/>
              <w:bottom w:val="single" w:sz="4" w:space="0" w:color="000000"/>
              <w:right w:val="single" w:sz="4" w:space="0" w:color="000000"/>
            </w:tcBorders>
          </w:tcPr>
          <w:p w:rsidR="007755F4" w:rsidRDefault="007755F4">
            <w:pPr>
              <w:spacing w:line="252" w:lineRule="auto"/>
              <w:ind w:right="757"/>
              <w:jc w:val="both"/>
              <w:rPr>
                <w:rFonts w:ascii="Palatino Linotype" w:eastAsia="Palatino Linotype" w:hAnsi="Palatino Linotype" w:cs="Palatino Linotype"/>
                <w:i/>
              </w:rPr>
            </w:pPr>
          </w:p>
        </w:tc>
        <w:tc>
          <w:tcPr>
            <w:tcW w:w="2330" w:type="dxa"/>
            <w:tcBorders>
              <w:top w:val="single" w:sz="4" w:space="0" w:color="000000"/>
              <w:left w:val="single" w:sz="4" w:space="0" w:color="000000"/>
              <w:bottom w:val="single" w:sz="4" w:space="0" w:color="000000"/>
              <w:right w:val="single" w:sz="4" w:space="0" w:color="000000"/>
            </w:tcBorders>
          </w:tcPr>
          <w:p w:rsidR="007755F4" w:rsidRDefault="00D92470">
            <w:pPr>
              <w:spacing w:line="252" w:lineRule="auto"/>
              <w:ind w:right="757"/>
              <w:jc w:val="center"/>
              <w:rPr>
                <w:rFonts w:ascii="Palatino Linotype" w:eastAsia="Palatino Linotype" w:hAnsi="Palatino Linotype" w:cs="Palatino Linotype"/>
                <w:b/>
                <w:i/>
              </w:rPr>
            </w:pPr>
            <w:r>
              <w:rPr>
                <w:rFonts w:ascii="Palatino Linotype" w:eastAsia="Palatino Linotype" w:hAnsi="Palatino Linotype" w:cs="Palatino Linotype"/>
                <w:b/>
                <w:i/>
                <w:sz w:val="22"/>
                <w:szCs w:val="22"/>
              </w:rPr>
              <w:t>Concepto</w:t>
            </w:r>
          </w:p>
        </w:tc>
        <w:tc>
          <w:tcPr>
            <w:tcW w:w="4239" w:type="dxa"/>
            <w:tcBorders>
              <w:top w:val="single" w:sz="4" w:space="0" w:color="000000"/>
              <w:left w:val="single" w:sz="4" w:space="0" w:color="000000"/>
              <w:bottom w:val="single" w:sz="4" w:space="0" w:color="000000"/>
              <w:right w:val="single" w:sz="4" w:space="0" w:color="000000"/>
            </w:tcBorders>
          </w:tcPr>
          <w:p w:rsidR="007755F4" w:rsidRDefault="00D92470">
            <w:pPr>
              <w:spacing w:line="252" w:lineRule="auto"/>
              <w:ind w:right="757"/>
              <w:jc w:val="center"/>
              <w:rPr>
                <w:rFonts w:ascii="Palatino Linotype" w:eastAsia="Palatino Linotype" w:hAnsi="Palatino Linotype" w:cs="Palatino Linotype"/>
                <w:b/>
                <w:i/>
              </w:rPr>
            </w:pPr>
            <w:r>
              <w:rPr>
                <w:rFonts w:ascii="Palatino Linotype" w:eastAsia="Palatino Linotype" w:hAnsi="Palatino Linotype" w:cs="Palatino Linotype"/>
                <w:b/>
                <w:i/>
                <w:sz w:val="22"/>
                <w:szCs w:val="22"/>
              </w:rPr>
              <w:t>Dónde:</w:t>
            </w:r>
          </w:p>
        </w:tc>
      </w:tr>
      <w:tr w:rsidR="007755F4">
        <w:tc>
          <w:tcPr>
            <w:tcW w:w="1838" w:type="dxa"/>
            <w:vMerge w:val="restart"/>
            <w:tcBorders>
              <w:top w:val="single" w:sz="4" w:space="0" w:color="000000"/>
              <w:left w:val="single" w:sz="4" w:space="0" w:color="000000"/>
              <w:bottom w:val="single" w:sz="4" w:space="0" w:color="000000"/>
              <w:right w:val="single" w:sz="4" w:space="0" w:color="000000"/>
            </w:tcBorders>
            <w:vAlign w:val="center"/>
          </w:tcPr>
          <w:p w:rsidR="007755F4" w:rsidRDefault="00D92470">
            <w:pPr>
              <w:spacing w:line="252" w:lineRule="auto"/>
              <w:ind w:right="757"/>
              <w:jc w:val="center"/>
              <w:rPr>
                <w:rFonts w:ascii="Palatino Linotype" w:eastAsia="Palatino Linotype" w:hAnsi="Palatino Linotype" w:cs="Palatino Linotype"/>
                <w:b/>
                <w:i/>
              </w:rPr>
            </w:pPr>
            <w:r>
              <w:rPr>
                <w:rFonts w:ascii="Palatino Linotype" w:eastAsia="Palatino Linotype" w:hAnsi="Palatino Linotype" w:cs="Palatino Linotype"/>
                <w:b/>
                <w:i/>
                <w:sz w:val="22"/>
                <w:szCs w:val="22"/>
              </w:rPr>
              <w:t>Sello oficial o logotipo del sujeto obligado</w:t>
            </w:r>
          </w:p>
        </w:tc>
        <w:tc>
          <w:tcPr>
            <w:tcW w:w="2330" w:type="dxa"/>
            <w:tcBorders>
              <w:top w:val="single" w:sz="4" w:space="0" w:color="000000"/>
              <w:left w:val="single" w:sz="4" w:space="0" w:color="000000"/>
              <w:bottom w:val="single" w:sz="4" w:space="0" w:color="000000"/>
              <w:right w:val="single" w:sz="4" w:space="0" w:color="000000"/>
            </w:tcBorders>
          </w:tcPr>
          <w:p w:rsidR="007755F4" w:rsidRDefault="00D92470">
            <w:pPr>
              <w:spacing w:line="252" w:lineRule="auto"/>
              <w:ind w:right="757"/>
              <w:jc w:val="center"/>
              <w:rPr>
                <w:rFonts w:ascii="Palatino Linotype" w:eastAsia="Palatino Linotype" w:hAnsi="Palatino Linotype" w:cs="Palatino Linotype"/>
                <w:i/>
              </w:rPr>
            </w:pPr>
            <w:r>
              <w:rPr>
                <w:rFonts w:ascii="Palatino Linotype" w:eastAsia="Palatino Linotype" w:hAnsi="Palatino Linotype" w:cs="Palatino Linotype"/>
                <w:i/>
                <w:sz w:val="22"/>
                <w:szCs w:val="22"/>
              </w:rPr>
              <w:t>Fecha de clasificación</w:t>
            </w:r>
          </w:p>
        </w:tc>
        <w:tc>
          <w:tcPr>
            <w:tcW w:w="4239" w:type="dxa"/>
            <w:tcBorders>
              <w:top w:val="single" w:sz="4" w:space="0" w:color="000000"/>
              <w:left w:val="single" w:sz="4" w:space="0" w:color="000000"/>
              <w:bottom w:val="single" w:sz="4" w:space="0" w:color="000000"/>
              <w:right w:val="single" w:sz="4" w:space="0" w:color="000000"/>
            </w:tcBorders>
          </w:tcPr>
          <w:p w:rsidR="007755F4" w:rsidRDefault="00D92470">
            <w:pPr>
              <w:spacing w:line="252" w:lineRule="auto"/>
              <w:ind w:right="757"/>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Se anotará la fecha en la que el Comité de Transparencia confirmó la clasificación del documento, en su caso.</w:t>
            </w:r>
          </w:p>
        </w:tc>
      </w:tr>
      <w:tr w:rsidR="007755F4">
        <w:tc>
          <w:tcPr>
            <w:tcW w:w="1838" w:type="dxa"/>
            <w:vMerge/>
            <w:tcBorders>
              <w:top w:val="single" w:sz="4" w:space="0" w:color="000000"/>
              <w:left w:val="single" w:sz="4" w:space="0" w:color="000000"/>
              <w:bottom w:val="single" w:sz="4" w:space="0" w:color="000000"/>
              <w:right w:val="single" w:sz="4" w:space="0" w:color="000000"/>
            </w:tcBorders>
            <w:vAlign w:val="center"/>
          </w:tcPr>
          <w:p w:rsidR="007755F4" w:rsidRDefault="007755F4">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2330" w:type="dxa"/>
            <w:tcBorders>
              <w:top w:val="single" w:sz="4" w:space="0" w:color="000000"/>
              <w:left w:val="single" w:sz="4" w:space="0" w:color="000000"/>
              <w:bottom w:val="single" w:sz="4" w:space="0" w:color="000000"/>
              <w:right w:val="single" w:sz="4" w:space="0" w:color="000000"/>
            </w:tcBorders>
          </w:tcPr>
          <w:p w:rsidR="007755F4" w:rsidRDefault="00D92470">
            <w:pPr>
              <w:spacing w:line="252" w:lineRule="auto"/>
              <w:ind w:right="757"/>
              <w:jc w:val="center"/>
              <w:rPr>
                <w:rFonts w:ascii="Palatino Linotype" w:eastAsia="Palatino Linotype" w:hAnsi="Palatino Linotype" w:cs="Palatino Linotype"/>
                <w:i/>
              </w:rPr>
            </w:pPr>
            <w:r>
              <w:rPr>
                <w:rFonts w:ascii="Palatino Linotype" w:eastAsia="Palatino Linotype" w:hAnsi="Palatino Linotype" w:cs="Palatino Linotype"/>
                <w:i/>
                <w:sz w:val="22"/>
                <w:szCs w:val="22"/>
              </w:rPr>
              <w:t>Área</w:t>
            </w:r>
          </w:p>
        </w:tc>
        <w:tc>
          <w:tcPr>
            <w:tcW w:w="4239" w:type="dxa"/>
            <w:tcBorders>
              <w:top w:val="single" w:sz="4" w:space="0" w:color="000000"/>
              <w:left w:val="single" w:sz="4" w:space="0" w:color="000000"/>
              <w:bottom w:val="single" w:sz="4" w:space="0" w:color="000000"/>
              <w:right w:val="single" w:sz="4" w:space="0" w:color="000000"/>
            </w:tcBorders>
          </w:tcPr>
          <w:p w:rsidR="007755F4" w:rsidRDefault="00D92470">
            <w:pPr>
              <w:spacing w:line="252" w:lineRule="auto"/>
              <w:ind w:right="757"/>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Se señalará el nombre del área del cual es titular quien clasifica.</w:t>
            </w:r>
          </w:p>
        </w:tc>
      </w:tr>
      <w:tr w:rsidR="007755F4">
        <w:tc>
          <w:tcPr>
            <w:tcW w:w="1838" w:type="dxa"/>
            <w:vMerge/>
            <w:tcBorders>
              <w:top w:val="single" w:sz="4" w:space="0" w:color="000000"/>
              <w:left w:val="single" w:sz="4" w:space="0" w:color="000000"/>
              <w:bottom w:val="single" w:sz="4" w:space="0" w:color="000000"/>
              <w:right w:val="single" w:sz="4" w:space="0" w:color="000000"/>
            </w:tcBorders>
            <w:vAlign w:val="center"/>
          </w:tcPr>
          <w:p w:rsidR="007755F4" w:rsidRDefault="007755F4">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2330" w:type="dxa"/>
            <w:tcBorders>
              <w:top w:val="single" w:sz="4" w:space="0" w:color="000000"/>
              <w:left w:val="single" w:sz="4" w:space="0" w:color="000000"/>
              <w:bottom w:val="single" w:sz="4" w:space="0" w:color="000000"/>
              <w:right w:val="single" w:sz="4" w:space="0" w:color="000000"/>
            </w:tcBorders>
          </w:tcPr>
          <w:p w:rsidR="007755F4" w:rsidRDefault="00D92470">
            <w:pPr>
              <w:spacing w:line="252" w:lineRule="auto"/>
              <w:ind w:right="757"/>
              <w:jc w:val="center"/>
              <w:rPr>
                <w:rFonts w:ascii="Palatino Linotype" w:eastAsia="Palatino Linotype" w:hAnsi="Palatino Linotype" w:cs="Palatino Linotype"/>
                <w:i/>
              </w:rPr>
            </w:pPr>
            <w:r>
              <w:rPr>
                <w:rFonts w:ascii="Palatino Linotype" w:eastAsia="Palatino Linotype" w:hAnsi="Palatino Linotype" w:cs="Palatino Linotype"/>
                <w:i/>
                <w:sz w:val="22"/>
                <w:szCs w:val="22"/>
              </w:rPr>
              <w:t>Información reservada</w:t>
            </w:r>
          </w:p>
        </w:tc>
        <w:tc>
          <w:tcPr>
            <w:tcW w:w="4239" w:type="dxa"/>
            <w:tcBorders>
              <w:top w:val="single" w:sz="4" w:space="0" w:color="000000"/>
              <w:left w:val="single" w:sz="4" w:space="0" w:color="000000"/>
              <w:bottom w:val="single" w:sz="4" w:space="0" w:color="000000"/>
              <w:right w:val="single" w:sz="4" w:space="0" w:color="000000"/>
            </w:tcBorders>
          </w:tcPr>
          <w:p w:rsidR="007755F4" w:rsidRDefault="00D92470">
            <w:pPr>
              <w:spacing w:line="252" w:lineRule="auto"/>
              <w:ind w:right="757"/>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 xml:space="preserve">Se indicarán, en su caso, las partes o páginas del documento que se clasifican como reservadas. Si el documento fuera reservado en su totalidad, se </w:t>
            </w:r>
            <w:proofErr w:type="gramStart"/>
            <w:r>
              <w:rPr>
                <w:rFonts w:ascii="Palatino Linotype" w:eastAsia="Palatino Linotype" w:hAnsi="Palatino Linotype" w:cs="Palatino Linotype"/>
                <w:i/>
                <w:sz w:val="22"/>
                <w:szCs w:val="22"/>
              </w:rPr>
              <w:t>anotarán</w:t>
            </w:r>
            <w:proofErr w:type="gramEnd"/>
            <w:r>
              <w:rPr>
                <w:rFonts w:ascii="Palatino Linotype" w:eastAsia="Palatino Linotype" w:hAnsi="Palatino Linotype" w:cs="Palatino Linotype"/>
                <w:i/>
                <w:sz w:val="22"/>
                <w:szCs w:val="22"/>
              </w:rPr>
              <w:t xml:space="preserve"> todas las páginas que lo conforman. Si el documento no contiene información reservada, se tachará este apartado.</w:t>
            </w:r>
          </w:p>
        </w:tc>
      </w:tr>
      <w:tr w:rsidR="007755F4">
        <w:tc>
          <w:tcPr>
            <w:tcW w:w="1838" w:type="dxa"/>
            <w:vMerge/>
            <w:tcBorders>
              <w:top w:val="single" w:sz="4" w:space="0" w:color="000000"/>
              <w:left w:val="single" w:sz="4" w:space="0" w:color="000000"/>
              <w:bottom w:val="single" w:sz="4" w:space="0" w:color="000000"/>
              <w:right w:val="single" w:sz="4" w:space="0" w:color="000000"/>
            </w:tcBorders>
            <w:vAlign w:val="center"/>
          </w:tcPr>
          <w:p w:rsidR="007755F4" w:rsidRDefault="007755F4">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2330" w:type="dxa"/>
            <w:tcBorders>
              <w:top w:val="single" w:sz="4" w:space="0" w:color="000000"/>
              <w:left w:val="single" w:sz="4" w:space="0" w:color="000000"/>
              <w:bottom w:val="single" w:sz="4" w:space="0" w:color="000000"/>
              <w:right w:val="single" w:sz="4" w:space="0" w:color="000000"/>
            </w:tcBorders>
          </w:tcPr>
          <w:p w:rsidR="007755F4" w:rsidRDefault="00D92470">
            <w:pPr>
              <w:spacing w:line="252" w:lineRule="auto"/>
              <w:ind w:right="757"/>
              <w:jc w:val="center"/>
              <w:rPr>
                <w:rFonts w:ascii="Palatino Linotype" w:eastAsia="Palatino Linotype" w:hAnsi="Palatino Linotype" w:cs="Palatino Linotype"/>
                <w:i/>
              </w:rPr>
            </w:pPr>
            <w:r>
              <w:rPr>
                <w:rFonts w:ascii="Palatino Linotype" w:eastAsia="Palatino Linotype" w:hAnsi="Palatino Linotype" w:cs="Palatino Linotype"/>
                <w:i/>
                <w:sz w:val="22"/>
                <w:szCs w:val="22"/>
              </w:rPr>
              <w:t>Periodo de reserva</w:t>
            </w:r>
          </w:p>
        </w:tc>
        <w:tc>
          <w:tcPr>
            <w:tcW w:w="4239" w:type="dxa"/>
            <w:tcBorders>
              <w:top w:val="single" w:sz="4" w:space="0" w:color="000000"/>
              <w:left w:val="single" w:sz="4" w:space="0" w:color="000000"/>
              <w:bottom w:val="single" w:sz="4" w:space="0" w:color="000000"/>
              <w:right w:val="single" w:sz="4" w:space="0" w:color="000000"/>
            </w:tcBorders>
          </w:tcPr>
          <w:p w:rsidR="007755F4" w:rsidRDefault="00D92470">
            <w:pPr>
              <w:spacing w:line="252" w:lineRule="auto"/>
              <w:ind w:right="757"/>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Se anotará el número de años o meses por los que se mantendrá el documento o las partes del mismo como reservado.</w:t>
            </w:r>
          </w:p>
        </w:tc>
      </w:tr>
      <w:tr w:rsidR="007755F4">
        <w:tc>
          <w:tcPr>
            <w:tcW w:w="1838" w:type="dxa"/>
            <w:vMerge/>
            <w:tcBorders>
              <w:top w:val="single" w:sz="4" w:space="0" w:color="000000"/>
              <w:left w:val="single" w:sz="4" w:space="0" w:color="000000"/>
              <w:bottom w:val="single" w:sz="4" w:space="0" w:color="000000"/>
              <w:right w:val="single" w:sz="4" w:space="0" w:color="000000"/>
            </w:tcBorders>
            <w:vAlign w:val="center"/>
          </w:tcPr>
          <w:p w:rsidR="007755F4" w:rsidRDefault="007755F4">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2330" w:type="dxa"/>
            <w:tcBorders>
              <w:top w:val="single" w:sz="4" w:space="0" w:color="000000"/>
              <w:left w:val="single" w:sz="4" w:space="0" w:color="000000"/>
              <w:bottom w:val="single" w:sz="4" w:space="0" w:color="000000"/>
              <w:right w:val="single" w:sz="4" w:space="0" w:color="000000"/>
            </w:tcBorders>
          </w:tcPr>
          <w:p w:rsidR="007755F4" w:rsidRDefault="00D92470">
            <w:pPr>
              <w:spacing w:line="252" w:lineRule="auto"/>
              <w:ind w:right="757"/>
              <w:jc w:val="center"/>
              <w:rPr>
                <w:rFonts w:ascii="Palatino Linotype" w:eastAsia="Palatino Linotype" w:hAnsi="Palatino Linotype" w:cs="Palatino Linotype"/>
                <w:i/>
              </w:rPr>
            </w:pPr>
            <w:r>
              <w:rPr>
                <w:rFonts w:ascii="Palatino Linotype" w:eastAsia="Palatino Linotype" w:hAnsi="Palatino Linotype" w:cs="Palatino Linotype"/>
                <w:i/>
                <w:sz w:val="22"/>
                <w:szCs w:val="22"/>
              </w:rPr>
              <w:t>Fundamento legal</w:t>
            </w:r>
          </w:p>
        </w:tc>
        <w:tc>
          <w:tcPr>
            <w:tcW w:w="4239" w:type="dxa"/>
            <w:tcBorders>
              <w:top w:val="single" w:sz="4" w:space="0" w:color="000000"/>
              <w:left w:val="single" w:sz="4" w:space="0" w:color="000000"/>
              <w:bottom w:val="single" w:sz="4" w:space="0" w:color="000000"/>
              <w:right w:val="single" w:sz="4" w:space="0" w:color="000000"/>
            </w:tcBorders>
          </w:tcPr>
          <w:p w:rsidR="007755F4" w:rsidRDefault="00D92470">
            <w:pPr>
              <w:spacing w:line="252" w:lineRule="auto"/>
              <w:ind w:right="757"/>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Se señalará el nombre del ordenamiento, el o los artículos, fracción(es), párrafo(s) con base en los cuales se sustente la reserva.</w:t>
            </w:r>
          </w:p>
        </w:tc>
      </w:tr>
      <w:tr w:rsidR="007755F4">
        <w:tc>
          <w:tcPr>
            <w:tcW w:w="1838" w:type="dxa"/>
            <w:vMerge/>
            <w:tcBorders>
              <w:top w:val="single" w:sz="4" w:space="0" w:color="000000"/>
              <w:left w:val="single" w:sz="4" w:space="0" w:color="000000"/>
              <w:bottom w:val="single" w:sz="4" w:space="0" w:color="000000"/>
              <w:right w:val="single" w:sz="4" w:space="0" w:color="000000"/>
            </w:tcBorders>
            <w:vAlign w:val="center"/>
          </w:tcPr>
          <w:p w:rsidR="007755F4" w:rsidRDefault="007755F4">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2330" w:type="dxa"/>
            <w:tcBorders>
              <w:top w:val="single" w:sz="4" w:space="0" w:color="000000"/>
              <w:left w:val="single" w:sz="4" w:space="0" w:color="000000"/>
              <w:bottom w:val="single" w:sz="4" w:space="0" w:color="000000"/>
              <w:right w:val="single" w:sz="4" w:space="0" w:color="000000"/>
            </w:tcBorders>
          </w:tcPr>
          <w:p w:rsidR="007755F4" w:rsidRDefault="00D92470">
            <w:pPr>
              <w:spacing w:line="252" w:lineRule="auto"/>
              <w:ind w:right="757"/>
              <w:jc w:val="center"/>
              <w:rPr>
                <w:rFonts w:ascii="Palatino Linotype" w:eastAsia="Palatino Linotype" w:hAnsi="Palatino Linotype" w:cs="Palatino Linotype"/>
                <w:i/>
              </w:rPr>
            </w:pPr>
            <w:r>
              <w:rPr>
                <w:rFonts w:ascii="Palatino Linotype" w:eastAsia="Palatino Linotype" w:hAnsi="Palatino Linotype" w:cs="Palatino Linotype"/>
                <w:i/>
                <w:sz w:val="22"/>
                <w:szCs w:val="22"/>
              </w:rPr>
              <w:t>Ampliación del periodo de reserva</w:t>
            </w:r>
          </w:p>
        </w:tc>
        <w:tc>
          <w:tcPr>
            <w:tcW w:w="4239" w:type="dxa"/>
            <w:tcBorders>
              <w:top w:val="single" w:sz="4" w:space="0" w:color="000000"/>
              <w:left w:val="single" w:sz="4" w:space="0" w:color="000000"/>
              <w:bottom w:val="single" w:sz="4" w:space="0" w:color="000000"/>
              <w:right w:val="single" w:sz="4" w:space="0" w:color="000000"/>
            </w:tcBorders>
          </w:tcPr>
          <w:p w:rsidR="007755F4" w:rsidRDefault="00D92470">
            <w:pPr>
              <w:spacing w:line="252" w:lineRule="auto"/>
              <w:ind w:right="757"/>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En caso de haber solicitado la ampliación del periodo de reserva originalmente establecido, se deberá anotar el número de años o meses por los que se amplía la reserva.</w:t>
            </w:r>
          </w:p>
        </w:tc>
      </w:tr>
      <w:tr w:rsidR="007755F4">
        <w:tc>
          <w:tcPr>
            <w:tcW w:w="1838" w:type="dxa"/>
            <w:vMerge/>
            <w:tcBorders>
              <w:top w:val="single" w:sz="4" w:space="0" w:color="000000"/>
              <w:left w:val="single" w:sz="4" w:space="0" w:color="000000"/>
              <w:bottom w:val="single" w:sz="4" w:space="0" w:color="000000"/>
              <w:right w:val="single" w:sz="4" w:space="0" w:color="000000"/>
            </w:tcBorders>
            <w:vAlign w:val="center"/>
          </w:tcPr>
          <w:p w:rsidR="007755F4" w:rsidRDefault="007755F4">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2330" w:type="dxa"/>
            <w:tcBorders>
              <w:top w:val="single" w:sz="4" w:space="0" w:color="000000"/>
              <w:left w:val="single" w:sz="4" w:space="0" w:color="000000"/>
              <w:bottom w:val="single" w:sz="4" w:space="0" w:color="000000"/>
              <w:right w:val="single" w:sz="4" w:space="0" w:color="000000"/>
            </w:tcBorders>
          </w:tcPr>
          <w:p w:rsidR="007755F4" w:rsidRDefault="00D92470">
            <w:pPr>
              <w:spacing w:line="252" w:lineRule="auto"/>
              <w:ind w:right="757"/>
              <w:jc w:val="center"/>
              <w:rPr>
                <w:rFonts w:ascii="Palatino Linotype" w:eastAsia="Palatino Linotype" w:hAnsi="Palatino Linotype" w:cs="Palatino Linotype"/>
                <w:i/>
              </w:rPr>
            </w:pPr>
            <w:r>
              <w:rPr>
                <w:rFonts w:ascii="Palatino Linotype" w:eastAsia="Palatino Linotype" w:hAnsi="Palatino Linotype" w:cs="Palatino Linotype"/>
                <w:i/>
                <w:sz w:val="22"/>
                <w:szCs w:val="22"/>
              </w:rPr>
              <w:t>Confidencial</w:t>
            </w:r>
          </w:p>
        </w:tc>
        <w:tc>
          <w:tcPr>
            <w:tcW w:w="4239" w:type="dxa"/>
            <w:tcBorders>
              <w:top w:val="single" w:sz="4" w:space="0" w:color="000000"/>
              <w:left w:val="single" w:sz="4" w:space="0" w:color="000000"/>
              <w:bottom w:val="single" w:sz="4" w:space="0" w:color="000000"/>
              <w:right w:val="single" w:sz="4" w:space="0" w:color="000000"/>
            </w:tcBorders>
          </w:tcPr>
          <w:p w:rsidR="007755F4" w:rsidRDefault="00D92470">
            <w:pPr>
              <w:spacing w:line="252" w:lineRule="auto"/>
              <w:ind w:right="757"/>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7755F4">
        <w:tc>
          <w:tcPr>
            <w:tcW w:w="1838" w:type="dxa"/>
            <w:vMerge/>
            <w:tcBorders>
              <w:top w:val="single" w:sz="4" w:space="0" w:color="000000"/>
              <w:left w:val="single" w:sz="4" w:space="0" w:color="000000"/>
              <w:bottom w:val="single" w:sz="4" w:space="0" w:color="000000"/>
              <w:right w:val="single" w:sz="4" w:space="0" w:color="000000"/>
            </w:tcBorders>
            <w:vAlign w:val="center"/>
          </w:tcPr>
          <w:p w:rsidR="007755F4" w:rsidRDefault="007755F4">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2330" w:type="dxa"/>
            <w:tcBorders>
              <w:top w:val="single" w:sz="4" w:space="0" w:color="000000"/>
              <w:left w:val="single" w:sz="4" w:space="0" w:color="000000"/>
              <w:bottom w:val="single" w:sz="4" w:space="0" w:color="000000"/>
              <w:right w:val="single" w:sz="4" w:space="0" w:color="000000"/>
            </w:tcBorders>
          </w:tcPr>
          <w:p w:rsidR="007755F4" w:rsidRDefault="00D92470">
            <w:pPr>
              <w:spacing w:line="252" w:lineRule="auto"/>
              <w:ind w:right="757"/>
              <w:jc w:val="center"/>
              <w:rPr>
                <w:rFonts w:ascii="Palatino Linotype" w:eastAsia="Palatino Linotype" w:hAnsi="Palatino Linotype" w:cs="Palatino Linotype"/>
                <w:i/>
              </w:rPr>
            </w:pPr>
            <w:r>
              <w:rPr>
                <w:rFonts w:ascii="Palatino Linotype" w:eastAsia="Palatino Linotype" w:hAnsi="Palatino Linotype" w:cs="Palatino Linotype"/>
                <w:i/>
                <w:sz w:val="22"/>
                <w:szCs w:val="22"/>
              </w:rPr>
              <w:t>Fundamento legal</w:t>
            </w:r>
          </w:p>
        </w:tc>
        <w:tc>
          <w:tcPr>
            <w:tcW w:w="4239" w:type="dxa"/>
            <w:tcBorders>
              <w:top w:val="single" w:sz="4" w:space="0" w:color="000000"/>
              <w:left w:val="single" w:sz="4" w:space="0" w:color="000000"/>
              <w:bottom w:val="single" w:sz="4" w:space="0" w:color="000000"/>
              <w:right w:val="single" w:sz="4" w:space="0" w:color="000000"/>
            </w:tcBorders>
          </w:tcPr>
          <w:p w:rsidR="007755F4" w:rsidRDefault="00D92470">
            <w:pPr>
              <w:spacing w:line="252" w:lineRule="auto"/>
              <w:ind w:right="757"/>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Se señalará el nombre del ordenamiento, el o los artículos, fracción(es), párrafo(s) con base en los cuales se sustente la confidencialidad.</w:t>
            </w:r>
          </w:p>
        </w:tc>
      </w:tr>
      <w:tr w:rsidR="007755F4">
        <w:tc>
          <w:tcPr>
            <w:tcW w:w="1838" w:type="dxa"/>
            <w:vMerge/>
            <w:tcBorders>
              <w:top w:val="single" w:sz="4" w:space="0" w:color="000000"/>
              <w:left w:val="single" w:sz="4" w:space="0" w:color="000000"/>
              <w:bottom w:val="single" w:sz="4" w:space="0" w:color="000000"/>
              <w:right w:val="single" w:sz="4" w:space="0" w:color="000000"/>
            </w:tcBorders>
            <w:vAlign w:val="center"/>
          </w:tcPr>
          <w:p w:rsidR="007755F4" w:rsidRDefault="007755F4">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2330" w:type="dxa"/>
            <w:tcBorders>
              <w:top w:val="single" w:sz="4" w:space="0" w:color="000000"/>
              <w:left w:val="single" w:sz="4" w:space="0" w:color="000000"/>
              <w:bottom w:val="single" w:sz="4" w:space="0" w:color="000000"/>
              <w:right w:val="single" w:sz="4" w:space="0" w:color="000000"/>
            </w:tcBorders>
          </w:tcPr>
          <w:p w:rsidR="007755F4" w:rsidRDefault="00D92470">
            <w:pPr>
              <w:spacing w:line="252" w:lineRule="auto"/>
              <w:ind w:right="757"/>
              <w:jc w:val="center"/>
              <w:rPr>
                <w:rFonts w:ascii="Palatino Linotype" w:eastAsia="Palatino Linotype" w:hAnsi="Palatino Linotype" w:cs="Palatino Linotype"/>
                <w:i/>
              </w:rPr>
            </w:pPr>
            <w:r>
              <w:rPr>
                <w:rFonts w:ascii="Palatino Linotype" w:eastAsia="Palatino Linotype" w:hAnsi="Palatino Linotype" w:cs="Palatino Linotype"/>
                <w:i/>
                <w:sz w:val="22"/>
                <w:szCs w:val="22"/>
              </w:rPr>
              <w:t>Rúbrica del titular del área</w:t>
            </w:r>
          </w:p>
        </w:tc>
        <w:tc>
          <w:tcPr>
            <w:tcW w:w="4239" w:type="dxa"/>
            <w:tcBorders>
              <w:top w:val="single" w:sz="4" w:space="0" w:color="000000"/>
              <w:left w:val="single" w:sz="4" w:space="0" w:color="000000"/>
              <w:bottom w:val="single" w:sz="4" w:space="0" w:color="000000"/>
              <w:right w:val="single" w:sz="4" w:space="0" w:color="000000"/>
            </w:tcBorders>
          </w:tcPr>
          <w:p w:rsidR="007755F4" w:rsidRDefault="00D92470">
            <w:pPr>
              <w:spacing w:line="252" w:lineRule="auto"/>
              <w:ind w:right="757"/>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Rúbrica autógrafa de quien clasifica.</w:t>
            </w:r>
          </w:p>
        </w:tc>
      </w:tr>
      <w:tr w:rsidR="007755F4">
        <w:tc>
          <w:tcPr>
            <w:tcW w:w="1838" w:type="dxa"/>
            <w:vMerge/>
            <w:tcBorders>
              <w:top w:val="single" w:sz="4" w:space="0" w:color="000000"/>
              <w:left w:val="single" w:sz="4" w:space="0" w:color="000000"/>
              <w:bottom w:val="single" w:sz="4" w:space="0" w:color="000000"/>
              <w:right w:val="single" w:sz="4" w:space="0" w:color="000000"/>
            </w:tcBorders>
            <w:vAlign w:val="center"/>
          </w:tcPr>
          <w:p w:rsidR="007755F4" w:rsidRDefault="007755F4">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2330" w:type="dxa"/>
            <w:tcBorders>
              <w:top w:val="single" w:sz="4" w:space="0" w:color="000000"/>
              <w:left w:val="single" w:sz="4" w:space="0" w:color="000000"/>
              <w:bottom w:val="single" w:sz="4" w:space="0" w:color="000000"/>
              <w:right w:val="single" w:sz="4" w:space="0" w:color="000000"/>
            </w:tcBorders>
          </w:tcPr>
          <w:p w:rsidR="007755F4" w:rsidRDefault="00D92470">
            <w:pPr>
              <w:spacing w:line="252" w:lineRule="auto"/>
              <w:ind w:right="757"/>
              <w:jc w:val="center"/>
              <w:rPr>
                <w:rFonts w:ascii="Palatino Linotype" w:eastAsia="Palatino Linotype" w:hAnsi="Palatino Linotype" w:cs="Palatino Linotype"/>
                <w:i/>
              </w:rPr>
            </w:pPr>
            <w:r>
              <w:rPr>
                <w:rFonts w:ascii="Palatino Linotype" w:eastAsia="Palatino Linotype" w:hAnsi="Palatino Linotype" w:cs="Palatino Linotype"/>
                <w:i/>
                <w:sz w:val="22"/>
                <w:szCs w:val="22"/>
              </w:rPr>
              <w:t>Fecha de desclasificación</w:t>
            </w:r>
          </w:p>
        </w:tc>
        <w:tc>
          <w:tcPr>
            <w:tcW w:w="4239" w:type="dxa"/>
            <w:tcBorders>
              <w:top w:val="single" w:sz="4" w:space="0" w:color="000000"/>
              <w:left w:val="single" w:sz="4" w:space="0" w:color="000000"/>
              <w:bottom w:val="single" w:sz="4" w:space="0" w:color="000000"/>
              <w:right w:val="single" w:sz="4" w:space="0" w:color="000000"/>
            </w:tcBorders>
          </w:tcPr>
          <w:p w:rsidR="007755F4" w:rsidRDefault="00D92470">
            <w:pPr>
              <w:spacing w:line="252" w:lineRule="auto"/>
              <w:ind w:right="757"/>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Se anotará la fecha en que se desclasifica el documento.</w:t>
            </w:r>
          </w:p>
        </w:tc>
      </w:tr>
      <w:tr w:rsidR="007755F4">
        <w:tc>
          <w:tcPr>
            <w:tcW w:w="1838" w:type="dxa"/>
            <w:vMerge/>
            <w:tcBorders>
              <w:top w:val="single" w:sz="4" w:space="0" w:color="000000"/>
              <w:left w:val="single" w:sz="4" w:space="0" w:color="000000"/>
              <w:bottom w:val="single" w:sz="4" w:space="0" w:color="000000"/>
              <w:right w:val="single" w:sz="4" w:space="0" w:color="000000"/>
            </w:tcBorders>
            <w:vAlign w:val="center"/>
          </w:tcPr>
          <w:p w:rsidR="007755F4" w:rsidRDefault="007755F4">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2330" w:type="dxa"/>
            <w:tcBorders>
              <w:top w:val="single" w:sz="4" w:space="0" w:color="000000"/>
              <w:left w:val="single" w:sz="4" w:space="0" w:color="000000"/>
              <w:bottom w:val="single" w:sz="4" w:space="0" w:color="000000"/>
              <w:right w:val="single" w:sz="4" w:space="0" w:color="000000"/>
            </w:tcBorders>
          </w:tcPr>
          <w:p w:rsidR="007755F4" w:rsidRDefault="00D92470">
            <w:pPr>
              <w:spacing w:line="252" w:lineRule="auto"/>
              <w:ind w:right="757"/>
              <w:jc w:val="center"/>
              <w:rPr>
                <w:rFonts w:ascii="Palatino Linotype" w:eastAsia="Palatino Linotype" w:hAnsi="Palatino Linotype" w:cs="Palatino Linotype"/>
                <w:i/>
              </w:rPr>
            </w:pPr>
            <w:r>
              <w:rPr>
                <w:rFonts w:ascii="Palatino Linotype" w:eastAsia="Palatino Linotype" w:hAnsi="Palatino Linotype" w:cs="Palatino Linotype"/>
                <w:i/>
                <w:sz w:val="22"/>
                <w:szCs w:val="22"/>
              </w:rPr>
              <w:t>Rúbrica y cargo del servidor público</w:t>
            </w:r>
          </w:p>
        </w:tc>
        <w:tc>
          <w:tcPr>
            <w:tcW w:w="4239" w:type="dxa"/>
            <w:tcBorders>
              <w:top w:val="single" w:sz="4" w:space="0" w:color="000000"/>
              <w:left w:val="single" w:sz="4" w:space="0" w:color="000000"/>
              <w:bottom w:val="single" w:sz="4" w:space="0" w:color="000000"/>
              <w:right w:val="single" w:sz="4" w:space="0" w:color="000000"/>
            </w:tcBorders>
            <w:vAlign w:val="center"/>
          </w:tcPr>
          <w:p w:rsidR="007755F4" w:rsidRDefault="00D92470">
            <w:pPr>
              <w:spacing w:line="252" w:lineRule="auto"/>
              <w:ind w:right="757"/>
              <w:rPr>
                <w:rFonts w:ascii="Palatino Linotype" w:eastAsia="Palatino Linotype" w:hAnsi="Palatino Linotype" w:cs="Palatino Linotype"/>
                <w:i/>
              </w:rPr>
            </w:pPr>
            <w:r>
              <w:rPr>
                <w:rFonts w:ascii="Palatino Linotype" w:eastAsia="Palatino Linotype" w:hAnsi="Palatino Linotype" w:cs="Palatino Linotype"/>
                <w:i/>
                <w:sz w:val="22"/>
                <w:szCs w:val="22"/>
              </w:rPr>
              <w:t>Rúbrica autógrafa de quien desclasifica.</w:t>
            </w:r>
          </w:p>
        </w:tc>
      </w:tr>
    </w:tbl>
    <w:p w:rsidR="007755F4" w:rsidRDefault="00D92470">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7755F4" w:rsidRDefault="007755F4">
      <w:pPr>
        <w:ind w:left="709" w:right="757"/>
        <w:jc w:val="both"/>
        <w:rPr>
          <w:rFonts w:ascii="Palatino Linotype" w:eastAsia="Palatino Linotype" w:hAnsi="Palatino Linotype" w:cs="Palatino Linotype"/>
          <w:i/>
          <w:sz w:val="22"/>
          <w:szCs w:val="22"/>
        </w:rPr>
      </w:pPr>
    </w:p>
    <w:p w:rsidR="007755F4" w:rsidRDefault="00D92470">
      <w:pPr>
        <w:ind w:left="709" w:right="757"/>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Añadido)</w:t>
      </w:r>
    </w:p>
    <w:p w:rsidR="007755F4" w:rsidRDefault="007755F4">
      <w:pPr>
        <w:spacing w:line="360" w:lineRule="auto"/>
        <w:ind w:left="709" w:right="757"/>
        <w:jc w:val="both"/>
        <w:rPr>
          <w:rFonts w:ascii="Palatino Linotype" w:eastAsia="Palatino Linotype" w:hAnsi="Palatino Linotype" w:cs="Palatino Linotype"/>
          <w:sz w:val="22"/>
          <w:szCs w:val="22"/>
        </w:rPr>
      </w:pPr>
    </w:p>
    <w:p w:rsidR="007755F4" w:rsidRDefault="00D92470">
      <w:pPr>
        <w:widowControl w:val="0"/>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lo tanto, es importante referir que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deberá seguir el procedimiento legal establecido para su clasificación, esto es, que su Comité de Transparencia emita un Acuerdo de Clasificación que cumpla con las formalidades previstas, antes citadas</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7755F4" w:rsidRDefault="007755F4">
      <w:pPr>
        <w:widowControl w:val="0"/>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7755F4" w:rsidRDefault="00D92470">
      <w:pPr>
        <w:widowControl w:val="0"/>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Precisado lo anterior, entre los datos que de manera enunciativa más no limitativa, pudieran contenerse en los documentos</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 xml:space="preserve">que se ordena entregar en versión pública, se encuentran </w:t>
      </w:r>
      <w:r>
        <w:rPr>
          <w:rFonts w:ascii="Palatino Linotype" w:eastAsia="Palatino Linotype" w:hAnsi="Palatino Linotype" w:cs="Palatino Linotype"/>
          <w:b/>
          <w:color w:val="000000"/>
        </w:rPr>
        <w:t xml:space="preserve">nombres de particulares, o datos de colindantes, </w:t>
      </w:r>
      <w:r>
        <w:rPr>
          <w:rFonts w:ascii="Palatino Linotype" w:eastAsia="Palatino Linotype" w:hAnsi="Palatino Linotype" w:cs="Palatino Linotype"/>
          <w:color w:val="000000"/>
        </w:rPr>
        <w:t xml:space="preserve">los cuales son susceptibles de ser clasificados como información </w:t>
      </w:r>
      <w:r>
        <w:rPr>
          <w:rFonts w:ascii="Palatino Linotype" w:eastAsia="Palatino Linotype" w:hAnsi="Palatino Linotype" w:cs="Palatino Linotype"/>
          <w:b/>
          <w:color w:val="000000"/>
          <w:u w:val="single"/>
        </w:rPr>
        <w:t>confidencial</w:t>
      </w:r>
      <w:r>
        <w:rPr>
          <w:rFonts w:ascii="Palatino Linotype" w:eastAsia="Palatino Linotype" w:hAnsi="Palatino Linotype" w:cs="Palatino Linotype"/>
          <w:color w:val="000000"/>
        </w:rPr>
        <w:t>.</w:t>
      </w:r>
    </w:p>
    <w:p w:rsidR="007755F4" w:rsidRDefault="007755F4">
      <w:pPr>
        <w:spacing w:line="360" w:lineRule="auto"/>
        <w:jc w:val="both"/>
        <w:rPr>
          <w:rFonts w:ascii="Palatino Linotype" w:eastAsia="Palatino Linotype" w:hAnsi="Palatino Linotype" w:cs="Palatino Linotype"/>
        </w:rPr>
      </w:pPr>
    </w:p>
    <w:p w:rsidR="007755F4" w:rsidRDefault="00D92470">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Atento a lo anterior, de conformidad con el artículo 186 fracción III de la Ley de Transparencia y Acceso a la Información Pública del Estado de México y Municipios, se determina </w:t>
      </w:r>
      <w:r>
        <w:rPr>
          <w:rFonts w:ascii="Palatino Linotype" w:eastAsia="Palatino Linotype" w:hAnsi="Palatino Linotype" w:cs="Palatino Linotype"/>
          <w:b/>
        </w:rPr>
        <w:t>MODIFICAR</w:t>
      </w:r>
      <w:r>
        <w:rPr>
          <w:rFonts w:ascii="Palatino Linotype" w:eastAsia="Palatino Linotype" w:hAnsi="Palatino Linotype" w:cs="Palatino Linotype"/>
        </w:rPr>
        <w:t xml:space="preserve">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w:t>
      </w:r>
    </w:p>
    <w:p w:rsidR="007755F4" w:rsidRDefault="007755F4">
      <w:pPr>
        <w:widowControl w:val="0"/>
        <w:spacing w:line="360" w:lineRule="auto"/>
        <w:jc w:val="both"/>
        <w:rPr>
          <w:rFonts w:ascii="Palatino Linotype" w:eastAsia="Palatino Linotype" w:hAnsi="Palatino Linotype" w:cs="Palatino Linotype"/>
        </w:rPr>
      </w:pPr>
    </w:p>
    <w:p w:rsidR="007755F4" w:rsidRDefault="00D92470">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Así, con fundamento en lo prescrito en los artículos 5 párrafos vigésimo, vigésimo primero y vigésimo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rsidR="007755F4" w:rsidRDefault="007755F4">
      <w:pPr>
        <w:spacing w:line="360" w:lineRule="auto"/>
        <w:jc w:val="both"/>
        <w:rPr>
          <w:rFonts w:ascii="Palatino Linotype" w:eastAsia="Palatino Linotype" w:hAnsi="Palatino Linotype" w:cs="Palatino Linotype"/>
        </w:rPr>
      </w:pPr>
    </w:p>
    <w:p w:rsidR="007755F4" w:rsidRPr="002A5B04" w:rsidRDefault="00D92470">
      <w:pPr>
        <w:spacing w:line="360" w:lineRule="auto"/>
        <w:jc w:val="center"/>
        <w:rPr>
          <w:rFonts w:ascii="Palatino Linotype" w:eastAsia="Palatino Linotype" w:hAnsi="Palatino Linotype" w:cs="Palatino Linotype"/>
          <w:b/>
          <w:sz w:val="28"/>
          <w:szCs w:val="28"/>
          <w:lang w:val="pt-BR"/>
        </w:rPr>
      </w:pPr>
      <w:r w:rsidRPr="002A5B04">
        <w:rPr>
          <w:rFonts w:ascii="Palatino Linotype" w:eastAsia="Palatino Linotype" w:hAnsi="Palatino Linotype" w:cs="Palatino Linotype"/>
          <w:b/>
          <w:sz w:val="28"/>
          <w:szCs w:val="28"/>
          <w:lang w:val="pt-BR"/>
        </w:rPr>
        <w:t>R E S U E L V E</w:t>
      </w:r>
    </w:p>
    <w:p w:rsidR="007755F4" w:rsidRPr="002A5B04" w:rsidRDefault="007755F4">
      <w:pPr>
        <w:spacing w:line="360" w:lineRule="auto"/>
        <w:jc w:val="center"/>
        <w:rPr>
          <w:rFonts w:ascii="Palatino Linotype" w:eastAsia="Palatino Linotype" w:hAnsi="Palatino Linotype" w:cs="Palatino Linotype"/>
          <w:b/>
          <w:sz w:val="28"/>
          <w:szCs w:val="28"/>
          <w:lang w:val="pt-BR"/>
        </w:rPr>
      </w:pPr>
    </w:p>
    <w:p w:rsidR="007755F4" w:rsidRDefault="00D92470">
      <w:pPr>
        <w:spacing w:line="360" w:lineRule="auto"/>
        <w:jc w:val="both"/>
        <w:rPr>
          <w:rFonts w:ascii="Palatino Linotype" w:eastAsia="Palatino Linotype" w:hAnsi="Palatino Linotype" w:cs="Palatino Linotype"/>
        </w:rPr>
      </w:pPr>
      <w:r w:rsidRPr="002A5B04">
        <w:rPr>
          <w:rFonts w:ascii="Palatino Linotype" w:eastAsia="Palatino Linotype" w:hAnsi="Palatino Linotype" w:cs="Palatino Linotype"/>
          <w:b/>
          <w:sz w:val="28"/>
          <w:szCs w:val="28"/>
          <w:lang w:val="pt-BR"/>
        </w:rPr>
        <w:t>PRIMERO</w:t>
      </w:r>
      <w:r w:rsidRPr="002A5B04">
        <w:rPr>
          <w:rFonts w:ascii="Palatino Linotype" w:eastAsia="Palatino Linotype" w:hAnsi="Palatino Linotype" w:cs="Palatino Linotype"/>
          <w:lang w:val="pt-BR"/>
        </w:rPr>
        <w:t xml:space="preserve">. </w:t>
      </w:r>
      <w:r>
        <w:rPr>
          <w:rFonts w:ascii="Palatino Linotype" w:eastAsia="Palatino Linotype" w:hAnsi="Palatino Linotype" w:cs="Palatino Linotype"/>
        </w:rPr>
        <w:t xml:space="preserve">Resultan </w:t>
      </w:r>
      <w:r>
        <w:rPr>
          <w:rFonts w:ascii="Palatino Linotype" w:eastAsia="Palatino Linotype" w:hAnsi="Palatino Linotype" w:cs="Palatino Linotype"/>
          <w:b/>
        </w:rPr>
        <w:t>fundadas</w:t>
      </w:r>
      <w:r>
        <w:rPr>
          <w:rFonts w:ascii="Palatino Linotype" w:eastAsia="Palatino Linotype" w:hAnsi="Palatino Linotype" w:cs="Palatino Linotype"/>
        </w:rPr>
        <w:t xml:space="preserve"> las razones o motivos de inconformidad planteadas por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en términos del Considerando </w:t>
      </w:r>
      <w:r>
        <w:rPr>
          <w:rFonts w:ascii="Palatino Linotype" w:eastAsia="Palatino Linotype" w:hAnsi="Palatino Linotype" w:cs="Palatino Linotype"/>
          <w:b/>
        </w:rPr>
        <w:t>QUINTO</w:t>
      </w:r>
      <w:r>
        <w:rPr>
          <w:rFonts w:ascii="Palatino Linotype" w:eastAsia="Palatino Linotype" w:hAnsi="Palatino Linotype" w:cs="Palatino Linotype"/>
        </w:rPr>
        <w:t xml:space="preserve"> de la presente resolución.</w:t>
      </w:r>
    </w:p>
    <w:p w:rsidR="007755F4" w:rsidRDefault="007755F4">
      <w:pPr>
        <w:spacing w:line="360" w:lineRule="auto"/>
        <w:jc w:val="both"/>
        <w:rPr>
          <w:rFonts w:ascii="Palatino Linotype" w:eastAsia="Palatino Linotype" w:hAnsi="Palatino Linotype" w:cs="Palatino Linotype"/>
        </w:rPr>
      </w:pPr>
    </w:p>
    <w:p w:rsidR="007755F4" w:rsidRDefault="00D9247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SEGUNDO</w:t>
      </w:r>
      <w:r>
        <w:rPr>
          <w:rFonts w:ascii="Palatino Linotype" w:eastAsia="Palatino Linotype" w:hAnsi="Palatino Linotype" w:cs="Palatino Linotype"/>
        </w:rPr>
        <w:t xml:space="preserve">. Se </w:t>
      </w:r>
      <w:r>
        <w:rPr>
          <w:rFonts w:ascii="Palatino Linotype" w:eastAsia="Palatino Linotype" w:hAnsi="Palatino Linotype" w:cs="Palatino Linotype"/>
          <w:b/>
        </w:rPr>
        <w:t xml:space="preserve">MODIFICA </w:t>
      </w:r>
      <w:r>
        <w:rPr>
          <w:rFonts w:ascii="Palatino Linotype" w:eastAsia="Palatino Linotype" w:hAnsi="Palatino Linotype" w:cs="Palatino Linotype"/>
        </w:rPr>
        <w:t xml:space="preserve">la respuesta otorgada por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a la solicitud de información </w:t>
      </w:r>
      <w:r>
        <w:rPr>
          <w:rFonts w:ascii="Palatino Linotype" w:eastAsia="Palatino Linotype" w:hAnsi="Palatino Linotype" w:cs="Palatino Linotype"/>
          <w:b/>
        </w:rPr>
        <w:t xml:space="preserve">01306/TLALNEPA/IP/2019 </w:t>
      </w:r>
      <w:r>
        <w:rPr>
          <w:rFonts w:ascii="Palatino Linotype" w:eastAsia="Palatino Linotype" w:hAnsi="Palatino Linotype" w:cs="Palatino Linotype"/>
        </w:rPr>
        <w:t xml:space="preserve">y se le ordena en términos del Considerando </w:t>
      </w:r>
      <w:r>
        <w:rPr>
          <w:rFonts w:ascii="Palatino Linotype" w:eastAsia="Palatino Linotype" w:hAnsi="Palatino Linotype" w:cs="Palatino Linotype"/>
          <w:b/>
        </w:rPr>
        <w:t>QUINTO</w:t>
      </w:r>
      <w:r>
        <w:rPr>
          <w:rFonts w:ascii="Palatino Linotype" w:eastAsia="Palatino Linotype" w:hAnsi="Palatino Linotype" w:cs="Palatino Linotype"/>
        </w:rPr>
        <w:t xml:space="preserve"> de la presente resolución, entregue al</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vía </w:t>
      </w:r>
      <w:r>
        <w:rPr>
          <w:rFonts w:ascii="Palatino Linotype" w:eastAsia="Palatino Linotype" w:hAnsi="Palatino Linotype" w:cs="Palatino Linotype"/>
          <w:b/>
        </w:rPr>
        <w:t>SAIMEX</w:t>
      </w:r>
      <w:r>
        <w:rPr>
          <w:rFonts w:ascii="Palatino Linotype" w:eastAsia="Palatino Linotype" w:hAnsi="Palatino Linotype" w:cs="Palatino Linotype"/>
        </w:rPr>
        <w:t>, lo siguiente:</w:t>
      </w:r>
    </w:p>
    <w:p w:rsidR="007755F4" w:rsidRDefault="007755F4">
      <w:pPr>
        <w:spacing w:line="360" w:lineRule="auto"/>
        <w:jc w:val="both"/>
        <w:rPr>
          <w:rFonts w:ascii="Palatino Linotype" w:eastAsia="Palatino Linotype" w:hAnsi="Palatino Linotype" w:cs="Palatino Linotype"/>
          <w:sz w:val="22"/>
          <w:szCs w:val="22"/>
        </w:rPr>
      </w:pPr>
    </w:p>
    <w:p w:rsidR="007755F4" w:rsidRDefault="00D92470">
      <w:pPr>
        <w:tabs>
          <w:tab w:val="left" w:pos="851"/>
        </w:tabs>
        <w:ind w:left="851" w:right="899" w:hanging="14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 Los planos de lotificación de asentamientos humanos que incluyan los solares urbanos al interior de las colonias de </w:t>
      </w:r>
      <w:proofErr w:type="spellStart"/>
      <w:r>
        <w:rPr>
          <w:rFonts w:ascii="Palatino Linotype" w:eastAsia="Palatino Linotype" w:hAnsi="Palatino Linotype" w:cs="Palatino Linotype"/>
          <w:i/>
          <w:sz w:val="22"/>
          <w:szCs w:val="22"/>
        </w:rPr>
        <w:t>Tepeoluco</w:t>
      </w:r>
      <w:proofErr w:type="spellEnd"/>
      <w:r>
        <w:rPr>
          <w:rFonts w:ascii="Palatino Linotype" w:eastAsia="Palatino Linotype" w:hAnsi="Palatino Linotype" w:cs="Palatino Linotype"/>
          <w:i/>
          <w:sz w:val="22"/>
          <w:szCs w:val="22"/>
        </w:rPr>
        <w:t xml:space="preserve"> y Loma Linda, de ser procedente en versión pública. </w:t>
      </w:r>
    </w:p>
    <w:p w:rsidR="007755F4" w:rsidRDefault="007755F4">
      <w:pPr>
        <w:tabs>
          <w:tab w:val="left" w:pos="851"/>
        </w:tabs>
        <w:ind w:left="851" w:right="899"/>
        <w:jc w:val="both"/>
        <w:rPr>
          <w:rFonts w:ascii="Palatino Linotype" w:eastAsia="Palatino Linotype" w:hAnsi="Palatino Linotype" w:cs="Palatino Linotype"/>
          <w:i/>
          <w:sz w:val="22"/>
          <w:szCs w:val="22"/>
        </w:rPr>
      </w:pPr>
    </w:p>
    <w:p w:rsidR="007755F4" w:rsidRDefault="00D92470">
      <w:pPr>
        <w:tabs>
          <w:tab w:val="left" w:pos="851"/>
        </w:tabs>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Debiendo notificar al </w:t>
      </w:r>
      <w:r>
        <w:rPr>
          <w:rFonts w:ascii="Palatino Linotype" w:eastAsia="Palatino Linotype" w:hAnsi="Palatino Linotype" w:cs="Palatino Linotype"/>
          <w:b/>
          <w:i/>
          <w:sz w:val="22"/>
          <w:szCs w:val="22"/>
        </w:rPr>
        <w:t>RECURRENTE</w:t>
      </w:r>
      <w:r>
        <w:rPr>
          <w:rFonts w:ascii="Palatino Linotype" w:eastAsia="Palatino Linotype" w:hAnsi="Palatino Linotype" w:cs="Palatino Linotype"/>
          <w:i/>
          <w:sz w:val="22"/>
          <w:szCs w:val="22"/>
        </w:rPr>
        <w:t xml:space="preserve"> el Acuerdo de Clasificación de la información que emita el Comité de Transparencia con motivo de la versión</w:t>
      </w:r>
    </w:p>
    <w:p w:rsidR="007755F4" w:rsidRDefault="007755F4">
      <w:pPr>
        <w:tabs>
          <w:tab w:val="left" w:pos="851"/>
        </w:tabs>
        <w:ind w:left="851" w:right="899"/>
        <w:jc w:val="both"/>
        <w:rPr>
          <w:rFonts w:ascii="Palatino Linotype" w:eastAsia="Palatino Linotype" w:hAnsi="Palatino Linotype" w:cs="Palatino Linotype"/>
          <w:i/>
          <w:sz w:val="22"/>
          <w:szCs w:val="22"/>
        </w:rPr>
      </w:pPr>
    </w:p>
    <w:p w:rsidR="007755F4" w:rsidRDefault="00D92470">
      <w:pPr>
        <w:tabs>
          <w:tab w:val="left" w:pos="851"/>
        </w:tabs>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Para el caso de que el Registro Agrario Nacional no haya remitido los planos referidos al</w:t>
      </w:r>
      <w:r>
        <w:rPr>
          <w:rFonts w:ascii="Palatino Linotype" w:eastAsia="Palatino Linotype" w:hAnsi="Palatino Linotype" w:cs="Palatino Linotype"/>
          <w:b/>
          <w:i/>
          <w:sz w:val="22"/>
          <w:szCs w:val="22"/>
        </w:rPr>
        <w:t xml:space="preserve"> SUJETO OBLIGADO, </w:t>
      </w:r>
      <w:r>
        <w:rPr>
          <w:rFonts w:ascii="Palatino Linotype" w:eastAsia="Palatino Linotype" w:hAnsi="Palatino Linotype" w:cs="Palatino Linotype"/>
          <w:i/>
          <w:sz w:val="22"/>
          <w:szCs w:val="22"/>
        </w:rPr>
        <w:t>éste deberá hacer entrega del Acuerdo que emita el Comité de Transparencia mediante el que confirme la declaratoria de incompetencia.</w:t>
      </w:r>
    </w:p>
    <w:p w:rsidR="007755F4" w:rsidRDefault="007755F4">
      <w:pPr>
        <w:tabs>
          <w:tab w:val="left" w:pos="851"/>
        </w:tabs>
        <w:ind w:left="851" w:right="899"/>
        <w:jc w:val="both"/>
        <w:rPr>
          <w:rFonts w:ascii="Palatino Linotype" w:eastAsia="Palatino Linotype" w:hAnsi="Palatino Linotype" w:cs="Palatino Linotype"/>
          <w:i/>
          <w:sz w:val="22"/>
          <w:szCs w:val="22"/>
        </w:rPr>
      </w:pPr>
    </w:p>
    <w:p w:rsidR="007755F4" w:rsidRDefault="00D92470">
      <w:pPr>
        <w:tabs>
          <w:tab w:val="left" w:pos="851"/>
        </w:tabs>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b) La declaratoria de incompetencia respecto de los oficios de autorización de los planos de referencia, emitidos por la Secretaría de Desarrollo Urbano del Gobierno del Estado de México.”</w:t>
      </w:r>
    </w:p>
    <w:p w:rsidR="007755F4" w:rsidRDefault="007755F4">
      <w:pPr>
        <w:tabs>
          <w:tab w:val="left" w:pos="851"/>
        </w:tabs>
        <w:spacing w:line="360" w:lineRule="auto"/>
        <w:ind w:left="851" w:right="899"/>
        <w:jc w:val="both"/>
        <w:rPr>
          <w:rFonts w:ascii="Palatino Linotype" w:eastAsia="Palatino Linotype" w:hAnsi="Palatino Linotype" w:cs="Palatino Linotype"/>
          <w:i/>
          <w:sz w:val="22"/>
          <w:szCs w:val="22"/>
        </w:rPr>
      </w:pPr>
    </w:p>
    <w:p w:rsidR="007755F4" w:rsidRDefault="00D92470">
      <w:pPr>
        <w:tabs>
          <w:tab w:val="left" w:pos="0"/>
        </w:tabs>
        <w:spacing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b/>
          <w:sz w:val="28"/>
          <w:szCs w:val="28"/>
        </w:rPr>
        <w:t>TERCERO</w:t>
      </w:r>
      <w:r>
        <w:rPr>
          <w:rFonts w:ascii="Palatino Linotype" w:eastAsia="Palatino Linotype" w:hAnsi="Palatino Linotype" w:cs="Palatino Linotype"/>
        </w:rPr>
        <w:t xml:space="preserve">. </w:t>
      </w:r>
      <w:r>
        <w:rPr>
          <w:rFonts w:ascii="Palatino Linotype" w:eastAsia="Palatino Linotype" w:hAnsi="Palatino Linotype" w:cs="Palatino Linotype"/>
          <w:b/>
        </w:rPr>
        <w:t>Notifíquese</w:t>
      </w:r>
      <w:r>
        <w:rPr>
          <w:rFonts w:ascii="Palatino Linotype" w:eastAsia="Palatino Linotype" w:hAnsi="Palatino Linotype" w:cs="Palatino Linotype"/>
        </w:rPr>
        <w:t xml:space="preserve"> al Titular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7755F4" w:rsidRDefault="007755F4">
      <w:pPr>
        <w:spacing w:line="360" w:lineRule="auto"/>
        <w:jc w:val="both"/>
        <w:rPr>
          <w:rFonts w:ascii="Palatino Linotype" w:eastAsia="Palatino Linotype" w:hAnsi="Palatino Linotype" w:cs="Palatino Linotype"/>
        </w:rPr>
      </w:pPr>
    </w:p>
    <w:p w:rsidR="007755F4" w:rsidRDefault="00D9247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 xml:space="preserve">CUARTO. </w:t>
      </w:r>
      <w:r>
        <w:rPr>
          <w:rFonts w:ascii="Palatino Linotype" w:eastAsia="Palatino Linotype" w:hAnsi="Palatino Linotype" w:cs="Palatino Linotype"/>
        </w:rPr>
        <w:t xml:space="preserve">Con fundamento en el artículo 198 de la Ley de Transparencia y Acceso a la Información Pública del Estado de México y Municipios, se apercibe al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que, en caso de negarse a cumplir la presente resolución, o hacerlo de manera parcial, se actuará de conformidad con lo previsto en los artículos 213, 214, 216 y 217 de dicha Ley.</w:t>
      </w:r>
    </w:p>
    <w:p w:rsidR="007755F4" w:rsidRDefault="007755F4">
      <w:pPr>
        <w:spacing w:line="360" w:lineRule="auto"/>
        <w:jc w:val="both"/>
        <w:rPr>
          <w:rFonts w:ascii="Palatino Linotype" w:eastAsia="Palatino Linotype" w:hAnsi="Palatino Linotype" w:cs="Palatino Linotype"/>
        </w:rPr>
      </w:pPr>
    </w:p>
    <w:p w:rsidR="007755F4" w:rsidRDefault="00D9247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QUINTO</w:t>
      </w:r>
      <w:r>
        <w:rPr>
          <w:rFonts w:ascii="Palatino Linotype" w:eastAsia="Palatino Linotype" w:hAnsi="Palatino Linotype" w:cs="Palatino Linotype"/>
        </w:rPr>
        <w:t xml:space="preserve">. </w:t>
      </w:r>
      <w:r>
        <w:rPr>
          <w:rFonts w:ascii="Palatino Linotype" w:eastAsia="Palatino Linotype" w:hAnsi="Palatino Linotype" w:cs="Palatino Linotype"/>
          <w:b/>
        </w:rPr>
        <w:t>Notifíquese</w:t>
      </w:r>
      <w:r>
        <w:rPr>
          <w:rFonts w:ascii="Palatino Linotype" w:eastAsia="Palatino Linotype" w:hAnsi="Palatino Linotype" w:cs="Palatino Linotype"/>
        </w:rPr>
        <w:t xml:space="preserve"> al</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la presente resolución.</w:t>
      </w:r>
    </w:p>
    <w:p w:rsidR="007755F4" w:rsidRDefault="007755F4">
      <w:pPr>
        <w:spacing w:line="360" w:lineRule="auto"/>
        <w:jc w:val="both"/>
        <w:rPr>
          <w:rFonts w:ascii="Palatino Linotype" w:eastAsia="Palatino Linotype" w:hAnsi="Palatino Linotype" w:cs="Palatino Linotype"/>
        </w:rPr>
      </w:pPr>
    </w:p>
    <w:p w:rsidR="007755F4" w:rsidRDefault="00D9247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SEXTO</w:t>
      </w:r>
      <w:r>
        <w:rPr>
          <w:rFonts w:ascii="Palatino Linotype" w:eastAsia="Palatino Linotype" w:hAnsi="Palatino Linotype" w:cs="Palatino Linotype"/>
        </w:rPr>
        <w:t xml:space="preserve">. </w:t>
      </w:r>
      <w:r>
        <w:rPr>
          <w:rFonts w:ascii="Palatino Linotype" w:eastAsia="Palatino Linotype" w:hAnsi="Palatino Linotype" w:cs="Palatino Linotype"/>
          <w:b/>
        </w:rPr>
        <w:t>Hágase</w:t>
      </w:r>
      <w:r>
        <w:rPr>
          <w:rFonts w:ascii="Palatino Linotype" w:eastAsia="Palatino Linotype" w:hAnsi="Palatino Linotype" w:cs="Palatino Linotype"/>
        </w:rPr>
        <w:t xml:space="preserve"> </w:t>
      </w:r>
      <w:r>
        <w:rPr>
          <w:rFonts w:ascii="Palatino Linotype" w:eastAsia="Palatino Linotype" w:hAnsi="Palatino Linotype" w:cs="Palatino Linotype"/>
          <w:b/>
        </w:rPr>
        <w:t>del conocimiento</w:t>
      </w:r>
      <w:r>
        <w:rPr>
          <w:rFonts w:ascii="Palatino Linotype" w:eastAsia="Palatino Linotype" w:hAnsi="Palatino Linotype" w:cs="Palatino Linotype"/>
        </w:rPr>
        <w:t xml:space="preserve"> de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rsidR="007755F4" w:rsidRDefault="007755F4">
      <w:pPr>
        <w:spacing w:line="360" w:lineRule="auto"/>
        <w:jc w:val="both"/>
        <w:rPr>
          <w:rFonts w:ascii="Palatino Linotype" w:eastAsia="Palatino Linotype" w:hAnsi="Palatino Linotype" w:cs="Palatino Linotype"/>
        </w:rPr>
      </w:pPr>
    </w:p>
    <w:p w:rsidR="007755F4" w:rsidRDefault="00D92470">
      <w:pPr>
        <w:spacing w:line="360" w:lineRule="auto"/>
        <w:jc w:val="both"/>
        <w:rPr>
          <w:rFonts w:ascii="Palatino Linotype" w:eastAsia="Palatino Linotype" w:hAnsi="Palatino Linotype" w:cs="Palatino Linotype"/>
        </w:rPr>
      </w:pPr>
      <w:bookmarkStart w:id="1" w:name="_heading=h.gjdgxs" w:colFirst="0" w:colLast="0"/>
      <w:bookmarkEnd w:id="1"/>
      <w:r>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w:t>
      </w:r>
      <w:r>
        <w:rPr>
          <w:rFonts w:ascii="Palatino Linotype" w:eastAsia="Palatino Linotype" w:hAnsi="Palatino Linotype" w:cs="Palatino Linotype"/>
          <w:highlight w:val="white"/>
        </w:rPr>
        <w:t xml:space="preserve">EN LA </w:t>
      </w:r>
      <w:r>
        <w:rPr>
          <w:rFonts w:ascii="Palatino Linotype" w:eastAsia="Palatino Linotype" w:hAnsi="Palatino Linotype" w:cs="Palatino Linotype"/>
          <w:color w:val="000000"/>
        </w:rPr>
        <w:t>DÉCIMA</w:t>
      </w:r>
      <w:r>
        <w:rPr>
          <w:rFonts w:ascii="Palatino Linotype" w:eastAsia="Palatino Linotype" w:hAnsi="Palatino Linotype" w:cs="Palatino Linotype"/>
        </w:rPr>
        <w:t xml:space="preserve"> SEGUNDA SESIÓN ORDINARIA CELEBRADA EL CINCO DE AGOSTO DE DOS MIL VEINTE, ANTE EL SECRETARIO TÉCNICO DEL PLENO, ALEXIS TAPIA RAMÍREZ.</w:t>
      </w:r>
    </w:p>
    <w:tbl>
      <w:tblPr>
        <w:tblStyle w:val="a0"/>
        <w:tblW w:w="10365" w:type="dxa"/>
        <w:jc w:val="center"/>
        <w:tblInd w:w="0" w:type="dxa"/>
        <w:tblLayout w:type="fixed"/>
        <w:tblLook w:val="0400" w:firstRow="0" w:lastRow="0" w:firstColumn="0" w:lastColumn="0" w:noHBand="0" w:noVBand="1"/>
      </w:tblPr>
      <w:tblGrid>
        <w:gridCol w:w="5182"/>
        <w:gridCol w:w="5183"/>
      </w:tblGrid>
      <w:tr w:rsidR="007755F4">
        <w:trPr>
          <w:jc w:val="center"/>
        </w:trPr>
        <w:tc>
          <w:tcPr>
            <w:tcW w:w="10365" w:type="dxa"/>
            <w:gridSpan w:val="2"/>
          </w:tcPr>
          <w:p w:rsidR="007755F4" w:rsidRDefault="007755F4">
            <w:pPr>
              <w:jc w:val="center"/>
              <w:rPr>
                <w:rFonts w:ascii="Palatino Linotype" w:eastAsia="Palatino Linotype" w:hAnsi="Palatino Linotype" w:cs="Palatino Linotype"/>
                <w:b/>
              </w:rPr>
            </w:pPr>
          </w:p>
          <w:p w:rsidR="007755F4" w:rsidRDefault="007755F4">
            <w:pPr>
              <w:rPr>
                <w:rFonts w:ascii="Palatino Linotype" w:eastAsia="Palatino Linotype" w:hAnsi="Palatino Linotype" w:cs="Palatino Linotype"/>
                <w:b/>
              </w:rPr>
            </w:pPr>
          </w:p>
          <w:p w:rsidR="007755F4" w:rsidRDefault="00D92470">
            <w:pPr>
              <w:jc w:val="center"/>
              <w:rPr>
                <w:rFonts w:ascii="Palatino Linotype" w:eastAsia="Palatino Linotype" w:hAnsi="Palatino Linotype" w:cs="Palatino Linotype"/>
                <w:b/>
              </w:rPr>
            </w:pPr>
            <w:r>
              <w:rPr>
                <w:rFonts w:ascii="Palatino Linotype" w:eastAsia="Palatino Linotype" w:hAnsi="Palatino Linotype" w:cs="Palatino Linotype"/>
                <w:b/>
              </w:rPr>
              <w:t>Zulema Martínez Sánchez</w:t>
            </w:r>
          </w:p>
          <w:p w:rsidR="007755F4" w:rsidRDefault="00D92470">
            <w:pPr>
              <w:jc w:val="center"/>
              <w:rPr>
                <w:rFonts w:ascii="Palatino Linotype" w:eastAsia="Palatino Linotype" w:hAnsi="Palatino Linotype" w:cs="Palatino Linotype"/>
                <w:b/>
              </w:rPr>
            </w:pPr>
            <w:r>
              <w:rPr>
                <w:rFonts w:ascii="Palatino Linotype" w:eastAsia="Palatino Linotype" w:hAnsi="Palatino Linotype" w:cs="Palatino Linotype"/>
              </w:rPr>
              <w:t>Comisionada Presidenta</w:t>
            </w:r>
          </w:p>
          <w:p w:rsidR="007755F4" w:rsidRDefault="00D92470">
            <w:pPr>
              <w:jc w:val="center"/>
              <w:rPr>
                <w:rFonts w:ascii="Palatino Linotype" w:eastAsia="Palatino Linotype" w:hAnsi="Palatino Linotype" w:cs="Palatino Linotype"/>
                <w:b/>
              </w:rPr>
            </w:pPr>
            <w:r>
              <w:rPr>
                <w:rFonts w:ascii="Palatino Linotype" w:eastAsia="Palatino Linotype" w:hAnsi="Palatino Linotype" w:cs="Palatino Linotype"/>
                <w:b/>
              </w:rPr>
              <w:t xml:space="preserve">(RÚBRICA) </w:t>
            </w:r>
          </w:p>
        </w:tc>
      </w:tr>
      <w:tr w:rsidR="007755F4">
        <w:trPr>
          <w:jc w:val="center"/>
        </w:trPr>
        <w:tc>
          <w:tcPr>
            <w:tcW w:w="5182" w:type="dxa"/>
          </w:tcPr>
          <w:p w:rsidR="007755F4" w:rsidRDefault="007755F4">
            <w:pPr>
              <w:jc w:val="center"/>
              <w:rPr>
                <w:rFonts w:ascii="Palatino Linotype" w:eastAsia="Palatino Linotype" w:hAnsi="Palatino Linotype" w:cs="Palatino Linotype"/>
                <w:b/>
              </w:rPr>
            </w:pPr>
          </w:p>
          <w:p w:rsidR="007755F4" w:rsidRDefault="007755F4">
            <w:pPr>
              <w:jc w:val="center"/>
              <w:rPr>
                <w:rFonts w:ascii="Palatino Linotype" w:eastAsia="Palatino Linotype" w:hAnsi="Palatino Linotype" w:cs="Palatino Linotype"/>
                <w:b/>
              </w:rPr>
            </w:pPr>
          </w:p>
          <w:p w:rsidR="007755F4" w:rsidRDefault="007755F4">
            <w:pPr>
              <w:jc w:val="center"/>
              <w:rPr>
                <w:rFonts w:ascii="Palatino Linotype" w:eastAsia="Palatino Linotype" w:hAnsi="Palatino Linotype" w:cs="Palatino Linotype"/>
                <w:b/>
              </w:rPr>
            </w:pPr>
          </w:p>
          <w:p w:rsidR="007755F4" w:rsidRDefault="007755F4">
            <w:pPr>
              <w:jc w:val="center"/>
              <w:rPr>
                <w:rFonts w:ascii="Palatino Linotype" w:eastAsia="Palatino Linotype" w:hAnsi="Palatino Linotype" w:cs="Palatino Linotype"/>
                <w:b/>
              </w:rPr>
            </w:pPr>
          </w:p>
          <w:p w:rsidR="007755F4" w:rsidRDefault="007755F4">
            <w:pPr>
              <w:jc w:val="center"/>
              <w:rPr>
                <w:rFonts w:ascii="Palatino Linotype" w:eastAsia="Palatino Linotype" w:hAnsi="Palatino Linotype" w:cs="Palatino Linotype"/>
                <w:b/>
              </w:rPr>
            </w:pPr>
          </w:p>
          <w:p w:rsidR="007755F4" w:rsidRDefault="00D92470">
            <w:pPr>
              <w:jc w:val="center"/>
              <w:rPr>
                <w:rFonts w:ascii="Palatino Linotype" w:eastAsia="Palatino Linotype" w:hAnsi="Palatino Linotype" w:cs="Palatino Linotype"/>
                <w:b/>
              </w:rPr>
            </w:pPr>
            <w:r>
              <w:rPr>
                <w:rFonts w:ascii="Palatino Linotype" w:eastAsia="Palatino Linotype" w:hAnsi="Palatino Linotype" w:cs="Palatino Linotype"/>
                <w:b/>
              </w:rPr>
              <w:t>Eva Abaid Yapur</w:t>
            </w:r>
          </w:p>
          <w:p w:rsidR="007755F4" w:rsidRDefault="00D92470">
            <w:pPr>
              <w:jc w:val="center"/>
              <w:rPr>
                <w:rFonts w:ascii="Palatino Linotype" w:eastAsia="Palatino Linotype" w:hAnsi="Palatino Linotype" w:cs="Palatino Linotype"/>
              </w:rPr>
            </w:pPr>
            <w:r>
              <w:rPr>
                <w:rFonts w:ascii="Palatino Linotype" w:eastAsia="Palatino Linotype" w:hAnsi="Palatino Linotype" w:cs="Palatino Linotype"/>
              </w:rPr>
              <w:t>Comisionada</w:t>
            </w:r>
          </w:p>
          <w:p w:rsidR="007755F4" w:rsidRDefault="00D92470">
            <w:pPr>
              <w:jc w:val="center"/>
              <w:rPr>
                <w:rFonts w:ascii="Palatino Linotype" w:eastAsia="Palatino Linotype" w:hAnsi="Palatino Linotype" w:cs="Palatino Linotype"/>
                <w:b/>
              </w:rPr>
            </w:pPr>
            <w:r>
              <w:rPr>
                <w:rFonts w:ascii="Palatino Linotype" w:eastAsia="Palatino Linotype" w:hAnsi="Palatino Linotype" w:cs="Palatino Linotype"/>
                <w:b/>
              </w:rPr>
              <w:t>(RÚBRICA)</w:t>
            </w:r>
          </w:p>
        </w:tc>
        <w:tc>
          <w:tcPr>
            <w:tcW w:w="5183" w:type="dxa"/>
          </w:tcPr>
          <w:p w:rsidR="007755F4" w:rsidRDefault="007755F4">
            <w:pPr>
              <w:jc w:val="center"/>
              <w:rPr>
                <w:rFonts w:ascii="Palatino Linotype" w:eastAsia="Palatino Linotype" w:hAnsi="Palatino Linotype" w:cs="Palatino Linotype"/>
                <w:b/>
              </w:rPr>
            </w:pPr>
          </w:p>
          <w:p w:rsidR="007755F4" w:rsidRDefault="007755F4">
            <w:pPr>
              <w:jc w:val="center"/>
              <w:rPr>
                <w:rFonts w:ascii="Palatino Linotype" w:eastAsia="Palatino Linotype" w:hAnsi="Palatino Linotype" w:cs="Palatino Linotype"/>
                <w:b/>
              </w:rPr>
            </w:pPr>
          </w:p>
          <w:p w:rsidR="007755F4" w:rsidRDefault="007755F4">
            <w:pPr>
              <w:jc w:val="center"/>
              <w:rPr>
                <w:rFonts w:ascii="Palatino Linotype" w:eastAsia="Palatino Linotype" w:hAnsi="Palatino Linotype" w:cs="Palatino Linotype"/>
                <w:b/>
              </w:rPr>
            </w:pPr>
          </w:p>
          <w:p w:rsidR="007755F4" w:rsidRDefault="007755F4">
            <w:pPr>
              <w:jc w:val="center"/>
              <w:rPr>
                <w:rFonts w:ascii="Palatino Linotype" w:eastAsia="Palatino Linotype" w:hAnsi="Palatino Linotype" w:cs="Palatino Linotype"/>
                <w:b/>
              </w:rPr>
            </w:pPr>
          </w:p>
          <w:p w:rsidR="007755F4" w:rsidRDefault="007755F4">
            <w:pPr>
              <w:jc w:val="center"/>
              <w:rPr>
                <w:rFonts w:ascii="Palatino Linotype" w:eastAsia="Palatino Linotype" w:hAnsi="Palatino Linotype" w:cs="Palatino Linotype"/>
                <w:b/>
              </w:rPr>
            </w:pPr>
          </w:p>
          <w:p w:rsidR="007755F4" w:rsidRDefault="00D92470">
            <w:pPr>
              <w:jc w:val="center"/>
              <w:rPr>
                <w:rFonts w:ascii="Palatino Linotype" w:eastAsia="Palatino Linotype" w:hAnsi="Palatino Linotype" w:cs="Palatino Linotype"/>
                <w:b/>
              </w:rPr>
            </w:pPr>
            <w:r>
              <w:rPr>
                <w:rFonts w:ascii="Palatino Linotype" w:eastAsia="Palatino Linotype" w:hAnsi="Palatino Linotype" w:cs="Palatino Linotype"/>
                <w:b/>
              </w:rPr>
              <w:t>José Guadalupe Luna Hernández</w:t>
            </w:r>
          </w:p>
          <w:p w:rsidR="007755F4" w:rsidRDefault="00D92470">
            <w:pPr>
              <w:jc w:val="center"/>
              <w:rPr>
                <w:rFonts w:ascii="Palatino Linotype" w:eastAsia="Palatino Linotype" w:hAnsi="Palatino Linotype" w:cs="Palatino Linotype"/>
              </w:rPr>
            </w:pPr>
            <w:r>
              <w:rPr>
                <w:rFonts w:ascii="Palatino Linotype" w:eastAsia="Palatino Linotype" w:hAnsi="Palatino Linotype" w:cs="Palatino Linotype"/>
              </w:rPr>
              <w:t>Comisionado</w:t>
            </w:r>
          </w:p>
          <w:p w:rsidR="007755F4" w:rsidRDefault="00D92470">
            <w:pPr>
              <w:jc w:val="center"/>
              <w:rPr>
                <w:rFonts w:ascii="Palatino Linotype" w:eastAsia="Palatino Linotype" w:hAnsi="Palatino Linotype" w:cs="Palatino Linotype"/>
                <w:b/>
              </w:rPr>
            </w:pPr>
            <w:r>
              <w:rPr>
                <w:rFonts w:ascii="Palatino Linotype" w:eastAsia="Palatino Linotype" w:hAnsi="Palatino Linotype" w:cs="Palatino Linotype"/>
                <w:b/>
              </w:rPr>
              <w:t>(RÚBRICA)</w:t>
            </w:r>
          </w:p>
        </w:tc>
      </w:tr>
      <w:tr w:rsidR="007755F4">
        <w:trPr>
          <w:jc w:val="center"/>
        </w:trPr>
        <w:tc>
          <w:tcPr>
            <w:tcW w:w="5182" w:type="dxa"/>
          </w:tcPr>
          <w:p w:rsidR="007755F4" w:rsidRDefault="007755F4">
            <w:pPr>
              <w:jc w:val="center"/>
              <w:rPr>
                <w:rFonts w:ascii="Palatino Linotype" w:eastAsia="Palatino Linotype" w:hAnsi="Palatino Linotype" w:cs="Palatino Linotype"/>
                <w:b/>
              </w:rPr>
            </w:pPr>
          </w:p>
          <w:p w:rsidR="007755F4" w:rsidRDefault="007755F4">
            <w:pPr>
              <w:jc w:val="center"/>
              <w:rPr>
                <w:rFonts w:ascii="Palatino Linotype" w:eastAsia="Palatino Linotype" w:hAnsi="Palatino Linotype" w:cs="Palatino Linotype"/>
                <w:b/>
              </w:rPr>
            </w:pPr>
          </w:p>
          <w:p w:rsidR="007755F4" w:rsidRDefault="007755F4">
            <w:pPr>
              <w:jc w:val="center"/>
              <w:rPr>
                <w:rFonts w:ascii="Palatino Linotype" w:eastAsia="Palatino Linotype" w:hAnsi="Palatino Linotype" w:cs="Palatino Linotype"/>
                <w:b/>
              </w:rPr>
            </w:pPr>
          </w:p>
          <w:p w:rsidR="007755F4" w:rsidRDefault="007755F4">
            <w:pPr>
              <w:jc w:val="center"/>
              <w:rPr>
                <w:rFonts w:ascii="Palatino Linotype" w:eastAsia="Palatino Linotype" w:hAnsi="Palatino Linotype" w:cs="Palatino Linotype"/>
                <w:b/>
              </w:rPr>
            </w:pPr>
          </w:p>
          <w:p w:rsidR="007755F4" w:rsidRDefault="007755F4">
            <w:pPr>
              <w:jc w:val="center"/>
              <w:rPr>
                <w:rFonts w:ascii="Palatino Linotype" w:eastAsia="Palatino Linotype" w:hAnsi="Palatino Linotype" w:cs="Palatino Linotype"/>
                <w:b/>
              </w:rPr>
            </w:pPr>
          </w:p>
          <w:p w:rsidR="007755F4" w:rsidRDefault="00D92470">
            <w:pPr>
              <w:jc w:val="center"/>
              <w:rPr>
                <w:rFonts w:ascii="Palatino Linotype" w:eastAsia="Palatino Linotype" w:hAnsi="Palatino Linotype" w:cs="Palatino Linotype"/>
                <w:b/>
              </w:rPr>
            </w:pPr>
            <w:r>
              <w:rPr>
                <w:rFonts w:ascii="Palatino Linotype" w:eastAsia="Palatino Linotype" w:hAnsi="Palatino Linotype" w:cs="Palatino Linotype"/>
                <w:b/>
              </w:rPr>
              <w:t>Javier Martínez Cruz</w:t>
            </w:r>
          </w:p>
          <w:p w:rsidR="007755F4" w:rsidRDefault="00D92470">
            <w:pPr>
              <w:jc w:val="center"/>
              <w:rPr>
                <w:rFonts w:ascii="Palatino Linotype" w:eastAsia="Palatino Linotype" w:hAnsi="Palatino Linotype" w:cs="Palatino Linotype"/>
              </w:rPr>
            </w:pPr>
            <w:r>
              <w:rPr>
                <w:rFonts w:ascii="Palatino Linotype" w:eastAsia="Palatino Linotype" w:hAnsi="Palatino Linotype" w:cs="Palatino Linotype"/>
              </w:rPr>
              <w:t>Comisionado</w:t>
            </w:r>
          </w:p>
          <w:p w:rsidR="007755F4" w:rsidRDefault="00D92470">
            <w:pPr>
              <w:jc w:val="center"/>
              <w:rPr>
                <w:rFonts w:ascii="Palatino Linotype" w:eastAsia="Palatino Linotype" w:hAnsi="Palatino Linotype" w:cs="Palatino Linotype"/>
              </w:rPr>
            </w:pPr>
            <w:r>
              <w:rPr>
                <w:rFonts w:ascii="Palatino Linotype" w:eastAsia="Palatino Linotype" w:hAnsi="Palatino Linotype" w:cs="Palatino Linotype"/>
                <w:b/>
              </w:rPr>
              <w:t>(RÚBRICA)</w:t>
            </w:r>
          </w:p>
        </w:tc>
        <w:tc>
          <w:tcPr>
            <w:tcW w:w="5183" w:type="dxa"/>
          </w:tcPr>
          <w:p w:rsidR="007755F4" w:rsidRDefault="007755F4">
            <w:pPr>
              <w:jc w:val="center"/>
              <w:rPr>
                <w:rFonts w:ascii="Palatino Linotype" w:eastAsia="Palatino Linotype" w:hAnsi="Palatino Linotype" w:cs="Palatino Linotype"/>
                <w:b/>
              </w:rPr>
            </w:pPr>
          </w:p>
          <w:p w:rsidR="007755F4" w:rsidRDefault="007755F4">
            <w:pPr>
              <w:jc w:val="center"/>
              <w:rPr>
                <w:rFonts w:ascii="Palatino Linotype" w:eastAsia="Palatino Linotype" w:hAnsi="Palatino Linotype" w:cs="Palatino Linotype"/>
                <w:b/>
              </w:rPr>
            </w:pPr>
          </w:p>
          <w:p w:rsidR="007755F4" w:rsidRDefault="007755F4">
            <w:pPr>
              <w:jc w:val="center"/>
              <w:rPr>
                <w:rFonts w:ascii="Palatino Linotype" w:eastAsia="Palatino Linotype" w:hAnsi="Palatino Linotype" w:cs="Palatino Linotype"/>
                <w:b/>
              </w:rPr>
            </w:pPr>
          </w:p>
          <w:p w:rsidR="007755F4" w:rsidRDefault="007755F4">
            <w:pPr>
              <w:jc w:val="center"/>
              <w:rPr>
                <w:rFonts w:ascii="Palatino Linotype" w:eastAsia="Palatino Linotype" w:hAnsi="Palatino Linotype" w:cs="Palatino Linotype"/>
                <w:b/>
              </w:rPr>
            </w:pPr>
          </w:p>
          <w:p w:rsidR="007755F4" w:rsidRDefault="007755F4">
            <w:pPr>
              <w:jc w:val="center"/>
              <w:rPr>
                <w:rFonts w:ascii="Palatino Linotype" w:eastAsia="Palatino Linotype" w:hAnsi="Palatino Linotype" w:cs="Palatino Linotype"/>
                <w:b/>
              </w:rPr>
            </w:pPr>
          </w:p>
          <w:p w:rsidR="007755F4" w:rsidRDefault="00D92470">
            <w:pPr>
              <w:jc w:val="center"/>
              <w:rPr>
                <w:rFonts w:ascii="Palatino Linotype" w:eastAsia="Palatino Linotype" w:hAnsi="Palatino Linotype" w:cs="Palatino Linotype"/>
                <w:b/>
              </w:rPr>
            </w:pPr>
            <w:r>
              <w:rPr>
                <w:rFonts w:ascii="Palatino Linotype" w:eastAsia="Palatino Linotype" w:hAnsi="Palatino Linotype" w:cs="Palatino Linotype"/>
                <w:b/>
              </w:rPr>
              <w:t>Luis Gustavo Parra Noriega</w:t>
            </w:r>
          </w:p>
          <w:p w:rsidR="007755F4" w:rsidRDefault="00D92470">
            <w:pPr>
              <w:jc w:val="center"/>
              <w:rPr>
                <w:rFonts w:ascii="Palatino Linotype" w:eastAsia="Palatino Linotype" w:hAnsi="Palatino Linotype" w:cs="Palatino Linotype"/>
              </w:rPr>
            </w:pPr>
            <w:r>
              <w:rPr>
                <w:rFonts w:ascii="Palatino Linotype" w:eastAsia="Palatino Linotype" w:hAnsi="Palatino Linotype" w:cs="Palatino Linotype"/>
              </w:rPr>
              <w:t>Comisionado</w:t>
            </w:r>
          </w:p>
          <w:p w:rsidR="007755F4" w:rsidRDefault="00D92470">
            <w:pPr>
              <w:jc w:val="center"/>
              <w:rPr>
                <w:rFonts w:ascii="Palatino Linotype" w:eastAsia="Palatino Linotype" w:hAnsi="Palatino Linotype" w:cs="Palatino Linotype"/>
                <w:b/>
              </w:rPr>
            </w:pPr>
            <w:r>
              <w:rPr>
                <w:rFonts w:ascii="Palatino Linotype" w:eastAsia="Palatino Linotype" w:hAnsi="Palatino Linotype" w:cs="Palatino Linotype"/>
                <w:b/>
              </w:rPr>
              <w:t>(RÚBRICA)</w:t>
            </w:r>
          </w:p>
        </w:tc>
      </w:tr>
      <w:tr w:rsidR="007755F4">
        <w:trPr>
          <w:jc w:val="center"/>
        </w:trPr>
        <w:tc>
          <w:tcPr>
            <w:tcW w:w="10365" w:type="dxa"/>
            <w:gridSpan w:val="2"/>
          </w:tcPr>
          <w:p w:rsidR="007755F4" w:rsidRDefault="007755F4">
            <w:pPr>
              <w:jc w:val="center"/>
              <w:rPr>
                <w:rFonts w:ascii="Palatino Linotype" w:eastAsia="Palatino Linotype" w:hAnsi="Palatino Linotype" w:cs="Palatino Linotype"/>
                <w:b/>
              </w:rPr>
            </w:pPr>
          </w:p>
          <w:p w:rsidR="007755F4" w:rsidRDefault="007755F4">
            <w:pPr>
              <w:jc w:val="center"/>
              <w:rPr>
                <w:rFonts w:ascii="Palatino Linotype" w:eastAsia="Palatino Linotype" w:hAnsi="Palatino Linotype" w:cs="Palatino Linotype"/>
                <w:b/>
              </w:rPr>
            </w:pPr>
          </w:p>
          <w:p w:rsidR="007755F4" w:rsidRDefault="007755F4">
            <w:pPr>
              <w:jc w:val="center"/>
              <w:rPr>
                <w:rFonts w:ascii="Palatino Linotype" w:eastAsia="Palatino Linotype" w:hAnsi="Palatino Linotype" w:cs="Palatino Linotype"/>
                <w:b/>
              </w:rPr>
            </w:pPr>
          </w:p>
          <w:p w:rsidR="007755F4" w:rsidRDefault="007755F4">
            <w:pPr>
              <w:jc w:val="center"/>
              <w:rPr>
                <w:rFonts w:ascii="Palatino Linotype" w:eastAsia="Palatino Linotype" w:hAnsi="Palatino Linotype" w:cs="Palatino Linotype"/>
                <w:b/>
              </w:rPr>
            </w:pPr>
          </w:p>
          <w:p w:rsidR="007755F4" w:rsidRDefault="007755F4">
            <w:pPr>
              <w:jc w:val="center"/>
              <w:rPr>
                <w:rFonts w:ascii="Palatino Linotype" w:eastAsia="Palatino Linotype" w:hAnsi="Palatino Linotype" w:cs="Palatino Linotype"/>
                <w:b/>
              </w:rPr>
            </w:pPr>
          </w:p>
          <w:p w:rsidR="007755F4" w:rsidRDefault="007755F4">
            <w:pPr>
              <w:jc w:val="center"/>
              <w:rPr>
                <w:rFonts w:ascii="Palatino Linotype" w:eastAsia="Palatino Linotype" w:hAnsi="Palatino Linotype" w:cs="Palatino Linotype"/>
                <w:b/>
              </w:rPr>
            </w:pPr>
          </w:p>
          <w:p w:rsidR="007755F4" w:rsidRDefault="00D92470">
            <w:pPr>
              <w:jc w:val="center"/>
              <w:rPr>
                <w:rFonts w:ascii="Palatino Linotype" w:eastAsia="Palatino Linotype" w:hAnsi="Palatino Linotype" w:cs="Palatino Linotype"/>
                <w:b/>
              </w:rPr>
            </w:pPr>
            <w:r>
              <w:rPr>
                <w:rFonts w:ascii="Palatino Linotype" w:eastAsia="Palatino Linotype" w:hAnsi="Palatino Linotype" w:cs="Palatino Linotype"/>
                <w:b/>
              </w:rPr>
              <w:t>Alexis Tapia Ramírez</w:t>
            </w:r>
          </w:p>
          <w:p w:rsidR="007755F4" w:rsidRDefault="00D92470">
            <w:pPr>
              <w:jc w:val="center"/>
              <w:rPr>
                <w:rFonts w:ascii="Palatino Linotype" w:eastAsia="Palatino Linotype" w:hAnsi="Palatino Linotype" w:cs="Palatino Linotype"/>
              </w:rPr>
            </w:pPr>
            <w:r>
              <w:rPr>
                <w:rFonts w:ascii="Palatino Linotype" w:eastAsia="Palatino Linotype" w:hAnsi="Palatino Linotype" w:cs="Palatino Linotype"/>
              </w:rPr>
              <w:t>Secretario Técnico del Pleno</w:t>
            </w:r>
          </w:p>
          <w:p w:rsidR="007755F4" w:rsidRDefault="00D92470">
            <w:pPr>
              <w:jc w:val="center"/>
              <w:rPr>
                <w:rFonts w:ascii="Palatino Linotype" w:eastAsia="Palatino Linotype" w:hAnsi="Palatino Linotype" w:cs="Palatino Linotype"/>
              </w:rPr>
            </w:pPr>
            <w:r>
              <w:rPr>
                <w:rFonts w:ascii="Palatino Linotype" w:eastAsia="Palatino Linotype" w:hAnsi="Palatino Linotype" w:cs="Palatino Linotype"/>
                <w:b/>
              </w:rPr>
              <w:t>(RÚBRICA)</w:t>
            </w:r>
            <w:r>
              <w:rPr>
                <w:rFonts w:ascii="Palatino Linotype" w:eastAsia="Palatino Linotype" w:hAnsi="Palatino Linotype" w:cs="Palatino Linotype"/>
              </w:rPr>
              <w:t xml:space="preserve"> </w:t>
            </w:r>
          </w:p>
        </w:tc>
      </w:tr>
    </w:tbl>
    <w:p w:rsidR="007755F4" w:rsidRDefault="007755F4">
      <w:pPr>
        <w:jc w:val="both"/>
        <w:rPr>
          <w:rFonts w:ascii="Palatino Linotype" w:eastAsia="Palatino Linotype" w:hAnsi="Palatino Linotype" w:cs="Palatino Linotype"/>
        </w:rPr>
      </w:pPr>
    </w:p>
    <w:p w:rsidR="007755F4" w:rsidRDefault="007755F4">
      <w:pPr>
        <w:jc w:val="both"/>
        <w:rPr>
          <w:rFonts w:ascii="Palatino Linotype" w:eastAsia="Palatino Linotype" w:hAnsi="Palatino Linotype" w:cs="Palatino Linotype"/>
        </w:rPr>
      </w:pPr>
    </w:p>
    <w:p w:rsidR="007755F4" w:rsidRDefault="007755F4">
      <w:pPr>
        <w:jc w:val="both"/>
        <w:rPr>
          <w:rFonts w:ascii="Palatino Linotype" w:eastAsia="Palatino Linotype" w:hAnsi="Palatino Linotype" w:cs="Palatino Linotype"/>
        </w:rPr>
      </w:pPr>
    </w:p>
    <w:p w:rsidR="007755F4" w:rsidRDefault="007755F4">
      <w:pPr>
        <w:jc w:val="both"/>
        <w:rPr>
          <w:rFonts w:ascii="Palatino Linotype" w:eastAsia="Palatino Linotype" w:hAnsi="Palatino Linotype" w:cs="Palatino Linotype"/>
        </w:rPr>
      </w:pPr>
    </w:p>
    <w:p w:rsidR="007755F4" w:rsidRDefault="007755F4">
      <w:pPr>
        <w:jc w:val="both"/>
        <w:rPr>
          <w:rFonts w:ascii="Palatino Linotype" w:eastAsia="Palatino Linotype" w:hAnsi="Palatino Linotype" w:cs="Palatino Linotype"/>
        </w:rPr>
      </w:pPr>
    </w:p>
    <w:p w:rsidR="007755F4" w:rsidRDefault="00D92470">
      <w:pPr>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Esta hoja corresponde a la resolución de fecha cinco de agosto de dos mil veinte, emitida en el recurso de revisión número 00572/INFOEM/IP/RR/2019.  </w:t>
      </w:r>
    </w:p>
    <w:p w:rsidR="007755F4" w:rsidRDefault="00D92470">
      <w:pPr>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YSM/EJCA</w:t>
      </w:r>
    </w:p>
    <w:sectPr w:rsidR="007755F4">
      <w:headerReference w:type="even" r:id="rId17"/>
      <w:headerReference w:type="default" r:id="rId18"/>
      <w:footerReference w:type="default" r:id="rId19"/>
      <w:headerReference w:type="first" r:id="rId20"/>
      <w:footerReference w:type="first" r:id="rId21"/>
      <w:pgSz w:w="12240" w:h="15840"/>
      <w:pgMar w:top="1418" w:right="1418" w:bottom="1418"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2470" w:rsidRDefault="00D92470">
      <w:r>
        <w:separator/>
      </w:r>
    </w:p>
  </w:endnote>
  <w:endnote w:type="continuationSeparator" w:id="0">
    <w:p w:rsidR="00D92470" w:rsidRDefault="00D92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5F4" w:rsidRDefault="00D9247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4743FE">
      <w:rPr>
        <w:rFonts w:ascii="Palatino Linotype" w:eastAsia="Palatino Linotype" w:hAnsi="Palatino Linotype" w:cs="Palatino Linotype"/>
        <w:noProof/>
        <w:color w:val="000000"/>
        <w:sz w:val="22"/>
        <w:szCs w:val="22"/>
      </w:rPr>
      <w:t>21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4743FE">
      <w:rPr>
        <w:rFonts w:ascii="Palatino Linotype" w:eastAsia="Palatino Linotype" w:hAnsi="Palatino Linotype" w:cs="Palatino Linotype"/>
        <w:noProof/>
        <w:color w:val="000000"/>
        <w:sz w:val="22"/>
        <w:szCs w:val="22"/>
      </w:rPr>
      <w:t>30</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5F4" w:rsidRDefault="00D9247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4743FE">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4743FE">
      <w:rPr>
        <w:rFonts w:ascii="Palatino Linotype" w:eastAsia="Palatino Linotype" w:hAnsi="Palatino Linotype" w:cs="Palatino Linotype"/>
        <w:noProof/>
        <w:color w:val="000000"/>
        <w:sz w:val="22"/>
        <w:szCs w:val="22"/>
      </w:rPr>
      <w:t>30</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2470" w:rsidRDefault="00D92470">
      <w:r>
        <w:separator/>
      </w:r>
    </w:p>
  </w:footnote>
  <w:footnote w:type="continuationSeparator" w:id="0">
    <w:p w:rsidR="00D92470" w:rsidRDefault="00D924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2B2" w:rsidRDefault="004743FE">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7735844" o:spid="_x0000_s2050"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5F4" w:rsidRDefault="004743FE">
    <w:pPr>
      <w:pBdr>
        <w:top w:val="nil"/>
        <w:left w:val="nil"/>
        <w:bottom w:val="nil"/>
        <w:right w:val="nil"/>
        <w:between w:val="nil"/>
      </w:pBdr>
      <w:tabs>
        <w:tab w:val="center" w:pos="4252"/>
        <w:tab w:val="right" w:pos="8504"/>
      </w:tabs>
      <w:ind w:right="-93"/>
      <w:rPr>
        <w:rFonts w:ascii="Palatino Linotype" w:eastAsia="Palatino Linotype" w:hAnsi="Palatino Linotype" w:cs="Palatino Linotype"/>
        <w:color w:val="000000"/>
        <w:sz w:val="28"/>
        <w:szCs w:val="28"/>
      </w:rPr>
    </w:pPr>
    <w:r>
      <w:rPr>
        <w:rFonts w:ascii="Palatino Linotype" w:eastAsia="Palatino Linotype" w:hAnsi="Palatino Linotype" w:cs="Palatino Linotype"/>
        <w:noProof/>
        <w:color w:val="000000"/>
        <w:sz w:val="28"/>
        <w:szCs w:val="28"/>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7735845"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2A5B04" w:rsidRPr="008F2CCC" w:rsidTr="00B15D87">
      <w:tc>
        <w:tcPr>
          <w:tcW w:w="3261" w:type="dxa"/>
          <w:vMerge w:val="restart"/>
        </w:tcPr>
        <w:p w:rsidR="002A5B04" w:rsidRPr="008F2CCC" w:rsidRDefault="002A5B04" w:rsidP="002A5B04">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D010623" wp14:editId="2B5555FE">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rsidR="002A5B04" w:rsidRPr="00664658" w:rsidRDefault="002A5B04" w:rsidP="002A5B04">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rsidR="002A5B04" w:rsidRPr="00664658" w:rsidRDefault="002A5B04" w:rsidP="002A5B04">
          <w:pPr>
            <w:jc w:val="both"/>
            <w:rPr>
              <w:rFonts w:ascii="Palatino Linotype" w:hAnsi="Palatino Linotype"/>
              <w:b/>
              <w:sz w:val="22"/>
              <w:szCs w:val="22"/>
              <w:lang w:val="es-ES_tradnl"/>
            </w:rPr>
          </w:pPr>
          <w:r>
            <w:rPr>
              <w:rFonts w:ascii="Palatino Linotype" w:eastAsia="Palatino Linotype" w:hAnsi="Palatino Linotype" w:cs="Palatino Linotype"/>
              <w:b/>
              <w:sz w:val="22"/>
              <w:szCs w:val="22"/>
            </w:rPr>
            <w:t>00572/INFOEM/IP/RR/2020</w:t>
          </w:r>
        </w:p>
      </w:tc>
    </w:tr>
    <w:tr w:rsidR="002A5B04" w:rsidRPr="008F2CCC" w:rsidTr="00B15D87">
      <w:tc>
        <w:tcPr>
          <w:tcW w:w="3261" w:type="dxa"/>
          <w:vMerge/>
        </w:tcPr>
        <w:p w:rsidR="002A5B04" w:rsidRPr="008F2CCC" w:rsidRDefault="002A5B04" w:rsidP="002A5B04">
          <w:pPr>
            <w:rPr>
              <w:rFonts w:ascii="Palatino Linotype" w:hAnsi="Palatino Linotype"/>
              <w:b/>
              <w:sz w:val="22"/>
              <w:szCs w:val="22"/>
              <w:lang w:val="es-ES_tradnl"/>
            </w:rPr>
          </w:pPr>
        </w:p>
      </w:tc>
      <w:tc>
        <w:tcPr>
          <w:tcW w:w="2551" w:type="dxa"/>
          <w:shd w:val="clear" w:color="auto" w:fill="auto"/>
        </w:tcPr>
        <w:p w:rsidR="002A5B04" w:rsidRPr="00664658" w:rsidRDefault="002A5B04" w:rsidP="002A5B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rsidR="002A5B04" w:rsidRPr="00D41D47" w:rsidRDefault="002A5B04" w:rsidP="002A5B04">
          <w:pPr>
            <w:jc w:val="both"/>
            <w:rPr>
              <w:rFonts w:ascii="Palatino Linotype" w:hAnsi="Palatino Linotype"/>
              <w:b/>
              <w:sz w:val="22"/>
              <w:szCs w:val="22"/>
              <w:lang w:val="es-ES_tradnl"/>
            </w:rPr>
          </w:pPr>
          <w:r>
            <w:rPr>
              <w:rFonts w:ascii="Palatino Linotype" w:eastAsia="Palatino Linotype" w:hAnsi="Palatino Linotype" w:cs="Palatino Linotype"/>
              <w:b/>
              <w:sz w:val="22"/>
              <w:szCs w:val="22"/>
            </w:rPr>
            <w:t>Ayuntamiento de Tlalnepantla de Baz</w:t>
          </w:r>
        </w:p>
      </w:tc>
    </w:tr>
    <w:tr w:rsidR="002A5B04" w:rsidRPr="008F2CCC" w:rsidTr="00B15D87">
      <w:trPr>
        <w:trHeight w:val="228"/>
      </w:trPr>
      <w:tc>
        <w:tcPr>
          <w:tcW w:w="3261" w:type="dxa"/>
          <w:vMerge/>
        </w:tcPr>
        <w:p w:rsidR="002A5B04" w:rsidRPr="008F2CCC" w:rsidRDefault="002A5B04" w:rsidP="002A5B04">
          <w:pPr>
            <w:rPr>
              <w:rFonts w:ascii="Palatino Linotype" w:hAnsi="Palatino Linotype"/>
              <w:b/>
              <w:sz w:val="22"/>
              <w:szCs w:val="22"/>
              <w:lang w:val="es-ES_tradnl"/>
            </w:rPr>
          </w:pPr>
        </w:p>
      </w:tc>
      <w:tc>
        <w:tcPr>
          <w:tcW w:w="2551" w:type="dxa"/>
          <w:shd w:val="clear" w:color="auto" w:fill="auto"/>
        </w:tcPr>
        <w:p w:rsidR="002A5B04" w:rsidRPr="00664658" w:rsidRDefault="002A5B04" w:rsidP="002A5B04">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rsidR="002A5B04" w:rsidRPr="00664658" w:rsidRDefault="002A5B04" w:rsidP="002A5B04">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2A5B04" w:rsidRDefault="002A5B04">
    <w:pPr>
      <w:pBdr>
        <w:top w:val="nil"/>
        <w:left w:val="nil"/>
        <w:bottom w:val="nil"/>
        <w:right w:val="nil"/>
        <w:between w:val="nil"/>
      </w:pBdr>
      <w:tabs>
        <w:tab w:val="center" w:pos="4252"/>
        <w:tab w:val="right" w:pos="8504"/>
      </w:tabs>
      <w:ind w:right="-93"/>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5F4" w:rsidRDefault="004743F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8"/>
        <w:szCs w:val="28"/>
      </w:rPr>
    </w:pPr>
    <w:r>
      <w:rPr>
        <w:rFonts w:ascii="Palatino Linotype" w:eastAsia="Palatino Linotype" w:hAnsi="Palatino Linotype" w:cs="Palatino Linotype"/>
        <w:noProof/>
        <w:color w:val="000000"/>
        <w:sz w:val="28"/>
        <w:szCs w:val="28"/>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7735843" o:spid="_x0000_s2049" type="#_x0000_t75" style="position:absolute;left:0;text-align:left;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2A5B04" w:rsidRPr="008F2CCC" w:rsidTr="00B15D87">
      <w:tc>
        <w:tcPr>
          <w:tcW w:w="4253" w:type="dxa"/>
          <w:vMerge w:val="restart"/>
          <w:shd w:val="clear" w:color="auto" w:fill="auto"/>
        </w:tcPr>
        <w:p w:rsidR="002A5B04" w:rsidRPr="008F2CCC" w:rsidRDefault="002A5B04" w:rsidP="002A5B04">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21FA42E6" wp14:editId="18E54195">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rsidR="002A5B04" w:rsidRPr="008F2CCC" w:rsidRDefault="002A5B04" w:rsidP="002A5B04">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rsidR="002A5B04" w:rsidRPr="008F2CCC" w:rsidRDefault="002A5B04" w:rsidP="002A5B04">
          <w:pPr>
            <w:jc w:val="both"/>
            <w:rPr>
              <w:rFonts w:ascii="Palatino Linotype" w:hAnsi="Palatino Linotype"/>
              <w:b/>
              <w:sz w:val="22"/>
              <w:szCs w:val="22"/>
              <w:lang w:val="es-ES_tradnl"/>
            </w:rPr>
          </w:pPr>
          <w:r>
            <w:rPr>
              <w:rFonts w:ascii="Palatino Linotype" w:eastAsia="Palatino Linotype" w:hAnsi="Palatino Linotype" w:cs="Palatino Linotype"/>
              <w:b/>
              <w:sz w:val="22"/>
              <w:szCs w:val="22"/>
            </w:rPr>
            <w:t>00572/INFOEM/IP/RR/2020</w:t>
          </w:r>
        </w:p>
      </w:tc>
    </w:tr>
    <w:tr w:rsidR="002A5B04" w:rsidRPr="008F2CCC" w:rsidTr="00B15D87">
      <w:tc>
        <w:tcPr>
          <w:tcW w:w="4253" w:type="dxa"/>
          <w:vMerge/>
          <w:shd w:val="clear" w:color="auto" w:fill="auto"/>
        </w:tcPr>
        <w:p w:rsidR="002A5B04" w:rsidRPr="008F2CCC" w:rsidRDefault="002A5B04" w:rsidP="002A5B04">
          <w:pPr>
            <w:rPr>
              <w:rFonts w:ascii="Palatino Linotype" w:hAnsi="Palatino Linotype"/>
              <w:b/>
              <w:sz w:val="22"/>
              <w:szCs w:val="22"/>
              <w:lang w:val="es-ES_tradnl"/>
            </w:rPr>
          </w:pPr>
        </w:p>
      </w:tc>
      <w:tc>
        <w:tcPr>
          <w:tcW w:w="2552" w:type="dxa"/>
          <w:shd w:val="clear" w:color="auto" w:fill="auto"/>
        </w:tcPr>
        <w:p w:rsidR="002A5B04" w:rsidRPr="008F2CCC" w:rsidRDefault="002A5B04" w:rsidP="002A5B04">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rsidR="002A5B04" w:rsidRPr="008F2CCC" w:rsidRDefault="004743FE" w:rsidP="004743FE">
          <w:pPr>
            <w:jc w:val="both"/>
            <w:rPr>
              <w:rFonts w:ascii="Palatino Linotype" w:hAnsi="Palatino Linotype"/>
              <w:b/>
              <w:sz w:val="22"/>
              <w:szCs w:val="22"/>
              <w:lang w:val="es-ES_tradnl"/>
            </w:rPr>
          </w:pPr>
          <w:proofErr w:type="spellStart"/>
          <w:r>
            <w:rPr>
              <w:rFonts w:ascii="Palatino Linotype" w:eastAsia="Palatino Linotype" w:hAnsi="Palatino Linotype" w:cs="Palatino Linotype"/>
              <w:b/>
              <w:sz w:val="22"/>
              <w:szCs w:val="22"/>
            </w:rPr>
            <w:t>xxxx</w:t>
          </w:r>
          <w:proofErr w:type="spellEnd"/>
          <w:r w:rsidR="002A5B04">
            <w:rPr>
              <w:rFonts w:ascii="Palatino Linotype" w:eastAsia="Palatino Linotype" w:hAnsi="Palatino Linotype" w:cs="Palatino Linotype"/>
              <w:b/>
              <w:sz w:val="22"/>
              <w:szCs w:val="22"/>
            </w:rPr>
            <w:t xml:space="preserve"> </w:t>
          </w:r>
          <w:proofErr w:type="spellStart"/>
          <w:r>
            <w:rPr>
              <w:rFonts w:ascii="Palatino Linotype" w:eastAsia="Palatino Linotype" w:hAnsi="Palatino Linotype" w:cs="Palatino Linotype"/>
              <w:b/>
              <w:sz w:val="22"/>
              <w:szCs w:val="22"/>
            </w:rPr>
            <w:t>xxxx</w:t>
          </w:r>
          <w:proofErr w:type="spellEnd"/>
          <w:r w:rsidR="002A5B04">
            <w:rPr>
              <w:rFonts w:ascii="Palatino Linotype" w:eastAsia="Palatino Linotype" w:hAnsi="Palatino Linotype" w:cs="Palatino Linotype"/>
              <w:b/>
              <w:sz w:val="22"/>
              <w:szCs w:val="22"/>
            </w:rPr>
            <w:t xml:space="preserve"> </w:t>
          </w:r>
          <w:proofErr w:type="spellStart"/>
          <w:r>
            <w:rPr>
              <w:rFonts w:ascii="Palatino Linotype" w:eastAsia="Palatino Linotype" w:hAnsi="Palatino Linotype" w:cs="Palatino Linotype"/>
              <w:b/>
              <w:sz w:val="22"/>
              <w:szCs w:val="22"/>
            </w:rPr>
            <w:t>xxxxxx</w:t>
          </w:r>
          <w:proofErr w:type="spellEnd"/>
          <w:r w:rsidR="002A5B04">
            <w:rPr>
              <w:rFonts w:ascii="Palatino Linotype" w:eastAsia="Palatino Linotype" w:hAnsi="Palatino Linotype" w:cs="Palatino Linotype"/>
              <w:b/>
              <w:sz w:val="22"/>
              <w:szCs w:val="22"/>
            </w:rPr>
            <w:t xml:space="preserve"> </w:t>
          </w:r>
          <w:proofErr w:type="spellStart"/>
          <w:r>
            <w:rPr>
              <w:rFonts w:ascii="Palatino Linotype" w:eastAsia="Palatino Linotype" w:hAnsi="Palatino Linotype" w:cs="Palatino Linotype"/>
              <w:b/>
              <w:sz w:val="22"/>
              <w:szCs w:val="22"/>
            </w:rPr>
            <w:t>xxxxx</w:t>
          </w:r>
          <w:proofErr w:type="spellEnd"/>
        </w:p>
      </w:tc>
    </w:tr>
    <w:tr w:rsidR="002A5B04" w:rsidRPr="008F2CCC" w:rsidTr="00B15D87">
      <w:trPr>
        <w:trHeight w:val="228"/>
      </w:trPr>
      <w:tc>
        <w:tcPr>
          <w:tcW w:w="4253" w:type="dxa"/>
          <w:vMerge/>
          <w:shd w:val="clear" w:color="auto" w:fill="auto"/>
        </w:tcPr>
        <w:p w:rsidR="002A5B04" w:rsidRPr="008F2CCC" w:rsidRDefault="002A5B04" w:rsidP="002A5B04">
          <w:pPr>
            <w:rPr>
              <w:rFonts w:ascii="Palatino Linotype" w:hAnsi="Palatino Linotype"/>
              <w:b/>
              <w:sz w:val="22"/>
              <w:szCs w:val="22"/>
              <w:lang w:val="es-ES_tradnl"/>
            </w:rPr>
          </w:pPr>
        </w:p>
      </w:tc>
      <w:tc>
        <w:tcPr>
          <w:tcW w:w="2552" w:type="dxa"/>
          <w:shd w:val="clear" w:color="auto" w:fill="auto"/>
        </w:tcPr>
        <w:p w:rsidR="002A5B04" w:rsidRPr="008F2CCC" w:rsidRDefault="002A5B04" w:rsidP="002A5B04">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rsidR="002A5B04" w:rsidRPr="00DC41C8" w:rsidRDefault="002A5B04" w:rsidP="002A5B04">
          <w:pPr>
            <w:jc w:val="both"/>
            <w:rPr>
              <w:rFonts w:ascii="Palatino Linotype" w:hAnsi="Palatino Linotype"/>
              <w:b/>
              <w:sz w:val="22"/>
              <w:szCs w:val="22"/>
            </w:rPr>
          </w:pPr>
          <w:r>
            <w:rPr>
              <w:rFonts w:ascii="Palatino Linotype" w:eastAsia="Palatino Linotype" w:hAnsi="Palatino Linotype" w:cs="Palatino Linotype"/>
              <w:b/>
              <w:sz w:val="22"/>
              <w:szCs w:val="22"/>
            </w:rPr>
            <w:t>Ayuntamiento de Tlalnepantla de Baz</w:t>
          </w:r>
        </w:p>
      </w:tc>
    </w:tr>
    <w:tr w:rsidR="002A5B04" w:rsidRPr="008F2CCC" w:rsidTr="00B15D87">
      <w:tc>
        <w:tcPr>
          <w:tcW w:w="4253" w:type="dxa"/>
          <w:vMerge/>
          <w:shd w:val="clear" w:color="auto" w:fill="auto"/>
        </w:tcPr>
        <w:p w:rsidR="002A5B04" w:rsidRPr="008F2CCC" w:rsidRDefault="002A5B04" w:rsidP="002A5B04">
          <w:pPr>
            <w:rPr>
              <w:rFonts w:ascii="Palatino Linotype" w:hAnsi="Palatino Linotype"/>
              <w:b/>
              <w:sz w:val="22"/>
              <w:szCs w:val="22"/>
              <w:lang w:val="es-ES_tradnl"/>
            </w:rPr>
          </w:pPr>
        </w:p>
      </w:tc>
      <w:tc>
        <w:tcPr>
          <w:tcW w:w="2552" w:type="dxa"/>
          <w:shd w:val="clear" w:color="auto" w:fill="auto"/>
        </w:tcPr>
        <w:p w:rsidR="002A5B04" w:rsidRPr="008F2CCC" w:rsidRDefault="002A5B04" w:rsidP="002A5B04">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rsidR="002A5B04" w:rsidRPr="008F2CCC" w:rsidRDefault="002A5B04" w:rsidP="002A5B04">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2A5B04" w:rsidRDefault="002A5B0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413B7E"/>
    <w:multiLevelType w:val="multilevel"/>
    <w:tmpl w:val="19E028E2"/>
    <w:lvl w:ilvl="0">
      <w:start w:val="1"/>
      <w:numFmt w:val="decimal"/>
      <w:lvlText w:val="%1."/>
      <w:lvlJc w:val="left"/>
      <w:pPr>
        <w:ind w:left="1920" w:hanging="360"/>
      </w:pPr>
      <w:rPr>
        <w:b/>
        <w:smallCaps/>
        <w:sz w:val="28"/>
        <w:szCs w:val="28"/>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1891985"/>
    <w:multiLevelType w:val="multilevel"/>
    <w:tmpl w:val="7B4477F2"/>
    <w:lvl w:ilvl="0">
      <w:start w:val="5"/>
      <w:numFmt w:val="decimal"/>
      <w:lvlText w:val="%1."/>
      <w:lvlJc w:val="left"/>
      <w:pPr>
        <w:ind w:left="1920" w:hanging="360"/>
      </w:pPr>
      <w:rPr>
        <w:b/>
        <w:smallCaps/>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7D8C3BA3"/>
    <w:multiLevelType w:val="multilevel"/>
    <w:tmpl w:val="2E062790"/>
    <w:lvl w:ilvl="0">
      <w:start w:val="1"/>
      <w:numFmt w:val="upperRoman"/>
      <w:lvlText w:val="%1."/>
      <w:lvlJc w:val="left"/>
      <w:pPr>
        <w:ind w:left="644" w:hanging="359"/>
      </w:pPr>
      <w:rPr>
        <w:b/>
        <w:i w:val="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5F4"/>
    <w:rsid w:val="002A5B04"/>
    <w:rsid w:val="004743FE"/>
    <w:rsid w:val="007755F4"/>
    <w:rsid w:val="009F22B2"/>
    <w:rsid w:val="00D9247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94C0805C-BACC-4A3D-A6A6-3D5DE7A0C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D8A"/>
    <w:rPr>
      <w:lang w:eastAsia="es-ES"/>
    </w:rPr>
  </w:style>
  <w:style w:type="paragraph" w:styleId="Ttulo1">
    <w:name w:val="heading 1"/>
    <w:basedOn w:val="Normal"/>
    <w:next w:val="Normal"/>
    <w:link w:val="Ttulo1Car"/>
    <w:uiPriority w:val="9"/>
    <w:qFormat/>
    <w:rsid w:val="00B06D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06D8A"/>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semiHidden/>
    <w:unhideWhenUsed/>
    <w:qFormat/>
    <w:rsid w:val="00B06D8A"/>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semiHidden/>
    <w:unhideWhenUsed/>
    <w:qFormat/>
    <w:rsid w:val="00B06D8A"/>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B06D8A"/>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B06D8A"/>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semiHidden/>
    <w:rsid w:val="00B06D8A"/>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B06D8A"/>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semiHidden/>
    <w:rsid w:val="00B06D8A"/>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semiHidden/>
    <w:rsid w:val="00B06D8A"/>
    <w:rPr>
      <w:rFonts w:asciiTheme="majorHAnsi" w:eastAsiaTheme="majorEastAsia" w:hAnsiTheme="majorHAnsi" w:cstheme="majorBidi"/>
      <w:color w:val="2E74B5" w:themeColor="accent1" w:themeShade="BF"/>
      <w:sz w:val="24"/>
      <w:szCs w:val="24"/>
      <w:lang w:eastAsia="es-ES"/>
    </w:rPr>
  </w:style>
  <w:style w:type="character" w:styleId="Hipervnculo">
    <w:name w:val="Hyperlink"/>
    <w:basedOn w:val="Fuentedeprrafopredeter"/>
    <w:uiPriority w:val="99"/>
    <w:unhideWhenUsed/>
    <w:rsid w:val="00B06D8A"/>
    <w:rPr>
      <w:color w:val="0000FF"/>
      <w:u w:val="single"/>
    </w:rPr>
  </w:style>
  <w:style w:type="character" w:styleId="Hipervnculovisitado">
    <w:name w:val="FollowedHyperlink"/>
    <w:basedOn w:val="Fuentedeprrafopredeter"/>
    <w:uiPriority w:val="99"/>
    <w:semiHidden/>
    <w:unhideWhenUsed/>
    <w:rsid w:val="00B06D8A"/>
    <w:rPr>
      <w:color w:val="954F72" w:themeColor="followedHyperlink"/>
      <w:u w:val="single"/>
    </w:rPr>
  </w:style>
  <w:style w:type="paragraph" w:styleId="NormalWeb">
    <w:name w:val="Normal (Web)"/>
    <w:basedOn w:val="Normal"/>
    <w:unhideWhenUsed/>
    <w:rsid w:val="00B06D8A"/>
    <w:pPr>
      <w:spacing w:before="100" w:beforeAutospacing="1" w:after="100" w:afterAutospacing="1"/>
    </w:pPr>
    <w:rPr>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B06D8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06D8A"/>
    <w:rPr>
      <w:rFonts w:asciiTheme="minorHAnsi" w:eastAsiaTheme="minorHAnsi" w:hAnsiTheme="minorHAnsi" w:cstheme="minorBidi"/>
      <w:sz w:val="20"/>
      <w:szCs w:val="20"/>
      <w:lang w:eastAsia="en-US"/>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B06D8A"/>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B06D8A"/>
    <w:rPr>
      <w:sz w:val="20"/>
      <w:szCs w:val="20"/>
    </w:rPr>
  </w:style>
  <w:style w:type="character" w:customStyle="1" w:styleId="TextocomentarioCar">
    <w:name w:val="Texto comentario Car"/>
    <w:basedOn w:val="Fuentedeprrafopredeter"/>
    <w:link w:val="Textocomentario"/>
    <w:uiPriority w:val="99"/>
    <w:semiHidden/>
    <w:rsid w:val="00B06D8A"/>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06D8A"/>
    <w:rPr>
      <w:rFonts w:eastAsiaTheme="minorEastAsia"/>
      <w:sz w:val="24"/>
      <w:szCs w:val="24"/>
      <w:lang w:val="es-ES_tradnl" w:eastAsia="es-ES"/>
    </w:rPr>
  </w:style>
  <w:style w:type="paragraph" w:styleId="Piedepgina">
    <w:name w:val="footer"/>
    <w:basedOn w:val="Normal"/>
    <w:link w:val="Piedepgina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06D8A"/>
    <w:rPr>
      <w:rFonts w:eastAsiaTheme="minorEastAsia"/>
      <w:sz w:val="24"/>
      <w:szCs w:val="24"/>
      <w:lang w:val="es-ES_tradnl" w:eastAsia="es-ES"/>
    </w:rPr>
  </w:style>
  <w:style w:type="paragraph" w:styleId="Textoindependiente2">
    <w:name w:val="Body Text 2"/>
    <w:basedOn w:val="Normal"/>
    <w:link w:val="Textoindependiente2Car"/>
    <w:uiPriority w:val="99"/>
    <w:semiHidden/>
    <w:unhideWhenUsed/>
    <w:rsid w:val="00B06D8A"/>
    <w:pPr>
      <w:spacing w:after="120" w:line="480" w:lineRule="auto"/>
    </w:pPr>
    <w:rPr>
      <w:lang w:val="es-ES"/>
    </w:rPr>
  </w:style>
  <w:style w:type="character" w:customStyle="1" w:styleId="Textoindependiente2Car">
    <w:name w:val="Texto independiente 2 Car"/>
    <w:basedOn w:val="Fuentedeprrafopredeter"/>
    <w:link w:val="Textoindependiente2"/>
    <w:uiPriority w:val="99"/>
    <w:semiHidden/>
    <w:rsid w:val="00B06D8A"/>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B06D8A"/>
    <w:rPr>
      <w:rFonts w:ascii="Courier New" w:hAnsi="Courier New"/>
      <w:sz w:val="20"/>
      <w:szCs w:val="20"/>
      <w:lang w:val="es-ES"/>
    </w:rPr>
  </w:style>
  <w:style w:type="character" w:customStyle="1" w:styleId="TextosinformatoCar">
    <w:name w:val="Texto sin formato Car"/>
    <w:basedOn w:val="Fuentedeprrafopredeter"/>
    <w:link w:val="Textosinformato"/>
    <w:rsid w:val="00B06D8A"/>
    <w:rPr>
      <w:rFonts w:ascii="Courier New" w:eastAsia="Times New Roman" w:hAnsi="Courier Ne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06D8A"/>
    <w:rPr>
      <w:b/>
      <w:bCs/>
    </w:rPr>
  </w:style>
  <w:style w:type="character" w:customStyle="1" w:styleId="AsuntodelcomentarioCar">
    <w:name w:val="Asunto del comentario Car"/>
    <w:basedOn w:val="TextocomentarioCar"/>
    <w:link w:val="Asuntodelcomentario"/>
    <w:uiPriority w:val="99"/>
    <w:semiHidden/>
    <w:rsid w:val="00B06D8A"/>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06D8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6D8A"/>
    <w:rPr>
      <w:rFonts w:ascii="Segoe UI" w:eastAsia="Times New Roman" w:hAnsi="Segoe UI" w:cs="Segoe UI"/>
      <w:sz w:val="18"/>
      <w:szCs w:val="18"/>
      <w:lang w:eastAsia="es-ES"/>
    </w:rPr>
  </w:style>
  <w:style w:type="character" w:customStyle="1" w:styleId="SinespaciadoCar">
    <w:name w:val="Sin espaciado Car"/>
    <w:aliases w:val="Francesa Car,INAI Car"/>
    <w:link w:val="Sinespaciado"/>
    <w:uiPriority w:val="1"/>
    <w:locked/>
    <w:rsid w:val="00B06D8A"/>
    <w:rPr>
      <w:rFonts w:ascii="Times New Roman" w:eastAsia="Times New Roman" w:hAnsi="Times New Roman" w:cs="Times New Roman"/>
      <w:sz w:val="24"/>
      <w:szCs w:val="24"/>
      <w:lang w:eastAsia="es-ES"/>
    </w:rPr>
  </w:style>
  <w:style w:type="paragraph" w:styleId="Sinespaciado">
    <w:name w:val="No Spacing"/>
    <w:aliases w:val="Francesa,INAI"/>
    <w:link w:val="SinespaciadoCar"/>
    <w:uiPriority w:val="1"/>
    <w:qFormat/>
    <w:rsid w:val="00B06D8A"/>
    <w:rPr>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06D8A"/>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06D8A"/>
    <w:pPr>
      <w:ind w:left="720"/>
      <w:contextualSpacing/>
    </w:pPr>
  </w:style>
  <w:style w:type="paragraph" w:styleId="Bibliografa">
    <w:name w:val="Bibliography"/>
    <w:basedOn w:val="Normal"/>
    <w:next w:val="Normal"/>
    <w:uiPriority w:val="37"/>
    <w:semiHidden/>
    <w:unhideWhenUsed/>
    <w:rsid w:val="00B06D8A"/>
  </w:style>
  <w:style w:type="paragraph" w:customStyle="1" w:styleId="Default">
    <w:name w:val="Default"/>
    <w:uiPriority w:val="99"/>
    <w:rsid w:val="00B06D8A"/>
    <w:pPr>
      <w:autoSpaceDE w:val="0"/>
      <w:autoSpaceDN w:val="0"/>
      <w:adjustRightInd w:val="0"/>
    </w:pPr>
    <w:rPr>
      <w:rFonts w:ascii="Arial" w:hAnsi="Arial" w:cs="Arial"/>
      <w:color w:val="000000"/>
    </w:rPr>
  </w:style>
  <w:style w:type="character" w:customStyle="1" w:styleId="TextoCar">
    <w:name w:val="Texto Car"/>
    <w:link w:val="Texto"/>
    <w:locked/>
    <w:rsid w:val="00B06D8A"/>
    <w:rPr>
      <w:rFonts w:ascii="Arial" w:eastAsia="Times New Roman" w:hAnsi="Arial" w:cs="Arial"/>
      <w:sz w:val="18"/>
      <w:szCs w:val="20"/>
      <w:lang w:val="es-ES" w:eastAsia="es-ES"/>
    </w:rPr>
  </w:style>
  <w:style w:type="paragraph" w:customStyle="1" w:styleId="Texto">
    <w:name w:val="Texto"/>
    <w:basedOn w:val="Normal"/>
    <w:link w:val="TextoCar"/>
    <w:rsid w:val="00B06D8A"/>
    <w:pPr>
      <w:spacing w:after="101" w:line="216" w:lineRule="exact"/>
      <w:ind w:firstLine="288"/>
      <w:jc w:val="both"/>
    </w:pPr>
    <w:rPr>
      <w:rFonts w:ascii="Arial" w:hAnsi="Arial" w:cs="Arial"/>
      <w:sz w:val="18"/>
      <w:szCs w:val="20"/>
      <w:lang w:val="es-ES"/>
    </w:rPr>
  </w:style>
  <w:style w:type="character" w:customStyle="1" w:styleId="ROMANOSCar">
    <w:name w:val="ROMANOS Car"/>
    <w:link w:val="ROMANOS"/>
    <w:locked/>
    <w:rsid w:val="00B06D8A"/>
    <w:rPr>
      <w:rFonts w:ascii="Arial" w:eastAsia="Times New Roman" w:hAnsi="Arial" w:cs="Arial"/>
      <w:sz w:val="18"/>
      <w:szCs w:val="18"/>
      <w:lang w:val="es-ES" w:eastAsia="es-ES"/>
    </w:rPr>
  </w:style>
  <w:style w:type="paragraph" w:customStyle="1" w:styleId="ROMANOS">
    <w:name w:val="ROMANOS"/>
    <w:basedOn w:val="Normal"/>
    <w:link w:val="ROMANOSCar"/>
    <w:rsid w:val="00B06D8A"/>
    <w:pPr>
      <w:tabs>
        <w:tab w:val="left" w:pos="720"/>
      </w:tabs>
      <w:spacing w:after="101" w:line="216" w:lineRule="exact"/>
      <w:ind w:left="720" w:hanging="432"/>
      <w:jc w:val="both"/>
    </w:pPr>
    <w:rPr>
      <w:rFonts w:ascii="Arial" w:hAnsi="Arial" w:cs="Arial"/>
      <w:sz w:val="18"/>
      <w:szCs w:val="18"/>
      <w:lang w:val="es-ES"/>
    </w:rPr>
  </w:style>
  <w:style w:type="paragraph" w:customStyle="1" w:styleId="n2">
    <w:name w:val="n2"/>
    <w:basedOn w:val="Normal"/>
    <w:uiPriority w:val="99"/>
    <w:rsid w:val="00B06D8A"/>
    <w:pPr>
      <w:spacing w:before="100" w:beforeAutospacing="1" w:after="100" w:afterAutospacing="1"/>
    </w:pPr>
    <w:rPr>
      <w:lang w:eastAsia="es-MX"/>
    </w:rPr>
  </w:style>
  <w:style w:type="paragraph" w:customStyle="1" w:styleId="j">
    <w:name w:val="j"/>
    <w:basedOn w:val="Normal"/>
    <w:uiPriority w:val="99"/>
    <w:rsid w:val="00B06D8A"/>
    <w:pPr>
      <w:spacing w:before="100" w:beforeAutospacing="1" w:after="100" w:afterAutospacing="1"/>
    </w:pPr>
    <w:rPr>
      <w:lang w:eastAsia="es-MX"/>
    </w:rPr>
  </w:style>
  <w:style w:type="paragraph" w:customStyle="1" w:styleId="q">
    <w:name w:val="q"/>
    <w:basedOn w:val="Normal"/>
    <w:uiPriority w:val="99"/>
    <w:rsid w:val="00B06D8A"/>
    <w:pPr>
      <w:spacing w:before="100" w:beforeAutospacing="1" w:after="100" w:afterAutospacing="1"/>
    </w:pPr>
    <w:rPr>
      <w:lang w:eastAsia="es-MX"/>
    </w:rPr>
  </w:style>
  <w:style w:type="character" w:customStyle="1" w:styleId="Listavistosa-nfasis1Car">
    <w:name w:val="Lista vistosa - Énfasis 1 Car"/>
    <w:link w:val="Listavistosa-nfasis11"/>
    <w:uiPriority w:val="34"/>
    <w:locked/>
    <w:rsid w:val="00B06D8A"/>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B06D8A"/>
    <w:pPr>
      <w:ind w:left="708"/>
    </w:pPr>
    <w:rPr>
      <w:lang w:val="es-ES"/>
    </w:rPr>
  </w:style>
  <w:style w:type="paragraph" w:customStyle="1" w:styleId="Standard">
    <w:name w:val="Standard"/>
    <w:uiPriority w:val="99"/>
    <w:rsid w:val="00B06D8A"/>
    <w:pPr>
      <w:widowControl w:val="0"/>
      <w:suppressAutoHyphens/>
      <w:autoSpaceDN w:val="0"/>
    </w:pPr>
    <w:rPr>
      <w:rFonts w:ascii="Liberation Serif" w:eastAsia="DejaVu Sans" w:hAnsi="Liberation Serif" w:cs="Lohit Hindi"/>
      <w:kern w:val="3"/>
      <w:lang w:eastAsia="zh-CN" w:bidi="hi-IN"/>
    </w:rPr>
  </w:style>
  <w:style w:type="paragraph" w:customStyle="1" w:styleId="Pa2">
    <w:name w:val="Pa2"/>
    <w:basedOn w:val="Normal"/>
    <w:next w:val="Normal"/>
    <w:uiPriority w:val="99"/>
    <w:rsid w:val="00B06D8A"/>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B06D8A"/>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B06D8A"/>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B06D8A"/>
    <w:pPr>
      <w:spacing w:before="101" w:after="101"/>
      <w:jc w:val="center"/>
    </w:pPr>
    <w:rPr>
      <w:b/>
      <w:sz w:val="18"/>
      <w:szCs w:val="18"/>
      <w:lang w:val="x-none" w:eastAsia="x-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B06D8A"/>
    <w:rPr>
      <w:vertAlign w:val="superscript"/>
    </w:rPr>
  </w:style>
  <w:style w:type="character" w:styleId="Refdecomentario">
    <w:name w:val="annotation reference"/>
    <w:basedOn w:val="Fuentedeprrafopredeter"/>
    <w:uiPriority w:val="99"/>
    <w:semiHidden/>
    <w:unhideWhenUsed/>
    <w:rsid w:val="00B06D8A"/>
    <w:rPr>
      <w:sz w:val="16"/>
      <w:szCs w:val="16"/>
    </w:rPr>
  </w:style>
  <w:style w:type="character" w:customStyle="1" w:styleId="apple-converted-space">
    <w:name w:val="apple-converted-space"/>
    <w:basedOn w:val="Fuentedeprrafopredeter"/>
    <w:rsid w:val="00B06D8A"/>
  </w:style>
  <w:style w:type="character" w:customStyle="1" w:styleId="m1553324590483875794gmail-m8993139698400752374gmail-apple-converted-space">
    <w:name w:val="m_1553324590483875794gmail-m_8993139698400752374gmail-apple-converted-space"/>
    <w:basedOn w:val="Fuentedeprrafopredeter"/>
    <w:rsid w:val="00B06D8A"/>
  </w:style>
  <w:style w:type="character" w:customStyle="1" w:styleId="nacep">
    <w:name w:val="n_acep"/>
    <w:basedOn w:val="Fuentedeprrafopredeter"/>
    <w:rsid w:val="00B06D8A"/>
  </w:style>
  <w:style w:type="character" w:customStyle="1" w:styleId="d">
    <w:name w:val="d"/>
    <w:basedOn w:val="Fuentedeprrafopredeter"/>
    <w:rsid w:val="00B06D8A"/>
  </w:style>
  <w:style w:type="character" w:customStyle="1" w:styleId="apple-style-span">
    <w:name w:val="apple-style-span"/>
    <w:rsid w:val="00B06D8A"/>
  </w:style>
  <w:style w:type="character" w:customStyle="1" w:styleId="negritas1">
    <w:name w:val="negritas1"/>
    <w:rsid w:val="00B06D8A"/>
    <w:rPr>
      <w:rFonts w:ascii="Arial" w:hAnsi="Arial" w:cs="Arial" w:hint="default"/>
      <w:b/>
      <w:bCs/>
      <w:sz w:val="18"/>
      <w:szCs w:val="18"/>
    </w:rPr>
  </w:style>
  <w:style w:type="character" w:customStyle="1" w:styleId="f">
    <w:name w:val="f"/>
    <w:basedOn w:val="Fuentedeprrafopredeter"/>
    <w:rsid w:val="00B06D8A"/>
  </w:style>
  <w:style w:type="character" w:customStyle="1" w:styleId="b">
    <w:name w:val="b"/>
    <w:basedOn w:val="Fuentedeprrafopredeter"/>
    <w:rsid w:val="00B06D8A"/>
  </w:style>
  <w:style w:type="character" w:customStyle="1" w:styleId="k">
    <w:name w:val="k"/>
    <w:basedOn w:val="Fuentedeprrafopredeter"/>
    <w:rsid w:val="00B06D8A"/>
  </w:style>
  <w:style w:type="character" w:customStyle="1" w:styleId="h">
    <w:name w:val="h"/>
    <w:basedOn w:val="Fuentedeprrafopredeter"/>
    <w:rsid w:val="00B06D8A"/>
  </w:style>
  <w:style w:type="character" w:customStyle="1" w:styleId="lbl-encabezado-blanco2">
    <w:name w:val="lbl-encabezado-blanco2"/>
    <w:rsid w:val="00B06D8A"/>
    <w:rPr>
      <w:color w:val="FFFFFF"/>
    </w:rPr>
  </w:style>
  <w:style w:type="table" w:styleId="Tablaconcuadrcula">
    <w:name w:val="Table Grid"/>
    <w:basedOn w:val="Tablanormal"/>
    <w:uiPriority w:val="39"/>
    <w:rsid w:val="00B06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1clara-nfasis1">
    <w:name w:val="Grid Table 1 Light Accent 1"/>
    <w:basedOn w:val="Tablanormal"/>
    <w:uiPriority w:val="46"/>
    <w:rsid w:val="00B06D8A"/>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0C1DD5"/>
    <w:pPr>
      <w:spacing w:before="100" w:beforeAutospacing="1" w:after="100" w:afterAutospacing="1" w:line="264" w:lineRule="auto"/>
    </w:pPr>
    <w:rPr>
      <w:rFonts w:asciiTheme="minorHAnsi" w:eastAsiaTheme="minorEastAsia" w:hAnsiTheme="minorHAnsi" w:cstheme="minorBidi"/>
      <w:sz w:val="20"/>
      <w:szCs w:val="20"/>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7.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6.png"/><Relationship Id="rId14" Type="http://schemas.openxmlformats.org/officeDocument/2006/relationships/image" Target="media/image5.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8aViWBxQF7R35S0vD6PBYzQPCaw==">AMUW2mVqjxIqCYf39o8rg5FF2n3otMwLyONQBSu/RlTpYrDoMb3wSLNNpJQLGwZhVkumTxTnlxKwf5CXjmTMniwbJBC2VFRTBymMv0jZpx5luVF7Uu2VjZVdCa7SvKa3vrDfwXmw6Hdn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6258</Words>
  <Characters>34423</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40600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PONENCIA EAY</cp:lastModifiedBy>
  <cp:revision>2</cp:revision>
  <dcterms:created xsi:type="dcterms:W3CDTF">2020-09-08T18:23:00Z</dcterms:created>
  <dcterms:modified xsi:type="dcterms:W3CDTF">2020-09-08T18:23:00Z</dcterms:modified>
</cp:coreProperties>
</file>