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cinco de agosto de dos mil veinte.</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VISTO el expediente formado con motivo del recurso de revisión </w:t>
      </w:r>
      <w:r>
        <w:rPr>
          <w:rFonts w:ascii="Palatino Linotype" w:eastAsia="Palatino Linotype" w:hAnsi="Palatino Linotype" w:cs="Palatino Linotype"/>
          <w:b/>
        </w:rPr>
        <w:t>00492/INFOEM/IP/RR/2020</w:t>
      </w:r>
      <w:r>
        <w:rPr>
          <w:rFonts w:ascii="Palatino Linotype" w:eastAsia="Palatino Linotype" w:hAnsi="Palatino Linotype" w:cs="Palatino Linotype"/>
        </w:rPr>
        <w:t xml:space="preserve">, promovido por el </w:t>
      </w:r>
      <w:r>
        <w:rPr>
          <w:rFonts w:ascii="Palatino Linotype" w:eastAsia="Palatino Linotype" w:hAnsi="Palatino Linotype" w:cs="Palatino Linotype"/>
          <w:b/>
        </w:rPr>
        <w:t xml:space="preserve">C. </w:t>
      </w:r>
      <w:r w:rsidR="00284887" w:rsidRPr="00284887">
        <w:rPr>
          <w:rFonts w:ascii="Palatino Linotype" w:eastAsia="Palatino Linotype" w:hAnsi="Palatino Linotype" w:cs="Palatino Linotype"/>
          <w:b/>
        </w:rPr>
        <w:t>Xxxxxxxx Xxxxxx Xxxxxx</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en supuesta representación de </w:t>
      </w:r>
      <w:r w:rsidR="006F3306" w:rsidRPr="006F3306">
        <w:rPr>
          <w:rFonts w:ascii="Palatino Linotype" w:eastAsia="Palatino Linotype" w:hAnsi="Palatino Linotype" w:cs="Palatino Linotype"/>
          <w:b/>
        </w:rPr>
        <w:t>Xxxxxxx</w:t>
      </w:r>
      <w:r>
        <w:rPr>
          <w:rFonts w:ascii="Palatino Linotype" w:eastAsia="Palatino Linotype" w:hAnsi="Palatino Linotype" w:cs="Palatino Linotype"/>
          <w:b/>
        </w:rPr>
        <w:t xml:space="preserve"> </w:t>
      </w:r>
      <w:r w:rsidR="006F3306">
        <w:rPr>
          <w:rFonts w:ascii="Palatino Linotype" w:eastAsia="Palatino Linotype" w:hAnsi="Palatino Linotype" w:cs="Palatino Linotype"/>
          <w:b/>
        </w:rPr>
        <w:t>Xxxxxxxxxxxxx</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Tribunal Estatal de Conciliación y Arbitraje</w:t>
      </w:r>
      <w:r>
        <w:rPr>
          <w:rFonts w:ascii="Palatino Linotype" w:eastAsia="Palatino Linotype" w:hAnsi="Palatino Linotype" w:cs="Palatino Linotype"/>
        </w:rPr>
        <w:t xml:space="preserve">, en lo conducente </w:t>
      </w:r>
      <w:r>
        <w:rPr>
          <w:rFonts w:ascii="Palatino Linotype" w:eastAsia="Palatino Linotype" w:hAnsi="Palatino Linotype" w:cs="Palatino Linotype"/>
          <w:b/>
        </w:rPr>
        <w:t>EL SUJETO OBLIGADO</w:t>
      </w:r>
      <w:r>
        <w:rPr>
          <w:rFonts w:ascii="Palatino Linotype" w:eastAsia="Palatino Linotype" w:hAnsi="Palatino Linotype" w:cs="Palatino Linotype"/>
        </w:rPr>
        <w:t>, se procede a dictar la presente resolución, con base en el siguiente:</w:t>
      </w:r>
    </w:p>
    <w:p w:rsidR="009E6B92" w:rsidRDefault="009E6B92">
      <w:pPr>
        <w:spacing w:line="360" w:lineRule="auto"/>
        <w:jc w:val="both"/>
        <w:rPr>
          <w:rFonts w:ascii="Palatino Linotype" w:eastAsia="Palatino Linotype" w:hAnsi="Palatino Linotype" w:cs="Palatino Linotype"/>
          <w:b/>
        </w:rPr>
      </w:pPr>
    </w:p>
    <w:p w:rsidR="009E6B92" w:rsidRDefault="00122724">
      <w:pPr>
        <w:spacing w:line="360" w:lineRule="auto"/>
        <w:ind w:right="-992"/>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L T A N D O</w:t>
      </w:r>
    </w:p>
    <w:p w:rsidR="009E6B92" w:rsidRDefault="009E6B92">
      <w:pPr>
        <w:spacing w:line="360" w:lineRule="auto"/>
        <w:ind w:right="-992"/>
        <w:jc w:val="center"/>
        <w:rPr>
          <w:rFonts w:ascii="Palatino Linotype" w:eastAsia="Palatino Linotype" w:hAnsi="Palatino Linotype" w:cs="Palatino Linotype"/>
          <w:b/>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nueve de diciembre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presentó a través del Sistema de Acceso a la Información Mexiquense, en lo subsecuente el</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información pública, a la que se le asignó el número de expediente </w:t>
      </w:r>
      <w:r>
        <w:rPr>
          <w:rFonts w:ascii="Palatino Linotype" w:eastAsia="Palatino Linotype" w:hAnsi="Palatino Linotype" w:cs="Palatino Linotype"/>
          <w:b/>
          <w:color w:val="000000"/>
        </w:rPr>
        <w:t>00135/TRIECA/IP/2019</w:t>
      </w:r>
      <w:r>
        <w:rPr>
          <w:rFonts w:ascii="Palatino Linotype" w:eastAsia="Palatino Linotype" w:hAnsi="Palatino Linotype" w:cs="Palatino Linotype"/>
          <w:color w:val="000000"/>
        </w:rPr>
        <w:t xml:space="preserve">, mediante la cual solicitó le fuese entregado, lo que a continuación se cita: </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tabs>
          <w:tab w:val="left" w:pos="9214"/>
        </w:tabs>
        <w:ind w:left="709" w:right="75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“SOLICITO AL TRIBUNAL ESTATAL DE CONCILIACIÓN Y ARBITRAJE - SALA AUXILIAR DE ECATEPEC UNA RELACIÓN CON LAS DEMANDAS RESUELTAS DEL 1 DE ENERO DE 2019 AL 09 DE DICIEMBRE DE 2019 POR LOS DESPIDOS INJUSTIFICADOS LLEVADOS A CABO POR EL AYUNTAMIENTO DE VALLE DE CHALCO SOLIDARIDAD SEÑALANDO EL </w:t>
      </w:r>
      <w:r>
        <w:rPr>
          <w:rFonts w:ascii="Palatino Linotype" w:eastAsia="Palatino Linotype" w:hAnsi="Palatino Linotype" w:cs="Palatino Linotype"/>
          <w:i/>
          <w:sz w:val="22"/>
          <w:szCs w:val="22"/>
        </w:rPr>
        <w:lastRenderedPageBreak/>
        <w:t xml:space="preserve">ACTOR, EL CARGO QUE DESEMPEÑABA, LA FECHA DE LA INTERPOSICIÓN DE LA DEMANDA EN EL TRIBUNAL, SI SE RESOLVIÓ MEDIANTE CONVENIO O POR LAUDO, LA FECHA DE RESOLUCIÓN, EL MONTO PACTADO Y EL DESGLOSE DE DICHO MONTO (SALARIOS CAÍDOS, INDEMNIZACIÓN, AGUINALDO, TIEMPO EXTRAORDINARIO, ETC).” </w:t>
      </w:r>
      <w:r>
        <w:rPr>
          <w:rFonts w:ascii="Palatino Linotype" w:eastAsia="Palatino Linotype" w:hAnsi="Palatino Linotype" w:cs="Palatino Linotype"/>
          <w:sz w:val="22"/>
          <w:szCs w:val="22"/>
        </w:rPr>
        <w:t>(Sic)</w:t>
      </w:r>
    </w:p>
    <w:p w:rsidR="009E6B92" w:rsidRDefault="009E6B92">
      <w:pPr>
        <w:tabs>
          <w:tab w:val="left" w:pos="9214"/>
        </w:tabs>
        <w:spacing w:line="360" w:lineRule="auto"/>
        <w:ind w:left="709" w:right="757"/>
        <w:jc w:val="both"/>
        <w:rPr>
          <w:rFonts w:ascii="Palatino Linotype" w:eastAsia="Palatino Linotype" w:hAnsi="Palatino Linotype" w:cs="Palatino Linotype"/>
          <w:sz w:val="22"/>
          <w:szCs w:val="22"/>
        </w:rPr>
      </w:pPr>
    </w:p>
    <w:p w:rsidR="009E6B92" w:rsidRDefault="00122724">
      <w:pPr>
        <w:tabs>
          <w:tab w:val="left" w:pos="8222"/>
          <w:tab w:val="left" w:pos="9214"/>
        </w:tabs>
        <w:spacing w:line="360" w:lineRule="auto"/>
        <w:ind w:right="899"/>
        <w:jc w:val="both"/>
        <w:rPr>
          <w:rFonts w:ascii="Palatino Linotype" w:eastAsia="Palatino Linotype" w:hAnsi="Palatino Linotype" w:cs="Palatino Linotype"/>
          <w:b/>
        </w:rPr>
      </w:pPr>
      <w:r>
        <w:rPr>
          <w:rFonts w:ascii="Palatino Linotype" w:eastAsia="Palatino Linotype" w:hAnsi="Palatino Linotype" w:cs="Palatino Linotype"/>
        </w:rPr>
        <w:t xml:space="preserve">Modalidad de entrega: vía </w:t>
      </w:r>
      <w:r>
        <w:rPr>
          <w:rFonts w:ascii="Palatino Linotype" w:eastAsia="Palatino Linotype" w:hAnsi="Palatino Linotype" w:cs="Palatino Linotype"/>
          <w:b/>
        </w:rPr>
        <w:t xml:space="preserve">SAIMEX. </w:t>
      </w:r>
    </w:p>
    <w:p w:rsidR="009E6B92" w:rsidRDefault="009E6B92">
      <w:pPr>
        <w:tabs>
          <w:tab w:val="left" w:pos="8222"/>
          <w:tab w:val="left" w:pos="9214"/>
        </w:tabs>
        <w:spacing w:line="360" w:lineRule="auto"/>
        <w:ind w:right="899"/>
        <w:jc w:val="both"/>
        <w:rPr>
          <w:rFonts w:ascii="Palatino Linotype" w:eastAsia="Palatino Linotype" w:hAnsi="Palatino Linotype" w:cs="Palatino Linotype"/>
          <w:b/>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en fecha catorce de enero de dos mil veinte dio respuesta a la solicitud de acceso a la información pública correspondiente, en los siguientes términos:</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pBdr>
          <w:top w:val="nil"/>
          <w:left w:val="nil"/>
          <w:bottom w:val="nil"/>
          <w:right w:val="nil"/>
          <w:between w:val="nil"/>
        </w:pBdr>
        <w:ind w:left="720" w:right="757"/>
        <w:jc w:val="right"/>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“Metepec, México a 14 de Enero de 2020</w:t>
      </w:r>
    </w:p>
    <w:p w:rsidR="009E6B92" w:rsidRDefault="00122724">
      <w:pPr>
        <w:pBdr>
          <w:top w:val="nil"/>
          <w:left w:val="nil"/>
          <w:bottom w:val="nil"/>
          <w:right w:val="nil"/>
          <w:between w:val="nil"/>
        </w:pBdr>
        <w:ind w:left="720" w:right="757"/>
        <w:jc w:val="right"/>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Nombre del solicitante: </w:t>
      </w:r>
      <w:r w:rsidR="00284887" w:rsidRPr="00284887">
        <w:rPr>
          <w:rFonts w:ascii="Palatino Linotype" w:eastAsia="Palatino Linotype" w:hAnsi="Palatino Linotype" w:cs="Palatino Linotype"/>
          <w:i/>
          <w:color w:val="000000"/>
          <w:sz w:val="22"/>
          <w:szCs w:val="22"/>
        </w:rPr>
        <w:t>Xxxxxxxx Xxxxxx Xxxxxx</w:t>
      </w:r>
    </w:p>
    <w:p w:rsidR="009E6B92" w:rsidRDefault="00122724">
      <w:pPr>
        <w:pBdr>
          <w:top w:val="nil"/>
          <w:left w:val="nil"/>
          <w:bottom w:val="nil"/>
          <w:right w:val="nil"/>
          <w:between w:val="nil"/>
        </w:pBdr>
        <w:ind w:left="720" w:right="757"/>
        <w:jc w:val="right"/>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00135/TRIECA/IP/2019</w:t>
      </w:r>
    </w:p>
    <w:p w:rsidR="009E6B92" w:rsidRDefault="009E6B92">
      <w:pPr>
        <w:pBdr>
          <w:top w:val="nil"/>
          <w:left w:val="nil"/>
          <w:bottom w:val="nil"/>
          <w:right w:val="nil"/>
          <w:between w:val="nil"/>
        </w:pBdr>
        <w:ind w:left="720" w:right="757"/>
        <w:jc w:val="right"/>
        <w:rPr>
          <w:rFonts w:ascii="Palatino Linotype" w:eastAsia="Palatino Linotype" w:hAnsi="Palatino Linotype" w:cs="Palatino Linotype"/>
          <w:i/>
          <w:color w:val="000000"/>
          <w:sz w:val="22"/>
          <w:szCs w:val="22"/>
        </w:rPr>
      </w:pPr>
    </w:p>
    <w:p w:rsidR="009E6B92" w:rsidRDefault="00122724">
      <w:pPr>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Estimado solicitante: Adjunto encontrará listado de demandas con numero y demandado y acuerdo de clasificación de información , referente a la solicitud numero 00135/TRIECA/IP/2019 donde usted solicita "SOLICITO AL TRIBUNAL ESTATAL DE CONCILIACIÓN Y ARBITRAJE - SALA AUXILIAR DE ECATEPEC UNA RELACIÓN CON LAS DEMANDAS RESUELTAS DEL 1 DE ENERO DE 2019 AL 09 DE DICIEMBRE DE 2019 POR LOS DESPIDOS INJUSTIFICADOS LLEVADOS A CABO POR EL AYUNTAMIENTO DE VALLE DE CHALCO SOLIDARIDAD SEÑALANDO EL ACTOR, EL CARGO QUE DESEMPEÑABA, LA FECHA DE LA INTERPOSICIÓN DE LA DEMANDA EN EL TRIBUNAL, SI SE RESOLVIÓ MEDIANTE CONVENIO O POR LAUDO, LA FECHA DE RESOLUCIÓN, EL MONTO PACTADO Y EL DESGLOSE DE DICHO MONTO (SALARIOS CAÍDOS, INDEMNIZACIÓN, AGUINALDO, TIEMPO EXTRAORDINARIO, ETC)." sic.</w:t>
      </w:r>
    </w:p>
    <w:p w:rsidR="009E6B92" w:rsidRDefault="009E6B92">
      <w:pPr>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p>
    <w:p w:rsidR="009E6B92" w:rsidRDefault="00122724">
      <w:pPr>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9E6B92" w:rsidRDefault="00122724">
      <w:pPr>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I.S.C. ANGÉLICA GARCÍA HERRERA”</w:t>
      </w:r>
    </w:p>
    <w:p w:rsidR="009E6B92" w:rsidRDefault="0012272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Adjunto a su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los archivos electrónicos que a continuación se describen:</w:t>
      </w:r>
    </w:p>
    <w:p w:rsidR="009E6B92" w:rsidRDefault="009E6B92">
      <w:pPr>
        <w:spacing w:line="360" w:lineRule="auto"/>
        <w:jc w:val="both"/>
        <w:rPr>
          <w:rFonts w:ascii="Palatino Linotype" w:eastAsia="Palatino Linotype" w:hAnsi="Palatino Linotype" w:cs="Palatino Linotype"/>
        </w:rPr>
      </w:pPr>
    </w:p>
    <w:p w:rsidR="009E6B92" w:rsidRDefault="00122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DEMANDAS.pdf</w:t>
      </w:r>
      <w:r>
        <w:rPr>
          <w:rFonts w:ascii="Palatino Linotype" w:eastAsia="Palatino Linotype" w:hAnsi="Palatino Linotype" w:cs="Palatino Linotype"/>
          <w:color w:val="000000"/>
        </w:rPr>
        <w:t>: Relación de 120 expedientes en los que se indica el número y nombre del ente demandado.</w:t>
      </w:r>
    </w:p>
    <w:p w:rsidR="009E6B92" w:rsidRDefault="00122724">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9E6B92" w:rsidRDefault="001227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135-TRIECA-IP-2019 RES.pdf</w:t>
      </w:r>
      <w:r>
        <w:rPr>
          <w:rFonts w:ascii="Palatino Linotype" w:eastAsia="Palatino Linotype" w:hAnsi="Palatino Linotype" w:cs="Palatino Linotype"/>
          <w:color w:val="000000"/>
        </w:rPr>
        <w:t>: Respuesta por parte del Presidente de la sala auxiliar de Ecatepec del tribunal Estatal de Conciliación y Arbitraje del Estado de México a través del cual remite la relación referenciada.</w:t>
      </w:r>
    </w:p>
    <w:p w:rsidR="009E6B92" w:rsidRDefault="009E6B92">
      <w:pPr>
        <w:spacing w:line="360" w:lineRule="auto"/>
        <w:jc w:val="both"/>
        <w:rPr>
          <w:rFonts w:ascii="Palatino Linotype" w:eastAsia="Palatino Linotype" w:hAnsi="Palatino Linotype" w:cs="Palatino Linotype"/>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con la respuesta proporcionada a su solicitud, el catorce de enero de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el recurso de revisión sujeto del presente estudio, el cual fue registrado en 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y se le asignó el número de expediente </w:t>
      </w:r>
      <w:r>
        <w:rPr>
          <w:rFonts w:ascii="Palatino Linotype" w:eastAsia="Palatino Linotype" w:hAnsi="Palatino Linotype" w:cs="Palatino Linotype"/>
          <w:b/>
          <w:color w:val="000000"/>
        </w:rPr>
        <w:t>00492/INFOEM/IP/RR/2020</w:t>
      </w:r>
      <w:r>
        <w:rPr>
          <w:rFonts w:ascii="Palatino Linotype" w:eastAsia="Palatino Linotype" w:hAnsi="Palatino Linotype" w:cs="Palatino Linotype"/>
          <w:color w:val="000000"/>
        </w:rPr>
        <w:t xml:space="preserve">, en el que señaló tanto como acto impugnado, lo siguiente: </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tabs>
          <w:tab w:val="left" w:pos="9214"/>
        </w:tabs>
        <w:ind w:left="709" w:right="75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“LA INFORMACIÓN QUE SE RECIBE DE LA SALA AUXILIAR DE ECATEPEC DEL TRIBUNAL ESTATAL DE CONCILIACIÓN Y ARBITRAJE NO ES LO QUE SE SOLICITÓ.” </w:t>
      </w:r>
      <w:r>
        <w:rPr>
          <w:rFonts w:ascii="Palatino Linotype" w:eastAsia="Palatino Linotype" w:hAnsi="Palatino Linotype" w:cs="Palatino Linotype"/>
          <w:sz w:val="22"/>
          <w:szCs w:val="22"/>
        </w:rPr>
        <w:t>(Sic)</w:t>
      </w:r>
    </w:p>
    <w:p w:rsidR="009E6B92" w:rsidRDefault="009E6B92">
      <w:pPr>
        <w:tabs>
          <w:tab w:val="left" w:pos="9214"/>
        </w:tabs>
        <w:spacing w:line="360" w:lineRule="auto"/>
        <w:ind w:left="709" w:right="709"/>
        <w:jc w:val="both"/>
        <w:rPr>
          <w:rFonts w:ascii="Palatino Linotype" w:eastAsia="Palatino Linotype" w:hAnsi="Palatino Linotype" w:cs="Palatino Linotype"/>
          <w:i/>
        </w:rPr>
      </w:pPr>
    </w:p>
    <w:p w:rsidR="009E6B92" w:rsidRDefault="0012272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como razones o motivos de inconformidad:</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EL OFICIO DE QUIEN SE IDENTIFICA COMO EL PRESIDENTE DE LA SALA AUXILIAR DE ECATEPEC REALIZA UNA SERIE DE MANIFESTACIONES PRECISANDO QUE DEL 07 DE ENERO AL 09 DE </w:t>
      </w:r>
      <w:r>
        <w:rPr>
          <w:rFonts w:ascii="Palatino Linotype" w:eastAsia="Palatino Linotype" w:hAnsi="Palatino Linotype" w:cs="Palatino Linotype"/>
          <w:i/>
          <w:color w:val="000000"/>
          <w:sz w:val="22"/>
          <w:szCs w:val="22"/>
        </w:rPr>
        <w:lastRenderedPageBreak/>
        <w:t>DICIEMBRE DE 2019 SE INGRESARON 120 DEMANDAS EN LAS QUE EL AYUNTAMIENTO ES PARTE, PERO NO SE HAN REALIZADO CONVENIOS, NI EMITIDO LAUDOS POR LO QUE ESTÁ INFORMACIÓN ESTÁ CLASIFICADA COMO RESERVADA, SIN EMBARGO, LA SOLICITUD FUE EN LOS SIGUIENTES TÉRMINOS. "SOLICITO AL TRIBUNAL ESTATAL DE CONCILIACIÓN Y ARBITRAJE - SALA AUXILIAR DE ECATEPEC UNA RELACIÓN CON LAS DEMANDAS RESUELTAS DEL 1 DE ENERO DE 2019 AL 09 DE DICIEMBRE DE 2019 POR LOS DESPIDOS INJUSTIFICADOS LLEVADOS A CABO POR EL AYUNTAMIENTO DE VALLE DE CHALCO SOLIDARIDAD SEÑALANDO EL ACTOR, EL CARGO QUE DESEMPEÑABA, LA FECHA DE LA INTERPOSICIÓN DE LA DEMANDA EN EL TRIBUNAL, SI SE RESOLVIÓ MEDIANTE CONVENIO O POR LAUDO, LA FECHA DE RESOLUCIÓN, EL MONTO PACTADO Y EL DESGLOSE DE DICHO MONTO (SALARIOS CAÍDOS, INDEMNIZACIÓN, AGUINALDO, TIEMPO EXTRAORDINARIO, ETC).", EN ESTE SENTIDO, SE SOLICITÓ INFORMACIÓN QUE YA CAUSÓ ESTADO, PUES SE PIDIÓ LA RELACIÓN DE LAS DEMANDAS *RESUELTAS*, NUNCA SE PIDIERON LAS QUE FUERON INTERPUESTAS EN EL AÑO 2019, SINO LAS QUE SE RESOLVIERON EL AÑO PASADO, LUEGO ENTONCES, SE PIDE QUE SE ENTREGUE LA INFORMACIÓN PUES NO ES RESERVADA.”</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catorce de enero de la presente anualidad,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a efecto de decretar su admisión o desechamiento.</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veinte de enero del presente año, la Comisionada Ponente atento a lo dispuesto en el artículo 185 fracciones I, II y IV de la Ley de Transparencia y Acceso a la Información Pública del Estado de México y Municipios, acordó la admisión a </w:t>
      </w:r>
      <w:r>
        <w:rPr>
          <w:rFonts w:ascii="Palatino Linotype" w:eastAsia="Palatino Linotype" w:hAnsi="Palatino Linotype" w:cs="Palatino Linotype"/>
          <w:color w:val="000000"/>
        </w:rPr>
        <w:lastRenderedPageBreak/>
        <w:t>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9E6B92" w:rsidRDefault="009E6B9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dentro del término concedido a las partes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no presentó manifestaciones y alegatos, ni ofreció los medios de prueba que a su derecho convinieran. 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el veintidós de enero de dos mil veinte, rindió su Informe Justificado, adjuntando los archivos electrónicos denominados </w:t>
      </w:r>
      <w:r>
        <w:rPr>
          <w:rFonts w:ascii="Palatino Linotype" w:eastAsia="Palatino Linotype" w:hAnsi="Palatino Linotype" w:cs="Palatino Linotype"/>
          <w:b/>
          <w:color w:val="000000"/>
        </w:rPr>
        <w:t xml:space="preserve">Recurso Solicitud 135-2019.pdf </w:t>
      </w:r>
      <w:r>
        <w:rPr>
          <w:rFonts w:ascii="Palatino Linotype" w:eastAsia="Palatino Linotype" w:hAnsi="Palatino Linotype" w:cs="Palatino Linotype"/>
          <w:color w:val="000000"/>
        </w:rPr>
        <w:t>e</w:t>
      </w:r>
      <w:r>
        <w:rPr>
          <w:rFonts w:ascii="Palatino Linotype" w:eastAsia="Palatino Linotype" w:hAnsi="Palatino Linotype" w:cs="Palatino Linotype"/>
          <w:b/>
          <w:color w:val="000000"/>
        </w:rPr>
        <w:t xml:space="preserve"> Demandas resueltas Valle 2019_1_1.pdf </w:t>
      </w:r>
      <w:r>
        <w:rPr>
          <w:rFonts w:ascii="Palatino Linotype" w:eastAsia="Palatino Linotype" w:hAnsi="Palatino Linotype" w:cs="Palatino Linotype"/>
          <w:color w:val="000000"/>
        </w:rPr>
        <w:t>mismos que fueron puestos a disposición del particular el dieciocho de marzo de la presente anualidad por actualizar lo dispuesto por la fracción III del artículo 185 de la Ley de Transparencia y Acceso a la Información Pública del Estado de México y Municipios</w:t>
      </w:r>
      <w:r>
        <w:rPr>
          <w:rFonts w:ascii="Palatino Linotype" w:eastAsia="Palatino Linotype" w:hAnsi="Palatino Linotype" w:cs="Palatino Linotype"/>
          <w:b/>
          <w:color w:val="000000"/>
        </w:rPr>
        <w:t>.</w:t>
      </w:r>
    </w:p>
    <w:p w:rsidR="009E6B92" w:rsidRDefault="009E6B92">
      <w:pPr>
        <w:pBdr>
          <w:top w:val="nil"/>
          <w:left w:val="nil"/>
          <w:bottom w:val="nil"/>
          <w:right w:val="nil"/>
          <w:between w:val="nil"/>
        </w:pBdr>
        <w:spacing w:line="360" w:lineRule="auto"/>
        <w:rPr>
          <w:rFonts w:ascii="Palatino Linotype" w:eastAsia="Palatino Linotype" w:hAnsi="Palatino Linotype" w:cs="Palatino Linotype"/>
          <w:b/>
          <w:color w:val="000000"/>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analizado el estado procesal que guardaba el expediente, en fecha cinco de agosto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9E6B92" w:rsidRDefault="009E6B9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9E6B92" w:rsidRDefault="001227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fecha veintitrés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9E6B92" w:rsidRDefault="009E6B92">
      <w:pPr>
        <w:spacing w:line="360" w:lineRule="auto"/>
        <w:jc w:val="center"/>
        <w:rPr>
          <w:rFonts w:ascii="Palatino Linotype" w:eastAsia="Palatino Linotype" w:hAnsi="Palatino Linotype" w:cs="Palatino Linotype"/>
          <w:b/>
        </w:rPr>
      </w:pPr>
    </w:p>
    <w:p w:rsidR="009E6B92" w:rsidRDefault="00122724">
      <w:pPr>
        <w:widowControl w:val="0"/>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9E6B92" w:rsidRDefault="009E6B9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widowControl w:val="0"/>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Interés.</w:t>
      </w:r>
      <w:r>
        <w:rPr>
          <w:rFonts w:ascii="Palatino Linotype" w:eastAsia="Palatino Linotype" w:hAnsi="Palatino Linotype" w:cs="Palatino Linotype"/>
          <w:color w:val="000000"/>
        </w:rPr>
        <w:t xml:space="preserve"> 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fue la misma persona que formuló la solicitud de acceso a la información pública número </w:t>
      </w:r>
      <w:r>
        <w:rPr>
          <w:rFonts w:ascii="Palatino Linotype" w:eastAsia="Palatino Linotype" w:hAnsi="Palatino Linotype" w:cs="Palatino Linotype"/>
          <w:b/>
          <w:color w:val="000000"/>
        </w:rPr>
        <w:t xml:space="preserve"> 00135/TRIECA/IP/2019 </w:t>
      </w:r>
      <w:r>
        <w:rPr>
          <w:rFonts w:ascii="Palatino Linotype" w:eastAsia="Palatino Linotype" w:hAnsi="Palatino Linotype" w:cs="Palatino Linotype"/>
          <w:color w:val="000000"/>
        </w:rPr>
        <w:t>al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w:t>
      </w:r>
    </w:p>
    <w:p w:rsidR="009E6B92" w:rsidRDefault="009E6B92">
      <w:pPr>
        <w:pBdr>
          <w:top w:val="nil"/>
          <w:left w:val="nil"/>
          <w:bottom w:val="nil"/>
          <w:right w:val="nil"/>
          <w:between w:val="nil"/>
        </w:pBdr>
        <w:spacing w:line="360" w:lineRule="auto"/>
        <w:ind w:left="720"/>
        <w:rPr>
          <w:rFonts w:ascii="Palatino Linotype" w:eastAsia="Palatino Linotype" w:hAnsi="Palatino Linotype" w:cs="Palatino Linotype"/>
          <w:b/>
          <w:color w:val="000000"/>
        </w:rPr>
      </w:pPr>
    </w:p>
    <w:p w:rsidR="009E6B92" w:rsidRDefault="00122724" w:rsidP="006F3306">
      <w:pPr>
        <w:widowControl w:val="0"/>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Cuestiones de previo y especial pronunciamiento. </w:t>
      </w:r>
      <w:r>
        <w:rPr>
          <w:rFonts w:ascii="Palatino Linotype" w:eastAsia="Palatino Linotype" w:hAnsi="Palatino Linotype" w:cs="Palatino Linotype"/>
          <w:color w:val="000000"/>
        </w:rPr>
        <w:t xml:space="preserve">Como puede apreciarse en el presente medio de impugnación, el </w:t>
      </w:r>
      <w:r>
        <w:rPr>
          <w:rFonts w:ascii="Palatino Linotype" w:eastAsia="Palatino Linotype" w:hAnsi="Palatino Linotype" w:cs="Palatino Linotype"/>
          <w:b/>
          <w:color w:val="000000"/>
        </w:rPr>
        <w:t xml:space="preserve">C. </w:t>
      </w:r>
      <w:r w:rsidR="006F3306" w:rsidRPr="006F3306">
        <w:rPr>
          <w:rFonts w:ascii="Palatino Linotype" w:eastAsia="Palatino Linotype" w:hAnsi="Palatino Linotype" w:cs="Palatino Linotype"/>
          <w:b/>
          <w:color w:val="000000"/>
        </w:rPr>
        <w:t xml:space="preserve">Xxxxxxxx Xxxxxx Xxxxxx </w:t>
      </w:r>
      <w:r>
        <w:rPr>
          <w:rFonts w:ascii="Palatino Linotype" w:eastAsia="Palatino Linotype" w:hAnsi="Palatino Linotype" w:cs="Palatino Linotype"/>
          <w:color w:val="000000"/>
        </w:rPr>
        <w:t xml:space="preserve">solicitó información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supuesta representación de la persona jurídico colectiva de </w:t>
      </w:r>
      <w:r w:rsidR="006F3306">
        <w:rPr>
          <w:rFonts w:ascii="Palatino Linotype" w:eastAsia="Palatino Linotype" w:hAnsi="Palatino Linotype" w:cs="Palatino Linotype"/>
          <w:b/>
          <w:color w:val="000000"/>
        </w:rPr>
        <w:t>Xxxxxxx</w:t>
      </w:r>
      <w:r>
        <w:rPr>
          <w:rFonts w:ascii="Palatino Linotype" w:eastAsia="Palatino Linotype" w:hAnsi="Palatino Linotype" w:cs="Palatino Linotype"/>
          <w:b/>
          <w:color w:val="000000"/>
        </w:rPr>
        <w:t xml:space="preserve"> </w:t>
      </w:r>
      <w:r w:rsidR="006F3306">
        <w:rPr>
          <w:rFonts w:ascii="Palatino Linotype" w:eastAsia="Palatino Linotype" w:hAnsi="Palatino Linotype" w:cs="Palatino Linotype"/>
          <w:b/>
          <w:color w:val="000000"/>
        </w:rPr>
        <w:t>Xxxxxxxxxxxxx</w:t>
      </w:r>
      <w:r>
        <w:rPr>
          <w:rFonts w:ascii="Palatino Linotype" w:eastAsia="Palatino Linotype" w:hAnsi="Palatino Linotype" w:cs="Palatino Linotype"/>
          <w:color w:val="000000"/>
        </w:rPr>
        <w:t xml:space="preserve">, sin que exhiba documento legal que acredite tal representación.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el </w:t>
      </w:r>
      <w:r>
        <w:rPr>
          <w:rFonts w:ascii="Palatino Linotype" w:eastAsia="Palatino Linotype" w:hAnsi="Palatino Linotype" w:cs="Palatino Linotype"/>
          <w:b/>
        </w:rPr>
        <w:t>C.</w:t>
      </w:r>
      <w:r>
        <w:rPr>
          <w:rFonts w:ascii="Palatino Linotype" w:eastAsia="Palatino Linotype" w:hAnsi="Palatino Linotype" w:cs="Palatino Linotype"/>
        </w:rPr>
        <w:t xml:space="preserve"> </w:t>
      </w:r>
      <w:r w:rsidR="006F3306" w:rsidRPr="006F3306">
        <w:rPr>
          <w:rFonts w:ascii="Palatino Linotype" w:eastAsia="Palatino Linotype" w:hAnsi="Palatino Linotype" w:cs="Palatino Linotype"/>
          <w:b/>
        </w:rPr>
        <w:t>Xxxxxxxx Xxxxxx Xxxxxx</w:t>
      </w:r>
      <w:r>
        <w:rPr>
          <w:rFonts w:ascii="Palatino Linotype" w:eastAsia="Palatino Linotype" w:hAnsi="Palatino Linotype" w:cs="Palatino Linotype"/>
        </w:rPr>
        <w:t>, a fin de determinar el alcance frente a terceros de la presente resolución.</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6</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Para el ejercicio del derecho de acceso a la información, la Federación y las entidades federativas, en el ámbito de sus respectivas competencias, se regirán por los siguientes </w:t>
      </w:r>
      <w:r>
        <w:rPr>
          <w:rFonts w:ascii="Palatino Linotype" w:eastAsia="Palatino Linotype" w:hAnsi="Palatino Linotype" w:cs="Palatino Linotype"/>
          <w:i/>
          <w:color w:val="000000"/>
          <w:sz w:val="22"/>
          <w:szCs w:val="22"/>
        </w:rPr>
        <w:lastRenderedPageBreak/>
        <w:t xml:space="preserve">principios y bases: </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ese contexto, este Órgano Garante advierte que toda persona tiene el derecho de acceso a la información pública sin necesidad de acreditar interés alguno, justificar su utilización o bien su personalidad.</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del análisis armónico entre dichos cuerpos normativos se observa que el artículo 4 de la Ley de Transparencia y Acceso a la Información Pública del Estado de México y Municipios al establecer que en el ejercicio del derecho de acceso a la información no se requiere acreditar la personalidad jurídica; debe entenderse que éste se refiere únicamente cuando el actuante realiza peticiones en su propio derecho, </w:t>
      </w:r>
      <w:r>
        <w:rPr>
          <w:rFonts w:ascii="Palatino Linotype" w:eastAsia="Palatino Linotype" w:hAnsi="Palatino Linotype" w:cs="Palatino Linotype"/>
        </w:rPr>
        <w:lastRenderedPageBreak/>
        <w:t>puesto que, como se verá más adelante, las actuaciones en nombre y representación de otras personas pueden afectar la esfera jurídica de terceros.</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debido a que los principios y bases constitucionales establecen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“locución tiene dos acepciones, que son: a) en términos generales, la pretensión que se encuentra reconocida por las normas de derecho, y b) en materia procesal, la pretensión que intenta tutelar un derecho subjetivo mediante el ejercicio de la acción jurisdiccional.”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61 fracción XII de la Ley de Amparo, Reglamentaria de los </w:t>
      </w:r>
      <w:r>
        <w:rPr>
          <w:rFonts w:ascii="Palatino Linotype" w:eastAsia="Palatino Linotype" w:hAnsi="Palatino Linotype" w:cs="Palatino Linotype"/>
        </w:rPr>
        <w:lastRenderedPageBreak/>
        <w:t>Artículos 103 y 107 de la Constitución Política de los Estados Unidos Mexicanos, dispone que el  medio de control constitucional, consistente en el amparo,  es improcedente cuando el acto reclamado no afecte el interés jurídico del quejoso, interés que ha sido identificado como un derecho público subjetivo el cual consiste en la facultad de un sujeto (gobernado) para exigir de otro (Estado) una acción u omisión concreta, protegida directamente por el derecho objetivo.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Sirve de apoyo la Jurisprudencia que a continuación se transcribe:</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INTERÉS JURÍDICO EN EL AMPARO. SU CONCEPTO</w:t>
      </w:r>
      <w:r>
        <w:rPr>
          <w:rFonts w:ascii="Palatino Linotype" w:eastAsia="Palatino Linotype" w:hAnsi="Palatino Linotype" w:cs="Palatino Linotype"/>
          <w:i/>
          <w:color w:val="000000"/>
          <w:sz w:val="22"/>
          <w:szCs w:val="22"/>
        </w:rPr>
        <w:t xml:space="preserve">. De acuerdo con el artículo 4o. de la Ley de Amparo, el ejercicio de la acción constitucional está reservado </w:t>
      </w:r>
      <w:r>
        <w:rPr>
          <w:rFonts w:ascii="Palatino Linotype" w:eastAsia="Palatino Linotype" w:hAnsi="Palatino Linotype" w:cs="Palatino Linotype"/>
          <w:i/>
          <w:color w:val="000000"/>
          <w:sz w:val="22"/>
          <w:szCs w:val="22"/>
        </w:rPr>
        <w:lastRenderedPageBreak/>
        <w:t>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w:t>
      </w:r>
    </w:p>
    <w:p w:rsidR="009E6B92" w:rsidRDefault="009E6B92">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TERCER TRIBUNAL COLEGIADO DEL SEXTO CIRCUITO.</w:t>
      </w:r>
    </w:p>
    <w:p w:rsidR="009E6B92" w:rsidRDefault="009E6B92">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366/88. José Alvarez Gómez. 18 de octubre de 1988. Unanimidad de votos. Ponente: Jaime Manuel Marroquín Zaleta. Secretaria: María Guadalupe Herrera Calderón.</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24/89. Epifania Tlaseca Jiménez. 14 de febrero de 1989. Unanimidad de votos. Ponente: Jaime Manuel Marroquín Zaleta. Secretario: José de Jesús Echegaray Cabrera.</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96/90. Jesús Olivares Urcid. 2 de mayo de 1990. Unanimidad de votos. Ponente: Juan Manuel Brito Velázquez. Secretario: José Manuel Torres Pérez.</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152/91. Prócoro Bravo Zayas y otro. 13 de junio de 1991. Unanimidad de votos. Ponente: Olivia Heiras de Mancisidor. Secretaria: María de la Paz Flores Berruecos.</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Amparo en revisión 222/91. Inmobiliaria Bárcena Arriola, S. A. 21 de junio de 1991. Unanimidad de votos. Ponente: Ana María Yolanda Ulloa de Rebollo. Secretario: José Manuel Torres Pérez.</w:t>
      </w: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Tesis: VI. 3o. J/26, Octava Época, Registro: 220965, Tribunales Colegiados de Circuito, Jurisprudencia, Semanario Judicial de la Federación, Tomo VIII, Diciembre de 1991, Pag: 117.”</w:t>
      </w:r>
    </w:p>
    <w:p w:rsidR="009E6B92" w:rsidRDefault="009E6B92">
      <w:pPr>
        <w:widowControl w:val="0"/>
        <w:pBdr>
          <w:top w:val="nil"/>
          <w:left w:val="nil"/>
          <w:bottom w:val="nil"/>
          <w:right w:val="nil"/>
          <w:between w:val="nil"/>
        </w:pBdr>
        <w:ind w:left="720" w:right="757"/>
        <w:jc w:val="both"/>
        <w:rPr>
          <w:rFonts w:ascii="Palatino Linotype" w:eastAsia="Palatino Linotype" w:hAnsi="Palatino Linotype" w:cs="Palatino Linotype"/>
          <w:i/>
          <w:color w:val="000000"/>
          <w:sz w:val="22"/>
          <w:szCs w:val="22"/>
        </w:rPr>
      </w:pPr>
    </w:p>
    <w:p w:rsidR="009E6B92" w:rsidRDefault="00122724">
      <w:pPr>
        <w:widowControl w:val="0"/>
        <w:pBdr>
          <w:top w:val="nil"/>
          <w:left w:val="nil"/>
          <w:bottom w:val="nil"/>
          <w:right w:val="nil"/>
          <w:between w:val="nil"/>
        </w:pBdr>
        <w:ind w:left="720" w:right="75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(Énfasis añadido)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 fin de esclarecer la diferencia entre el interés jurídico y la representación legal, el Diccionario Jurídico Mexicano del Instituto de Investigaciones Jurídicas de la Universidad Nacional Autónoma de México, señala que la representación se entiende de la siguiente manera: “Es el acto de representar o la situación de ser representado. Sustituir a otro o hacer sus veces. La representación, en sentido general, es un </w:t>
      </w:r>
      <w:r>
        <w:rPr>
          <w:rFonts w:ascii="Palatino Linotype" w:eastAsia="Palatino Linotype" w:hAnsi="Palatino Linotype" w:cs="Palatino Linotype"/>
        </w:rPr>
        <w:lastRenderedPageBreak/>
        <w:t xml:space="preserve">fenómeno jurídico que implica la actuación a nombre de otro, en el campo del derecho.”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representación supone pues, que una persona ponga su propia actividad, su “querer”, al servicio de intereses ajenos, realizando un acto jurídico a nombre de la persona a quien pertenecen.</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naturaleza de la representación reside en el ejercicio por el representante, de los derechos del representado. En suma, la representación es meramente declarativa de la voluntad del representado, y sus efectos se producen frente a terceros en relación con los cuales actúa el representante, y declaran la voluntad del representado.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advierte, primeramente, que el interés jurídico implica el derecho público subjetivo consistente en la facultad de un sujeto para exigir de la autoridad una acción u omisión concreta, protegida directamente por el derecho objetivo; en tanto que la representación implica la actuación a nombre del titular de un derecho.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jurista Eduardo de la Parra Trujillo considera que la personalidad se encuentra </w:t>
      </w:r>
      <w:r>
        <w:rPr>
          <w:rFonts w:ascii="Palatino Linotype" w:eastAsia="Palatino Linotype" w:hAnsi="Palatino Linotype" w:cs="Palatino Linotype"/>
        </w:rPr>
        <w:lastRenderedPageBreak/>
        <w:t>protegida a través del ejercicio del derecho a la personalidad, el cual tutela la dignidad humana.</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Doctor Trinidad García define a dicho derecho como “derecho subjetivo que comprende las facultades que el propio Derecho reconoce al miembro de una sociedad y que deben ser respetados en su ejercicio por otros. De lo que se infiere que se trata de derechos que consisten en una permisión que la norma jurídica otorga a su titular”.</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antes expuesto, se advierte que la personalidad (entendida como la aptitud de poder ser sujeto de derechos y deberes) atiende de manera inseparable a su titular, por lo que en caso de que otra persona actúe en su nombre y representación puede afectar su esfera jurídica; tan es así que dicho titular puede exigir a quien interfiera en su permisión que deje de hacerlo o, en caso contrario, puede acudir a los tribunales competentes para solicitar la reparación del daño moral que pudiese ser ocasionado.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en materia de transparencia y de acuerdo con lo expuesto en el presente Considerando, para el ejercicio del derecho de acceso a la información no se requiere la acreditación del interés jurídico, empero no abarca el ejercer derechos de otra persona, o bien, en su nombre y representación; pues se está ante una situación de hecho distinta que implica el consentimiento expreso de dicha persona, ya sea física o jurídico colectiva, de que alguien más ejercite sus derechos.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 toral que no se confundan ni equiparen los derechos de la </w:t>
      </w:r>
      <w:r>
        <w:rPr>
          <w:rFonts w:ascii="Palatino Linotype" w:eastAsia="Palatino Linotype" w:hAnsi="Palatino Linotype" w:cs="Palatino Linotype"/>
        </w:rPr>
        <w:lastRenderedPageBreak/>
        <w:t xml:space="preserve">personalidad con otras figuras similares, como lo son las entonces garantías individuales, hoy derechos humanos; pues, aunque dichas figuras coinciden en que tienen como finalidad la protección de la dignidad humana para el pleno desarrollo de la personalidad de las personas, en realidad son figuras afines, complementarias y coadyuvantes, pero no son lo mismo.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decir, tratándose de la representación legal de una persona titular del derecho público subjetivo, se requiere de la acreditación de dicha calidad por parte del que dice tenerla, ya que implica una intromisión en su esfera jurídica, por tal motivo debe acreditarse que se actúa en nombre del titular del derecho, en este caso, el de acceso a la información; sin que esto constituya un obstáculo o impedimento para el ejercicio de dicho derecho constitucional.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 motivo, este Órgano Garante del derecho constitucional de acceso a la información pública estima que, si bien es cierto, tanto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como esta autoridad tienen el deber de garantizar el acceso a la información a toda persona sin necesidad de acreditar interés alguno, también lo es,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el deber de proporcionar la información solicitada a quien dice ser representante de otra persona, ya sea física o jurídico colectiva, sin la necesidad de que se tenga que acreditar tal carácter.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aun cuando la Ley sustantiva establece que no se requiere acreditar personalidad ni interés alguno para solicitar información, debe tomarse en cuenta que cuando el solicitante se ostenta como representante legal de otro debe acreditar tal </w:t>
      </w:r>
      <w:r>
        <w:rPr>
          <w:rFonts w:ascii="Palatino Linotype" w:eastAsia="Palatino Linotype" w:hAnsi="Palatino Linotype" w:cs="Palatino Linotype"/>
        </w:rPr>
        <w:lastRenderedPageBreak/>
        <w:t xml:space="preserve">carácter, por afectar la esfera jurídica de este tercero, persona física o jurídico colectiva.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este Órgano Garante del Derecho de Acceso a la Información Pública debe velar por el correcto ejercicio de dicho derecho privilegiando en todo momento el principio constitucional de máxima publicidad de manera tal que no se vean afectados otros derechos como lo son aquellos inherentes a la personalidad. </w:t>
      </w:r>
    </w:p>
    <w:p w:rsidR="009E6B92" w:rsidRDefault="009E6B92">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9E6B92" w:rsidRDefault="0012272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tenor, este Órgano Garante en aras de privilegiar el principio de máxima publicidad debe resolver el presente medio de impugnación únicamente por cuanto hace a la calidad de persona física, por no acreditar fehacientemente su calidad de representante legal de la persona jurídico colectiva </w:t>
      </w:r>
      <w:r w:rsidR="006F3306">
        <w:rPr>
          <w:rFonts w:ascii="Palatino Linotype" w:eastAsia="Palatino Linotype" w:hAnsi="Palatino Linotype" w:cs="Palatino Linotype"/>
          <w:b/>
          <w:color w:val="000000"/>
        </w:rPr>
        <w:t>Xxxxxxx</w:t>
      </w:r>
      <w:r>
        <w:rPr>
          <w:rFonts w:ascii="Palatino Linotype" w:eastAsia="Palatino Linotype" w:hAnsi="Palatino Linotype" w:cs="Palatino Linotype"/>
          <w:b/>
          <w:color w:val="000000"/>
        </w:rPr>
        <w:t xml:space="preserve"> </w:t>
      </w:r>
      <w:r w:rsidR="006F3306">
        <w:rPr>
          <w:rFonts w:ascii="Palatino Linotype" w:eastAsia="Palatino Linotype" w:hAnsi="Palatino Linotype" w:cs="Palatino Linotype"/>
          <w:b/>
          <w:color w:val="000000"/>
        </w:rPr>
        <w:t>Xxxxxx</w:t>
      </w:r>
      <w:bookmarkStart w:id="0" w:name="_GoBack"/>
      <w:r w:rsidR="006F3306">
        <w:rPr>
          <w:rFonts w:ascii="Palatino Linotype" w:eastAsia="Palatino Linotype" w:hAnsi="Palatino Linotype" w:cs="Palatino Linotype"/>
          <w:b/>
          <w:color w:val="000000"/>
        </w:rPr>
        <w:t>xxxxxx</w:t>
      </w:r>
      <w:bookmarkEnd w:id="0"/>
      <w:r w:rsidR="006F3306">
        <w:rPr>
          <w:rFonts w:ascii="Palatino Linotype" w:eastAsia="Palatino Linotype" w:hAnsi="Palatino Linotype" w:cs="Palatino Linotype"/>
          <w:b/>
          <w:color w:val="000000"/>
        </w:rPr>
        <w:t>x</w:t>
      </w:r>
      <w:r>
        <w:rPr>
          <w:rFonts w:ascii="Palatino Linotype" w:eastAsia="Palatino Linotype" w:hAnsi="Palatino Linotype" w:cs="Palatino Linotype"/>
          <w:color w:val="000000"/>
        </w:rPr>
        <w:t>, mediante documento legal alguno.</w:t>
      </w:r>
    </w:p>
    <w:p w:rsidR="009E6B92" w:rsidRDefault="009E6B9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widowControl w:val="0"/>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Oportunidad. </w:t>
      </w:r>
      <w:r>
        <w:rPr>
          <w:rFonts w:ascii="Palatino Linotype" w:eastAsia="Palatino Linotype" w:hAnsi="Palatino Linotype" w:cs="Palatino Linotype"/>
          <w:color w:val="000000"/>
        </w:rPr>
        <w:t xml:space="preserve">Si bien es cierto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9E6B92" w:rsidRDefault="00122724">
      <w:pPr>
        <w:tabs>
          <w:tab w:val="left" w:pos="1245"/>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b/>
      </w:r>
    </w:p>
    <w:p w:rsidR="009E6B92" w:rsidRDefault="0012272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9E6B92" w:rsidRDefault="009E6B92">
      <w:pPr>
        <w:spacing w:line="360" w:lineRule="auto"/>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w:t>
      </w:r>
      <w:r>
        <w:rPr>
          <w:rFonts w:ascii="Palatino Linotype" w:eastAsia="Palatino Linotype" w:hAnsi="Palatino Linotype" w:cs="Palatino Linotype"/>
          <w:b/>
          <w:i/>
          <w:color w:val="000000"/>
          <w:sz w:val="22"/>
          <w:szCs w:val="22"/>
        </w:rPr>
        <w:t>REALIZA</w:t>
      </w:r>
      <w:r>
        <w:rPr>
          <w:rFonts w:ascii="Palatino Linotype" w:eastAsia="Palatino Linotype" w:hAnsi="Palatino Linotype" w:cs="Palatino Linotype"/>
          <w:b/>
          <w:i/>
          <w:sz w:val="22"/>
          <w:szCs w:val="22"/>
        </w:rPr>
        <w:t xml:space="preserve"> ANTES DE QUE INICIE EL PLAZO PARA HACERLO. </w:t>
      </w:r>
      <w:r>
        <w:rPr>
          <w:rFonts w:ascii="Palatino Linotype" w:eastAsia="Palatino Linotype" w:hAnsi="Palatino Linotype" w:cs="Palatino Linotype"/>
          <w:i/>
          <w:sz w:val="22"/>
          <w:szCs w:val="22"/>
        </w:rPr>
        <w:t xml:space="preserve">Conforme al artículo 104, párrafo segundo, de la Ley de Amparo, el recurso de reclamación podrá interponerse por </w:t>
      </w:r>
      <w:r>
        <w:rPr>
          <w:rFonts w:ascii="Palatino Linotype" w:eastAsia="Palatino Linotype" w:hAnsi="Palatino Linotype" w:cs="Palatino Linotype"/>
          <w:i/>
          <w:color w:val="000000"/>
          <w:sz w:val="22"/>
          <w:szCs w:val="22"/>
        </w:rPr>
        <w:t>cualquiera</w:t>
      </w:r>
      <w:r>
        <w:rPr>
          <w:rFonts w:ascii="Palatino Linotype" w:eastAsia="Palatino Linotype" w:hAnsi="Palatino Linotype" w:cs="Palatino Linotype"/>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Tesis de jurisprudencia 41/2015 (10a.). Aprobada por la Primera Sala de este Alto Tribunal, en sesión privada de veintisiete de mayo de dos mil quince.</w:t>
      </w:r>
    </w:p>
    <w:p w:rsidR="009E6B92" w:rsidRDefault="009E6B92">
      <w:pPr>
        <w:ind w:left="851" w:right="900"/>
        <w:jc w:val="both"/>
        <w:rPr>
          <w:rFonts w:ascii="Palatino Linotype" w:eastAsia="Palatino Linotype" w:hAnsi="Palatino Linotype" w:cs="Palatino Linotype"/>
          <w:i/>
          <w:sz w:val="22"/>
          <w:szCs w:val="22"/>
        </w:rPr>
      </w:pPr>
    </w:p>
    <w:p w:rsidR="009E6B92" w:rsidRDefault="0012272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9E6B92" w:rsidRDefault="009E6B92">
      <w:pPr>
        <w:spacing w:line="360" w:lineRule="auto"/>
        <w:ind w:left="851" w:right="900"/>
        <w:jc w:val="both"/>
        <w:rPr>
          <w:rFonts w:ascii="Palatino Linotype" w:eastAsia="Palatino Linotype" w:hAnsi="Palatino Linotype" w:cs="Palatino Linotype"/>
          <w:sz w:val="22"/>
          <w:szCs w:val="22"/>
        </w:rPr>
      </w:pPr>
    </w:p>
    <w:p w:rsidR="009E6B92" w:rsidRDefault="0012272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catorce de enero de dos mil veinte</w:t>
      </w:r>
      <w:r>
        <w:rPr>
          <w:rFonts w:ascii="Palatino Linotype" w:eastAsia="Palatino Linotype" w:hAnsi="Palatino Linotype" w:cs="Palatino Linotype"/>
        </w:rPr>
        <w:t>, éste se encuentra dentro del término previsto en el citado precepto legal, y por tanto, se considera oportuno.</w:t>
      </w:r>
    </w:p>
    <w:p w:rsidR="009E6B92" w:rsidRDefault="009E6B92">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9E6B92" w:rsidRDefault="00122724">
      <w:pPr>
        <w:widowControl w:val="0"/>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Procedibilidad. </w:t>
      </w: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 SAIMEX.</w:t>
      </w:r>
    </w:p>
    <w:p w:rsidR="009E6B92" w:rsidRDefault="009E6B9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widowControl w:val="0"/>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Análisis del Informe Justificado y las causales de sobreseimiento</w:t>
      </w:r>
      <w:r>
        <w:rPr>
          <w:rFonts w:ascii="Palatino Linotype" w:eastAsia="Palatino Linotype" w:hAnsi="Palatino Linotype" w:cs="Palatino Linotype"/>
          <w:color w:val="000000"/>
        </w:rPr>
        <w:t xml:space="preserve">. Este Órgano </w:t>
      </w:r>
      <w:r>
        <w:rPr>
          <w:rFonts w:ascii="Palatino Linotype" w:eastAsia="Palatino Linotype" w:hAnsi="Palatino Linotype" w:cs="Palatino Linotype"/>
          <w:color w:val="000000"/>
        </w:rPr>
        <w:lastRenderedPageBreak/>
        <w:t>Colegiado advierte que en el caso se actualiza la causal de sobreseimiento prevista en las fracción III del artículo 192 de la de la Ley de Transparencia y Acceso a la Información Pública del Estado de México y Municipios que dispone lo siguiente:</w:t>
      </w:r>
    </w:p>
    <w:p w:rsidR="009E6B92" w:rsidRDefault="009E6B92">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El sujeto obligado responsable del acto lo modifique o revoque de tal manera que el recurso de revisión quede sin materia;…”</w:t>
      </w:r>
    </w:p>
    <w:p w:rsidR="009E6B92" w:rsidRDefault="009E6B92">
      <w:pPr>
        <w:spacing w:line="360" w:lineRule="auto"/>
        <w:ind w:left="709" w:right="757"/>
        <w:jc w:val="both"/>
        <w:rPr>
          <w:rFonts w:ascii="Palatino Linotype" w:eastAsia="Palatino Linotype" w:hAnsi="Palatino Linotype" w:cs="Palatino Linotype"/>
          <w:i/>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Luego, conforme a la transcripción que antecede conviene desglosar los elementos de la disposición enunciada:</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ind w:left="993"/>
        <w:jc w:val="both"/>
        <w:rPr>
          <w:rFonts w:ascii="Palatino Linotype" w:eastAsia="Palatino Linotype" w:hAnsi="Palatino Linotype" w:cs="Palatino Linotype"/>
        </w:rPr>
      </w:pPr>
      <w:r>
        <w:rPr>
          <w:rFonts w:ascii="Palatino Linotype" w:eastAsia="Palatino Linotype" w:hAnsi="Palatino Linotype" w:cs="Palatino Linotype"/>
        </w:rPr>
        <w:t xml:space="preserve">1.- El sujeto obligado responsable; </w:t>
      </w:r>
    </w:p>
    <w:p w:rsidR="009E6B92" w:rsidRDefault="00122724">
      <w:pPr>
        <w:spacing w:line="360" w:lineRule="auto"/>
        <w:ind w:left="993"/>
        <w:jc w:val="both"/>
        <w:rPr>
          <w:rFonts w:ascii="Palatino Linotype" w:eastAsia="Palatino Linotype" w:hAnsi="Palatino Linotype" w:cs="Palatino Linotype"/>
        </w:rPr>
      </w:pPr>
      <w:r>
        <w:rPr>
          <w:rFonts w:ascii="Palatino Linotype" w:eastAsia="Palatino Linotype" w:hAnsi="Palatino Linotype" w:cs="Palatino Linotype"/>
        </w:rPr>
        <w:t>2.- Acto;</w:t>
      </w:r>
    </w:p>
    <w:p w:rsidR="009E6B92" w:rsidRDefault="00122724">
      <w:pPr>
        <w:spacing w:line="360" w:lineRule="auto"/>
        <w:ind w:left="993"/>
        <w:jc w:val="both"/>
        <w:rPr>
          <w:rFonts w:ascii="Palatino Linotype" w:eastAsia="Palatino Linotype" w:hAnsi="Palatino Linotype" w:cs="Palatino Linotype"/>
        </w:rPr>
      </w:pPr>
      <w:r>
        <w:rPr>
          <w:rFonts w:ascii="Palatino Linotype" w:eastAsia="Palatino Linotype" w:hAnsi="Palatino Linotype" w:cs="Palatino Linotype"/>
        </w:rPr>
        <w:t>3.- Que se modifique o revoque; y</w:t>
      </w:r>
    </w:p>
    <w:p w:rsidR="009E6B92" w:rsidRDefault="00122724">
      <w:pPr>
        <w:spacing w:line="360" w:lineRule="auto"/>
        <w:ind w:left="993"/>
        <w:jc w:val="both"/>
        <w:rPr>
          <w:rFonts w:ascii="Palatino Linotype" w:eastAsia="Palatino Linotype" w:hAnsi="Palatino Linotype" w:cs="Palatino Linotype"/>
        </w:rPr>
      </w:pPr>
      <w:r>
        <w:rPr>
          <w:rFonts w:ascii="Palatino Linotype" w:eastAsia="Palatino Linotype" w:hAnsi="Palatino Linotype" w:cs="Palatino Linotype"/>
        </w:rPr>
        <w:t>4.- De tal manera que el medio de impugnación quede sin efecto o materia.</w:t>
      </w:r>
    </w:p>
    <w:p w:rsidR="009E6B92" w:rsidRDefault="009E6B92">
      <w:pPr>
        <w:spacing w:line="360" w:lineRule="auto"/>
        <w:ind w:left="993"/>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primer elemento normativo se actualiza ya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responsable, es el Tribunal Estatal de Conciliación y Arbitraje.</w:t>
      </w: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elemento normativo es la existencia de un acto, en el caso en concreto que nos ocupa, se acredita con la existencia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la cual precisamente es la que se impugna al tratarse de una emitida para atender una solicitud distinta a la que dio origen al presente recurso de revisión.</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Cabe destacar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observa a través de sus actos que necesariamente ejecuta y con las que ejerce sus atribuciones legalmente conferidas. </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rsidR="009E6B92" w:rsidRDefault="009E6B92">
      <w:pPr>
        <w:spacing w:line="360" w:lineRule="auto"/>
        <w:jc w:val="both"/>
        <w:rPr>
          <w:rFonts w:ascii="Palatino Linotype" w:eastAsia="Palatino Linotype" w:hAnsi="Palatino Linotype" w:cs="Palatino Linotype"/>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53. Las Unidades de Transparencia tendrán las siguientes funciones: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tramitar y dar respuesta a las solicitudes de acceso a la información;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Auxiliar a los particulares en la elaboración de solicitudes de acceso a la información y, en su caso, orientarlos sobre los sujetos obligados competentes conforme a la normatividad aplicable;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Efectuar las notificaciones a los solicitantes;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Promover e implementar políticas de transparencia proactiva procurando su accesibilidad;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Fomentar la transparencia y accesibilidad al interior del sujeto obligado;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Hacer del conocimiento de la instancia competente la probable responsabilidad por el incumplimiento de las obligaciones previstas en la presente Ley; y </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9E6B92" w:rsidRDefault="009E6B92">
      <w:pPr>
        <w:ind w:left="709" w:right="757"/>
        <w:jc w:val="both"/>
        <w:rPr>
          <w:rFonts w:ascii="Palatino Linotype" w:eastAsia="Palatino Linotype" w:hAnsi="Palatino Linotype" w:cs="Palatino Linotype"/>
          <w:i/>
          <w:sz w:val="22"/>
          <w:szCs w:val="22"/>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decir, la impugnación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debe ser sobre la emisión de un “Acto” contenido en la misma Ley o la omisión en la emisión de ésta, lo que en el presente caso se actualiza con la respuesta dada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por cuanto hace al tercer elemento normativo, es en esencia una condicional, consistente en que la dependencia o entidad responsable del acto o resolución impugnada </w:t>
      </w:r>
      <w:r>
        <w:rPr>
          <w:rFonts w:ascii="Palatino Linotype" w:eastAsia="Palatino Linotype" w:hAnsi="Palatino Linotype" w:cs="Palatino Linotype"/>
          <w:b/>
          <w:u w:val="single"/>
        </w:rPr>
        <w:t>la modifique o revoque</w:t>
      </w:r>
      <w:r>
        <w:rPr>
          <w:rFonts w:ascii="Palatino Linotype" w:eastAsia="Palatino Linotype" w:hAnsi="Palatino Linotype" w:cs="Palatino Linotype"/>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revocación, a diferencia de la modificación, ocurre cuando la dependencia o entidad responsable (</w:t>
      </w:r>
      <w:r>
        <w:rPr>
          <w:rFonts w:ascii="Palatino Linotype" w:eastAsia="Palatino Linotype" w:hAnsi="Palatino Linotype" w:cs="Palatino Linotype"/>
          <w:b/>
        </w:rPr>
        <w:t>SUJETO OBLIGADO</w:t>
      </w:r>
      <w:r>
        <w:rPr>
          <w:rFonts w:ascii="Palatino Linotype" w:eastAsia="Palatino Linotype" w:hAnsi="Palatino Linotype" w:cs="Palatino Linotype"/>
        </w:rPr>
        <w:t>) del acto o resolución impugnada, suprime, elimina o cancela la totalidad de su respuesta y emite otra en su lugar dejando sin efecto lo que en un principio respondió.</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Para el caso que nos ocupa, recae esta figura en la modificación de ese silencio administrativo al proporcionar una respuesta a través del Informe Justificado, existiendo ahora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aun cuando existiendo jurídicamente (esto es, que no se ha modificado, ni revocado) no genera ninguna consecuencia legal.</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que, un acto impugnado queda sin materia, cuando ha sido satisfecha la pretensión de lo pedido o exigido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de manera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 xml:space="preserve">OBLIGADO </w:t>
      </w:r>
      <w:r>
        <w:rPr>
          <w:rFonts w:ascii="Palatino Linotype" w:eastAsia="Palatino Linotype" w:hAnsi="Palatino Linotype" w:cs="Palatino Linotype"/>
        </w:rPr>
        <w:t xml:space="preserve">entrega una respuesta que aunque sea posterior a los términos previstos en la Ley y mediante ésta concede la información solicitada.  </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esas consideraciones, se afirma que en el recurso de revisión sujeto a estudio, se actualiza la hipótesis jurídica citada en primer término, toda vez que quedó probado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mediante un acto posterior a su omisión, como lo fue el Informe Justificado, remitió la información con la cual dejó sin materia el presente recurso.</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fin de corroborar lo anterior, es preciso señalar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un listado respecto de las demandas interpuestas en contra del Ayuntamiento de Valle de Chalco Solidaridad por despidos injustificados que fueron resueltas en 2019, en el que se pudiera advertir el actor, el cargo que desempeñaba, la fecha de la interposición de la demanda, si se resolvió mediante convenio o laudo, fecha de resolución, monto pactado y el desglose de dicho monto.</w:t>
      </w:r>
    </w:p>
    <w:p w:rsidR="009E6B92" w:rsidRDefault="009E6B92">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 momento de dar respuesta proporcionó un listado de 120 demandas interpuestas en el periodo requerido, en las que el Ayuntamiento de Valle de Chalco es parte informando que a la fecha de la respuesta no se había realizado convenio alguno en dichos juicios ni se ha emitido algún laudo, por lo que los mismos se encontraban en trámite.</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tal circunstancia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procedió a inconformarse, esencialmente en virtud de que lo proporcionado no corresponde con la información que fue solicitada, </w:t>
      </w:r>
      <w:r>
        <w:rPr>
          <w:rFonts w:ascii="Palatino Linotype" w:eastAsia="Palatino Linotype" w:hAnsi="Palatino Linotype" w:cs="Palatino Linotype"/>
        </w:rPr>
        <w:lastRenderedPageBreak/>
        <w:t>ya que no se trata de las demandas interpuestas en dicho periodo sino de las que ya fueron efectivamente resueltas y que causaron estado.</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 través de su Informe Justificado asumió que en principio remitió información equivocada al particular; por lo que en atención a la solicitud primigenia proporcionó un nuevo listado del que se obtiene el número de expediente, actor, cargo que desempeñaba, fecha de interposición de demanda, como resolvió, fecha de resolución o convenio y monto pagado., para mayor claridad se ejemplifica dicha circunstancia a continuación:</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noProof/>
        </w:rPr>
        <w:drawing>
          <wp:inline distT="0" distB="0" distL="0" distR="0">
            <wp:extent cx="5791835" cy="16516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1651635"/>
                    </a:xfrm>
                    <a:prstGeom prst="rect">
                      <a:avLst/>
                    </a:prstGeom>
                    <a:ln/>
                  </pic:spPr>
                </pic:pic>
              </a:graphicData>
            </a:graphic>
          </wp:inline>
        </w:drawing>
      </w:r>
    </w:p>
    <w:p w:rsidR="009E6B92" w:rsidRDefault="009E6B92">
      <w:pPr>
        <w:spacing w:line="360" w:lineRule="auto"/>
        <w:jc w:val="both"/>
        <w:rPr>
          <w:rFonts w:ascii="Palatino Linotype" w:eastAsia="Palatino Linotype" w:hAnsi="Palatino Linotype" w:cs="Palatino Linotype"/>
          <w:i/>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es claro que de los documentos enviados se pueden obtener los datos requeridos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con excepción del desglose del monto pagado; no obstante, de la normatividad que rige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existe norma que constriña a éste a contar con la información al grado de desagregación requerido; es decir no genera un documento en específico del que se pueda  obtener dicha información, ya que ello implicaría realizar una investigación en cada uno de los expedientes para resumirla y efectuar cálculos a in de dar el dato en específico, siendo que el artículo 12 de la Ley de </w:t>
      </w:r>
      <w:r>
        <w:rPr>
          <w:rFonts w:ascii="Palatino Linotype" w:eastAsia="Palatino Linotype" w:hAnsi="Palatino Linotype" w:cs="Palatino Linotype"/>
        </w:rPr>
        <w:lastRenderedPageBreak/>
        <w:t>la materia los Sujetos Obligados sólo proporcionarán la información pública que se les requiera y que obre en sus archivos y en el estado en que ésta se encuentre, dicha obligación de proporcionar información no comprende el procesamiento de la misma, ni presentarla conforme al interés del solicitante.</w:t>
      </w:r>
    </w:p>
    <w:p w:rsidR="009E6B92" w:rsidRDefault="009E6B92">
      <w:pPr>
        <w:spacing w:line="360" w:lineRule="auto"/>
        <w:jc w:val="both"/>
        <w:rPr>
          <w:rFonts w:ascii="Palatino Linotype" w:eastAsia="Palatino Linotype" w:hAnsi="Palatino Linotype" w:cs="Palatino Linotype"/>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rsidR="009E6B92" w:rsidRDefault="009E6B92">
      <w:pPr>
        <w:widowControl w:val="0"/>
        <w:spacing w:line="360" w:lineRule="auto"/>
        <w:jc w:val="both"/>
        <w:rPr>
          <w:rFonts w:ascii="Palatino Linotype" w:eastAsia="Palatino Linotype" w:hAnsi="Palatino Linotype" w:cs="Palatino Linotype"/>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apoyo a lo anterior, es aplicable el Criterio 03-17, emitido por el Pleno del Instituto Nacional de Transparencia, Acceso a la Información y Protección de Datos Personales, que dice: </w:t>
      </w:r>
    </w:p>
    <w:p w:rsidR="009E6B92" w:rsidRDefault="009E6B92">
      <w:pPr>
        <w:widowControl w:val="0"/>
        <w:spacing w:line="360" w:lineRule="auto"/>
        <w:jc w:val="both"/>
        <w:rPr>
          <w:rFonts w:ascii="Palatino Linotype" w:eastAsia="Palatino Linotype" w:hAnsi="Palatino Linotype" w:cs="Palatino Linotype"/>
        </w:rPr>
      </w:pP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E6B92" w:rsidRDefault="009E6B92">
      <w:pPr>
        <w:widowControl w:val="0"/>
        <w:ind w:left="709" w:right="757"/>
        <w:jc w:val="both"/>
        <w:rPr>
          <w:rFonts w:ascii="Palatino Linotype" w:eastAsia="Palatino Linotype" w:hAnsi="Palatino Linotype" w:cs="Palatino Linotype"/>
          <w:b/>
          <w:i/>
          <w:sz w:val="22"/>
          <w:szCs w:val="22"/>
        </w:rPr>
      </w:pP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Resoluciones:</w:t>
      </w:r>
    </w:p>
    <w:p w:rsidR="009E6B92" w:rsidRDefault="009E6B92">
      <w:pPr>
        <w:widowControl w:val="0"/>
        <w:ind w:left="709" w:right="757"/>
        <w:jc w:val="both"/>
        <w:rPr>
          <w:rFonts w:ascii="Palatino Linotype" w:eastAsia="Palatino Linotype" w:hAnsi="Palatino Linotype" w:cs="Palatino Linotype"/>
          <w:i/>
          <w:sz w:val="22"/>
          <w:szCs w:val="22"/>
        </w:rPr>
      </w:pPr>
    </w:p>
    <w:p w:rsidR="009E6B92" w:rsidRDefault="00122724">
      <w:pPr>
        <w:widowControl w:val="0"/>
        <w:ind w:left="1134" w:right="757" w:hanging="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0050/16. Instituto Nacional para la Evaluación de la Educación. 13 julio de 2016. Por unanimidad. Comisionado Ponente: Francisco Javier Acuña Llamas.</w:t>
      </w:r>
    </w:p>
    <w:p w:rsidR="009E6B92" w:rsidRDefault="00122724">
      <w:pPr>
        <w:widowControl w:val="0"/>
        <w:ind w:left="1134" w:right="757" w:hanging="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0310/16. Instituto Nacional de Transparencia, Acceso a la Información y Protección de Datos Personales. 10 de agosto de 2016. Por unanimidad. Comisionada Ponente. Areli Cano Guadiana.</w:t>
      </w:r>
    </w:p>
    <w:p w:rsidR="009E6B92" w:rsidRDefault="00122724">
      <w:pPr>
        <w:widowControl w:val="0"/>
        <w:ind w:left="1134" w:right="757" w:hanging="4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RRA 1889/16. Secretaría de Hacienda y Crédito Público. 05 de octubre de 2016. Por unanimidad. Comisionada Ponente. Ximena Puente de la Mora.”</w:t>
      </w:r>
    </w:p>
    <w:p w:rsidR="009E6B92" w:rsidRDefault="009E6B92">
      <w:pPr>
        <w:widowControl w:val="0"/>
        <w:spacing w:line="360" w:lineRule="auto"/>
        <w:ind w:left="1134" w:right="757" w:hanging="425"/>
        <w:jc w:val="both"/>
        <w:rPr>
          <w:rFonts w:ascii="Palatino Linotype" w:eastAsia="Palatino Linotype" w:hAnsi="Palatino Linotype" w:cs="Palatino Linotype"/>
          <w:i/>
          <w:sz w:val="22"/>
          <w:szCs w:val="22"/>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E6B92" w:rsidRDefault="009E6B92">
      <w:pPr>
        <w:widowControl w:val="0"/>
        <w:spacing w:line="360" w:lineRule="auto"/>
        <w:jc w:val="both"/>
        <w:rPr>
          <w:rFonts w:ascii="Palatino Linotype" w:eastAsia="Palatino Linotype" w:hAnsi="Palatino Linotype" w:cs="Palatino Linotype"/>
        </w:rPr>
      </w:pPr>
    </w:p>
    <w:p w:rsidR="009E6B92" w:rsidRDefault="00122724">
      <w:pPr>
        <w:widowControl w:val="0"/>
        <w:spacing w:line="276"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rsidR="009E6B92" w:rsidRDefault="009E6B92">
      <w:pPr>
        <w:widowControl w:val="0"/>
        <w:spacing w:line="276" w:lineRule="auto"/>
        <w:ind w:left="709" w:right="757"/>
        <w:jc w:val="both"/>
        <w:rPr>
          <w:rFonts w:ascii="Palatino Linotype" w:eastAsia="Palatino Linotype" w:hAnsi="Palatino Linotype" w:cs="Palatino Linotype"/>
          <w:i/>
          <w:sz w:val="22"/>
          <w:szCs w:val="22"/>
        </w:rPr>
      </w:pPr>
    </w:p>
    <w:p w:rsidR="009E6B92" w:rsidRDefault="00122724">
      <w:pPr>
        <w:widowControl w:val="0"/>
        <w:spacing w:line="276"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w:t>
      </w:r>
      <w:r>
        <w:rPr>
          <w:rFonts w:ascii="Palatino Linotype" w:eastAsia="Palatino Linotype" w:hAnsi="Palatino Linotype" w:cs="Palatino Linotype"/>
          <w:b/>
          <w:i/>
          <w:sz w:val="22"/>
          <w:szCs w:val="22"/>
        </w:rPr>
        <w:t>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E6B92" w:rsidRDefault="009E6B92">
      <w:pPr>
        <w:widowControl w:val="0"/>
        <w:spacing w:line="360" w:lineRule="auto"/>
        <w:ind w:left="709" w:right="757"/>
        <w:jc w:val="both"/>
        <w:rPr>
          <w:rFonts w:ascii="Palatino Linotype" w:eastAsia="Palatino Linotype" w:hAnsi="Palatino Linotype" w:cs="Palatino Linotype"/>
          <w:i/>
          <w:sz w:val="22"/>
          <w:szCs w:val="22"/>
        </w:rPr>
      </w:pPr>
    </w:p>
    <w:p w:rsidR="009E6B92" w:rsidRDefault="0012272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E6B92" w:rsidRDefault="009E6B92">
      <w:pPr>
        <w:widowControl w:val="0"/>
        <w:spacing w:line="360" w:lineRule="auto"/>
        <w:jc w:val="both"/>
        <w:rPr>
          <w:rFonts w:ascii="Palatino Linotype" w:eastAsia="Palatino Linotype" w:hAnsi="Palatino Linotype" w:cs="Palatino Linotype"/>
        </w:rPr>
      </w:pP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0002-11 </w:t>
      </w:r>
    </w:p>
    <w:p w:rsidR="009E6B92" w:rsidRDefault="009E6B92">
      <w:pPr>
        <w:widowControl w:val="0"/>
        <w:ind w:left="709" w:right="757"/>
        <w:jc w:val="both"/>
        <w:rPr>
          <w:rFonts w:ascii="Palatino Linotype" w:eastAsia="Palatino Linotype" w:hAnsi="Palatino Linotype" w:cs="Palatino Linotype"/>
          <w:i/>
          <w:sz w:val="22"/>
          <w:szCs w:val="22"/>
        </w:rPr>
      </w:pP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E6B92" w:rsidRDefault="009E6B92">
      <w:pPr>
        <w:widowControl w:val="0"/>
        <w:ind w:left="709" w:right="757"/>
        <w:jc w:val="both"/>
        <w:rPr>
          <w:rFonts w:ascii="Palatino Linotype" w:eastAsia="Palatino Linotype" w:hAnsi="Palatino Linotype" w:cs="Palatino Linotype"/>
          <w:i/>
          <w:sz w:val="22"/>
          <w:szCs w:val="22"/>
        </w:rPr>
      </w:pP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9E6B92" w:rsidRDefault="0012272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r>
        <w:rPr>
          <w:rFonts w:ascii="Palatino Linotype" w:eastAsia="Palatino Linotype" w:hAnsi="Palatino Linotype" w:cs="Palatino Linotype"/>
          <w:sz w:val="22"/>
          <w:szCs w:val="22"/>
        </w:rPr>
        <w:t>(Sic)</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Entonces, del análisis a la información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ésta consiste precisamente en la información requerida por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modificando así, su respuesta primigenia; por lo que, atendiendo los requisitos de </w:t>
      </w:r>
      <w:r>
        <w:rPr>
          <w:rFonts w:ascii="Palatino Linotype" w:eastAsia="Palatino Linotype" w:hAnsi="Palatino Linotype" w:cs="Palatino Linotype"/>
        </w:rPr>
        <w:lastRenderedPageBreak/>
        <w:t xml:space="preserve">legalidad y formalidad que dicta la Ley de la materia se cumple así el derecho de acceso a la información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ya que subsana la deficiencia de la respuesta.</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el cuarto elemento normativo de la figura legal del sobreseimiento, consistente en: </w:t>
      </w:r>
      <w:r>
        <w:rPr>
          <w:rFonts w:ascii="Palatino Linotype" w:eastAsia="Palatino Linotype" w:hAnsi="Palatino Linotype" w:cs="Palatino Linotype"/>
          <w:i/>
        </w:rPr>
        <w:t>“…de tal manera que el medio de impugnación quede sin materia…”</w:t>
      </w:r>
      <w:r>
        <w:rPr>
          <w:rFonts w:ascii="Palatino Linotype" w:eastAsia="Palatino Linotype" w:hAnsi="Palatino Linotype" w:cs="Palatino Linotype"/>
        </w:rPr>
        <w:t>, en el presente caso, se actualiza tal circunstancia, ya que el acto impugnado que dio origen al presente recurso quedó sin materia por las razones anteriormente expuestas.</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menester señalar que, este Órgano Garante conforme al artículo 36 de la Ley de la Materia, no se encuentra facultado para pronunciarse acerca de la veracidad de la información remitida por los Sujetos Obligados.</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E6B92" w:rsidRDefault="009E6B92">
      <w:pPr>
        <w:spacing w:line="360" w:lineRule="auto"/>
        <w:jc w:val="both"/>
        <w:rPr>
          <w:rFonts w:ascii="Palatino Linotype" w:eastAsia="Palatino Linotype" w:hAnsi="Palatino Linotype" w:cs="Palatino Linotype"/>
        </w:rPr>
      </w:pPr>
    </w:p>
    <w:p w:rsidR="009E6B92" w:rsidRDefault="00122724">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Pr>
          <w:rFonts w:ascii="Palatino Linotype" w:eastAsia="Palatino Linotype" w:hAnsi="Palatino Linotype" w:cs="Palatino Linotype"/>
          <w:i/>
          <w:sz w:val="22"/>
          <w:szCs w:val="22"/>
        </w:rPr>
        <w:lastRenderedPageBreak/>
        <w:t xml:space="preserve">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E6B92" w:rsidRDefault="00122724">
      <w:pPr>
        <w:ind w:left="709"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Criterio 31/10</w:t>
      </w:r>
      <w:r>
        <w:rPr>
          <w:rFonts w:ascii="Palatino Linotype" w:eastAsia="Palatino Linotype" w:hAnsi="Palatino Linotype" w:cs="Palatino Linotype"/>
          <w:b/>
          <w:i/>
          <w:sz w:val="22"/>
          <w:szCs w:val="22"/>
        </w:rPr>
        <w:t>”</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186, 188 y 192 fracción III de la Ley de Transparencia y Acceso a la Información Pública del Estado de México y Municipios, este Pleno:</w:t>
      </w:r>
    </w:p>
    <w:p w:rsidR="009E6B92" w:rsidRDefault="009E6B92">
      <w:pPr>
        <w:spacing w:line="360" w:lineRule="auto"/>
        <w:jc w:val="both"/>
        <w:rPr>
          <w:rFonts w:ascii="Palatino Linotype" w:eastAsia="Palatino Linotype" w:hAnsi="Palatino Linotype" w:cs="Palatino Linotype"/>
        </w:rPr>
      </w:pPr>
    </w:p>
    <w:p w:rsidR="009E6B92" w:rsidRDefault="00122724">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rsidR="009E6B92" w:rsidRDefault="009E6B92">
      <w:pPr>
        <w:spacing w:line="360" w:lineRule="auto"/>
        <w:jc w:val="both"/>
        <w:rPr>
          <w:rFonts w:ascii="Palatino Linotype" w:eastAsia="Palatino Linotype" w:hAnsi="Palatino Linotype" w:cs="Palatino Linotype"/>
          <w:b/>
          <w:sz w:val="28"/>
          <w:szCs w:val="28"/>
        </w:rPr>
      </w:pPr>
    </w:p>
    <w:p w:rsidR="009E6B92" w:rsidRDefault="0012272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00492/INFOEM/IP/RR/2020</w:t>
      </w:r>
      <w:r>
        <w:rPr>
          <w:rFonts w:ascii="Palatino Linotype" w:eastAsia="Palatino Linotype" w:hAnsi="Palatino Linotype" w:cs="Palatino Linotype"/>
          <w:color w:val="000000"/>
        </w:rPr>
        <w:t xml:space="preserve"> porque al </w:t>
      </w:r>
      <w:r>
        <w:rPr>
          <w:rFonts w:ascii="Palatino Linotype" w:eastAsia="Palatino Linotype" w:hAnsi="Palatino Linotype" w:cs="Palatino Linotype"/>
          <w:b/>
          <w:color w:val="000000"/>
        </w:rPr>
        <w:t>modificar la respuesta el recurso de revisión quedó sin materia</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resolución</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6B92" w:rsidRDefault="0012272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la presente resolución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su conocimiento.</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6B92" w:rsidRDefault="0012272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w:t>
      </w:r>
    </w:p>
    <w:p w:rsidR="009E6B92" w:rsidRDefault="009E6B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6B92" w:rsidRDefault="0012272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del conocimiento </w:t>
      </w:r>
      <w:r>
        <w:rPr>
          <w:rFonts w:ascii="Palatino Linotype" w:eastAsia="Palatino Linotype" w:hAnsi="Palatino Linotype" w:cs="Palatino Linotype"/>
          <w:color w:val="000000"/>
        </w:rPr>
        <w:t>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rsidR="009E6B92" w:rsidRDefault="009E6B9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9E6B92" w:rsidRDefault="0012272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eastAsia="Palatino Linotype" w:hAnsi="Palatino Linotype" w:cs="Palatino Linotype"/>
          <w:color w:val="000000"/>
        </w:rPr>
        <w:t>DÉCIMA</w:t>
      </w:r>
      <w:r>
        <w:rPr>
          <w:rFonts w:ascii="Palatino Linotype" w:eastAsia="Palatino Linotype" w:hAnsi="Palatino Linotype" w:cs="Palatino Linotype"/>
        </w:rPr>
        <w:t xml:space="preserve"> SEGUNDA SESIÓN ORDINARIA CELEBRADA EL CINCO DE AGOSTO DE DOS MIL VEINTE, ANTE EL SECRETARIO TÉCNICO DEL PLENO, ALEXIS TAPIA RAMÍREZ.</w:t>
      </w:r>
    </w:p>
    <w:tbl>
      <w:tblPr>
        <w:tblStyle w:val="a"/>
        <w:tblW w:w="10365" w:type="dxa"/>
        <w:jc w:val="center"/>
        <w:tblInd w:w="0" w:type="dxa"/>
        <w:tblLayout w:type="fixed"/>
        <w:tblLook w:val="0400" w:firstRow="0" w:lastRow="0" w:firstColumn="0" w:lastColumn="0" w:noHBand="0" w:noVBand="1"/>
      </w:tblPr>
      <w:tblGrid>
        <w:gridCol w:w="5182"/>
        <w:gridCol w:w="5183"/>
      </w:tblGrid>
      <w:tr w:rsidR="009E6B92">
        <w:trPr>
          <w:jc w:val="center"/>
        </w:trPr>
        <w:tc>
          <w:tcPr>
            <w:tcW w:w="10365" w:type="dxa"/>
            <w:gridSpan w:val="2"/>
            <w:shd w:val="clear" w:color="auto" w:fill="auto"/>
          </w:tcPr>
          <w:p w:rsidR="009E6B92" w:rsidRDefault="009E6B92">
            <w:pPr>
              <w:spacing w:line="276" w:lineRule="auto"/>
              <w:jc w:val="both"/>
              <w:rPr>
                <w:rFonts w:ascii="Palatino Linotype" w:eastAsia="Palatino Linotype" w:hAnsi="Palatino Linotype" w:cs="Palatino Linotype"/>
                <w:b/>
              </w:rPr>
            </w:pPr>
          </w:p>
          <w:p w:rsidR="00CA3CAA" w:rsidRDefault="00CA3CAA">
            <w:pPr>
              <w:spacing w:line="276" w:lineRule="auto"/>
              <w:jc w:val="both"/>
              <w:rPr>
                <w:rFonts w:ascii="Palatino Linotype" w:eastAsia="Palatino Linotype" w:hAnsi="Palatino Linotype" w:cs="Palatino Linotype"/>
                <w:b/>
              </w:rPr>
            </w:pPr>
          </w:p>
          <w:p w:rsidR="009E6B92" w:rsidRDefault="009E6B92">
            <w:pPr>
              <w:spacing w:line="276" w:lineRule="auto"/>
              <w:jc w:val="both"/>
              <w:rPr>
                <w:rFonts w:ascii="Palatino Linotype" w:eastAsia="Palatino Linotype" w:hAnsi="Palatino Linotype" w:cs="Palatino Linotype"/>
                <w:b/>
              </w:rPr>
            </w:pP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9E6B92">
        <w:trPr>
          <w:jc w:val="center"/>
        </w:trPr>
        <w:tc>
          <w:tcPr>
            <w:tcW w:w="5182" w:type="dxa"/>
            <w:shd w:val="clear" w:color="auto" w:fill="auto"/>
          </w:tcPr>
          <w:p w:rsidR="009E6B92" w:rsidRDefault="009E6B92">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9E6B92" w:rsidRDefault="00122724">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5183" w:type="dxa"/>
            <w:shd w:val="clear" w:color="auto" w:fill="auto"/>
          </w:tcPr>
          <w:p w:rsidR="009E6B92" w:rsidRDefault="009E6B92">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9E6B92" w:rsidRDefault="00122724">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9E6B92">
        <w:trPr>
          <w:jc w:val="center"/>
        </w:trPr>
        <w:tc>
          <w:tcPr>
            <w:tcW w:w="5182" w:type="dxa"/>
            <w:shd w:val="clear" w:color="auto" w:fill="auto"/>
          </w:tcPr>
          <w:p w:rsidR="009E6B92" w:rsidRDefault="009E6B92">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9E6B92" w:rsidRDefault="00122724">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p w:rsidR="009E6B92" w:rsidRDefault="009E6B92">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9E6B92" w:rsidRDefault="009E6B92">
            <w:pPr>
              <w:spacing w:line="276" w:lineRule="auto"/>
              <w:rPr>
                <w:rFonts w:ascii="Palatino Linotype" w:eastAsia="Palatino Linotype" w:hAnsi="Palatino Linotype" w:cs="Palatino Linotype"/>
                <w:b/>
              </w:rPr>
            </w:pPr>
          </w:p>
        </w:tc>
        <w:tc>
          <w:tcPr>
            <w:tcW w:w="5183" w:type="dxa"/>
            <w:shd w:val="clear" w:color="auto" w:fill="auto"/>
          </w:tcPr>
          <w:p w:rsidR="009E6B92" w:rsidRDefault="009E6B92">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CA3CAA" w:rsidRDefault="00CA3CAA">
            <w:pPr>
              <w:spacing w:line="276" w:lineRule="auto"/>
              <w:jc w:val="center"/>
              <w:rPr>
                <w:rFonts w:ascii="Palatino Linotype" w:eastAsia="Palatino Linotype" w:hAnsi="Palatino Linotype" w:cs="Palatino Linotype"/>
                <w:b/>
              </w:rPr>
            </w:pPr>
          </w:p>
          <w:p w:rsidR="009E6B92" w:rsidRDefault="009E6B92">
            <w:pPr>
              <w:spacing w:line="276" w:lineRule="auto"/>
              <w:jc w:val="center"/>
              <w:rPr>
                <w:rFonts w:ascii="Palatino Linotype" w:eastAsia="Palatino Linotype" w:hAnsi="Palatino Linotype" w:cs="Palatino Linotype"/>
                <w:b/>
              </w:rPr>
            </w:pP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9E6B92" w:rsidRDefault="00122724">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9E6B92">
        <w:trPr>
          <w:jc w:val="center"/>
        </w:trPr>
        <w:tc>
          <w:tcPr>
            <w:tcW w:w="10365" w:type="dxa"/>
            <w:gridSpan w:val="2"/>
            <w:shd w:val="clear" w:color="auto" w:fill="auto"/>
          </w:tcPr>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9E6B92" w:rsidRDefault="00122724">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9E6B92" w:rsidRDefault="00122724">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bl>
    <w:p w:rsidR="00CA3CAA" w:rsidRDefault="00CA3CAA">
      <w:pPr>
        <w:jc w:val="both"/>
        <w:rPr>
          <w:rFonts w:ascii="Palatino Linotype" w:eastAsia="Palatino Linotype" w:hAnsi="Palatino Linotype" w:cs="Palatino Linotype"/>
          <w:sz w:val="22"/>
          <w:szCs w:val="22"/>
        </w:rPr>
      </w:pPr>
    </w:p>
    <w:p w:rsidR="00CA3CAA" w:rsidRDefault="00CA3CAA">
      <w:pPr>
        <w:jc w:val="both"/>
        <w:rPr>
          <w:rFonts w:ascii="Palatino Linotype" w:eastAsia="Palatino Linotype" w:hAnsi="Palatino Linotype" w:cs="Palatino Linotype"/>
          <w:sz w:val="22"/>
          <w:szCs w:val="22"/>
        </w:rPr>
      </w:pPr>
    </w:p>
    <w:p w:rsidR="00CA3CAA" w:rsidRDefault="00CA3CAA">
      <w:pPr>
        <w:jc w:val="both"/>
        <w:rPr>
          <w:rFonts w:ascii="Palatino Linotype" w:eastAsia="Palatino Linotype" w:hAnsi="Palatino Linotype" w:cs="Palatino Linotype"/>
          <w:sz w:val="22"/>
          <w:szCs w:val="22"/>
        </w:rPr>
      </w:pPr>
    </w:p>
    <w:p w:rsidR="009E6B92" w:rsidRDefault="00122724">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hoja corresponde a la resolución de fecha cinco de agosto de dos mil veinte, emitida en el recurso de revisión número 00492/INFOEM/IP/RR/2020. </w:t>
      </w:r>
    </w:p>
    <w:p w:rsidR="009E6B92" w:rsidRDefault="00122724">
      <w:pPr>
        <w:jc w:val="both"/>
        <w:rPr>
          <w:rFonts w:ascii="Palatino Linotype" w:eastAsia="Palatino Linotype" w:hAnsi="Palatino Linotype" w:cs="Palatino Linotype"/>
        </w:rPr>
      </w:pPr>
      <w:r>
        <w:rPr>
          <w:rFonts w:ascii="Palatino Linotype" w:eastAsia="Palatino Linotype" w:hAnsi="Palatino Linotype" w:cs="Palatino Linotype"/>
          <w:sz w:val="22"/>
          <w:szCs w:val="22"/>
        </w:rPr>
        <w:t>YSM/ATU</w:t>
      </w:r>
    </w:p>
    <w:sectPr w:rsidR="009E6B92">
      <w:headerReference w:type="even" r:id="rId9"/>
      <w:headerReference w:type="default" r:id="rId10"/>
      <w:footerReference w:type="default" r:id="rId11"/>
      <w:headerReference w:type="first" r:id="rId12"/>
      <w:footerReference w:type="first" r:id="rId13"/>
      <w:pgSz w:w="12240" w:h="15840"/>
      <w:pgMar w:top="1418" w:right="1418" w:bottom="1418" w:left="1701" w:header="851" w:footer="111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A6" w:rsidRDefault="007324A6">
      <w:r>
        <w:separator/>
      </w:r>
    </w:p>
  </w:endnote>
  <w:endnote w:type="continuationSeparator" w:id="0">
    <w:p w:rsidR="007324A6" w:rsidRDefault="007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92" w:rsidRDefault="001227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F3306">
      <w:rPr>
        <w:rFonts w:ascii="Palatino Linotype" w:eastAsia="Palatino Linotype" w:hAnsi="Palatino Linotype" w:cs="Palatino Linotype"/>
        <w:noProof/>
        <w:color w:val="000000"/>
        <w:sz w:val="22"/>
        <w:szCs w:val="22"/>
      </w:rPr>
      <w:t>13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F3306">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92" w:rsidRDefault="001227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F330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F3306">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A6" w:rsidRDefault="007324A6">
      <w:r>
        <w:separator/>
      </w:r>
    </w:p>
  </w:footnote>
  <w:footnote w:type="continuationSeparator" w:id="0">
    <w:p w:rsidR="007324A6" w:rsidRDefault="0073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AA" w:rsidRDefault="007324A6">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60735"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92" w:rsidRDefault="007324A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60736"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76363" w:rsidRPr="008F2CCC" w:rsidTr="00B15D87">
      <w:tc>
        <w:tcPr>
          <w:tcW w:w="3261" w:type="dxa"/>
          <w:vMerge w:val="restart"/>
        </w:tcPr>
        <w:p w:rsidR="00476363" w:rsidRPr="008F2CCC" w:rsidRDefault="00476363" w:rsidP="00476363">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227FB45F" wp14:editId="18376B71">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476363" w:rsidRPr="00664658" w:rsidRDefault="00476363" w:rsidP="00476363">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476363" w:rsidRPr="00664658" w:rsidRDefault="00476363" w:rsidP="00476363">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00492/INFOEM/IP/RR/2020</w:t>
          </w:r>
        </w:p>
      </w:tc>
    </w:tr>
    <w:tr w:rsidR="00476363" w:rsidRPr="008F2CCC" w:rsidTr="00B15D87">
      <w:tc>
        <w:tcPr>
          <w:tcW w:w="3261" w:type="dxa"/>
          <w:vMerge/>
        </w:tcPr>
        <w:p w:rsidR="00476363" w:rsidRPr="008F2CCC" w:rsidRDefault="00476363" w:rsidP="00476363">
          <w:pPr>
            <w:rPr>
              <w:rFonts w:ascii="Palatino Linotype" w:hAnsi="Palatino Linotype"/>
              <w:b/>
              <w:sz w:val="22"/>
              <w:szCs w:val="22"/>
              <w:lang w:val="es-ES_tradnl"/>
            </w:rPr>
          </w:pPr>
        </w:p>
      </w:tc>
      <w:tc>
        <w:tcPr>
          <w:tcW w:w="2551" w:type="dxa"/>
          <w:shd w:val="clear" w:color="auto" w:fill="auto"/>
        </w:tcPr>
        <w:p w:rsidR="00476363" w:rsidRPr="00664658" w:rsidRDefault="00476363" w:rsidP="0047636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476363" w:rsidRPr="00D41D47" w:rsidRDefault="00476363" w:rsidP="00476363">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Tribunal Estatal de Conciliación y Arbitraje</w:t>
          </w:r>
        </w:p>
      </w:tc>
    </w:tr>
    <w:tr w:rsidR="00476363" w:rsidRPr="008F2CCC" w:rsidTr="00B15D87">
      <w:trPr>
        <w:trHeight w:val="228"/>
      </w:trPr>
      <w:tc>
        <w:tcPr>
          <w:tcW w:w="3261" w:type="dxa"/>
          <w:vMerge/>
        </w:tcPr>
        <w:p w:rsidR="00476363" w:rsidRPr="008F2CCC" w:rsidRDefault="00476363" w:rsidP="00476363">
          <w:pPr>
            <w:rPr>
              <w:rFonts w:ascii="Palatino Linotype" w:hAnsi="Palatino Linotype"/>
              <w:b/>
              <w:sz w:val="22"/>
              <w:szCs w:val="22"/>
              <w:lang w:val="es-ES_tradnl"/>
            </w:rPr>
          </w:pPr>
        </w:p>
      </w:tc>
      <w:tc>
        <w:tcPr>
          <w:tcW w:w="2551" w:type="dxa"/>
          <w:shd w:val="clear" w:color="auto" w:fill="auto"/>
        </w:tcPr>
        <w:p w:rsidR="00476363" w:rsidRPr="00664658" w:rsidRDefault="00476363" w:rsidP="0047636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476363" w:rsidRPr="00664658" w:rsidRDefault="00476363" w:rsidP="0047636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76363" w:rsidRDefault="0047636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92" w:rsidRDefault="007324A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060734"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76363" w:rsidRPr="008F2CCC" w:rsidTr="00B15D87">
      <w:tc>
        <w:tcPr>
          <w:tcW w:w="4253" w:type="dxa"/>
          <w:vMerge w:val="restart"/>
          <w:shd w:val="clear" w:color="auto" w:fill="auto"/>
        </w:tcPr>
        <w:p w:rsidR="00476363" w:rsidRPr="008F2CCC" w:rsidRDefault="00476363" w:rsidP="00476363">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08EDDE78" wp14:editId="287C57B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476363" w:rsidRPr="008F2CCC" w:rsidRDefault="00476363" w:rsidP="0047636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476363" w:rsidRPr="008F2CCC" w:rsidRDefault="00476363" w:rsidP="00476363">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00492/INFOEM/IP/RR/2020</w:t>
          </w:r>
        </w:p>
      </w:tc>
    </w:tr>
    <w:tr w:rsidR="00476363" w:rsidRPr="008F2CCC" w:rsidTr="00B15D87">
      <w:tc>
        <w:tcPr>
          <w:tcW w:w="4253" w:type="dxa"/>
          <w:vMerge/>
          <w:shd w:val="clear" w:color="auto" w:fill="auto"/>
        </w:tcPr>
        <w:p w:rsidR="00476363" w:rsidRPr="008F2CCC" w:rsidRDefault="00476363" w:rsidP="00476363">
          <w:pPr>
            <w:rPr>
              <w:rFonts w:ascii="Palatino Linotype" w:hAnsi="Palatino Linotype"/>
              <w:b/>
              <w:sz w:val="22"/>
              <w:szCs w:val="22"/>
              <w:lang w:val="es-ES_tradnl"/>
            </w:rPr>
          </w:pPr>
        </w:p>
      </w:tc>
      <w:tc>
        <w:tcPr>
          <w:tcW w:w="2552" w:type="dxa"/>
          <w:shd w:val="clear" w:color="auto" w:fill="auto"/>
        </w:tcPr>
        <w:p w:rsidR="00476363" w:rsidRPr="008F2CCC" w:rsidRDefault="00476363" w:rsidP="0047636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476363" w:rsidRPr="008F2CCC" w:rsidRDefault="00284887" w:rsidP="00284887">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Xxxxxxxx</w:t>
          </w:r>
          <w:r w:rsidR="0047636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47636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476363" w:rsidRPr="008F2CCC" w:rsidTr="00B15D87">
      <w:trPr>
        <w:trHeight w:val="228"/>
      </w:trPr>
      <w:tc>
        <w:tcPr>
          <w:tcW w:w="4253" w:type="dxa"/>
          <w:vMerge/>
          <w:shd w:val="clear" w:color="auto" w:fill="auto"/>
        </w:tcPr>
        <w:p w:rsidR="00476363" w:rsidRPr="008F2CCC" w:rsidRDefault="00476363" w:rsidP="00476363">
          <w:pPr>
            <w:rPr>
              <w:rFonts w:ascii="Palatino Linotype" w:hAnsi="Palatino Linotype"/>
              <w:b/>
              <w:sz w:val="22"/>
              <w:szCs w:val="22"/>
              <w:lang w:val="es-ES_tradnl"/>
            </w:rPr>
          </w:pPr>
        </w:p>
      </w:tc>
      <w:tc>
        <w:tcPr>
          <w:tcW w:w="2552" w:type="dxa"/>
          <w:shd w:val="clear" w:color="auto" w:fill="auto"/>
        </w:tcPr>
        <w:p w:rsidR="00476363" w:rsidRPr="008F2CCC" w:rsidRDefault="00476363" w:rsidP="0047636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476363" w:rsidRPr="00DC41C8" w:rsidRDefault="00476363" w:rsidP="00476363">
          <w:pPr>
            <w:jc w:val="both"/>
            <w:rPr>
              <w:rFonts w:ascii="Palatino Linotype" w:hAnsi="Palatino Linotype"/>
              <w:b/>
              <w:sz w:val="22"/>
              <w:szCs w:val="22"/>
            </w:rPr>
          </w:pPr>
          <w:r>
            <w:rPr>
              <w:rFonts w:ascii="Palatino Linotype" w:eastAsia="Palatino Linotype" w:hAnsi="Palatino Linotype" w:cs="Palatino Linotype"/>
              <w:b/>
              <w:sz w:val="22"/>
              <w:szCs w:val="22"/>
            </w:rPr>
            <w:t>Tribunal Estatal de Conciliación y Arbitraje</w:t>
          </w:r>
        </w:p>
      </w:tc>
    </w:tr>
    <w:tr w:rsidR="00476363" w:rsidRPr="008F2CCC" w:rsidTr="00B15D87">
      <w:tc>
        <w:tcPr>
          <w:tcW w:w="4253" w:type="dxa"/>
          <w:vMerge/>
          <w:shd w:val="clear" w:color="auto" w:fill="auto"/>
        </w:tcPr>
        <w:p w:rsidR="00476363" w:rsidRPr="008F2CCC" w:rsidRDefault="00476363" w:rsidP="00476363">
          <w:pPr>
            <w:rPr>
              <w:rFonts w:ascii="Palatino Linotype" w:hAnsi="Palatino Linotype"/>
              <w:b/>
              <w:sz w:val="22"/>
              <w:szCs w:val="22"/>
              <w:lang w:val="es-ES_tradnl"/>
            </w:rPr>
          </w:pPr>
        </w:p>
      </w:tc>
      <w:tc>
        <w:tcPr>
          <w:tcW w:w="2552" w:type="dxa"/>
          <w:shd w:val="clear" w:color="auto" w:fill="auto"/>
        </w:tcPr>
        <w:p w:rsidR="00476363" w:rsidRPr="008F2CCC" w:rsidRDefault="00476363" w:rsidP="0047636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476363" w:rsidRPr="008F2CCC" w:rsidRDefault="00476363" w:rsidP="0047636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76363" w:rsidRDefault="0047636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92E36"/>
    <w:multiLevelType w:val="multilevel"/>
    <w:tmpl w:val="F42E0EF0"/>
    <w:lvl w:ilvl="0">
      <w:start w:val="1"/>
      <w:numFmt w:val="decimal"/>
      <w:lvlText w:val="%1."/>
      <w:lvlJc w:val="left"/>
      <w:pPr>
        <w:ind w:left="720" w:hanging="360"/>
      </w:pPr>
      <w:rPr>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AE2D10"/>
    <w:multiLevelType w:val="multilevel"/>
    <w:tmpl w:val="F75E99F4"/>
    <w:lvl w:ilvl="0">
      <w:start w:val="1"/>
      <w:numFmt w:val="decimal"/>
      <w:lvlText w:val="%1."/>
      <w:lvlJc w:val="left"/>
      <w:pPr>
        <w:ind w:left="1211" w:hanging="360"/>
      </w:pPr>
      <w:rPr>
        <w:rFonts w:ascii="Palatino Linotype" w:eastAsia="Palatino Linotype" w:hAnsi="Palatino Linotype" w:cs="Palatino Linotype"/>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7D2C11"/>
    <w:multiLevelType w:val="multilevel"/>
    <w:tmpl w:val="6224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FE17361"/>
    <w:multiLevelType w:val="multilevel"/>
    <w:tmpl w:val="3D96F6D2"/>
    <w:lvl w:ilvl="0">
      <w:start w:val="1"/>
      <w:numFmt w:val="upperRoman"/>
      <w:lvlText w:val="%1."/>
      <w:lvlJc w:val="left"/>
      <w:pPr>
        <w:ind w:left="786" w:hanging="36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92"/>
    <w:rsid w:val="00111E2C"/>
    <w:rsid w:val="00122724"/>
    <w:rsid w:val="00284887"/>
    <w:rsid w:val="00476363"/>
    <w:rsid w:val="006F3306"/>
    <w:rsid w:val="007324A6"/>
    <w:rsid w:val="009E6B92"/>
    <w:rsid w:val="00CA3CAA"/>
    <w:rsid w:val="00E82368"/>
    <w:rsid w:val="00F375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B5395BD-D135-4216-8394-498155A5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Zg/al0koCgQRbRfJXBhBhKe2gg==">AMUW2mV/+AFcdYSXeZ81/QDBFoO6D0VVUQKlPuYjHiTnQMTwsp6Idn4bFPvIZMkux1vfUuzk1cHWcB1e8V3X+iDm/ulrThWTQw8hh8lfZVJFcCGnfyl6bJc=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7076</Words>
  <Characters>38922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2020-08-28T20:42:00Z</dcterms:created>
  <dcterms:modified xsi:type="dcterms:W3CDTF">2020-09-03T23:12:00Z</dcterms:modified>
</cp:coreProperties>
</file>