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1AF8" w14:textId="69E8BBD8"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5F19AE">
        <w:rPr>
          <w:rFonts w:ascii="Palatino Linotype" w:eastAsia="Times New Roman" w:hAnsi="Palatino Linotype" w:cs="Arial"/>
          <w:color w:val="000000"/>
          <w:sz w:val="24"/>
          <w:szCs w:val="24"/>
          <w:lang w:eastAsia="es-MX"/>
        </w:rPr>
        <w:t>cinco de agosto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2F9B7F56" w14:textId="1C80BDA3" w:rsidR="00CD151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00</w:t>
      </w:r>
      <w:r w:rsidR="008C6064">
        <w:rPr>
          <w:rFonts w:ascii="Palatino Linotype" w:hAnsi="Palatino Linotype" w:cs="Arial"/>
          <w:b/>
          <w:bCs/>
          <w:sz w:val="24"/>
          <w:lang w:eastAsia="es-MX"/>
        </w:rPr>
        <w:t>610</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por</w:t>
      </w:r>
      <w:r w:rsidR="00DC2814">
        <w:rPr>
          <w:rFonts w:ascii="Palatino Linotype" w:hAnsi="Palatino Linotype" w:cs="Arial"/>
          <w:sz w:val="24"/>
        </w:rPr>
        <w:t xml:space="preserve"> la </w:t>
      </w:r>
      <w:r w:rsidR="00DC2814">
        <w:rPr>
          <w:rFonts w:ascii="Palatino Linotype" w:hAnsi="Palatino Linotype" w:cs="Arial"/>
          <w:b/>
          <w:bCs/>
          <w:sz w:val="24"/>
        </w:rPr>
        <w:t xml:space="preserve">C. </w:t>
      </w:r>
      <w:r w:rsidR="000B38A0" w:rsidRPr="000B38A0">
        <w:rPr>
          <w:rFonts w:ascii="Palatino Linotype" w:hAnsi="Palatino Linotype" w:cs="Arial"/>
          <w:b/>
          <w:bCs/>
          <w:sz w:val="24"/>
        </w:rPr>
        <w:t>XXXXXXXXXXXXXX</w:t>
      </w:r>
      <w:r w:rsidR="000B38A0" w:rsidRPr="000B38A0">
        <w:rPr>
          <w:rFonts w:ascii="Palatino Linotype" w:hAnsi="Palatino Linotype" w:cs="Arial"/>
          <w:b/>
          <w:bCs/>
          <w:sz w:val="24"/>
        </w:rPr>
        <w:t xml:space="preserve"> </w:t>
      </w:r>
      <w:bookmarkStart w:id="0" w:name="_GoBack"/>
      <w:bookmarkEnd w:id="0"/>
      <w:r w:rsidR="00DC2814">
        <w:rPr>
          <w:rFonts w:ascii="Palatino Linotype" w:hAnsi="Palatino Linotype" w:cs="Arial"/>
          <w:sz w:val="24"/>
        </w:rPr>
        <w:t>a quien en lo sucesivo se le denominara</w:t>
      </w:r>
      <w:r w:rsidR="0037311B">
        <w:rPr>
          <w:rFonts w:ascii="Palatino Linotype" w:hAnsi="Palatino Linotype" w:cs="Arial"/>
          <w:sz w:val="24"/>
        </w:rPr>
        <w:t xml:space="preserve"> </w:t>
      </w:r>
      <w:r w:rsidR="00DC2814">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DC2814">
        <w:rPr>
          <w:rFonts w:ascii="Palatino Linotype" w:hAnsi="Palatino Linotype" w:cs="Arial"/>
          <w:sz w:val="24"/>
          <w:szCs w:val="24"/>
        </w:rPr>
        <w:t xml:space="preserve"> </w:t>
      </w:r>
      <w:r w:rsidR="00BA65E0">
        <w:rPr>
          <w:rFonts w:ascii="Palatino Linotype" w:hAnsi="Palatino Linotype" w:cs="Arial"/>
          <w:sz w:val="24"/>
          <w:szCs w:val="24"/>
        </w:rPr>
        <w:t>l</w:t>
      </w:r>
      <w:r w:rsidR="00DC2814">
        <w:rPr>
          <w:rFonts w:ascii="Palatino Linotype" w:hAnsi="Palatino Linotype" w:cs="Arial"/>
          <w:sz w:val="24"/>
          <w:szCs w:val="24"/>
        </w:rPr>
        <w:t>a</w:t>
      </w:r>
      <w:r w:rsidRPr="00224181">
        <w:rPr>
          <w:rFonts w:ascii="Palatino Linotype" w:hAnsi="Palatino Linotype" w:cs="Arial"/>
          <w:sz w:val="24"/>
          <w:szCs w:val="24"/>
        </w:rPr>
        <w:t xml:space="preserve"> </w:t>
      </w:r>
      <w:r w:rsidR="008C6064" w:rsidRPr="008C6064">
        <w:rPr>
          <w:rFonts w:ascii="Palatino Linotype" w:hAnsi="Palatino Linotype" w:cs="Arial"/>
          <w:b/>
          <w:sz w:val="24"/>
          <w:szCs w:val="24"/>
        </w:rPr>
        <w:t>Ayuntamiento de Lerma</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5B841D4D"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8C6064">
        <w:rPr>
          <w:rFonts w:ascii="Palatino Linotype" w:hAnsi="Palatino Linotype" w:cs="Arial"/>
          <w:sz w:val="24"/>
        </w:rPr>
        <w:t>trece</w:t>
      </w:r>
      <w:r w:rsidR="00D346AC">
        <w:rPr>
          <w:rFonts w:ascii="Palatino Linotype" w:hAnsi="Palatino Linotype" w:cs="Arial"/>
          <w:sz w:val="24"/>
        </w:rPr>
        <w:t xml:space="preserve"> </w:t>
      </w:r>
      <w:r w:rsidR="00DC2814">
        <w:rPr>
          <w:rFonts w:ascii="Palatino Linotype" w:hAnsi="Palatino Linotype" w:cs="Arial"/>
          <w:sz w:val="24"/>
        </w:rPr>
        <w:t>de enero de dos mil veinte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8C6064" w:rsidRPr="008C6064">
        <w:rPr>
          <w:rFonts w:ascii="Palatino Linotype" w:hAnsi="Palatino Linotype" w:cs="Arial"/>
          <w:b/>
          <w:sz w:val="24"/>
        </w:rPr>
        <w:t>00008/LERMA/IP/2020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50159B73"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CD1514">
        <w:rPr>
          <w:rFonts w:ascii="Palatino Linotype" w:eastAsia="Times New Roman" w:hAnsi="Palatino Linotype" w:cs="Times New Roman"/>
          <w:i/>
          <w:lang w:val="es-ES_tradnl" w:eastAsia="es-ES"/>
        </w:rPr>
        <w:t>i</w:t>
      </w:r>
      <w:r w:rsidR="00CD1514" w:rsidRPr="00CD1514">
        <w:rPr>
          <w:rFonts w:ascii="Palatino Linotype" w:eastAsia="Times New Roman" w:hAnsi="Palatino Linotype" w:cs="Times New Roman"/>
          <w:i/>
          <w:lang w:val="es-ES_tradnl" w:eastAsia="es-ES"/>
        </w:rPr>
        <w:t xml:space="preserve">nforme oficios y todo documento presentado mes con mes por el presidente municipal y leído ante el cabildo que se relacionan con los laudos labores pagados y </w:t>
      </w:r>
      <w:proofErr w:type="gramStart"/>
      <w:r w:rsidR="00CD1514" w:rsidRPr="00CD1514">
        <w:rPr>
          <w:rFonts w:ascii="Palatino Linotype" w:eastAsia="Times New Roman" w:hAnsi="Palatino Linotype" w:cs="Times New Roman"/>
          <w:i/>
          <w:lang w:val="es-ES_tradnl" w:eastAsia="es-ES"/>
        </w:rPr>
        <w:t>pendientes</w:t>
      </w:r>
      <w:proofErr w:type="gramEnd"/>
      <w:r w:rsidR="00CD1514" w:rsidRPr="00CD1514">
        <w:rPr>
          <w:rFonts w:ascii="Palatino Linotype" w:eastAsia="Times New Roman" w:hAnsi="Palatino Linotype" w:cs="Times New Roman"/>
          <w:i/>
          <w:lang w:val="es-ES_tradnl" w:eastAsia="es-ES"/>
        </w:rPr>
        <w:t xml:space="preserve"> así como copia del cheque emitido por la tesorería para el buen cobro del ejercicio 2019</w:t>
      </w:r>
      <w:r w:rsidR="006221EC" w:rsidRPr="006221EC">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6648E929" w14:textId="61589F24"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1FDE1BFF" w14:textId="77777777" w:rsidR="00CD1514" w:rsidRDefault="00CD1514"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5C0F8E22" w:rsidR="006C3577" w:rsidRPr="00D02974"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CD1514">
        <w:rPr>
          <w:rFonts w:ascii="Palatino Linotype" w:hAnsi="Palatino Linotype" w:cs="Arial"/>
          <w:sz w:val="24"/>
        </w:rPr>
        <w:t>diecisiete</w:t>
      </w:r>
      <w:r w:rsidR="00DC2814">
        <w:rPr>
          <w:rFonts w:ascii="Palatino Linotype" w:hAnsi="Palatino Linotype" w:cs="Arial"/>
          <w:sz w:val="24"/>
        </w:rPr>
        <w:t xml:space="preserve"> de enero de dos mil veinte adjuntando para tales efectos un archivo electrónico denominado </w:t>
      </w:r>
      <w:r w:rsidR="00DC2814" w:rsidRPr="00DC2814">
        <w:rPr>
          <w:rFonts w:ascii="Palatino Linotype" w:hAnsi="Palatino Linotype" w:cs="Arial"/>
          <w:i/>
          <w:iCs/>
          <w:sz w:val="24"/>
        </w:rPr>
        <w:t>“</w:t>
      </w:r>
      <w:r w:rsidR="00CD1514" w:rsidRPr="00CD1514">
        <w:rPr>
          <w:rFonts w:ascii="Palatino Linotype" w:hAnsi="Palatino Linotype" w:cs="Arial"/>
          <w:i/>
          <w:iCs/>
          <w:sz w:val="24"/>
        </w:rPr>
        <w:t>20200117144935653.pdf</w:t>
      </w:r>
      <w:r w:rsidR="00DC2814" w:rsidRPr="00DC2814">
        <w:rPr>
          <w:rFonts w:ascii="Palatino Linotype" w:hAnsi="Palatino Linotype" w:cs="Arial"/>
          <w:i/>
          <w:iCs/>
          <w:sz w:val="24"/>
        </w:rPr>
        <w:t>”</w:t>
      </w:r>
      <w:r w:rsidR="00DC2814">
        <w:rPr>
          <w:rFonts w:ascii="Palatino Linotype" w:hAnsi="Palatino Linotype" w:cs="Arial"/>
          <w:sz w:val="24"/>
        </w:rPr>
        <w:t xml:space="preserve"> el cual se tiene por reproducido al ser del conocimiento de las partes y en obvio de reproducciones ociosas.</w:t>
      </w:r>
    </w:p>
    <w:p w14:paraId="504380B9" w14:textId="77777777" w:rsidR="00CD1514" w:rsidRPr="00CD1514" w:rsidRDefault="00CD1514" w:rsidP="00CD1514">
      <w:pPr>
        <w:spacing w:before="240" w:line="360" w:lineRule="auto"/>
        <w:ind w:left="708"/>
        <w:jc w:val="both"/>
        <w:rPr>
          <w:rFonts w:ascii="Palatino Linotype" w:hAnsi="Palatino Linotype" w:cs="Arial"/>
          <w:i/>
          <w:iCs/>
          <w:sz w:val="24"/>
        </w:rPr>
      </w:pPr>
      <w:r w:rsidRPr="00CD1514">
        <w:rPr>
          <w:rFonts w:ascii="Palatino Linotype" w:hAnsi="Palatino Linotype" w:cs="Arial"/>
          <w:i/>
          <w:iCs/>
          <w:sz w:val="24"/>
        </w:rPr>
        <w:t>Conforme al artículo 167 de la Ley de Transparencia y Acceso a la Información Pública del Estado de México y Municipios, se da respuesta a su solicitud.</w:t>
      </w:r>
    </w:p>
    <w:p w14:paraId="48AE0BB4" w14:textId="77777777" w:rsidR="00CD1514" w:rsidRPr="00CD1514" w:rsidRDefault="00CD1514" w:rsidP="00CD1514">
      <w:pPr>
        <w:spacing w:before="240" w:line="360" w:lineRule="auto"/>
        <w:ind w:left="708"/>
        <w:jc w:val="both"/>
        <w:rPr>
          <w:rFonts w:ascii="Palatino Linotype" w:hAnsi="Palatino Linotype" w:cs="Arial"/>
          <w:i/>
          <w:iCs/>
          <w:sz w:val="24"/>
        </w:rPr>
      </w:pPr>
      <w:r w:rsidRPr="00CD1514">
        <w:rPr>
          <w:rFonts w:ascii="Palatino Linotype" w:hAnsi="Palatino Linotype" w:cs="Arial"/>
          <w:i/>
          <w:iCs/>
          <w:sz w:val="24"/>
        </w:rPr>
        <w:t>ATENTAMENTE</w:t>
      </w:r>
    </w:p>
    <w:p w14:paraId="402246F7" w14:textId="77777777" w:rsidR="00CD1514" w:rsidRDefault="00CD1514" w:rsidP="00CD1514">
      <w:pPr>
        <w:spacing w:before="240" w:line="360" w:lineRule="auto"/>
        <w:ind w:left="708"/>
        <w:jc w:val="both"/>
        <w:rPr>
          <w:rFonts w:ascii="Palatino Linotype" w:hAnsi="Palatino Linotype" w:cs="Arial"/>
          <w:i/>
          <w:iCs/>
          <w:sz w:val="24"/>
        </w:rPr>
      </w:pPr>
      <w:r w:rsidRPr="00CD1514">
        <w:rPr>
          <w:rFonts w:ascii="Palatino Linotype" w:hAnsi="Palatino Linotype" w:cs="Arial"/>
          <w:i/>
          <w:iCs/>
          <w:sz w:val="24"/>
        </w:rPr>
        <w:t>DANIELA GONZÁLEZ HERNÁNDEZ</w:t>
      </w:r>
    </w:p>
    <w:p w14:paraId="05B653FD" w14:textId="2590D403" w:rsidR="00A66428" w:rsidRPr="006C3577" w:rsidRDefault="00955CD0" w:rsidP="00CD1514">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0DD42176"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9E3478">
        <w:rPr>
          <w:rFonts w:ascii="Palatino Linotype" w:hAnsi="Palatino Linotype" w:cs="Arial"/>
          <w:sz w:val="24"/>
          <w:szCs w:val="24"/>
        </w:rPr>
        <w:t>veintiuno</w:t>
      </w:r>
      <w:r w:rsidR="006221EC">
        <w:rPr>
          <w:rFonts w:ascii="Palatino Linotype" w:hAnsi="Palatino Linotype" w:cs="Arial"/>
          <w:sz w:val="24"/>
          <w:szCs w:val="24"/>
        </w:rPr>
        <w:t xml:space="preserve">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w:t>
      </w:r>
      <w:r w:rsidR="00CD1514">
        <w:rPr>
          <w:rFonts w:ascii="Palatino Linotype" w:hAnsi="Palatino Linotype" w:cs="Arial"/>
          <w:b/>
          <w:bCs/>
          <w:sz w:val="24"/>
          <w:szCs w:val="24"/>
          <w:lang w:eastAsia="es-MX"/>
        </w:rPr>
        <w:t>610</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7891D969"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CD1514" w:rsidRPr="00CD1514">
        <w:rPr>
          <w:rFonts w:ascii="Palatino Linotype" w:hAnsi="Palatino Linotype"/>
          <w:i/>
          <w:color w:val="000000"/>
        </w:rPr>
        <w:t>respuesta emitida</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5C77CDB0" w:rsidR="00A66428"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9E3478" w:rsidRPr="009E3478">
        <w:rPr>
          <w:rFonts w:ascii="Palatino Linotype" w:hAnsi="Palatino Linotype" w:cs="Arial"/>
          <w:i/>
        </w:rPr>
        <w:t xml:space="preserve">Se emite una respuesta de incompetencia, la misma que viene infundada toda vez que no se realizo de acuerdo a lo establecido en el marco normativo de referencia es decir dentro de los primeros 5 días para manifestar que no era como se argumenta de </w:t>
      </w:r>
      <w:r w:rsidR="009E3478" w:rsidRPr="009E3478">
        <w:rPr>
          <w:rFonts w:ascii="Palatino Linotype" w:hAnsi="Palatino Linotype" w:cs="Arial"/>
          <w:i/>
        </w:rPr>
        <w:lastRenderedPageBreak/>
        <w:t>su competencia, así mismo se evita hacer el pronunciamiento de a quien o quienes se les ah emitido un cheque o pago que establezca el monto recibido por dicho concepto conforme al articulo 24 de la ley de transparencia que se refiere lo siguiente:FRACCIÓN XVIII. Hacer pública toda aquella información relativa a los montos y las personas a quienes entreguen, por cualquier motivo, recursos públicos ; por lo anterior queda constancia de la deficiencia y negligencia con la que actúa este sujeto obligado; no omitiendo mencionar que se solicita al infoem emitir y ordenar la entrega de la documentación de referencia de todos y cada uno de los puntos señalados</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70FC2BA4"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20D6C">
        <w:rPr>
          <w:rFonts w:ascii="Palatino Linotype" w:hAnsi="Palatino Linotype" w:cs="Arial"/>
          <w:sz w:val="24"/>
          <w:szCs w:val="24"/>
        </w:rPr>
        <w:t>veintisiete de</w:t>
      </w:r>
      <w:r w:rsidR="00122C38">
        <w:rPr>
          <w:rFonts w:ascii="Palatino Linotype" w:hAnsi="Palatino Linotype" w:cs="Arial"/>
          <w:sz w:val="24"/>
          <w:szCs w:val="24"/>
        </w:rPr>
        <w:t xml:space="preserv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7F3128C4"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80F65">
        <w:rPr>
          <w:rFonts w:ascii="Palatino Linotype" w:hAnsi="Palatino Linotype" w:cs="Arial"/>
          <w:sz w:val="24"/>
          <w:szCs w:val="24"/>
        </w:rPr>
        <w:t>fue omiso en presentar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80F65">
        <w:rPr>
          <w:rFonts w:ascii="Palatino Linotype" w:hAnsi="Palatino Linotype" w:cs="Arial"/>
          <w:sz w:val="24"/>
          <w:szCs w:val="24"/>
        </w:rPr>
        <w:t>once de febrero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06B70C91"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1C1F13">
        <w:rPr>
          <w:rFonts w:ascii="Palatino Linotype" w:hAnsi="Palatino Linotype" w:cs="Arial"/>
          <w:sz w:val="24"/>
          <w:szCs w:val="24"/>
        </w:rPr>
        <w:t>doce</w:t>
      </w:r>
      <w:r w:rsidR="00DC2814">
        <w:rPr>
          <w:rFonts w:ascii="Palatino Linotype" w:hAnsi="Palatino Linotype" w:cs="Arial"/>
          <w:sz w:val="24"/>
          <w:szCs w:val="24"/>
        </w:rPr>
        <w:t xml:space="preserve"> de marzo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F34C257" w14:textId="40F812AA" w:rsidR="00611F2D" w:rsidRPr="009E5FF7" w:rsidRDefault="00611F2D" w:rsidP="00DC281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t>TERCERO.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10F06EBF" w:rsidR="00611F2D" w:rsidRPr="008C3CD8" w:rsidRDefault="00DC2814"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3BF6F9AA" w14:textId="65C4A6E4" w:rsidR="00520D6C" w:rsidRPr="00931098" w:rsidRDefault="00931098" w:rsidP="00931098">
      <w:pPr>
        <w:pStyle w:val="Prrafodelista"/>
        <w:numPr>
          <w:ilvl w:val="0"/>
          <w:numId w:val="32"/>
        </w:numPr>
        <w:tabs>
          <w:tab w:val="left" w:pos="709"/>
        </w:tabs>
        <w:spacing w:before="240" w:line="360" w:lineRule="auto"/>
        <w:ind w:right="51"/>
        <w:jc w:val="both"/>
        <w:rPr>
          <w:rFonts w:ascii="Palatino Linotype" w:hAnsi="Palatino Linotype"/>
          <w:i/>
          <w:iCs/>
        </w:rPr>
      </w:pPr>
      <w:r w:rsidRPr="00931098">
        <w:rPr>
          <w:rFonts w:ascii="Palatino Linotype" w:hAnsi="Palatino Linotype"/>
          <w:i/>
          <w:iCs/>
        </w:rPr>
        <w:t xml:space="preserve">informe oficios y todo documento presentado mes con mes por el presidente municipal y leído ante el cabildo que se relacionan con los laudos labores pagados y </w:t>
      </w:r>
      <w:proofErr w:type="gramStart"/>
      <w:r w:rsidRPr="00931098">
        <w:rPr>
          <w:rFonts w:ascii="Palatino Linotype" w:hAnsi="Palatino Linotype"/>
          <w:i/>
          <w:iCs/>
        </w:rPr>
        <w:t>pendientes</w:t>
      </w:r>
      <w:proofErr w:type="gramEnd"/>
      <w:r w:rsidRPr="00931098">
        <w:rPr>
          <w:rFonts w:ascii="Palatino Linotype" w:hAnsi="Palatino Linotype"/>
          <w:i/>
          <w:iCs/>
        </w:rPr>
        <w:t xml:space="preserve"> así como copia del cheque emitido por la tesorería para el buen cobro del ejercicio 2019</w:t>
      </w:r>
    </w:p>
    <w:p w14:paraId="4B6DF6A5" w14:textId="17F75EC5" w:rsidR="00520D6C" w:rsidRDefault="001311C9" w:rsidP="00141B7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su parte, el sujeto obligado señalo que la información referida por el particular en sus requerimientos no es competencia de dicho organismo</w:t>
      </w:r>
      <w:r w:rsidR="00EF551B">
        <w:rPr>
          <w:rFonts w:ascii="Palatino Linotype" w:hAnsi="Palatino Linotype"/>
          <w:sz w:val="24"/>
          <w:szCs w:val="24"/>
        </w:rPr>
        <w:t xml:space="preserve"> y por lo que respecta a los laudos no es una información que genere el Ayuntamiento.</w:t>
      </w:r>
    </w:p>
    <w:p w14:paraId="6AA4A836" w14:textId="77777777" w:rsidR="00AD0102" w:rsidRDefault="00AD0102" w:rsidP="00AD0102">
      <w:pPr>
        <w:spacing w:before="240" w:after="240" w:line="360" w:lineRule="auto"/>
        <w:jc w:val="both"/>
        <w:rPr>
          <w:rFonts w:ascii="Palatino Linotype" w:hAnsi="Palatino Linotype"/>
          <w:sz w:val="24"/>
        </w:rPr>
      </w:pPr>
      <w:r>
        <w:rPr>
          <w:rFonts w:ascii="Palatino Linotype" w:hAnsi="Palatino Linotype"/>
          <w:sz w:val="24"/>
        </w:rPr>
        <w:t xml:space="preserve">Así, es importante hacer mención que este </w:t>
      </w:r>
      <w:r w:rsidRPr="0024761B">
        <w:rPr>
          <w:rFonts w:ascii="Palatino Linotype" w:hAnsi="Palatino Linotype"/>
          <w:sz w:val="24"/>
        </w:rPr>
        <w:t xml:space="preserve">Órgano Garante considera pertinente analizar si </w:t>
      </w:r>
      <w:r>
        <w:rPr>
          <w:rFonts w:ascii="Palatino Linotype" w:hAnsi="Palatino Linotype"/>
          <w:sz w:val="24"/>
        </w:rPr>
        <w:t xml:space="preserve">el sujeto obligado, </w:t>
      </w:r>
      <w:r w:rsidRPr="0024761B">
        <w:rPr>
          <w:rFonts w:ascii="Palatino Linotype" w:hAnsi="Palatino Linotype"/>
          <w:sz w:val="24"/>
        </w:rPr>
        <w:t>es la autoridad competente para conocer de dicha solicitud, es decir, si se trata de información que deba generar, administrar o poseer por virtud del ámbito de sus atribuciones.</w:t>
      </w:r>
    </w:p>
    <w:p w14:paraId="0F5ACF5D" w14:textId="77777777"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Bajo ese tenor, el sujeto obligado al llevar a cabo la función de </w:t>
      </w:r>
      <w:r w:rsidRPr="001B2140">
        <w:rPr>
          <w:rFonts w:ascii="Palatino Linotype" w:hAnsi="Palatino Linotype" w:cs="Arial"/>
          <w:sz w:val="24"/>
          <w:szCs w:val="24"/>
        </w:rPr>
        <w:t>la conciliación, tramitación y decisión de los conflictos de trabajo que se susciten entre las trabajadoras o los trabajadores y las y los patrones, solo entre aquéllos o solo entre éstos, derivados de las relaciones de trabajo o de hechos íntimamente ligados con ellas</w:t>
      </w:r>
      <w:r>
        <w:rPr>
          <w:rFonts w:ascii="Palatino Linotype" w:hAnsi="Palatino Linotype" w:cs="Arial"/>
          <w:sz w:val="24"/>
          <w:szCs w:val="24"/>
        </w:rPr>
        <w:t>, aplica los dispositivos legales inmersos en la Constitución General y la Ley Federal del Trabajo.</w:t>
      </w:r>
    </w:p>
    <w:p w14:paraId="29D1E818" w14:textId="77777777"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Esta autoridad administrativa parte de la premisa normativa que regula los expedientes laborales ante las juntas de conciliación y arbitraje, en términos de lo </w:t>
      </w:r>
      <w:r>
        <w:rPr>
          <w:rFonts w:ascii="Palatino Linotype" w:hAnsi="Palatino Linotype" w:cs="Arial"/>
          <w:sz w:val="24"/>
          <w:szCs w:val="24"/>
        </w:rPr>
        <w:lastRenderedPageBreak/>
        <w:t>dispuesto por la Ley Federal del Trabajo, ordenamiento jurídico aplicable al sujeto obligado.</w:t>
      </w:r>
    </w:p>
    <w:p w14:paraId="74C1BB3B" w14:textId="77777777"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Así, en términos de lo que dispone la Ley Federal del Trabajo, las resoluciones de los tribunales laborales son los acuerdos, las que corresponden a simples determinaciones de trámite o cuando decidan cualquier cuestión dentro del negocio; autos incidentales o resoluciones interlocutorias, aquellas que resuelven dentro o fuera de juicio un incidente y </w:t>
      </w:r>
      <w:r w:rsidRPr="002C01DF">
        <w:rPr>
          <w:rFonts w:ascii="Palatino Linotype" w:hAnsi="Palatino Linotype" w:cs="Arial"/>
          <w:b/>
          <w:sz w:val="24"/>
          <w:szCs w:val="24"/>
        </w:rPr>
        <w:t>los laudos que deciden sobre el fondo del asunto</w:t>
      </w:r>
      <w:r>
        <w:rPr>
          <w:rStyle w:val="Refdenotaalpie"/>
          <w:rFonts w:ascii="Palatino Linotype" w:hAnsi="Palatino Linotype" w:cs="Arial"/>
          <w:sz w:val="24"/>
          <w:szCs w:val="24"/>
        </w:rPr>
        <w:footnoteReference w:id="2"/>
      </w:r>
      <w:r>
        <w:rPr>
          <w:rFonts w:ascii="Palatino Linotype" w:hAnsi="Palatino Linotype" w:cs="Arial"/>
          <w:sz w:val="24"/>
          <w:szCs w:val="24"/>
        </w:rPr>
        <w:t>.</w:t>
      </w:r>
    </w:p>
    <w:p w14:paraId="4738B075" w14:textId="77777777"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Asimismo, los numerales 840, 841 y 848 de la citada ley federal, señalan en lo que nos interesa:</w:t>
      </w:r>
    </w:p>
    <w:p w14:paraId="64D6533D" w14:textId="77777777" w:rsidR="00AD0102" w:rsidRPr="00A74F4B" w:rsidRDefault="00AD0102" w:rsidP="00AD0102">
      <w:pPr>
        <w:tabs>
          <w:tab w:val="left" w:pos="709"/>
        </w:tabs>
        <w:spacing w:line="360" w:lineRule="auto"/>
        <w:ind w:left="851"/>
        <w:jc w:val="both"/>
        <w:rPr>
          <w:rFonts w:ascii="Palatino Linotype" w:hAnsi="Palatino Linotype" w:cs="Arial"/>
          <w:i/>
          <w:sz w:val="24"/>
          <w:szCs w:val="24"/>
        </w:rPr>
      </w:pPr>
      <w:r w:rsidRPr="00A74F4B">
        <w:rPr>
          <w:rFonts w:ascii="Palatino Linotype" w:hAnsi="Palatino Linotype"/>
          <w:i/>
        </w:rPr>
        <w:t>Artículo 841. Los laudos se dictarán a verdad sabida y buena fe guardada, y apreciando los hechos en conciencia, sin necesidad de sujetarse a reglas o formulismos sobre estimación de las pruebas, pero las Juntas de Conciliación y Arbitraje están obligadas a estudiar pormenorizadamente las rendidas, haciendo la valoración de las mismas. Asimismo, expresarán los motivos y fundamentos legales en que se apoyan.</w:t>
      </w:r>
    </w:p>
    <w:p w14:paraId="0D444A18" w14:textId="77777777" w:rsidR="00AD0102" w:rsidRPr="00A74F4B" w:rsidRDefault="00AD0102" w:rsidP="00AD0102">
      <w:pPr>
        <w:tabs>
          <w:tab w:val="left" w:pos="709"/>
        </w:tabs>
        <w:spacing w:line="360" w:lineRule="auto"/>
        <w:ind w:left="851"/>
        <w:jc w:val="both"/>
        <w:rPr>
          <w:rFonts w:ascii="Palatino Linotype" w:hAnsi="Palatino Linotype" w:cs="Arial"/>
          <w:i/>
          <w:sz w:val="24"/>
          <w:szCs w:val="24"/>
        </w:rPr>
      </w:pPr>
      <w:r w:rsidRPr="00A74F4B">
        <w:rPr>
          <w:rFonts w:ascii="Palatino Linotype" w:hAnsi="Palatino Linotype"/>
          <w:i/>
        </w:rPr>
        <w:t>Artículo 842.- Los laudos deben ser claros, precisos y congruentes con la demanda, contestación, y demás pretensiones deducidas en el juicio oportunamente.</w:t>
      </w:r>
    </w:p>
    <w:p w14:paraId="0FDB22A9" w14:textId="77777777" w:rsidR="00AD0102" w:rsidRPr="00A74F4B" w:rsidRDefault="00AD0102" w:rsidP="00AD0102">
      <w:pPr>
        <w:tabs>
          <w:tab w:val="left" w:pos="709"/>
        </w:tabs>
        <w:spacing w:line="360" w:lineRule="auto"/>
        <w:ind w:left="851"/>
        <w:jc w:val="both"/>
        <w:rPr>
          <w:rFonts w:ascii="Palatino Linotype" w:hAnsi="Palatino Linotype" w:cs="Arial"/>
          <w:b/>
          <w:i/>
          <w:sz w:val="24"/>
          <w:szCs w:val="24"/>
        </w:rPr>
      </w:pPr>
      <w:r w:rsidRPr="00A74F4B">
        <w:rPr>
          <w:rFonts w:ascii="Palatino Linotype" w:hAnsi="Palatino Linotype"/>
          <w:b/>
          <w:i/>
        </w:rPr>
        <w:t>Artículo 848.-</w:t>
      </w:r>
      <w:r w:rsidRPr="00A74F4B">
        <w:rPr>
          <w:rFonts w:ascii="Palatino Linotype" w:hAnsi="Palatino Linotype"/>
          <w:i/>
        </w:rPr>
        <w:t xml:space="preserve"> </w:t>
      </w:r>
      <w:r w:rsidRPr="00A74F4B">
        <w:rPr>
          <w:rFonts w:ascii="Palatino Linotype" w:hAnsi="Palatino Linotype"/>
          <w:b/>
          <w:i/>
        </w:rPr>
        <w:t>Las resoluciones de las Juntas no admiten ningún recurso. Las Juntas no pueden revocar sus resoluciones.</w:t>
      </w:r>
    </w:p>
    <w:p w14:paraId="64CD59C0" w14:textId="77777777" w:rsidR="00AD0102" w:rsidRPr="00A74F4B" w:rsidRDefault="00AD0102" w:rsidP="00AD0102">
      <w:pPr>
        <w:tabs>
          <w:tab w:val="left" w:pos="709"/>
        </w:tabs>
        <w:spacing w:line="360" w:lineRule="auto"/>
        <w:ind w:left="851"/>
        <w:jc w:val="both"/>
        <w:rPr>
          <w:rFonts w:ascii="Palatino Linotype" w:hAnsi="Palatino Linotype" w:cs="Arial"/>
          <w:i/>
          <w:sz w:val="24"/>
          <w:szCs w:val="24"/>
        </w:rPr>
      </w:pPr>
      <w:r w:rsidRPr="00A74F4B">
        <w:rPr>
          <w:rFonts w:ascii="Palatino Linotype" w:hAnsi="Palatino Linotype"/>
          <w:i/>
        </w:rPr>
        <w:t>Las partes pueden exigir la responsabilidad en que incurran los miembros de la Junta.</w:t>
      </w:r>
    </w:p>
    <w:p w14:paraId="50D9F35A" w14:textId="77777777"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De los dispositivos legales se desprende la particularidad de que el laudo decide el fondo del asunto y una vez emitido por las juntas, no admite medio de impugnación </w:t>
      </w:r>
      <w:r>
        <w:rPr>
          <w:rFonts w:ascii="Palatino Linotype" w:hAnsi="Palatino Linotype" w:cs="Arial"/>
          <w:sz w:val="24"/>
          <w:szCs w:val="24"/>
        </w:rPr>
        <w:lastRenderedPageBreak/>
        <w:t xml:space="preserve">ordinario, existiendo una restricción a que las juntas revoquen sus determinaciones, lo que permite colegir que los laudos causan ejecutoria por ministerio de ley, es decir, que en términos de lo dispuesto por el numeral 848 de la Ley Federal en comento no prevé </w:t>
      </w:r>
      <w:r w:rsidRPr="00F80ECC">
        <w:rPr>
          <w:rFonts w:ascii="Palatino Linotype" w:hAnsi="Palatino Linotype" w:cs="Arial"/>
          <w:sz w:val="24"/>
          <w:szCs w:val="24"/>
        </w:rPr>
        <w:t xml:space="preserve">medio ordinario de impugnación que permita </w:t>
      </w:r>
      <w:r>
        <w:rPr>
          <w:rFonts w:ascii="Palatino Linotype" w:hAnsi="Palatino Linotype" w:cs="Arial"/>
          <w:sz w:val="24"/>
          <w:szCs w:val="24"/>
        </w:rPr>
        <w:t>combatirlo o refutarlo, siendo éste ejecutable.</w:t>
      </w:r>
    </w:p>
    <w:p w14:paraId="545994B1" w14:textId="77777777"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Asimismo, el numeral 140 fracciones VI y VIII regulan supuestos de reserva que serán aplicados excepcionalmente, cuando por razones de interés público se pueda vulnerar la conducción de los expedientes judiciales o de los procedimientos administrativos seguidos en forma de juicio, </w:t>
      </w:r>
      <w:r w:rsidRPr="00592F1F">
        <w:rPr>
          <w:rFonts w:ascii="Palatino Linotype" w:hAnsi="Palatino Linotype" w:cs="Arial"/>
          <w:sz w:val="24"/>
          <w:szCs w:val="24"/>
          <w:u w:val="single"/>
        </w:rPr>
        <w:t>en tanto no hayan quedado firmes</w:t>
      </w:r>
      <w:r>
        <w:rPr>
          <w:rFonts w:ascii="Palatino Linotype" w:hAnsi="Palatino Linotype" w:cs="Arial"/>
          <w:sz w:val="24"/>
          <w:szCs w:val="24"/>
        </w:rPr>
        <w:t xml:space="preserve"> o </w:t>
      </w:r>
      <w:r w:rsidRPr="000518BA">
        <w:rPr>
          <w:rFonts w:ascii="Palatino Linotype" w:hAnsi="Palatino Linotype" w:cs="Arial"/>
          <w:sz w:val="24"/>
          <w:szCs w:val="24"/>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w:t>
      </w:r>
      <w:r w:rsidRPr="00592F1F">
        <w:rPr>
          <w:rFonts w:ascii="Palatino Linotype" w:hAnsi="Palatino Linotype" w:cs="Arial"/>
          <w:sz w:val="24"/>
          <w:szCs w:val="24"/>
          <w:u w:val="single"/>
        </w:rPr>
        <w:t>en tanto no hayan quedado firmes</w:t>
      </w:r>
      <w:r w:rsidRPr="000518BA">
        <w:rPr>
          <w:rFonts w:ascii="Palatino Linotype" w:hAnsi="Palatino Linotype" w:cs="Arial"/>
          <w:sz w:val="24"/>
          <w:szCs w:val="24"/>
        </w:rPr>
        <w:t xml:space="preserve"> o afecte la administración de justicia o la seguridad de un denunciante, querellante o testigo, así como sus familias, en los términos de las disp</w:t>
      </w:r>
      <w:r>
        <w:rPr>
          <w:rFonts w:ascii="Palatino Linotype" w:hAnsi="Palatino Linotype" w:cs="Arial"/>
          <w:sz w:val="24"/>
          <w:szCs w:val="24"/>
        </w:rPr>
        <w:t>osiciones jurídicas aplicables.</w:t>
      </w:r>
    </w:p>
    <w:p w14:paraId="1B419358" w14:textId="46A8E32A" w:rsidR="00AD0102" w:rsidRDefault="00AD0102" w:rsidP="00AD0102">
      <w:pPr>
        <w:tabs>
          <w:tab w:val="left" w:pos="709"/>
        </w:tabs>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Bajo lo anterior, para no vulnerar la conducción de expedientes judiciales o de procedimientos administrativos seguidos en forma de juicio </w:t>
      </w:r>
      <w:r w:rsidRPr="00215CD4">
        <w:rPr>
          <w:rFonts w:ascii="Palatino Linotype" w:hAnsi="Palatino Linotype" w:cs="Arial"/>
          <w:sz w:val="24"/>
          <w:szCs w:val="24"/>
          <w:u w:val="single"/>
        </w:rPr>
        <w:t>se requiere que éstos no hayan quedado firmes o causado ejecutoria.</w:t>
      </w:r>
    </w:p>
    <w:p w14:paraId="3DBE5F5A" w14:textId="1D90CD39" w:rsidR="00AD0102" w:rsidRDefault="00AD0102" w:rsidP="00AD010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de manera robustecedora con lo dispuesto por el numeral Trigésimo parte </w:t>
      </w:r>
      <w:r w:rsidRPr="0003226C">
        <w:rPr>
          <w:rFonts w:ascii="Palatino Linotype" w:hAnsi="Palatino Linotype" w:cs="Arial"/>
          <w:i/>
          <w:sz w:val="24"/>
          <w:szCs w:val="24"/>
        </w:rPr>
        <w:t>in fine</w:t>
      </w:r>
      <w:r>
        <w:rPr>
          <w:rFonts w:ascii="Palatino Linotype" w:hAnsi="Palatino Linotype" w:cs="Arial"/>
          <w:sz w:val="24"/>
          <w:szCs w:val="24"/>
        </w:rPr>
        <w:t xml:space="preserve"> de los </w:t>
      </w:r>
      <w:r w:rsidRPr="0006366A">
        <w:rPr>
          <w:rFonts w:ascii="Palatino Linotype" w:hAnsi="Palatino Linotype" w:cs="Arial"/>
          <w:sz w:val="24"/>
          <w:szCs w:val="24"/>
        </w:rPr>
        <w:t>Lineamientos Generales en Materia de Clasificación y Desclasificación de la Información, así como para la Elaboración de Versiones Pública</w:t>
      </w:r>
      <w:r>
        <w:rPr>
          <w:rFonts w:ascii="Palatino Linotype" w:hAnsi="Palatino Linotype" w:cs="Arial"/>
          <w:sz w:val="24"/>
          <w:szCs w:val="24"/>
        </w:rPr>
        <w:t xml:space="preserve">, el cual señala en lo que nos interesa: </w:t>
      </w:r>
    </w:p>
    <w:p w14:paraId="2C176015"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lastRenderedPageBreak/>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17CDC5C5"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I. La existencia de un juicio o procedimiento administrativo materialmente jurisdiccional, que se encuentre en trámite, y</w:t>
      </w:r>
    </w:p>
    <w:p w14:paraId="4C28DCA0"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II. Que la información solicitada se refiera a actuaciones, diligencias o constancias propias del procedimiento.</w:t>
      </w:r>
    </w:p>
    <w:p w14:paraId="56A4B998"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Para los efectos del primer párrafo de este numeral, se considera procedimiento seguido en forma de juicio a aquel formalmente administrativo, pero materialmente jurisdiccional; esto es, en el que concurran los siguientes elementos:</w:t>
      </w:r>
    </w:p>
    <w:p w14:paraId="0870E366"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 xml:space="preserve">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6DD07819"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i/>
          <w:sz w:val="22"/>
          <w:szCs w:val="22"/>
          <w:lang w:val="es-MX" w:eastAsia="en-US"/>
        </w:rPr>
      </w:pPr>
      <w:r w:rsidRPr="0006366A">
        <w:rPr>
          <w:rFonts w:ascii="Palatino Linotype" w:eastAsiaTheme="minorHAnsi" w:hAnsi="Palatino Linotype" w:cstheme="minorBidi"/>
          <w:i/>
          <w:sz w:val="22"/>
          <w:szCs w:val="22"/>
          <w:lang w:val="es-MX" w:eastAsia="en-US"/>
        </w:rPr>
        <w:t>2. Que se cumplan las formalidades esenciales del procedimiento.</w:t>
      </w:r>
    </w:p>
    <w:p w14:paraId="719C5230" w14:textId="77777777" w:rsidR="00AD0102" w:rsidRPr="0006366A" w:rsidRDefault="00AD0102" w:rsidP="00AD0102">
      <w:pPr>
        <w:pStyle w:val="Prrafodelista"/>
        <w:autoSpaceDE w:val="0"/>
        <w:autoSpaceDN w:val="0"/>
        <w:adjustRightInd w:val="0"/>
        <w:spacing w:before="240" w:after="160" w:line="360" w:lineRule="auto"/>
        <w:ind w:left="851"/>
        <w:jc w:val="both"/>
        <w:rPr>
          <w:rFonts w:ascii="Palatino Linotype" w:eastAsiaTheme="minorHAnsi" w:hAnsi="Palatino Linotype" w:cstheme="minorBidi"/>
          <w:b/>
          <w:i/>
          <w:sz w:val="22"/>
          <w:szCs w:val="22"/>
          <w:lang w:val="es-MX" w:eastAsia="en-US"/>
        </w:rPr>
      </w:pPr>
      <w:r w:rsidRPr="00592F1F">
        <w:rPr>
          <w:rFonts w:ascii="Palatino Linotype" w:eastAsiaTheme="minorHAnsi" w:hAnsi="Palatino Linotype" w:cstheme="minorBidi"/>
          <w:b/>
          <w:i/>
          <w:sz w:val="22"/>
          <w:szCs w:val="22"/>
          <w:u w:val="single"/>
          <w:lang w:val="es-MX" w:eastAsia="en-US"/>
        </w:rPr>
        <w:t>No serán objeto de reserva las resoluciones interlocutorias o definitivas que se dicten dentro de los procedimientos o con las que se concluya el mismo.</w:t>
      </w:r>
      <w:r w:rsidRPr="0006366A">
        <w:rPr>
          <w:rFonts w:ascii="Palatino Linotype" w:eastAsiaTheme="minorHAnsi" w:hAnsi="Palatino Linotype" w:cstheme="minorBidi"/>
          <w:b/>
          <w:i/>
          <w:sz w:val="22"/>
          <w:szCs w:val="22"/>
          <w:lang w:val="es-MX" w:eastAsia="en-US"/>
        </w:rPr>
        <w:t xml:space="preserve"> En estos casos deberá otorgarse acceso a la resolución en versión pública, testando la información clasificada</w:t>
      </w:r>
    </w:p>
    <w:p w14:paraId="37CBB992" w14:textId="77777777" w:rsidR="00AD0102" w:rsidRDefault="00AD0102" w:rsidP="00AD0102">
      <w:pPr>
        <w:tabs>
          <w:tab w:val="left" w:pos="709"/>
        </w:tabs>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De los dispositivos legales, se logra desprender que </w:t>
      </w:r>
      <w:r w:rsidRPr="002C01DF">
        <w:rPr>
          <w:rFonts w:ascii="Palatino Linotype" w:hAnsi="Palatino Linotype" w:cs="Arial"/>
          <w:sz w:val="24"/>
          <w:szCs w:val="24"/>
          <w:u w:val="single"/>
        </w:rPr>
        <w:t xml:space="preserve">para que se actualice la excepción al derecho de acceso a la información en el presente asunto, el juicio o procedimiento </w:t>
      </w:r>
      <w:r w:rsidRPr="002C01DF">
        <w:rPr>
          <w:rFonts w:ascii="Palatino Linotype" w:hAnsi="Palatino Linotype" w:cs="Arial"/>
          <w:sz w:val="24"/>
          <w:szCs w:val="24"/>
          <w:u w:val="single"/>
        </w:rPr>
        <w:lastRenderedPageBreak/>
        <w:t xml:space="preserve">administrativo </w:t>
      </w:r>
      <w:r>
        <w:rPr>
          <w:rFonts w:ascii="Palatino Linotype" w:hAnsi="Palatino Linotype" w:cs="Arial"/>
          <w:sz w:val="24"/>
          <w:szCs w:val="24"/>
          <w:u w:val="single"/>
        </w:rPr>
        <w:t>se debe encontrar en trámite y no haber quedado firme o haber causado estado.</w:t>
      </w:r>
    </w:p>
    <w:p w14:paraId="3318AA6D" w14:textId="77777777" w:rsidR="00AD0102" w:rsidRDefault="00AD0102" w:rsidP="00AD010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De lo anterior, resulta necesario retomar los requerimientos del solicitante que versan específicamente en:</w:t>
      </w:r>
    </w:p>
    <w:p w14:paraId="7C3CC492" w14:textId="77777777" w:rsidR="00AD0102" w:rsidRPr="00AD0102" w:rsidRDefault="00AD0102" w:rsidP="00AD0102">
      <w:pPr>
        <w:pStyle w:val="Prrafodelista"/>
        <w:numPr>
          <w:ilvl w:val="0"/>
          <w:numId w:val="33"/>
        </w:numPr>
        <w:spacing w:before="240" w:after="240"/>
        <w:ind w:right="850"/>
        <w:jc w:val="both"/>
        <w:rPr>
          <w:rFonts w:ascii="Palatino Linotype" w:hAnsi="Palatino Linotype"/>
          <w:i/>
          <w:lang w:val="es-ES_tradnl"/>
        </w:rPr>
      </w:pPr>
      <w:r w:rsidRPr="00AD0102">
        <w:rPr>
          <w:rFonts w:ascii="Palatino Linotype" w:hAnsi="Palatino Linotype"/>
          <w:i/>
          <w:lang w:val="es-ES_tradnl"/>
        </w:rPr>
        <w:t xml:space="preserve">“informe oficios y todo documento presentado mes con mes por el presidente municipal y leído ante el cabildo que se relacionan con los laudos labores pagados y </w:t>
      </w:r>
      <w:proofErr w:type="gramStart"/>
      <w:r w:rsidRPr="00AD0102">
        <w:rPr>
          <w:rFonts w:ascii="Palatino Linotype" w:hAnsi="Palatino Linotype"/>
          <w:i/>
          <w:lang w:val="es-ES_tradnl"/>
        </w:rPr>
        <w:t>pendientes</w:t>
      </w:r>
      <w:proofErr w:type="gramEnd"/>
      <w:r w:rsidRPr="00AD0102">
        <w:rPr>
          <w:rFonts w:ascii="Palatino Linotype" w:hAnsi="Palatino Linotype"/>
          <w:i/>
          <w:lang w:val="es-ES_tradnl"/>
        </w:rPr>
        <w:t xml:space="preserve"> así como copia del cheque emitido por la tesorería para el buen cobro del ejercicio 2019.” [Sic]</w:t>
      </w:r>
    </w:p>
    <w:p w14:paraId="23994092" w14:textId="5ED9CA3B" w:rsidR="00AD0102" w:rsidRPr="00AD0102" w:rsidRDefault="00AD0102" w:rsidP="00AD0102">
      <w:pPr>
        <w:tabs>
          <w:tab w:val="left" w:pos="709"/>
        </w:tabs>
        <w:spacing w:before="240" w:line="360" w:lineRule="auto"/>
        <w:ind w:right="51"/>
        <w:jc w:val="both"/>
        <w:rPr>
          <w:rFonts w:ascii="Palatino Linotype" w:hAnsi="Palatino Linotype" w:cs="Arial"/>
          <w:sz w:val="24"/>
          <w:szCs w:val="24"/>
        </w:rPr>
      </w:pPr>
      <w:r w:rsidRPr="00AD0102">
        <w:rPr>
          <w:rFonts w:ascii="Palatino Linotype" w:hAnsi="Palatino Linotype"/>
        </w:rPr>
        <w:t xml:space="preserve">No siendo óbice mencionar que, la negativa del sujeto obligado </w:t>
      </w:r>
      <w:r>
        <w:rPr>
          <w:rFonts w:ascii="Palatino Linotype" w:hAnsi="Palatino Linotype"/>
        </w:rPr>
        <w:t>de no otorgar la información solicitada al particular</w:t>
      </w:r>
      <w:r w:rsidRPr="00AD0102">
        <w:rPr>
          <w:rFonts w:ascii="Palatino Linotype" w:hAnsi="Palatino Linotype"/>
        </w:rPr>
        <w:t xml:space="preserve">, empero como ya quedo demostrado que </w:t>
      </w:r>
      <w:r w:rsidRPr="00AD0102">
        <w:rPr>
          <w:rFonts w:ascii="Palatino Linotype" w:hAnsi="Palatino Linotype" w:cs="Arial"/>
          <w:sz w:val="24"/>
          <w:szCs w:val="24"/>
          <w:u w:val="single"/>
        </w:rPr>
        <w:t>en materia laboral el laudo causa ejecutoria por ministerio de ley</w:t>
      </w:r>
      <w:r w:rsidRPr="00AD0102">
        <w:rPr>
          <w:rFonts w:ascii="Palatino Linotype" w:hAnsi="Palatino Linotype" w:cs="Arial"/>
          <w:sz w:val="24"/>
          <w:szCs w:val="24"/>
        </w:rPr>
        <w:t xml:space="preserve">, pues </w:t>
      </w:r>
      <w:r w:rsidRPr="00AD0102">
        <w:rPr>
          <w:rFonts w:ascii="Palatino Linotype" w:hAnsi="Palatino Linotype" w:cs="Arial"/>
          <w:b/>
          <w:sz w:val="24"/>
          <w:szCs w:val="24"/>
        </w:rPr>
        <w:t>ésta figura constituye el resultado del juicio regular, demostrando que ha concluido en todas sus instancias, llegando al punto que lo decidido ya no es susceptible de discutirse</w:t>
      </w:r>
      <w:r w:rsidRPr="00AD0102">
        <w:rPr>
          <w:rFonts w:ascii="Palatino Linotype" w:hAnsi="Palatino Linotype" w:cs="Arial"/>
          <w:sz w:val="24"/>
          <w:szCs w:val="24"/>
        </w:rPr>
        <w:t xml:space="preserve">; en otras palabras, el procedimiento laboral </w:t>
      </w:r>
      <w:r w:rsidRPr="00AD0102">
        <w:rPr>
          <w:rFonts w:ascii="Palatino Linotype" w:hAnsi="Palatino Linotype" w:cs="Arial"/>
          <w:sz w:val="24"/>
          <w:szCs w:val="24"/>
          <w:u w:val="single"/>
        </w:rPr>
        <w:t>ha concluido con la emisión del laudo y por ende no puede vulnerar la conducción de los expedientes al carecer de medios ordinarios que realicen una mutación en el fallo adoptado por la autoridad, y si bien el único medio para combatirlo resulta ser el juicio de amparo directo como un recurso jurídico extraordinario</w:t>
      </w:r>
      <w:r w:rsidRPr="00AD0102">
        <w:rPr>
          <w:rFonts w:ascii="Palatino Linotype" w:hAnsi="Palatino Linotype" w:cs="Arial"/>
          <w:sz w:val="24"/>
          <w:szCs w:val="24"/>
        </w:rPr>
        <w:t>.</w:t>
      </w:r>
    </w:p>
    <w:p w14:paraId="494EEB11" w14:textId="77777777" w:rsidR="00AD0102" w:rsidRPr="00AD0102" w:rsidRDefault="00AD0102" w:rsidP="00AD0102">
      <w:pPr>
        <w:tabs>
          <w:tab w:val="left" w:pos="709"/>
        </w:tabs>
        <w:spacing w:before="240" w:line="360" w:lineRule="auto"/>
        <w:ind w:right="51"/>
        <w:jc w:val="both"/>
        <w:rPr>
          <w:rFonts w:ascii="Palatino Linotype" w:hAnsi="Palatino Linotype" w:cs="Arial"/>
          <w:sz w:val="24"/>
          <w:szCs w:val="24"/>
        </w:rPr>
      </w:pPr>
      <w:r w:rsidRPr="00AD0102">
        <w:rPr>
          <w:rFonts w:ascii="Palatino Linotype" w:hAnsi="Palatino Linotype" w:cs="Arial"/>
          <w:sz w:val="24"/>
          <w:szCs w:val="24"/>
        </w:rPr>
        <w:t>A merced de lo anterior, y en aras de robustecer, se trae a colación las definiciones de cosa juzgada, ejecutoria y laudo de acuerdo al Diccionario Jurídico Elementar de Guillermo Cabanellas de las Cuevas, que señalan lo siguiente:</w:t>
      </w:r>
    </w:p>
    <w:p w14:paraId="739CD6B2" w14:textId="77777777" w:rsidR="00AD0102" w:rsidRPr="00AD0102" w:rsidRDefault="00AD0102" w:rsidP="00AD0102">
      <w:pPr>
        <w:tabs>
          <w:tab w:val="left" w:pos="709"/>
        </w:tabs>
        <w:spacing w:line="360" w:lineRule="auto"/>
        <w:ind w:left="851"/>
        <w:jc w:val="both"/>
        <w:rPr>
          <w:rFonts w:ascii="Palatino Linotype" w:hAnsi="Palatino Linotype" w:cs="Arial"/>
          <w:sz w:val="24"/>
          <w:szCs w:val="24"/>
        </w:rPr>
      </w:pPr>
      <w:r w:rsidRPr="00AD0102">
        <w:rPr>
          <w:rFonts w:ascii="Palatino Linotype" w:hAnsi="Palatino Linotype"/>
          <w:i/>
          <w:iCs/>
          <w:sz w:val="24"/>
          <w:szCs w:val="24"/>
        </w:rPr>
        <w:lastRenderedPageBreak/>
        <w:t>COSA JUZGADA. La fuerza definitiva que la ley atribuye a la sentencia firme, bien por haberse dado el último recurso o por no haberse apelado de ella dentro de tiempo, o por vicios de forma en la apelación.</w:t>
      </w:r>
    </w:p>
    <w:p w14:paraId="62E55D9A" w14:textId="77777777" w:rsidR="00AD0102" w:rsidRPr="00AD0102" w:rsidRDefault="00AD0102" w:rsidP="00AD0102">
      <w:pPr>
        <w:tabs>
          <w:tab w:val="left" w:pos="709"/>
        </w:tabs>
        <w:spacing w:line="360" w:lineRule="auto"/>
        <w:ind w:left="851"/>
        <w:jc w:val="both"/>
        <w:rPr>
          <w:rFonts w:ascii="Palatino Linotype" w:hAnsi="Palatino Linotype" w:cs="Arial"/>
          <w:sz w:val="24"/>
          <w:szCs w:val="24"/>
        </w:rPr>
      </w:pPr>
      <w:r w:rsidRPr="00AD0102">
        <w:rPr>
          <w:rFonts w:ascii="Palatino Linotype" w:hAnsi="Palatino Linotype"/>
          <w:i/>
          <w:iCs/>
          <w:sz w:val="24"/>
          <w:szCs w:val="24"/>
        </w:rPr>
        <w:t>EJECUTORIA. …Sentencia firme; la que ha pasado en autoridad de cosa juzgada y puede ejecutarse en todos sus puntos.</w:t>
      </w:r>
    </w:p>
    <w:p w14:paraId="1444CF5D" w14:textId="77777777" w:rsidR="00AD0102" w:rsidRPr="00AD0102" w:rsidRDefault="00AD0102" w:rsidP="00AD0102">
      <w:pPr>
        <w:tabs>
          <w:tab w:val="left" w:pos="709"/>
        </w:tabs>
        <w:spacing w:line="360" w:lineRule="auto"/>
        <w:ind w:left="851"/>
        <w:jc w:val="both"/>
        <w:rPr>
          <w:rFonts w:ascii="Palatino Linotype" w:hAnsi="Palatino Linotype" w:cs="Arial"/>
          <w:sz w:val="24"/>
          <w:szCs w:val="24"/>
        </w:rPr>
      </w:pPr>
      <w:r w:rsidRPr="00AD0102">
        <w:rPr>
          <w:rFonts w:ascii="Palatino Linotype" w:hAnsi="Palatino Linotype"/>
          <w:i/>
          <w:iCs/>
          <w:sz w:val="24"/>
          <w:szCs w:val="24"/>
        </w:rPr>
        <w:t>LAUDO. En acepciones anticuadas, convenio o pacto; y también juicio y sentencia. En la técnica actual, por laudo se entiende la sentencia o fallo que pronuncian los árbitros o los amigables componedores en los asuntos a ellos sometidos voluntariamente por las partes, y que posean fuerza o ejecutiva de sentencia firme, una vez consentidos o agotados los recursos de que son susceptibles, de pasar en autoridad de cosa juzgada como los fallos de los tribunales ordinarios.</w:t>
      </w:r>
    </w:p>
    <w:p w14:paraId="2ED3E446" w14:textId="0A2D5F57" w:rsidR="00AD0102" w:rsidRPr="00AD0102" w:rsidRDefault="00AD0102" w:rsidP="00AD0102">
      <w:pPr>
        <w:tabs>
          <w:tab w:val="left" w:pos="709"/>
        </w:tabs>
        <w:spacing w:line="360" w:lineRule="auto"/>
        <w:jc w:val="both"/>
        <w:rPr>
          <w:rFonts w:ascii="Palatino Linotype" w:hAnsi="Palatino Linotype" w:cs="Arial"/>
          <w:sz w:val="24"/>
          <w:szCs w:val="24"/>
        </w:rPr>
      </w:pPr>
      <w:r w:rsidRPr="00AD0102">
        <w:rPr>
          <w:rFonts w:ascii="Palatino Linotype" w:hAnsi="Palatino Linotype" w:cs="Arial"/>
          <w:sz w:val="24"/>
          <w:szCs w:val="24"/>
        </w:rPr>
        <w:t>Por otro lado, el compendio del Vocabulario Judicial emitido por el Consejo de la Judicatura Federal a través del Instituto de la Judicatura Federal</w:t>
      </w:r>
      <w:r w:rsidRPr="00AD0102">
        <w:rPr>
          <w:rStyle w:val="Refdenotaalpie"/>
          <w:rFonts w:ascii="Palatino Linotype" w:hAnsi="Palatino Linotype" w:cs="Arial"/>
          <w:sz w:val="24"/>
          <w:szCs w:val="24"/>
        </w:rPr>
        <w:footnoteReference w:id="3"/>
      </w:r>
      <w:r w:rsidRPr="00AD0102">
        <w:rPr>
          <w:rFonts w:ascii="Palatino Linotype" w:hAnsi="Palatino Linotype" w:cs="Arial"/>
          <w:sz w:val="24"/>
          <w:szCs w:val="24"/>
        </w:rPr>
        <w:t xml:space="preserve"> define en lo que nos interesa:</w:t>
      </w:r>
    </w:p>
    <w:p w14:paraId="37C39809" w14:textId="77777777" w:rsidR="00AD0102" w:rsidRPr="00AD0102" w:rsidRDefault="00AD0102" w:rsidP="00AD0102">
      <w:pPr>
        <w:tabs>
          <w:tab w:val="left" w:pos="709"/>
        </w:tabs>
        <w:spacing w:line="360" w:lineRule="auto"/>
        <w:ind w:left="851"/>
        <w:jc w:val="both"/>
        <w:rPr>
          <w:rFonts w:ascii="Palatino Linotype" w:hAnsi="Palatino Linotype"/>
          <w:i/>
          <w:iCs/>
          <w:sz w:val="24"/>
          <w:szCs w:val="24"/>
        </w:rPr>
      </w:pPr>
      <w:r w:rsidRPr="00AD0102">
        <w:rPr>
          <w:rFonts w:ascii="Palatino Linotype" w:hAnsi="Palatino Linotype"/>
          <w:i/>
          <w:iCs/>
          <w:sz w:val="24"/>
          <w:szCs w:val="24"/>
        </w:rPr>
        <w:t>CAUSAR EJECUTORIA</w:t>
      </w:r>
    </w:p>
    <w:p w14:paraId="65AC58D3" w14:textId="77777777" w:rsidR="00AD0102" w:rsidRPr="00AD0102" w:rsidRDefault="00AD0102" w:rsidP="00AD0102">
      <w:pPr>
        <w:tabs>
          <w:tab w:val="left" w:pos="709"/>
        </w:tabs>
        <w:spacing w:line="360" w:lineRule="auto"/>
        <w:ind w:left="851"/>
        <w:jc w:val="both"/>
        <w:rPr>
          <w:rFonts w:ascii="Palatino Linotype" w:hAnsi="Palatino Linotype"/>
          <w:b/>
          <w:i/>
          <w:iCs/>
          <w:sz w:val="24"/>
          <w:szCs w:val="24"/>
          <w:u w:val="single"/>
        </w:rPr>
      </w:pPr>
      <w:r w:rsidRPr="00AD0102">
        <w:rPr>
          <w:rFonts w:ascii="Palatino Linotype" w:hAnsi="Palatino Linotype"/>
          <w:i/>
          <w:iCs/>
          <w:sz w:val="24"/>
          <w:szCs w:val="24"/>
        </w:rPr>
        <w:t xml:space="preserve">“…2. En el derecho procesal (históricamente) consigna el Diccionario Jurídico Espasa, que “se entiende ejecutoria como aquel documento público y solemne en que se consigna una sentencia firme. Se encabeza en nombre del Rey”. II. Nat. Jur. En el Derecho Procesal Civil Mexicano sostiene Carlos Arellano García que “el trámite en cuya virtud la sentencia adquiere la calidad de cosa juzgada se le denomina ‘ejecutorización de la sentencia’”. La </w:t>
      </w:r>
      <w:r w:rsidRPr="00AD0102">
        <w:rPr>
          <w:rFonts w:ascii="Palatino Linotype" w:hAnsi="Palatino Linotype"/>
          <w:b/>
          <w:i/>
          <w:iCs/>
          <w:sz w:val="24"/>
          <w:szCs w:val="24"/>
          <w:u w:val="single"/>
        </w:rPr>
        <w:t xml:space="preserve">sentencia se convierte en ejecutoria cuando </w:t>
      </w:r>
      <w:r w:rsidRPr="00AD0102">
        <w:rPr>
          <w:rFonts w:ascii="Palatino Linotype" w:hAnsi="Palatino Linotype"/>
          <w:b/>
          <w:i/>
          <w:iCs/>
          <w:sz w:val="24"/>
          <w:szCs w:val="24"/>
          <w:u w:val="single"/>
        </w:rPr>
        <w:lastRenderedPageBreak/>
        <w:t>ya no es impugnable y es precisamente cuando adquiere el rango de cosa juzgada.</w:t>
      </w:r>
    </w:p>
    <w:p w14:paraId="1FD88267" w14:textId="77777777" w:rsidR="00AD0102" w:rsidRPr="00AD0102" w:rsidRDefault="00AD0102" w:rsidP="00AD0102">
      <w:pPr>
        <w:tabs>
          <w:tab w:val="left" w:pos="709"/>
        </w:tabs>
        <w:spacing w:line="360" w:lineRule="auto"/>
        <w:ind w:left="851"/>
        <w:jc w:val="both"/>
        <w:rPr>
          <w:rFonts w:ascii="Palatino Linotype" w:hAnsi="Palatino Linotype"/>
          <w:i/>
          <w:iCs/>
          <w:sz w:val="24"/>
          <w:szCs w:val="24"/>
        </w:rPr>
      </w:pPr>
      <w:r w:rsidRPr="00AD0102">
        <w:rPr>
          <w:rFonts w:ascii="Palatino Linotype" w:hAnsi="Palatino Linotype"/>
          <w:i/>
          <w:iCs/>
          <w:sz w:val="24"/>
          <w:szCs w:val="24"/>
        </w:rPr>
        <w:t xml:space="preserve">III. Prax. En el Código de Procedimientos Civiles del Distrito Federal el artículo 426 determina que hay cosa juzgada cuando la sentencia causa ejecutoria. </w:t>
      </w:r>
      <w:r w:rsidRPr="00AD0102">
        <w:rPr>
          <w:rFonts w:ascii="Palatino Linotype" w:hAnsi="Palatino Linotype"/>
          <w:b/>
          <w:i/>
          <w:iCs/>
          <w:sz w:val="24"/>
          <w:szCs w:val="24"/>
        </w:rPr>
        <w:t>El cuerpo normativo en cita prevé que las sentencias causan ejecutoria bajo dos mecanismos:</w:t>
      </w:r>
      <w:r w:rsidRPr="00AD0102">
        <w:rPr>
          <w:rFonts w:ascii="Palatino Linotype" w:hAnsi="Palatino Linotype"/>
          <w:i/>
          <w:iCs/>
          <w:sz w:val="24"/>
          <w:szCs w:val="24"/>
        </w:rPr>
        <w:t xml:space="preserve"> a) Por Ministerio de Ley, cuyas hipótesis conforme al ordinal en cita son: Las sentencias pronunciadas en juicios cuyo monto sea inferior a la cantidad que el artículo 691 establece para que una sentencia sea apelable; exceptuándose de dicha regla los asuntos de competencia de los jueces de lo familiar y las relativas a la materia de arrendamiento inmobiliario; las sentencias de segunda instancia; las que resuelvan una queja: las que dirimen o resuelven una competencia; las demás que se declaran irrevocables por prevención expresa de la ley; </w:t>
      </w:r>
      <w:r w:rsidRPr="00AD0102">
        <w:rPr>
          <w:rFonts w:ascii="Palatino Linotype" w:hAnsi="Palatino Linotype"/>
          <w:b/>
          <w:i/>
          <w:iCs/>
          <w:sz w:val="24"/>
          <w:szCs w:val="24"/>
          <w:u w:val="single"/>
        </w:rPr>
        <w:t xml:space="preserve">las que no puedan ser recurridas por ningún medio ordinario </w:t>
      </w:r>
      <w:r w:rsidRPr="00AD0102">
        <w:rPr>
          <w:rFonts w:ascii="Palatino Linotype" w:hAnsi="Palatino Linotype"/>
          <w:i/>
          <w:iCs/>
          <w:sz w:val="24"/>
          <w:szCs w:val="24"/>
        </w:rPr>
        <w:t>y los convenios emanados del procedimiento de mediación a que se refiere la Ley de Justicia Alternativa del Tribunal Superior de Justicia del Distrito Federal.</w:t>
      </w:r>
    </w:p>
    <w:p w14:paraId="7990C1AB" w14:textId="77777777" w:rsidR="00AD0102" w:rsidRPr="00AD0102" w:rsidRDefault="00AD0102" w:rsidP="00AD0102">
      <w:pPr>
        <w:tabs>
          <w:tab w:val="left" w:pos="709"/>
        </w:tabs>
        <w:spacing w:line="360" w:lineRule="auto"/>
        <w:ind w:left="851"/>
        <w:jc w:val="both"/>
        <w:rPr>
          <w:rFonts w:ascii="Palatino Linotype" w:hAnsi="Palatino Linotype"/>
          <w:b/>
          <w:i/>
          <w:iCs/>
          <w:sz w:val="24"/>
          <w:szCs w:val="24"/>
        </w:rPr>
      </w:pPr>
      <w:r w:rsidRPr="00AD0102">
        <w:rPr>
          <w:rFonts w:ascii="Palatino Linotype" w:hAnsi="Palatino Linotype"/>
          <w:i/>
          <w:iCs/>
          <w:sz w:val="24"/>
          <w:szCs w:val="24"/>
        </w:rPr>
        <w:t xml:space="preserve">CAUSAR ESTADO Termino del derecho procesal en general que indica que una declaración jurídica pronunciada por un órgano competente para ello ha definido el estado jurídico de una situación, siendo que los límites de los derechos y obligaciones de las partes no pueden ser alterados al acotarse, mediante la declaración de estado, el contenido en la fuente jurídica interpretada o integrada por una resolución vinculante. Se relaciona con la cosa juzgada pues uno de los efectos de la cosa juzgada es precisamente este, pero en vía inmutable, siendo que el causar estado en determinadas situaciones no ocurre necesariamente en virtud de que se ha llegado a la cosa juzgada, sino que </w:t>
      </w:r>
      <w:r w:rsidRPr="00AD0102">
        <w:rPr>
          <w:rFonts w:ascii="Palatino Linotype" w:hAnsi="Palatino Linotype"/>
          <w:b/>
          <w:i/>
          <w:iCs/>
          <w:sz w:val="24"/>
          <w:szCs w:val="24"/>
        </w:rPr>
        <w:t xml:space="preserve">se trata de resoluciones dentro del sistema recursal que llevará a una </w:t>
      </w:r>
      <w:r w:rsidRPr="00AD0102">
        <w:rPr>
          <w:rFonts w:ascii="Palatino Linotype" w:hAnsi="Palatino Linotype"/>
          <w:b/>
          <w:i/>
          <w:iCs/>
          <w:sz w:val="24"/>
          <w:szCs w:val="24"/>
        </w:rPr>
        <w:lastRenderedPageBreak/>
        <w:t>última resolución la cual no puede ser recurrida dentro del mismo proceso que le dio origen,</w:t>
      </w:r>
      <w:r w:rsidRPr="00AD0102">
        <w:rPr>
          <w:rFonts w:ascii="Palatino Linotype" w:hAnsi="Palatino Linotype"/>
          <w:i/>
          <w:iCs/>
          <w:sz w:val="24"/>
          <w:szCs w:val="24"/>
        </w:rPr>
        <w:t xml:space="preserve"> </w:t>
      </w:r>
      <w:r w:rsidRPr="00AD0102">
        <w:rPr>
          <w:rFonts w:ascii="Palatino Linotype" w:hAnsi="Palatino Linotype"/>
          <w:b/>
          <w:i/>
          <w:iCs/>
          <w:sz w:val="24"/>
          <w:szCs w:val="24"/>
        </w:rPr>
        <w:t>pero sí podría ser recurrida si hay otro recurso posterior, siendo esta eventual decisión la que conduzca al carácter de cosa juzgada, momento en que no será posible modificarse por ningún medio quedando firme y, por tanto, causando estado al no poder evitarse su ejecución.</w:t>
      </w:r>
    </w:p>
    <w:p w14:paraId="0433E8D5" w14:textId="77777777" w:rsidR="00AD0102" w:rsidRPr="00AD0102" w:rsidRDefault="00AD0102" w:rsidP="00AD0102">
      <w:pPr>
        <w:tabs>
          <w:tab w:val="left" w:pos="709"/>
        </w:tabs>
        <w:spacing w:line="360" w:lineRule="auto"/>
        <w:jc w:val="both"/>
        <w:rPr>
          <w:rFonts w:ascii="Palatino Linotype" w:hAnsi="Palatino Linotype" w:cs="Arial"/>
          <w:sz w:val="24"/>
          <w:szCs w:val="24"/>
        </w:rPr>
      </w:pPr>
      <w:r w:rsidRPr="00AD0102">
        <w:rPr>
          <w:rFonts w:ascii="Palatino Linotype" w:hAnsi="Palatino Linotype" w:cs="Arial"/>
          <w:sz w:val="24"/>
          <w:szCs w:val="24"/>
        </w:rPr>
        <w:t>Sirviendo de sustento a lo anterior, la tesis jurisprudencial P./J. 85/2008 del Pleno de la Suprema Corte de Justicia de la Nación visible en el Semanario Judicial de la Federación y su Gaceta, bajo el número de registro 168959 cuyo rubro y texto esgrime:</w:t>
      </w:r>
    </w:p>
    <w:p w14:paraId="5677F829" w14:textId="77777777" w:rsidR="00AD0102" w:rsidRPr="00AD0102" w:rsidRDefault="00AD0102" w:rsidP="00AD0102">
      <w:pPr>
        <w:spacing w:line="360" w:lineRule="auto"/>
        <w:ind w:left="851"/>
        <w:jc w:val="both"/>
        <w:rPr>
          <w:rFonts w:ascii="Palatino Linotype" w:hAnsi="Palatino Linotype"/>
          <w:i/>
          <w:iCs/>
        </w:rPr>
      </w:pPr>
      <w:r w:rsidRPr="00AD0102">
        <w:rPr>
          <w:rFonts w:ascii="Palatino Linotype" w:hAnsi="Palatino Linotype"/>
          <w:b/>
          <w:bCs/>
          <w:i/>
          <w:iCs/>
        </w:rPr>
        <w:t xml:space="preserve">COSA JUZGADA. EL SUSTENTO CONSTITUCIONAL DE ESA INSTITUCIÓN JURÍDICA PROCESAL SE ENCUENTRA EN LOS ARTÍCULOS 14, SEGUNDO PÁRRAFO Y 17, TERCER PÁRRAFO, DE LA CONSTITUCIÓN POLÍTICA DE LOS ESTADOS UNIDOS MEXICANOS. </w:t>
      </w:r>
      <w:r w:rsidRPr="00AD0102">
        <w:rPr>
          <w:rFonts w:ascii="Palatino Linotype" w:hAnsi="Palatino Linotype"/>
          <w:i/>
          <w:iCs/>
        </w:rPr>
        <w:t>En el sistema jurídico mexicano la institución de la cosa juzgada se ubica en la sentencia obtenida de un auténtico proceso judicial, entendido como el seguido con las formalidades esenciales del procedimiento, conforme al artículo </w:t>
      </w:r>
      <w:hyperlink r:id="rId7" w:history="1">
        <w:r w:rsidRPr="00AD0102">
          <w:rPr>
            <w:rStyle w:val="Hipervnculo"/>
            <w:rFonts w:ascii="Palatino Linotype" w:hAnsi="Palatino Linotype"/>
            <w:i/>
            <w:iCs/>
            <w:color w:val="auto"/>
            <w:u w:val="none"/>
          </w:rPr>
          <w:t>14, segundo párrafo, de la Constitución Política de los Estados Unidos Mexicanos</w:t>
        </w:r>
      </w:hyperlink>
      <w:r w:rsidRPr="00AD0102">
        <w:rPr>
          <w:rFonts w:ascii="Palatino Linotype" w:hAnsi="Palatino Linotype"/>
          <w:i/>
          <w:iCs/>
        </w:rPr>
        <w:t>, dotando a las partes en litigio de seguridad y certeza jurídica. Por otra parte, la figura procesal citada también encuentra fundamento en el artículo </w:t>
      </w:r>
      <w:hyperlink r:id="rId8" w:history="1">
        <w:r w:rsidRPr="00AD0102">
          <w:rPr>
            <w:rStyle w:val="Hipervnculo"/>
            <w:rFonts w:ascii="Palatino Linotype" w:hAnsi="Palatino Linotype"/>
            <w:i/>
            <w:iCs/>
            <w:color w:val="auto"/>
            <w:u w:val="none"/>
          </w:rPr>
          <w:t>17, tercer párrafo, de la Norma Suprema</w:t>
        </w:r>
      </w:hyperlink>
      <w:r w:rsidRPr="00AD0102">
        <w:rPr>
          <w:rFonts w:ascii="Palatino Linotype" w:hAnsi="Palatino Linotype"/>
          <w:i/>
          <w:iCs/>
        </w:rPr>
        <w:t xml:space="preserve">, al disponer que las leyes federales y locales establecerán los medios necesarios para garantizar la independencia de los tribunales y la plena ejecución de sus resoluciones, porque tal ejecución íntegra se logra sólo en la medida en que la cosa juzgada se instituye en el ordenamiento jurídico como resultado de un juicio regular que ha concluido en todas sus instancias, llegando al punto en que lo decidido ya no es susceptible de discutirse, en aras de salvaguardar la garantía de acceso a la justicia prevista en el segundo párrafo del artículo 17 constitucional, pues dentro de aquélla se encuentra no sólo el derecho a que los órganos jurisdiccionales establecidos por el Estado diriman los conflictos, sino también el relativo a que se garantice la ejecución de sus </w:t>
      </w:r>
      <w:r w:rsidRPr="00AD0102">
        <w:rPr>
          <w:rFonts w:ascii="Palatino Linotype" w:hAnsi="Palatino Linotype"/>
          <w:i/>
          <w:iCs/>
        </w:rPr>
        <w:lastRenderedPageBreak/>
        <w:t>fallos. En ese sentido, la autoridad de la cosa juzgada es uno de los principios esenciales en que se funda la seguridad jurídica, toda vez que el respeto a sus consecuencias constituye un pilar del Estado de derecho, como fin último de la impartición de justicia a cargo del Estado, siempre que en el juicio correspondiente se haya hecho efectivo el debido proceso con sus formalidades esenciales.</w:t>
      </w:r>
    </w:p>
    <w:p w14:paraId="45570A91" w14:textId="77777777" w:rsidR="00AD0102" w:rsidRPr="00AD0102" w:rsidRDefault="00AD0102" w:rsidP="00AD0102">
      <w:pPr>
        <w:tabs>
          <w:tab w:val="left" w:pos="709"/>
        </w:tabs>
        <w:spacing w:line="360" w:lineRule="auto"/>
        <w:jc w:val="both"/>
        <w:rPr>
          <w:rFonts w:ascii="Palatino Linotype" w:hAnsi="Palatino Linotype" w:cs="Arial"/>
          <w:sz w:val="24"/>
          <w:szCs w:val="24"/>
        </w:rPr>
      </w:pPr>
      <w:r w:rsidRPr="00AD0102">
        <w:rPr>
          <w:rFonts w:ascii="Palatino Linotype" w:hAnsi="Palatino Linotype" w:cs="Arial"/>
          <w:sz w:val="24"/>
          <w:szCs w:val="24"/>
        </w:rPr>
        <w:t>Asimismo, cobra aplicación a efecto de demostrar la inmutabilidad de los laudos, la tesis jurisprudencial 2a./J. 158/2011 (9a.) de la Segunda Sala de la Suprema Corte de Justicia de la Nación visible en el Semanario Judicial de la Federación y su Gaceta, bajo el número de registro 160814 cuyo rubro y texto esgrime:</w:t>
      </w:r>
    </w:p>
    <w:p w14:paraId="373D34B8" w14:textId="77777777" w:rsidR="00AD0102" w:rsidRPr="00AD0102" w:rsidRDefault="00AD0102" w:rsidP="00AD0102">
      <w:pPr>
        <w:spacing w:line="360" w:lineRule="auto"/>
        <w:ind w:left="851"/>
        <w:jc w:val="both"/>
        <w:rPr>
          <w:rFonts w:ascii="Palatino Linotype" w:hAnsi="Palatino Linotype"/>
          <w:bCs/>
          <w:i/>
          <w:iCs/>
        </w:rPr>
      </w:pPr>
      <w:r w:rsidRPr="00AD0102">
        <w:rPr>
          <w:rFonts w:ascii="Palatino Linotype" w:hAnsi="Palatino Linotype"/>
          <w:b/>
          <w:bCs/>
          <w:i/>
          <w:iCs/>
        </w:rPr>
        <w:t xml:space="preserve">NULIDAD DE JUICIO CONCLUIDO. ES IMPROCEDENTE EN MATERIA LABORAL. </w:t>
      </w:r>
      <w:r w:rsidRPr="00AD0102">
        <w:rPr>
          <w:rFonts w:ascii="Palatino Linotype" w:hAnsi="Palatino Linotype"/>
          <w:bCs/>
          <w:i/>
          <w:iCs/>
        </w:rPr>
        <w:t>La Ley Federal del Trabajo no regula la acción de nulidad de juicio concluido, por el contrario, su artículo </w:t>
      </w:r>
      <w:hyperlink r:id="rId9" w:history="1">
        <w:r w:rsidRPr="00AD0102">
          <w:rPr>
            <w:rFonts w:ascii="Palatino Linotype" w:hAnsi="Palatino Linotype"/>
            <w:bCs/>
            <w:i/>
            <w:iCs/>
          </w:rPr>
          <w:t>848</w:t>
        </w:r>
      </w:hyperlink>
      <w:r w:rsidRPr="00AD0102">
        <w:rPr>
          <w:rFonts w:ascii="Palatino Linotype" w:hAnsi="Palatino Linotype"/>
          <w:bCs/>
          <w:i/>
          <w:iCs/>
        </w:rPr>
        <w:t> establece la inmutabilidad de los laudos pronunciados por las Juntas de Conciliación y Arbitraje al proscribir la posibilidad de impugnarlos, pues acorde con los principios constitucionales de seguridad y certeza jurídicas que resultan del debido proceso, en términos del artículo </w:t>
      </w:r>
      <w:hyperlink r:id="rId10" w:history="1">
        <w:r w:rsidRPr="00AD0102">
          <w:rPr>
            <w:rFonts w:ascii="Palatino Linotype" w:hAnsi="Palatino Linotype"/>
            <w:bCs/>
            <w:i/>
            <w:iCs/>
          </w:rPr>
          <w:t>14 de la Constitución Política de los Estados Unidos Mexicanos</w:t>
        </w:r>
      </w:hyperlink>
      <w:r w:rsidRPr="00AD0102">
        <w:rPr>
          <w:rFonts w:ascii="Palatino Linotype" w:hAnsi="Palatino Linotype"/>
          <w:bCs/>
          <w:i/>
          <w:iCs/>
        </w:rPr>
        <w:t xml:space="preserve">, las partes no pueden sustraerse a los efectos de la cosa juzgada, </w:t>
      </w:r>
      <w:r w:rsidRPr="00AD0102">
        <w:rPr>
          <w:rFonts w:ascii="Palatino Linotype" w:hAnsi="Palatino Linotype"/>
          <w:b/>
          <w:bCs/>
          <w:i/>
          <w:iCs/>
          <w:u w:val="single"/>
        </w:rPr>
        <w:t>máxime si se tiene en cuenta que, al margen de las conductas observadas en el proceso laboral, el laudo logra alcanzar la categoría de cosa juzgada cuando se agota el procedimiento.</w:t>
      </w:r>
      <w:r w:rsidRPr="00AD0102">
        <w:rPr>
          <w:rFonts w:ascii="Palatino Linotype" w:hAnsi="Palatino Linotype"/>
          <w:bCs/>
          <w:i/>
          <w:iCs/>
        </w:rPr>
        <w:t xml:space="preserve"> Consecuentemente, es inadmisible que alguna de las partes pretenda anular el juicio concluido en el cual participó, sobre la base de que en un proceso penal quedó comprobada la conducta fraudulenta de otra de ellas, pues si el promovente de la acción intervino en el propio procedimiento laboral, estuvo en condiciones de aducir y demostrar, dentro de éste, los vicios en los cuales se sustentó el fraude alegado y sin que resulte dable aplicar supletoriamente los principios generales de derecho, ya que los que inspiran la inmutabilidad de las sentencias son absolutos y, por su congruencia, no deben ceder frente a algunos otros, pues los principios de </w:t>
      </w:r>
      <w:r w:rsidRPr="00AD0102">
        <w:rPr>
          <w:rFonts w:ascii="Palatino Linotype" w:hAnsi="Palatino Linotype"/>
          <w:bCs/>
          <w:i/>
          <w:iCs/>
        </w:rPr>
        <w:lastRenderedPageBreak/>
        <w:t>certeza y seguridad jurídicas se encuentran debidamente garantizados, en la medida en que el propio sistema lo integran diversas instancias y medios de defensa que permiten a los interesados impugnar oportunamente las decisiones jurisdiccionales, a fin de reparar cualquier vicio del que pudieran adolecer, así como las violaciones cometidas en el procedimiento.</w:t>
      </w:r>
    </w:p>
    <w:p w14:paraId="5005E123" w14:textId="77777777" w:rsidR="00AD0102" w:rsidRPr="00AD0102" w:rsidRDefault="00AD0102" w:rsidP="00AD0102">
      <w:pPr>
        <w:tabs>
          <w:tab w:val="left" w:pos="709"/>
        </w:tabs>
        <w:spacing w:before="240" w:line="360" w:lineRule="auto"/>
        <w:ind w:right="51"/>
        <w:jc w:val="both"/>
        <w:rPr>
          <w:rFonts w:ascii="Palatino Linotype" w:hAnsi="Palatino Linotype"/>
          <w:sz w:val="24"/>
        </w:rPr>
      </w:pPr>
      <w:r w:rsidRPr="00AD0102">
        <w:rPr>
          <w:rFonts w:ascii="Palatino Linotype" w:hAnsi="Palatino Linotype"/>
          <w:sz w:val="24"/>
        </w:rPr>
        <w:t>En ese tenor, es menester establecer que las resoluciones y laudos que se emitan en procesos o procedimientos seguidos en forma de juicio, son obligaciones de transparencia común, que se encuentra inmersas en la fracción XL del numeral 92 de la Ley de Transparencia y Acceso a la Información Pública del Estado de México y Municipios y que a la letra reza:</w:t>
      </w:r>
    </w:p>
    <w:p w14:paraId="0C9AE751" w14:textId="77777777" w:rsidR="00AD0102" w:rsidRPr="00AD0102" w:rsidRDefault="00AD0102" w:rsidP="00AD0102">
      <w:pPr>
        <w:tabs>
          <w:tab w:val="left" w:pos="851"/>
        </w:tabs>
        <w:spacing w:before="120" w:after="120" w:line="360" w:lineRule="auto"/>
        <w:ind w:left="709" w:right="709"/>
        <w:jc w:val="both"/>
        <w:rPr>
          <w:rFonts w:ascii="Palatino Linotype" w:hAnsi="Palatino Linotype" w:cs="Arial"/>
          <w:i/>
        </w:rPr>
      </w:pPr>
      <w:r w:rsidRPr="00AD0102">
        <w:rPr>
          <w:rFonts w:ascii="Palatino Linotype" w:hAnsi="Palatino Linotype" w:cs="Arial"/>
          <w:i/>
        </w:rPr>
        <w:t>“</w:t>
      </w:r>
      <w:r w:rsidRPr="00AD0102">
        <w:rPr>
          <w:rFonts w:ascii="Palatino Linotype" w:hAnsi="Palatino Linotype" w:cs="Arial"/>
          <w:b/>
          <w:i/>
        </w:rPr>
        <w:t>Artículo 92</w:t>
      </w:r>
      <w:r w:rsidRPr="00AD0102">
        <w:rPr>
          <w:rFonts w:ascii="Palatino Linotype" w:hAnsi="Palatino Linotype" w:cs="Arial"/>
          <w:i/>
        </w:rPr>
        <w:t xml:space="preserve">. </w:t>
      </w:r>
      <w:r w:rsidRPr="00AD0102">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AD0102">
        <w:rPr>
          <w:rFonts w:ascii="Palatino Linotype" w:hAnsi="Palatino Linotype" w:cs="Arial"/>
          <w:i/>
        </w:rPr>
        <w:t xml:space="preserve">, de acuerdo con sus facultades, atribuciones, funciones u objeto social, según corresponda, la información, </w:t>
      </w:r>
      <w:r w:rsidRPr="00AD0102">
        <w:rPr>
          <w:rFonts w:ascii="Palatino Linotype" w:hAnsi="Palatino Linotype" w:cs="Arial"/>
          <w:b/>
          <w:i/>
          <w:u w:val="single"/>
        </w:rPr>
        <w:t>por lo menos, de los temas, documentos y políticas que a continuación se señalan</w:t>
      </w:r>
      <w:r w:rsidRPr="00AD0102">
        <w:rPr>
          <w:rFonts w:ascii="Palatino Linotype" w:hAnsi="Palatino Linotype" w:cs="Arial"/>
          <w:i/>
        </w:rPr>
        <w:t>:</w:t>
      </w:r>
    </w:p>
    <w:p w14:paraId="2DA8BB9C" w14:textId="77777777" w:rsidR="00AD0102" w:rsidRPr="00AD0102" w:rsidRDefault="00AD0102" w:rsidP="00AD0102">
      <w:pPr>
        <w:tabs>
          <w:tab w:val="left" w:pos="851"/>
        </w:tabs>
        <w:spacing w:before="120" w:after="120" w:line="360" w:lineRule="auto"/>
        <w:ind w:left="709" w:right="709"/>
        <w:jc w:val="both"/>
        <w:rPr>
          <w:rFonts w:ascii="Palatino Linotype" w:hAnsi="Palatino Linotype" w:cs="Arial"/>
          <w:i/>
        </w:rPr>
      </w:pPr>
      <w:r w:rsidRPr="00AD0102">
        <w:rPr>
          <w:rFonts w:ascii="Palatino Linotype" w:hAnsi="Palatino Linotype" w:cs="Arial"/>
          <w:i/>
        </w:rPr>
        <w:t>…</w:t>
      </w:r>
    </w:p>
    <w:p w14:paraId="3D321774" w14:textId="77777777" w:rsidR="00AD0102" w:rsidRPr="00AD0102" w:rsidRDefault="00AD0102" w:rsidP="00AD0102">
      <w:pPr>
        <w:tabs>
          <w:tab w:val="left" w:pos="851"/>
        </w:tabs>
        <w:spacing w:before="120" w:after="120" w:line="360" w:lineRule="auto"/>
        <w:ind w:left="709" w:right="709"/>
        <w:jc w:val="both"/>
        <w:rPr>
          <w:rFonts w:ascii="Palatino Linotype" w:hAnsi="Palatino Linotype" w:cs="Arial"/>
          <w:i/>
          <w:u w:val="single"/>
        </w:rPr>
      </w:pPr>
      <w:r w:rsidRPr="00AD0102">
        <w:rPr>
          <w:rFonts w:ascii="Palatino Linotype" w:hAnsi="Palatino Linotype" w:cs="Arial"/>
          <w:b/>
          <w:i/>
        </w:rPr>
        <w:t>XL.</w:t>
      </w:r>
      <w:r w:rsidRPr="00AD0102">
        <w:rPr>
          <w:rFonts w:ascii="Palatino Linotype" w:hAnsi="Palatino Linotype" w:cs="Arial"/>
          <w:i/>
        </w:rPr>
        <w:t xml:space="preserve"> </w:t>
      </w:r>
      <w:r w:rsidRPr="00AD0102">
        <w:rPr>
          <w:rFonts w:ascii="Palatino Linotype" w:hAnsi="Palatino Linotype" w:cs="Arial"/>
          <w:i/>
          <w:u w:val="single"/>
        </w:rPr>
        <w:t>Las resoluciones y laudos que se emitan en procesos o procedimientos seguidos en forma de juicio;</w:t>
      </w:r>
    </w:p>
    <w:p w14:paraId="3FD31D03" w14:textId="77777777" w:rsidR="006B326F" w:rsidRDefault="006B326F" w:rsidP="006B326F">
      <w:pPr>
        <w:tabs>
          <w:tab w:val="left" w:pos="709"/>
        </w:tabs>
        <w:spacing w:before="240" w:line="360" w:lineRule="auto"/>
        <w:ind w:right="51"/>
        <w:jc w:val="both"/>
        <w:rPr>
          <w:rFonts w:ascii="Palatino Linotype" w:hAnsi="Palatino Linotype"/>
          <w:sz w:val="24"/>
        </w:rPr>
      </w:pPr>
      <w:r>
        <w:rPr>
          <w:rFonts w:ascii="Palatino Linotype" w:hAnsi="Palatino Linotype"/>
          <w:sz w:val="24"/>
        </w:rPr>
        <w:t>Aunado a lo anterior, este órgano garante considero pertinente remitirse al portal de Información Pública de Oficio Mexiquense (IPOMEX) del sujeto obligado, para verificar si cuenta con información publicada respecto al laudo solicitado por el hoy particular.</w:t>
      </w:r>
    </w:p>
    <w:p w14:paraId="10FC72F7" w14:textId="77777777" w:rsidR="006B326F" w:rsidRPr="0062052B" w:rsidRDefault="006B326F" w:rsidP="006B326F">
      <w:pPr>
        <w:tabs>
          <w:tab w:val="left" w:pos="851"/>
        </w:tabs>
        <w:spacing w:before="120" w:after="120"/>
        <w:ind w:right="709"/>
        <w:jc w:val="both"/>
        <w:rPr>
          <w:rFonts w:ascii="Palatino Linotype" w:hAnsi="Palatino Linotype" w:cs="Arial"/>
          <w:i/>
        </w:rPr>
      </w:pPr>
    </w:p>
    <w:p w14:paraId="4BB2C0BF" w14:textId="56F14E72" w:rsidR="00AD0102" w:rsidRDefault="006B326F" w:rsidP="00AD0102">
      <w:pPr>
        <w:tabs>
          <w:tab w:val="left" w:pos="709"/>
        </w:tabs>
        <w:spacing w:before="240" w:line="360" w:lineRule="auto"/>
        <w:jc w:val="both"/>
        <w:rPr>
          <w:rFonts w:ascii="Palatino Linotype" w:hAnsi="Palatino Linotype" w:cs="Arial"/>
          <w:sz w:val="24"/>
          <w:szCs w:val="24"/>
        </w:rPr>
      </w:pPr>
      <w:r>
        <w:rPr>
          <w:noProof/>
        </w:rPr>
        <w:lastRenderedPageBreak/>
        <w:drawing>
          <wp:inline distT="0" distB="0" distL="0" distR="0" wp14:anchorId="025B5597" wp14:editId="68D0634A">
            <wp:extent cx="5838190" cy="4056434"/>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31" t="9994" r="50562" b="19459"/>
                    <a:stretch/>
                  </pic:blipFill>
                  <pic:spPr bwMode="auto">
                    <a:xfrm>
                      <a:off x="0" y="0"/>
                      <a:ext cx="5860697" cy="4072072"/>
                    </a:xfrm>
                    <a:prstGeom prst="rect">
                      <a:avLst/>
                    </a:prstGeom>
                    <a:ln>
                      <a:noFill/>
                    </a:ln>
                    <a:extLst>
                      <a:ext uri="{53640926-AAD7-44D8-BBD7-CCE9431645EC}">
                        <a14:shadowObscured xmlns:a14="http://schemas.microsoft.com/office/drawing/2010/main"/>
                      </a:ext>
                    </a:extLst>
                  </pic:spPr>
                </pic:pic>
              </a:graphicData>
            </a:graphic>
          </wp:inline>
        </w:drawing>
      </w:r>
    </w:p>
    <w:p w14:paraId="40B2ECC3" w14:textId="77777777" w:rsidR="00560FBF" w:rsidRDefault="00560FBF" w:rsidP="00BE179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pues, de la captura de pantalla inserta se puede apreciar a todas luces que el sujeto obligado no cuenta con ninguna resolución o laudo publicada en su portal, sin embargo, en aras de garantizar el derecho de acceso accionado por el impetrante de derechos, esta ponencia resolutora considera pertinente ordenar una búsqueda exhaustiva y razonable de la información, toda vez que no existió un pronunciamiento por parte de la autoridad.</w:t>
      </w:r>
    </w:p>
    <w:p w14:paraId="2B31DA98" w14:textId="77777777" w:rsidR="00560FBF" w:rsidRPr="006E16B1" w:rsidRDefault="00560FBF" w:rsidP="00BE179C">
      <w:pPr>
        <w:spacing w:before="240" w:after="360" w:line="360" w:lineRule="auto"/>
        <w:jc w:val="both"/>
        <w:rPr>
          <w:rFonts w:ascii="Palatino Linotype" w:eastAsia="Calibri" w:hAnsi="Palatino Linotype" w:cs="Times New Roman"/>
          <w:sz w:val="24"/>
          <w:szCs w:val="24"/>
        </w:rPr>
      </w:pPr>
      <w:r>
        <w:rPr>
          <w:rFonts w:ascii="Palatino Linotype" w:hAnsi="Palatino Linotype"/>
          <w:sz w:val="24"/>
          <w:szCs w:val="24"/>
        </w:rPr>
        <w:t xml:space="preserve">Ahora bien, respecto a lo solicitado por el recurrente, se considera pertinente citar lo establecido en los numerales </w:t>
      </w:r>
      <w:r w:rsidRPr="006E16B1">
        <w:rPr>
          <w:rFonts w:ascii="Palatino Linotype" w:eastAsia="Calibri" w:hAnsi="Palatino Linotype" w:cs="Times New Roman"/>
          <w:sz w:val="24"/>
          <w:szCs w:val="24"/>
        </w:rPr>
        <w:t>1, 2, 98, fracción VI y 251 de la Ley del Trabajo de los Servidores Públicos del Estado de México y Municipios, cuyo contenido es del tenor literal que enseguida se cita:</w:t>
      </w:r>
    </w:p>
    <w:p w14:paraId="329BC652"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lastRenderedPageBreak/>
        <w:t xml:space="preserve">“ARTÍCULO 1.- Ésta ley es de orden público e interés social y tiene por objeto regular las relaciones de trabajo, comprendidas entre los poderes públicos del Estado y los Municipios y sus respectivos servidores públicos. </w:t>
      </w:r>
    </w:p>
    <w:p w14:paraId="1D140E1C"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 xml:space="preserve">Igualmente, se regulan por esta ley las relaciones de trabajo entre los tribunales administrativos, los organismos descentralizados, fideicomisos de carácter estatal y municipal y los órganos autónomos que sus leyes de creación así lo determinen y sus servidores públicos…” </w:t>
      </w:r>
    </w:p>
    <w:p w14:paraId="256E053E"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“ARTÍCULO 2. Son sujetos de esta ley los servidores públicos y las instituciones públicas.”</w:t>
      </w:r>
    </w:p>
    <w:p w14:paraId="08CBD06D"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“ARTÍCULO 98. Son obligaciones de las instituciones públicas:</w:t>
      </w:r>
    </w:p>
    <w:p w14:paraId="0E07A238"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VI. Cumplir oportunamente los laudos que dicte el Tribunal y pagar el monto de las indemnizaciones y demás prestaciones a que tenga derecho el servidor público…”</w:t>
      </w:r>
    </w:p>
    <w:p w14:paraId="55E6EFCC"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“ARTÍCULO 251.- Siempre que en ejecución de un laudo o convenio, deba entregarse una suma de dinero o el cumplimiento de un derecho al servidor público, el Presidente cuidará que se le otorgue personalmente.</w:t>
      </w:r>
    </w:p>
    <w:p w14:paraId="178A3A75" w14:textId="77777777" w:rsidR="00560FBF" w:rsidRPr="001B3DB8" w:rsidRDefault="00560FBF" w:rsidP="00BE179C">
      <w:pPr>
        <w:spacing w:before="240" w:after="360" w:line="360" w:lineRule="auto"/>
        <w:ind w:left="993" w:right="1041"/>
        <w:jc w:val="both"/>
        <w:rPr>
          <w:rFonts w:ascii="Palatino Linotype" w:eastAsia="Calibri" w:hAnsi="Palatino Linotype" w:cs="Times New Roman"/>
          <w:i/>
        </w:rPr>
      </w:pPr>
      <w:r w:rsidRPr="001B3DB8">
        <w:rPr>
          <w:rFonts w:ascii="Palatino Linotype" w:eastAsia="Calibri" w:hAnsi="Palatino Linotype" w:cs="Times New Roman"/>
          <w:i/>
        </w:rPr>
        <w:t>Los titulares de las instituciones o dependencias y los sujetos a esta ley, se atendrán a lo dispuesto por los laudos y convenios, ordenando, en su caso el pago de las indemnizaciones sueldos o cualquier prestación en dinero que se determine en ellos, previo el establecimiento de una partida presupuestal específica para la liquidación respectiva.</w:t>
      </w:r>
    </w:p>
    <w:p w14:paraId="2CF149B6" w14:textId="77777777" w:rsidR="00560FBF" w:rsidRPr="006E16B1" w:rsidRDefault="00560FBF" w:rsidP="00BE179C">
      <w:pPr>
        <w:spacing w:before="240" w:after="360" w:line="360" w:lineRule="auto"/>
        <w:ind w:left="993" w:right="1041"/>
        <w:jc w:val="both"/>
        <w:rPr>
          <w:rFonts w:ascii="Palatino Linotype" w:eastAsia="Calibri" w:hAnsi="Palatino Linotype" w:cs="Times New Roman"/>
          <w:i/>
        </w:rPr>
      </w:pPr>
      <w:r w:rsidRPr="006E16B1">
        <w:rPr>
          <w:rFonts w:ascii="Palatino Linotype" w:eastAsia="Calibri" w:hAnsi="Palatino Linotype" w:cs="Times New Roman"/>
          <w:i/>
        </w:rPr>
        <w:lastRenderedPageBreak/>
        <w:t>El Órgano Superior de Fiscalización del Gobierno del Estado de México supervisará el cumplimiento de la obligación relacionada con la partida presupuestal específica y establecerá las responsabilidades en caso de incumplimiento.”</w:t>
      </w:r>
    </w:p>
    <w:p w14:paraId="3FA58F3A" w14:textId="77777777" w:rsidR="00560FBF" w:rsidRDefault="00560FBF" w:rsidP="00BE179C">
      <w:pPr>
        <w:spacing w:before="240" w:after="360" w:line="360" w:lineRule="auto"/>
        <w:jc w:val="both"/>
        <w:rPr>
          <w:rFonts w:ascii="Palatino Linotype" w:eastAsia="Calibri" w:hAnsi="Palatino Linotype" w:cs="Times New Roman"/>
          <w:sz w:val="24"/>
          <w:szCs w:val="24"/>
        </w:rPr>
      </w:pPr>
      <w:r>
        <w:rPr>
          <w:rFonts w:ascii="Palatino Linotype" w:hAnsi="Palatino Linotype"/>
          <w:sz w:val="24"/>
          <w:szCs w:val="24"/>
        </w:rPr>
        <w:t xml:space="preserve">Así, de explorado derecho se sabe que se le denomina laudo a la resolución que en definitiva dicta el Tribunal Laboral para la conclusión del juicio de la materia, </w:t>
      </w:r>
      <w:r w:rsidRPr="006E16B1">
        <w:rPr>
          <w:rFonts w:ascii="Palatino Linotype" w:eastAsia="Calibri" w:hAnsi="Palatino Linotype" w:cs="Times New Roman"/>
          <w:sz w:val="24"/>
          <w:szCs w:val="24"/>
        </w:rPr>
        <w:t xml:space="preserve">de tal forma, las relaciones de trabajo que guardan los Municipios y los organismos descentralizados con sus servidores públicos se encuentra reglamentada por la Ley del Trabajo de los Servidores Públicos del Estado de México y Municipios, y si en dicha ley, como se lee de los preceptos transcritos se determina que es obligación de las instituciones públicas el cumplir los laudos y pagar el monto de las indemnizaciones y demás prestaciones a que tenga derecho el servidor público, se colige que los adeudos que pudiera llegar a tener el </w:t>
      </w:r>
      <w:r w:rsidRPr="00DD474C">
        <w:rPr>
          <w:rFonts w:ascii="Palatino Linotype" w:eastAsia="Calibri" w:hAnsi="Palatino Linotype" w:cs="Times New Roman"/>
          <w:sz w:val="24"/>
          <w:szCs w:val="24"/>
        </w:rPr>
        <w:t>sujeto obligado</w:t>
      </w:r>
      <w:r w:rsidRPr="006E16B1">
        <w:rPr>
          <w:rFonts w:ascii="Palatino Linotype" w:eastAsia="Calibri" w:hAnsi="Palatino Linotype" w:cs="Times New Roman"/>
          <w:sz w:val="24"/>
          <w:szCs w:val="24"/>
        </w:rPr>
        <w:t>, son precisamente los derivados del pago de tales indemnizaciones y demás prestaciones que la ley en mención prevé en cumplimiento de los laudos.</w:t>
      </w:r>
    </w:p>
    <w:p w14:paraId="4D74822E" w14:textId="77777777" w:rsidR="00560FBF" w:rsidRDefault="00560FBF" w:rsidP="00BE179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Asimismo, es de gran importancia señalar que derivado de que el criterio de esta ponencia es que los laudos que no hayan causado estado se tienen contemplados como información reservada de conformidad con el numera 140 fracciones VI, VIII y X de la Ley de Transparencia y Acceso a la Información Pública del Estado de México y Municipios que a la letra reza:</w:t>
      </w:r>
    </w:p>
    <w:p w14:paraId="09B2FDF3" w14:textId="77777777" w:rsidR="00560FBF" w:rsidRDefault="00560FBF" w:rsidP="00BE179C">
      <w:pPr>
        <w:tabs>
          <w:tab w:val="left" w:pos="709"/>
        </w:tabs>
        <w:spacing w:before="240" w:line="360" w:lineRule="auto"/>
        <w:ind w:left="708" w:right="51"/>
        <w:jc w:val="both"/>
        <w:rPr>
          <w:rFonts w:ascii="Palatino Linotype" w:hAnsi="Palatino Linotype"/>
          <w:i/>
        </w:rPr>
      </w:pPr>
      <w:r w:rsidRPr="004939A9">
        <w:rPr>
          <w:rFonts w:ascii="Palatino Linotype" w:hAnsi="Palatino Linotype"/>
          <w:i/>
        </w:rPr>
        <w:t>Artículo 140. El acceso a la información pública será restringido excepcionalmente, cuando por razones de interés público, ésta sea clasificada como reservada, conforme a los criterios siguientes:</w:t>
      </w:r>
    </w:p>
    <w:p w14:paraId="32C50196" w14:textId="77777777" w:rsidR="00560FBF" w:rsidRPr="004939A9" w:rsidRDefault="00560FBF" w:rsidP="00BE179C">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ADA94B5" w14:textId="77777777" w:rsidR="00560FBF" w:rsidRPr="004939A9" w:rsidRDefault="00560FBF" w:rsidP="00BE179C">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 xml:space="preserve">VIII. Vulnere la conducción de los expedientes judiciales o de los procedimientos administrativos seguidos en forma de juicio, en tanto no hayan quedado firmes; </w:t>
      </w:r>
    </w:p>
    <w:p w14:paraId="3E87CCF4" w14:textId="77777777" w:rsidR="00560FBF" w:rsidRPr="004939A9" w:rsidRDefault="00560FBF" w:rsidP="00BE179C">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 xml:space="preserve">IX. Se encuentre contenida dentro de las investigaciones de hechos que la Ley señale como delitos y se tramiten ante el Ministerio Público; </w:t>
      </w:r>
    </w:p>
    <w:p w14:paraId="7ACE8760" w14:textId="77777777" w:rsidR="00560FBF" w:rsidRPr="004939A9" w:rsidRDefault="00560FBF" w:rsidP="00BE179C">
      <w:pPr>
        <w:tabs>
          <w:tab w:val="left" w:pos="709"/>
        </w:tabs>
        <w:spacing w:before="240" w:line="360" w:lineRule="auto"/>
        <w:ind w:left="708" w:right="51"/>
        <w:jc w:val="both"/>
        <w:rPr>
          <w:rFonts w:ascii="Palatino Linotype" w:hAnsi="Palatino Linotype"/>
          <w:i/>
          <w:szCs w:val="24"/>
        </w:rPr>
      </w:pPr>
      <w:r w:rsidRPr="004939A9">
        <w:rPr>
          <w:rFonts w:ascii="Palatino Linotype" w:hAnsi="Palatino Linotype"/>
          <w:i/>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02C6CCD" w14:textId="77777777" w:rsidR="00560FBF" w:rsidRDefault="00560FBF" w:rsidP="00BE179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esa premisa, es de señalar que debido que no se puede tener certeza si el laudo solicitado ya causo estado, es menester establecer que de conformidad con el numeral señalado en el párrafo que antecede se deberá de clasificar como reservado en el supuesto de que siga el juicio ya que podría entorpecer el procedimiento y causar un daño con la publicación de la información.</w:t>
      </w:r>
    </w:p>
    <w:p w14:paraId="2356E94A" w14:textId="77777777" w:rsidR="00560FBF" w:rsidRPr="00B866F9" w:rsidRDefault="00560FBF" w:rsidP="00BE179C">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Para ello, l</w:t>
      </w:r>
      <w:r w:rsidRPr="00B866F9">
        <w:rPr>
          <w:rFonts w:ascii="Palatino Linotype" w:hAnsi="Palatino Linotype" w:cs="Arial"/>
          <w:sz w:val="24"/>
          <w:szCs w:val="24"/>
        </w:rPr>
        <w:t xml:space="preserve">a Ley de Transparencia y Acceso a la Información Pública del Estado de México y Municipios, establece que la carga de la prueba para justificar toda negativa de información por actualizarse cualquiera de los supuestos de reserva corresponden </w:t>
      </w:r>
      <w:r w:rsidRPr="00B866F9">
        <w:rPr>
          <w:rFonts w:ascii="Palatino Linotype" w:hAnsi="Palatino Linotype" w:cs="Arial"/>
          <w:sz w:val="24"/>
          <w:szCs w:val="24"/>
        </w:rPr>
        <w:lastRenderedPageBreak/>
        <w:t>al sujeto obligado en términos de los artículos 3 fracción XXXIII, 131 y el párrafo segundo del artículo 172 todos del ordenamiento en cita, cuyo texto normativo señala:</w:t>
      </w:r>
    </w:p>
    <w:p w14:paraId="5840762D" w14:textId="77777777" w:rsidR="00560FBF" w:rsidRPr="009F16F5" w:rsidRDefault="00560FBF" w:rsidP="00BE179C">
      <w:pPr>
        <w:tabs>
          <w:tab w:val="left" w:pos="709"/>
        </w:tabs>
        <w:spacing w:line="360" w:lineRule="auto"/>
        <w:ind w:left="851" w:right="850"/>
        <w:jc w:val="both"/>
        <w:rPr>
          <w:rFonts w:ascii="Palatino Linotype" w:hAnsi="Palatino Linotype"/>
          <w:i/>
        </w:rPr>
      </w:pPr>
      <w:r w:rsidRPr="009F16F5">
        <w:rPr>
          <w:rFonts w:ascii="Palatino Linotype" w:hAnsi="Palatino Linotype"/>
          <w:i/>
        </w:rPr>
        <w:t>Artículo 3. Para los efectos de la presente Ley se entenderá por:</w:t>
      </w:r>
    </w:p>
    <w:p w14:paraId="3C028253" w14:textId="77777777" w:rsidR="00560FBF" w:rsidRPr="009F16F5" w:rsidRDefault="00560FBF" w:rsidP="00BE179C">
      <w:pPr>
        <w:tabs>
          <w:tab w:val="left" w:pos="709"/>
        </w:tabs>
        <w:spacing w:line="360" w:lineRule="auto"/>
        <w:ind w:left="851" w:right="850"/>
        <w:jc w:val="both"/>
        <w:rPr>
          <w:rFonts w:ascii="Palatino Linotype" w:hAnsi="Palatino Linotype"/>
          <w:i/>
        </w:rPr>
      </w:pPr>
      <w:r w:rsidRPr="009F16F5">
        <w:rPr>
          <w:rFonts w:ascii="Palatino Linotype" w:hAnsi="Palatino Linotype"/>
          <w:i/>
        </w:rPr>
        <w:t>[…]</w:t>
      </w:r>
    </w:p>
    <w:p w14:paraId="474E8C29" w14:textId="77777777" w:rsidR="00560FBF" w:rsidRPr="009F16F5" w:rsidRDefault="00560FBF" w:rsidP="00BE179C">
      <w:pPr>
        <w:tabs>
          <w:tab w:val="left" w:pos="709"/>
        </w:tabs>
        <w:spacing w:line="360" w:lineRule="auto"/>
        <w:ind w:left="851" w:right="850"/>
        <w:jc w:val="both"/>
        <w:rPr>
          <w:rFonts w:ascii="Palatino Linotype" w:hAnsi="Palatino Linotype"/>
          <w:i/>
        </w:rPr>
      </w:pPr>
      <w:r w:rsidRPr="009F16F5">
        <w:rPr>
          <w:rFonts w:ascii="Palatino Linotype" w:hAnsi="Palatino Linotype"/>
          <w:i/>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2B63CADA" w14:textId="77777777" w:rsidR="00560FBF" w:rsidRPr="009F16F5" w:rsidRDefault="00560FBF" w:rsidP="00BE179C">
      <w:pPr>
        <w:tabs>
          <w:tab w:val="left" w:pos="709"/>
        </w:tabs>
        <w:spacing w:line="360" w:lineRule="auto"/>
        <w:ind w:left="851" w:right="850"/>
        <w:jc w:val="both"/>
        <w:rPr>
          <w:rFonts w:ascii="Palatino Linotype" w:hAnsi="Palatino Linotype"/>
          <w:i/>
        </w:rPr>
      </w:pPr>
      <w:r w:rsidRPr="00BB6DCF">
        <w:rPr>
          <w:rFonts w:ascii="Palatino Linotype" w:hAnsi="Palatino Linotype"/>
          <w:i/>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2E69CB63" w14:textId="77777777" w:rsidR="00560FBF" w:rsidRPr="00BB6DCF" w:rsidRDefault="00560FBF" w:rsidP="00BE179C">
      <w:pPr>
        <w:tabs>
          <w:tab w:val="left" w:pos="709"/>
        </w:tabs>
        <w:spacing w:line="360" w:lineRule="auto"/>
        <w:ind w:left="851" w:right="850"/>
        <w:jc w:val="both"/>
        <w:rPr>
          <w:rFonts w:ascii="Palatino Linotype" w:hAnsi="Palatino Linotype"/>
          <w:i/>
        </w:rPr>
      </w:pPr>
      <w:r w:rsidRPr="00BB6DCF">
        <w:rPr>
          <w:rFonts w:ascii="Palatino Linotype" w:hAnsi="Palatino Linotype"/>
          <w:i/>
        </w:rPr>
        <w:t>Artículo 172…</w:t>
      </w:r>
    </w:p>
    <w:p w14:paraId="2BAC65AA" w14:textId="77777777" w:rsidR="00560FBF" w:rsidRPr="00BB6DCF" w:rsidRDefault="00560FBF" w:rsidP="00BE179C">
      <w:pPr>
        <w:tabs>
          <w:tab w:val="left" w:pos="709"/>
        </w:tabs>
        <w:spacing w:line="360" w:lineRule="auto"/>
        <w:ind w:left="851" w:right="850"/>
        <w:jc w:val="both"/>
        <w:rPr>
          <w:rFonts w:ascii="Palatino Linotype" w:hAnsi="Palatino Linotype" w:cs="Arial"/>
          <w:i/>
        </w:rPr>
      </w:pPr>
      <w:r w:rsidRPr="00BB6DCF">
        <w:rPr>
          <w:rFonts w:ascii="Palatino Linotype" w:hAnsi="Palatino Linotype"/>
          <w:i/>
        </w:rPr>
        <w:t>Los argumentos para justificar cualquier negativa de acceso a la información deben recaer en el sujeto obligado al cual la información fue solicitada.</w:t>
      </w:r>
    </w:p>
    <w:p w14:paraId="0FC4F64A" w14:textId="77777777" w:rsidR="00560FBF" w:rsidRDefault="00560FBF" w:rsidP="00BE179C">
      <w:pPr>
        <w:tabs>
          <w:tab w:val="left" w:pos="709"/>
        </w:tabs>
        <w:spacing w:line="360" w:lineRule="auto"/>
        <w:jc w:val="both"/>
        <w:rPr>
          <w:rFonts w:ascii="Palatino Linotype" w:hAnsi="Palatino Linotype" w:cs="Arial"/>
        </w:rPr>
      </w:pPr>
      <w:r>
        <w:rPr>
          <w:rFonts w:ascii="Palatino Linotype" w:hAnsi="Palatino Linotype" w:cs="Arial"/>
        </w:rPr>
        <w:t>Por lo que respecta a los numerales señalados por el sujeto obligado, se advierte que los L</w:t>
      </w:r>
      <w:r w:rsidRPr="00690DFA">
        <w:rPr>
          <w:rFonts w:ascii="Palatino Linotype" w:hAnsi="Palatino Linotype" w:cs="Arial"/>
        </w:rPr>
        <w:t>ineamientos Generales en Materia de Clasificación y Desclasificación de la Información, así como para la Elaboración de Versiones Pública</w:t>
      </w:r>
      <w:r>
        <w:rPr>
          <w:rFonts w:ascii="Palatino Linotype" w:hAnsi="Palatino Linotype" w:cs="Arial"/>
        </w:rPr>
        <w:t>, establecen:</w:t>
      </w:r>
    </w:p>
    <w:p w14:paraId="12292BF5"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 xml:space="preserve">Vigésimo octavo. De conformidad con el artículo 113, fracción IX de la Ley General, podrá considerarse como información reservada, aquella que obstruya los procedimientos para fincar responsabilidad a los servidores públicos, en tanto no se </w:t>
      </w:r>
      <w:r w:rsidRPr="00A740EE">
        <w:rPr>
          <w:rFonts w:ascii="Palatino Linotype" w:hAnsi="Palatino Linotype"/>
          <w:i/>
        </w:rPr>
        <w:lastRenderedPageBreak/>
        <w:t>haya dictado la resolución administrativa correspondiente; para lo cual, se deberán acreditar los siguientes supuestos:</w:t>
      </w:r>
    </w:p>
    <w:p w14:paraId="50881CE3"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I. La existencia de un procedimiento de responsabilidad administrativa en trámite, y</w:t>
      </w:r>
    </w:p>
    <w:p w14:paraId="10C903DD"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II. Que la información se refiera a actuaciones, diligencias y constancias propias del procedimiento de responsabilidad.</w:t>
      </w:r>
    </w:p>
    <w:p w14:paraId="0AA5EF22" w14:textId="77777777" w:rsidR="00560FBF" w:rsidRPr="00786010"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Vigésimo noveno. De conformidad con el artículo 113, fracción X de la Ley General, podrá considerarse como información reservada, aquella que de divulgarse afecte el debido proceso al actualizarse los siguientes elementos:</w:t>
      </w:r>
    </w:p>
    <w:p w14:paraId="1AD3A786" w14:textId="77777777" w:rsidR="00560FBF" w:rsidRPr="00786010"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I. La existencia de un procedimiento judicial, administrativo o arbitral en trámite;</w:t>
      </w:r>
    </w:p>
    <w:p w14:paraId="44CE6DB0" w14:textId="77777777" w:rsidR="00560FBF"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II. Que el sujeto obligado sea parte en ese procedimiento;</w:t>
      </w:r>
    </w:p>
    <w:p w14:paraId="3E52C0A5" w14:textId="77777777" w:rsidR="00560FBF"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III. Que la información no sea conocida por la contraparte antes de la presentación de la misma en el proceso, y</w:t>
      </w:r>
    </w:p>
    <w:p w14:paraId="07B54D44" w14:textId="77777777" w:rsidR="00560FBF"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IV. Que con su divulgación se afecte la oportunidad de llevar a cabo alguna de las garantías del debido proceso.</w:t>
      </w:r>
    </w:p>
    <w:p w14:paraId="5161DC94" w14:textId="77777777" w:rsidR="00560FBF"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3258006B" w14:textId="77777777" w:rsidR="00560FBF"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I. La existencia de un juicio o procedimiento administrativo materialmente jurisdiccional, que se encuentre en trámite, y</w:t>
      </w:r>
    </w:p>
    <w:p w14:paraId="7514DCDD" w14:textId="77777777" w:rsidR="00560FBF" w:rsidRDefault="00560FBF" w:rsidP="00BE179C">
      <w:pPr>
        <w:tabs>
          <w:tab w:val="left" w:pos="709"/>
        </w:tabs>
        <w:spacing w:line="360" w:lineRule="auto"/>
        <w:ind w:left="851" w:right="850"/>
        <w:jc w:val="both"/>
        <w:rPr>
          <w:rFonts w:ascii="Palatino Linotype" w:hAnsi="Palatino Linotype"/>
          <w:i/>
        </w:rPr>
      </w:pPr>
      <w:r w:rsidRPr="00786010">
        <w:rPr>
          <w:rFonts w:ascii="Palatino Linotype" w:hAnsi="Palatino Linotype"/>
          <w:i/>
        </w:rPr>
        <w:t>II. Que la información solicitada se refiera a actuaciones, diligencias o constancias propias del procedimiento</w:t>
      </w:r>
    </w:p>
    <w:p w14:paraId="3C69FBE1"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lastRenderedPageBreak/>
        <w:t>Trigésimo tercero. Para la aplicación de la prueba de daño a la que hace referencia el artículo 104 de la Ley General, los sujetos obligados atenderán lo siguiente:</w:t>
      </w:r>
    </w:p>
    <w:p w14:paraId="48F0A84D"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3756957"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5A570080"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III. Se debe de acreditar el vínculo entre la difusión de la información y la afectación del interés jurídico tutelado de que se trate;</w:t>
      </w:r>
    </w:p>
    <w:p w14:paraId="56BB1CCB"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IV. Precisar las razones objetivas por las que la apertura de la información generaría una afectación, a través de los elementos de un riesgo real, demostrable e identificable;</w:t>
      </w:r>
    </w:p>
    <w:p w14:paraId="634C7FF8"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V. En la motivación de la clasificación, el sujeto obligado deberá acreditar las circunstancias de modo, tiempo y lugar del daño, y</w:t>
      </w:r>
    </w:p>
    <w:p w14:paraId="08D64056"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1E6EE4A8"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t>Trigésimo cuarto. El periodo máximo por el que podría reservarse la información será de cinco años. El periodo de reserva correrá a partir de la fecha en que el Comité de Transparencia confirme la clasificación del expediente o documento.</w:t>
      </w:r>
    </w:p>
    <w:p w14:paraId="1F46CA77" w14:textId="77777777" w:rsidR="00560FBF" w:rsidRPr="00A740EE" w:rsidRDefault="00560FBF" w:rsidP="00BE179C">
      <w:pPr>
        <w:tabs>
          <w:tab w:val="left" w:pos="709"/>
        </w:tabs>
        <w:spacing w:line="360" w:lineRule="auto"/>
        <w:ind w:left="851" w:right="850"/>
        <w:jc w:val="both"/>
        <w:rPr>
          <w:rFonts w:ascii="Palatino Linotype" w:hAnsi="Palatino Linotype"/>
          <w:i/>
        </w:rPr>
      </w:pPr>
      <w:r w:rsidRPr="00A740EE">
        <w:rPr>
          <w:rFonts w:ascii="Palatino Linotype" w:hAnsi="Palatino Linotype"/>
          <w:i/>
        </w:rPr>
        <w:lastRenderedPageBreak/>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Asimismo, deberán señalar las razones por las cuales se estableció el plazo de reserva determinado.</w:t>
      </w:r>
    </w:p>
    <w:p w14:paraId="79D1EB01" w14:textId="77777777" w:rsidR="00560FBF" w:rsidRPr="00B866F9" w:rsidRDefault="00560FBF" w:rsidP="00BE179C">
      <w:pPr>
        <w:tabs>
          <w:tab w:val="left" w:pos="709"/>
        </w:tabs>
        <w:spacing w:line="360" w:lineRule="auto"/>
        <w:jc w:val="both"/>
        <w:rPr>
          <w:rFonts w:ascii="Palatino Linotype" w:hAnsi="Palatino Linotype" w:cs="Arial"/>
          <w:sz w:val="24"/>
          <w:szCs w:val="24"/>
          <w:u w:val="single"/>
        </w:rPr>
      </w:pPr>
      <w:r w:rsidRPr="00B866F9">
        <w:rPr>
          <w:rFonts w:ascii="Palatino Linotype" w:hAnsi="Palatino Linotype" w:cs="Arial"/>
          <w:sz w:val="24"/>
          <w:szCs w:val="24"/>
        </w:rPr>
        <w:t xml:space="preserve">De lo anterior, el sujeto obligado es quien tiene la carga de demostrar los extremos exigidos por los dispositivos legales que regulan la reserva de información, es decir el </w:t>
      </w:r>
      <w:r w:rsidRPr="00B866F9">
        <w:rPr>
          <w:rFonts w:ascii="Palatino Linotype" w:hAnsi="Palatino Linotype" w:cs="Arial"/>
          <w:sz w:val="24"/>
          <w:szCs w:val="24"/>
          <w:u w:val="single"/>
        </w:rPr>
        <w:t>demostrar de manera fundada y motivada que la divulgación de la información lesiona el interés jurídicamente protegido por la ley y que el daño que puede producirse con la publicidad de la información es mayor que el interés de conocerla.</w:t>
      </w:r>
    </w:p>
    <w:p w14:paraId="55121DB3" w14:textId="77777777" w:rsidR="00560FBF" w:rsidRPr="00B866F9" w:rsidRDefault="00560FBF" w:rsidP="00184CC5">
      <w:pPr>
        <w:tabs>
          <w:tab w:val="left" w:pos="709"/>
        </w:tabs>
        <w:spacing w:before="240" w:line="360" w:lineRule="auto"/>
        <w:jc w:val="both"/>
        <w:rPr>
          <w:rFonts w:ascii="Palatino Linotype" w:hAnsi="Palatino Linotype" w:cs="Arial"/>
          <w:sz w:val="24"/>
          <w:szCs w:val="24"/>
        </w:rPr>
      </w:pPr>
      <w:r w:rsidRPr="00B866F9">
        <w:rPr>
          <w:rFonts w:ascii="Palatino Linotype" w:hAnsi="Palatino Linotype" w:cs="Arial"/>
          <w:sz w:val="24"/>
          <w:szCs w:val="24"/>
        </w:rPr>
        <w:t>Asimismo, se deben seguir los lineamientos establecidos para la clasificación de información, los cuales deberán desarrollarse dentro del procedimiento para emitir un acuerdo de clasificación, el cual demostrará que el acto emitido es legal.</w:t>
      </w:r>
    </w:p>
    <w:p w14:paraId="330A39B0" w14:textId="77777777" w:rsidR="00560FBF" w:rsidRDefault="00560FBF" w:rsidP="00BE179C">
      <w:pPr>
        <w:tabs>
          <w:tab w:val="left" w:pos="709"/>
        </w:tabs>
        <w:spacing w:line="360" w:lineRule="auto"/>
        <w:jc w:val="both"/>
        <w:rPr>
          <w:rFonts w:ascii="Palatino Linotype" w:hAnsi="Palatino Linotype" w:cs="Arial"/>
          <w:sz w:val="24"/>
          <w:szCs w:val="24"/>
        </w:rPr>
      </w:pPr>
      <w:r w:rsidRPr="00B866F9">
        <w:rPr>
          <w:rFonts w:ascii="Palatino Linotype" w:hAnsi="Palatino Linotype" w:cs="Arial"/>
          <w:sz w:val="24"/>
          <w:szCs w:val="24"/>
        </w:rPr>
        <w:t>Bajo ese tenor, en la especie únicamente se justifica una afectación al procedimiento de ejecución del laudo, por lo que deberá emitirse el acuerdo de clasificación correspondiente el cual deberá cubrir los estándares constitucionales y legales exigidos, con la finalidad de generar seguridad jurídica a la particular de la excepción fundada en normatividad vigente.</w:t>
      </w:r>
    </w:p>
    <w:p w14:paraId="2A53F0BA" w14:textId="77777777" w:rsidR="00560FBF" w:rsidRPr="00B866F9" w:rsidRDefault="00560FBF" w:rsidP="00BE179C">
      <w:pPr>
        <w:tabs>
          <w:tab w:val="left" w:pos="709"/>
        </w:tabs>
        <w:spacing w:line="360" w:lineRule="auto"/>
        <w:jc w:val="both"/>
        <w:rPr>
          <w:rFonts w:ascii="Palatino Linotype" w:hAnsi="Palatino Linotype"/>
          <w:sz w:val="24"/>
          <w:szCs w:val="24"/>
        </w:rPr>
      </w:pPr>
      <w:r w:rsidRPr="00B866F9">
        <w:rPr>
          <w:rFonts w:ascii="Palatino Linotype" w:hAnsi="Palatino Linotype"/>
          <w:sz w:val="24"/>
          <w:szCs w:val="24"/>
        </w:rPr>
        <w:t xml:space="preserve">Entendiéndose por seguridad jurídica como la base sobre la cual descansa el sistema jurídico mexicano, tutelando que el gobernado jamás se encuentre en una situación de estado de indefensión, evitando actos arbitrarios por parte de las autoridades, tal y como lo ha establecido el Supremo Tribunal, sirviendo de sustento la tesis </w:t>
      </w:r>
      <w:r w:rsidRPr="00B866F9">
        <w:rPr>
          <w:rFonts w:ascii="Palatino Linotype" w:hAnsi="Palatino Linotype"/>
          <w:sz w:val="24"/>
          <w:szCs w:val="24"/>
        </w:rPr>
        <w:lastRenderedPageBreak/>
        <w:t>jurisprudencial 1a./J. 139/2012, de la Primera Sala de la Suprema Corte de Justicia de la nación, visible en el Semanario Judicial de la Federación y su Gaceta bajo el número de registro 2002649 cuyo rubro y texto esgrime:</w:t>
      </w:r>
    </w:p>
    <w:p w14:paraId="7146D69A" w14:textId="77777777" w:rsidR="00560FBF" w:rsidRPr="00184CC5" w:rsidRDefault="00560FBF" w:rsidP="00BE179C">
      <w:pPr>
        <w:spacing w:before="240" w:line="360" w:lineRule="auto"/>
        <w:ind w:left="567"/>
        <w:jc w:val="both"/>
        <w:rPr>
          <w:rFonts w:ascii="Palatino Linotype" w:eastAsia="Times New Roman" w:hAnsi="Palatino Linotype"/>
          <w:i/>
          <w:iCs/>
          <w:color w:val="000000"/>
          <w:lang w:eastAsia="es-MX"/>
        </w:rPr>
      </w:pPr>
      <w:r w:rsidRPr="00184CC5">
        <w:rPr>
          <w:rFonts w:ascii="Palatino Linotype" w:eastAsia="Times New Roman" w:hAnsi="Palatino Linotype"/>
          <w:b/>
          <w:bCs/>
          <w:i/>
          <w:iCs/>
          <w:color w:val="000000"/>
          <w:lang w:eastAsia="es-MX"/>
        </w:rPr>
        <w:t xml:space="preserve">SEGURIDAD JURÍDICA EN MATERIA TRIBUTARIA. EN QUÉ CONSISTE. </w:t>
      </w:r>
      <w:r w:rsidRPr="00184CC5">
        <w:rPr>
          <w:rFonts w:ascii="Palatino Linotype" w:eastAsia="Times New Roman" w:hAnsi="Palatino Linotype"/>
          <w:i/>
          <w:iCs/>
          <w:color w:val="000000"/>
          <w:lang w:eastAsia="es-MX"/>
        </w:rPr>
        <w:t>La Primera Sala de la Suprema Corte de Justicia de la Nación ha sostenido que el principio de seguridad jurídica consagrado en la Constitución General de la República,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juridificación del fenómeno tributario y su conversión en una realidad normada, y tal ordenamiento público constituirá un sistema de seguridad jurídica formal o de "seguridad a través del Derecho".</w:t>
      </w:r>
    </w:p>
    <w:p w14:paraId="45A3B347" w14:textId="77777777" w:rsidR="00560FBF" w:rsidRPr="00B866F9" w:rsidRDefault="00560FBF" w:rsidP="00BE179C">
      <w:pPr>
        <w:tabs>
          <w:tab w:val="left" w:pos="709"/>
        </w:tabs>
        <w:spacing w:before="240" w:line="360" w:lineRule="auto"/>
        <w:jc w:val="both"/>
        <w:rPr>
          <w:rFonts w:ascii="Palatino Linotype" w:hAnsi="Palatino Linotype"/>
          <w:sz w:val="24"/>
          <w:szCs w:val="24"/>
        </w:rPr>
      </w:pPr>
      <w:r w:rsidRPr="00B866F9">
        <w:rPr>
          <w:rFonts w:ascii="Palatino Linotype" w:hAnsi="Palatino Linotype"/>
          <w:sz w:val="24"/>
          <w:szCs w:val="24"/>
        </w:rPr>
        <w:lastRenderedPageBreak/>
        <w:t>Principio que va en colación con la debida fundamentación y motivación de los actos de autoridad, con la finalidad de evitar decisiones arbitrarias; debiendo establecer el fundamento jurídico en que se basa sus determinaciones y la exposición razonada que justifique la reserva de información.</w:t>
      </w:r>
    </w:p>
    <w:p w14:paraId="342182D6" w14:textId="77777777" w:rsidR="00560FBF" w:rsidRPr="00B866F9" w:rsidRDefault="00560FBF" w:rsidP="00BE179C">
      <w:pPr>
        <w:spacing w:after="260" w:line="360" w:lineRule="auto"/>
        <w:ind w:right="-232"/>
        <w:jc w:val="both"/>
        <w:rPr>
          <w:rFonts w:ascii="Palatino Linotype" w:eastAsia="Times New Roman" w:hAnsi="Palatino Linotype"/>
          <w:color w:val="000000"/>
          <w:sz w:val="24"/>
          <w:szCs w:val="24"/>
          <w:lang w:eastAsia="es-MX"/>
        </w:rPr>
      </w:pPr>
      <w:r w:rsidRPr="00B866F9">
        <w:rPr>
          <w:rFonts w:ascii="Palatino Linotype" w:eastAsia="Times New Roman" w:hAnsi="Palatino Linotype"/>
          <w:color w:val="000000"/>
          <w:sz w:val="24"/>
          <w:szCs w:val="24"/>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04A50FA2" w14:textId="77777777" w:rsidR="00560FBF" w:rsidRPr="00C566D2" w:rsidRDefault="00560FBF" w:rsidP="00BE179C">
      <w:pPr>
        <w:spacing w:before="240" w:line="360" w:lineRule="auto"/>
        <w:ind w:left="567"/>
        <w:jc w:val="both"/>
        <w:rPr>
          <w:rFonts w:ascii="Palatino Linotype" w:eastAsia="Times New Roman" w:hAnsi="Palatino Linotype"/>
          <w:i/>
          <w:color w:val="000000"/>
          <w:lang w:eastAsia="es-MX"/>
        </w:rPr>
      </w:pPr>
      <w:r w:rsidRPr="00C566D2">
        <w:rPr>
          <w:rFonts w:ascii="Palatino Linotype" w:eastAsia="Times New Roman" w:hAnsi="Palatino Linotype"/>
          <w:b/>
          <w:bCs/>
          <w:i/>
          <w:color w:val="000000"/>
          <w:lang w:eastAsia="es-MX"/>
        </w:rPr>
        <w:t>FUNDAMENTACIÓN Y MOTIVACIÓN. EL ASPECTO FORMAL DE LA GARANTÍA Y SU FINALIDAD SE TRADUCEN EN EXPLICAR, JUSTIFICAR, POSIBILITAR LA DEFENSA Y COMUNICAR LA DECISIÓN.</w:t>
      </w:r>
      <w:r>
        <w:rPr>
          <w:rFonts w:ascii="Palatino Linotype" w:eastAsia="Times New Roman" w:hAnsi="Palatino Linotype"/>
          <w:b/>
          <w:bCs/>
          <w:i/>
          <w:color w:val="000000"/>
          <w:lang w:eastAsia="es-MX"/>
        </w:rPr>
        <w:t xml:space="preserve"> </w:t>
      </w:r>
      <w:r w:rsidRPr="00C566D2">
        <w:rPr>
          <w:rFonts w:ascii="Palatino Linotype" w:eastAsia="Times New Roman" w:hAnsi="Palatino Linotype"/>
          <w:i/>
          <w:color w:val="000000"/>
          <w:lang w:eastAsia="es-MX"/>
        </w:rPr>
        <w:t>El contenido formal de la garantía de legalidad prevista en el artículo </w:t>
      </w:r>
      <w:hyperlink r:id="rId12" w:history="1">
        <w:r w:rsidRPr="00C566D2">
          <w:rPr>
            <w:rFonts w:ascii="Palatino Linotype" w:eastAsia="Times New Roman" w:hAnsi="Palatino Linotype"/>
            <w:i/>
            <w:lang w:eastAsia="es-MX"/>
          </w:rPr>
          <w:t>16 constitucional</w:t>
        </w:r>
      </w:hyperlink>
      <w:r w:rsidRPr="00C566D2">
        <w:rPr>
          <w:rFonts w:ascii="Palatino Linotype" w:eastAsia="Times New Roman" w:hAnsi="Palatino Linotype"/>
          <w:i/>
          <w:color w:val="00000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4B555CB1" w14:textId="77777777" w:rsidR="00560FBF" w:rsidRPr="00B866F9" w:rsidRDefault="00560FBF" w:rsidP="00BE179C">
      <w:pPr>
        <w:tabs>
          <w:tab w:val="left" w:pos="709"/>
        </w:tabs>
        <w:spacing w:before="240" w:line="360" w:lineRule="auto"/>
        <w:jc w:val="both"/>
        <w:rPr>
          <w:rFonts w:ascii="Palatino Linotype" w:hAnsi="Palatino Linotype"/>
          <w:sz w:val="24"/>
          <w:szCs w:val="24"/>
        </w:rPr>
      </w:pPr>
      <w:r w:rsidRPr="00B866F9">
        <w:rPr>
          <w:rFonts w:ascii="Palatino Linotype" w:hAnsi="Palatino Linotype"/>
          <w:sz w:val="24"/>
          <w:szCs w:val="24"/>
        </w:rPr>
        <w:lastRenderedPageBreak/>
        <w:t xml:space="preserve">Derecho Humano inmerso en el artículo 8.1 de la Convención Americana de Derechos humanos e interpretado por la Corte Interamericana de Derechos Humanos, en diversos instrumentos como en el </w:t>
      </w:r>
      <w:r w:rsidRPr="00B866F9">
        <w:rPr>
          <w:rFonts w:ascii="Palatino Linotype" w:hAnsi="Palatino Linotype"/>
          <w:i/>
          <w:sz w:val="24"/>
          <w:szCs w:val="24"/>
        </w:rPr>
        <w:t>Caso Claude Reyes y otros vs. Chile.</w:t>
      </w:r>
      <w:r w:rsidRPr="00B866F9">
        <w:rPr>
          <w:rFonts w:ascii="Palatino Linotype" w:hAnsi="Palatino Linotype"/>
          <w:sz w:val="24"/>
          <w:szCs w:val="24"/>
        </w:rPr>
        <w:t xml:space="preserve"> Fondo, reparaciones y costas, Sentencia de 19 de septiembre de 2006. Serie C, num., 151 párrafo 120 </w:t>
      </w:r>
    </w:p>
    <w:p w14:paraId="24D1DDE6" w14:textId="77777777" w:rsidR="00560FBF" w:rsidRPr="00DC620C" w:rsidRDefault="00560FBF" w:rsidP="00BE179C">
      <w:pPr>
        <w:tabs>
          <w:tab w:val="left" w:pos="709"/>
        </w:tabs>
        <w:spacing w:before="240" w:line="360" w:lineRule="auto"/>
        <w:ind w:left="567"/>
        <w:jc w:val="both"/>
        <w:rPr>
          <w:rFonts w:ascii="Palatino Linotype" w:hAnsi="Palatino Linotype"/>
          <w:i/>
          <w:iCs/>
        </w:rPr>
      </w:pPr>
      <w:r w:rsidRPr="00DC620C">
        <w:rPr>
          <w:rFonts w:ascii="Palatino Linotype" w:hAnsi="Palatino Linotype"/>
          <w:i/>
          <w:iCs/>
        </w:rPr>
        <w:t>120. La Corte ha establecido que las decisiones que adopten los órganos internos que puedan afectar derechos humanos deben estar debidamente fundamentadas, pues de lo contrario serían decisiones arbitrarias.</w:t>
      </w:r>
    </w:p>
    <w:p w14:paraId="223A941A" w14:textId="77777777" w:rsidR="00560FBF" w:rsidRPr="00B866F9" w:rsidRDefault="00560FBF" w:rsidP="00BE179C">
      <w:pPr>
        <w:tabs>
          <w:tab w:val="left" w:pos="709"/>
        </w:tabs>
        <w:spacing w:line="360" w:lineRule="auto"/>
        <w:jc w:val="both"/>
        <w:rPr>
          <w:rFonts w:ascii="Palatino Linotype" w:hAnsi="Palatino Linotype"/>
          <w:sz w:val="24"/>
          <w:szCs w:val="24"/>
        </w:rPr>
      </w:pPr>
      <w:r w:rsidRPr="00B866F9">
        <w:rPr>
          <w:rFonts w:ascii="Palatino Linotype" w:hAnsi="Palatino Linotype"/>
          <w:sz w:val="24"/>
          <w:szCs w:val="24"/>
        </w:rPr>
        <w:t xml:space="preserve">Así como en su diverso Caso </w:t>
      </w:r>
      <w:r w:rsidRPr="00B866F9">
        <w:rPr>
          <w:rFonts w:ascii="Palatino Linotype" w:hAnsi="Palatino Linotype"/>
          <w:i/>
          <w:sz w:val="24"/>
          <w:szCs w:val="24"/>
        </w:rPr>
        <w:t>Apitz Barbea y otros (Corte Primera de lo Contencioso Administrativo”) vs. Venezuela.</w:t>
      </w:r>
      <w:r w:rsidRPr="00B866F9">
        <w:rPr>
          <w:rFonts w:ascii="Palatino Linotype" w:hAnsi="Palatino Linotype"/>
          <w:sz w:val="24"/>
          <w:szCs w:val="24"/>
        </w:rPr>
        <w:t xml:space="preserve"> Excepción preliminar, fondo, reparaciones y costas. Sentencia de 5 de agosto de 2008. Serie C, núm., párrafos 77 y 78.</w:t>
      </w:r>
    </w:p>
    <w:p w14:paraId="3C50713A" w14:textId="77777777" w:rsidR="00560FBF" w:rsidRPr="00DC620C" w:rsidRDefault="00560FBF" w:rsidP="00BE179C">
      <w:pPr>
        <w:tabs>
          <w:tab w:val="left" w:pos="709"/>
        </w:tabs>
        <w:spacing w:line="360" w:lineRule="auto"/>
        <w:ind w:left="567"/>
        <w:jc w:val="both"/>
        <w:rPr>
          <w:rFonts w:ascii="Palatino Linotype" w:hAnsi="Palatino Linotype"/>
          <w:i/>
          <w:iCs/>
        </w:rPr>
      </w:pPr>
      <w:r w:rsidRPr="00DC620C">
        <w:rPr>
          <w:rFonts w:ascii="Palatino Linotype" w:hAnsi="Palatino Linotype"/>
          <w:i/>
          <w:iCs/>
        </w:rPr>
        <w:t>77. La Corte ha señalado que la motivación “es la exteriorización de la justificación razonada que permite llegar a una conclusión”. El deber de motivar las resoluciones es una garantía vinculada con la correcta administración de justicia, que protege el derecho de los ciudadanos a ser juzgados por las razones que el Derecho suministra, y otorga credibilidad de las decisiones jurídicas en el marco de una sociedad democrática.</w:t>
      </w:r>
    </w:p>
    <w:p w14:paraId="7514985B" w14:textId="77777777" w:rsidR="00560FBF" w:rsidRPr="00DC620C" w:rsidRDefault="00560FBF" w:rsidP="00BE179C">
      <w:pPr>
        <w:tabs>
          <w:tab w:val="left" w:pos="709"/>
        </w:tabs>
        <w:spacing w:line="360" w:lineRule="auto"/>
        <w:ind w:left="567"/>
        <w:jc w:val="both"/>
        <w:rPr>
          <w:rFonts w:ascii="Palatino Linotype" w:hAnsi="Palatino Linotype"/>
          <w:i/>
          <w:iCs/>
        </w:rPr>
      </w:pPr>
      <w:r w:rsidRPr="00DC620C">
        <w:rPr>
          <w:rFonts w:ascii="Palatino Linotype" w:hAnsi="Palatino Linotype"/>
          <w:i/>
          <w:iCs/>
        </w:rPr>
        <w:t xml:space="preserve">78. El Tribunal ha resaltado que las decisiones que adopten los órganos internos que puedan afectar derechos humanos deben estar debidamente fundamentadas, pues de lo contrario serían decisiones arbitrarias. En este sentido, la argumentación de un fallo debe mostrar que han sido debidamente tomados en cuenta los alegatos de las partes y que el conjunto de pruebas ha sido analizado. Asimismo, la motivación demuestra a las partes que éstas han sido oídas y, en aquellos casos en que las decisiones son recurribles, les proporciona la posibilidad de criticar la resolución y lograr un nuevo examen de la cuestión ante las instancias superiores. Por todo ello, el deber de </w:t>
      </w:r>
      <w:r w:rsidRPr="00DC620C">
        <w:rPr>
          <w:rFonts w:ascii="Palatino Linotype" w:hAnsi="Palatino Linotype"/>
          <w:i/>
          <w:iCs/>
        </w:rPr>
        <w:lastRenderedPageBreak/>
        <w:t>motivación es una de las “debidas garantías” incluidas en el artículo 8.1 para salvaguardar el derecho a un debido proceso.</w:t>
      </w:r>
    </w:p>
    <w:p w14:paraId="3225D68B" w14:textId="77777777" w:rsidR="00560FBF" w:rsidRPr="00FA27D6" w:rsidRDefault="00560FBF" w:rsidP="00BE179C">
      <w:pPr>
        <w:tabs>
          <w:tab w:val="left" w:pos="709"/>
        </w:tabs>
        <w:spacing w:line="360" w:lineRule="auto"/>
        <w:jc w:val="both"/>
        <w:rPr>
          <w:rFonts w:ascii="Palatino Linotype" w:hAnsi="Palatino Linotype" w:cs="Arial"/>
          <w:sz w:val="24"/>
          <w:szCs w:val="24"/>
        </w:rPr>
      </w:pPr>
      <w:r w:rsidRPr="00FA27D6">
        <w:rPr>
          <w:rFonts w:ascii="Palatino Linotype" w:hAnsi="Palatino Linotype" w:cs="Arial"/>
          <w:sz w:val="24"/>
          <w:szCs w:val="24"/>
        </w:rPr>
        <w:t xml:space="preserve">Bajo esa tesitura, se comparte que el derecho de acceso no es absoluto </w:t>
      </w:r>
      <w:r>
        <w:rPr>
          <w:rFonts w:ascii="Palatino Linotype" w:hAnsi="Palatino Linotype" w:cs="Arial"/>
          <w:sz w:val="24"/>
          <w:szCs w:val="24"/>
        </w:rPr>
        <w:t xml:space="preserve">y que por lo que hace al procedimiento de ejecución sí se </w:t>
      </w:r>
      <w:r w:rsidRPr="00FA27D6">
        <w:rPr>
          <w:rFonts w:ascii="Palatino Linotype" w:hAnsi="Palatino Linotype" w:cs="Arial"/>
          <w:sz w:val="24"/>
          <w:szCs w:val="24"/>
        </w:rPr>
        <w:t>demostró la existencia de una excepción al principio de máxima publicidad, sin embargo, no debe soslayarse la necesidad de fundar y motivar una decisión que limita el ejercicio del derecho de acceso a la información pública, carga procesal que recae en el sujeto obligado en términos del arábigo 131 de la Ley de Transparencia y Acceso a la Información Pública del Estado de México y Municipios.</w:t>
      </w:r>
    </w:p>
    <w:p w14:paraId="70A45328" w14:textId="77777777" w:rsidR="00560FBF" w:rsidRDefault="00560FBF" w:rsidP="00BE179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Asimismo, no debe perderse de vista que los lineamientos para clasificar información ya multicitados, en su numeral trigésimo cuarto establece que los </w:t>
      </w:r>
      <w:r w:rsidRPr="002F4516">
        <w:rPr>
          <w:rFonts w:ascii="Palatino Linotype" w:hAnsi="Palatino Linotype"/>
        </w:rPr>
        <w:t xml:space="preserve"> titulares de las áreas deberán determinar que el plazo de reserva sea el estrictamente necesario para proteger la información mientras subsistan las causas que dieron origen a la clasificación, </w:t>
      </w:r>
      <w:r w:rsidRPr="002F4516">
        <w:rPr>
          <w:rFonts w:ascii="Palatino Linotype" w:hAnsi="Palatino Linotype"/>
          <w:b/>
        </w:rPr>
        <w:t>salvaguardando el interés público protegido y tomarán en cuenta las razones que justifican el periodo de reserva establecido</w:t>
      </w:r>
      <w:r>
        <w:rPr>
          <w:rFonts w:ascii="Palatino Linotype" w:hAnsi="Palatino Linotype"/>
          <w:b/>
        </w:rPr>
        <w:t xml:space="preserve">, </w:t>
      </w:r>
      <w:r>
        <w:rPr>
          <w:rFonts w:ascii="Palatino Linotype" w:hAnsi="Palatino Linotype"/>
        </w:rPr>
        <w:t>por lo que deberá ajustarse su acto a los presupuestos legales establecidos para la emisión de los acuerdos de clasificación correspondientes.</w:t>
      </w:r>
    </w:p>
    <w:p w14:paraId="6B171C5D" w14:textId="0E3E66EB" w:rsidR="00560FBF" w:rsidRDefault="00560FBF" w:rsidP="00BE179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w:t>
      </w:r>
      <w:r w:rsidR="00DC620C">
        <w:rPr>
          <w:rFonts w:ascii="Palatino Linotype" w:hAnsi="Palatino Linotype"/>
          <w:sz w:val="24"/>
          <w:szCs w:val="24"/>
        </w:rPr>
        <w:t>bien, por</w:t>
      </w:r>
      <w:r>
        <w:rPr>
          <w:rFonts w:ascii="Palatino Linotype" w:hAnsi="Palatino Linotype"/>
          <w:sz w:val="24"/>
          <w:szCs w:val="24"/>
        </w:rPr>
        <w:t xml:space="preserve"> otra parte, si dicho juicio ya culmino el sujeto obligado deberá remitir el laudo dictado en versión pública testando los datos que sean susceptibles de clasificarse como confidenciales y adjuntando su respectivo acuerdo emitido por el comité de transparencia con motivo de la versión pública.</w:t>
      </w:r>
    </w:p>
    <w:p w14:paraId="6045BF96" w14:textId="0B2BE720" w:rsidR="00736C75" w:rsidRPr="00DA696D" w:rsidRDefault="00736C75" w:rsidP="00141B78">
      <w:pPr>
        <w:tabs>
          <w:tab w:val="left" w:pos="709"/>
        </w:tabs>
        <w:spacing w:before="240" w:line="360" w:lineRule="auto"/>
        <w:ind w:right="51"/>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w:t>
      </w:r>
      <w:r>
        <w:rPr>
          <w:rFonts w:ascii="Palatino Linotype" w:hAnsi="Palatino Linotype"/>
          <w:sz w:val="24"/>
          <w:szCs w:val="24"/>
        </w:rPr>
        <w:lastRenderedPageBreak/>
        <w:t xml:space="preserve">medio de impugnación que fue materia de estudio, por ello </w:t>
      </w:r>
      <w:r>
        <w:rPr>
          <w:rFonts w:ascii="Palatino Linotype" w:hAnsi="Palatino Linotype" w:cs="Arial"/>
          <w:b/>
          <w:sz w:val="24"/>
        </w:rPr>
        <w:t xml:space="preserve">con fundamento en la segunda hipótesis de la fracción III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Pr>
          <w:rFonts w:ascii="Palatino Linotype" w:hAnsi="Palatino Linotype"/>
          <w:sz w:val="24"/>
          <w:szCs w:val="24"/>
        </w:rPr>
        <w:t xml:space="preserve">, la respuesta a la solicitud de información número </w:t>
      </w:r>
      <w:r w:rsidR="00520D6C" w:rsidRPr="00520D6C">
        <w:rPr>
          <w:rFonts w:ascii="Palatino Linotype" w:hAnsi="Palatino Linotype" w:cs="Arial"/>
          <w:b/>
          <w:sz w:val="24"/>
        </w:rPr>
        <w:t>00008/LERMA/IP/2020</w:t>
      </w:r>
      <w:r>
        <w:rPr>
          <w:rFonts w:ascii="Palatino Linotype" w:hAnsi="Palatino Linotype"/>
          <w:sz w:val="24"/>
          <w:szCs w:val="24"/>
        </w:rPr>
        <w:t>, que ha sido materia del presente fallo.</w:t>
      </w:r>
    </w:p>
    <w:p w14:paraId="6ED3CC02" w14:textId="1E77C542"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5F174192"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520D6C" w:rsidRPr="00520D6C">
        <w:rPr>
          <w:rFonts w:ascii="Palatino Linotype" w:hAnsi="Palatino Linotype" w:cs="Arial"/>
          <w:b/>
          <w:sz w:val="24"/>
        </w:rPr>
        <w:t>00008/LERMA/IP/2020</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9D7E4E">
        <w:rPr>
          <w:rFonts w:ascii="Palatino Linotype" w:hAnsi="Palatino Linotype" w:cs="Arial"/>
          <w:b/>
          <w:sz w:val="24"/>
          <w:lang w:val="es-ES_tradnl"/>
        </w:rPr>
        <w:t>Cuarto</w:t>
      </w:r>
      <w:r w:rsidR="00F371CA">
        <w:rPr>
          <w:rFonts w:ascii="Palatino Linotype" w:hAnsi="Palatino Linotype" w:cs="Arial"/>
          <w:b/>
          <w:sz w:val="24"/>
          <w:lang w:val="es-ES_tradnl"/>
        </w:rPr>
        <w:t xml:space="preserve"> </w:t>
      </w:r>
      <w:r w:rsidRPr="001D420F">
        <w:rPr>
          <w:rFonts w:ascii="Palatino Linotype" w:hAnsi="Palatino Linotype" w:cs="Arial"/>
          <w:sz w:val="24"/>
          <w:lang w:val="es-ES_tradnl"/>
        </w:rPr>
        <w:t>de la presente resolución.</w:t>
      </w:r>
    </w:p>
    <w:p w14:paraId="0CE56FF8" w14:textId="39F8F8F5"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w:t>
      </w:r>
      <w:r>
        <w:rPr>
          <w:rFonts w:ascii="Palatino Linotype" w:hAnsi="Palatino Linotype" w:cs="Arial"/>
          <w:sz w:val="24"/>
          <w:szCs w:val="24"/>
        </w:rPr>
        <w:t>a través del SAIMEX</w:t>
      </w:r>
      <w:r w:rsidR="00184CC5">
        <w:rPr>
          <w:rFonts w:ascii="Palatino Linotype" w:hAnsi="Palatino Linotype" w:cs="Arial"/>
          <w:sz w:val="24"/>
          <w:szCs w:val="24"/>
        </w:rPr>
        <w:t xml:space="preserve"> y en versión pública</w:t>
      </w:r>
      <w:r>
        <w:rPr>
          <w:rFonts w:ascii="Palatino Linotype" w:hAnsi="Palatino Linotype" w:cs="Arial"/>
          <w:sz w:val="24"/>
          <w:szCs w:val="24"/>
        </w:rPr>
        <w:t xml:space="preserve"> </w:t>
      </w:r>
      <w:r w:rsidR="00056390">
        <w:rPr>
          <w:rFonts w:ascii="Palatino Linotype" w:hAnsi="Palatino Linotype" w:cs="Arial"/>
          <w:sz w:val="24"/>
          <w:szCs w:val="24"/>
        </w:rPr>
        <w:t xml:space="preserve">en caso de ser procedente y previa busqueda exhaustiva y razonable </w:t>
      </w:r>
      <w:r>
        <w:rPr>
          <w:rFonts w:ascii="Palatino Linotype" w:hAnsi="Palatino Linotype" w:cs="Arial"/>
          <w:sz w:val="24"/>
          <w:szCs w:val="24"/>
        </w:rPr>
        <w:t xml:space="preserve">en términos del </w:t>
      </w:r>
      <w:r>
        <w:rPr>
          <w:rFonts w:ascii="Palatino Linotype" w:hAnsi="Palatino Linotype" w:cs="Arial"/>
          <w:b/>
          <w:sz w:val="24"/>
          <w:szCs w:val="24"/>
        </w:rPr>
        <w:t xml:space="preserve">Considerando </w:t>
      </w:r>
      <w:r w:rsidR="009D7E4E">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383BEDBB" w14:textId="7C01FAB8" w:rsidR="00141B78" w:rsidRPr="00DE7F98" w:rsidRDefault="00184CC5" w:rsidP="00141B78">
      <w:pPr>
        <w:pStyle w:val="Prrafodelista"/>
        <w:numPr>
          <w:ilvl w:val="0"/>
          <w:numId w:val="30"/>
        </w:numPr>
        <w:spacing w:before="240" w:after="240" w:line="360" w:lineRule="auto"/>
        <w:contextualSpacing/>
        <w:jc w:val="both"/>
        <w:rPr>
          <w:rFonts w:ascii="Palatino Linotype" w:hAnsi="Palatino Linotype"/>
          <w:i/>
          <w:iCs/>
        </w:rPr>
      </w:pPr>
      <w:r>
        <w:rPr>
          <w:rFonts w:ascii="Palatino Linotype" w:hAnsi="Palatino Linotype" w:cs="Arial"/>
          <w:i/>
          <w:iCs/>
        </w:rPr>
        <w:t xml:space="preserve">Oficios y documentos presentados por el presidente municipal </w:t>
      </w:r>
      <w:r w:rsidR="00DE7F98">
        <w:rPr>
          <w:rFonts w:ascii="Palatino Linotype" w:hAnsi="Palatino Linotype" w:cs="Arial"/>
          <w:i/>
          <w:iCs/>
        </w:rPr>
        <w:t>relacionado con los laudos pagados y pendientes por pagar correspondientes al año 2019.</w:t>
      </w:r>
    </w:p>
    <w:p w14:paraId="3ADDFB78" w14:textId="1300978C" w:rsidR="00DE7F98" w:rsidRPr="00056390" w:rsidRDefault="00DE7F98" w:rsidP="00141B78">
      <w:pPr>
        <w:pStyle w:val="Prrafodelista"/>
        <w:numPr>
          <w:ilvl w:val="0"/>
          <w:numId w:val="30"/>
        </w:numPr>
        <w:spacing w:before="240" w:after="240" w:line="360" w:lineRule="auto"/>
        <w:contextualSpacing/>
        <w:jc w:val="both"/>
        <w:rPr>
          <w:rFonts w:ascii="Palatino Linotype" w:hAnsi="Palatino Linotype"/>
          <w:i/>
          <w:iCs/>
        </w:rPr>
      </w:pPr>
      <w:r>
        <w:rPr>
          <w:rFonts w:ascii="Palatino Linotype" w:hAnsi="Palatino Linotype" w:cs="Arial"/>
          <w:i/>
          <w:iCs/>
        </w:rPr>
        <w:t>Cheques emitidos para e</w:t>
      </w:r>
      <w:r w:rsidR="00056390">
        <w:rPr>
          <w:rFonts w:ascii="Palatino Linotype" w:hAnsi="Palatino Linotype" w:cs="Arial"/>
          <w:i/>
          <w:iCs/>
        </w:rPr>
        <w:t>l pago de laudos correspondientes al año 2019.</w:t>
      </w:r>
    </w:p>
    <w:p w14:paraId="18C294A7" w14:textId="549F275B" w:rsidR="00056390" w:rsidRPr="00D768D3" w:rsidRDefault="00D768D3" w:rsidP="00D768D3">
      <w:pPr>
        <w:spacing w:before="240" w:after="240" w:line="360" w:lineRule="auto"/>
        <w:ind w:left="360" w:right="709"/>
        <w:jc w:val="both"/>
        <w:rPr>
          <w:rFonts w:ascii="Palatino Linotype" w:hAnsi="Palatino Linotype"/>
          <w:bCs/>
          <w:i/>
          <w:iCs/>
          <w:lang w:val="es-ES"/>
        </w:rPr>
      </w:pPr>
      <w:r w:rsidRPr="00D768D3">
        <w:rPr>
          <w:rFonts w:ascii="Palatino Linotype" w:hAnsi="Palatino Linotype"/>
          <w:bCs/>
          <w:i/>
          <w:iCs/>
        </w:rPr>
        <w:t xml:space="preserve">En el caso de que los documentos localizados, contengan datos o información clasificada, en términos del artículo 143, fracción I, de la Ley de la materia, el Sujeto Obligado deberá elaborar las versiones públicas respectivas. En ese tenor, deberá emitir y entregar al </w:t>
      </w:r>
      <w:r w:rsidRPr="00D768D3">
        <w:rPr>
          <w:rFonts w:ascii="Palatino Linotype" w:hAnsi="Palatino Linotype"/>
          <w:bCs/>
          <w:i/>
          <w:iCs/>
        </w:rPr>
        <w:lastRenderedPageBreak/>
        <w:t>recurrente el Acuerdo de su Comité de Transparencia, en donde, de manera fundada y motivada, confirme dicha clasificación.</w:t>
      </w: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0FF8D2FB" w14:textId="57C2B136" w:rsidR="00FA467A"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7E04EF1" w14:textId="4CB8EAF1" w:rsidR="00455E36" w:rsidRDefault="0032321A" w:rsidP="00455E36">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5F19AE">
        <w:rPr>
          <w:rFonts w:ascii="Palatino Linotype" w:hAnsi="Palatino Linotype" w:cs="Arial"/>
          <w:sz w:val="24"/>
          <w:szCs w:val="24"/>
        </w:rPr>
        <w:t>DÉCIMA SEGUNDA</w:t>
      </w:r>
      <w:r>
        <w:rPr>
          <w:rFonts w:ascii="Palatino Linotype" w:hAnsi="Palatino Linotype" w:cs="Arial"/>
          <w:sz w:val="24"/>
          <w:szCs w:val="24"/>
        </w:rPr>
        <w:t xml:space="preserve"> SESIÓN ORDINARIA CELEBRADA EL </w:t>
      </w:r>
      <w:r w:rsidR="005F19AE">
        <w:rPr>
          <w:rFonts w:ascii="Palatino Linotype" w:hAnsi="Palatino Linotype" w:cs="Arial"/>
          <w:sz w:val="24"/>
          <w:szCs w:val="24"/>
        </w:rPr>
        <w:t>CINCO DE AGOSTO</w:t>
      </w:r>
      <w:r w:rsidR="00455E36">
        <w:rPr>
          <w:rFonts w:ascii="Palatino Linotype" w:hAnsi="Palatino Linotype" w:cs="Arial"/>
          <w:sz w:val="24"/>
          <w:szCs w:val="24"/>
        </w:rPr>
        <w:t xml:space="preserve"> DE DOS MIL VEINTE</w:t>
      </w:r>
      <w:r>
        <w:rPr>
          <w:rFonts w:ascii="Palatino Linotype" w:hAnsi="Palatino Linotype" w:cs="Arial"/>
          <w:sz w:val="24"/>
          <w:szCs w:val="24"/>
        </w:rPr>
        <w:t>, ANTE EL SECRETARIO TÉCNICO DEL PLENO, ALEXIS TAPIA RAMÍREZ.--------------------</w:t>
      </w:r>
      <w:r w:rsidR="005F19AE">
        <w:rPr>
          <w:rFonts w:ascii="Palatino Linotype" w:hAnsi="Palatino Linotype" w:cs="Arial"/>
          <w:sz w:val="24"/>
          <w:szCs w:val="24"/>
        </w:rPr>
        <w:t>------------------------------------------------------------------------------</w:t>
      </w:r>
    </w:p>
    <w:p w14:paraId="789C4E9C" w14:textId="77777777" w:rsidR="005F19AE" w:rsidRDefault="005F19AE" w:rsidP="00455E36">
      <w:pPr>
        <w:spacing w:after="0" w:line="360" w:lineRule="auto"/>
        <w:jc w:val="both"/>
        <w:rPr>
          <w:rFonts w:ascii="Palatino Linotype" w:hAnsi="Palatino Linotype" w:cs="Arial"/>
          <w:sz w:val="24"/>
          <w:szCs w:val="24"/>
        </w:rPr>
      </w:pPr>
    </w:p>
    <w:p w14:paraId="50366D4C" w14:textId="53416032" w:rsidR="0032321A" w:rsidRDefault="0032321A" w:rsidP="0032321A">
      <w:pPr>
        <w:spacing w:after="0" w:line="360" w:lineRule="auto"/>
        <w:jc w:val="both"/>
        <w:rPr>
          <w:rFonts w:ascii="Palatino Linotype" w:hAnsi="Palatino Linotype"/>
        </w:rPr>
      </w:pPr>
    </w:p>
    <w:p w14:paraId="530BF000" w14:textId="77777777" w:rsidR="0032321A" w:rsidRDefault="0032321A" w:rsidP="0032321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" stroked="f">
                <v:textbox>
                  <w:txbxContent>
                    <w:p w14:paraId="109C114A"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32321A" w:rsidRDefault="00455E36"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3E6218FD" w14:textId="77777777" w:rsidR="0032321A" w:rsidRDefault="0032321A" w:rsidP="0032321A">
      <w:pPr>
        <w:spacing w:before="240"/>
        <w:rPr>
          <w:rFonts w:ascii="Palatino Linotype" w:hAnsi="Palatino Linotype"/>
          <w:b/>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" fillcolor="white [3201]" strokecolor="white [3212]" strokeweight=".5pt">
                <v:textbox>
                  <w:txbxContent>
                    <w:p w14:paraId="0484A033"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32321A"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32321A" w:rsidRPr="00797B31" w:rsidRDefault="0032321A"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PzWmQ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" fillcolor="white [3201]" strokecolor="white [3212]" strokeweight=".5pt">
                <v:textbox>
                  <w:txbxContent>
                    <w:p w14:paraId="12C80EE7" w14:textId="77777777" w:rsidR="0032321A" w:rsidRPr="00EF2FC0" w:rsidRDefault="0032321A"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32321A" w:rsidRPr="00EF2FC0" w:rsidRDefault="0032321A"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32321A" w:rsidRDefault="0032321A"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1426C3D0" w14:textId="77777777" w:rsidR="0032321A"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9BAF819" w14:textId="77777777"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Ntw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u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BEQ23CXAgAAwAUAAA4AAAAAAAAAAAAAAAAALgIAAGRycy9l&#13;&#10;Mm9Eb2MueG1sUEsBAi0AFAAGAAgAAAAhAMfMmcLjAAAAEAEAAA8AAAAAAAAAAAAAAAAA8QQAAGRy&#13;&#10;cy9kb3ducmV2LnhtbFBLBQYAAAAABAAEAPMAAAABBgAAAAA=&#13;&#10;" fillcolor="white [3201]" strokecolor="white [3212]" strokeweight=".5pt">
                <v:textbox>
                  <w:txbxContent>
                    <w:p w14:paraId="5270593C" w14:textId="77777777" w:rsidR="0032321A" w:rsidRPr="00EF2FC0" w:rsidRDefault="0032321A"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32321A" w:rsidRDefault="0032321A"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WXG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" fillcolor="white [3201]" strokecolor="white [3212]" strokeweight=".5pt">
                <v:textbox>
                  <w:txbxContent>
                    <w:p w14:paraId="66C2F13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32321A" w:rsidRPr="00EF2FC0" w:rsidRDefault="0032321A"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32321A" w:rsidRDefault="0032321A"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77777777" w:rsidR="0032321A" w:rsidRDefault="0032321A" w:rsidP="0032321A">
      <w:pPr>
        <w:spacing w:before="240"/>
        <w:rPr>
          <w:rFonts w:ascii="Palatino Linotype" w:hAnsi="Palatino Linotype"/>
          <w:b/>
        </w:rPr>
      </w:pPr>
    </w:p>
    <w:p w14:paraId="327FBDC5" w14:textId="77777777" w:rsidR="0032321A" w:rsidRDefault="0032321A" w:rsidP="0032321A">
      <w:pPr>
        <w:spacing w:before="240"/>
        <w:rPr>
          <w:rFonts w:ascii="Palatino Linotype" w:hAnsi="Palatino Linotype" w:cs="Arial"/>
          <w:szCs w:val="20"/>
        </w:rPr>
      </w:pPr>
    </w:p>
    <w:p w14:paraId="69A00EB2" w14:textId="77777777" w:rsidR="0032321A" w:rsidRDefault="0032321A" w:rsidP="0032321A">
      <w:pPr>
        <w:spacing w:before="240"/>
        <w:rPr>
          <w:rFonts w:ascii="Palatino Linotype" w:hAnsi="Palatino Linotype" w:cs="Arial"/>
          <w:szCs w:val="20"/>
        </w:rPr>
      </w:pPr>
    </w:p>
    <w:p w14:paraId="3C60C497" w14:textId="77777777" w:rsidR="0032321A" w:rsidRDefault="0032321A"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7A09A8A3">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5B55" id="Cuadro de texto 24" o:spid="_x0000_s1031" type="#_x0000_t202" style="position:absolute;margin-left:190.25pt;margin-top:22.7pt;width:248.25pt;height:7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" fillcolor="white [3201]" strokecolor="white [3212]" strokeweight=".5pt">
                <v:textbox>
                  <w:txbxContent>
                    <w:p w14:paraId="20623018" w14:textId="77777777" w:rsidR="0032321A" w:rsidRPr="007F6133" w:rsidRDefault="0032321A"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32321A" w:rsidRDefault="0032321A"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455E36" w:rsidRDefault="00455E36"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32321A" w:rsidRDefault="0032321A" w:rsidP="0032321A">
                      <w:pPr>
                        <w:jc w:val="center"/>
                        <w:rPr>
                          <w:rFonts w:ascii="Palatino Linotype" w:hAnsi="Palatino Linotype"/>
                          <w:sz w:val="24"/>
                          <w:szCs w:val="24"/>
                        </w:rPr>
                      </w:pPr>
                    </w:p>
                    <w:p w14:paraId="091F68BD" w14:textId="77777777" w:rsidR="0032321A" w:rsidRPr="00EF2FC0" w:rsidRDefault="0032321A" w:rsidP="0032321A">
                      <w:pPr>
                        <w:jc w:val="center"/>
                        <w:rPr>
                          <w:rFonts w:ascii="Palatino Linotype" w:hAnsi="Palatino Linotype"/>
                          <w:sz w:val="24"/>
                          <w:szCs w:val="24"/>
                        </w:rPr>
                      </w:pPr>
                    </w:p>
                    <w:p w14:paraId="1501C55F" w14:textId="77777777" w:rsidR="0032321A" w:rsidRDefault="0032321A" w:rsidP="0032321A"/>
                  </w:txbxContent>
                </v:textbox>
                <w10:wrap anchorx="page"/>
              </v:shape>
            </w:pict>
          </mc:Fallback>
        </mc:AlternateContent>
      </w: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6D23AE99" w14:textId="77777777" w:rsidR="0032321A" w:rsidRDefault="0032321A" w:rsidP="0032321A">
      <w:pPr>
        <w:spacing w:before="240" w:line="240" w:lineRule="auto"/>
        <w:jc w:val="both"/>
        <w:rPr>
          <w:rFonts w:ascii="Palatino Linotype" w:hAnsi="Palatino Linotype" w:cs="Arial"/>
          <w:sz w:val="14"/>
          <w:szCs w:val="14"/>
        </w:rPr>
      </w:pPr>
    </w:p>
    <w:p w14:paraId="0CEE116E" w14:textId="3B206432"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5F19AE" w:rsidRPr="005F19AE">
        <w:rPr>
          <w:rFonts w:ascii="Palatino Linotype" w:hAnsi="Palatino Linotype" w:cs="Arial"/>
          <w:sz w:val="16"/>
          <w:szCs w:val="16"/>
        </w:rPr>
        <w:t xml:space="preserve">cinco de agosto </w:t>
      </w:r>
      <w:r w:rsidR="00455E36" w:rsidRPr="00455E36">
        <w:rPr>
          <w:rFonts w:ascii="Palatino Linotype" w:hAnsi="Palatino Linotype" w:cs="Arial"/>
          <w:sz w:val="16"/>
          <w:szCs w:val="16"/>
        </w:rPr>
        <w:t>de dos mil veinte</w:t>
      </w:r>
      <w:r w:rsidRPr="002052F6">
        <w:rPr>
          <w:rFonts w:ascii="Palatino Linotype" w:hAnsi="Palatino Linotype" w:cs="Arial"/>
          <w:sz w:val="16"/>
          <w:szCs w:val="16"/>
        </w:rPr>
        <w:t xml:space="preserve">, emitida en el recurso de revisión </w:t>
      </w:r>
      <w:r w:rsidR="00455E36">
        <w:rPr>
          <w:rFonts w:ascii="Palatino Linotype" w:hAnsi="Palatino Linotype" w:cs="Arial"/>
          <w:bCs/>
          <w:sz w:val="16"/>
          <w:szCs w:val="16"/>
          <w:lang w:eastAsia="es-MX"/>
        </w:rPr>
        <w:t>0</w:t>
      </w:r>
      <w:r w:rsidR="005F19AE">
        <w:rPr>
          <w:rFonts w:ascii="Palatino Linotype" w:hAnsi="Palatino Linotype" w:cs="Arial"/>
          <w:bCs/>
          <w:sz w:val="16"/>
          <w:szCs w:val="16"/>
          <w:lang w:eastAsia="es-MX"/>
        </w:rPr>
        <w:t>0610</w:t>
      </w:r>
      <w:r>
        <w:rPr>
          <w:rFonts w:ascii="Palatino Linotype" w:hAnsi="Palatino Linotype" w:cs="Arial"/>
          <w:bCs/>
          <w:sz w:val="16"/>
          <w:szCs w:val="16"/>
          <w:lang w:eastAsia="es-MX"/>
        </w:rPr>
        <w:t>/INFOEM/IP/RR/20</w:t>
      </w:r>
      <w:r w:rsidR="005F19AE">
        <w:rPr>
          <w:rFonts w:ascii="Palatino Linotype" w:hAnsi="Palatino Linotype" w:cs="Arial"/>
          <w:bCs/>
          <w:sz w:val="16"/>
          <w:szCs w:val="16"/>
          <w:lang w:eastAsia="es-MX"/>
        </w:rPr>
        <w:t>20</w:t>
      </w:r>
      <w:r w:rsidRPr="002052F6">
        <w:rPr>
          <w:rFonts w:ascii="Palatino Linotype" w:hAnsi="Palatino Linotype" w:cs="Arial"/>
          <w:sz w:val="16"/>
          <w:szCs w:val="16"/>
        </w:rPr>
        <w:t>.</w:t>
      </w:r>
    </w:p>
    <w:p w14:paraId="241F6787" w14:textId="77777777" w:rsidR="0032321A" w:rsidRDefault="0032321A" w:rsidP="0032321A">
      <w:pPr>
        <w:spacing w:after="0"/>
      </w:pPr>
      <w:r w:rsidRPr="002052F6">
        <w:t>ZMS/OSAM/MAEM</w:t>
      </w:r>
    </w:p>
    <w:sectPr w:rsidR="0032321A" w:rsidSect="00E15E85">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91C8C" w14:textId="77777777" w:rsidR="00931087" w:rsidRDefault="00931087" w:rsidP="00E15E85">
      <w:pPr>
        <w:spacing w:after="0" w:line="240" w:lineRule="auto"/>
      </w:pPr>
      <w:r>
        <w:separator/>
      </w:r>
    </w:p>
  </w:endnote>
  <w:endnote w:type="continuationSeparator" w:id="0">
    <w:p w14:paraId="7EAFC0A1" w14:textId="77777777" w:rsidR="00931087" w:rsidRDefault="0093108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758CD" w14:textId="77777777" w:rsidR="00931087" w:rsidRDefault="00931087" w:rsidP="00E15E85">
      <w:pPr>
        <w:spacing w:after="0" w:line="240" w:lineRule="auto"/>
      </w:pPr>
      <w:r>
        <w:separator/>
      </w:r>
    </w:p>
  </w:footnote>
  <w:footnote w:type="continuationSeparator" w:id="0">
    <w:p w14:paraId="04A2A834" w14:textId="77777777" w:rsidR="00931087" w:rsidRDefault="00931087"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B5CC501" w14:textId="77777777" w:rsidR="00AD0102" w:rsidRDefault="00AD0102" w:rsidP="00AD0102">
      <w:pPr>
        <w:pStyle w:val="Textonotapie"/>
      </w:pPr>
      <w:r>
        <w:rPr>
          <w:rStyle w:val="Refdenotaalpie"/>
        </w:rPr>
        <w:footnoteRef/>
      </w:r>
      <w:r>
        <w:t xml:space="preserve"> </w:t>
      </w:r>
      <w:r w:rsidRPr="00615B4B">
        <w:rPr>
          <w:rFonts w:ascii="Palatino Linotype" w:hAnsi="Palatino Linotype"/>
        </w:rPr>
        <w:t>Artículo 837 de la Ley Federal del Trabajo.</w:t>
      </w:r>
    </w:p>
  </w:footnote>
  <w:footnote w:id="3">
    <w:p w14:paraId="22502C15" w14:textId="77777777" w:rsidR="00AD0102" w:rsidRDefault="00AD0102" w:rsidP="00AD0102">
      <w:pPr>
        <w:pStyle w:val="Textonotapie"/>
      </w:pPr>
      <w:r>
        <w:rPr>
          <w:rStyle w:val="Refdenotaalpie"/>
        </w:rPr>
        <w:footnoteRef/>
      </w:r>
      <w:r>
        <w:t xml:space="preserve"> Primera edición. Editora Laguna.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4AF7FB2F"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w:t>
          </w:r>
          <w:r w:rsidR="008C6064">
            <w:rPr>
              <w:rFonts w:ascii="Palatino Linotype" w:hAnsi="Palatino Linotype" w:cs="Arial"/>
              <w:bCs/>
              <w:sz w:val="24"/>
              <w:lang w:eastAsia="es-MX"/>
            </w:rPr>
            <w:t>610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5D78A602" w:rsidR="00E15E85" w:rsidRDefault="008C6064" w:rsidP="00BA65E0">
          <w:pPr>
            <w:spacing w:after="120" w:line="256" w:lineRule="auto"/>
            <w:ind w:left="-486" w:right="214" w:firstLine="284"/>
            <w:jc w:val="right"/>
            <w:rPr>
              <w:rFonts w:ascii="Palatino Linotype" w:hAnsi="Palatino Linotype" w:cs="Arial"/>
              <w:szCs w:val="20"/>
            </w:rPr>
          </w:pPr>
          <w:r w:rsidRPr="008C6064">
            <w:rPr>
              <w:rFonts w:ascii="Palatino Linotype" w:hAnsi="Palatino Linotype" w:cs="Arial"/>
              <w:szCs w:val="20"/>
            </w:rPr>
            <w:t>Ayuntamiento de Lerma</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19AD1ECF"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w:t>
          </w:r>
          <w:r w:rsidR="00D855F7">
            <w:rPr>
              <w:rFonts w:ascii="Palatino Linotype" w:hAnsi="Palatino Linotype" w:cs="Arial"/>
              <w:bCs/>
              <w:sz w:val="24"/>
              <w:lang w:eastAsia="es-MX"/>
            </w:rPr>
            <w:t>610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2BC6E17F" w:rsidR="00E15E85" w:rsidRPr="00F06FED" w:rsidRDefault="000B38A0"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05EBCF65" w:rsidR="00E15E85" w:rsidRDefault="008C6064" w:rsidP="0015550A">
          <w:pPr>
            <w:spacing w:after="120" w:line="256" w:lineRule="auto"/>
            <w:ind w:left="-495" w:right="214" w:firstLine="567"/>
            <w:jc w:val="right"/>
            <w:rPr>
              <w:rFonts w:ascii="Palatino Linotype" w:hAnsi="Palatino Linotype" w:cs="Arial"/>
              <w:szCs w:val="20"/>
            </w:rPr>
          </w:pPr>
          <w:r w:rsidRPr="008C6064">
            <w:rPr>
              <w:rFonts w:ascii="Palatino Linotype" w:hAnsi="Palatino Linotype" w:cs="Arial"/>
              <w:szCs w:val="20"/>
            </w:rPr>
            <w:t>Ayuntamiento de Lerma</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0E4637"/>
    <w:multiLevelType w:val="hybridMultilevel"/>
    <w:tmpl w:val="849A9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442660B"/>
    <w:multiLevelType w:val="hybridMultilevel"/>
    <w:tmpl w:val="849A94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B157DB9"/>
    <w:multiLevelType w:val="hybridMultilevel"/>
    <w:tmpl w:val="18640776"/>
    <w:numStyleLink w:val="Estiloimportado2"/>
  </w:abstractNum>
  <w:abstractNum w:abstractNumId="22"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6"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6"/>
  </w:num>
  <w:num w:numId="3">
    <w:abstractNumId w:val="19"/>
  </w:num>
  <w:num w:numId="4">
    <w:abstractNumId w:val="12"/>
  </w:num>
  <w:num w:numId="5">
    <w:abstractNumId w:val="21"/>
  </w:num>
  <w:num w:numId="6">
    <w:abstractNumId w:val="7"/>
  </w:num>
  <w:num w:numId="7">
    <w:abstractNumId w:val="27"/>
  </w:num>
  <w:num w:numId="8">
    <w:abstractNumId w:val="15"/>
  </w:num>
  <w:num w:numId="9">
    <w:abstractNumId w:val="8"/>
  </w:num>
  <w:num w:numId="10">
    <w:abstractNumId w:val="26"/>
  </w:num>
  <w:num w:numId="11">
    <w:abstractNumId w:val="11"/>
  </w:num>
  <w:num w:numId="12">
    <w:abstractNumId w:val="14"/>
  </w:num>
  <w:num w:numId="13">
    <w:abstractNumId w:val="2"/>
  </w:num>
  <w:num w:numId="14">
    <w:abstractNumId w:val="9"/>
  </w:num>
  <w:num w:numId="15">
    <w:abstractNumId w:val="17"/>
  </w:num>
  <w:num w:numId="16">
    <w:abstractNumId w:val="23"/>
  </w:num>
  <w:num w:numId="17">
    <w:abstractNumId w:val="24"/>
  </w:num>
  <w:num w:numId="18">
    <w:abstractNumId w:val="1"/>
  </w:num>
  <w:num w:numId="19">
    <w:abstractNumId w:val="3"/>
  </w:num>
  <w:num w:numId="20">
    <w:abstractNumId w:val="28"/>
  </w:num>
  <w:num w:numId="21">
    <w:abstractNumId w:val="10"/>
  </w:num>
  <w:num w:numId="22">
    <w:abstractNumId w:val="1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0"/>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41425"/>
    <w:rsid w:val="00046E4C"/>
    <w:rsid w:val="0004795A"/>
    <w:rsid w:val="000509C7"/>
    <w:rsid w:val="00052A02"/>
    <w:rsid w:val="00052B19"/>
    <w:rsid w:val="00052D39"/>
    <w:rsid w:val="00053ED1"/>
    <w:rsid w:val="00056390"/>
    <w:rsid w:val="00061BA0"/>
    <w:rsid w:val="00062CBD"/>
    <w:rsid w:val="00073973"/>
    <w:rsid w:val="00074A99"/>
    <w:rsid w:val="00076643"/>
    <w:rsid w:val="00082DF3"/>
    <w:rsid w:val="00091D98"/>
    <w:rsid w:val="0009534A"/>
    <w:rsid w:val="0009633E"/>
    <w:rsid w:val="000B38A0"/>
    <w:rsid w:val="000C22EC"/>
    <w:rsid w:val="000C59EE"/>
    <w:rsid w:val="000E7606"/>
    <w:rsid w:val="000F019E"/>
    <w:rsid w:val="000F2650"/>
    <w:rsid w:val="00100095"/>
    <w:rsid w:val="0011750A"/>
    <w:rsid w:val="0012266D"/>
    <w:rsid w:val="00122C38"/>
    <w:rsid w:val="00123F98"/>
    <w:rsid w:val="001278BC"/>
    <w:rsid w:val="00130D58"/>
    <w:rsid w:val="001311C9"/>
    <w:rsid w:val="00141B78"/>
    <w:rsid w:val="00142F61"/>
    <w:rsid w:val="00147E16"/>
    <w:rsid w:val="00152B26"/>
    <w:rsid w:val="0015550A"/>
    <w:rsid w:val="00171BD5"/>
    <w:rsid w:val="00183623"/>
    <w:rsid w:val="00184CC5"/>
    <w:rsid w:val="001B066D"/>
    <w:rsid w:val="001B3E5E"/>
    <w:rsid w:val="001C1F13"/>
    <w:rsid w:val="001C28D0"/>
    <w:rsid w:val="001C3E01"/>
    <w:rsid w:val="001C3F41"/>
    <w:rsid w:val="001C5009"/>
    <w:rsid w:val="001C7069"/>
    <w:rsid w:val="001F295E"/>
    <w:rsid w:val="001F5224"/>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84AC7"/>
    <w:rsid w:val="00385299"/>
    <w:rsid w:val="0039084D"/>
    <w:rsid w:val="003A2CF2"/>
    <w:rsid w:val="003A52C5"/>
    <w:rsid w:val="003B465B"/>
    <w:rsid w:val="003C5897"/>
    <w:rsid w:val="003D29D2"/>
    <w:rsid w:val="003D2E06"/>
    <w:rsid w:val="003D6DA3"/>
    <w:rsid w:val="003E3297"/>
    <w:rsid w:val="003F2A5C"/>
    <w:rsid w:val="003F5224"/>
    <w:rsid w:val="0040048F"/>
    <w:rsid w:val="00407989"/>
    <w:rsid w:val="004254FE"/>
    <w:rsid w:val="00432BE0"/>
    <w:rsid w:val="00437C82"/>
    <w:rsid w:val="004537D9"/>
    <w:rsid w:val="00455E36"/>
    <w:rsid w:val="00457258"/>
    <w:rsid w:val="00466DEC"/>
    <w:rsid w:val="00470C7E"/>
    <w:rsid w:val="00474FA0"/>
    <w:rsid w:val="00492244"/>
    <w:rsid w:val="004A2BFB"/>
    <w:rsid w:val="004B14C2"/>
    <w:rsid w:val="004B2C70"/>
    <w:rsid w:val="004C3693"/>
    <w:rsid w:val="004C3C91"/>
    <w:rsid w:val="004E6DB3"/>
    <w:rsid w:val="004F05B2"/>
    <w:rsid w:val="00520D6C"/>
    <w:rsid w:val="00523067"/>
    <w:rsid w:val="00526CB4"/>
    <w:rsid w:val="00527856"/>
    <w:rsid w:val="00527C6A"/>
    <w:rsid w:val="005329E8"/>
    <w:rsid w:val="00533106"/>
    <w:rsid w:val="00560CD2"/>
    <w:rsid w:val="00560FBF"/>
    <w:rsid w:val="005733EB"/>
    <w:rsid w:val="0057576D"/>
    <w:rsid w:val="00576C26"/>
    <w:rsid w:val="005820BF"/>
    <w:rsid w:val="005B1F74"/>
    <w:rsid w:val="005C7580"/>
    <w:rsid w:val="005F0FEC"/>
    <w:rsid w:val="005F19AE"/>
    <w:rsid w:val="00611799"/>
    <w:rsid w:val="00611F2D"/>
    <w:rsid w:val="00614FDD"/>
    <w:rsid w:val="00616784"/>
    <w:rsid w:val="006203A2"/>
    <w:rsid w:val="006221EC"/>
    <w:rsid w:val="00631B59"/>
    <w:rsid w:val="00631FC5"/>
    <w:rsid w:val="006402A6"/>
    <w:rsid w:val="006451E4"/>
    <w:rsid w:val="00653B08"/>
    <w:rsid w:val="00654B56"/>
    <w:rsid w:val="00657473"/>
    <w:rsid w:val="00673CFD"/>
    <w:rsid w:val="006A08BA"/>
    <w:rsid w:val="006B2E10"/>
    <w:rsid w:val="006B3069"/>
    <w:rsid w:val="006B326F"/>
    <w:rsid w:val="006B7C59"/>
    <w:rsid w:val="006C1A4F"/>
    <w:rsid w:val="006C3577"/>
    <w:rsid w:val="006C5B3F"/>
    <w:rsid w:val="006E1B06"/>
    <w:rsid w:val="006F001B"/>
    <w:rsid w:val="006F2EA8"/>
    <w:rsid w:val="00707CD8"/>
    <w:rsid w:val="00713A19"/>
    <w:rsid w:val="0071620F"/>
    <w:rsid w:val="00716F59"/>
    <w:rsid w:val="00736C75"/>
    <w:rsid w:val="00740AC8"/>
    <w:rsid w:val="00755099"/>
    <w:rsid w:val="00761C4E"/>
    <w:rsid w:val="007654BC"/>
    <w:rsid w:val="00780802"/>
    <w:rsid w:val="0079194D"/>
    <w:rsid w:val="007A0267"/>
    <w:rsid w:val="007A1183"/>
    <w:rsid w:val="007A3D09"/>
    <w:rsid w:val="007B2103"/>
    <w:rsid w:val="007B33AA"/>
    <w:rsid w:val="007C1445"/>
    <w:rsid w:val="007C162D"/>
    <w:rsid w:val="007C410A"/>
    <w:rsid w:val="007C56AB"/>
    <w:rsid w:val="007C64C1"/>
    <w:rsid w:val="007D276C"/>
    <w:rsid w:val="007D48FA"/>
    <w:rsid w:val="007D62B3"/>
    <w:rsid w:val="007E1AE4"/>
    <w:rsid w:val="007E2959"/>
    <w:rsid w:val="007F56D8"/>
    <w:rsid w:val="007F7F3C"/>
    <w:rsid w:val="00806DD5"/>
    <w:rsid w:val="00807D14"/>
    <w:rsid w:val="008101F6"/>
    <w:rsid w:val="00821D4C"/>
    <w:rsid w:val="00834724"/>
    <w:rsid w:val="0084093D"/>
    <w:rsid w:val="00845C1C"/>
    <w:rsid w:val="00852193"/>
    <w:rsid w:val="00856325"/>
    <w:rsid w:val="00872278"/>
    <w:rsid w:val="00875499"/>
    <w:rsid w:val="0087560D"/>
    <w:rsid w:val="00877CC6"/>
    <w:rsid w:val="00881D0D"/>
    <w:rsid w:val="008A12F6"/>
    <w:rsid w:val="008A29A2"/>
    <w:rsid w:val="008A5E77"/>
    <w:rsid w:val="008B34EC"/>
    <w:rsid w:val="008C6064"/>
    <w:rsid w:val="008D6D31"/>
    <w:rsid w:val="008E0E21"/>
    <w:rsid w:val="008E1581"/>
    <w:rsid w:val="008E5141"/>
    <w:rsid w:val="008E7408"/>
    <w:rsid w:val="008F7A52"/>
    <w:rsid w:val="009070C1"/>
    <w:rsid w:val="009306B4"/>
    <w:rsid w:val="00931087"/>
    <w:rsid w:val="00931098"/>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B76BF"/>
    <w:rsid w:val="009C75A5"/>
    <w:rsid w:val="009D7E4E"/>
    <w:rsid w:val="009E3478"/>
    <w:rsid w:val="009E3B36"/>
    <w:rsid w:val="009F7948"/>
    <w:rsid w:val="00A00094"/>
    <w:rsid w:val="00A27459"/>
    <w:rsid w:val="00A314A0"/>
    <w:rsid w:val="00A42137"/>
    <w:rsid w:val="00A44C88"/>
    <w:rsid w:val="00A459D0"/>
    <w:rsid w:val="00A45C8D"/>
    <w:rsid w:val="00A65C79"/>
    <w:rsid w:val="00A66428"/>
    <w:rsid w:val="00A70873"/>
    <w:rsid w:val="00A92C85"/>
    <w:rsid w:val="00A948EF"/>
    <w:rsid w:val="00A94BCE"/>
    <w:rsid w:val="00AA2CB1"/>
    <w:rsid w:val="00AA36D6"/>
    <w:rsid w:val="00AC1D50"/>
    <w:rsid w:val="00AD0102"/>
    <w:rsid w:val="00AF15FD"/>
    <w:rsid w:val="00AF385F"/>
    <w:rsid w:val="00AF732B"/>
    <w:rsid w:val="00B0008F"/>
    <w:rsid w:val="00B04652"/>
    <w:rsid w:val="00B052B4"/>
    <w:rsid w:val="00B05911"/>
    <w:rsid w:val="00B10B28"/>
    <w:rsid w:val="00B131CC"/>
    <w:rsid w:val="00B17A1D"/>
    <w:rsid w:val="00B258A2"/>
    <w:rsid w:val="00B2748E"/>
    <w:rsid w:val="00B3090A"/>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E179C"/>
    <w:rsid w:val="00BF5825"/>
    <w:rsid w:val="00C16071"/>
    <w:rsid w:val="00C203E8"/>
    <w:rsid w:val="00C21D7E"/>
    <w:rsid w:val="00C23151"/>
    <w:rsid w:val="00C25BA8"/>
    <w:rsid w:val="00C3114B"/>
    <w:rsid w:val="00C33888"/>
    <w:rsid w:val="00C4657C"/>
    <w:rsid w:val="00C5145E"/>
    <w:rsid w:val="00C56C4E"/>
    <w:rsid w:val="00C61C1C"/>
    <w:rsid w:val="00C6478B"/>
    <w:rsid w:val="00C64C22"/>
    <w:rsid w:val="00C66E70"/>
    <w:rsid w:val="00C80AEF"/>
    <w:rsid w:val="00C80C4D"/>
    <w:rsid w:val="00CA6DA1"/>
    <w:rsid w:val="00CB5584"/>
    <w:rsid w:val="00CD1514"/>
    <w:rsid w:val="00CE4A4B"/>
    <w:rsid w:val="00D01B70"/>
    <w:rsid w:val="00D02974"/>
    <w:rsid w:val="00D0297D"/>
    <w:rsid w:val="00D120B9"/>
    <w:rsid w:val="00D24D6B"/>
    <w:rsid w:val="00D30286"/>
    <w:rsid w:val="00D346AC"/>
    <w:rsid w:val="00D5302E"/>
    <w:rsid w:val="00D56BC3"/>
    <w:rsid w:val="00D67629"/>
    <w:rsid w:val="00D70FE3"/>
    <w:rsid w:val="00D768D3"/>
    <w:rsid w:val="00D81A75"/>
    <w:rsid w:val="00D8485C"/>
    <w:rsid w:val="00D855F7"/>
    <w:rsid w:val="00D87D47"/>
    <w:rsid w:val="00D9010D"/>
    <w:rsid w:val="00D95936"/>
    <w:rsid w:val="00DA696D"/>
    <w:rsid w:val="00DB2787"/>
    <w:rsid w:val="00DB584E"/>
    <w:rsid w:val="00DC07AE"/>
    <w:rsid w:val="00DC2814"/>
    <w:rsid w:val="00DC382D"/>
    <w:rsid w:val="00DC3B85"/>
    <w:rsid w:val="00DC620C"/>
    <w:rsid w:val="00DD1254"/>
    <w:rsid w:val="00DD13E2"/>
    <w:rsid w:val="00DE642A"/>
    <w:rsid w:val="00DE7F98"/>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A6FBF"/>
    <w:rsid w:val="00EB0246"/>
    <w:rsid w:val="00EC4061"/>
    <w:rsid w:val="00EC5AD5"/>
    <w:rsid w:val="00EC601F"/>
    <w:rsid w:val="00ED3DC4"/>
    <w:rsid w:val="00ED466F"/>
    <w:rsid w:val="00ED735A"/>
    <w:rsid w:val="00EE28A5"/>
    <w:rsid w:val="00EE5CB5"/>
    <w:rsid w:val="00EF2AE9"/>
    <w:rsid w:val="00EF2F87"/>
    <w:rsid w:val="00EF551B"/>
    <w:rsid w:val="00F07B17"/>
    <w:rsid w:val="00F21A2E"/>
    <w:rsid w:val="00F3212D"/>
    <w:rsid w:val="00F33FBF"/>
    <w:rsid w:val="00F35083"/>
    <w:rsid w:val="00F371CA"/>
    <w:rsid w:val="00F418EE"/>
    <w:rsid w:val="00F433DC"/>
    <w:rsid w:val="00F532CB"/>
    <w:rsid w:val="00F6736F"/>
    <w:rsid w:val="00F70BC9"/>
    <w:rsid w:val="00F72930"/>
    <w:rsid w:val="00F730DF"/>
    <w:rsid w:val="00F77F57"/>
    <w:rsid w:val="00F8128B"/>
    <w:rsid w:val="00F812A0"/>
    <w:rsid w:val="00F84AE2"/>
    <w:rsid w:val="00F9756D"/>
    <w:rsid w:val="00FA1D2B"/>
    <w:rsid w:val="00FA3AF1"/>
    <w:rsid w:val="00FA467A"/>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B3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382601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322285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9941972">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yperlink" Target="javascript:AbrirModal(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5007</TotalTime>
  <Pages>31</Pages>
  <Words>7471</Words>
  <Characters>41093</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68</cp:revision>
  <cp:lastPrinted>2020-02-11T18:08:00Z</cp:lastPrinted>
  <dcterms:created xsi:type="dcterms:W3CDTF">2019-01-22T19:49:00Z</dcterms:created>
  <dcterms:modified xsi:type="dcterms:W3CDTF">2020-08-19T04:05:00Z</dcterms:modified>
</cp:coreProperties>
</file>