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EC8A" w14:textId="3CB5650F"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163D5">
        <w:rPr>
          <w:rFonts w:ascii="Palatino Linotype" w:eastAsia="Times New Roman" w:hAnsi="Palatino Linotype" w:cs="Arial"/>
          <w:color w:val="000000"/>
          <w:sz w:val="24"/>
          <w:szCs w:val="24"/>
          <w:lang w:eastAsia="es-MX"/>
        </w:rPr>
        <w:t xml:space="preserve">veintitrés de septiembre de dos mil veinte. </w:t>
      </w:r>
    </w:p>
    <w:p w14:paraId="20DF6F07" w14:textId="019572DA" w:rsidR="00B163D5" w:rsidRPr="00B163D5"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B163D5">
        <w:rPr>
          <w:rFonts w:ascii="Palatino Linotype" w:hAnsi="Palatino Linotype" w:cs="Arial"/>
          <w:b/>
          <w:bCs/>
          <w:sz w:val="24"/>
          <w:lang w:eastAsia="es-MX"/>
        </w:rPr>
        <w:t>2000</w:t>
      </w:r>
      <w:r w:rsidR="00F403EA">
        <w:rPr>
          <w:rFonts w:ascii="Palatino Linotype" w:hAnsi="Palatino Linotype" w:cs="Arial"/>
          <w:b/>
          <w:bCs/>
          <w:sz w:val="24"/>
          <w:lang w:eastAsia="es-MX"/>
        </w:rPr>
        <w:t>/</w:t>
      </w:r>
      <w:r w:rsidR="007A3BB5">
        <w:rPr>
          <w:rFonts w:ascii="Palatino Linotype" w:hAnsi="Palatino Linotype" w:cs="Arial"/>
          <w:b/>
          <w:bCs/>
          <w:sz w:val="24"/>
          <w:lang w:eastAsia="es-MX"/>
        </w:rPr>
        <w:t>INFOEM/IP/RR/2020</w:t>
      </w:r>
      <w:r w:rsidRPr="00F403EA">
        <w:rPr>
          <w:rFonts w:ascii="Palatino Linotype" w:hAnsi="Palatino Linotype" w:cs="Arial"/>
          <w:sz w:val="24"/>
        </w:rPr>
        <w:t xml:space="preserve">, </w:t>
      </w:r>
      <w:r w:rsidR="007A3BB5">
        <w:rPr>
          <w:rFonts w:ascii="Palatino Linotype" w:hAnsi="Palatino Linotype" w:cs="Arial"/>
          <w:sz w:val="24"/>
          <w:szCs w:val="24"/>
        </w:rPr>
        <w:t xml:space="preserve">interpuesto por </w:t>
      </w:r>
      <w:r w:rsidR="00B163D5">
        <w:rPr>
          <w:rFonts w:ascii="Palatino Linotype" w:hAnsi="Palatino Linotype" w:cs="Arial"/>
          <w:sz w:val="24"/>
          <w:szCs w:val="24"/>
        </w:rPr>
        <w:t xml:space="preserve">el </w:t>
      </w:r>
      <w:r w:rsidR="00B163D5">
        <w:rPr>
          <w:rFonts w:ascii="Palatino Linotype" w:hAnsi="Palatino Linotype" w:cs="Arial"/>
          <w:b/>
          <w:bCs/>
          <w:sz w:val="24"/>
          <w:szCs w:val="24"/>
        </w:rPr>
        <w:t xml:space="preserve">C. </w:t>
      </w:r>
      <w:r w:rsidR="002A2F1C">
        <w:rPr>
          <w:rFonts w:ascii="Palatino Linotype" w:hAnsi="Palatino Linotype" w:cs="Arial"/>
          <w:b/>
          <w:bCs/>
          <w:sz w:val="24"/>
          <w:szCs w:val="24"/>
        </w:rPr>
        <w:t>XXXXXXXXXXXXXXX</w:t>
      </w:r>
      <w:r w:rsidR="00B163D5">
        <w:rPr>
          <w:rFonts w:ascii="Palatino Linotype" w:hAnsi="Palatino Linotype" w:cs="Arial"/>
          <w:b/>
          <w:bCs/>
          <w:sz w:val="24"/>
          <w:szCs w:val="24"/>
        </w:rPr>
        <w:t xml:space="preserve">, </w:t>
      </w:r>
      <w:r w:rsidR="00B163D5">
        <w:rPr>
          <w:rFonts w:ascii="Palatino Linotype" w:hAnsi="Palatino Linotype" w:cs="Arial"/>
          <w:sz w:val="24"/>
          <w:szCs w:val="24"/>
        </w:rPr>
        <w:t xml:space="preserve">en lo sucesivo </w:t>
      </w:r>
      <w:r w:rsidR="00B163D5">
        <w:rPr>
          <w:rFonts w:ascii="Palatino Linotype" w:hAnsi="Palatino Linotype" w:cs="Arial"/>
          <w:b/>
          <w:bCs/>
          <w:sz w:val="24"/>
          <w:szCs w:val="24"/>
        </w:rPr>
        <w:t xml:space="preserve">El Recurrente, </w:t>
      </w:r>
      <w:r w:rsidR="00B163D5">
        <w:rPr>
          <w:rFonts w:ascii="Palatino Linotype" w:hAnsi="Palatino Linotype" w:cs="Arial"/>
          <w:sz w:val="24"/>
          <w:szCs w:val="24"/>
        </w:rPr>
        <w:t xml:space="preserve">en contra de la respuesta del </w:t>
      </w:r>
      <w:r w:rsidR="00B163D5">
        <w:rPr>
          <w:rFonts w:ascii="Palatino Linotype" w:hAnsi="Palatino Linotype" w:cs="Arial"/>
          <w:b/>
          <w:bCs/>
          <w:sz w:val="24"/>
          <w:szCs w:val="24"/>
        </w:rPr>
        <w:t xml:space="preserve">Ayuntamiento de Atenco, </w:t>
      </w:r>
      <w:r w:rsidR="00B163D5">
        <w:rPr>
          <w:rFonts w:ascii="Palatino Linotype" w:hAnsi="Palatino Linotype" w:cs="Arial"/>
          <w:sz w:val="24"/>
          <w:szCs w:val="24"/>
        </w:rPr>
        <w:t xml:space="preserve">en lo subsecuente </w:t>
      </w:r>
      <w:r w:rsidR="00B163D5">
        <w:rPr>
          <w:rFonts w:ascii="Palatino Linotype" w:hAnsi="Palatino Linotype" w:cs="Arial"/>
          <w:b/>
          <w:bCs/>
          <w:sz w:val="24"/>
          <w:szCs w:val="24"/>
        </w:rPr>
        <w:t xml:space="preserve">El Sujeto Obligado, </w:t>
      </w:r>
      <w:r w:rsidR="00B163D5">
        <w:rPr>
          <w:rFonts w:ascii="Palatino Linotype" w:hAnsi="Palatino Linotype" w:cs="Arial"/>
          <w:sz w:val="24"/>
          <w:szCs w:val="24"/>
        </w:rPr>
        <w:t xml:space="preserve">se procede a dictar la presente resolución. </w:t>
      </w:r>
    </w:p>
    <w:p w14:paraId="06873796" w14:textId="77777777" w:rsidR="00B163D5" w:rsidRDefault="00B163D5" w:rsidP="00844569">
      <w:pPr>
        <w:spacing w:before="240" w:after="240" w:line="360" w:lineRule="auto"/>
        <w:jc w:val="center"/>
        <w:rPr>
          <w:rFonts w:ascii="Palatino Linotype" w:hAnsi="Palatino Linotype"/>
          <w:b/>
          <w:sz w:val="28"/>
        </w:rPr>
      </w:pPr>
    </w:p>
    <w:p w14:paraId="197D6115" w14:textId="1656444F"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B4A30D4" w14:textId="7B050F3C" w:rsidR="00B163D5" w:rsidRPr="00B163D5" w:rsidRDefault="000451BE" w:rsidP="0037444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B163D5">
        <w:rPr>
          <w:rFonts w:ascii="Palatino Linotype" w:hAnsi="Palatino Linotype" w:cs="Arial"/>
          <w:sz w:val="24"/>
        </w:rPr>
        <w:t xml:space="preserve">diecinueve de mayo de dos mil veinte, </w:t>
      </w:r>
      <w:r w:rsidR="00B163D5">
        <w:rPr>
          <w:rFonts w:ascii="Palatino Linotype" w:hAnsi="Palatino Linotype" w:cs="Arial"/>
          <w:b/>
          <w:bCs/>
          <w:sz w:val="24"/>
        </w:rPr>
        <w:t xml:space="preserve">El Recurrente, </w:t>
      </w:r>
      <w:r w:rsidR="00B163D5" w:rsidRPr="00523CF0">
        <w:rPr>
          <w:rFonts w:ascii="Palatino Linotype" w:hAnsi="Palatino Linotype" w:cs="Arial"/>
          <w:sz w:val="24"/>
        </w:rPr>
        <w:t>presentó a</w:t>
      </w:r>
      <w:r w:rsidR="00B163D5">
        <w:rPr>
          <w:rFonts w:ascii="Palatino Linotype" w:hAnsi="Palatino Linotype" w:cs="Arial"/>
          <w:sz w:val="24"/>
        </w:rPr>
        <w:t xml:space="preserve"> través del Sistema de Acceso a la Información Mexiquense </w:t>
      </w:r>
      <w:r w:rsidR="00B163D5">
        <w:rPr>
          <w:rFonts w:ascii="Palatino Linotype" w:hAnsi="Palatino Linotype" w:cs="Arial"/>
          <w:b/>
          <w:sz w:val="24"/>
        </w:rPr>
        <w:t xml:space="preserve">(SAIMEX) </w:t>
      </w:r>
      <w:r w:rsidR="00B163D5">
        <w:rPr>
          <w:rFonts w:ascii="Palatino Linotype" w:hAnsi="Palatino Linotype" w:cs="Arial"/>
          <w:sz w:val="24"/>
        </w:rPr>
        <w:t xml:space="preserve">ante </w:t>
      </w:r>
      <w:r w:rsidR="00B163D5">
        <w:rPr>
          <w:rFonts w:ascii="Palatino Linotype" w:hAnsi="Palatino Linotype" w:cs="Arial"/>
          <w:b/>
          <w:sz w:val="24"/>
        </w:rPr>
        <w:t xml:space="preserve">El Sujeto Obligado, </w:t>
      </w:r>
      <w:r w:rsidR="00B163D5">
        <w:rPr>
          <w:rFonts w:ascii="Palatino Linotype" w:hAnsi="Palatino Linotype" w:cs="Arial"/>
          <w:sz w:val="24"/>
        </w:rPr>
        <w:t xml:space="preserve">solicitud de acceso a la información pública, registrada bajo el número de expediente </w:t>
      </w:r>
      <w:r w:rsidR="00B163D5">
        <w:rPr>
          <w:rFonts w:ascii="Palatino Linotype" w:hAnsi="Palatino Linotype" w:cs="Arial"/>
          <w:b/>
          <w:bCs/>
          <w:sz w:val="24"/>
        </w:rPr>
        <w:t xml:space="preserve">00066/ATENCO/IP/2020, </w:t>
      </w:r>
      <w:r w:rsidR="00B163D5">
        <w:rPr>
          <w:rFonts w:ascii="Palatino Linotype" w:hAnsi="Palatino Linotype" w:cs="Arial"/>
          <w:sz w:val="24"/>
        </w:rPr>
        <w:t xml:space="preserve">mediante la cual solicitó información en el tenor siguiente: </w:t>
      </w:r>
    </w:p>
    <w:p w14:paraId="2B9823F7" w14:textId="592AD5A6" w:rsidR="00B163D5" w:rsidRPr="00B163D5" w:rsidRDefault="00B163D5" w:rsidP="00B163D5">
      <w:pPr>
        <w:spacing w:before="240" w:line="360" w:lineRule="auto"/>
        <w:ind w:left="851" w:right="851"/>
        <w:jc w:val="both"/>
        <w:rPr>
          <w:rFonts w:ascii="Palatino Linotype" w:hAnsi="Palatino Linotype" w:cs="Arial"/>
          <w:b/>
          <w:bCs/>
          <w:i/>
          <w:iCs/>
        </w:rPr>
      </w:pPr>
      <w:r w:rsidRPr="00B163D5">
        <w:rPr>
          <w:rFonts w:ascii="Palatino Linotype" w:hAnsi="Palatino Linotype"/>
          <w:i/>
          <w:iCs/>
        </w:rPr>
        <w:t xml:space="preserve">“Oficio mediante el cual se haya solicitado a los establecimientos mercantiles del Municipio de Atenco el cierre oportuno de sus negocios, en atención a la contingencia derivada de la pandemia del virus COVID-19. Asimismo, las resoluciones administrativas mediante las cuales se haya determinado la suspensión temporal de los negocios que incumplieron con la instrucción del Gobierno municipal.” </w:t>
      </w:r>
      <w:r w:rsidRPr="00B163D5">
        <w:rPr>
          <w:rFonts w:ascii="Palatino Linotype" w:hAnsi="Palatino Linotype"/>
          <w:b/>
          <w:bCs/>
          <w:i/>
          <w:iCs/>
        </w:rPr>
        <w:t>[Sic]</w:t>
      </w:r>
    </w:p>
    <w:p w14:paraId="673D377A" w14:textId="6531E8D0"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lastRenderedPageBreak/>
        <w:t>Modalidad de entrega:</w:t>
      </w:r>
      <w:r w:rsidRPr="005F7424">
        <w:rPr>
          <w:rFonts w:ascii="Palatino Linotype" w:eastAsia="Times New Roman" w:hAnsi="Palatino Linotype" w:cs="Times New Roman"/>
          <w:sz w:val="24"/>
          <w:szCs w:val="24"/>
          <w:lang w:val="es-ES_tradnl" w:eastAsia="es-ES"/>
        </w:rPr>
        <w:t xml:space="preserve"> </w:t>
      </w:r>
      <w:r w:rsidR="00643161">
        <w:rPr>
          <w:rFonts w:ascii="Palatino Linotype" w:eastAsia="Times New Roman" w:hAnsi="Palatino Linotype" w:cs="Times New Roman"/>
          <w:sz w:val="24"/>
          <w:szCs w:val="24"/>
          <w:lang w:val="es-ES_tradnl" w:eastAsia="es-ES"/>
        </w:rPr>
        <w:t xml:space="preserve">A través del SAIMEX. </w:t>
      </w:r>
    </w:p>
    <w:p w14:paraId="46BD5724" w14:textId="77777777" w:rsidR="00B163D5" w:rsidRDefault="00B163D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47DF40EA" w:rsidR="007D300A"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0A652199" w14:textId="7D2263D5" w:rsidR="00B163D5"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B163D5">
        <w:rPr>
          <w:rFonts w:ascii="Palatino Linotype" w:hAnsi="Palatino Linotype" w:cs="Arial"/>
          <w:sz w:val="24"/>
          <w:szCs w:val="24"/>
        </w:rPr>
        <w:t xml:space="preserve"> quince de junio del año en curso, </w:t>
      </w:r>
      <w:r w:rsidR="00B163D5">
        <w:rPr>
          <w:rFonts w:ascii="Palatino Linotype" w:hAnsi="Palatino Linotype" w:cs="Arial"/>
          <w:b/>
          <w:bCs/>
          <w:sz w:val="24"/>
          <w:szCs w:val="24"/>
        </w:rPr>
        <w:t xml:space="preserve">El Sujeto Obligado </w:t>
      </w:r>
      <w:r w:rsidR="00B163D5">
        <w:rPr>
          <w:rFonts w:ascii="Palatino Linotype" w:hAnsi="Palatino Linotype" w:cs="Arial"/>
          <w:sz w:val="24"/>
          <w:szCs w:val="24"/>
        </w:rPr>
        <w:t xml:space="preserve">dio respuesta a la solicitud de información, resultando de nuestro interés lo siguiente: </w:t>
      </w:r>
    </w:p>
    <w:p w14:paraId="2B5CCC54" w14:textId="736A5DFE" w:rsidR="00B163D5" w:rsidRPr="00B163D5" w:rsidRDefault="00B163D5" w:rsidP="00B163D5">
      <w:pPr>
        <w:spacing w:before="240" w:line="360" w:lineRule="auto"/>
        <w:ind w:left="851" w:right="851"/>
        <w:jc w:val="both"/>
        <w:rPr>
          <w:rFonts w:ascii="Palatino Linotype" w:hAnsi="Palatino Linotype" w:cs="Arial"/>
          <w:i/>
          <w:iCs/>
        </w:rPr>
      </w:pPr>
      <w:r w:rsidRPr="00B163D5">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72013B" w14:textId="2336B15F" w:rsidR="00B163D5" w:rsidRDefault="00B163D5" w:rsidP="00B163D5">
      <w:pPr>
        <w:spacing w:before="240" w:line="360" w:lineRule="auto"/>
        <w:ind w:left="851" w:right="851"/>
        <w:jc w:val="both"/>
        <w:rPr>
          <w:rFonts w:ascii="Palatino Linotype" w:hAnsi="Palatino Linotype" w:cs="Arial"/>
          <w:b/>
          <w:bCs/>
          <w:i/>
          <w:iCs/>
        </w:rPr>
      </w:pPr>
      <w:r w:rsidRPr="00B163D5">
        <w:rPr>
          <w:rFonts w:ascii="Palatino Linotype" w:eastAsia="Times New Roman" w:hAnsi="Palatino Linotype" w:cs="Times New Roman"/>
          <w:i/>
          <w:iCs/>
        </w:rPr>
        <w:t xml:space="preserve">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00066/ATENCO/IP/2020, sírvase encontrar, en archivos adjuntos, copia digitalizada, del oficio emitido por el Servidor Público Habilitado de la Jefatura de Reglamentos y Vía Pública, así como sus anexos, en el cual se detalla lo referente a su solicitud de acceso a la información.” </w:t>
      </w:r>
      <w:r w:rsidRPr="00B163D5">
        <w:rPr>
          <w:rFonts w:ascii="Palatino Linotype" w:eastAsia="Times New Roman" w:hAnsi="Palatino Linotype" w:cs="Times New Roman"/>
          <w:b/>
          <w:bCs/>
          <w:i/>
          <w:iCs/>
        </w:rPr>
        <w:t>[Sic]</w:t>
      </w:r>
    </w:p>
    <w:p w14:paraId="51321DC1" w14:textId="0AAC45F7" w:rsidR="00B163D5" w:rsidRDefault="00B163D5" w:rsidP="00B163D5">
      <w:pPr>
        <w:spacing w:before="240" w:line="360" w:lineRule="auto"/>
        <w:ind w:right="851"/>
        <w:jc w:val="both"/>
        <w:rPr>
          <w:rFonts w:ascii="Palatino Linotype" w:hAnsi="Palatino Linotype" w:cs="Arial"/>
          <w:b/>
          <w:bCs/>
          <w:i/>
          <w:iCs/>
        </w:rPr>
      </w:pPr>
    </w:p>
    <w:p w14:paraId="4EA7A4DC" w14:textId="495189B2" w:rsidR="00B163D5" w:rsidRPr="001E6CDE" w:rsidRDefault="00B163D5" w:rsidP="00B163D5">
      <w:pPr>
        <w:spacing w:before="240" w:line="360" w:lineRule="auto"/>
        <w:ind w:right="72"/>
        <w:jc w:val="both"/>
        <w:rPr>
          <w:rFonts w:ascii="Palatino Linotype" w:hAnsi="Palatino Linotype" w:cs="Arial"/>
          <w:b/>
        </w:rPr>
      </w:pPr>
      <w:r>
        <w:rPr>
          <w:rFonts w:ascii="Palatino Linotype" w:hAnsi="Palatino Linotype" w:cs="Arial"/>
          <w:sz w:val="24"/>
          <w:szCs w:val="24"/>
        </w:rPr>
        <w:t xml:space="preserve">Adicionalmente, en el expediente electrónico de la solicitud de información </w:t>
      </w:r>
      <w:r>
        <w:rPr>
          <w:rFonts w:ascii="Palatino Linotype" w:hAnsi="Palatino Linotype" w:cs="Arial"/>
          <w:b/>
          <w:bCs/>
          <w:sz w:val="24"/>
          <w:szCs w:val="24"/>
        </w:rPr>
        <w:t xml:space="preserve">00066/ATENCO/IP/2020, El Sujeto Obligado </w:t>
      </w:r>
      <w:r>
        <w:rPr>
          <w:rFonts w:ascii="Palatino Linotype" w:hAnsi="Palatino Linotype" w:cs="Arial"/>
          <w:sz w:val="24"/>
          <w:szCs w:val="24"/>
        </w:rPr>
        <w:t xml:space="preserve">adjuntó los soportes documentales </w:t>
      </w:r>
      <w:r>
        <w:rPr>
          <w:rFonts w:ascii="Palatino Linotype" w:hAnsi="Palatino Linotype" w:cs="Arial"/>
          <w:b/>
          <w:bCs/>
          <w:sz w:val="24"/>
          <w:szCs w:val="24"/>
        </w:rPr>
        <w:lastRenderedPageBreak/>
        <w:t>“</w:t>
      </w:r>
      <w:proofErr w:type="gramStart"/>
      <w:r>
        <w:rPr>
          <w:rFonts w:ascii="Palatino Linotype" w:hAnsi="Palatino Linotype" w:cs="Arial"/>
          <w:b/>
          <w:bCs/>
          <w:sz w:val="24"/>
          <w:szCs w:val="24"/>
        </w:rPr>
        <w:t>Solicitante .</w:t>
      </w:r>
      <w:proofErr w:type="gramEnd"/>
      <w:r>
        <w:rPr>
          <w:rFonts w:ascii="Palatino Linotype" w:hAnsi="Palatino Linotype" w:cs="Arial"/>
          <w:b/>
          <w:bCs/>
          <w:sz w:val="24"/>
          <w:szCs w:val="24"/>
        </w:rPr>
        <w:t xml:space="preserve">066.pdf” </w:t>
      </w:r>
      <w:r>
        <w:rPr>
          <w:rFonts w:ascii="Palatino Linotype" w:hAnsi="Palatino Linotype" w:cs="Arial"/>
          <w:sz w:val="24"/>
          <w:szCs w:val="24"/>
        </w:rPr>
        <w:t xml:space="preserve">y </w:t>
      </w:r>
      <w:r>
        <w:rPr>
          <w:rFonts w:ascii="Palatino Linotype" w:hAnsi="Palatino Linotype" w:cs="Arial"/>
          <w:b/>
          <w:bCs/>
          <w:sz w:val="24"/>
          <w:szCs w:val="24"/>
        </w:rPr>
        <w:t>“</w:t>
      </w:r>
      <w:proofErr w:type="spellStart"/>
      <w:r>
        <w:rPr>
          <w:rFonts w:ascii="Palatino Linotype" w:hAnsi="Palatino Linotype" w:cs="Arial"/>
          <w:b/>
          <w:bCs/>
          <w:sz w:val="24"/>
          <w:szCs w:val="24"/>
        </w:rPr>
        <w:t>resp</w:t>
      </w:r>
      <w:proofErr w:type="spellEnd"/>
      <w:r>
        <w:rPr>
          <w:rFonts w:ascii="Palatino Linotype" w:hAnsi="Palatino Linotype" w:cs="Arial"/>
          <w:b/>
          <w:bCs/>
          <w:sz w:val="24"/>
          <w:szCs w:val="24"/>
        </w:rPr>
        <w:t xml:space="preserve">. sol.66 reglamentos y vía pública.pdf”, </w:t>
      </w:r>
      <w:r>
        <w:rPr>
          <w:rFonts w:ascii="Palatino Linotype" w:hAnsi="Palatino Linotype" w:cs="Arial"/>
          <w:sz w:val="24"/>
          <w:szCs w:val="24"/>
        </w:rPr>
        <w:t xml:space="preserve">respectivamente, </w:t>
      </w:r>
      <w:r>
        <w:rPr>
          <w:rFonts w:ascii="Palatino Linotype" w:hAnsi="Palatino Linotype" w:cs="Arial"/>
        </w:rPr>
        <w:t>cuyo contenido será materia de análisis en el considerando respectivo.</w:t>
      </w:r>
    </w:p>
    <w:p w14:paraId="0B4B73A2" w14:textId="77777777" w:rsidR="00B163D5" w:rsidRPr="00B163D5" w:rsidRDefault="00B163D5" w:rsidP="00045379">
      <w:pPr>
        <w:spacing w:before="240" w:line="360" w:lineRule="auto"/>
        <w:jc w:val="both"/>
        <w:rPr>
          <w:rFonts w:ascii="Palatino Linotype" w:hAnsi="Palatino Linotype" w:cs="Arial"/>
          <w:sz w:val="24"/>
          <w:szCs w:val="24"/>
          <w:lang w:val="es-ES"/>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4A5F42F2" w14:textId="45CB668A" w:rsidR="00800F46" w:rsidRPr="00800F46"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800F46">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800F46">
        <w:rPr>
          <w:rFonts w:ascii="Palatino Linotype" w:hAnsi="Palatino Linotype" w:cs="Arial"/>
          <w:sz w:val="24"/>
          <w:szCs w:val="24"/>
        </w:rPr>
        <w:t xml:space="preserve">quince de junio del presente, el cual fue registrado en el sistema electrónico con el expediente </w:t>
      </w:r>
      <w:r w:rsidR="00800F46">
        <w:rPr>
          <w:rFonts w:ascii="Palatino Linotype" w:hAnsi="Palatino Linotype" w:cs="Arial"/>
          <w:b/>
          <w:bCs/>
          <w:sz w:val="24"/>
          <w:szCs w:val="24"/>
        </w:rPr>
        <w:t xml:space="preserve">02000/INFOEM/IP/RR/2020, </w:t>
      </w:r>
      <w:r w:rsidR="00800F46">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6DD78F0A" w:rsidR="006168E4" w:rsidRPr="00800F46" w:rsidRDefault="006168E4" w:rsidP="00800F46">
      <w:pPr>
        <w:spacing w:before="240" w:line="360" w:lineRule="auto"/>
        <w:ind w:left="851" w:right="851"/>
        <w:jc w:val="both"/>
        <w:rPr>
          <w:rFonts w:ascii="Palatino Linotype" w:hAnsi="Palatino Linotype" w:cs="Arial"/>
          <w:b/>
          <w:i/>
        </w:rPr>
      </w:pPr>
      <w:r w:rsidRPr="00800F46">
        <w:rPr>
          <w:rFonts w:ascii="Palatino Linotype" w:hAnsi="Palatino Linotype" w:cs="Arial"/>
          <w:i/>
        </w:rPr>
        <w:t>“</w:t>
      </w:r>
      <w:r w:rsidR="00800F46" w:rsidRPr="00800F46">
        <w:rPr>
          <w:rFonts w:ascii="Palatino Linotype" w:hAnsi="Palatino Linotype" w:cs="Arial"/>
          <w:i/>
        </w:rPr>
        <w:t>L</w:t>
      </w:r>
      <w:r w:rsidR="00800F46" w:rsidRPr="00800F46">
        <w:rPr>
          <w:rFonts w:ascii="Palatino Linotype" w:hAnsi="Palatino Linotype"/>
          <w:i/>
        </w:rPr>
        <w:t xml:space="preserve">a respuesta a la solicitud de información requerida mediante folio 00066/ATENCO/IP/2020 fue entregada de forma incompleta, en virtud de que de los archivos anexos, se advierte el oficio emitido por el C. Javier Navarro Castillo, Jefe de Reglamentos y Vía Pública mediante el cual señala que es imposible entregar la información relativa a las resoluciones administrativas de los establecimientos mercantiles que se encuentren en suspensión temporal en relación al incumplimiento de las medidas sanitarias tomadas por la contingencia del COVID-19, es decir, dicho funcionario público reconoce la existencia de dicha información, sin embargo, recurre a la negativa de proporcionarla, aún y cuando existe la posibilidad de generar las versiones públicas; que es la información a la que el suscrito quiere acceder. Ahora bien, respecto al COMUNICADO URGENTE que obra como anexo, no se advierte del mismo que haya sido notificado a los establecimientos mercantiles, por lo que no puede ser de ninguna forma el documento con el que se haya dado de conocimiento a los negocios del Municipio de Atenco, de la toma de medidas sanitarias, por lo que </w:t>
      </w:r>
      <w:r w:rsidR="00800F46" w:rsidRPr="00800F46">
        <w:rPr>
          <w:rFonts w:ascii="Palatino Linotype" w:hAnsi="Palatino Linotype"/>
          <w:i/>
        </w:rPr>
        <w:lastRenderedPageBreak/>
        <w:t xml:space="preserve">se requiere se haga una búsqueda exhaustiva de dicha información donde conste la toma de conocimiento de los negocios de que deben tomar las medidas sanitarias, y que </w:t>
      </w:r>
      <w:proofErr w:type="spellStart"/>
      <w:r w:rsidR="00800F46" w:rsidRPr="00800F46">
        <w:rPr>
          <w:rFonts w:ascii="Palatino Linotype" w:hAnsi="Palatino Linotype"/>
          <w:i/>
        </w:rPr>
        <w:t>de</w:t>
      </w:r>
      <w:proofErr w:type="spellEnd"/>
      <w:r w:rsidR="00800F46" w:rsidRPr="00800F46">
        <w:rPr>
          <w:rFonts w:ascii="Palatino Linotype" w:hAnsi="Palatino Linotype"/>
          <w:i/>
        </w:rPr>
        <w:t xml:space="preserve"> en caso de incumplimiento, serán sancionados de conformidad con la normatividad aplicable.</w:t>
      </w:r>
      <w:r w:rsidRPr="00800F46">
        <w:rPr>
          <w:rFonts w:ascii="Palatino Linotype" w:hAnsi="Palatino Linotype" w:cs="Arial"/>
          <w:i/>
        </w:rPr>
        <w:t>”</w:t>
      </w:r>
      <w:r w:rsidR="00454CE6" w:rsidRPr="00800F46">
        <w:rPr>
          <w:rFonts w:ascii="Palatino Linotype" w:hAnsi="Palatino Linotype" w:cs="Arial"/>
          <w:i/>
        </w:rPr>
        <w:t xml:space="preserve"> </w:t>
      </w:r>
      <w:r w:rsidR="0032187D" w:rsidRPr="00800F46">
        <w:rPr>
          <w:rFonts w:ascii="Palatino Linotype" w:hAnsi="Palatino Linotype" w:cs="Arial"/>
          <w:b/>
          <w:i/>
        </w:rPr>
        <w:t>[S</w:t>
      </w:r>
      <w:r w:rsidRPr="00800F46">
        <w:rPr>
          <w:rFonts w:ascii="Palatino Linotype" w:hAnsi="Palatino Linotype" w:cs="Arial"/>
          <w:b/>
          <w:i/>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2D850EFF" w:rsidR="00064EA6" w:rsidRPr="00800F46" w:rsidRDefault="00064EA6" w:rsidP="00800F46">
      <w:pPr>
        <w:spacing w:before="240" w:line="360" w:lineRule="auto"/>
        <w:ind w:left="851" w:right="851"/>
        <w:jc w:val="both"/>
        <w:rPr>
          <w:rFonts w:ascii="Palatino Linotype" w:hAnsi="Palatino Linotype" w:cs="Arial"/>
          <w:b/>
          <w:i/>
        </w:rPr>
      </w:pPr>
      <w:r w:rsidRPr="00800F46">
        <w:rPr>
          <w:rFonts w:ascii="Palatino Linotype" w:hAnsi="Palatino Linotype" w:cs="Arial"/>
          <w:i/>
        </w:rPr>
        <w:t>“</w:t>
      </w:r>
      <w:r w:rsidR="00800F46" w:rsidRPr="00800F46">
        <w:rPr>
          <w:rFonts w:ascii="Palatino Linotype" w:hAnsi="Palatino Linotype"/>
          <w:i/>
        </w:rPr>
        <w:t xml:space="preserve">El presente recurso tiene como motivo la negativa de información, lo anterior, en virtud de que en dicho municipio se han realizado distintas acciones en diversos negocios respecto de la suspensión de sus actividades (como ha sido el cierre con uso de la fuerza pública de negocios locales "tienditas"), en atención a la contingencia sanitaria por el COVID 19, no obstante, el actuar de dicho funcionario público, recae en la ilegalidad, al no realizar actos administrativos que tengan la correspondiente fundamentación y motivación, es decir dicha persona no reconoce los elemento básicos de un procedimiento administrativo. como son: - El oficio mediante el cual se notifique personalmente a los negocios de las medidas sanitarias para evitar la propagación del virus. - El apercibimiento de las sanciones por incurrir en el incumplimiento a dichos mandatos, entre otros. En este sentido, cabe señalar que los funcionarios públicos que integran el Gobierno del Municipio de </w:t>
      </w:r>
      <w:proofErr w:type="gramStart"/>
      <w:r w:rsidR="00800F46" w:rsidRPr="00800F46">
        <w:rPr>
          <w:rFonts w:ascii="Palatino Linotype" w:hAnsi="Palatino Linotype"/>
          <w:i/>
        </w:rPr>
        <w:t>Atenco,</w:t>
      </w:r>
      <w:proofErr w:type="gramEnd"/>
      <w:r w:rsidR="00800F46" w:rsidRPr="00800F46">
        <w:rPr>
          <w:rFonts w:ascii="Palatino Linotype" w:hAnsi="Palatino Linotype"/>
          <w:i/>
        </w:rPr>
        <w:t xml:space="preserve"> no desempeñan correctamente sus labores, ni actúan conforme a derecho, sino que realizan actos que además de ilegales, son arbitrarios. Finalmente, a consideración del suscrito, es que debe imperar la certeza jurídica de los actos realizados por el Gobierno, por lo que se pide la información materia del presente recurso.</w:t>
      </w:r>
      <w:r w:rsidRPr="00800F46">
        <w:rPr>
          <w:rFonts w:ascii="Palatino Linotype" w:hAnsi="Palatino Linotype" w:cs="Arial"/>
          <w:i/>
        </w:rPr>
        <w:t xml:space="preserve">” </w:t>
      </w:r>
      <w:r w:rsidRPr="00800F46">
        <w:rPr>
          <w:rFonts w:ascii="Palatino Linotype" w:hAnsi="Palatino Linotype" w:cs="Arial"/>
          <w:b/>
          <w:i/>
        </w:rPr>
        <w:t>[Sic]</w:t>
      </w:r>
    </w:p>
    <w:p w14:paraId="3F64BD15" w14:textId="77777777" w:rsidR="006168E4" w:rsidRPr="00295668" w:rsidRDefault="006168E4" w:rsidP="00844569">
      <w:pPr>
        <w:spacing w:before="240" w:line="360" w:lineRule="auto"/>
        <w:ind w:right="851"/>
        <w:jc w:val="both"/>
        <w:rPr>
          <w:rFonts w:ascii="Palatino Linotype" w:hAnsi="Palatino Linotype"/>
          <w:color w:val="000000"/>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141D02D1" w14:textId="77777777" w:rsidR="00800F46" w:rsidRDefault="006168E4" w:rsidP="00800F46">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lastRenderedPageBreak/>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00F46">
        <w:rPr>
          <w:rFonts w:ascii="Palatino Linotype" w:hAnsi="Palatino Linotype" w:cs="Arial"/>
          <w:sz w:val="24"/>
          <w:szCs w:val="24"/>
        </w:rPr>
        <w:t xml:space="preserve">siete de agosto del año en curso, determinándose en él, un </w:t>
      </w:r>
      <w:r w:rsidR="00800F46" w:rsidRPr="00A81BCB">
        <w:rPr>
          <w:rFonts w:ascii="Palatino Linotype" w:hAnsi="Palatino Linotype" w:cs="Arial"/>
          <w:sz w:val="24"/>
          <w:szCs w:val="24"/>
        </w:rPr>
        <w:t>plazo de siete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1E400B7E" w14:textId="1B5E0746" w:rsidR="00A81BCB" w:rsidRDefault="00A81BCB" w:rsidP="00A81BC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800F46">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1A059A2C" w14:textId="471C11C7" w:rsidR="00A81BCB" w:rsidRPr="00C12209" w:rsidRDefault="00A81BCB" w:rsidP="00A81BC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1710C0">
        <w:rPr>
          <w:rFonts w:ascii="Palatino Linotype" w:hAnsi="Palatino Linotype" w:cs="Arial"/>
          <w:b/>
          <w:sz w:val="24"/>
          <w:szCs w:val="24"/>
        </w:rPr>
        <w:t>veinticuatro</w:t>
      </w:r>
      <w:r>
        <w:rPr>
          <w:rFonts w:ascii="Palatino Linotype" w:hAnsi="Palatino Linotype" w:cs="Arial"/>
          <w:b/>
          <w:sz w:val="24"/>
          <w:szCs w:val="24"/>
        </w:rPr>
        <w:t xml:space="preserve"> de agosto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47CA5252" w:rsidR="00686FC2" w:rsidRPr="008F797B"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800F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E6B53F" w14:textId="77777777" w:rsidR="00C76C40" w:rsidRPr="00686FC2" w:rsidRDefault="00C76C40" w:rsidP="00844569">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413FA6" w14:textId="77777777" w:rsidR="000D4532" w:rsidRPr="00C07D77" w:rsidRDefault="000D4532" w:rsidP="000D4532">
      <w:pPr>
        <w:pStyle w:val="Prrafodelista"/>
        <w:autoSpaceDE w:val="0"/>
        <w:autoSpaceDN w:val="0"/>
        <w:adjustRightInd w:val="0"/>
        <w:spacing w:line="360" w:lineRule="auto"/>
        <w:ind w:left="0"/>
        <w:jc w:val="both"/>
        <w:rPr>
          <w:rFonts w:ascii="Palatino Linotype" w:hAnsi="Palatino Linotype" w:cs="Arial"/>
          <w:sz w:val="18"/>
        </w:rPr>
      </w:pP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 xml:space="preserve">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14:paraId="74B62BE8" w14:textId="77777777" w:rsidR="00D93F28" w:rsidRDefault="00D93F28"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084EDF4" w14:textId="0B0331AB"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DDA99AE" w14:textId="2A6836B5" w:rsidR="00C3768A" w:rsidRPr="00653D2A" w:rsidRDefault="00304D88" w:rsidP="00E5481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En</w:t>
      </w:r>
      <w:r w:rsidR="00FE427F">
        <w:rPr>
          <w:rFonts w:ascii="Palatino Linotype" w:hAnsi="Palatino Linotype" w:cs="Arial"/>
        </w:rPr>
        <w:t xml:space="preserve"> una aproximac</w:t>
      </w:r>
      <w:r w:rsidR="00874015">
        <w:rPr>
          <w:rFonts w:ascii="Palatino Linotype" w:hAnsi="Palatino Linotype" w:cs="Arial"/>
        </w:rPr>
        <w:t xml:space="preserve">ión inicial, resulta </w:t>
      </w:r>
      <w:r w:rsidR="009C5E96">
        <w:rPr>
          <w:rFonts w:ascii="Palatino Linotype" w:hAnsi="Palatino Linotype" w:cs="Arial"/>
        </w:rPr>
        <w:t xml:space="preserve">oportuno </w:t>
      </w:r>
      <w:r w:rsidR="00C3768A">
        <w:rPr>
          <w:rFonts w:ascii="Palatino Linotype" w:hAnsi="Palatino Linotype" w:cs="Arial"/>
        </w:rPr>
        <w:t xml:space="preserve">mencionar que la solicitud de información </w:t>
      </w:r>
      <w:r w:rsidR="00800F46">
        <w:rPr>
          <w:rFonts w:ascii="Palatino Linotype" w:hAnsi="Palatino Linotype" w:cs="Arial"/>
          <w:b/>
        </w:rPr>
        <w:t>00066/ATENCO/IP/2020</w:t>
      </w:r>
      <w:r w:rsidR="00C3768A">
        <w:rPr>
          <w:rFonts w:ascii="Palatino Linotype" w:hAnsi="Palatino Linotype" w:cs="Arial"/>
          <w:b/>
        </w:rPr>
        <w:t xml:space="preserve"> </w:t>
      </w:r>
      <w:r w:rsidR="00C3768A">
        <w:rPr>
          <w:rFonts w:ascii="Palatino Linotype" w:hAnsi="Palatino Linotype" w:cs="Arial"/>
        </w:rPr>
        <w:t xml:space="preserve">carece de elemento temporal, no </w:t>
      </w:r>
      <w:proofErr w:type="gramStart"/>
      <w:r w:rsidR="00C3768A">
        <w:rPr>
          <w:rFonts w:ascii="Palatino Linotype" w:hAnsi="Palatino Linotype" w:cs="Arial"/>
        </w:rPr>
        <w:t>obstante</w:t>
      </w:r>
      <w:proofErr w:type="gramEnd"/>
      <w:r w:rsidR="00C3768A">
        <w:rPr>
          <w:rFonts w:ascii="Palatino Linotype" w:hAnsi="Palatino Linotype" w:cs="Arial"/>
        </w:rPr>
        <w:t xml:space="preserve"> lo anterior, en atención a la naturaleza de la información requerida, este debe de ser delimitado al </w:t>
      </w:r>
      <w:r w:rsidR="00FA103A">
        <w:rPr>
          <w:rFonts w:ascii="Palatino Linotype" w:hAnsi="Palatino Linotype" w:cs="Arial"/>
        </w:rPr>
        <w:t xml:space="preserve">diecinueve de mayo de dos mil veinte, lo anterior </w:t>
      </w:r>
      <w:r w:rsidR="00E54816">
        <w:rPr>
          <w:rFonts w:ascii="Palatino Linotype" w:hAnsi="Palatino Linotype" w:cs="Arial"/>
        </w:rPr>
        <w:t xml:space="preserve">con fundamento en los artículos </w:t>
      </w:r>
      <w:r w:rsidR="00C3768A" w:rsidRPr="00653D2A">
        <w:rPr>
          <w:rFonts w:ascii="Palatino Linotype" w:hAnsi="Palatino Linotype"/>
        </w:rPr>
        <w:t xml:space="preserve">13 y 181 cuarto párrafo de la Ley en materia, los cuales a la letra rezan: </w:t>
      </w:r>
    </w:p>
    <w:p w14:paraId="66466A5F" w14:textId="77777777" w:rsidR="00C3768A" w:rsidRPr="009878C2" w:rsidRDefault="00C3768A" w:rsidP="00C3768A">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66BA743" w14:textId="77777777" w:rsidR="00C3768A" w:rsidRPr="009878C2" w:rsidRDefault="00C3768A" w:rsidP="00C3768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lastRenderedPageBreak/>
        <w:t xml:space="preserve">Artículo 181. … </w:t>
      </w:r>
    </w:p>
    <w:p w14:paraId="5AFC8CA1" w14:textId="77777777" w:rsidR="00C3768A" w:rsidRPr="009878C2" w:rsidRDefault="00C3768A" w:rsidP="00C3768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5ABEDC8" w14:textId="77777777" w:rsidR="00C3768A" w:rsidRDefault="00C3768A" w:rsidP="00C3768A">
      <w:pPr>
        <w:tabs>
          <w:tab w:val="left" w:pos="709"/>
        </w:tabs>
        <w:spacing w:before="240" w:line="360" w:lineRule="auto"/>
        <w:ind w:right="51"/>
        <w:jc w:val="both"/>
        <w:rPr>
          <w:rFonts w:ascii="Palatino Linotype" w:hAnsi="Palatino Linotype"/>
          <w:sz w:val="24"/>
          <w:szCs w:val="24"/>
        </w:rPr>
      </w:pPr>
    </w:p>
    <w:p w14:paraId="37574B13" w14:textId="56531E34"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e información podemos identificar que </w:t>
      </w:r>
      <w:r w:rsidR="00FA103A">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lo siguiente: </w:t>
      </w:r>
    </w:p>
    <w:p w14:paraId="0A8BC8BE" w14:textId="327034F1" w:rsidR="008D1DFF" w:rsidRDefault="00FA103A" w:rsidP="00E2053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Oficio y/o equivalente dirigido a establecimientos mercantiles del Municipio de Atenco solicitando su cierre oportuno en atención a la contingencia derivada de la pandemia del virus Covid-19, al diecinueve de mayo de dos mil veinte. </w:t>
      </w:r>
    </w:p>
    <w:p w14:paraId="129BA0BD" w14:textId="717C6CAB" w:rsidR="00FA103A" w:rsidRPr="008D1DFF" w:rsidRDefault="00FA103A" w:rsidP="00E2053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Resoluciones administrativas de suspensión temporal de </w:t>
      </w:r>
      <w:r w:rsidR="00517889">
        <w:rPr>
          <w:rFonts w:ascii="Palatino Linotype" w:hAnsi="Palatino Linotype" w:cs="Arial"/>
        </w:rPr>
        <w:t xml:space="preserve">establecimientos mercantiles </w:t>
      </w:r>
      <w:r w:rsidR="005F4648">
        <w:rPr>
          <w:rFonts w:ascii="Palatino Linotype" w:hAnsi="Palatino Linotype" w:cs="Arial"/>
        </w:rPr>
        <w:t xml:space="preserve">del Municipio de Atenco </w:t>
      </w:r>
      <w:r>
        <w:rPr>
          <w:rFonts w:ascii="Palatino Linotype" w:hAnsi="Palatino Linotype" w:cs="Arial"/>
        </w:rPr>
        <w:t xml:space="preserve">que incumplieron con el cierre oportuno en atención a la contingencia derivada de la pandemia del virus Covid-19, al </w:t>
      </w:r>
      <w:r w:rsidR="008B4658">
        <w:rPr>
          <w:rFonts w:ascii="Palatino Linotype" w:hAnsi="Palatino Linotype" w:cs="Arial"/>
        </w:rPr>
        <w:t xml:space="preserve">diecinueve de mayo de dos mil veinte. </w:t>
      </w:r>
    </w:p>
    <w:p w14:paraId="2ADE91DA" w14:textId="77777777" w:rsidR="009C5E96" w:rsidRDefault="009C5E96" w:rsidP="009C5E96">
      <w:pPr>
        <w:autoSpaceDE w:val="0"/>
        <w:autoSpaceDN w:val="0"/>
        <w:adjustRightInd w:val="0"/>
        <w:spacing w:before="240" w:line="360" w:lineRule="auto"/>
        <w:ind w:right="851"/>
        <w:jc w:val="both"/>
        <w:rPr>
          <w:rFonts w:ascii="Palatino Linotype" w:hAnsi="Palatino Linotype" w:cs="Arial"/>
          <w:b/>
          <w:highlight w:val="yellow"/>
        </w:rPr>
      </w:pPr>
    </w:p>
    <w:p w14:paraId="7D48A5DD" w14:textId="5E02B82B" w:rsidR="008B4658" w:rsidRDefault="008D1DFF" w:rsidP="008D1DFF">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sidR="008B4658">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sidR="008B4658">
        <w:rPr>
          <w:rFonts w:ascii="Palatino Linotype" w:hAnsi="Palatino Linotype" w:cs="Arial"/>
          <w:sz w:val="24"/>
          <w:szCs w:val="24"/>
        </w:rPr>
        <w:t>s</w:t>
      </w:r>
      <w:r w:rsidRPr="008D1DFF">
        <w:rPr>
          <w:rFonts w:ascii="Palatino Linotype" w:hAnsi="Palatino Linotype" w:cs="Arial"/>
          <w:sz w:val="24"/>
          <w:szCs w:val="24"/>
        </w:rPr>
        <w:t xml:space="preserve"> formulado</w:t>
      </w:r>
      <w:r w:rsidR="008B4658">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 </w:t>
      </w:r>
      <w:r w:rsidR="008B4658">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73810A39" w14:textId="3E87B0F3" w:rsidR="008B4658" w:rsidRPr="008B4658" w:rsidRDefault="008B4658" w:rsidP="008B465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lastRenderedPageBreak/>
        <w:t xml:space="preserve">“Artículo 24. Para el cumplimiento de los objetivos de esta Ley, los sujetos obligados deberán cumplir con las siguientes obligaciones, según corresponda, </w:t>
      </w:r>
      <w:proofErr w:type="gramStart"/>
      <w:r w:rsidRPr="008B4658">
        <w:rPr>
          <w:rFonts w:ascii="Palatino Linotype" w:hAnsi="Palatino Linotype"/>
          <w:i/>
          <w:iCs/>
        </w:rPr>
        <w:t>de acuerdo a</w:t>
      </w:r>
      <w:proofErr w:type="gramEnd"/>
      <w:r w:rsidRPr="008B4658">
        <w:rPr>
          <w:rFonts w:ascii="Palatino Linotype" w:hAnsi="Palatino Linotype"/>
          <w:i/>
          <w:iCs/>
        </w:rPr>
        <w:t xml:space="preserve"> su naturaleza:</w:t>
      </w:r>
    </w:p>
    <w:p w14:paraId="6FB66D58" w14:textId="5599427F" w:rsidR="008B4658" w:rsidRPr="008B4658" w:rsidRDefault="008B4658" w:rsidP="008B465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7398F500" w14:textId="76CFFB3A" w:rsidR="008B4658" w:rsidRPr="008B4658" w:rsidRDefault="008B4658" w:rsidP="008B4658">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C0FB8AC" w14:textId="3D09955A" w:rsidR="008B4658" w:rsidRPr="008B4658" w:rsidRDefault="008B4658" w:rsidP="008B4658">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33B37882" w14:textId="584D9959" w:rsidR="008B4658" w:rsidRPr="008B4658" w:rsidRDefault="008B4658" w:rsidP="008B465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00C313" w14:textId="7F06C2C1" w:rsidR="008B4658" w:rsidRPr="008B4658" w:rsidRDefault="008B4658" w:rsidP="008B4658">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416A5DD9" w14:textId="4CA03478" w:rsidR="008B4658" w:rsidRPr="008B4658" w:rsidRDefault="008B4658" w:rsidP="008B4658">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909CA24" w14:textId="5F680374" w:rsidR="008B4658" w:rsidRPr="008B4658" w:rsidRDefault="008B4658" w:rsidP="008B4658">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 xml:space="preserve">(…)” </w:t>
      </w:r>
    </w:p>
    <w:p w14:paraId="5ACBAF66" w14:textId="438244D9" w:rsidR="008B4658" w:rsidRDefault="008B465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en alusión a la normatividad previamente plasmada, sirve de sustento la siguiente imagen ilustrativa, correspondiente al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mismo que puede ser consultado en la siguiente dirección electrónica: </w:t>
      </w:r>
    </w:p>
    <w:p w14:paraId="1F391438" w14:textId="77980960" w:rsidR="008B4658" w:rsidRDefault="000740D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02272" behindDoc="0" locked="0" layoutInCell="1" allowOverlap="1" wp14:anchorId="585F63C5" wp14:editId="1EACB232">
            <wp:simplePos x="0" y="0"/>
            <wp:positionH relativeFrom="margin">
              <wp:align>center</wp:align>
            </wp:positionH>
            <wp:positionV relativeFrom="paragraph">
              <wp:posOffset>79375</wp:posOffset>
            </wp:positionV>
            <wp:extent cx="3361055" cy="5549900"/>
            <wp:effectExtent l="10478" t="27622" r="21272" b="21273"/>
            <wp:wrapThrough wrapText="bothSides">
              <wp:wrapPolygon edited="0">
                <wp:start x="-178" y="21641"/>
                <wp:lineTo x="21614" y="21641"/>
                <wp:lineTo x="21614" y="-9"/>
                <wp:lineTo x="-178" y="-9"/>
                <wp:lineTo x="-178" y="2164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361055" cy="5549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8B4658" w:rsidRPr="002A5B7E">
          <w:rPr>
            <w:rStyle w:val="Hipervnculo"/>
            <w:rFonts w:ascii="Palatino Linotype" w:hAnsi="Palatino Linotype" w:cs="Arial"/>
            <w:sz w:val="24"/>
            <w:szCs w:val="24"/>
          </w:rPr>
          <w:t>https://www.ipomex.org.mx/recursos/ipo/files_ipo3/2019/42929/7/afa496fcae20c8cd5bacf69457affe8e.pdf</w:t>
        </w:r>
      </w:hyperlink>
      <w:r w:rsidR="008B4658">
        <w:rPr>
          <w:rFonts w:ascii="Palatino Linotype" w:hAnsi="Palatino Linotype" w:cs="Arial"/>
          <w:sz w:val="24"/>
          <w:szCs w:val="24"/>
        </w:rPr>
        <w:t xml:space="preserve"> </w:t>
      </w:r>
    </w:p>
    <w:p w14:paraId="27FC6BA4" w14:textId="13BF2AA2" w:rsidR="008B4658" w:rsidRDefault="001602D7"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05344" behindDoc="0" locked="0" layoutInCell="1" allowOverlap="1" wp14:anchorId="27D3324B" wp14:editId="71922B5D">
                <wp:simplePos x="0" y="0"/>
                <wp:positionH relativeFrom="column">
                  <wp:posOffset>2488638</wp:posOffset>
                </wp:positionH>
                <wp:positionV relativeFrom="paragraph">
                  <wp:posOffset>1042253</wp:posOffset>
                </wp:positionV>
                <wp:extent cx="297833" cy="161544"/>
                <wp:effectExtent l="0" t="0" r="26035" b="10160"/>
                <wp:wrapNone/>
                <wp:docPr id="10" name="Rectángulo 10"/>
                <wp:cNvGraphicFramePr/>
                <a:graphic xmlns:a="http://schemas.openxmlformats.org/drawingml/2006/main">
                  <a:graphicData uri="http://schemas.microsoft.com/office/word/2010/wordprocessingShape">
                    <wps:wsp>
                      <wps:cNvSpPr/>
                      <wps:spPr>
                        <a:xfrm>
                          <a:off x="0" y="0"/>
                          <a:ext cx="297833" cy="161544"/>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B1B2C6" id="Rectángulo 10" o:spid="_x0000_s1026" style="position:absolute;margin-left:195.95pt;margin-top:82.05pt;width:23.45pt;height:12.7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" filled="f" strokecolor="red" strokeweight="1pt"/>
            </w:pict>
          </mc:Fallback>
        </mc:AlternateContent>
      </w:r>
    </w:p>
    <w:p w14:paraId="35E2DE2F" w14:textId="558EDF8F" w:rsidR="008B4658" w:rsidRDefault="000740D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04320" behindDoc="0" locked="0" layoutInCell="1" allowOverlap="1" wp14:anchorId="65234325" wp14:editId="6F65D3F9">
                <wp:simplePos x="0" y="0"/>
                <wp:positionH relativeFrom="column">
                  <wp:posOffset>-281483</wp:posOffset>
                </wp:positionH>
                <wp:positionV relativeFrom="paragraph">
                  <wp:posOffset>3651113</wp:posOffset>
                </wp:positionV>
                <wp:extent cx="6215605" cy="1620456"/>
                <wp:effectExtent l="0" t="0" r="33020" b="37465"/>
                <wp:wrapNone/>
                <wp:docPr id="9" name="Conector recto 9"/>
                <wp:cNvGraphicFramePr/>
                <a:graphic xmlns:a="http://schemas.openxmlformats.org/drawingml/2006/main">
                  <a:graphicData uri="http://schemas.microsoft.com/office/word/2010/wordprocessingShape">
                    <wps:wsp>
                      <wps:cNvCnPr/>
                      <wps:spPr>
                        <a:xfrm>
                          <a:off x="0" y="0"/>
                          <a:ext cx="6215605" cy="1620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7514" id="Conector recto 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2.15pt,287.5pt" to="467.25pt,4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" strokecolor="#5b9bd5 [3204]" strokeweight=".5pt">
                <v:stroke joinstyle="miter"/>
              </v:line>
            </w:pict>
          </mc:Fallback>
        </mc:AlternateContent>
      </w:r>
    </w:p>
    <w:p w14:paraId="51B8A22A" w14:textId="2177A4B5"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22D753F1" w14:textId="39BC0D9B"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7E62D0F7" w14:textId="2FF795E2"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483DC635" w14:textId="387EC01D"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1799666F" w14:textId="3505618E" w:rsidR="008B4658" w:rsidRDefault="001602D7"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06368" behindDoc="0" locked="0" layoutInCell="1" allowOverlap="1" wp14:anchorId="07F197BA" wp14:editId="17A15BFC">
            <wp:simplePos x="0" y="0"/>
            <wp:positionH relativeFrom="column">
              <wp:posOffset>2755265</wp:posOffset>
            </wp:positionH>
            <wp:positionV relativeFrom="paragraph">
              <wp:posOffset>238125</wp:posOffset>
            </wp:positionV>
            <wp:extent cx="2881630" cy="1642745"/>
            <wp:effectExtent l="9842" t="28258" r="23813" b="23812"/>
            <wp:wrapThrough wrapText="bothSides">
              <wp:wrapPolygon edited="0">
                <wp:start x="-212" y="21729"/>
                <wp:lineTo x="21636" y="21729"/>
                <wp:lineTo x="21636" y="-63"/>
                <wp:lineTo x="-212" y="-63"/>
                <wp:lineTo x="-212" y="21729"/>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881630" cy="16427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703296" behindDoc="0" locked="0" layoutInCell="1" allowOverlap="1" wp14:anchorId="1503AEB8" wp14:editId="6D304765">
            <wp:simplePos x="0" y="0"/>
            <wp:positionH relativeFrom="page">
              <wp:posOffset>1391920</wp:posOffset>
            </wp:positionH>
            <wp:positionV relativeFrom="paragraph">
              <wp:posOffset>219075</wp:posOffset>
            </wp:positionV>
            <wp:extent cx="2869565" cy="1666240"/>
            <wp:effectExtent l="11113" t="26987" r="18097" b="18098"/>
            <wp:wrapThrough wrapText="bothSides">
              <wp:wrapPolygon edited="0">
                <wp:start x="-203" y="21744"/>
                <wp:lineTo x="21593" y="21744"/>
                <wp:lineTo x="21593" y="12"/>
                <wp:lineTo x="-203" y="12"/>
                <wp:lineTo x="-203" y="2174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869565" cy="1666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A91034" w14:textId="1704FA5C"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0915410A" w14:textId="0F6CE34B"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5F5872BC" w14:textId="5F3682DE"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4947600E" w14:textId="523CD805" w:rsid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033816FB" w14:textId="77777777" w:rsidR="008B4658" w:rsidRPr="008B4658" w:rsidRDefault="008B4658" w:rsidP="008D1DFF">
      <w:pPr>
        <w:autoSpaceDE w:val="0"/>
        <w:autoSpaceDN w:val="0"/>
        <w:adjustRightInd w:val="0"/>
        <w:spacing w:before="240" w:line="360" w:lineRule="auto"/>
        <w:jc w:val="both"/>
        <w:rPr>
          <w:rFonts w:ascii="Palatino Linotype" w:hAnsi="Palatino Linotype" w:cs="Arial"/>
          <w:sz w:val="24"/>
          <w:szCs w:val="24"/>
        </w:rPr>
      </w:pPr>
    </w:p>
    <w:p w14:paraId="01B6E639" w14:textId="77777777" w:rsidR="000740DB" w:rsidRDefault="000740DB" w:rsidP="008D1DFF">
      <w:pPr>
        <w:autoSpaceDE w:val="0"/>
        <w:autoSpaceDN w:val="0"/>
        <w:adjustRightInd w:val="0"/>
        <w:spacing w:before="240" w:line="360" w:lineRule="auto"/>
        <w:jc w:val="both"/>
        <w:rPr>
          <w:rFonts w:ascii="Palatino Linotype" w:hAnsi="Palatino Linotype" w:cs="Arial"/>
          <w:sz w:val="24"/>
          <w:szCs w:val="24"/>
        </w:rPr>
      </w:pPr>
    </w:p>
    <w:p w14:paraId="118DAE17" w14:textId="63148322" w:rsidR="000740DB" w:rsidRPr="0050182F" w:rsidRDefault="000740D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se auxilia de diversas Unidades, Direcciones, Jefaturas y Departamentos para cumplir con sus fines y objetivos, resultando de nuestro interés la esfera competencial de la Jefatura de Reglamentos y Vía Pública</w:t>
      </w:r>
      <w:r w:rsidR="001602D7">
        <w:rPr>
          <w:rFonts w:ascii="Palatino Linotype" w:hAnsi="Palatino Linotype" w:cs="Arial"/>
          <w:sz w:val="24"/>
          <w:szCs w:val="24"/>
        </w:rPr>
        <w:t>, así como de la Oficialía Calificadora, Mediadora y Conciliadora.</w:t>
      </w:r>
      <w:r>
        <w:rPr>
          <w:rFonts w:ascii="Palatino Linotype" w:hAnsi="Palatino Linotype" w:cs="Arial"/>
          <w:sz w:val="24"/>
          <w:szCs w:val="24"/>
        </w:rPr>
        <w:t xml:space="preserve"> En este tenor, resultan aplicables </w:t>
      </w:r>
      <w:r w:rsidR="0050182F">
        <w:rPr>
          <w:rFonts w:ascii="Palatino Linotype" w:hAnsi="Palatino Linotype" w:cs="Arial"/>
          <w:sz w:val="24"/>
          <w:szCs w:val="24"/>
        </w:rPr>
        <w:t>los artículos 249, 250, 252, 255, 267</w:t>
      </w:r>
      <w:r w:rsidR="001602D7">
        <w:rPr>
          <w:rFonts w:ascii="Palatino Linotype" w:hAnsi="Palatino Linotype" w:cs="Arial"/>
          <w:sz w:val="24"/>
          <w:szCs w:val="24"/>
        </w:rPr>
        <w:t>,</w:t>
      </w:r>
      <w:r w:rsidR="0050182F">
        <w:rPr>
          <w:rFonts w:ascii="Palatino Linotype" w:hAnsi="Palatino Linotype" w:cs="Arial"/>
          <w:sz w:val="24"/>
          <w:szCs w:val="24"/>
        </w:rPr>
        <w:t xml:space="preserve"> 278</w:t>
      </w:r>
      <w:r w:rsidR="001602D7">
        <w:rPr>
          <w:rFonts w:ascii="Palatino Linotype" w:hAnsi="Palatino Linotype" w:cs="Arial"/>
          <w:sz w:val="24"/>
          <w:szCs w:val="24"/>
        </w:rPr>
        <w:t>, 416, primer párrafo y 422</w:t>
      </w:r>
      <w:r w:rsidR="0050182F">
        <w:rPr>
          <w:rFonts w:ascii="Palatino Linotype" w:hAnsi="Palatino Linotype" w:cs="Arial"/>
          <w:sz w:val="24"/>
          <w:szCs w:val="24"/>
        </w:rPr>
        <w:t xml:space="preserve"> del Bando Municipal 2020 del </w:t>
      </w:r>
      <w:r w:rsidR="0050182F">
        <w:rPr>
          <w:rFonts w:ascii="Palatino Linotype" w:hAnsi="Palatino Linotype" w:cs="Arial"/>
          <w:b/>
          <w:bCs/>
          <w:sz w:val="24"/>
          <w:szCs w:val="24"/>
        </w:rPr>
        <w:t xml:space="preserve">Sujeto Obligado, </w:t>
      </w:r>
      <w:r w:rsidR="0050182F">
        <w:rPr>
          <w:rFonts w:ascii="Palatino Linotype" w:hAnsi="Palatino Linotype" w:cs="Arial"/>
          <w:sz w:val="24"/>
          <w:szCs w:val="24"/>
        </w:rPr>
        <w:t xml:space="preserve">cuyo contenido literal es el siguiente: </w:t>
      </w:r>
    </w:p>
    <w:p w14:paraId="0B07B75D" w14:textId="526A45C0" w:rsidR="000740DB" w:rsidRPr="0050182F" w:rsidRDefault="0050182F" w:rsidP="0050182F">
      <w:pPr>
        <w:autoSpaceDE w:val="0"/>
        <w:autoSpaceDN w:val="0"/>
        <w:adjustRightInd w:val="0"/>
        <w:spacing w:before="240" w:line="360" w:lineRule="auto"/>
        <w:ind w:left="851" w:right="851"/>
        <w:jc w:val="center"/>
        <w:rPr>
          <w:rFonts w:ascii="Palatino Linotype" w:hAnsi="Palatino Linotype" w:cs="Arial"/>
          <w:b/>
          <w:bCs/>
          <w:i/>
          <w:iCs/>
        </w:rPr>
      </w:pPr>
      <w:r>
        <w:rPr>
          <w:rFonts w:ascii="Palatino Linotype" w:hAnsi="Palatino Linotype" w:cs="Arial"/>
          <w:b/>
          <w:bCs/>
          <w:i/>
          <w:iCs/>
        </w:rPr>
        <w:t>“</w:t>
      </w:r>
      <w:r w:rsidRPr="0050182F">
        <w:rPr>
          <w:rFonts w:ascii="Palatino Linotype" w:hAnsi="Palatino Linotype" w:cs="Arial"/>
          <w:b/>
          <w:bCs/>
          <w:i/>
          <w:iCs/>
        </w:rPr>
        <w:t>TÍTULO DÉCIMO CUARTO</w:t>
      </w:r>
    </w:p>
    <w:p w14:paraId="489C6565" w14:textId="0A628EAE" w:rsidR="0050182F" w:rsidRPr="0050182F" w:rsidRDefault="0050182F" w:rsidP="0050182F">
      <w:pPr>
        <w:autoSpaceDE w:val="0"/>
        <w:autoSpaceDN w:val="0"/>
        <w:adjustRightInd w:val="0"/>
        <w:spacing w:before="240" w:line="360" w:lineRule="auto"/>
        <w:ind w:left="851" w:right="851"/>
        <w:jc w:val="center"/>
        <w:rPr>
          <w:rFonts w:ascii="Palatino Linotype" w:hAnsi="Palatino Linotype" w:cs="Arial"/>
          <w:b/>
          <w:bCs/>
          <w:i/>
          <w:iCs/>
        </w:rPr>
      </w:pPr>
      <w:r w:rsidRPr="0050182F">
        <w:rPr>
          <w:rFonts w:ascii="Palatino Linotype" w:hAnsi="Palatino Linotype" w:cs="Arial"/>
          <w:b/>
          <w:bCs/>
          <w:i/>
          <w:iCs/>
        </w:rPr>
        <w:t>DE LA ACTIVIDAD INDUSTRIAL, COMERCIAL Y DE SERVICIOS</w:t>
      </w:r>
    </w:p>
    <w:p w14:paraId="6A502B74" w14:textId="3FE31282" w:rsidR="0050182F" w:rsidRPr="0050182F" w:rsidRDefault="0050182F" w:rsidP="0050182F">
      <w:pPr>
        <w:autoSpaceDE w:val="0"/>
        <w:autoSpaceDN w:val="0"/>
        <w:adjustRightInd w:val="0"/>
        <w:spacing w:before="240" w:line="360" w:lineRule="auto"/>
        <w:ind w:left="851" w:right="851"/>
        <w:jc w:val="center"/>
        <w:rPr>
          <w:rFonts w:ascii="Palatino Linotype" w:hAnsi="Palatino Linotype" w:cs="Arial"/>
          <w:b/>
          <w:bCs/>
          <w:i/>
          <w:iCs/>
        </w:rPr>
      </w:pPr>
      <w:r w:rsidRPr="0050182F">
        <w:rPr>
          <w:rFonts w:ascii="Palatino Linotype" w:hAnsi="Palatino Linotype" w:cs="Arial"/>
          <w:b/>
          <w:bCs/>
          <w:i/>
          <w:iCs/>
        </w:rPr>
        <w:t>CAPÍTULO I DE LAS ACTIVIDADES COMERCIALES</w:t>
      </w:r>
    </w:p>
    <w:p w14:paraId="5A69E869" w14:textId="5C6EC1FD" w:rsidR="0050182F" w:rsidRPr="0050182F" w:rsidRDefault="0050182F" w:rsidP="0050182F">
      <w:pPr>
        <w:autoSpaceDE w:val="0"/>
        <w:autoSpaceDN w:val="0"/>
        <w:adjustRightInd w:val="0"/>
        <w:spacing w:before="240" w:line="360" w:lineRule="auto"/>
        <w:ind w:left="851" w:right="851"/>
        <w:jc w:val="both"/>
        <w:rPr>
          <w:rFonts w:ascii="Palatino Linotype" w:hAnsi="Palatino Linotype" w:cs="Arial"/>
          <w:i/>
          <w:iCs/>
        </w:rPr>
      </w:pPr>
    </w:p>
    <w:p w14:paraId="7D071279" w14:textId="77777777" w:rsidR="00D75839" w:rsidRPr="0050182F" w:rsidRDefault="00D75839" w:rsidP="0050182F">
      <w:pPr>
        <w:autoSpaceDE w:val="0"/>
        <w:autoSpaceDN w:val="0"/>
        <w:adjustRightInd w:val="0"/>
        <w:spacing w:before="240" w:line="360" w:lineRule="auto"/>
        <w:ind w:left="851" w:right="851"/>
        <w:jc w:val="both"/>
        <w:rPr>
          <w:rFonts w:ascii="Palatino Linotype" w:hAnsi="Palatino Linotype"/>
          <w:i/>
          <w:iCs/>
        </w:rPr>
      </w:pPr>
      <w:r w:rsidRPr="0050182F">
        <w:rPr>
          <w:rFonts w:ascii="Palatino Linotype" w:hAnsi="Palatino Linotype"/>
          <w:i/>
          <w:iCs/>
        </w:rPr>
        <w:lastRenderedPageBreak/>
        <w:t xml:space="preserve">Artículo 249. El Ayuntamiento, a través de la Jefatura de Reglamentos y vía pública, está facultado para regular el establecimiento de comerciantes fijos, semifijos, tianguistas y ambulantes que obstruyan la circulación de vehículos sobre la Vía Pública o el paso de peatones sobre las banquetas y pasillos. </w:t>
      </w:r>
    </w:p>
    <w:p w14:paraId="4AFA8F34" w14:textId="0A776755" w:rsidR="000740DB" w:rsidRPr="0050182F" w:rsidRDefault="00D75839" w:rsidP="0050182F">
      <w:pPr>
        <w:autoSpaceDE w:val="0"/>
        <w:autoSpaceDN w:val="0"/>
        <w:adjustRightInd w:val="0"/>
        <w:spacing w:before="240" w:line="360" w:lineRule="auto"/>
        <w:ind w:left="851" w:right="851"/>
        <w:jc w:val="both"/>
        <w:rPr>
          <w:rFonts w:ascii="Palatino Linotype" w:hAnsi="Palatino Linotype"/>
          <w:b/>
          <w:bCs/>
          <w:i/>
          <w:iCs/>
          <w:u w:val="single"/>
        </w:rPr>
      </w:pPr>
      <w:r w:rsidRPr="0050182F">
        <w:rPr>
          <w:rFonts w:ascii="Palatino Linotype" w:hAnsi="Palatino Linotype"/>
          <w:b/>
          <w:bCs/>
          <w:i/>
          <w:iCs/>
          <w:u w:val="single"/>
        </w:rPr>
        <w:t xml:space="preserve">Artículo 250. La Jefatura de Reglamentos y vía pública, inspeccionará, verificará, revisará y regulará que los comerciantes de los tianguis, mercados y centros de abasto del territorio </w:t>
      </w:r>
      <w:proofErr w:type="gramStart"/>
      <w:r w:rsidRPr="0050182F">
        <w:rPr>
          <w:rFonts w:ascii="Palatino Linotype" w:hAnsi="Palatino Linotype"/>
          <w:b/>
          <w:bCs/>
          <w:i/>
          <w:iCs/>
          <w:u w:val="single"/>
        </w:rPr>
        <w:t>municipal,</w:t>
      </w:r>
      <w:proofErr w:type="gramEnd"/>
      <w:r w:rsidRPr="0050182F">
        <w:rPr>
          <w:rFonts w:ascii="Palatino Linotype" w:hAnsi="Palatino Linotype"/>
          <w:b/>
          <w:bCs/>
          <w:i/>
          <w:iCs/>
          <w:u w:val="single"/>
        </w:rPr>
        <w:t xml:space="preserve"> cumplan con las obligaciones y condiciones que les impone este Bando, los Reglamentos y las demás disposiciones Municipales</w:t>
      </w:r>
    </w:p>
    <w:p w14:paraId="21C3D54A" w14:textId="77777777" w:rsidR="0050182F" w:rsidRPr="0050182F" w:rsidRDefault="0050182F" w:rsidP="0050182F">
      <w:pPr>
        <w:autoSpaceDE w:val="0"/>
        <w:autoSpaceDN w:val="0"/>
        <w:adjustRightInd w:val="0"/>
        <w:spacing w:before="240" w:line="360" w:lineRule="auto"/>
        <w:ind w:left="851" w:right="851"/>
        <w:jc w:val="both"/>
        <w:rPr>
          <w:rFonts w:ascii="Palatino Linotype" w:hAnsi="Palatino Linotype"/>
          <w:b/>
          <w:bCs/>
          <w:i/>
          <w:iCs/>
          <w:u w:val="single"/>
        </w:rPr>
      </w:pPr>
    </w:p>
    <w:p w14:paraId="09139912" w14:textId="144DE1AA" w:rsidR="0050182F" w:rsidRPr="0050182F" w:rsidRDefault="0050182F" w:rsidP="0050182F">
      <w:pPr>
        <w:autoSpaceDE w:val="0"/>
        <w:autoSpaceDN w:val="0"/>
        <w:adjustRightInd w:val="0"/>
        <w:spacing w:before="240" w:line="360" w:lineRule="auto"/>
        <w:ind w:left="851" w:right="851"/>
        <w:jc w:val="center"/>
        <w:rPr>
          <w:rFonts w:ascii="Palatino Linotype" w:hAnsi="Palatino Linotype" w:cs="Arial"/>
          <w:b/>
          <w:bCs/>
          <w:i/>
          <w:iCs/>
          <w:u w:val="single"/>
        </w:rPr>
      </w:pPr>
      <w:r w:rsidRPr="0050182F">
        <w:rPr>
          <w:rFonts w:ascii="Palatino Linotype" w:hAnsi="Palatino Linotype"/>
          <w:b/>
          <w:bCs/>
          <w:i/>
          <w:iCs/>
          <w:u w:val="single"/>
        </w:rPr>
        <w:t>CAPÍTULO III DE REGLAMENTOS Y VÍA PÚBLICA</w:t>
      </w:r>
    </w:p>
    <w:p w14:paraId="0CFD363B" w14:textId="65E07CEE" w:rsidR="000740DB" w:rsidRPr="0050182F" w:rsidRDefault="00D75839" w:rsidP="0050182F">
      <w:pPr>
        <w:autoSpaceDE w:val="0"/>
        <w:autoSpaceDN w:val="0"/>
        <w:adjustRightInd w:val="0"/>
        <w:spacing w:before="240" w:line="360" w:lineRule="auto"/>
        <w:ind w:left="851" w:right="851"/>
        <w:jc w:val="both"/>
        <w:rPr>
          <w:rFonts w:ascii="Palatino Linotype" w:hAnsi="Palatino Linotype"/>
          <w:i/>
          <w:iCs/>
        </w:rPr>
      </w:pPr>
      <w:r w:rsidRPr="0050182F">
        <w:rPr>
          <w:rFonts w:ascii="Palatino Linotype" w:hAnsi="Palatino Linotype"/>
          <w:i/>
          <w:iCs/>
        </w:rPr>
        <w:t>Artículo 252. Toda actividad comercial, industrial, de construcción, profesional o de servicios que realicen los particulares o los organismos públicos requieren permiso o autorización, cédula, licencia provisional de funcionamiento para negocios de bajo riesgo, licencia o permiso temporal, las cuales deberán sujetarse a las disposiciones del Código Financiero del Estado de México y las establecidas en las leyes y los reglamentos respectivos, previo al pago de derechos estipulados en las normatividades. En caso de omitir esta disposición se impondrán las sanciones correspondientes.</w:t>
      </w:r>
    </w:p>
    <w:p w14:paraId="702596D1" w14:textId="70DA2E34" w:rsidR="00D75839" w:rsidRPr="0050182F" w:rsidRDefault="00D75839" w:rsidP="0050182F">
      <w:pPr>
        <w:autoSpaceDE w:val="0"/>
        <w:autoSpaceDN w:val="0"/>
        <w:adjustRightInd w:val="0"/>
        <w:spacing w:before="240" w:line="360" w:lineRule="auto"/>
        <w:ind w:left="851" w:right="851"/>
        <w:jc w:val="both"/>
        <w:rPr>
          <w:rFonts w:ascii="Palatino Linotype" w:hAnsi="Palatino Linotype"/>
          <w:b/>
          <w:bCs/>
          <w:i/>
          <w:iCs/>
          <w:u w:val="single"/>
        </w:rPr>
      </w:pPr>
      <w:r w:rsidRPr="0050182F">
        <w:rPr>
          <w:rFonts w:ascii="Palatino Linotype" w:hAnsi="Palatino Linotype"/>
          <w:b/>
          <w:bCs/>
          <w:i/>
          <w:iCs/>
          <w:u w:val="single"/>
        </w:rPr>
        <w:t>Artículo 255. Las Autoridades Municipales están facultadas para instruir los procedimientos administrativos correspondientes, así como sancionar a todas personas físicas o morales que infrinjan las anteriores disposiciones administrativas de observancia general.</w:t>
      </w:r>
    </w:p>
    <w:p w14:paraId="0677DC2E" w14:textId="75BBE53C" w:rsidR="0050182F" w:rsidRPr="0050182F" w:rsidRDefault="0050182F" w:rsidP="0050182F">
      <w:pPr>
        <w:autoSpaceDE w:val="0"/>
        <w:autoSpaceDN w:val="0"/>
        <w:adjustRightInd w:val="0"/>
        <w:spacing w:before="240" w:line="360" w:lineRule="auto"/>
        <w:ind w:left="851" w:right="851"/>
        <w:jc w:val="center"/>
        <w:rPr>
          <w:rFonts w:ascii="Palatino Linotype" w:hAnsi="Palatino Linotype"/>
          <w:b/>
          <w:bCs/>
          <w:i/>
          <w:iCs/>
          <w:u w:val="single"/>
        </w:rPr>
      </w:pPr>
      <w:r w:rsidRPr="0050182F">
        <w:rPr>
          <w:rFonts w:ascii="Palatino Linotype" w:hAnsi="Palatino Linotype"/>
          <w:b/>
          <w:bCs/>
          <w:i/>
          <w:iCs/>
        </w:rPr>
        <w:lastRenderedPageBreak/>
        <w:t>CAPÍTULO IV DEL FUNCIONAMIENTO DE ESTABLECIMIENTOS COMERCIALES, INDUSTRIALES Y DE SERVICIOS</w:t>
      </w:r>
    </w:p>
    <w:p w14:paraId="5DFD4B1A" w14:textId="73D9EE6A" w:rsidR="0050182F" w:rsidRPr="0050182F" w:rsidRDefault="0050182F" w:rsidP="0050182F">
      <w:pPr>
        <w:autoSpaceDE w:val="0"/>
        <w:autoSpaceDN w:val="0"/>
        <w:adjustRightInd w:val="0"/>
        <w:spacing w:before="240" w:line="360" w:lineRule="auto"/>
        <w:ind w:left="851" w:right="851"/>
        <w:jc w:val="both"/>
        <w:rPr>
          <w:rFonts w:ascii="Palatino Linotype" w:hAnsi="Palatino Linotype"/>
          <w:i/>
          <w:iCs/>
        </w:rPr>
      </w:pPr>
      <w:r w:rsidRPr="0050182F">
        <w:rPr>
          <w:rFonts w:ascii="Palatino Linotype" w:hAnsi="Palatino Linotype"/>
          <w:i/>
          <w:iCs/>
        </w:rPr>
        <w:t xml:space="preserve">Artículo 267. El Ayuntamiento a través de la Jefatura de Reglamentos y Vía Pública, </w:t>
      </w:r>
      <w:proofErr w:type="gramStart"/>
      <w:r w:rsidRPr="0050182F">
        <w:rPr>
          <w:rFonts w:ascii="Palatino Linotype" w:hAnsi="Palatino Linotype"/>
          <w:i/>
          <w:iCs/>
        </w:rPr>
        <w:t>otorgará  licencia</w:t>
      </w:r>
      <w:proofErr w:type="gramEnd"/>
      <w:r w:rsidRPr="0050182F">
        <w:rPr>
          <w:rFonts w:ascii="Palatino Linotype" w:hAnsi="Palatino Linotype"/>
          <w:i/>
          <w:iCs/>
        </w:rPr>
        <w:t>, cédula, licencia provisional de funcionamiento para negocios de bajo riesgo, permiso o autorización para la operación de los establecimientos comerciales, industriales y de servicios conforme a las disposiciones que establece el Reglamento vigente.</w:t>
      </w:r>
    </w:p>
    <w:p w14:paraId="3E3DA885" w14:textId="27099678" w:rsidR="0050182F" w:rsidRDefault="0050182F" w:rsidP="0050182F">
      <w:pPr>
        <w:autoSpaceDE w:val="0"/>
        <w:autoSpaceDN w:val="0"/>
        <w:adjustRightInd w:val="0"/>
        <w:spacing w:before="240" w:line="360" w:lineRule="auto"/>
        <w:ind w:left="851" w:right="851"/>
        <w:jc w:val="both"/>
        <w:rPr>
          <w:rFonts w:ascii="Palatino Linotype" w:hAnsi="Palatino Linotype"/>
          <w:i/>
          <w:iCs/>
        </w:rPr>
      </w:pPr>
      <w:r w:rsidRPr="0050182F">
        <w:rPr>
          <w:rFonts w:ascii="Palatino Linotype" w:hAnsi="Palatino Linotype"/>
          <w:i/>
          <w:iCs/>
        </w:rPr>
        <w:t>Artículo 278. La inspección de los establecimientos y giros comerciales a que se refiere este capítulo se realizará por la Dirección de Reglamentos y Vía Pública, conforme al procedimiento que establece el Reglamento Municipal respectivo.</w:t>
      </w:r>
    </w:p>
    <w:p w14:paraId="1D976D48" w14:textId="77777777" w:rsidR="00AD1580" w:rsidRDefault="00AD1580" w:rsidP="0050182F">
      <w:pPr>
        <w:autoSpaceDE w:val="0"/>
        <w:autoSpaceDN w:val="0"/>
        <w:adjustRightInd w:val="0"/>
        <w:spacing w:before="240" w:line="360" w:lineRule="auto"/>
        <w:ind w:left="851" w:right="851"/>
        <w:jc w:val="both"/>
      </w:pPr>
    </w:p>
    <w:p w14:paraId="35DE39E2" w14:textId="76FCECFE" w:rsidR="00AD1580" w:rsidRPr="001602D7" w:rsidRDefault="001602D7" w:rsidP="001602D7">
      <w:pPr>
        <w:autoSpaceDE w:val="0"/>
        <w:autoSpaceDN w:val="0"/>
        <w:adjustRightInd w:val="0"/>
        <w:spacing w:before="240" w:line="360" w:lineRule="auto"/>
        <w:ind w:left="851" w:right="851"/>
        <w:jc w:val="center"/>
        <w:rPr>
          <w:rFonts w:ascii="Palatino Linotype" w:hAnsi="Palatino Linotype"/>
          <w:b/>
          <w:bCs/>
          <w:i/>
          <w:iCs/>
        </w:rPr>
      </w:pPr>
      <w:r w:rsidRPr="001602D7">
        <w:rPr>
          <w:rFonts w:ascii="Palatino Linotype" w:hAnsi="Palatino Linotype"/>
          <w:b/>
          <w:bCs/>
          <w:i/>
          <w:iCs/>
        </w:rPr>
        <w:t>TÍTULO VIGÉSIMO DE LA JUSTICIA ADMINISTRATIVA MUNICIPAL</w:t>
      </w:r>
    </w:p>
    <w:p w14:paraId="4C02F54F" w14:textId="4B675B72" w:rsidR="00AD1580" w:rsidRPr="001602D7" w:rsidRDefault="001602D7" w:rsidP="001602D7">
      <w:pPr>
        <w:autoSpaceDE w:val="0"/>
        <w:autoSpaceDN w:val="0"/>
        <w:adjustRightInd w:val="0"/>
        <w:spacing w:before="240" w:line="360" w:lineRule="auto"/>
        <w:ind w:left="851" w:right="851"/>
        <w:jc w:val="center"/>
        <w:rPr>
          <w:rFonts w:ascii="Palatino Linotype" w:hAnsi="Palatino Linotype"/>
          <w:b/>
          <w:bCs/>
          <w:i/>
          <w:iCs/>
        </w:rPr>
      </w:pPr>
      <w:r w:rsidRPr="001602D7">
        <w:rPr>
          <w:rFonts w:ascii="Palatino Linotype" w:hAnsi="Palatino Linotype"/>
          <w:b/>
          <w:bCs/>
          <w:i/>
          <w:iCs/>
        </w:rPr>
        <w:t>CAPÍTULO II DE LA OFICIALÍA CALIFICADORA</w:t>
      </w:r>
    </w:p>
    <w:p w14:paraId="4B2004EF" w14:textId="77777777" w:rsidR="00AD1580" w:rsidRPr="001602D7" w:rsidRDefault="00AD1580" w:rsidP="0050182F">
      <w:pPr>
        <w:autoSpaceDE w:val="0"/>
        <w:autoSpaceDN w:val="0"/>
        <w:adjustRightInd w:val="0"/>
        <w:spacing w:before="240" w:line="360" w:lineRule="auto"/>
        <w:ind w:left="851" w:right="851"/>
        <w:jc w:val="both"/>
        <w:rPr>
          <w:rFonts w:ascii="Palatino Linotype" w:hAnsi="Palatino Linotype"/>
          <w:i/>
          <w:iCs/>
        </w:rPr>
      </w:pPr>
      <w:r w:rsidRPr="001602D7">
        <w:rPr>
          <w:rFonts w:ascii="Palatino Linotype" w:hAnsi="Palatino Linotype"/>
          <w:i/>
          <w:iCs/>
        </w:rPr>
        <w:t>Artículo 416. El Oficial Calificador tendrá las siguientes atribuciones:</w:t>
      </w:r>
    </w:p>
    <w:p w14:paraId="4789347E" w14:textId="266A2D34" w:rsidR="00AD1580" w:rsidRPr="001602D7" w:rsidRDefault="00AD1580" w:rsidP="0050182F">
      <w:pPr>
        <w:autoSpaceDE w:val="0"/>
        <w:autoSpaceDN w:val="0"/>
        <w:adjustRightInd w:val="0"/>
        <w:spacing w:before="240" w:line="360" w:lineRule="auto"/>
        <w:ind w:left="851" w:right="851"/>
        <w:jc w:val="both"/>
        <w:rPr>
          <w:rFonts w:ascii="Palatino Linotype" w:hAnsi="Palatino Linotype"/>
          <w:i/>
          <w:iCs/>
        </w:rPr>
      </w:pPr>
      <w:r w:rsidRPr="001602D7">
        <w:rPr>
          <w:rFonts w:ascii="Palatino Linotype" w:hAnsi="Palatino Linotype"/>
          <w:b/>
          <w:bCs/>
          <w:i/>
          <w:iCs/>
          <w:u w:val="single"/>
        </w:rPr>
        <w:t xml:space="preserve"> I. Conocer, calificar e imponer las sanciones administrativas Municipales que procedan por faltas o infracciones al Bando Municipal</w:t>
      </w:r>
      <w:r w:rsidRPr="001602D7">
        <w:rPr>
          <w:rFonts w:ascii="Palatino Linotype" w:hAnsi="Palatino Linotype"/>
          <w:i/>
          <w:iCs/>
        </w:rPr>
        <w:t>, Reglamentos y demás disposiciones de carácter general contenidas en los ordenamientos expedidos por el Ayuntamiento, y aquellas que deriven con motivo de la aplicación del Libro Octavo del Código Administrativo del Estado de México, excepto las de carácter fiscal;</w:t>
      </w:r>
    </w:p>
    <w:p w14:paraId="5254D857" w14:textId="0E5668C2" w:rsidR="00AD1580" w:rsidRPr="001602D7" w:rsidRDefault="00AD1580" w:rsidP="0050182F">
      <w:pPr>
        <w:autoSpaceDE w:val="0"/>
        <w:autoSpaceDN w:val="0"/>
        <w:adjustRightInd w:val="0"/>
        <w:spacing w:before="240" w:line="360" w:lineRule="auto"/>
        <w:ind w:left="851" w:right="851"/>
        <w:jc w:val="both"/>
        <w:rPr>
          <w:rFonts w:ascii="Palatino Linotype" w:hAnsi="Palatino Linotype"/>
          <w:b/>
          <w:bCs/>
          <w:i/>
          <w:iCs/>
        </w:rPr>
      </w:pPr>
      <w:r w:rsidRPr="001602D7">
        <w:rPr>
          <w:rFonts w:ascii="Palatino Linotype" w:hAnsi="Palatino Linotype"/>
          <w:b/>
          <w:bCs/>
          <w:i/>
          <w:iCs/>
        </w:rPr>
        <w:t>(…)</w:t>
      </w:r>
    </w:p>
    <w:p w14:paraId="23FD8D48" w14:textId="48961537" w:rsidR="00AD1580" w:rsidRPr="001602D7" w:rsidRDefault="00AD1580" w:rsidP="0050182F">
      <w:pPr>
        <w:autoSpaceDE w:val="0"/>
        <w:autoSpaceDN w:val="0"/>
        <w:adjustRightInd w:val="0"/>
        <w:spacing w:before="240" w:line="360" w:lineRule="auto"/>
        <w:ind w:left="851" w:right="851"/>
        <w:jc w:val="both"/>
        <w:rPr>
          <w:rFonts w:ascii="Palatino Linotype" w:hAnsi="Palatino Linotype"/>
          <w:b/>
          <w:bCs/>
          <w:i/>
          <w:iCs/>
        </w:rPr>
      </w:pPr>
    </w:p>
    <w:p w14:paraId="637CBDCB" w14:textId="5998BE39" w:rsidR="001602D7" w:rsidRPr="001602D7" w:rsidRDefault="001602D7" w:rsidP="001602D7">
      <w:pPr>
        <w:autoSpaceDE w:val="0"/>
        <w:autoSpaceDN w:val="0"/>
        <w:adjustRightInd w:val="0"/>
        <w:spacing w:before="240" w:line="360" w:lineRule="auto"/>
        <w:ind w:left="851" w:right="851"/>
        <w:jc w:val="center"/>
        <w:rPr>
          <w:rFonts w:ascii="Palatino Linotype" w:hAnsi="Palatino Linotype"/>
          <w:b/>
          <w:bCs/>
          <w:i/>
          <w:iCs/>
        </w:rPr>
      </w:pPr>
      <w:r w:rsidRPr="001602D7">
        <w:rPr>
          <w:rFonts w:ascii="Palatino Linotype" w:hAnsi="Palatino Linotype"/>
          <w:b/>
          <w:bCs/>
          <w:i/>
          <w:iCs/>
        </w:rPr>
        <w:lastRenderedPageBreak/>
        <w:t>CAPÍTULO III DE LAS MEDIDAS DE APREMIO</w:t>
      </w:r>
    </w:p>
    <w:p w14:paraId="4B957D96" w14:textId="77777777" w:rsidR="001602D7" w:rsidRPr="001602D7" w:rsidRDefault="007E5D23" w:rsidP="0050182F">
      <w:pPr>
        <w:autoSpaceDE w:val="0"/>
        <w:autoSpaceDN w:val="0"/>
        <w:adjustRightInd w:val="0"/>
        <w:spacing w:before="240" w:line="360" w:lineRule="auto"/>
        <w:ind w:left="851" w:right="851"/>
        <w:jc w:val="both"/>
        <w:rPr>
          <w:rFonts w:ascii="Palatino Linotype" w:hAnsi="Palatino Linotype"/>
          <w:i/>
          <w:iCs/>
        </w:rPr>
      </w:pPr>
      <w:r w:rsidRPr="001602D7">
        <w:rPr>
          <w:rFonts w:ascii="Palatino Linotype" w:hAnsi="Palatino Linotype"/>
          <w:i/>
          <w:iCs/>
        </w:rPr>
        <w:t>Artículo 422. La Autoridad Administrativa Municipal para hacer cumplir sus determinaciones o imponer el orden podrá, según la gravedad de falta hacer uso de alguno de los siguientes medios de apremio y medidas disciplinarias:</w:t>
      </w:r>
    </w:p>
    <w:p w14:paraId="30429E34" w14:textId="06BC0830"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i/>
          <w:iCs/>
          <w:sz w:val="22"/>
          <w:szCs w:val="22"/>
        </w:rPr>
      </w:pPr>
      <w:r w:rsidRPr="001602D7">
        <w:rPr>
          <w:rFonts w:ascii="Palatino Linotype" w:hAnsi="Palatino Linotype"/>
          <w:i/>
          <w:iCs/>
          <w:sz w:val="22"/>
          <w:szCs w:val="22"/>
        </w:rPr>
        <w:t xml:space="preserve">Apercibimiento; </w:t>
      </w:r>
    </w:p>
    <w:p w14:paraId="237537F5" w14:textId="3AC62119"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rPr>
      </w:pPr>
      <w:r w:rsidRPr="001602D7">
        <w:rPr>
          <w:rFonts w:ascii="Palatino Linotype" w:hAnsi="Palatino Linotype"/>
          <w:i/>
          <w:iCs/>
          <w:sz w:val="22"/>
          <w:szCs w:val="22"/>
        </w:rPr>
        <w:t>Amonestación;</w:t>
      </w:r>
    </w:p>
    <w:p w14:paraId="3C66465D" w14:textId="3FCB3E77"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rPr>
      </w:pPr>
      <w:r w:rsidRPr="001602D7">
        <w:rPr>
          <w:rFonts w:ascii="Palatino Linotype" w:hAnsi="Palatino Linotype"/>
          <w:i/>
          <w:iCs/>
          <w:sz w:val="22"/>
          <w:szCs w:val="22"/>
        </w:rPr>
        <w:t xml:space="preserve"> Multa;</w:t>
      </w:r>
    </w:p>
    <w:p w14:paraId="14DEF03E" w14:textId="7751268F"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u w:val="single"/>
        </w:rPr>
      </w:pPr>
      <w:r w:rsidRPr="001602D7">
        <w:rPr>
          <w:rFonts w:ascii="Palatino Linotype" w:hAnsi="Palatino Linotype"/>
          <w:b/>
          <w:bCs/>
          <w:i/>
          <w:iCs/>
          <w:sz w:val="22"/>
          <w:szCs w:val="22"/>
          <w:u w:val="single"/>
        </w:rPr>
        <w:t xml:space="preserve"> </w:t>
      </w:r>
      <w:r w:rsidR="001602D7" w:rsidRPr="001602D7">
        <w:rPr>
          <w:rFonts w:ascii="Palatino Linotype" w:hAnsi="Palatino Linotype"/>
          <w:b/>
          <w:bCs/>
          <w:i/>
          <w:iCs/>
          <w:sz w:val="22"/>
          <w:szCs w:val="22"/>
          <w:u w:val="single"/>
        </w:rPr>
        <w:t>S</w:t>
      </w:r>
      <w:r w:rsidRPr="001602D7">
        <w:rPr>
          <w:rFonts w:ascii="Palatino Linotype" w:hAnsi="Palatino Linotype"/>
          <w:b/>
          <w:bCs/>
          <w:i/>
          <w:iCs/>
          <w:sz w:val="22"/>
          <w:szCs w:val="22"/>
          <w:u w:val="single"/>
        </w:rPr>
        <w:t>uspensión;</w:t>
      </w:r>
    </w:p>
    <w:p w14:paraId="3EFE72EC" w14:textId="23762800"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rPr>
      </w:pPr>
      <w:r w:rsidRPr="001602D7">
        <w:rPr>
          <w:rFonts w:ascii="Palatino Linotype" w:hAnsi="Palatino Linotype"/>
          <w:i/>
          <w:iCs/>
          <w:sz w:val="22"/>
          <w:szCs w:val="22"/>
        </w:rPr>
        <w:t xml:space="preserve"> Clausura; </w:t>
      </w:r>
    </w:p>
    <w:p w14:paraId="03ADDFF7" w14:textId="5DBF9B9C"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rPr>
      </w:pPr>
      <w:r w:rsidRPr="001602D7">
        <w:rPr>
          <w:rFonts w:ascii="Palatino Linotype" w:hAnsi="Palatino Linotype"/>
          <w:i/>
          <w:iCs/>
          <w:sz w:val="22"/>
          <w:szCs w:val="22"/>
        </w:rPr>
        <w:t xml:space="preserve">Arresto administrativo; </w:t>
      </w:r>
    </w:p>
    <w:p w14:paraId="7D44CE24" w14:textId="58441B85" w:rsidR="001602D7"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rPr>
      </w:pPr>
      <w:r w:rsidRPr="001602D7">
        <w:rPr>
          <w:rFonts w:ascii="Palatino Linotype" w:hAnsi="Palatino Linotype"/>
          <w:i/>
          <w:iCs/>
          <w:sz w:val="22"/>
          <w:szCs w:val="22"/>
        </w:rPr>
        <w:t xml:space="preserve">Reparación del daño, y </w:t>
      </w:r>
    </w:p>
    <w:p w14:paraId="40B8C21C" w14:textId="7A03105E" w:rsidR="007E5D23" w:rsidRPr="001602D7" w:rsidRDefault="007E5D23" w:rsidP="00E2053B">
      <w:pPr>
        <w:pStyle w:val="Prrafodelista"/>
        <w:numPr>
          <w:ilvl w:val="0"/>
          <w:numId w:val="2"/>
        </w:numPr>
        <w:autoSpaceDE w:val="0"/>
        <w:autoSpaceDN w:val="0"/>
        <w:adjustRightInd w:val="0"/>
        <w:spacing w:before="240" w:line="360" w:lineRule="auto"/>
        <w:ind w:right="851"/>
        <w:jc w:val="both"/>
        <w:rPr>
          <w:rFonts w:ascii="Palatino Linotype" w:hAnsi="Palatino Linotype"/>
          <w:b/>
          <w:bCs/>
          <w:i/>
          <w:iCs/>
          <w:sz w:val="22"/>
          <w:szCs w:val="22"/>
        </w:rPr>
      </w:pPr>
      <w:r w:rsidRPr="001602D7">
        <w:rPr>
          <w:rFonts w:ascii="Palatino Linotype" w:hAnsi="Palatino Linotype"/>
          <w:i/>
          <w:iCs/>
          <w:sz w:val="22"/>
          <w:szCs w:val="22"/>
        </w:rPr>
        <w:t>Las demás que establece la legislación aplicable.</w:t>
      </w:r>
    </w:p>
    <w:p w14:paraId="42A209A1" w14:textId="77777777" w:rsidR="0050182F" w:rsidRDefault="0050182F" w:rsidP="008D1DFF">
      <w:pPr>
        <w:autoSpaceDE w:val="0"/>
        <w:autoSpaceDN w:val="0"/>
        <w:adjustRightInd w:val="0"/>
        <w:spacing w:before="240" w:line="360" w:lineRule="auto"/>
        <w:jc w:val="both"/>
      </w:pPr>
    </w:p>
    <w:p w14:paraId="4E1CCF98" w14:textId="72534F26" w:rsidR="005A13CC" w:rsidRPr="005A13CC" w:rsidRDefault="00D47571" w:rsidP="008D1DFF">
      <w:pPr>
        <w:autoSpaceDE w:val="0"/>
        <w:autoSpaceDN w:val="0"/>
        <w:adjustRightInd w:val="0"/>
        <w:spacing w:before="240" w:line="360" w:lineRule="auto"/>
        <w:jc w:val="both"/>
        <w:rPr>
          <w:rFonts w:ascii="Palatino Linotype" w:hAnsi="Palatino Linotype" w:cs="Arial"/>
          <w:b/>
          <w:bCs/>
          <w:sz w:val="24"/>
          <w:szCs w:val="24"/>
        </w:rPr>
      </w:pPr>
      <w:r>
        <w:rPr>
          <w:rFonts w:ascii="Palatino Linotype" w:hAnsi="Palatino Linotype" w:cs="Arial"/>
          <w:sz w:val="24"/>
          <w:szCs w:val="24"/>
        </w:rPr>
        <w:t>De ahí que deba arribarse a la premisa de que la Jefatura de Reglamentos y Vía Pública</w:t>
      </w:r>
      <w:r w:rsidR="005A13CC">
        <w:rPr>
          <w:rFonts w:ascii="Palatino Linotype" w:hAnsi="Palatino Linotype" w:cs="Arial"/>
          <w:sz w:val="24"/>
          <w:szCs w:val="24"/>
        </w:rPr>
        <w:t xml:space="preserve"> regula todo lo relativo a la actividad comercial</w:t>
      </w:r>
      <w:r w:rsidR="00517889">
        <w:rPr>
          <w:rFonts w:ascii="Palatino Linotype" w:hAnsi="Palatino Linotype" w:cs="Arial"/>
          <w:sz w:val="24"/>
          <w:szCs w:val="24"/>
        </w:rPr>
        <w:t xml:space="preserve"> (fijos, semifijos, tianguis y ambulantes)</w:t>
      </w:r>
      <w:r w:rsidR="005A13CC">
        <w:rPr>
          <w:rFonts w:ascii="Palatino Linotype" w:hAnsi="Palatino Linotype" w:cs="Arial"/>
          <w:sz w:val="24"/>
          <w:szCs w:val="24"/>
        </w:rPr>
        <w:t xml:space="preserve">, industrial y de servicio. Por su parte, la Oficialía Calificadora, Mediadora y Conciliadora conoce, califica e impone sanciones de carácter administrativo por faltas o infracciones al Bando Municipal. </w:t>
      </w:r>
    </w:p>
    <w:p w14:paraId="1B878CAA" w14:textId="56214C46" w:rsidR="00D47571" w:rsidRDefault="0075229E"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w:t>
      </w:r>
      <w:r w:rsidR="00063035">
        <w:rPr>
          <w:rFonts w:ascii="Palatino Linotype" w:hAnsi="Palatino Linotype" w:cs="Arial"/>
          <w:sz w:val="24"/>
          <w:szCs w:val="24"/>
        </w:rPr>
        <w:t xml:space="preserve">, </w:t>
      </w:r>
      <w:r>
        <w:rPr>
          <w:rFonts w:ascii="Palatino Linotype" w:hAnsi="Palatino Linotype" w:cs="Arial"/>
          <w:sz w:val="24"/>
          <w:szCs w:val="24"/>
        </w:rPr>
        <w:t xml:space="preserve">no resulta desapercibido para este Órgano Garante </w:t>
      </w:r>
      <w:r w:rsidR="00063035">
        <w:rPr>
          <w:rFonts w:ascii="Palatino Linotype" w:hAnsi="Palatino Linotype" w:cs="Arial"/>
          <w:sz w:val="24"/>
          <w:szCs w:val="24"/>
        </w:rPr>
        <w:t>el</w:t>
      </w:r>
      <w:r w:rsidR="005A13CC">
        <w:rPr>
          <w:rFonts w:ascii="Palatino Linotype" w:hAnsi="Palatino Linotype" w:cs="Arial"/>
          <w:sz w:val="24"/>
          <w:szCs w:val="24"/>
        </w:rPr>
        <w:t xml:space="preserve"> </w:t>
      </w:r>
      <w:r>
        <w:rPr>
          <w:rFonts w:ascii="Palatino Linotype" w:hAnsi="Palatino Linotype" w:cs="Arial"/>
          <w:sz w:val="24"/>
          <w:szCs w:val="24"/>
        </w:rPr>
        <w:t xml:space="preserve">contenido del </w:t>
      </w:r>
      <w:r w:rsidR="005A13CC">
        <w:rPr>
          <w:rFonts w:ascii="Palatino Linotype" w:hAnsi="Palatino Linotype" w:cs="Arial"/>
          <w:sz w:val="24"/>
          <w:szCs w:val="24"/>
        </w:rPr>
        <w:t>artículo</w:t>
      </w:r>
      <w:r w:rsidR="001602D7">
        <w:rPr>
          <w:rFonts w:ascii="Palatino Linotype" w:hAnsi="Palatino Linotype" w:cs="Arial"/>
          <w:sz w:val="24"/>
          <w:szCs w:val="24"/>
        </w:rPr>
        <w:t xml:space="preserve"> 152 de la Ley General de Salud; </w:t>
      </w:r>
      <w:r w:rsidR="005A13CC">
        <w:rPr>
          <w:rFonts w:ascii="Palatino Linotype" w:hAnsi="Palatino Linotype" w:cs="Arial"/>
          <w:sz w:val="24"/>
          <w:szCs w:val="24"/>
        </w:rPr>
        <w:t>numeral 2.16, fracción XIII del Código Administrativo del Estado de México; así como el artículo 21, fracción VII de la Ley de Competitividad y Ordenamiento Comercial del Estado de México</w:t>
      </w:r>
      <w:r w:rsidR="00063035">
        <w:rPr>
          <w:rFonts w:ascii="Palatino Linotype" w:hAnsi="Palatino Linotype" w:cs="Arial"/>
          <w:sz w:val="24"/>
          <w:szCs w:val="24"/>
        </w:rPr>
        <w:t xml:space="preserve">, porciones normativas que disponen a la literalidad lo siguiente: </w:t>
      </w:r>
    </w:p>
    <w:p w14:paraId="78A49CD5" w14:textId="37C0AF1A" w:rsidR="001602D7" w:rsidRPr="00063035" w:rsidRDefault="00063035" w:rsidP="00063035">
      <w:pPr>
        <w:autoSpaceDE w:val="0"/>
        <w:autoSpaceDN w:val="0"/>
        <w:adjustRightInd w:val="0"/>
        <w:spacing w:before="240" w:line="360" w:lineRule="auto"/>
        <w:ind w:left="851" w:right="851"/>
        <w:jc w:val="center"/>
        <w:rPr>
          <w:rFonts w:ascii="Palatino Linotype" w:hAnsi="Palatino Linotype" w:cs="Arial"/>
          <w:b/>
          <w:bCs/>
          <w:i/>
          <w:iCs/>
        </w:rPr>
      </w:pPr>
      <w:r w:rsidRPr="00063035">
        <w:rPr>
          <w:rFonts w:ascii="Palatino Linotype" w:hAnsi="Palatino Linotype" w:cs="Arial"/>
          <w:b/>
          <w:bCs/>
          <w:i/>
          <w:iCs/>
        </w:rPr>
        <w:t>Ley General de Salud</w:t>
      </w:r>
    </w:p>
    <w:p w14:paraId="48DB0B39" w14:textId="21C35FA0" w:rsidR="001602D7" w:rsidRPr="00063035" w:rsidRDefault="00063035" w:rsidP="00063035">
      <w:pPr>
        <w:autoSpaceDE w:val="0"/>
        <w:autoSpaceDN w:val="0"/>
        <w:adjustRightInd w:val="0"/>
        <w:spacing w:before="240" w:line="360" w:lineRule="auto"/>
        <w:ind w:left="851" w:right="851"/>
        <w:jc w:val="both"/>
        <w:rPr>
          <w:rFonts w:ascii="Palatino Linotype" w:hAnsi="Palatino Linotype" w:cs="Arial"/>
          <w:b/>
          <w:bCs/>
          <w:i/>
          <w:iCs/>
        </w:rPr>
      </w:pPr>
      <w:r w:rsidRPr="00063035">
        <w:rPr>
          <w:rFonts w:ascii="Palatino Linotype" w:hAnsi="Palatino Linotype" w:cs="Arial"/>
          <w:b/>
          <w:bCs/>
          <w:i/>
          <w:iCs/>
          <w:u w:val="single"/>
        </w:rPr>
        <w:t>“</w:t>
      </w:r>
      <w:r w:rsidR="001602D7" w:rsidRPr="00063035">
        <w:rPr>
          <w:rFonts w:ascii="Palatino Linotype" w:hAnsi="Palatino Linotype" w:cs="Arial"/>
          <w:b/>
          <w:bCs/>
          <w:i/>
          <w:iCs/>
          <w:u w:val="single"/>
        </w:rPr>
        <w:t>Artículo 152.-Las autoridades sanitarias podrán ordenar, por causas de epidemia, la clausura temporal de los locales o centros de reunión de cualquier índole.</w:t>
      </w:r>
      <w:r w:rsidRPr="00063035">
        <w:rPr>
          <w:rFonts w:ascii="Palatino Linotype" w:hAnsi="Palatino Linotype" w:cs="Arial"/>
          <w:b/>
          <w:bCs/>
          <w:i/>
          <w:iCs/>
          <w:u w:val="single"/>
        </w:rPr>
        <w:t>”</w:t>
      </w:r>
      <w:r w:rsidRPr="00063035">
        <w:rPr>
          <w:rFonts w:ascii="Palatino Linotype" w:hAnsi="Palatino Linotype" w:cs="Arial"/>
          <w:i/>
          <w:iCs/>
        </w:rPr>
        <w:t xml:space="preserve"> </w:t>
      </w:r>
      <w:r w:rsidRPr="00063035">
        <w:rPr>
          <w:rFonts w:ascii="Palatino Linotype" w:hAnsi="Palatino Linotype" w:cs="Arial"/>
          <w:b/>
          <w:bCs/>
          <w:i/>
          <w:iCs/>
        </w:rPr>
        <w:t>[Sic]</w:t>
      </w:r>
    </w:p>
    <w:p w14:paraId="68296ED2" w14:textId="188D5338" w:rsidR="00063035" w:rsidRPr="00063035" w:rsidRDefault="00063035" w:rsidP="00063035">
      <w:pPr>
        <w:autoSpaceDE w:val="0"/>
        <w:autoSpaceDN w:val="0"/>
        <w:adjustRightInd w:val="0"/>
        <w:spacing w:before="240" w:line="360" w:lineRule="auto"/>
        <w:ind w:left="851" w:right="851"/>
        <w:jc w:val="both"/>
        <w:rPr>
          <w:rFonts w:ascii="Palatino Linotype" w:hAnsi="Palatino Linotype" w:cs="Arial"/>
          <w:i/>
          <w:iCs/>
        </w:rPr>
      </w:pPr>
    </w:p>
    <w:p w14:paraId="00BE5886" w14:textId="2156C39B" w:rsidR="00063035" w:rsidRPr="00063035" w:rsidRDefault="00063035" w:rsidP="00063035">
      <w:pPr>
        <w:autoSpaceDE w:val="0"/>
        <w:autoSpaceDN w:val="0"/>
        <w:adjustRightInd w:val="0"/>
        <w:spacing w:before="240" w:line="360" w:lineRule="auto"/>
        <w:ind w:left="851" w:right="851"/>
        <w:jc w:val="center"/>
        <w:rPr>
          <w:rFonts w:ascii="Palatino Linotype" w:hAnsi="Palatino Linotype" w:cs="Arial"/>
          <w:b/>
          <w:bCs/>
          <w:i/>
          <w:iCs/>
        </w:rPr>
      </w:pPr>
      <w:r w:rsidRPr="00063035">
        <w:rPr>
          <w:rFonts w:ascii="Palatino Linotype" w:hAnsi="Palatino Linotype" w:cs="Arial"/>
          <w:b/>
          <w:bCs/>
          <w:i/>
          <w:iCs/>
        </w:rPr>
        <w:t>Código Administrativo del Estado de México</w:t>
      </w:r>
    </w:p>
    <w:p w14:paraId="6D5E3E9B" w14:textId="6AD86C5C" w:rsidR="001602D7" w:rsidRPr="00063035" w:rsidRDefault="00063035" w:rsidP="00063035">
      <w:pPr>
        <w:autoSpaceDE w:val="0"/>
        <w:autoSpaceDN w:val="0"/>
        <w:adjustRightInd w:val="0"/>
        <w:spacing w:before="240" w:line="360" w:lineRule="auto"/>
        <w:ind w:left="851" w:right="851"/>
        <w:jc w:val="both"/>
        <w:rPr>
          <w:rFonts w:ascii="Palatino Linotype" w:hAnsi="Palatino Linotype"/>
          <w:i/>
          <w:iCs/>
        </w:rPr>
      </w:pPr>
      <w:r w:rsidRPr="00063035">
        <w:rPr>
          <w:rFonts w:ascii="Palatino Linotype" w:hAnsi="Palatino Linotype"/>
          <w:i/>
          <w:iCs/>
        </w:rPr>
        <w:t>“</w:t>
      </w:r>
      <w:r w:rsidR="001602D7" w:rsidRPr="00063035">
        <w:rPr>
          <w:rFonts w:ascii="Palatino Linotype" w:hAnsi="Palatino Linotype"/>
          <w:i/>
          <w:iCs/>
        </w:rPr>
        <w:t>Artículo 2.16. Los servicios de salud que presta el Estado en materia de salubridad general son:</w:t>
      </w:r>
    </w:p>
    <w:p w14:paraId="51580A54" w14:textId="5E3635D9" w:rsidR="001602D7" w:rsidRPr="00063035" w:rsidRDefault="001602D7" w:rsidP="00063035">
      <w:pPr>
        <w:autoSpaceDE w:val="0"/>
        <w:autoSpaceDN w:val="0"/>
        <w:adjustRightInd w:val="0"/>
        <w:spacing w:before="240" w:line="360" w:lineRule="auto"/>
        <w:ind w:left="851" w:right="851"/>
        <w:jc w:val="both"/>
        <w:rPr>
          <w:rFonts w:ascii="Palatino Linotype" w:hAnsi="Palatino Linotype" w:cs="Arial"/>
          <w:i/>
          <w:iCs/>
        </w:rPr>
      </w:pPr>
      <w:r w:rsidRPr="00063035">
        <w:rPr>
          <w:rFonts w:ascii="Palatino Linotype" w:hAnsi="Palatino Linotype"/>
          <w:i/>
          <w:iCs/>
        </w:rPr>
        <w:t>(…)</w:t>
      </w:r>
    </w:p>
    <w:p w14:paraId="4857FDEC" w14:textId="25E25EB7" w:rsidR="001602D7" w:rsidRPr="00063035" w:rsidRDefault="001602D7" w:rsidP="00063035">
      <w:pPr>
        <w:autoSpaceDE w:val="0"/>
        <w:autoSpaceDN w:val="0"/>
        <w:adjustRightInd w:val="0"/>
        <w:spacing w:before="240" w:line="360" w:lineRule="auto"/>
        <w:ind w:left="851" w:right="851"/>
        <w:jc w:val="both"/>
        <w:rPr>
          <w:rFonts w:ascii="Palatino Linotype" w:hAnsi="Palatino Linotype"/>
          <w:i/>
          <w:iCs/>
        </w:rPr>
      </w:pPr>
      <w:r w:rsidRPr="00063035">
        <w:rPr>
          <w:rFonts w:ascii="Palatino Linotype" w:hAnsi="Palatino Linotype"/>
          <w:i/>
          <w:iCs/>
        </w:rPr>
        <w:t>XIII. Prevención y control de enfermedades transmisibles, no transmisibles y de accidentes;</w:t>
      </w:r>
    </w:p>
    <w:p w14:paraId="78584847" w14:textId="08F1FC4C" w:rsidR="00063035" w:rsidRPr="00063035" w:rsidRDefault="00063035" w:rsidP="00063035">
      <w:pPr>
        <w:autoSpaceDE w:val="0"/>
        <w:autoSpaceDN w:val="0"/>
        <w:adjustRightInd w:val="0"/>
        <w:spacing w:before="240" w:line="360" w:lineRule="auto"/>
        <w:ind w:left="851" w:right="851"/>
        <w:jc w:val="both"/>
        <w:rPr>
          <w:rFonts w:ascii="Palatino Linotype" w:hAnsi="Palatino Linotype"/>
          <w:b/>
          <w:bCs/>
          <w:i/>
          <w:iCs/>
        </w:rPr>
      </w:pPr>
      <w:r w:rsidRPr="00063035">
        <w:rPr>
          <w:rFonts w:ascii="Palatino Linotype" w:hAnsi="Palatino Linotype"/>
          <w:i/>
          <w:iCs/>
        </w:rPr>
        <w:t xml:space="preserve">(…)” </w:t>
      </w:r>
      <w:r w:rsidRPr="00063035">
        <w:rPr>
          <w:rFonts w:ascii="Palatino Linotype" w:hAnsi="Palatino Linotype"/>
          <w:b/>
          <w:bCs/>
          <w:i/>
          <w:iCs/>
        </w:rPr>
        <w:t>[Sic]</w:t>
      </w:r>
    </w:p>
    <w:p w14:paraId="4134C4EA" w14:textId="77777777" w:rsidR="001602D7" w:rsidRPr="00063035" w:rsidRDefault="001602D7" w:rsidP="00063035">
      <w:pPr>
        <w:autoSpaceDE w:val="0"/>
        <w:autoSpaceDN w:val="0"/>
        <w:adjustRightInd w:val="0"/>
        <w:spacing w:before="240" w:line="360" w:lineRule="auto"/>
        <w:ind w:left="851" w:right="851"/>
        <w:jc w:val="both"/>
        <w:rPr>
          <w:rFonts w:ascii="Palatino Linotype" w:hAnsi="Palatino Linotype" w:cs="Arial"/>
          <w:i/>
          <w:iCs/>
        </w:rPr>
      </w:pPr>
    </w:p>
    <w:p w14:paraId="4742AAC5" w14:textId="5580868C" w:rsidR="00D47571" w:rsidRPr="00063035" w:rsidRDefault="00AD1580" w:rsidP="00063035">
      <w:pPr>
        <w:autoSpaceDE w:val="0"/>
        <w:autoSpaceDN w:val="0"/>
        <w:adjustRightInd w:val="0"/>
        <w:spacing w:before="240" w:line="360" w:lineRule="auto"/>
        <w:ind w:left="851" w:right="851"/>
        <w:jc w:val="center"/>
        <w:rPr>
          <w:rFonts w:ascii="Palatino Linotype" w:hAnsi="Palatino Linotype" w:cs="Arial"/>
          <w:b/>
          <w:bCs/>
          <w:i/>
          <w:iCs/>
        </w:rPr>
      </w:pPr>
      <w:r w:rsidRPr="00063035">
        <w:rPr>
          <w:rFonts w:ascii="Palatino Linotype" w:hAnsi="Palatino Linotype" w:cs="Arial"/>
          <w:b/>
          <w:bCs/>
          <w:i/>
          <w:iCs/>
        </w:rPr>
        <w:t>Ley de Competitividad y Ordenamiento Comercial del Estado de México</w:t>
      </w:r>
    </w:p>
    <w:p w14:paraId="440FC8FB" w14:textId="28C978DC" w:rsidR="00D47571" w:rsidRPr="00063035" w:rsidRDefault="00063035" w:rsidP="00063035">
      <w:pPr>
        <w:autoSpaceDE w:val="0"/>
        <w:autoSpaceDN w:val="0"/>
        <w:adjustRightInd w:val="0"/>
        <w:spacing w:before="240" w:line="360" w:lineRule="auto"/>
        <w:ind w:left="851" w:right="851"/>
        <w:jc w:val="both"/>
        <w:rPr>
          <w:rFonts w:ascii="Palatino Linotype" w:hAnsi="Palatino Linotype" w:cs="Arial"/>
          <w:i/>
          <w:iCs/>
        </w:rPr>
      </w:pPr>
      <w:r w:rsidRPr="00063035">
        <w:rPr>
          <w:rFonts w:ascii="Palatino Linotype" w:hAnsi="Palatino Linotype" w:cs="Arial"/>
          <w:i/>
          <w:iCs/>
        </w:rPr>
        <w:lastRenderedPageBreak/>
        <w:t>“</w:t>
      </w:r>
      <w:r w:rsidR="00D47571" w:rsidRPr="00063035">
        <w:rPr>
          <w:rFonts w:ascii="Palatino Linotype" w:hAnsi="Palatino Linotype" w:cs="Arial"/>
          <w:i/>
          <w:iCs/>
        </w:rPr>
        <w:t>Artículo 21. Los titulares de las unidades económicas tienen las obligaciones siguientes:</w:t>
      </w:r>
    </w:p>
    <w:p w14:paraId="6EAC50E1" w14:textId="12733DA1" w:rsidR="00D47571" w:rsidRPr="00063035" w:rsidRDefault="00D47571" w:rsidP="00063035">
      <w:pPr>
        <w:autoSpaceDE w:val="0"/>
        <w:autoSpaceDN w:val="0"/>
        <w:adjustRightInd w:val="0"/>
        <w:spacing w:before="240" w:line="360" w:lineRule="auto"/>
        <w:ind w:left="851" w:right="851"/>
        <w:jc w:val="both"/>
        <w:rPr>
          <w:rFonts w:ascii="Palatino Linotype" w:hAnsi="Palatino Linotype" w:cs="Arial"/>
          <w:i/>
          <w:iCs/>
        </w:rPr>
      </w:pPr>
      <w:r w:rsidRPr="00063035">
        <w:rPr>
          <w:rFonts w:ascii="Palatino Linotype" w:hAnsi="Palatino Linotype" w:cs="Arial"/>
          <w:i/>
          <w:iCs/>
        </w:rPr>
        <w:t>(…)</w:t>
      </w:r>
    </w:p>
    <w:p w14:paraId="6A100E6C" w14:textId="79C967B2" w:rsidR="00D47571" w:rsidRPr="00063035" w:rsidRDefault="00D47571" w:rsidP="00063035">
      <w:pPr>
        <w:autoSpaceDE w:val="0"/>
        <w:autoSpaceDN w:val="0"/>
        <w:adjustRightInd w:val="0"/>
        <w:spacing w:before="240" w:line="360" w:lineRule="auto"/>
        <w:ind w:left="851" w:right="851"/>
        <w:jc w:val="both"/>
        <w:rPr>
          <w:rFonts w:ascii="Palatino Linotype" w:hAnsi="Palatino Linotype" w:cs="Arial"/>
          <w:b/>
          <w:bCs/>
          <w:i/>
          <w:iCs/>
          <w:u w:val="single"/>
        </w:rPr>
      </w:pPr>
      <w:r w:rsidRPr="00063035">
        <w:rPr>
          <w:rFonts w:ascii="Palatino Linotype" w:hAnsi="Palatino Linotype" w:cs="Arial"/>
          <w:b/>
          <w:bCs/>
          <w:i/>
          <w:iCs/>
          <w:u w:val="single"/>
        </w:rPr>
        <w:t>VII. Acatar la suspensión de actividades en las fechas y horarios específicos que determinen las autoridades</w:t>
      </w:r>
      <w:r w:rsidR="00AD1580" w:rsidRPr="00063035">
        <w:rPr>
          <w:rFonts w:ascii="Palatino Linotype" w:hAnsi="Palatino Linotype" w:cs="Arial"/>
          <w:b/>
          <w:bCs/>
          <w:i/>
          <w:iCs/>
          <w:u w:val="single"/>
        </w:rPr>
        <w:t>.</w:t>
      </w:r>
    </w:p>
    <w:p w14:paraId="3E9C0DAD" w14:textId="2D533ABF" w:rsidR="00AD1580" w:rsidRPr="00063035" w:rsidRDefault="00AD1580" w:rsidP="00063035">
      <w:pPr>
        <w:autoSpaceDE w:val="0"/>
        <w:autoSpaceDN w:val="0"/>
        <w:adjustRightInd w:val="0"/>
        <w:spacing w:before="240" w:line="360" w:lineRule="auto"/>
        <w:ind w:left="851" w:right="851"/>
        <w:jc w:val="both"/>
        <w:rPr>
          <w:rFonts w:ascii="Palatino Linotype" w:hAnsi="Palatino Linotype" w:cs="Arial"/>
          <w:b/>
          <w:bCs/>
          <w:i/>
          <w:iCs/>
        </w:rPr>
      </w:pPr>
      <w:r w:rsidRPr="00063035">
        <w:rPr>
          <w:rFonts w:ascii="Palatino Linotype" w:hAnsi="Palatino Linotype" w:cs="Arial"/>
          <w:i/>
          <w:iCs/>
        </w:rPr>
        <w:t>(…)</w:t>
      </w:r>
      <w:r w:rsidR="00063035" w:rsidRPr="00063035">
        <w:rPr>
          <w:rFonts w:ascii="Palatino Linotype" w:hAnsi="Palatino Linotype" w:cs="Arial"/>
          <w:i/>
          <w:iCs/>
        </w:rPr>
        <w:t xml:space="preserve">” </w:t>
      </w:r>
      <w:r w:rsidR="00063035" w:rsidRPr="00063035">
        <w:rPr>
          <w:rFonts w:ascii="Palatino Linotype" w:hAnsi="Palatino Linotype" w:cs="Arial"/>
          <w:b/>
          <w:bCs/>
          <w:i/>
          <w:iCs/>
        </w:rPr>
        <w:t>[Sic]</w:t>
      </w:r>
    </w:p>
    <w:p w14:paraId="47A62B89" w14:textId="5677FC7C" w:rsidR="00D47571" w:rsidRDefault="00D47571" w:rsidP="008D1DFF">
      <w:pPr>
        <w:autoSpaceDE w:val="0"/>
        <w:autoSpaceDN w:val="0"/>
        <w:adjustRightInd w:val="0"/>
        <w:spacing w:before="240" w:line="360" w:lineRule="auto"/>
        <w:jc w:val="both"/>
        <w:rPr>
          <w:rFonts w:ascii="Palatino Linotype" w:hAnsi="Palatino Linotype" w:cs="Arial"/>
          <w:sz w:val="24"/>
          <w:szCs w:val="24"/>
        </w:rPr>
      </w:pPr>
    </w:p>
    <w:p w14:paraId="1DEC5F9B" w14:textId="77777777" w:rsidR="0075229E" w:rsidRPr="005A13CC" w:rsidRDefault="0075229E" w:rsidP="0075229E">
      <w:pPr>
        <w:autoSpaceDE w:val="0"/>
        <w:autoSpaceDN w:val="0"/>
        <w:adjustRightInd w:val="0"/>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Luego entonces, debe de arribarse a la conclusión 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genera, posee y administra la información requerida por el particular mediante la solicitud de información </w:t>
      </w:r>
      <w:r>
        <w:rPr>
          <w:rFonts w:ascii="Palatino Linotype" w:hAnsi="Palatino Linotype" w:cs="Arial"/>
          <w:b/>
          <w:bCs/>
          <w:sz w:val="24"/>
          <w:szCs w:val="24"/>
        </w:rPr>
        <w:t xml:space="preserve">00066/ATENCO/IP/2020. </w:t>
      </w:r>
    </w:p>
    <w:p w14:paraId="2816FD61" w14:textId="5DD21E1B" w:rsidR="0075229E" w:rsidRDefault="0039245A"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Una vez sentado lo anterior, como se mencionó en el antecedente segundo, en fecha </w:t>
      </w:r>
      <w:r w:rsidR="00EA5439">
        <w:rPr>
          <w:rFonts w:ascii="Palatino Linotype" w:hAnsi="Palatino Linotype" w:cs="Arial"/>
          <w:noProof/>
          <w:color w:val="000000"/>
          <w:sz w:val="24"/>
          <w:lang w:eastAsia="es-MX"/>
        </w:rPr>
        <w:t xml:space="preserve">quince de junio de dos mil veinte, </w:t>
      </w:r>
      <w:r w:rsidR="00EA5439">
        <w:rPr>
          <w:rFonts w:ascii="Palatino Linotype" w:hAnsi="Palatino Linotype" w:cs="Arial"/>
          <w:b/>
          <w:bCs/>
          <w:noProof/>
          <w:color w:val="000000"/>
          <w:sz w:val="24"/>
          <w:lang w:eastAsia="es-MX"/>
        </w:rPr>
        <w:t xml:space="preserve">El Sujeto Obligado </w:t>
      </w:r>
      <w:r w:rsidR="00EA5439">
        <w:rPr>
          <w:rFonts w:ascii="Palatino Linotype" w:hAnsi="Palatino Linotype" w:cs="Arial"/>
          <w:noProof/>
          <w:color w:val="000000"/>
          <w:sz w:val="24"/>
          <w:lang w:eastAsia="es-MX"/>
        </w:rPr>
        <w:t xml:space="preserve">rindió su respuesta a la solicitud de información formulada por el particular, adjuntando para tal efecto los siguientes soportes documentales: </w:t>
      </w:r>
    </w:p>
    <w:p w14:paraId="60D9C9EC" w14:textId="3E5F2CC5" w:rsidR="00EA5439" w:rsidRDefault="00EA5439" w:rsidP="00E2053B">
      <w:pPr>
        <w:pStyle w:val="Prrafodelista"/>
        <w:numPr>
          <w:ilvl w:val="0"/>
          <w:numId w:val="3"/>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“Solicitante .066.pdf”: </w:t>
      </w:r>
      <w:r>
        <w:rPr>
          <w:rFonts w:ascii="Palatino Linotype" w:hAnsi="Palatino Linotype" w:cs="Arial"/>
          <w:noProof/>
          <w:color w:val="000000"/>
          <w:lang w:eastAsia="es-MX"/>
        </w:rPr>
        <w:t xml:space="preserve">Oficio </w:t>
      </w:r>
      <w:r>
        <w:rPr>
          <w:rFonts w:ascii="Palatino Linotype" w:hAnsi="Palatino Linotype" w:cs="Arial"/>
          <w:b/>
          <w:bCs/>
          <w:noProof/>
          <w:color w:val="000000"/>
          <w:lang w:eastAsia="es-MX"/>
        </w:rPr>
        <w:t xml:space="preserve">PMA/UT/SOL/0053/2020 </w:t>
      </w:r>
      <w:r>
        <w:rPr>
          <w:rFonts w:ascii="Palatino Linotype" w:hAnsi="Palatino Linotype" w:cs="Arial"/>
          <w:noProof/>
          <w:color w:val="000000"/>
          <w:lang w:eastAsia="es-MX"/>
        </w:rPr>
        <w:t>signado por el Titular de la Unidad de Transparencia y dirigido al particular, en lo medular manifiesta adjuntar la respuesta emitida por el Jefe de Reglame</w:t>
      </w:r>
      <w:r w:rsidR="00964B89">
        <w:rPr>
          <w:rFonts w:ascii="Palatino Linotype" w:hAnsi="Palatino Linotype" w:cs="Arial"/>
          <w:noProof/>
          <w:color w:val="000000"/>
          <w:lang w:eastAsia="es-MX"/>
        </w:rPr>
        <w:t>n</w:t>
      </w:r>
      <w:r>
        <w:rPr>
          <w:rFonts w:ascii="Palatino Linotype" w:hAnsi="Palatino Linotype" w:cs="Arial"/>
          <w:noProof/>
          <w:color w:val="000000"/>
          <w:lang w:eastAsia="es-MX"/>
        </w:rPr>
        <w:t xml:space="preserve">tos y Vía Pública; de fecha quince de junio de dos mil veinte. </w:t>
      </w:r>
    </w:p>
    <w:p w14:paraId="143E59F6" w14:textId="63669D41" w:rsidR="00EA5439" w:rsidRPr="002E002A" w:rsidRDefault="00EA5439" w:rsidP="00E2053B">
      <w:pPr>
        <w:pStyle w:val="Prrafodelista"/>
        <w:numPr>
          <w:ilvl w:val="0"/>
          <w:numId w:val="3"/>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“resp. sol.66 reglamentos y vía pública.pdf”: </w:t>
      </w:r>
      <w:r w:rsidR="002E002A">
        <w:rPr>
          <w:rFonts w:ascii="Palatino Linotype" w:hAnsi="Palatino Linotype" w:cs="Arial"/>
          <w:b/>
          <w:bCs/>
          <w:noProof/>
          <w:color w:val="000000"/>
          <w:lang w:eastAsia="es-MX"/>
        </w:rPr>
        <w:t xml:space="preserve"> </w:t>
      </w:r>
      <w:r w:rsidR="002E002A">
        <w:rPr>
          <w:rFonts w:ascii="Palatino Linotype" w:hAnsi="Palatino Linotype" w:cs="Arial"/>
          <w:noProof/>
          <w:color w:val="000000"/>
          <w:lang w:eastAsia="es-MX"/>
        </w:rPr>
        <w:t xml:space="preserve">Compila lo siguiente: </w:t>
      </w:r>
    </w:p>
    <w:p w14:paraId="72ABAF49" w14:textId="503D3F7B" w:rsidR="002E002A" w:rsidRPr="00F15FB1" w:rsidRDefault="002E002A" w:rsidP="00E2053B">
      <w:pPr>
        <w:pStyle w:val="Prrafodelista"/>
        <w:numPr>
          <w:ilvl w:val="0"/>
          <w:numId w:val="4"/>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Oficio RVP/013/2020 </w:t>
      </w:r>
      <w:r>
        <w:rPr>
          <w:rFonts w:ascii="Palatino Linotype" w:hAnsi="Palatino Linotype" w:cs="Arial"/>
          <w:noProof/>
          <w:color w:val="000000"/>
          <w:lang w:eastAsia="es-MX"/>
        </w:rPr>
        <w:t xml:space="preserve">signado por </w:t>
      </w:r>
      <w:r w:rsidR="00F15FB1">
        <w:rPr>
          <w:rFonts w:ascii="Palatino Linotype" w:hAnsi="Palatino Linotype" w:cs="Arial"/>
          <w:noProof/>
          <w:color w:val="000000"/>
          <w:lang w:eastAsia="es-MX"/>
        </w:rPr>
        <w:t xml:space="preserve">el Jefe de Reglamentos y Vía Pública y dirigido al Titular de la Unidad de Transparencia, de fecha once de junio de dos mil veinte, en lo medular resulta de nuestro interés el siguiente extracto:  </w:t>
      </w:r>
    </w:p>
    <w:p w14:paraId="58E40A4F" w14:textId="36D73BB2" w:rsidR="00F15FB1" w:rsidRDefault="00F15FB1" w:rsidP="00F15FB1">
      <w:pPr>
        <w:pStyle w:val="Prrafodelista"/>
        <w:spacing w:line="360" w:lineRule="auto"/>
        <w:ind w:left="1080"/>
        <w:jc w:val="both"/>
        <w:rPr>
          <w:rFonts w:ascii="Palatino Linotype" w:hAnsi="Palatino Linotype" w:cs="Arial"/>
          <w:i/>
          <w:iCs/>
          <w:noProof/>
          <w:color w:val="000000"/>
          <w:lang w:eastAsia="es-MX"/>
        </w:rPr>
      </w:pPr>
      <w:r>
        <w:rPr>
          <w:rFonts w:ascii="Palatino Linotype" w:hAnsi="Palatino Linotype" w:cs="Arial"/>
          <w:i/>
          <w:iCs/>
          <w:noProof/>
          <w:color w:val="000000"/>
          <w:lang w:eastAsia="es-MX"/>
        </w:rPr>
        <w:lastRenderedPageBreak/>
        <w:t>“(…)</w:t>
      </w:r>
    </w:p>
    <w:p w14:paraId="7A19F01B" w14:textId="0FA1B3DE" w:rsidR="00F15FB1" w:rsidRPr="00F15FB1" w:rsidRDefault="00F15FB1" w:rsidP="00F15FB1">
      <w:pPr>
        <w:pStyle w:val="Prrafodelista"/>
        <w:spacing w:line="360" w:lineRule="auto"/>
        <w:ind w:left="1080"/>
        <w:jc w:val="both"/>
        <w:rPr>
          <w:rFonts w:ascii="Palatino Linotype" w:hAnsi="Palatino Linotype" w:cs="Arial"/>
          <w:b/>
          <w:bCs/>
          <w:i/>
          <w:iCs/>
          <w:noProof/>
          <w:color w:val="000000"/>
          <w:lang w:eastAsia="es-MX"/>
        </w:rPr>
      </w:pPr>
      <w:r>
        <w:rPr>
          <w:rFonts w:ascii="Palatino Linotype" w:hAnsi="Palatino Linotype" w:cs="Arial"/>
          <w:i/>
          <w:iCs/>
          <w:noProof/>
          <w:color w:val="000000"/>
          <w:lang w:eastAsia="es-MX"/>
        </w:rPr>
        <w:t xml:space="preserve">Le hago llegar en el anexo 1, el oficio entregado a los diferentes establecimientos que se encuentran dentro de la demarcación territorial municipal, </w:t>
      </w:r>
      <w:r w:rsidRPr="00585740">
        <w:rPr>
          <w:rFonts w:ascii="Palatino Linotype" w:hAnsi="Palatino Linotype" w:cs="Arial"/>
          <w:b/>
          <w:bCs/>
          <w:i/>
          <w:iCs/>
          <w:noProof/>
          <w:color w:val="000000"/>
          <w:u w:val="single"/>
          <w:lang w:eastAsia="es-MX"/>
        </w:rPr>
        <w:t>así mismo le informo que me es imposible entregar las resoluciones administrativas de los establecimientos que se encuentran en suspensión temporal, toda vez que cuentan con información personal”</w:t>
      </w:r>
      <w:r>
        <w:rPr>
          <w:rFonts w:ascii="Palatino Linotype" w:hAnsi="Palatino Linotype" w:cs="Arial"/>
          <w:i/>
          <w:iCs/>
          <w:noProof/>
          <w:color w:val="000000"/>
          <w:lang w:eastAsia="es-MX"/>
        </w:rPr>
        <w:t xml:space="preserve"> </w:t>
      </w:r>
      <w:r>
        <w:rPr>
          <w:rFonts w:ascii="Palatino Linotype" w:hAnsi="Palatino Linotype" w:cs="Arial"/>
          <w:b/>
          <w:bCs/>
          <w:i/>
          <w:iCs/>
          <w:noProof/>
          <w:color w:val="000000"/>
          <w:lang w:eastAsia="es-MX"/>
        </w:rPr>
        <w:t>[Sic]</w:t>
      </w:r>
    </w:p>
    <w:p w14:paraId="37A4CAA8" w14:textId="1D6D1D89" w:rsidR="00F15FB1" w:rsidRPr="00585740" w:rsidRDefault="007A21C7" w:rsidP="00E2053B">
      <w:pPr>
        <w:pStyle w:val="Prrafodelista"/>
        <w:numPr>
          <w:ilvl w:val="0"/>
          <w:numId w:val="4"/>
        </w:numPr>
        <w:spacing w:line="360" w:lineRule="auto"/>
        <w:jc w:val="both"/>
        <w:rPr>
          <w:rFonts w:ascii="Palatino Linotype" w:hAnsi="Palatino Linotype" w:cs="Arial"/>
          <w:b/>
          <w:bCs/>
          <w:noProof/>
          <w:color w:val="000000"/>
          <w:u w:val="single"/>
          <w:lang w:eastAsia="es-MX"/>
        </w:rPr>
      </w:pPr>
      <w:r>
        <w:rPr>
          <w:rFonts w:ascii="Palatino Linotype" w:hAnsi="Palatino Linotype" w:cs="Arial"/>
          <w:b/>
          <w:bCs/>
          <w:noProof/>
          <w:color w:val="000000"/>
          <w:lang w:eastAsia="es-MX"/>
        </w:rPr>
        <w:t xml:space="preserve">Comunicado urgente </w:t>
      </w:r>
      <w:r>
        <w:rPr>
          <w:rFonts w:ascii="Palatino Linotype" w:hAnsi="Palatino Linotype" w:cs="Arial"/>
          <w:noProof/>
          <w:color w:val="000000"/>
          <w:lang w:eastAsia="es-MX"/>
        </w:rPr>
        <w:t xml:space="preserve">signado por el Jefe de Reglamentos y Vía Pública, consistente en 1 -una- foja, </w:t>
      </w:r>
      <w:r w:rsidR="00585740">
        <w:rPr>
          <w:rFonts w:ascii="Palatino Linotype" w:hAnsi="Palatino Linotype" w:cs="Arial"/>
          <w:noProof/>
          <w:color w:val="000000"/>
          <w:lang w:eastAsia="es-MX"/>
        </w:rPr>
        <w:t xml:space="preserve">comunica la suspensión temporal de </w:t>
      </w:r>
      <w:r w:rsidR="00585740" w:rsidRPr="00585740">
        <w:rPr>
          <w:rFonts w:ascii="Palatino Linotype" w:hAnsi="Palatino Linotype" w:cs="Arial"/>
          <w:b/>
          <w:bCs/>
          <w:noProof/>
          <w:color w:val="000000"/>
          <w:u w:val="single"/>
          <w:lang w:eastAsia="es-MX"/>
        </w:rPr>
        <w:t xml:space="preserve">tiaguis y/o mercados sobre ruedas. </w:t>
      </w:r>
    </w:p>
    <w:p w14:paraId="297ADA55" w14:textId="7E12C6CA" w:rsidR="007A21C7" w:rsidRDefault="007A21C7" w:rsidP="007A21C7">
      <w:pPr>
        <w:spacing w:line="360" w:lineRule="auto"/>
        <w:jc w:val="both"/>
        <w:rPr>
          <w:rFonts w:ascii="Palatino Linotype" w:hAnsi="Palatino Linotype" w:cs="Arial"/>
          <w:b/>
          <w:bCs/>
          <w:noProof/>
          <w:color w:val="000000"/>
          <w:lang w:eastAsia="es-MX"/>
        </w:rPr>
      </w:pPr>
    </w:p>
    <w:p w14:paraId="19EBEFBA" w14:textId="77777777" w:rsidR="00585740" w:rsidRDefault="00585740" w:rsidP="0039245A">
      <w:pPr>
        <w:spacing w:after="0" w:line="360" w:lineRule="auto"/>
        <w:jc w:val="both"/>
        <w:rPr>
          <w:rFonts w:ascii="Palatino Linotype" w:hAnsi="Palatino Linotype" w:cs="Arial"/>
          <w:noProof/>
          <w:color w:val="000000"/>
          <w:sz w:val="24"/>
          <w:lang w:eastAsia="es-MX"/>
        </w:rPr>
      </w:pPr>
    </w:p>
    <w:p w14:paraId="18DA0368" w14:textId="303D0A0F" w:rsidR="007A21C7" w:rsidRPr="007A21C7" w:rsidRDefault="007A21C7"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Bajo tal tesitura, </w:t>
      </w:r>
      <w:r w:rsidR="00585740">
        <w:rPr>
          <w:rFonts w:ascii="Palatino Linotype" w:hAnsi="Palatino Linotype" w:cs="Arial"/>
          <w:noProof/>
          <w:color w:val="000000"/>
          <w:sz w:val="24"/>
          <w:lang w:eastAsia="es-MX"/>
        </w:rPr>
        <w:t xml:space="preserve">con base en la respuesta del </w:t>
      </w:r>
      <w:r w:rsidR="00585740">
        <w:rPr>
          <w:rFonts w:ascii="Palatino Linotype" w:hAnsi="Palatino Linotype" w:cs="Arial"/>
          <w:b/>
          <w:bCs/>
          <w:noProof/>
          <w:color w:val="000000"/>
          <w:sz w:val="24"/>
          <w:lang w:eastAsia="es-MX"/>
        </w:rPr>
        <w:t xml:space="preserve">Sujeto Obligado </w:t>
      </w:r>
      <w:r>
        <w:rPr>
          <w:rFonts w:ascii="Palatino Linotype" w:hAnsi="Palatino Linotype" w:cs="Arial"/>
          <w:noProof/>
          <w:color w:val="000000"/>
          <w:sz w:val="24"/>
          <w:lang w:eastAsia="es-MX"/>
        </w:rPr>
        <w:t>resulta inconcus</w:t>
      </w:r>
      <w:r w:rsidR="00585740">
        <w:rPr>
          <w:rFonts w:ascii="Palatino Linotype" w:hAnsi="Palatino Linotype" w:cs="Arial"/>
          <w:noProof/>
          <w:color w:val="000000"/>
          <w:sz w:val="24"/>
          <w:lang w:eastAsia="es-MX"/>
        </w:rPr>
        <w:t>a</w:t>
      </w:r>
      <w:r>
        <w:rPr>
          <w:rFonts w:ascii="Palatino Linotype" w:hAnsi="Palatino Linotype" w:cs="Arial"/>
          <w:noProof/>
          <w:color w:val="000000"/>
          <w:sz w:val="24"/>
          <w:lang w:eastAsia="es-MX"/>
        </w:rPr>
        <w:t xml:space="preserve"> </w:t>
      </w:r>
      <w:r w:rsidR="008A2709">
        <w:rPr>
          <w:rFonts w:ascii="Palatino Linotype" w:hAnsi="Palatino Linotype" w:cs="Arial"/>
          <w:noProof/>
          <w:color w:val="000000"/>
          <w:sz w:val="24"/>
          <w:lang w:eastAsia="es-MX"/>
        </w:rPr>
        <w:t xml:space="preserve">la </w:t>
      </w:r>
      <w:r w:rsidR="00585740">
        <w:rPr>
          <w:rFonts w:ascii="Palatino Linotype" w:hAnsi="Palatino Linotype" w:cs="Arial"/>
          <w:noProof/>
          <w:color w:val="000000"/>
          <w:sz w:val="24"/>
          <w:lang w:eastAsia="es-MX"/>
        </w:rPr>
        <w:t xml:space="preserve">actualización de las causales de procedencia inmersas en el artículo 179, </w:t>
      </w:r>
      <w:r w:rsidR="00517889">
        <w:rPr>
          <w:rFonts w:ascii="Palatino Linotype" w:hAnsi="Palatino Linotype" w:cs="Arial"/>
          <w:noProof/>
          <w:color w:val="000000"/>
          <w:sz w:val="24"/>
          <w:lang w:eastAsia="es-MX"/>
        </w:rPr>
        <w:t>fracción V</w:t>
      </w:r>
      <w:r w:rsidR="00585740">
        <w:rPr>
          <w:rFonts w:ascii="Palatino Linotype" w:hAnsi="Palatino Linotype" w:cs="Arial"/>
          <w:noProof/>
          <w:color w:val="000000"/>
          <w:sz w:val="24"/>
          <w:lang w:eastAsia="es-MX"/>
        </w:rPr>
        <w:t xml:space="preserve"> de la Ley de Transparencia y Acceso a la Información Pública del Estado de México y Municipios, cuyo contenido literal es el siguiente: </w:t>
      </w:r>
    </w:p>
    <w:p w14:paraId="0BB6F109" w14:textId="3359F4F4" w:rsidR="00585740" w:rsidRPr="00585740" w:rsidRDefault="00585740" w:rsidP="00585740">
      <w:pPr>
        <w:spacing w:before="240" w:line="360" w:lineRule="auto"/>
        <w:ind w:left="851" w:right="851"/>
        <w:jc w:val="both"/>
        <w:rPr>
          <w:rFonts w:ascii="Palatino Linotype" w:hAnsi="Palatino Linotype"/>
          <w:i/>
          <w:iCs/>
        </w:rPr>
      </w:pPr>
      <w:r w:rsidRPr="0058574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C74FA2" w14:textId="75C2BF1B" w:rsidR="00585740" w:rsidRPr="00585740" w:rsidRDefault="00585740" w:rsidP="00585740">
      <w:pPr>
        <w:spacing w:before="240" w:line="360" w:lineRule="auto"/>
        <w:ind w:left="851" w:right="851"/>
        <w:jc w:val="both"/>
        <w:rPr>
          <w:rFonts w:ascii="Palatino Linotype" w:hAnsi="Palatino Linotype" w:cs="Arial"/>
          <w:i/>
          <w:iCs/>
          <w:noProof/>
          <w:color w:val="000000"/>
          <w:lang w:eastAsia="es-MX"/>
        </w:rPr>
      </w:pPr>
      <w:r w:rsidRPr="00585740">
        <w:rPr>
          <w:rFonts w:ascii="Palatino Linotype" w:hAnsi="Palatino Linotype" w:cs="Arial"/>
          <w:i/>
          <w:iCs/>
          <w:noProof/>
          <w:color w:val="000000"/>
          <w:lang w:eastAsia="es-MX"/>
        </w:rPr>
        <w:t>(…)</w:t>
      </w:r>
    </w:p>
    <w:p w14:paraId="4B2A753B" w14:textId="5310379D" w:rsidR="00585740" w:rsidRPr="00585740" w:rsidRDefault="00585740" w:rsidP="00585740">
      <w:pPr>
        <w:spacing w:before="240" w:line="360" w:lineRule="auto"/>
        <w:ind w:left="851" w:right="851"/>
        <w:jc w:val="both"/>
        <w:rPr>
          <w:rFonts w:ascii="Palatino Linotype" w:hAnsi="Palatino Linotype"/>
          <w:i/>
          <w:iCs/>
        </w:rPr>
      </w:pPr>
      <w:r w:rsidRPr="00585740">
        <w:rPr>
          <w:rFonts w:ascii="Palatino Linotype" w:hAnsi="Palatino Linotype"/>
          <w:i/>
          <w:iCs/>
        </w:rPr>
        <w:t xml:space="preserve">V. La entrega de información </w:t>
      </w:r>
      <w:r w:rsidR="00517889">
        <w:rPr>
          <w:rFonts w:ascii="Palatino Linotype" w:hAnsi="Palatino Linotype"/>
          <w:i/>
          <w:iCs/>
        </w:rPr>
        <w:t>incompleta;</w:t>
      </w:r>
    </w:p>
    <w:p w14:paraId="1454C73E" w14:textId="71491F52" w:rsidR="00585740" w:rsidRPr="00585740" w:rsidRDefault="00585740" w:rsidP="00585740">
      <w:pPr>
        <w:spacing w:before="240" w:line="360" w:lineRule="auto"/>
        <w:ind w:left="851" w:right="851"/>
        <w:jc w:val="both"/>
        <w:rPr>
          <w:rFonts w:ascii="Palatino Linotype" w:hAnsi="Palatino Linotype" w:cs="Arial"/>
          <w:b/>
          <w:bCs/>
          <w:i/>
          <w:iCs/>
          <w:noProof/>
          <w:color w:val="000000"/>
          <w:lang w:eastAsia="es-MX"/>
        </w:rPr>
      </w:pPr>
      <w:r w:rsidRPr="00585740">
        <w:rPr>
          <w:rFonts w:ascii="Palatino Linotype" w:hAnsi="Palatino Linotype"/>
          <w:i/>
          <w:iCs/>
        </w:rPr>
        <w:t xml:space="preserve">(…)” </w:t>
      </w:r>
      <w:r w:rsidRPr="00585740">
        <w:rPr>
          <w:rFonts w:ascii="Palatino Linotype" w:hAnsi="Palatino Linotype"/>
          <w:b/>
          <w:bCs/>
          <w:i/>
          <w:iCs/>
        </w:rPr>
        <w:t>[Sic]</w:t>
      </w:r>
    </w:p>
    <w:p w14:paraId="09D9CA6E" w14:textId="03378F45" w:rsidR="007A21C7" w:rsidRDefault="007A21C7" w:rsidP="0039245A">
      <w:pPr>
        <w:spacing w:after="0" w:line="360" w:lineRule="auto"/>
        <w:jc w:val="both"/>
        <w:rPr>
          <w:rFonts w:ascii="Palatino Linotype" w:hAnsi="Palatino Linotype" w:cs="Arial"/>
          <w:noProof/>
          <w:color w:val="000000"/>
          <w:sz w:val="24"/>
          <w:lang w:eastAsia="es-MX"/>
        </w:rPr>
      </w:pPr>
    </w:p>
    <w:p w14:paraId="72DC83BA" w14:textId="123C74C1" w:rsidR="007A21C7" w:rsidRDefault="00585740"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Inconforme con la respuesta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 xml:space="preserve">interpuso recurso de revisión en fecha quince de junio, admitiendose el </w:t>
      </w:r>
      <w:r w:rsidR="00A40DDC">
        <w:rPr>
          <w:rFonts w:ascii="Palatino Linotype" w:hAnsi="Palatino Linotype" w:cs="Arial"/>
          <w:noProof/>
          <w:color w:val="000000"/>
          <w:sz w:val="24"/>
          <w:lang w:eastAsia="es-MX"/>
        </w:rPr>
        <w:t xml:space="preserve">siete de agosto, ambos de dos mil veinte. Señalando como razones o motivos de inconformidad: </w:t>
      </w:r>
    </w:p>
    <w:p w14:paraId="7FAAF12D" w14:textId="2BBA5BB1" w:rsidR="00585740" w:rsidRPr="00A40DDC" w:rsidRDefault="00A40DDC" w:rsidP="00A40DDC">
      <w:pPr>
        <w:spacing w:before="240" w:line="360" w:lineRule="auto"/>
        <w:ind w:left="851" w:right="851"/>
        <w:jc w:val="both"/>
        <w:rPr>
          <w:rFonts w:ascii="Palatino Linotype" w:hAnsi="Palatino Linotype" w:cs="Arial"/>
          <w:b/>
          <w:bCs/>
          <w:i/>
          <w:iCs/>
          <w:noProof/>
          <w:color w:val="000000"/>
          <w:lang w:eastAsia="es-MX"/>
        </w:rPr>
      </w:pPr>
      <w:r w:rsidRPr="00A40DDC">
        <w:rPr>
          <w:rFonts w:ascii="Palatino Linotype" w:hAnsi="Palatino Linotype"/>
          <w:i/>
          <w:iCs/>
        </w:rPr>
        <w:t>“</w:t>
      </w:r>
      <w:r w:rsidR="00585740" w:rsidRPr="00A40DDC">
        <w:rPr>
          <w:rFonts w:ascii="Palatino Linotype" w:hAnsi="Palatino Linotype"/>
          <w:i/>
          <w:iCs/>
        </w:rPr>
        <w:t xml:space="preserve">El presente recurso tiene como motivo la negativa de información, lo anterior, en virtud de que en dicho municipio se han realizado distintas acciones en diversos negocios respecto de la suspensión de sus actividades (como ha sido el cierre con uso de la fuerza pública de negocios locales "tienditas"), en atención a la contingencia sanitaria por el COVID 19, no obstante, el actuar de dicho funcionario público, recae en la ilegalidad, al no realizar actos administrativos que tengan la correspondiente fundamentación y motivación, es decir dicha persona no reconoce los elemento básicos de un procedimiento administrativo. como son: - El oficio mediante el cual se notifique personalmente a los negocios de las medidas sanitarias para evitar la propagación del virus. - El apercibimiento de las sanciones por incurrir en el incumplimiento a dichos mandatos, entre otros. En este sentido, cabe señalar que los funcionarios públicos que integran el Gobierno del Municipio de </w:t>
      </w:r>
      <w:proofErr w:type="gramStart"/>
      <w:r w:rsidR="00585740" w:rsidRPr="00A40DDC">
        <w:rPr>
          <w:rFonts w:ascii="Palatino Linotype" w:hAnsi="Palatino Linotype"/>
          <w:i/>
          <w:iCs/>
        </w:rPr>
        <w:t>Atenco,</w:t>
      </w:r>
      <w:proofErr w:type="gramEnd"/>
      <w:r w:rsidR="00585740" w:rsidRPr="00A40DDC">
        <w:rPr>
          <w:rFonts w:ascii="Palatino Linotype" w:hAnsi="Palatino Linotype"/>
          <w:i/>
          <w:iCs/>
        </w:rPr>
        <w:t xml:space="preserve"> no desempeñan correctamente sus labores, ni actúan conforme a derecho, sino que realizan actos que además de ilegales, son arbitrarios. Finalmente, a consideración del suscrito, es que debe imperar la certeza jurídica de los actos realizados por el Gobierno, por lo que se pide la información materia del presente recurso.</w:t>
      </w:r>
      <w:r w:rsidRPr="00A40DDC">
        <w:rPr>
          <w:rFonts w:ascii="Palatino Linotype" w:hAnsi="Palatino Linotype"/>
          <w:i/>
          <w:iCs/>
        </w:rPr>
        <w:t xml:space="preserve">” </w:t>
      </w:r>
      <w:r w:rsidRPr="00A40DDC">
        <w:rPr>
          <w:rFonts w:ascii="Palatino Linotype" w:hAnsi="Palatino Linotype"/>
          <w:b/>
          <w:bCs/>
          <w:i/>
          <w:iCs/>
        </w:rPr>
        <w:t>[Sic]</w:t>
      </w:r>
    </w:p>
    <w:p w14:paraId="4025DC10" w14:textId="077829C8" w:rsidR="007A21C7" w:rsidRDefault="007A21C7" w:rsidP="0039245A">
      <w:pPr>
        <w:spacing w:after="0" w:line="360" w:lineRule="auto"/>
        <w:jc w:val="both"/>
        <w:rPr>
          <w:rFonts w:ascii="Palatino Linotype" w:hAnsi="Palatino Linotype" w:cs="Arial"/>
          <w:noProof/>
          <w:color w:val="000000"/>
          <w:sz w:val="24"/>
          <w:lang w:eastAsia="es-MX"/>
        </w:rPr>
      </w:pPr>
    </w:p>
    <w:p w14:paraId="27E79A93" w14:textId="7B21C6BA" w:rsidR="007A21C7" w:rsidRDefault="007A21C7" w:rsidP="0039245A">
      <w:pPr>
        <w:spacing w:after="0" w:line="360" w:lineRule="auto"/>
        <w:jc w:val="both"/>
        <w:rPr>
          <w:rFonts w:ascii="Palatino Linotype" w:hAnsi="Palatino Linotype" w:cs="Arial"/>
          <w:noProof/>
          <w:color w:val="000000"/>
          <w:sz w:val="24"/>
          <w:lang w:eastAsia="es-MX"/>
        </w:rPr>
      </w:pPr>
    </w:p>
    <w:p w14:paraId="750A4425" w14:textId="60E7B7EF" w:rsidR="00CE00F0" w:rsidRPr="00486E28" w:rsidRDefault="00CE00F0" w:rsidP="00CE00F0">
      <w:pPr>
        <w:spacing w:before="240" w:line="360" w:lineRule="auto"/>
        <w:jc w:val="both"/>
        <w:rPr>
          <w:rFonts w:ascii="Palatino Linotype" w:hAnsi="Palatino Linotype"/>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 xml:space="preserve">El Sujeto Obligado </w:t>
      </w:r>
      <w:r w:rsidRPr="00486E28">
        <w:rPr>
          <w:rFonts w:ascii="Palatino Linotype" w:hAnsi="Palatino Linotype"/>
          <w:sz w:val="24"/>
          <w:szCs w:val="24"/>
        </w:rPr>
        <w:t xml:space="preserve">fue omiso en rendir sus informes justificados, consecuentemente, se tiene por </w:t>
      </w:r>
      <w:r w:rsidR="00517889">
        <w:rPr>
          <w:rFonts w:ascii="Palatino Linotype" w:hAnsi="Palatino Linotype"/>
          <w:sz w:val="24"/>
          <w:szCs w:val="24"/>
        </w:rPr>
        <w:t xml:space="preserve">parcialmente </w:t>
      </w:r>
      <w:r w:rsidRPr="00486E28">
        <w:rPr>
          <w:rFonts w:ascii="Palatino Linotype" w:hAnsi="Palatino Linotype"/>
          <w:sz w:val="24"/>
          <w:szCs w:val="24"/>
        </w:rPr>
        <w:lastRenderedPageBreak/>
        <w:t xml:space="preserve">colmado el derecho de acceso a la información pública, insistiendo en que la información solicitada estriba en el interés público y el alcance general. </w:t>
      </w:r>
    </w:p>
    <w:p w14:paraId="42504695" w14:textId="310AFD8B" w:rsidR="00CE00F0" w:rsidRDefault="00CE00F0" w:rsidP="00CE00F0">
      <w:pPr>
        <w:spacing w:before="240" w:line="360" w:lineRule="auto"/>
        <w:jc w:val="both"/>
        <w:rPr>
          <w:rFonts w:ascii="Palatino Linotype" w:hAnsi="Palatino Linotype"/>
          <w:sz w:val="24"/>
          <w:szCs w:val="24"/>
        </w:rPr>
      </w:pPr>
      <w:r w:rsidRPr="00486E28">
        <w:rPr>
          <w:rFonts w:ascii="Palatino Linotype" w:hAnsi="Palatino Linotype"/>
          <w:sz w:val="24"/>
          <w:szCs w:val="24"/>
        </w:rPr>
        <w:t xml:space="preserve">Con base en lo anteriormente expuesto, resulta procedente ordenar la entrega, previa búsqueda exhaustiva y razonable, en versión pública de ser procedente, </w:t>
      </w:r>
      <w:r>
        <w:rPr>
          <w:rFonts w:ascii="Palatino Linotype" w:hAnsi="Palatino Linotype"/>
          <w:sz w:val="24"/>
          <w:szCs w:val="24"/>
        </w:rPr>
        <w:t>de la siguiente información:</w:t>
      </w:r>
    </w:p>
    <w:p w14:paraId="0BB85A5B" w14:textId="2DFEE027" w:rsidR="00400A2B" w:rsidRDefault="00400A2B" w:rsidP="00E2053B">
      <w:pPr>
        <w:pStyle w:val="Prrafodelista"/>
        <w:numPr>
          <w:ilvl w:val="0"/>
          <w:numId w:val="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Oficio y/o equivalente dirigido a establecimientos mercantiles </w:t>
      </w:r>
      <w:r w:rsidR="00517889">
        <w:rPr>
          <w:rFonts w:ascii="Palatino Linotype" w:hAnsi="Palatino Linotype" w:cs="Arial"/>
        </w:rPr>
        <w:t xml:space="preserve">fijos y semifijos </w:t>
      </w:r>
      <w:r>
        <w:rPr>
          <w:rFonts w:ascii="Palatino Linotype" w:hAnsi="Palatino Linotype" w:cs="Arial"/>
        </w:rPr>
        <w:t xml:space="preserve">del Municipio de Atenco solicitando su cierre oportuno en atención a la contingencia derivada de la pandemia del virus Covid-19, al diecinueve de mayo de dos mil veinte. </w:t>
      </w:r>
    </w:p>
    <w:p w14:paraId="3A6F047D" w14:textId="54AC54CA" w:rsidR="00400A2B" w:rsidRPr="008D1DFF" w:rsidRDefault="00400A2B" w:rsidP="00E2053B">
      <w:pPr>
        <w:pStyle w:val="Prrafodelista"/>
        <w:numPr>
          <w:ilvl w:val="0"/>
          <w:numId w:val="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Resoluciones administrativas de suspensión temporal de </w:t>
      </w:r>
      <w:r w:rsidR="00517889">
        <w:rPr>
          <w:rFonts w:ascii="Palatino Linotype" w:hAnsi="Palatino Linotype" w:cs="Arial"/>
        </w:rPr>
        <w:t>establecimientos mercantiles</w:t>
      </w:r>
      <w:r>
        <w:rPr>
          <w:rFonts w:ascii="Palatino Linotype" w:hAnsi="Palatino Linotype" w:cs="Arial"/>
        </w:rPr>
        <w:t xml:space="preserve"> </w:t>
      </w:r>
      <w:r w:rsidR="005F4648">
        <w:rPr>
          <w:rFonts w:ascii="Palatino Linotype" w:hAnsi="Palatino Linotype" w:cs="Arial"/>
        </w:rPr>
        <w:t xml:space="preserve">del Municipio de Atenco </w:t>
      </w:r>
      <w:r>
        <w:rPr>
          <w:rFonts w:ascii="Palatino Linotype" w:hAnsi="Palatino Linotype" w:cs="Arial"/>
        </w:rPr>
        <w:t xml:space="preserve">que incumplieron con el cierre oportuno en atención a la contingencia derivada de la pandemia del virus Covid-19, al diecinueve de mayo de dos mil veinte. </w:t>
      </w:r>
    </w:p>
    <w:p w14:paraId="4213183D" w14:textId="7195C655" w:rsidR="007A21C7" w:rsidRPr="00400A2B" w:rsidRDefault="007A21C7" w:rsidP="0039245A">
      <w:pPr>
        <w:spacing w:after="0" w:line="360" w:lineRule="auto"/>
        <w:jc w:val="both"/>
        <w:rPr>
          <w:rFonts w:ascii="Palatino Linotype" w:hAnsi="Palatino Linotype" w:cs="Arial"/>
          <w:noProof/>
          <w:color w:val="000000"/>
          <w:sz w:val="24"/>
          <w:lang w:val="es-ES" w:eastAsia="es-MX"/>
        </w:rPr>
      </w:pPr>
    </w:p>
    <w:p w14:paraId="0EF582D1" w14:textId="52ABE87C" w:rsidR="00400A2B" w:rsidRDefault="00400A2B" w:rsidP="00400A2B">
      <w:pPr>
        <w:tabs>
          <w:tab w:val="left" w:pos="709"/>
        </w:tabs>
        <w:spacing w:before="240" w:line="360" w:lineRule="auto"/>
        <w:ind w:right="51"/>
        <w:jc w:val="both"/>
        <w:rPr>
          <w:rFonts w:ascii="Palatino Linotype" w:hAnsi="Palatino Linotype"/>
          <w:sz w:val="24"/>
          <w:szCs w:val="24"/>
          <w:lang w:val="es-ES"/>
        </w:rPr>
      </w:pPr>
      <w:r w:rsidRPr="000F083A">
        <w:rPr>
          <w:rFonts w:ascii="Palatino Linotype" w:hAnsi="Palatino Linotype"/>
          <w:sz w:val="24"/>
          <w:szCs w:val="24"/>
          <w:lang w:val="es-ES"/>
        </w:rPr>
        <w:t xml:space="preserve">Finalmente, no resulta desapercibido para este Órgano Resolutor que múltiples de los procedimientos </w:t>
      </w:r>
      <w:r>
        <w:rPr>
          <w:rFonts w:ascii="Palatino Linotype" w:hAnsi="Palatino Linotype"/>
          <w:sz w:val="24"/>
          <w:szCs w:val="24"/>
          <w:lang w:val="es-ES"/>
        </w:rPr>
        <w:t>administrativos</w:t>
      </w:r>
      <w:r w:rsidRPr="000F083A">
        <w:rPr>
          <w:rFonts w:ascii="Palatino Linotype" w:hAnsi="Palatino Linotype"/>
          <w:sz w:val="24"/>
          <w:szCs w:val="24"/>
          <w:lang w:val="es-ES"/>
        </w:rPr>
        <w:t xml:space="preserve"> </w:t>
      </w:r>
      <w:r>
        <w:rPr>
          <w:rFonts w:ascii="Palatino Linotype" w:hAnsi="Palatino Linotype"/>
          <w:sz w:val="24"/>
          <w:szCs w:val="24"/>
          <w:lang w:val="es-ES"/>
        </w:rPr>
        <w:t xml:space="preserve">pudieran encontrarse </w:t>
      </w:r>
      <w:proofErr w:type="gramStart"/>
      <w:r>
        <w:rPr>
          <w:rFonts w:ascii="Palatino Linotype" w:hAnsi="Palatino Linotype"/>
          <w:sz w:val="24"/>
          <w:szCs w:val="24"/>
          <w:lang w:val="es-ES"/>
        </w:rPr>
        <w:t xml:space="preserve">en </w:t>
      </w:r>
      <w:r w:rsidRPr="000F083A">
        <w:rPr>
          <w:rFonts w:ascii="Palatino Linotype" w:hAnsi="Palatino Linotype"/>
          <w:sz w:val="24"/>
          <w:szCs w:val="24"/>
          <w:lang w:val="es-ES"/>
        </w:rPr>
        <w:t xml:space="preserve"> trámite</w:t>
      </w:r>
      <w:proofErr w:type="gramEnd"/>
      <w:r w:rsidRPr="000F083A">
        <w:rPr>
          <w:rFonts w:ascii="Palatino Linotype" w:hAnsi="Palatino Linotype"/>
          <w:sz w:val="24"/>
          <w:szCs w:val="24"/>
          <w:lang w:val="es-ES"/>
        </w:rPr>
        <w:t>, en consecuencia, únicamente resulta procedente ordenar la entrega respecto de aquellos procedimientos que han quedado firmes, en versión pública de ser procedente</w:t>
      </w:r>
      <w:r>
        <w:rPr>
          <w:rFonts w:ascii="Palatino Linotype" w:hAnsi="Palatino Linotype"/>
          <w:sz w:val="24"/>
          <w:szCs w:val="24"/>
          <w:lang w:val="es-ES"/>
        </w:rPr>
        <w:t xml:space="preserve">. En sentido contrario, respecto de procedimientos administrativos en trámite resulta procedente la entrega del acuerdo de reserva, en los términos expresados a continuación. </w:t>
      </w:r>
    </w:p>
    <w:p w14:paraId="554615CD" w14:textId="7CBF4B23" w:rsidR="007A21C7" w:rsidRPr="00400A2B" w:rsidRDefault="007A21C7" w:rsidP="0039245A">
      <w:pPr>
        <w:spacing w:after="0" w:line="360" w:lineRule="auto"/>
        <w:jc w:val="both"/>
        <w:rPr>
          <w:rFonts w:ascii="Palatino Linotype" w:hAnsi="Palatino Linotype" w:cs="Arial"/>
          <w:noProof/>
          <w:color w:val="000000"/>
          <w:sz w:val="24"/>
          <w:lang w:val="es-ES" w:eastAsia="es-MX"/>
        </w:rPr>
      </w:pPr>
    </w:p>
    <w:p w14:paraId="14D2AE54" w14:textId="77777777" w:rsidR="00400A2B" w:rsidRPr="00E97BEA" w:rsidRDefault="00400A2B" w:rsidP="00E2053B">
      <w:pPr>
        <w:pStyle w:val="Prrafodelista"/>
        <w:numPr>
          <w:ilvl w:val="0"/>
          <w:numId w:val="7"/>
        </w:numPr>
        <w:spacing w:before="240" w:line="360" w:lineRule="auto"/>
        <w:jc w:val="both"/>
        <w:rPr>
          <w:rFonts w:ascii="Palatino Linotype" w:hAnsi="Palatino Linotype" w:cs="Arial"/>
          <w:b/>
          <w:bCs/>
          <w:sz w:val="28"/>
          <w:szCs w:val="28"/>
        </w:rPr>
      </w:pPr>
      <w:r w:rsidRPr="00E97BEA">
        <w:rPr>
          <w:rFonts w:ascii="Palatino Linotype" w:hAnsi="Palatino Linotype" w:cs="Arial"/>
          <w:b/>
          <w:bCs/>
          <w:sz w:val="28"/>
          <w:szCs w:val="28"/>
        </w:rPr>
        <w:lastRenderedPageBreak/>
        <w:t xml:space="preserve">De la clasificación de la información como reservada </w:t>
      </w:r>
    </w:p>
    <w:p w14:paraId="71767D37" w14:textId="77777777" w:rsidR="00400A2B" w:rsidRPr="00F825BB" w:rsidRDefault="00400A2B" w:rsidP="00400A2B">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La clasificación de la información es el proceso mediante el cual los </w:t>
      </w:r>
      <w:r w:rsidRPr="00F825BB">
        <w:rPr>
          <w:rFonts w:ascii="Palatino Linotype" w:hAnsi="Palatino Linotype"/>
          <w:b/>
          <w:sz w:val="24"/>
          <w:szCs w:val="24"/>
        </w:rPr>
        <w:t xml:space="preserve">Sujetos Obligados </w:t>
      </w:r>
      <w:r w:rsidRPr="00F825BB">
        <w:rPr>
          <w:rFonts w:ascii="Palatino Linotype" w:hAnsi="Palatino Linotype"/>
          <w:sz w:val="24"/>
          <w:szCs w:val="24"/>
        </w:rPr>
        <w:t xml:space="preserve">determinan que la información requerida actualiza alguno de los supuestos de confidencialidad </w:t>
      </w:r>
      <w:r w:rsidRPr="00F825BB">
        <w:rPr>
          <w:rFonts w:ascii="Palatino Linotype" w:hAnsi="Palatino Linotype"/>
          <w:b/>
          <w:sz w:val="24"/>
          <w:szCs w:val="24"/>
        </w:rPr>
        <w:t xml:space="preserve">o </w:t>
      </w:r>
      <w:r w:rsidRPr="00F825BB">
        <w:rPr>
          <w:rFonts w:ascii="Palatino Linotype" w:hAnsi="Palatino Linotype"/>
          <w:b/>
          <w:sz w:val="24"/>
          <w:szCs w:val="24"/>
          <w:u w:val="single"/>
        </w:rPr>
        <w:t>reserva,</w:t>
      </w:r>
      <w:r w:rsidRPr="00F825BB">
        <w:rPr>
          <w:rFonts w:ascii="Palatino Linotype" w:hAnsi="Palatino Linotype"/>
          <w:b/>
          <w:sz w:val="24"/>
          <w:szCs w:val="24"/>
        </w:rPr>
        <w:t xml:space="preserve"> </w:t>
      </w:r>
      <w:r w:rsidRPr="00F825BB">
        <w:rPr>
          <w:rFonts w:ascii="Palatino Linotype" w:hAnsi="Palatino Linotype"/>
          <w:sz w:val="24"/>
          <w:szCs w:val="24"/>
        </w:rPr>
        <w:t xml:space="preserve">de acuerdo con las bases y los principios inmersos en la normatividad aplicable. </w:t>
      </w:r>
    </w:p>
    <w:p w14:paraId="69AEA9BA" w14:textId="77777777" w:rsidR="00400A2B" w:rsidRPr="00F825BB" w:rsidRDefault="00400A2B" w:rsidP="00400A2B">
      <w:pPr>
        <w:spacing w:before="240" w:line="360" w:lineRule="auto"/>
        <w:jc w:val="both"/>
        <w:rPr>
          <w:rFonts w:ascii="Palatino Linotype" w:hAnsi="Palatino Linotype"/>
          <w:b/>
          <w:sz w:val="24"/>
          <w:szCs w:val="24"/>
        </w:rPr>
      </w:pPr>
      <w:r w:rsidRPr="00F825BB">
        <w:rPr>
          <w:rFonts w:ascii="Palatino Linotype" w:hAnsi="Palatino Linotype"/>
          <w:sz w:val="24"/>
          <w:szCs w:val="24"/>
        </w:rPr>
        <w:t>El artículo 140 de la Ley de Transparencia y Acceso a la Información del Estado de México y Municipios enlista de manera estricta y limitativa las causales de procedencia para clasificar soportes documentales como información reservada.</w:t>
      </w:r>
    </w:p>
    <w:p w14:paraId="6CB2436C" w14:textId="77777777" w:rsidR="00400A2B" w:rsidRPr="00F825BB" w:rsidRDefault="00400A2B" w:rsidP="00400A2B">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Para realizar la reserva la información, no basta con invocar alguna de las causales previstas en la Ley de transparencia local. En sentido contrario, dicha valoración debe realizarse a través de lo que se conoce como </w:t>
      </w:r>
      <w:r w:rsidRPr="00F825BB">
        <w:rPr>
          <w:rFonts w:ascii="Palatino Linotype" w:hAnsi="Palatino Linotype"/>
          <w:b/>
          <w:i/>
          <w:sz w:val="24"/>
          <w:szCs w:val="24"/>
        </w:rPr>
        <w:t xml:space="preserve">“prueba de daño”, </w:t>
      </w:r>
      <w:r w:rsidRPr="00F825BB">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F825BB">
        <w:rPr>
          <w:sz w:val="24"/>
          <w:szCs w:val="24"/>
          <w:vertAlign w:val="superscript"/>
        </w:rPr>
        <w:footnoteReference w:id="2"/>
      </w:r>
      <w:r w:rsidRPr="00F825BB">
        <w:rPr>
          <w:rFonts w:ascii="Palatino Linotype" w:hAnsi="Palatino Linotype"/>
          <w:sz w:val="24"/>
          <w:szCs w:val="24"/>
        </w:rPr>
        <w:t>. Asimismo, ésta no debe basarse en meras especulaciones o suposiciones, sino en elementos objetivos que deban evaluar que existe un riego actual e inminente</w:t>
      </w:r>
      <w:r w:rsidRPr="00F825BB">
        <w:rPr>
          <w:sz w:val="24"/>
          <w:szCs w:val="24"/>
          <w:vertAlign w:val="superscript"/>
        </w:rPr>
        <w:footnoteReference w:id="3"/>
      </w:r>
      <w:r w:rsidRPr="00F825BB">
        <w:rPr>
          <w:rFonts w:ascii="Palatino Linotype" w:hAnsi="Palatino Linotype"/>
          <w:sz w:val="24"/>
          <w:szCs w:val="24"/>
        </w:rPr>
        <w:t>.</w:t>
      </w:r>
    </w:p>
    <w:p w14:paraId="0DD173EF" w14:textId="77777777" w:rsidR="00400A2B" w:rsidRPr="00F825BB" w:rsidRDefault="00400A2B" w:rsidP="00400A2B">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w:t>
      </w:r>
      <w:r w:rsidRPr="00F825BB">
        <w:rPr>
          <w:rFonts w:ascii="Palatino Linotype" w:hAnsi="Palatino Linotype"/>
          <w:color w:val="000000" w:themeColor="text1"/>
          <w:sz w:val="24"/>
          <w:szCs w:val="24"/>
        </w:rPr>
        <w:lastRenderedPageBreak/>
        <w:t xml:space="preserve">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F825BB">
        <w:rPr>
          <w:rFonts w:ascii="Palatino Linotype" w:hAnsi="Palatino Linotype"/>
          <w:b/>
          <w:color w:val="000000" w:themeColor="text1"/>
          <w:sz w:val="24"/>
          <w:szCs w:val="24"/>
          <w:u w:val="single"/>
        </w:rPr>
        <w:t>sino de cada uno de los documentos que lo integran</w:t>
      </w:r>
      <w:r w:rsidRPr="00F825BB">
        <w:rPr>
          <w:rFonts w:ascii="Palatino Linotype" w:hAnsi="Palatino Linotype"/>
          <w:color w:val="000000" w:themeColor="text1"/>
          <w:sz w:val="24"/>
          <w:szCs w:val="24"/>
        </w:rPr>
        <w:t>.</w:t>
      </w:r>
    </w:p>
    <w:p w14:paraId="3759484E" w14:textId="77777777" w:rsidR="00400A2B" w:rsidRPr="00F825BB" w:rsidRDefault="00400A2B" w:rsidP="00400A2B">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77379FD1" w14:textId="77777777" w:rsidR="00400A2B" w:rsidRPr="00F825BB" w:rsidRDefault="00400A2B" w:rsidP="00400A2B">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 </w:t>
      </w:r>
      <w:r w:rsidRPr="00F825BB">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2BFAF9B5" w14:textId="77777777" w:rsidR="00400A2B" w:rsidRPr="00F825BB" w:rsidRDefault="00400A2B" w:rsidP="00400A2B">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 </w:t>
      </w:r>
      <w:r w:rsidRPr="00F825BB">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564A5411" w14:textId="77777777" w:rsidR="00400A2B" w:rsidRPr="00F825BB" w:rsidRDefault="00400A2B" w:rsidP="00400A2B">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III. </w:t>
      </w:r>
      <w:r w:rsidRPr="00F825BB">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7C87FCAB" w14:textId="77777777" w:rsidR="00400A2B" w:rsidRPr="00F825BB" w:rsidRDefault="00400A2B" w:rsidP="00400A2B">
      <w:pPr>
        <w:pStyle w:val="j"/>
        <w:shd w:val="clear" w:color="auto" w:fill="FFFFFF"/>
        <w:suppressAutoHyphens/>
        <w:spacing w:line="360" w:lineRule="auto"/>
        <w:jc w:val="both"/>
        <w:textAlignment w:val="baseline"/>
        <w:rPr>
          <w:rFonts w:ascii="Palatino Linotype" w:hAnsi="Palatino Linotype"/>
          <w:color w:val="000000" w:themeColor="text1"/>
        </w:rPr>
      </w:pPr>
      <w:r w:rsidRPr="00F825BB">
        <w:rPr>
          <w:rFonts w:ascii="Palatino Linotype" w:hAnsi="Palatino Linotype"/>
          <w:color w:val="000000" w:themeColor="text1"/>
        </w:rPr>
        <w:t>Sobre el primer supuesto consideremos que según el diccionario del español jurídico, por riesgo podemos entender “la contingencia o proximidad de un daño”,</w:t>
      </w:r>
      <w:r w:rsidRPr="00F825BB">
        <w:rPr>
          <w:rStyle w:val="Refdenotaalpie"/>
          <w:rFonts w:ascii="Palatino Linotype" w:hAnsi="Palatino Linotype"/>
          <w:color w:val="000000" w:themeColor="text1"/>
        </w:rPr>
        <w:footnoteReference w:id="4"/>
      </w:r>
      <w:r w:rsidRPr="00F825BB">
        <w:rPr>
          <w:rFonts w:ascii="Palatino Linotype" w:hAnsi="Palatino Linotype"/>
          <w:color w:val="000000" w:themeColor="text1"/>
        </w:rPr>
        <w:t xml:space="preserve"> mientras que el daño es considerado como un “perjuicio o lesión”</w:t>
      </w:r>
      <w:r w:rsidRPr="00F825BB">
        <w:rPr>
          <w:rStyle w:val="Refdenotaalpie"/>
          <w:rFonts w:ascii="Palatino Linotype" w:hAnsi="Palatino Linotype"/>
          <w:color w:val="000000" w:themeColor="text1"/>
        </w:rPr>
        <w:footnoteReference w:id="5"/>
      </w:r>
      <w:r w:rsidRPr="00F825BB">
        <w:rPr>
          <w:rFonts w:ascii="Palatino Linotype" w:hAnsi="Palatino Linotype"/>
          <w:color w:val="000000" w:themeColor="text1"/>
        </w:rPr>
        <w:t>, mientras que según el Diccionario de la Lengua Española, lo real es</w:t>
      </w:r>
      <w:r w:rsidRPr="00F825BB">
        <w:rPr>
          <w:rFonts w:ascii="Palatino Linotype" w:eastAsia="Arial Unicode MS" w:hAnsi="Palatino Linotype" w:cs="Arial Unicode MS"/>
          <w:color w:val="000000" w:themeColor="text1"/>
          <w:spacing w:val="4"/>
          <w:shd w:val="clear" w:color="auto" w:fill="FFFFFF"/>
        </w:rPr>
        <w:t> lo “</w:t>
      </w:r>
      <w:r w:rsidRPr="00F825BB">
        <w:rPr>
          <w:rFonts w:ascii="Palatino Linotype" w:eastAsia="Times New Roman" w:hAnsi="Palatino Linotype"/>
          <w:color w:val="000000" w:themeColor="text1"/>
        </w:rPr>
        <w:t>(q)</w:t>
      </w:r>
      <w:proofErr w:type="spellStart"/>
      <w:r w:rsidRPr="00F825BB">
        <w:rPr>
          <w:rFonts w:ascii="Palatino Linotype" w:eastAsia="Times New Roman" w:hAnsi="Palatino Linotype"/>
          <w:color w:val="000000" w:themeColor="text1"/>
        </w:rPr>
        <w:t>ue</w:t>
      </w:r>
      <w:proofErr w:type="spellEnd"/>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tiene</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existencia</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objetiva”,</w:t>
      </w:r>
      <w:r w:rsidRPr="00F825BB">
        <w:rPr>
          <w:rStyle w:val="Refdenotaalpie"/>
          <w:rFonts w:ascii="Palatino Linotype" w:eastAsia="Times New Roman" w:hAnsi="Palatino Linotype"/>
          <w:color w:val="000000" w:themeColor="text1"/>
        </w:rPr>
        <w:footnoteReference w:id="6"/>
      </w:r>
      <w:r w:rsidRPr="00F825BB">
        <w:rPr>
          <w:rFonts w:ascii="Palatino Linotype" w:eastAsia="Times New Roman" w:hAnsi="Palatino Linotype"/>
          <w:color w:val="000000" w:themeColor="text1"/>
        </w:rPr>
        <w:t xml:space="preserve"> </w:t>
      </w:r>
      <w:r w:rsidRPr="00F825BB">
        <w:rPr>
          <w:rFonts w:ascii="Palatino Linotype" w:eastAsia="Arial Unicode MS" w:hAnsi="Palatino Linotype" w:cs="Arial Unicode MS"/>
          <w:color w:val="000000" w:themeColor="text1"/>
          <w:spacing w:val="4"/>
          <w:shd w:val="clear" w:color="auto" w:fill="FFFFFF"/>
        </w:rPr>
        <w:t xml:space="preserve">mientras que lo demostrables es, según la misma fuente, aquello que se puede </w:t>
      </w:r>
      <w:r w:rsidRPr="00F825BB">
        <w:rPr>
          <w:rFonts w:ascii="Palatino Linotype" w:eastAsia="Arial Unicode MS" w:hAnsi="Palatino Linotype" w:cs="Arial Unicode MS"/>
          <w:color w:val="000000" w:themeColor="text1"/>
          <w:spacing w:val="4"/>
          <w:shd w:val="clear" w:color="auto" w:fill="FFFFFF"/>
        </w:rPr>
        <w:lastRenderedPageBreak/>
        <w:t>demostrar,</w:t>
      </w:r>
      <w:r w:rsidRPr="00F825BB">
        <w:rPr>
          <w:rStyle w:val="Refdenotaalpie"/>
          <w:rFonts w:ascii="Palatino Linotype" w:eastAsia="Arial Unicode MS" w:hAnsi="Palatino Linotype" w:cs="Arial Unicode MS"/>
          <w:color w:val="000000" w:themeColor="text1"/>
          <w:spacing w:val="4"/>
          <w:shd w:val="clear" w:color="auto" w:fill="FFFFFF"/>
        </w:rPr>
        <w:footnoteReference w:id="7"/>
      </w:r>
      <w:r w:rsidRPr="00F825BB">
        <w:rPr>
          <w:rFonts w:ascii="Palatino Linotype" w:eastAsia="Arial Unicode MS" w:hAnsi="Palatino Linotype" w:cs="Arial Unicode MS"/>
          <w:color w:val="000000" w:themeColor="text1"/>
          <w:spacing w:val="4"/>
          <w:shd w:val="clear" w:color="auto" w:fill="FFFFFF"/>
        </w:rPr>
        <w:t xml:space="preserve"> es decir, </w:t>
      </w:r>
      <w:r w:rsidRPr="00F825BB">
        <w:rPr>
          <w:rFonts w:ascii="Palatino Linotype" w:hAnsi="Palatino Linotype" w:cstheme="minorBidi"/>
          <w:color w:val="000000" w:themeColor="text1"/>
          <w:lang w:val="es-MX" w:eastAsia="en-US"/>
        </w:rPr>
        <w:t>“(m)anifestar, declarar. Probar, sirviéndose de cualquier género de demostración, </w:t>
      </w:r>
      <w:hyperlink r:id="rId12" w:anchor="6nAyKjE" w:history="1">
        <w:r w:rsidRPr="00F825BB">
          <w:rPr>
            <w:rFonts w:ascii="Palatino Linotype" w:hAnsi="Palatino Linotype" w:cstheme="minorBidi"/>
            <w:color w:val="000000" w:themeColor="text1"/>
            <w:lang w:val="es-MX" w:eastAsia="en-US"/>
          </w:rPr>
          <w:t>enseñar</w:t>
        </w:r>
      </w:hyperlink>
      <w:r w:rsidRPr="00F825BB">
        <w:rPr>
          <w:rFonts w:ascii="Palatino Linotype" w:hAnsi="Palatino Linotype" w:cstheme="minorBidi"/>
          <w:color w:val="000000" w:themeColor="text1"/>
          <w:lang w:val="es-MX" w:eastAsia="en-US"/>
        </w:rPr>
        <w:t> mostrar o exponer algo)”.</w:t>
      </w:r>
      <w:r w:rsidRPr="00F825BB">
        <w:rPr>
          <w:rStyle w:val="Refdenotaalpie"/>
          <w:rFonts w:ascii="Palatino Linotype" w:hAnsi="Palatino Linotype" w:cstheme="minorBidi"/>
          <w:color w:val="000000" w:themeColor="text1"/>
          <w:lang w:val="es-MX" w:eastAsia="en-US"/>
        </w:rPr>
        <w:footnoteReference w:id="8"/>
      </w:r>
      <w:r w:rsidRPr="00F825BB">
        <w:rPr>
          <w:rFonts w:ascii="Palatino Linotype" w:hAnsi="Palatino Linotype" w:cstheme="minorBidi"/>
          <w:color w:val="000000" w:themeColor="text1"/>
          <w:lang w:val="es-MX" w:eastAsia="en-US"/>
        </w:rPr>
        <w:t xml:space="preserve"> Mientras que lo identificable es lo que puede ser identificado,</w:t>
      </w:r>
      <w:r w:rsidRPr="00F825BB">
        <w:rPr>
          <w:rStyle w:val="Refdenotaalpie"/>
          <w:rFonts w:ascii="Palatino Linotype" w:hAnsi="Palatino Linotype" w:cstheme="minorBidi"/>
          <w:color w:val="000000" w:themeColor="text1"/>
          <w:lang w:val="es-MX" w:eastAsia="en-US"/>
        </w:rPr>
        <w:footnoteReference w:id="9"/>
      </w:r>
      <w:r w:rsidRPr="00F825BB">
        <w:rPr>
          <w:rFonts w:ascii="Palatino Linotype" w:hAnsi="Palatino Linotype" w:cstheme="minorBidi"/>
          <w:color w:val="000000" w:themeColor="text1"/>
          <w:lang w:val="es-MX" w:eastAsia="en-US"/>
        </w:rPr>
        <w:t xml:space="preserve"> esto es,</w:t>
      </w:r>
      <w:r w:rsidRPr="00F825BB">
        <w:rPr>
          <w:rFonts w:ascii="Palatino Linotype" w:hAnsi="Palatino Linotype" w:cstheme="minorBidi"/>
          <w:color w:val="000000" w:themeColor="text1"/>
        </w:rPr>
        <w:t>  “(d)ar los datos necesarios para ser reconocido”.</w:t>
      </w:r>
      <w:r w:rsidRPr="00F825BB">
        <w:rPr>
          <w:rStyle w:val="Refdenotaalpie"/>
          <w:rFonts w:ascii="Palatino Linotype" w:hAnsi="Palatino Linotype" w:cstheme="minorBidi"/>
          <w:color w:val="000000" w:themeColor="text1"/>
        </w:rPr>
        <w:footnoteReference w:id="10"/>
      </w:r>
    </w:p>
    <w:p w14:paraId="07F52CED" w14:textId="77777777" w:rsidR="00400A2B" w:rsidRPr="00F825BB" w:rsidRDefault="00400A2B" w:rsidP="00400A2B">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3C93CDD" w14:textId="77777777" w:rsidR="00400A2B" w:rsidRPr="00F825BB" w:rsidRDefault="00400A2B" w:rsidP="00400A2B">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3A30D00A" w14:textId="77777777" w:rsidR="00400A2B" w:rsidRDefault="00400A2B" w:rsidP="00400A2B">
      <w:pPr>
        <w:spacing w:line="360" w:lineRule="auto"/>
        <w:jc w:val="both"/>
        <w:rPr>
          <w:rFonts w:ascii="Palatino Linotype" w:hAnsi="Palatino Linotype"/>
          <w:color w:val="000000" w:themeColor="text1"/>
          <w:sz w:val="24"/>
          <w:szCs w:val="24"/>
        </w:rPr>
      </w:pPr>
      <w:r w:rsidRPr="00E01285">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774B2D">
        <w:rPr>
          <w:rStyle w:val="Refdenotaalpie"/>
          <w:rFonts w:ascii="Palatino Linotype" w:hAnsi="Palatino Linotype"/>
          <w:color w:val="000000" w:themeColor="text1"/>
        </w:rPr>
        <w:footnoteReference w:id="11"/>
      </w:r>
      <w:r w:rsidRPr="00E01285">
        <w:rPr>
          <w:rFonts w:ascii="Palatino Linotype" w:hAnsi="Palatino Linotype"/>
          <w:color w:val="000000" w:themeColor="text1"/>
          <w:sz w:val="24"/>
          <w:szCs w:val="24"/>
        </w:rPr>
        <w:t xml:space="preserve">, siguiendo el principio de ponderación propuesto por el Tribunal </w:t>
      </w:r>
      <w:r w:rsidRPr="00E01285">
        <w:rPr>
          <w:rFonts w:ascii="Palatino Linotype" w:hAnsi="Palatino Linotype"/>
          <w:color w:val="000000" w:themeColor="text1"/>
          <w:sz w:val="24"/>
          <w:szCs w:val="24"/>
        </w:rPr>
        <w:lastRenderedPageBreak/>
        <w:t>Constitucional Alemán,</w:t>
      </w:r>
      <w:r w:rsidRPr="00774B2D">
        <w:rPr>
          <w:rStyle w:val="Refdenotaalpie"/>
          <w:rFonts w:ascii="Palatino Linotype" w:hAnsi="Palatino Linotype"/>
          <w:color w:val="000000" w:themeColor="text1"/>
        </w:rPr>
        <w:footnoteReference w:id="12"/>
      </w:r>
      <w:r w:rsidRPr="00E01285">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DA9DCBB" w14:textId="77777777" w:rsidR="00400A2B" w:rsidRPr="00E01285" w:rsidRDefault="00400A2B" w:rsidP="00400A2B">
      <w:pPr>
        <w:spacing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 xml:space="preserve">Es así, </w:t>
      </w:r>
      <w:proofErr w:type="gramStart"/>
      <w:r>
        <w:rPr>
          <w:rFonts w:ascii="Palatino Linotype" w:hAnsi="Palatino Linotype"/>
          <w:color w:val="000000" w:themeColor="text1"/>
          <w:sz w:val="24"/>
          <w:szCs w:val="24"/>
        </w:rPr>
        <w:t>que</w:t>
      </w:r>
      <w:proofErr w:type="gramEnd"/>
      <w:r>
        <w:rPr>
          <w:rFonts w:ascii="Palatino Linotype" w:hAnsi="Palatino Linotype"/>
          <w:color w:val="000000" w:themeColor="text1"/>
          <w:sz w:val="24"/>
          <w:szCs w:val="24"/>
        </w:rPr>
        <w:t xml:space="preserve"> al configurarse tales requisitos, se otorga certidumbre jurídica y se protege la esfera más íntima del derecho humano constitucional y convencionalmente reconocido. </w:t>
      </w:r>
    </w:p>
    <w:p w14:paraId="7885EE9C" w14:textId="77777777" w:rsidR="00400A2B" w:rsidRDefault="00400A2B" w:rsidP="00400A2B">
      <w:pPr>
        <w:tabs>
          <w:tab w:val="left" w:pos="709"/>
        </w:tabs>
        <w:spacing w:before="240" w:line="360" w:lineRule="auto"/>
        <w:ind w:right="51"/>
        <w:jc w:val="both"/>
        <w:rPr>
          <w:rFonts w:ascii="Palatino Linotype" w:hAnsi="Palatino Linotype"/>
        </w:rPr>
      </w:pPr>
    </w:p>
    <w:p w14:paraId="451FE077" w14:textId="77777777" w:rsidR="00400A2B" w:rsidRDefault="00400A2B" w:rsidP="00E2053B">
      <w:pPr>
        <w:pStyle w:val="Prrafodelista"/>
        <w:numPr>
          <w:ilvl w:val="0"/>
          <w:numId w:val="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2F31091" w14:textId="77777777" w:rsidR="00400A2B" w:rsidRPr="001571EB" w:rsidRDefault="00400A2B" w:rsidP="00400A2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71CF749F" w14:textId="77777777" w:rsidR="00400A2B" w:rsidRPr="00E60DEF" w:rsidRDefault="00400A2B" w:rsidP="00400A2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EB9F1F8" w14:textId="77777777" w:rsidR="00400A2B" w:rsidRPr="00E60DEF" w:rsidRDefault="00400A2B" w:rsidP="00400A2B">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E849AD2" w14:textId="77777777" w:rsidR="00400A2B" w:rsidRPr="001571EB" w:rsidRDefault="00400A2B" w:rsidP="00400A2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034616D" w14:textId="77777777" w:rsidR="00400A2B" w:rsidRPr="001571EB" w:rsidRDefault="00400A2B" w:rsidP="00400A2B">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48A653F" w14:textId="77777777" w:rsidR="00400A2B" w:rsidRPr="001571EB" w:rsidRDefault="00400A2B" w:rsidP="00400A2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C5AE2C6" w14:textId="77777777" w:rsidR="00400A2B" w:rsidRPr="001571EB" w:rsidRDefault="00400A2B" w:rsidP="00400A2B">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5BAAB50" w14:textId="77777777" w:rsidR="00400A2B" w:rsidRPr="001571EB" w:rsidRDefault="00400A2B" w:rsidP="00400A2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54AC652" w14:textId="77777777" w:rsidR="00400A2B" w:rsidRPr="001571EB" w:rsidRDefault="00400A2B" w:rsidP="00400A2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0A722B7" w14:textId="77777777" w:rsidR="00400A2B" w:rsidRPr="001571EB" w:rsidRDefault="00400A2B" w:rsidP="00400A2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6EB81AD" w14:textId="77777777" w:rsidR="00400A2B" w:rsidRPr="00E60DEF" w:rsidRDefault="00400A2B" w:rsidP="00400A2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3DA905B" w14:textId="77777777" w:rsidR="00400A2B" w:rsidRPr="001571EB" w:rsidRDefault="00400A2B" w:rsidP="00400A2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E0D57A" w14:textId="77777777" w:rsidR="00400A2B" w:rsidRPr="00E60DEF" w:rsidRDefault="00400A2B" w:rsidP="00400A2B">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66A866B" w14:textId="77777777" w:rsidR="00400A2B" w:rsidRPr="001571EB" w:rsidRDefault="00400A2B" w:rsidP="00400A2B">
      <w:pPr>
        <w:spacing w:line="240" w:lineRule="auto"/>
        <w:ind w:left="851" w:right="851"/>
        <w:jc w:val="both"/>
        <w:rPr>
          <w:rFonts w:ascii="Palatino Linotype" w:hAnsi="Palatino Linotype" w:cs="Arial"/>
          <w:b/>
          <w:i/>
          <w:u w:val="single"/>
        </w:rPr>
      </w:pPr>
    </w:p>
    <w:p w14:paraId="1FB397FB" w14:textId="77777777" w:rsidR="00400A2B" w:rsidRPr="001571EB" w:rsidRDefault="00400A2B" w:rsidP="00400A2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7DA3B3F" w14:textId="77777777" w:rsidR="00400A2B" w:rsidRPr="001571EB" w:rsidRDefault="00400A2B" w:rsidP="00400A2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A1FA92B" w14:textId="77777777" w:rsidR="00400A2B" w:rsidRPr="001571EB" w:rsidRDefault="00400A2B" w:rsidP="00400A2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BA9A2D3" w14:textId="77777777" w:rsidR="00400A2B" w:rsidRDefault="00400A2B" w:rsidP="00400A2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5D84814" w14:textId="77777777" w:rsidR="00400A2B" w:rsidRDefault="00400A2B" w:rsidP="00400A2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1551EF6D"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35AD901"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F43BBE0"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48B6946"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35287A9" w14:textId="77777777" w:rsidR="00400A2B" w:rsidRPr="00EE0180"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02B2128" w14:textId="77777777" w:rsidR="00400A2B" w:rsidRPr="001571EB" w:rsidRDefault="00400A2B" w:rsidP="00400A2B">
      <w:pPr>
        <w:autoSpaceDE w:val="0"/>
        <w:autoSpaceDN w:val="0"/>
        <w:adjustRightInd w:val="0"/>
        <w:spacing w:before="120" w:after="120"/>
        <w:ind w:left="567" w:right="850"/>
        <w:jc w:val="both"/>
        <w:rPr>
          <w:rFonts w:ascii="Palatino Linotype" w:eastAsia="Times New Roman" w:hAnsi="Palatino Linotype" w:cs="Arial"/>
          <w:i/>
        </w:rPr>
      </w:pPr>
    </w:p>
    <w:p w14:paraId="01A3CF4E" w14:textId="77777777" w:rsidR="00400A2B" w:rsidRPr="001571EB" w:rsidRDefault="00400A2B" w:rsidP="00400A2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45499AA" w14:textId="77777777" w:rsidR="00400A2B" w:rsidRPr="001571EB" w:rsidRDefault="00400A2B" w:rsidP="00400A2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3C97B652" w14:textId="77777777" w:rsidR="00400A2B" w:rsidRDefault="00400A2B" w:rsidP="00400A2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33A4988" w14:textId="77777777" w:rsidR="00400A2B" w:rsidRDefault="00400A2B" w:rsidP="00400A2B">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E23A38D"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8461418"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37D9538"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3D2372D" w14:textId="77777777" w:rsidR="00400A2B" w:rsidRPr="001571E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29B64CF" w14:textId="7C1F7BC2" w:rsidR="00400A2B"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EDBA8E0" w14:textId="77777777" w:rsidR="00400A2B" w:rsidRPr="00EE0180" w:rsidRDefault="00400A2B" w:rsidP="00400A2B">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E771A2A" w14:textId="7ECCBD92" w:rsidR="00400A2B" w:rsidRDefault="00400A2B" w:rsidP="00400A2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A88BFB0" w14:textId="2593804C" w:rsidR="00517889" w:rsidRPr="005D0314" w:rsidRDefault="00517889" w:rsidP="00517889">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Pr="00517889">
        <w:rPr>
          <w:rFonts w:ascii="Palatino Linotype" w:hAnsi="Palatino Linotype"/>
          <w:b/>
          <w:bCs/>
          <w:sz w:val="24"/>
          <w:szCs w:val="24"/>
        </w:rPr>
        <w:t>00066/ATENCO/IP/2020</w:t>
      </w:r>
      <w:r w:rsidRPr="00517889">
        <w:rPr>
          <w:rFonts w:ascii="Palatino Linotype" w:hAnsi="Palatino Linotype"/>
          <w:b/>
          <w:sz w:val="24"/>
          <w:szCs w:val="24"/>
        </w:rPr>
        <w:t>,</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72637DE6" w14:textId="77777777" w:rsidR="00400A2B" w:rsidRDefault="00400A2B" w:rsidP="00400A2B">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ser procedente, de la información precisada con anterioridad. </w:t>
      </w:r>
    </w:p>
    <w:p w14:paraId="6DE1CCF9" w14:textId="64455A21" w:rsidR="00400A2B" w:rsidRDefault="00400A2B" w:rsidP="00400A2B">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539F98A7" w14:textId="5A978306" w:rsidR="00964B89" w:rsidRDefault="00964B89" w:rsidP="00400A2B">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707392" behindDoc="0" locked="0" layoutInCell="1" allowOverlap="1" wp14:anchorId="018A7286" wp14:editId="68B4E96A">
                <wp:simplePos x="0" y="0"/>
                <wp:positionH relativeFrom="column">
                  <wp:posOffset>-227281</wp:posOffset>
                </wp:positionH>
                <wp:positionV relativeFrom="paragraph">
                  <wp:posOffset>135157</wp:posOffset>
                </wp:positionV>
                <wp:extent cx="6646984" cy="1485900"/>
                <wp:effectExtent l="0" t="0" r="20955" b="19050"/>
                <wp:wrapNone/>
                <wp:docPr id="1" name="Conector recto 1"/>
                <wp:cNvGraphicFramePr/>
                <a:graphic xmlns:a="http://schemas.openxmlformats.org/drawingml/2006/main">
                  <a:graphicData uri="http://schemas.microsoft.com/office/word/2010/wordprocessingShape">
                    <wps:wsp>
                      <wps:cNvCnPr/>
                      <wps:spPr>
                        <a:xfrm>
                          <a:off x="0" y="0"/>
                          <a:ext cx="6646984" cy="148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0FD21" id="Conector recto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7.9pt,10.65pt" to="505.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" strokecolor="#5b9bd5 [3204]" strokeweight=".5pt">
                <v:stroke joinstyle="miter"/>
              </v:line>
            </w:pict>
          </mc:Fallback>
        </mc:AlternateContent>
      </w:r>
    </w:p>
    <w:p w14:paraId="7997F12E" w14:textId="77777777" w:rsidR="00964B89" w:rsidRPr="00523CF0" w:rsidRDefault="00964B89" w:rsidP="00400A2B">
      <w:pPr>
        <w:tabs>
          <w:tab w:val="left" w:pos="709"/>
        </w:tabs>
        <w:spacing w:before="240" w:line="360" w:lineRule="auto"/>
        <w:ind w:right="51"/>
        <w:jc w:val="both"/>
        <w:rPr>
          <w:rFonts w:ascii="Palatino Linotype" w:hAnsi="Palatino Linotype"/>
          <w:sz w:val="24"/>
          <w:szCs w:val="24"/>
        </w:rPr>
      </w:pPr>
    </w:p>
    <w:p w14:paraId="49BB5CA4" w14:textId="33DDEA5A" w:rsidR="007A21C7" w:rsidRDefault="007A21C7" w:rsidP="0039245A">
      <w:pPr>
        <w:spacing w:after="0" w:line="360" w:lineRule="auto"/>
        <w:jc w:val="both"/>
        <w:rPr>
          <w:rFonts w:ascii="Palatino Linotype" w:hAnsi="Palatino Linotype" w:cs="Arial"/>
          <w:noProof/>
          <w:color w:val="000000"/>
          <w:sz w:val="24"/>
          <w:lang w:eastAsia="es-MX"/>
        </w:rPr>
      </w:pPr>
    </w:p>
    <w:p w14:paraId="301F4806" w14:textId="77777777" w:rsidR="00400A2B" w:rsidRPr="00413327" w:rsidRDefault="00400A2B" w:rsidP="00400A2B">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433E30E6" w14:textId="1C313E1B" w:rsidR="00517889" w:rsidRDefault="00517889" w:rsidP="00517889">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Pr="00517889">
        <w:rPr>
          <w:rFonts w:ascii="Palatino Linotype" w:hAnsi="Palatino Linotype"/>
          <w:b/>
          <w:bCs/>
          <w:sz w:val="24"/>
          <w:szCs w:val="24"/>
        </w:rPr>
        <w:t>00066/ATENCO/IP/2020</w:t>
      </w:r>
      <w:r w:rsidRPr="00FE7B9B">
        <w:rPr>
          <w:rFonts w:ascii="Palatino Linotype" w:eastAsia="Arial Unicode MS" w:hAnsi="Palatino Linotype" w:cs="Arial"/>
          <w:sz w:val="24"/>
          <w:szCs w:val="24"/>
        </w:rPr>
        <w:t xml:space="preserve">, por resultar parcialmente fundados los motivos de inconformidad que arguye </w:t>
      </w:r>
      <w:r>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0E026A82" w14:textId="77777777" w:rsidR="00400A2B" w:rsidRPr="00517889" w:rsidRDefault="00400A2B" w:rsidP="00400A2B">
      <w:pPr>
        <w:autoSpaceDE w:val="0"/>
        <w:autoSpaceDN w:val="0"/>
        <w:adjustRightInd w:val="0"/>
        <w:spacing w:before="240" w:line="360" w:lineRule="auto"/>
        <w:ind w:right="49"/>
        <w:jc w:val="both"/>
        <w:rPr>
          <w:rFonts w:ascii="Palatino Linotype" w:hAnsi="Palatino Linotype" w:cs="Arial"/>
          <w:b/>
          <w:sz w:val="24"/>
          <w:szCs w:val="24"/>
        </w:rPr>
      </w:pPr>
    </w:p>
    <w:p w14:paraId="0DBCA53E" w14:textId="77777777" w:rsidR="00400A2B" w:rsidRDefault="00400A2B" w:rsidP="00400A2B">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297C1ACB" w14:textId="61DCEB00" w:rsidR="009D3186" w:rsidRPr="009D3186" w:rsidRDefault="009D3186" w:rsidP="00E2053B">
      <w:pPr>
        <w:pStyle w:val="Prrafodelista"/>
        <w:numPr>
          <w:ilvl w:val="0"/>
          <w:numId w:val="8"/>
        </w:numPr>
        <w:autoSpaceDE w:val="0"/>
        <w:autoSpaceDN w:val="0"/>
        <w:adjustRightInd w:val="0"/>
        <w:spacing w:before="240" w:after="160" w:line="360" w:lineRule="auto"/>
        <w:jc w:val="both"/>
        <w:rPr>
          <w:rFonts w:ascii="Palatino Linotype" w:hAnsi="Palatino Linotype" w:cs="Arial"/>
          <w:i/>
          <w:iCs/>
        </w:rPr>
      </w:pPr>
      <w:r w:rsidRPr="009D3186">
        <w:rPr>
          <w:rFonts w:ascii="Palatino Linotype" w:hAnsi="Palatino Linotype" w:cs="Arial"/>
          <w:i/>
          <w:iCs/>
        </w:rPr>
        <w:t xml:space="preserve">Oficio y/o equivalente dirigido a establecimientos </w:t>
      </w:r>
      <w:r w:rsidRPr="00964B89">
        <w:rPr>
          <w:rFonts w:ascii="Palatino Linotype" w:hAnsi="Palatino Linotype" w:cs="Arial"/>
          <w:i/>
          <w:iCs/>
        </w:rPr>
        <w:t xml:space="preserve">mercantiles </w:t>
      </w:r>
      <w:r w:rsidR="00517889" w:rsidRPr="00964B89">
        <w:rPr>
          <w:rFonts w:ascii="Palatino Linotype" w:hAnsi="Palatino Linotype" w:cs="Arial"/>
          <w:i/>
          <w:iCs/>
        </w:rPr>
        <w:t>fijos y semifijos</w:t>
      </w:r>
      <w:r w:rsidR="00517889">
        <w:rPr>
          <w:rFonts w:ascii="Palatino Linotype" w:hAnsi="Palatino Linotype" w:cs="Arial"/>
          <w:i/>
          <w:iCs/>
        </w:rPr>
        <w:t xml:space="preserve"> </w:t>
      </w:r>
      <w:r w:rsidRPr="009D3186">
        <w:rPr>
          <w:rFonts w:ascii="Palatino Linotype" w:hAnsi="Palatino Linotype" w:cs="Arial"/>
          <w:i/>
          <w:iCs/>
        </w:rPr>
        <w:t xml:space="preserve">del Municipio de Atenco solicitando su cierre oportuno en atención a la contingencia derivada de la pandemia del virus Covid-19, al diecinueve de mayo de dos mil veinte. </w:t>
      </w:r>
    </w:p>
    <w:p w14:paraId="191C9439" w14:textId="74FBFBE7" w:rsidR="009D3186" w:rsidRPr="009D3186" w:rsidRDefault="009D3186" w:rsidP="00E2053B">
      <w:pPr>
        <w:pStyle w:val="Prrafodelista"/>
        <w:numPr>
          <w:ilvl w:val="0"/>
          <w:numId w:val="8"/>
        </w:numPr>
        <w:autoSpaceDE w:val="0"/>
        <w:autoSpaceDN w:val="0"/>
        <w:adjustRightInd w:val="0"/>
        <w:spacing w:before="240" w:after="160" w:line="360" w:lineRule="auto"/>
        <w:jc w:val="both"/>
        <w:rPr>
          <w:rFonts w:ascii="Palatino Linotype" w:hAnsi="Palatino Linotype" w:cs="Arial"/>
          <w:i/>
          <w:iCs/>
        </w:rPr>
      </w:pPr>
      <w:r w:rsidRPr="009D3186">
        <w:rPr>
          <w:rFonts w:ascii="Palatino Linotype" w:hAnsi="Palatino Linotype" w:cs="Arial"/>
          <w:i/>
          <w:iCs/>
        </w:rPr>
        <w:t xml:space="preserve">Resoluciones administrativas de suspensión temporal de </w:t>
      </w:r>
      <w:r w:rsidR="00B537E8">
        <w:rPr>
          <w:rFonts w:ascii="Palatino Linotype" w:hAnsi="Palatino Linotype" w:cs="Arial"/>
          <w:i/>
          <w:iCs/>
        </w:rPr>
        <w:t>establecimientos mercantiles</w:t>
      </w:r>
      <w:r w:rsidRPr="009D3186">
        <w:rPr>
          <w:rFonts w:ascii="Palatino Linotype" w:hAnsi="Palatino Linotype" w:cs="Arial"/>
          <w:i/>
          <w:iCs/>
        </w:rPr>
        <w:t xml:space="preserve"> </w:t>
      </w:r>
      <w:r w:rsidR="00797118">
        <w:rPr>
          <w:rFonts w:ascii="Palatino Linotype" w:hAnsi="Palatino Linotype" w:cs="Arial"/>
          <w:i/>
          <w:iCs/>
        </w:rPr>
        <w:t xml:space="preserve">del Municipio de Atenco </w:t>
      </w:r>
      <w:r w:rsidRPr="009D3186">
        <w:rPr>
          <w:rFonts w:ascii="Palatino Linotype" w:hAnsi="Palatino Linotype" w:cs="Arial"/>
          <w:i/>
          <w:iCs/>
        </w:rPr>
        <w:t xml:space="preserve">que incumplieron con el cierre oportuno en atención a la contingencia derivada de la pandemia del virus Covid-19, al diecinueve de mayo de dos mil veinte. </w:t>
      </w:r>
    </w:p>
    <w:p w14:paraId="5F5A6386" w14:textId="60997930" w:rsidR="00400A2B" w:rsidRPr="00E01CA7" w:rsidRDefault="00400A2B" w:rsidP="00400A2B">
      <w:pPr>
        <w:pStyle w:val="Prrafodelista"/>
        <w:spacing w:before="240" w:line="360" w:lineRule="auto"/>
        <w:ind w:left="720" w:right="819"/>
        <w:jc w:val="both"/>
        <w:rPr>
          <w:rFonts w:ascii="Palatino Linotype" w:hAnsi="Palatino Linotype" w:cs="Arial"/>
          <w:i/>
        </w:rPr>
      </w:pPr>
      <w:r>
        <w:rPr>
          <w:rFonts w:ascii="Palatino Linotype" w:hAnsi="Palatino Linotype" w:cs="Arial"/>
          <w:i/>
        </w:rPr>
        <w:t xml:space="preserve">En referencia al numeral </w:t>
      </w:r>
      <w:r w:rsidR="009D3186">
        <w:rPr>
          <w:rFonts w:ascii="Palatino Linotype" w:hAnsi="Palatino Linotype" w:cs="Arial"/>
          <w:i/>
        </w:rPr>
        <w:t>2</w:t>
      </w:r>
      <w:r>
        <w:rPr>
          <w:rFonts w:ascii="Palatino Linotype" w:hAnsi="Palatino Linotype" w:cs="Arial"/>
          <w:i/>
        </w:rPr>
        <w:t xml:space="preserve">, de no haber quedado firme alguno o varios de los asuntos atendidos, resulta procedente la entrega del acuerdo como información reservada. </w:t>
      </w:r>
    </w:p>
    <w:p w14:paraId="29A8FC86" w14:textId="77777777" w:rsidR="00400A2B" w:rsidRPr="00C56A1A" w:rsidRDefault="00400A2B" w:rsidP="00400A2B">
      <w:pPr>
        <w:pStyle w:val="Prrafodelista"/>
        <w:spacing w:before="240" w:line="360" w:lineRule="auto"/>
        <w:ind w:left="720" w:right="81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w:t>
      </w:r>
      <w:r>
        <w:rPr>
          <w:rFonts w:ascii="Palatino Linotype" w:hAnsi="Palatino Linotype" w:cs="Arial"/>
          <w:i/>
        </w:rPr>
        <w:lastRenderedPageBreak/>
        <w:t xml:space="preserve">de la Ley de Transparencia y Acceso a la Información Pública del Estado de México y Municipios, en el que funde y motive las razones sobre los datos que se supriman o eliminen y se ponga a disposición del recurrente. </w:t>
      </w:r>
    </w:p>
    <w:p w14:paraId="63745250" w14:textId="0086BC2E" w:rsidR="007A21C7" w:rsidRPr="00400A2B" w:rsidRDefault="007A21C7" w:rsidP="0039245A">
      <w:pPr>
        <w:spacing w:after="0" w:line="360" w:lineRule="auto"/>
        <w:jc w:val="both"/>
        <w:rPr>
          <w:rFonts w:ascii="Palatino Linotype" w:hAnsi="Palatino Linotype" w:cs="Arial"/>
          <w:noProof/>
          <w:color w:val="000000"/>
          <w:sz w:val="24"/>
          <w:lang w:val="es-ES" w:eastAsia="es-MX"/>
        </w:rPr>
      </w:pPr>
    </w:p>
    <w:p w14:paraId="485D47A8" w14:textId="77777777" w:rsidR="004F4792" w:rsidRDefault="004F4792" w:rsidP="004F479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D92C5E2" w14:textId="77777777" w:rsidR="004F4792" w:rsidRPr="00D05C83" w:rsidRDefault="004F4792" w:rsidP="004F4792">
      <w:pPr>
        <w:autoSpaceDE w:val="0"/>
        <w:autoSpaceDN w:val="0"/>
        <w:adjustRightInd w:val="0"/>
        <w:spacing w:before="240" w:line="360" w:lineRule="auto"/>
        <w:jc w:val="both"/>
        <w:rPr>
          <w:rFonts w:ascii="Palatino Linotype" w:hAnsi="Palatino Linotype" w:cs="Arial"/>
          <w:sz w:val="24"/>
          <w:szCs w:val="24"/>
        </w:rPr>
      </w:pPr>
    </w:p>
    <w:p w14:paraId="42BE3E60" w14:textId="16078FF2" w:rsidR="004F4792" w:rsidRPr="00827063" w:rsidRDefault="004F4792" w:rsidP="004F4792">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CUARTO</w:t>
      </w:r>
      <w:r w:rsidRPr="00475990">
        <w:rPr>
          <w:rFonts w:ascii="Palatino Linotype" w:hAnsi="Palatino Linotype" w:cs="Arial"/>
          <w:sz w:val="24"/>
          <w:szCs w:val="24"/>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w:t>
      </w:r>
      <w:r w:rsidR="00797118">
        <w:rPr>
          <w:rFonts w:ascii="Palatino Linotype" w:hAnsi="Palatino Linotype" w:cs="Arial"/>
          <w:sz w:val="24"/>
          <w:szCs w:val="24"/>
        </w:rPr>
        <w:t>l</w:t>
      </w:r>
      <w:r>
        <w:rPr>
          <w:rFonts w:ascii="Palatino Linotype" w:hAnsi="Palatino Linotype" w:cs="Arial"/>
          <w:b/>
          <w:sz w:val="24"/>
          <w:szCs w:val="24"/>
        </w:rPr>
        <w:t xml:space="preserve"> </w:t>
      </w:r>
      <w:r w:rsidRPr="00AF6553">
        <w:rPr>
          <w:rFonts w:ascii="Palatino Linotype" w:hAnsi="Palatino Linotype" w:cs="Arial"/>
          <w:b/>
          <w:sz w:val="24"/>
          <w:szCs w:val="24"/>
        </w:rPr>
        <w:t>RECURRENTE</w:t>
      </w:r>
      <w:r>
        <w:rPr>
          <w:rFonts w:ascii="Palatino Linotype" w:hAnsi="Palatino Linotype" w:cs="Arial"/>
          <w:b/>
          <w:sz w:val="24"/>
          <w:szCs w:val="24"/>
        </w:rPr>
        <w:t xml:space="preserve"> </w:t>
      </w:r>
      <w:r w:rsidRPr="00AF6553">
        <w:rPr>
          <w:rFonts w:ascii="Palatino Linotype" w:hAnsi="Palatino Linotype" w:cs="Arial"/>
          <w:b/>
          <w:sz w:val="24"/>
          <w:szCs w:val="24"/>
        </w:rPr>
        <w:t>a</w:t>
      </w:r>
      <w:r w:rsidRPr="00AF6553">
        <w:rPr>
          <w:rFonts w:ascii="Palatino Linotype" w:hAnsi="Palatino Linotype" w:cs="Arial"/>
          <w:sz w:val="24"/>
          <w:szCs w:val="24"/>
        </w:rPr>
        <w:t xml:space="preserve">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 </w:t>
      </w:r>
    </w:p>
    <w:p w14:paraId="176BC976" w14:textId="77777777" w:rsidR="004F4792" w:rsidRDefault="004F4792" w:rsidP="004F4792">
      <w:pPr>
        <w:autoSpaceDE w:val="0"/>
        <w:autoSpaceDN w:val="0"/>
        <w:adjustRightInd w:val="0"/>
        <w:spacing w:before="240" w:line="360" w:lineRule="auto"/>
        <w:jc w:val="both"/>
        <w:rPr>
          <w:rFonts w:ascii="Palatino Linotype" w:hAnsi="Palatino Linotype" w:cs="Arial"/>
          <w:b/>
          <w:sz w:val="24"/>
          <w:szCs w:val="24"/>
        </w:rPr>
      </w:pPr>
    </w:p>
    <w:p w14:paraId="1D1C6C84" w14:textId="392BE0FE" w:rsidR="004F4792" w:rsidRDefault="004F4792" w:rsidP="004F4792">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QUINTO.</w:t>
      </w:r>
      <w:r>
        <w:rPr>
          <w:rFonts w:ascii="Palatino Linotype" w:hAnsi="Palatino Linotype" w:cs="Arial"/>
          <w:b/>
          <w:sz w:val="28"/>
          <w:szCs w:val="28"/>
        </w:rPr>
        <w:t xml:space="preserve"> </w:t>
      </w:r>
      <w:r>
        <w:rPr>
          <w:rFonts w:ascii="Palatino Linotype" w:hAnsi="Palatino Linotype" w:cs="Arial"/>
          <w:sz w:val="24"/>
          <w:szCs w:val="24"/>
        </w:rPr>
        <w:t>Se hace del conocimiento de</w:t>
      </w:r>
      <w:r w:rsidR="00797118">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EC58BEF" w14:textId="00AF088F" w:rsidR="004F4792" w:rsidRDefault="004F4792" w:rsidP="004F4792">
      <w:pPr>
        <w:pStyle w:val="Prrafodelista"/>
        <w:spacing w:before="240" w:after="240" w:line="360" w:lineRule="auto"/>
        <w:ind w:left="0"/>
        <w:jc w:val="both"/>
        <w:rPr>
          <w:rFonts w:ascii="Palatino Linotype" w:hAnsi="Palatino Linotype"/>
          <w:lang w:val="es-MX"/>
        </w:rPr>
      </w:pPr>
    </w:p>
    <w:p w14:paraId="35FB4A1F" w14:textId="7043DF2F" w:rsidR="00443B76" w:rsidRDefault="00443B76" w:rsidP="00443B76">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CONFORMADO POR LOS COMISIONADOS ZULEMA MARTÍNEZ SÁNCHEZ, EVA ABAID YAPUR, JOSÉ GUADALUPE LUNA HERNÁNDEZ</w:t>
      </w:r>
      <w:r w:rsidR="00753476">
        <w:rPr>
          <w:rFonts w:ascii="Palatino Linotype" w:hAnsi="Palatino Linotype" w:cs="Arial"/>
          <w:sz w:val="24"/>
          <w:szCs w:val="24"/>
        </w:rPr>
        <w:t xml:space="preserve"> (VOTO PARTICULAR)</w:t>
      </w:r>
      <w:r w:rsidRPr="00272CE0">
        <w:rPr>
          <w:rFonts w:ascii="Palatino Linotype" w:hAnsi="Palatino Linotype" w:cs="Arial"/>
          <w:sz w:val="24"/>
          <w:szCs w:val="24"/>
        </w:rPr>
        <w:t xml:space="preserve">, JAVIER MARTÍNEZ CRUZ Y LUIS GUSTAVO PARRA NORIEGA </w:t>
      </w:r>
      <w:r w:rsidR="00753476">
        <w:rPr>
          <w:rFonts w:ascii="Palatino Linotype" w:hAnsi="Palatino Linotype" w:cs="Arial"/>
          <w:sz w:val="24"/>
          <w:szCs w:val="24"/>
        </w:rPr>
        <w:t>(VOTO PARTICULAR)</w:t>
      </w:r>
      <w:r w:rsidR="00AD25F0">
        <w:rPr>
          <w:rFonts w:ascii="Palatino Linotype" w:hAnsi="Palatino Linotype" w:cs="Arial"/>
          <w:sz w:val="24"/>
          <w:szCs w:val="24"/>
        </w:rPr>
        <w:t xml:space="preserve"> </w:t>
      </w:r>
      <w:r w:rsidRPr="00272CE0">
        <w:rPr>
          <w:rFonts w:ascii="Palatino Linotype" w:hAnsi="Palatino Linotype" w:cs="Arial"/>
          <w:sz w:val="24"/>
          <w:szCs w:val="24"/>
        </w:rPr>
        <w:t xml:space="preserve">EN LA DÉCIMA </w:t>
      </w:r>
      <w:r w:rsidR="008E15BF">
        <w:rPr>
          <w:rFonts w:ascii="Palatino Linotype" w:hAnsi="Palatino Linotype" w:cs="Arial"/>
          <w:sz w:val="24"/>
          <w:szCs w:val="24"/>
        </w:rPr>
        <w:t>NOVENA</w:t>
      </w:r>
      <w:r w:rsidRPr="00272CE0">
        <w:rPr>
          <w:rFonts w:ascii="Palatino Linotype" w:hAnsi="Palatino Linotype" w:cs="Arial"/>
          <w:sz w:val="24"/>
          <w:szCs w:val="24"/>
        </w:rPr>
        <w:t xml:space="preserve"> SESIÓN ORDINARIA CELEBRADA EL </w:t>
      </w:r>
      <w:r w:rsidR="008E15BF">
        <w:rPr>
          <w:rFonts w:ascii="Palatino Linotype" w:hAnsi="Palatino Linotype" w:cs="Arial"/>
          <w:sz w:val="24"/>
          <w:szCs w:val="24"/>
        </w:rPr>
        <w:t xml:space="preserve">VEINTITRÉS </w:t>
      </w:r>
      <w:r w:rsidR="00DC64BF">
        <w:rPr>
          <w:rFonts w:ascii="Palatino Linotype" w:hAnsi="Palatino Linotype" w:cs="Arial"/>
          <w:sz w:val="24"/>
          <w:szCs w:val="24"/>
        </w:rPr>
        <w:t>DE SEPTIEMBRE</w:t>
      </w:r>
      <w:r w:rsidRPr="00272CE0">
        <w:rPr>
          <w:rFonts w:ascii="Palatino Linotype" w:hAnsi="Palatino Linotype" w:cs="Arial"/>
          <w:sz w:val="24"/>
          <w:szCs w:val="24"/>
        </w:rPr>
        <w:t xml:space="preserve"> DE DOS MIL VEINTE, ANTE EL 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5369B2F3" w14:textId="487D82C4" w:rsidR="00443B76" w:rsidRDefault="008E15BF" w:rsidP="00443B76">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08416" behindDoc="0" locked="0" layoutInCell="1" allowOverlap="1" wp14:anchorId="120E8148" wp14:editId="5EA7D1FE">
                <wp:simplePos x="0" y="0"/>
                <wp:positionH relativeFrom="column">
                  <wp:posOffset>-429504</wp:posOffset>
                </wp:positionH>
                <wp:positionV relativeFrom="paragraph">
                  <wp:posOffset>62035</wp:posOffset>
                </wp:positionV>
                <wp:extent cx="6277414" cy="4536830"/>
                <wp:effectExtent l="0" t="0" r="28575" b="35560"/>
                <wp:wrapNone/>
                <wp:docPr id="2" name="Conector recto 2"/>
                <wp:cNvGraphicFramePr/>
                <a:graphic xmlns:a="http://schemas.openxmlformats.org/drawingml/2006/main">
                  <a:graphicData uri="http://schemas.microsoft.com/office/word/2010/wordprocessingShape">
                    <wps:wsp>
                      <wps:cNvCnPr/>
                      <wps:spPr>
                        <a:xfrm>
                          <a:off x="0" y="0"/>
                          <a:ext cx="6277414" cy="4536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C22F1" id="Conector recto 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4.9pt" to="460.5pt,3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" strokecolor="#5b9bd5 [3204]" strokeweight=".5pt">
                <v:stroke joinstyle="miter"/>
              </v:line>
            </w:pict>
          </mc:Fallback>
        </mc:AlternateContent>
      </w:r>
      <w:r w:rsidR="00443B76" w:rsidRPr="00D05C83">
        <w:rPr>
          <w:rFonts w:ascii="Palatino Linotype" w:hAnsi="Palatino Linotype" w:cs="Arial"/>
          <w:sz w:val="24"/>
          <w:szCs w:val="24"/>
        </w:rPr>
        <w:t xml:space="preserve"> </w:t>
      </w:r>
      <w:r w:rsidR="00443B76">
        <w:rPr>
          <w:rFonts w:ascii="Palatino Linotype" w:hAnsi="Palatino Linotype" w:cs="Arial"/>
          <w:sz w:val="24"/>
          <w:szCs w:val="24"/>
        </w:rPr>
        <w:t xml:space="preserve"> </w:t>
      </w:r>
    </w:p>
    <w:p w14:paraId="719DDD89" w14:textId="5048B94B" w:rsidR="00797118" w:rsidRDefault="00797118" w:rsidP="00443B76">
      <w:pPr>
        <w:spacing w:before="240" w:line="360" w:lineRule="auto"/>
        <w:jc w:val="both"/>
        <w:rPr>
          <w:rFonts w:ascii="Palatino Linotype" w:hAnsi="Palatino Linotype" w:cs="Arial"/>
          <w:sz w:val="24"/>
          <w:szCs w:val="24"/>
        </w:rPr>
      </w:pPr>
    </w:p>
    <w:p w14:paraId="10F95B13" w14:textId="49279FCC" w:rsidR="00797118" w:rsidRDefault="00797118" w:rsidP="00443B76">
      <w:pPr>
        <w:spacing w:before="240" w:line="360" w:lineRule="auto"/>
        <w:jc w:val="both"/>
        <w:rPr>
          <w:rFonts w:ascii="Palatino Linotype" w:hAnsi="Palatino Linotype" w:cs="Arial"/>
          <w:sz w:val="24"/>
          <w:szCs w:val="24"/>
        </w:rPr>
      </w:pPr>
    </w:p>
    <w:p w14:paraId="102A4248" w14:textId="403D9095" w:rsidR="00797118" w:rsidRDefault="00797118" w:rsidP="00443B76">
      <w:pPr>
        <w:spacing w:before="240" w:line="360" w:lineRule="auto"/>
        <w:jc w:val="both"/>
        <w:rPr>
          <w:rFonts w:ascii="Palatino Linotype" w:hAnsi="Palatino Linotype" w:cs="Arial"/>
          <w:sz w:val="24"/>
          <w:szCs w:val="24"/>
        </w:rPr>
      </w:pPr>
    </w:p>
    <w:p w14:paraId="14E08876" w14:textId="04DFD2AA" w:rsidR="00797118" w:rsidRDefault="00797118" w:rsidP="00443B76">
      <w:pPr>
        <w:spacing w:before="240" w:line="360" w:lineRule="auto"/>
        <w:jc w:val="both"/>
        <w:rPr>
          <w:rFonts w:ascii="Palatino Linotype" w:hAnsi="Palatino Linotype" w:cs="Arial"/>
          <w:sz w:val="24"/>
          <w:szCs w:val="24"/>
        </w:rPr>
      </w:pPr>
    </w:p>
    <w:p w14:paraId="19A1754A" w14:textId="621D4DD4" w:rsidR="00797118" w:rsidRDefault="00797118" w:rsidP="00443B76">
      <w:pPr>
        <w:spacing w:before="240" w:line="360" w:lineRule="auto"/>
        <w:jc w:val="both"/>
        <w:rPr>
          <w:rFonts w:ascii="Palatino Linotype" w:hAnsi="Palatino Linotype" w:cs="Arial"/>
          <w:sz w:val="24"/>
          <w:szCs w:val="24"/>
        </w:rPr>
      </w:pPr>
    </w:p>
    <w:p w14:paraId="193FB5D4" w14:textId="3C2F4A80" w:rsidR="00797118" w:rsidRDefault="00797118" w:rsidP="00443B76">
      <w:pPr>
        <w:spacing w:before="240" w:line="360" w:lineRule="auto"/>
        <w:jc w:val="both"/>
        <w:rPr>
          <w:rFonts w:ascii="Palatino Linotype" w:hAnsi="Palatino Linotype" w:cs="Arial"/>
          <w:sz w:val="24"/>
          <w:szCs w:val="24"/>
        </w:rPr>
      </w:pPr>
    </w:p>
    <w:p w14:paraId="7D49EB16" w14:textId="17CC9BFD" w:rsidR="00797118" w:rsidRDefault="00797118" w:rsidP="00443B76">
      <w:pPr>
        <w:spacing w:before="240" w:line="360" w:lineRule="auto"/>
        <w:jc w:val="both"/>
        <w:rPr>
          <w:rFonts w:ascii="Palatino Linotype" w:hAnsi="Palatino Linotype" w:cs="Arial"/>
          <w:sz w:val="24"/>
          <w:szCs w:val="24"/>
        </w:rPr>
      </w:pPr>
    </w:p>
    <w:p w14:paraId="1F88E917" w14:textId="6262E953" w:rsidR="00797118" w:rsidRDefault="00797118" w:rsidP="00443B76">
      <w:pPr>
        <w:spacing w:before="240" w:line="360" w:lineRule="auto"/>
        <w:jc w:val="both"/>
        <w:rPr>
          <w:rFonts w:ascii="Palatino Linotype" w:hAnsi="Palatino Linotype" w:cs="Arial"/>
          <w:sz w:val="24"/>
          <w:szCs w:val="24"/>
        </w:rPr>
      </w:pPr>
    </w:p>
    <w:p w14:paraId="079E0A6B" w14:textId="5502689C" w:rsidR="00797118" w:rsidRDefault="00797118" w:rsidP="00443B76">
      <w:pPr>
        <w:spacing w:before="240" w:line="360" w:lineRule="auto"/>
        <w:jc w:val="both"/>
        <w:rPr>
          <w:rFonts w:ascii="Palatino Linotype" w:hAnsi="Palatino Linotype" w:cs="Arial"/>
          <w:sz w:val="24"/>
          <w:szCs w:val="24"/>
        </w:rPr>
      </w:pPr>
    </w:p>
    <w:p w14:paraId="0C20871F" w14:textId="77777777" w:rsidR="00797118" w:rsidRDefault="00797118" w:rsidP="00443B76">
      <w:pPr>
        <w:spacing w:before="240" w:line="360" w:lineRule="auto"/>
        <w:jc w:val="both"/>
        <w:rPr>
          <w:rFonts w:ascii="Palatino Linotype" w:hAnsi="Palatino Linotype" w:cs="Arial"/>
          <w:sz w:val="24"/>
          <w:szCs w:val="24"/>
        </w:rPr>
      </w:pPr>
    </w:p>
    <w:p w14:paraId="1902F0D1" w14:textId="77777777" w:rsidR="00443B76" w:rsidRPr="00D05C83" w:rsidRDefault="00443B76" w:rsidP="00443B7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774D2851" wp14:editId="6610AE19">
                <wp:simplePos x="0" y="0"/>
                <wp:positionH relativeFrom="page">
                  <wp:posOffset>2600325</wp:posOffset>
                </wp:positionH>
                <wp:positionV relativeFrom="paragraph">
                  <wp:posOffset>178435</wp:posOffset>
                </wp:positionV>
                <wp:extent cx="2551430" cy="971550"/>
                <wp:effectExtent l="0" t="0" r="20320" b="19050"/>
                <wp:wrapNone/>
                <wp:docPr id="12" name="Cuadro de texto 1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0C8B4F" w14:textId="77777777" w:rsidR="008A2709" w:rsidRPr="00EF2FC0" w:rsidRDefault="008A2709" w:rsidP="00443B76">
                            <w:pPr>
                              <w:jc w:val="center"/>
                              <w:rPr>
                                <w:rFonts w:ascii="Palatino Linotype" w:hAnsi="Palatino Linotype"/>
                              </w:rPr>
                            </w:pPr>
                            <w:r w:rsidRPr="00EF2FC0">
                              <w:rPr>
                                <w:rFonts w:ascii="Palatino Linotype" w:hAnsi="Palatino Linotype"/>
                                <w:b/>
                              </w:rPr>
                              <w:t>Zulema Martínez Sánchez</w:t>
                            </w:r>
                          </w:p>
                          <w:p w14:paraId="5F493229" w14:textId="77777777" w:rsidR="008A2709" w:rsidRDefault="008A2709" w:rsidP="00443B76">
                            <w:pPr>
                              <w:jc w:val="center"/>
                              <w:rPr>
                                <w:rFonts w:ascii="Palatino Linotype" w:hAnsi="Palatino Linotype"/>
                              </w:rPr>
                            </w:pPr>
                            <w:r>
                              <w:rPr>
                                <w:rFonts w:ascii="Palatino Linotype" w:hAnsi="Palatino Linotype"/>
                              </w:rPr>
                              <w:t>Comisionada Presidenta</w:t>
                            </w:r>
                          </w:p>
                          <w:p w14:paraId="16162E48" w14:textId="77777777" w:rsidR="008A2709" w:rsidRDefault="008A2709" w:rsidP="00443B76">
                            <w:pPr>
                              <w:jc w:val="center"/>
                              <w:rPr>
                                <w:rFonts w:ascii="Palatino Linotype" w:hAnsi="Palatino Linotype"/>
                                <w:b/>
                              </w:rPr>
                            </w:pPr>
                            <w:r>
                              <w:rPr>
                                <w:rFonts w:ascii="Palatino Linotype" w:hAnsi="Palatino Linotype"/>
                                <w:b/>
                              </w:rPr>
                              <w:t>(Rúbrica).</w:t>
                            </w:r>
                          </w:p>
                          <w:p w14:paraId="6BFA3C65" w14:textId="77777777" w:rsidR="008A2709" w:rsidRPr="00016AF3" w:rsidRDefault="008A2709" w:rsidP="00443B7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D2851" id="_x0000_t202" coordsize="21600,21600" o:spt="202" path="m,l,21600r21600,l21600,xe">
                <v:stroke joinstyle="miter"/>
                <v:path gradientshapeok="t" o:connecttype="rect"/>
              </v:shapetype>
              <v:shape id="Cuadro de texto 12" o:spid="_x0000_s1026" type="#_x0000_t202" style="position:absolute;left:0;text-align:left;margin-left:204.75pt;margin-top:14.05pt;width:200.9pt;height:76.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yF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Q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tKchZICAAC7BQAADgAAAAAAAAAAAAAAAAAuAgAAZHJzL2Uyb0RvYy54bWxQ&#10;SwECLQAUAAYACAAAACEAXjOe0N4AAAAKAQAADwAAAAAAAAAAAAAAAADsBAAAZHJzL2Rvd25yZXYu&#10;eG1sUEsFBgAAAAAEAAQA8wAAAPcFAAAAAA==&#10;" fillcolor="white [3201]" strokecolor="white [3212]" strokeweight=".5pt">
                <v:textbox>
                  <w:txbxContent>
                    <w:p w14:paraId="3F0C8B4F" w14:textId="77777777" w:rsidR="008A2709" w:rsidRPr="00EF2FC0" w:rsidRDefault="008A2709" w:rsidP="00443B76">
                      <w:pPr>
                        <w:jc w:val="center"/>
                        <w:rPr>
                          <w:rFonts w:ascii="Palatino Linotype" w:hAnsi="Palatino Linotype"/>
                        </w:rPr>
                      </w:pPr>
                      <w:r w:rsidRPr="00EF2FC0">
                        <w:rPr>
                          <w:rFonts w:ascii="Palatino Linotype" w:hAnsi="Palatino Linotype"/>
                          <w:b/>
                        </w:rPr>
                        <w:t>Zulema Martínez Sánchez</w:t>
                      </w:r>
                    </w:p>
                    <w:p w14:paraId="5F493229" w14:textId="77777777" w:rsidR="008A2709" w:rsidRDefault="008A2709" w:rsidP="00443B76">
                      <w:pPr>
                        <w:jc w:val="center"/>
                        <w:rPr>
                          <w:rFonts w:ascii="Palatino Linotype" w:hAnsi="Palatino Linotype"/>
                        </w:rPr>
                      </w:pPr>
                      <w:r>
                        <w:rPr>
                          <w:rFonts w:ascii="Palatino Linotype" w:hAnsi="Palatino Linotype"/>
                        </w:rPr>
                        <w:t>Comisionada Presidenta</w:t>
                      </w:r>
                    </w:p>
                    <w:p w14:paraId="16162E48" w14:textId="77777777" w:rsidR="008A2709" w:rsidRDefault="008A2709" w:rsidP="00443B76">
                      <w:pPr>
                        <w:jc w:val="center"/>
                        <w:rPr>
                          <w:rFonts w:ascii="Palatino Linotype" w:hAnsi="Palatino Linotype"/>
                          <w:b/>
                        </w:rPr>
                      </w:pPr>
                      <w:r>
                        <w:rPr>
                          <w:rFonts w:ascii="Palatino Linotype" w:hAnsi="Palatino Linotype"/>
                          <w:b/>
                        </w:rPr>
                        <w:t>(Rúbrica).</w:t>
                      </w:r>
                    </w:p>
                    <w:p w14:paraId="6BFA3C65" w14:textId="77777777" w:rsidR="008A2709" w:rsidRPr="00016AF3" w:rsidRDefault="008A2709" w:rsidP="00443B76">
                      <w:pPr>
                        <w:jc w:val="center"/>
                        <w:rPr>
                          <w:rFonts w:ascii="Palatino Linotype" w:hAnsi="Palatino Linotype"/>
                          <w:b/>
                        </w:rPr>
                      </w:pPr>
                    </w:p>
                  </w:txbxContent>
                </v:textbox>
                <w10:wrap anchorx="page"/>
              </v:shape>
            </w:pict>
          </mc:Fallback>
        </mc:AlternateContent>
      </w:r>
    </w:p>
    <w:p w14:paraId="20DD41EB" w14:textId="77777777" w:rsidR="00443B76" w:rsidRDefault="00443B76" w:rsidP="00443B76">
      <w:pPr>
        <w:autoSpaceDE w:val="0"/>
        <w:autoSpaceDN w:val="0"/>
        <w:adjustRightInd w:val="0"/>
        <w:spacing w:before="240" w:line="480" w:lineRule="auto"/>
        <w:jc w:val="both"/>
        <w:rPr>
          <w:rFonts w:ascii="Palatino Linotype" w:hAnsi="Palatino Linotype" w:cs="Arial"/>
          <w:sz w:val="24"/>
          <w:szCs w:val="24"/>
        </w:rPr>
      </w:pPr>
    </w:p>
    <w:p w14:paraId="63368C7E" w14:textId="77777777" w:rsidR="00443B76" w:rsidRDefault="00443B76" w:rsidP="00443B7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28F3ECE5" wp14:editId="30D3D1AD">
                <wp:simplePos x="0" y="0"/>
                <wp:positionH relativeFrom="margin">
                  <wp:posOffset>-333375</wp:posOffset>
                </wp:positionH>
                <wp:positionV relativeFrom="paragraph">
                  <wp:posOffset>619760</wp:posOffset>
                </wp:positionV>
                <wp:extent cx="2486025" cy="89535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EBF064" w14:textId="77777777" w:rsidR="008A2709" w:rsidRPr="00EF2FC0" w:rsidRDefault="008A2709" w:rsidP="00443B76">
                            <w:pPr>
                              <w:jc w:val="center"/>
                              <w:rPr>
                                <w:rFonts w:ascii="Palatino Linotype" w:hAnsi="Palatino Linotype"/>
                                <w:b/>
                              </w:rPr>
                            </w:pPr>
                            <w:r w:rsidRPr="00EF2FC0">
                              <w:rPr>
                                <w:rFonts w:ascii="Palatino Linotype" w:hAnsi="Palatino Linotype"/>
                                <w:b/>
                              </w:rPr>
                              <w:t>Eva Abaid Yapur</w:t>
                            </w:r>
                          </w:p>
                          <w:p w14:paraId="6B721659" w14:textId="77777777" w:rsidR="008A2709" w:rsidRPr="00EF2FC0" w:rsidRDefault="008A2709" w:rsidP="00443B76">
                            <w:pPr>
                              <w:jc w:val="center"/>
                              <w:rPr>
                                <w:rFonts w:ascii="Palatino Linotype" w:hAnsi="Palatino Linotype"/>
                              </w:rPr>
                            </w:pPr>
                            <w:r w:rsidRPr="00EF2FC0">
                              <w:rPr>
                                <w:rFonts w:ascii="Palatino Linotype" w:hAnsi="Palatino Linotype"/>
                              </w:rPr>
                              <w:t>Comisionada</w:t>
                            </w:r>
                          </w:p>
                          <w:p w14:paraId="12D05570" w14:textId="77777777" w:rsidR="008A2709" w:rsidRDefault="008A2709" w:rsidP="00443B76">
                            <w:pPr>
                              <w:jc w:val="center"/>
                              <w:rPr>
                                <w:rFonts w:ascii="Palatino Linotype" w:hAnsi="Palatino Linotype"/>
                                <w:b/>
                              </w:rPr>
                            </w:pPr>
                            <w:r>
                              <w:rPr>
                                <w:rFonts w:ascii="Palatino Linotype" w:hAnsi="Palatino Linotype"/>
                                <w:b/>
                              </w:rPr>
                              <w:t>(Rúbrica).</w:t>
                            </w:r>
                          </w:p>
                          <w:p w14:paraId="5D6A5BF7" w14:textId="77777777" w:rsidR="008A2709" w:rsidRDefault="008A2709" w:rsidP="00443B7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3ECE5" id="Cuadro de texto 13" o:spid="_x0000_s1027" type="#_x0000_t202" style="position:absolute;left:0;text-align:left;margin-left:-26.25pt;margin-top:48.8pt;width:195.75pt;height:7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E02GVlAIAAMIFAAAOAAAAAAAAAAAAAAAAAC4CAABkcnMvZTJvRG9j&#10;LnhtbFBLAQItABQABgAIAAAAIQBvPLxT4QAAAAoBAAAPAAAAAAAAAAAAAAAAAO4EAABkcnMvZG93&#10;bnJldi54bWxQSwUGAAAAAAQABADzAAAA/AUAAAAA&#10;" fillcolor="white [3201]" strokecolor="white [3212]" strokeweight=".5pt">
                <v:textbox>
                  <w:txbxContent>
                    <w:p w14:paraId="79EBF064" w14:textId="77777777" w:rsidR="008A2709" w:rsidRPr="00EF2FC0" w:rsidRDefault="008A2709" w:rsidP="00443B76">
                      <w:pPr>
                        <w:jc w:val="center"/>
                        <w:rPr>
                          <w:rFonts w:ascii="Palatino Linotype" w:hAnsi="Palatino Linotype"/>
                          <w:b/>
                        </w:rPr>
                      </w:pPr>
                      <w:r w:rsidRPr="00EF2FC0">
                        <w:rPr>
                          <w:rFonts w:ascii="Palatino Linotype" w:hAnsi="Palatino Linotype"/>
                          <w:b/>
                        </w:rPr>
                        <w:t>Eva Abaid Yapur</w:t>
                      </w:r>
                    </w:p>
                    <w:p w14:paraId="6B721659" w14:textId="77777777" w:rsidR="008A2709" w:rsidRPr="00EF2FC0" w:rsidRDefault="008A2709" w:rsidP="00443B76">
                      <w:pPr>
                        <w:jc w:val="center"/>
                        <w:rPr>
                          <w:rFonts w:ascii="Palatino Linotype" w:hAnsi="Palatino Linotype"/>
                        </w:rPr>
                      </w:pPr>
                      <w:r w:rsidRPr="00EF2FC0">
                        <w:rPr>
                          <w:rFonts w:ascii="Palatino Linotype" w:hAnsi="Palatino Linotype"/>
                        </w:rPr>
                        <w:t>Comisionada</w:t>
                      </w:r>
                    </w:p>
                    <w:p w14:paraId="12D05570" w14:textId="77777777" w:rsidR="008A2709" w:rsidRDefault="008A2709" w:rsidP="00443B76">
                      <w:pPr>
                        <w:jc w:val="center"/>
                        <w:rPr>
                          <w:rFonts w:ascii="Palatino Linotype" w:hAnsi="Palatino Linotype"/>
                          <w:b/>
                        </w:rPr>
                      </w:pPr>
                      <w:r>
                        <w:rPr>
                          <w:rFonts w:ascii="Palatino Linotype" w:hAnsi="Palatino Linotype"/>
                          <w:b/>
                        </w:rPr>
                        <w:t>(Rúbrica).</w:t>
                      </w:r>
                    </w:p>
                    <w:p w14:paraId="5D6A5BF7" w14:textId="77777777" w:rsidR="008A2709" w:rsidRDefault="008A2709" w:rsidP="00443B76">
                      <w:pPr>
                        <w:jc w:val="center"/>
                      </w:pPr>
                    </w:p>
                  </w:txbxContent>
                </v:textbox>
                <w10:wrap anchorx="margin"/>
              </v:shape>
            </w:pict>
          </mc:Fallback>
        </mc:AlternateContent>
      </w:r>
    </w:p>
    <w:p w14:paraId="3EB8997C" w14:textId="77777777" w:rsidR="00443B76" w:rsidRDefault="00443B76" w:rsidP="00443B7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491FB470" wp14:editId="42CF5F53">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6E7FF" w14:textId="77777777" w:rsidR="008A2709" w:rsidRPr="00EF2FC0" w:rsidRDefault="008A2709" w:rsidP="00443B76">
                            <w:pPr>
                              <w:jc w:val="center"/>
                              <w:rPr>
                                <w:rFonts w:ascii="Palatino Linotype" w:hAnsi="Palatino Linotype"/>
                              </w:rPr>
                            </w:pPr>
                            <w:r>
                              <w:rPr>
                                <w:rFonts w:ascii="Palatino Linotype" w:hAnsi="Palatino Linotype"/>
                                <w:b/>
                              </w:rPr>
                              <w:t>José Guadalupe Luna Hernández</w:t>
                            </w:r>
                          </w:p>
                          <w:p w14:paraId="250F169A" w14:textId="77777777" w:rsidR="008A2709" w:rsidRDefault="008A2709" w:rsidP="00443B76">
                            <w:pPr>
                              <w:jc w:val="center"/>
                              <w:rPr>
                                <w:rFonts w:ascii="Palatino Linotype" w:hAnsi="Palatino Linotype"/>
                              </w:rPr>
                            </w:pPr>
                            <w:r w:rsidRPr="00EF2FC0">
                              <w:rPr>
                                <w:rFonts w:ascii="Palatino Linotype" w:hAnsi="Palatino Linotype"/>
                              </w:rPr>
                              <w:t>Comisionado</w:t>
                            </w:r>
                          </w:p>
                          <w:p w14:paraId="4EE2DA2D" w14:textId="77777777" w:rsidR="008A2709" w:rsidRPr="009234AD" w:rsidRDefault="008A2709" w:rsidP="00443B7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FB470" id="Cuadro de texto 23" o:spid="_x0000_s1028" type="#_x0000_t202" style="position:absolute;left:0;text-align:left;margin-left:280.2pt;margin-top:6.7pt;width:200.25pt;height:7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5456E7FF" w14:textId="77777777" w:rsidR="008A2709" w:rsidRPr="00EF2FC0" w:rsidRDefault="008A2709" w:rsidP="00443B76">
                      <w:pPr>
                        <w:jc w:val="center"/>
                        <w:rPr>
                          <w:rFonts w:ascii="Palatino Linotype" w:hAnsi="Palatino Linotype"/>
                        </w:rPr>
                      </w:pPr>
                      <w:r>
                        <w:rPr>
                          <w:rFonts w:ascii="Palatino Linotype" w:hAnsi="Palatino Linotype"/>
                          <w:b/>
                        </w:rPr>
                        <w:t>José Guadalupe Luna Hernández</w:t>
                      </w:r>
                    </w:p>
                    <w:p w14:paraId="250F169A" w14:textId="77777777" w:rsidR="008A2709" w:rsidRDefault="008A2709" w:rsidP="00443B76">
                      <w:pPr>
                        <w:jc w:val="center"/>
                        <w:rPr>
                          <w:rFonts w:ascii="Palatino Linotype" w:hAnsi="Palatino Linotype"/>
                        </w:rPr>
                      </w:pPr>
                      <w:r w:rsidRPr="00EF2FC0">
                        <w:rPr>
                          <w:rFonts w:ascii="Palatino Linotype" w:hAnsi="Palatino Linotype"/>
                        </w:rPr>
                        <w:t>Comisionado</w:t>
                      </w:r>
                    </w:p>
                    <w:p w14:paraId="4EE2DA2D" w14:textId="77777777" w:rsidR="008A2709" w:rsidRPr="009234AD" w:rsidRDefault="008A2709" w:rsidP="00443B7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AE51079" w14:textId="77777777" w:rsidR="00443B76" w:rsidRPr="00D54B7D" w:rsidRDefault="00443B76" w:rsidP="00443B76">
      <w:pPr>
        <w:spacing w:before="240" w:line="480" w:lineRule="auto"/>
        <w:jc w:val="both"/>
        <w:rPr>
          <w:rFonts w:ascii="Palatino Linotype" w:hAnsi="Palatino Linotype"/>
        </w:rPr>
      </w:pPr>
    </w:p>
    <w:p w14:paraId="50B5D769" w14:textId="77777777" w:rsidR="00443B76" w:rsidRDefault="00443B76" w:rsidP="00443B7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7671B4F7" wp14:editId="7280C67C">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CE15" w14:textId="77777777" w:rsidR="008A2709" w:rsidRPr="00EF2FC0" w:rsidRDefault="008A2709" w:rsidP="00443B76">
                            <w:pPr>
                              <w:jc w:val="center"/>
                              <w:rPr>
                                <w:rFonts w:ascii="Palatino Linotype" w:hAnsi="Palatino Linotype"/>
                              </w:rPr>
                            </w:pPr>
                            <w:r w:rsidRPr="00EF2FC0">
                              <w:rPr>
                                <w:rFonts w:ascii="Palatino Linotype" w:hAnsi="Palatino Linotype"/>
                                <w:b/>
                              </w:rPr>
                              <w:t>Javier Martínez Cruz</w:t>
                            </w:r>
                          </w:p>
                          <w:p w14:paraId="6B66DE62" w14:textId="77777777" w:rsidR="008A2709" w:rsidRDefault="008A2709" w:rsidP="00443B76">
                            <w:pPr>
                              <w:jc w:val="center"/>
                              <w:rPr>
                                <w:rFonts w:ascii="Palatino Linotype" w:hAnsi="Palatino Linotype"/>
                              </w:rPr>
                            </w:pPr>
                            <w:r w:rsidRPr="00EF2FC0">
                              <w:rPr>
                                <w:rFonts w:ascii="Palatino Linotype" w:hAnsi="Palatino Linotype"/>
                              </w:rPr>
                              <w:t>Comisionado</w:t>
                            </w:r>
                          </w:p>
                          <w:p w14:paraId="646E3F06" w14:textId="77777777" w:rsidR="008A2709" w:rsidRPr="00F55D03" w:rsidRDefault="008A2709" w:rsidP="00443B76">
                            <w:pPr>
                              <w:jc w:val="center"/>
                              <w:rPr>
                                <w:rFonts w:ascii="Palatino Linotype" w:hAnsi="Palatino Linotype"/>
                                <w:b/>
                              </w:rPr>
                            </w:pPr>
                            <w:r>
                              <w:rPr>
                                <w:rFonts w:ascii="Palatino Linotype" w:hAnsi="Palatino Linotype"/>
                                <w:b/>
                              </w:rPr>
                              <w:t>(Rúbrica).</w:t>
                            </w:r>
                          </w:p>
                          <w:p w14:paraId="7474B8E5" w14:textId="77777777" w:rsidR="008A2709" w:rsidRDefault="008A2709" w:rsidP="00443B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1B4F7" id="Cuadro de texto 24" o:spid="_x0000_s1029" type="#_x0000_t202" style="position:absolute;margin-left:-23.55pt;margin-top:45.9pt;width:195.7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6FD8CE15" w14:textId="77777777" w:rsidR="008A2709" w:rsidRPr="00EF2FC0" w:rsidRDefault="008A2709" w:rsidP="00443B76">
                      <w:pPr>
                        <w:jc w:val="center"/>
                        <w:rPr>
                          <w:rFonts w:ascii="Palatino Linotype" w:hAnsi="Palatino Linotype"/>
                        </w:rPr>
                      </w:pPr>
                      <w:r w:rsidRPr="00EF2FC0">
                        <w:rPr>
                          <w:rFonts w:ascii="Palatino Linotype" w:hAnsi="Palatino Linotype"/>
                          <w:b/>
                        </w:rPr>
                        <w:t>Javier Martínez Cruz</w:t>
                      </w:r>
                    </w:p>
                    <w:p w14:paraId="6B66DE62" w14:textId="77777777" w:rsidR="008A2709" w:rsidRDefault="008A2709" w:rsidP="00443B76">
                      <w:pPr>
                        <w:jc w:val="center"/>
                        <w:rPr>
                          <w:rFonts w:ascii="Palatino Linotype" w:hAnsi="Palatino Linotype"/>
                        </w:rPr>
                      </w:pPr>
                      <w:r w:rsidRPr="00EF2FC0">
                        <w:rPr>
                          <w:rFonts w:ascii="Palatino Linotype" w:hAnsi="Palatino Linotype"/>
                        </w:rPr>
                        <w:t>Comisionado</w:t>
                      </w:r>
                    </w:p>
                    <w:p w14:paraId="646E3F06" w14:textId="77777777" w:rsidR="008A2709" w:rsidRPr="00F55D03" w:rsidRDefault="008A2709" w:rsidP="00443B76">
                      <w:pPr>
                        <w:jc w:val="center"/>
                        <w:rPr>
                          <w:rFonts w:ascii="Palatino Linotype" w:hAnsi="Palatino Linotype"/>
                          <w:b/>
                        </w:rPr>
                      </w:pPr>
                      <w:r>
                        <w:rPr>
                          <w:rFonts w:ascii="Palatino Linotype" w:hAnsi="Palatino Linotype"/>
                          <w:b/>
                        </w:rPr>
                        <w:t>(Rúbrica).</w:t>
                      </w:r>
                    </w:p>
                    <w:p w14:paraId="7474B8E5" w14:textId="77777777" w:rsidR="008A2709" w:rsidRDefault="008A2709" w:rsidP="00443B76"/>
                  </w:txbxContent>
                </v:textbox>
                <w10:wrap anchorx="margin"/>
              </v:shape>
            </w:pict>
          </mc:Fallback>
        </mc:AlternateContent>
      </w:r>
    </w:p>
    <w:p w14:paraId="6B15AEBC" w14:textId="77777777" w:rsidR="00443B76" w:rsidRDefault="00443B76" w:rsidP="00443B7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24CA3B3A" wp14:editId="7D4EEBBF">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E622BA" w14:textId="77777777" w:rsidR="008A2709" w:rsidRPr="00EF2FC0" w:rsidRDefault="008A2709" w:rsidP="00443B76">
                            <w:pPr>
                              <w:jc w:val="center"/>
                              <w:rPr>
                                <w:rFonts w:ascii="Palatino Linotype" w:hAnsi="Palatino Linotype"/>
                              </w:rPr>
                            </w:pPr>
                            <w:r>
                              <w:rPr>
                                <w:rFonts w:ascii="Palatino Linotype" w:hAnsi="Palatino Linotype"/>
                                <w:b/>
                              </w:rPr>
                              <w:t>Luis Gustavo Parra Noriega</w:t>
                            </w:r>
                          </w:p>
                          <w:p w14:paraId="63CF0505" w14:textId="77777777" w:rsidR="008A2709" w:rsidRDefault="008A2709" w:rsidP="00443B76">
                            <w:pPr>
                              <w:jc w:val="center"/>
                              <w:rPr>
                                <w:rFonts w:ascii="Palatino Linotype" w:hAnsi="Palatino Linotype"/>
                              </w:rPr>
                            </w:pPr>
                            <w:r w:rsidRPr="00EF2FC0">
                              <w:rPr>
                                <w:rFonts w:ascii="Palatino Linotype" w:hAnsi="Palatino Linotype"/>
                              </w:rPr>
                              <w:t>Comisionado</w:t>
                            </w:r>
                          </w:p>
                          <w:p w14:paraId="761F2E4A" w14:textId="77777777" w:rsidR="008A2709" w:rsidRDefault="008A2709" w:rsidP="00096C6C">
                            <w:pPr>
                              <w:jc w:val="center"/>
                              <w:rPr>
                                <w:rFonts w:ascii="Palatino Linotype" w:hAnsi="Palatino Linotype"/>
                                <w:b/>
                              </w:rPr>
                            </w:pPr>
                            <w:r>
                              <w:rPr>
                                <w:rFonts w:ascii="Palatino Linotype" w:hAnsi="Palatino Linotype"/>
                                <w:b/>
                              </w:rPr>
                              <w:t>(Rúbrica).</w:t>
                            </w:r>
                          </w:p>
                          <w:p w14:paraId="6846E44E" w14:textId="77777777" w:rsidR="008A2709" w:rsidRDefault="008A2709" w:rsidP="00443B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3B3A" id="Cuadro de texto 25" o:spid="_x0000_s1030" type="#_x0000_t202" style="position:absolute;margin-left:281.7pt;margin-top:4.2pt;width:200.25pt;height:7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3CE622BA" w14:textId="77777777" w:rsidR="008A2709" w:rsidRPr="00EF2FC0" w:rsidRDefault="008A2709" w:rsidP="00443B76">
                      <w:pPr>
                        <w:jc w:val="center"/>
                        <w:rPr>
                          <w:rFonts w:ascii="Palatino Linotype" w:hAnsi="Palatino Linotype"/>
                        </w:rPr>
                      </w:pPr>
                      <w:r>
                        <w:rPr>
                          <w:rFonts w:ascii="Palatino Linotype" w:hAnsi="Palatino Linotype"/>
                          <w:b/>
                        </w:rPr>
                        <w:t>Luis Gustavo Parra Noriega</w:t>
                      </w:r>
                    </w:p>
                    <w:p w14:paraId="63CF0505" w14:textId="77777777" w:rsidR="008A2709" w:rsidRDefault="008A2709" w:rsidP="00443B76">
                      <w:pPr>
                        <w:jc w:val="center"/>
                        <w:rPr>
                          <w:rFonts w:ascii="Palatino Linotype" w:hAnsi="Palatino Linotype"/>
                        </w:rPr>
                      </w:pPr>
                      <w:r w:rsidRPr="00EF2FC0">
                        <w:rPr>
                          <w:rFonts w:ascii="Palatino Linotype" w:hAnsi="Palatino Linotype"/>
                        </w:rPr>
                        <w:t>Comisionado</w:t>
                      </w:r>
                    </w:p>
                    <w:p w14:paraId="761F2E4A" w14:textId="77777777" w:rsidR="008A2709" w:rsidRDefault="008A2709" w:rsidP="00096C6C">
                      <w:pPr>
                        <w:jc w:val="center"/>
                        <w:rPr>
                          <w:rFonts w:ascii="Palatino Linotype" w:hAnsi="Palatino Linotype"/>
                          <w:b/>
                        </w:rPr>
                      </w:pPr>
                      <w:r>
                        <w:rPr>
                          <w:rFonts w:ascii="Palatino Linotype" w:hAnsi="Palatino Linotype"/>
                          <w:b/>
                        </w:rPr>
                        <w:t>(Rúbrica).</w:t>
                      </w:r>
                    </w:p>
                    <w:p w14:paraId="6846E44E" w14:textId="77777777" w:rsidR="008A2709" w:rsidRDefault="008A2709" w:rsidP="00443B76"/>
                  </w:txbxContent>
                </v:textbox>
                <w10:wrap anchorx="margin"/>
              </v:shape>
            </w:pict>
          </mc:Fallback>
        </mc:AlternateContent>
      </w:r>
    </w:p>
    <w:p w14:paraId="39DD4919" w14:textId="77777777" w:rsidR="00443B76" w:rsidRDefault="00443B76" w:rsidP="00443B76">
      <w:pPr>
        <w:spacing w:before="240" w:line="480" w:lineRule="auto"/>
        <w:rPr>
          <w:rFonts w:ascii="Palatino Linotype" w:hAnsi="Palatino Linotype"/>
          <w:b/>
        </w:rPr>
      </w:pPr>
    </w:p>
    <w:p w14:paraId="794A2603" w14:textId="77777777" w:rsidR="00443B76" w:rsidRDefault="00443B76" w:rsidP="00443B7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57B700C3" wp14:editId="514B66ED">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B17DB9" w14:textId="77777777" w:rsidR="008A2709" w:rsidRPr="007F6133" w:rsidRDefault="008A2709" w:rsidP="00443B76">
                            <w:pPr>
                              <w:jc w:val="center"/>
                              <w:rPr>
                                <w:rFonts w:ascii="Palatino Linotype" w:hAnsi="Palatino Linotype"/>
                                <w:b/>
                              </w:rPr>
                            </w:pPr>
                            <w:r>
                              <w:rPr>
                                <w:rFonts w:ascii="Palatino Linotype" w:hAnsi="Palatino Linotype"/>
                                <w:b/>
                              </w:rPr>
                              <w:t xml:space="preserve">Alexis Tapia Ramírez </w:t>
                            </w:r>
                          </w:p>
                          <w:p w14:paraId="6E30DF92" w14:textId="77777777" w:rsidR="008A2709" w:rsidRDefault="008A2709" w:rsidP="00443B7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3FDDB2D" w14:textId="77777777" w:rsidR="008A2709" w:rsidRDefault="008A2709" w:rsidP="00443B76">
                            <w:pPr>
                              <w:jc w:val="center"/>
                              <w:rPr>
                                <w:rFonts w:ascii="Palatino Linotype" w:hAnsi="Palatino Linotype"/>
                                <w:b/>
                              </w:rPr>
                            </w:pPr>
                            <w:r>
                              <w:rPr>
                                <w:rFonts w:ascii="Palatino Linotype" w:hAnsi="Palatino Linotype"/>
                                <w:b/>
                              </w:rPr>
                              <w:t>(Rúbrica).</w:t>
                            </w:r>
                          </w:p>
                          <w:p w14:paraId="1CCE36ED" w14:textId="77777777" w:rsidR="008A2709" w:rsidRDefault="008A2709" w:rsidP="00443B76">
                            <w:pPr>
                              <w:jc w:val="center"/>
                              <w:rPr>
                                <w:rFonts w:ascii="Palatino Linotype" w:hAnsi="Palatino Linotype"/>
                              </w:rPr>
                            </w:pPr>
                          </w:p>
                          <w:p w14:paraId="2E1DD2F4" w14:textId="77777777" w:rsidR="008A2709" w:rsidRPr="00EF2FC0" w:rsidRDefault="008A2709" w:rsidP="00443B76">
                            <w:pPr>
                              <w:jc w:val="center"/>
                              <w:rPr>
                                <w:rFonts w:ascii="Palatino Linotype" w:hAnsi="Palatino Linotype"/>
                              </w:rPr>
                            </w:pPr>
                          </w:p>
                          <w:p w14:paraId="49329E9A" w14:textId="77777777" w:rsidR="008A2709" w:rsidRDefault="008A2709" w:rsidP="00443B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700C3" id="Cuadro de texto 26" o:spid="_x0000_s1031" type="#_x0000_t202" style="position:absolute;margin-left:101.55pt;margin-top:18.2pt;width:248.25pt;height:1in;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02B17DB9" w14:textId="77777777" w:rsidR="008A2709" w:rsidRPr="007F6133" w:rsidRDefault="008A2709" w:rsidP="00443B76">
                      <w:pPr>
                        <w:jc w:val="center"/>
                        <w:rPr>
                          <w:rFonts w:ascii="Palatino Linotype" w:hAnsi="Palatino Linotype"/>
                          <w:b/>
                        </w:rPr>
                      </w:pPr>
                      <w:r>
                        <w:rPr>
                          <w:rFonts w:ascii="Palatino Linotype" w:hAnsi="Palatino Linotype"/>
                          <w:b/>
                        </w:rPr>
                        <w:t xml:space="preserve">Alexis Tapia Ramírez </w:t>
                      </w:r>
                    </w:p>
                    <w:p w14:paraId="6E30DF92" w14:textId="77777777" w:rsidR="008A2709" w:rsidRDefault="008A2709" w:rsidP="00443B7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3FDDB2D" w14:textId="77777777" w:rsidR="008A2709" w:rsidRDefault="008A2709" w:rsidP="00443B76">
                      <w:pPr>
                        <w:jc w:val="center"/>
                        <w:rPr>
                          <w:rFonts w:ascii="Palatino Linotype" w:hAnsi="Palatino Linotype"/>
                          <w:b/>
                        </w:rPr>
                      </w:pPr>
                      <w:r>
                        <w:rPr>
                          <w:rFonts w:ascii="Palatino Linotype" w:hAnsi="Palatino Linotype"/>
                          <w:b/>
                        </w:rPr>
                        <w:t>(Rúbrica).</w:t>
                      </w:r>
                    </w:p>
                    <w:p w14:paraId="1CCE36ED" w14:textId="77777777" w:rsidR="008A2709" w:rsidRDefault="008A2709" w:rsidP="00443B76">
                      <w:pPr>
                        <w:jc w:val="center"/>
                        <w:rPr>
                          <w:rFonts w:ascii="Palatino Linotype" w:hAnsi="Palatino Linotype"/>
                        </w:rPr>
                      </w:pPr>
                    </w:p>
                    <w:p w14:paraId="2E1DD2F4" w14:textId="77777777" w:rsidR="008A2709" w:rsidRPr="00EF2FC0" w:rsidRDefault="008A2709" w:rsidP="00443B76">
                      <w:pPr>
                        <w:jc w:val="center"/>
                        <w:rPr>
                          <w:rFonts w:ascii="Palatino Linotype" w:hAnsi="Palatino Linotype"/>
                        </w:rPr>
                      </w:pPr>
                    </w:p>
                    <w:p w14:paraId="49329E9A" w14:textId="77777777" w:rsidR="008A2709" w:rsidRDefault="008A2709" w:rsidP="00443B76"/>
                  </w:txbxContent>
                </v:textbox>
                <w10:wrap anchorx="margin"/>
              </v:shape>
            </w:pict>
          </mc:Fallback>
        </mc:AlternateContent>
      </w:r>
    </w:p>
    <w:p w14:paraId="2CA12A71" w14:textId="77777777" w:rsidR="00443B76" w:rsidRPr="00D54B7D" w:rsidRDefault="00443B76" w:rsidP="00443B76">
      <w:pPr>
        <w:spacing w:before="240" w:line="480" w:lineRule="auto"/>
        <w:rPr>
          <w:rFonts w:ascii="Palatino Linotype" w:hAnsi="Palatino Linotype"/>
          <w:b/>
        </w:rPr>
      </w:pPr>
    </w:p>
    <w:p w14:paraId="3DE5F383" w14:textId="77777777" w:rsidR="00443B76" w:rsidRDefault="00443B76" w:rsidP="00443B76">
      <w:pPr>
        <w:tabs>
          <w:tab w:val="left" w:pos="5415"/>
        </w:tabs>
        <w:spacing w:before="240" w:line="360" w:lineRule="auto"/>
        <w:ind w:right="51"/>
        <w:jc w:val="both"/>
        <w:rPr>
          <w:rFonts w:ascii="Palatino Linotype" w:hAnsi="Palatino Linotype" w:cs="Arial"/>
          <w:sz w:val="16"/>
          <w:szCs w:val="16"/>
        </w:rPr>
      </w:pPr>
    </w:p>
    <w:p w14:paraId="39BBC6DA" w14:textId="76D609ED" w:rsidR="00443B76" w:rsidRDefault="00443B76" w:rsidP="00443B7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8E15BF">
        <w:rPr>
          <w:rFonts w:ascii="Palatino Linotype" w:hAnsi="Palatino Linotype" w:cs="Arial"/>
          <w:sz w:val="16"/>
          <w:szCs w:val="16"/>
        </w:rPr>
        <w:t xml:space="preserve">veintitrés </w:t>
      </w:r>
      <w:r w:rsidR="00DC64BF">
        <w:rPr>
          <w:rFonts w:ascii="Palatino Linotype" w:hAnsi="Palatino Linotype" w:cs="Arial"/>
          <w:sz w:val="16"/>
          <w:szCs w:val="16"/>
        </w:rPr>
        <w:t>de septiembre</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8E15BF">
        <w:rPr>
          <w:rFonts w:ascii="Palatino Linotype" w:hAnsi="Palatino Linotype" w:cs="Arial"/>
          <w:bCs/>
          <w:sz w:val="16"/>
          <w:szCs w:val="16"/>
          <w:lang w:eastAsia="es-MX"/>
        </w:rPr>
        <w:t>2000</w:t>
      </w:r>
      <w:r>
        <w:rPr>
          <w:rFonts w:ascii="Palatino Linotype" w:hAnsi="Palatino Linotype" w:cs="Arial"/>
          <w:bCs/>
          <w:sz w:val="16"/>
          <w:szCs w:val="16"/>
          <w:lang w:eastAsia="es-MX"/>
        </w:rPr>
        <w:t>/INFOEM/IP/RR/2020</w:t>
      </w:r>
    </w:p>
    <w:p w14:paraId="0C47D30B" w14:textId="63076313" w:rsidR="00753476" w:rsidRDefault="00753476" w:rsidP="00443B76">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75347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CD999" w14:textId="77777777" w:rsidR="004239EE" w:rsidRDefault="004239EE" w:rsidP="006168E4">
      <w:pPr>
        <w:spacing w:after="0" w:line="240" w:lineRule="auto"/>
      </w:pPr>
      <w:r>
        <w:separator/>
      </w:r>
    </w:p>
  </w:endnote>
  <w:endnote w:type="continuationSeparator" w:id="0">
    <w:p w14:paraId="617FC18A" w14:textId="77777777" w:rsidR="004239EE" w:rsidRDefault="004239E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8A2709" w:rsidRPr="000B69FA" w:rsidRDefault="008A270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14A06319" w:rsidR="008A2709" w:rsidRPr="000B69FA" w:rsidRDefault="008A270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6EBD2" w14:textId="77777777" w:rsidR="004239EE" w:rsidRDefault="004239EE" w:rsidP="006168E4">
      <w:pPr>
        <w:spacing w:after="0" w:line="240" w:lineRule="auto"/>
      </w:pPr>
      <w:r>
        <w:separator/>
      </w:r>
    </w:p>
  </w:footnote>
  <w:footnote w:type="continuationSeparator" w:id="0">
    <w:p w14:paraId="2B418F0E" w14:textId="77777777" w:rsidR="004239EE" w:rsidRDefault="004239EE" w:rsidP="006168E4">
      <w:pPr>
        <w:spacing w:after="0" w:line="240" w:lineRule="auto"/>
      </w:pPr>
      <w:r>
        <w:continuationSeparator/>
      </w:r>
    </w:p>
  </w:footnote>
  <w:footnote w:id="1">
    <w:p w14:paraId="70F88B9F" w14:textId="77777777" w:rsidR="008A2709" w:rsidRPr="005552A8" w:rsidRDefault="008A2709"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8A2709" w:rsidRPr="005552A8" w:rsidRDefault="008A2709"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33833F" w14:textId="77777777" w:rsidR="008A2709" w:rsidRDefault="008A2709" w:rsidP="00400A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753EAE06" w14:textId="77777777" w:rsidR="008A2709" w:rsidRDefault="008A2709" w:rsidP="00400A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00A7077B" w14:textId="77777777" w:rsidR="008A2709" w:rsidRPr="000553F9" w:rsidRDefault="008A2709" w:rsidP="00400A2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5">
    <w:p w14:paraId="22D6B15C" w14:textId="77777777" w:rsidR="008A2709" w:rsidRPr="000553F9" w:rsidRDefault="008A2709" w:rsidP="00400A2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6">
    <w:p w14:paraId="215EC854" w14:textId="77777777" w:rsidR="008A2709" w:rsidRPr="000553F9" w:rsidRDefault="008A2709" w:rsidP="00400A2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http://dle.rae.es/?id=VGqyuLj|VGtxgAo|VGuc9Wg</w:t>
        </w:r>
      </w:hyperlink>
      <w:r w:rsidRPr="000553F9">
        <w:rPr>
          <w:color w:val="000000" w:themeColor="text1"/>
        </w:rPr>
        <w:t xml:space="preserve"> </w:t>
      </w:r>
    </w:p>
  </w:footnote>
  <w:footnote w:id="7">
    <w:p w14:paraId="4C37FC72" w14:textId="77777777" w:rsidR="008A2709" w:rsidRPr="000553F9" w:rsidRDefault="008A2709" w:rsidP="00400A2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http://dle.rae.es/?id=CAjNzMR</w:t>
        </w:r>
      </w:hyperlink>
      <w:r w:rsidRPr="000553F9">
        <w:rPr>
          <w:color w:val="000000" w:themeColor="text1"/>
        </w:rPr>
        <w:t xml:space="preserve"> </w:t>
      </w:r>
    </w:p>
  </w:footnote>
  <w:footnote w:id="8">
    <w:p w14:paraId="1ADC6CE8" w14:textId="77777777" w:rsidR="008A2709" w:rsidRPr="000553F9" w:rsidRDefault="008A2709" w:rsidP="00400A2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http://dle.rae.es/?id=CAqWkEB</w:t>
        </w:r>
      </w:hyperlink>
      <w:r w:rsidRPr="000553F9">
        <w:rPr>
          <w:color w:val="000000" w:themeColor="text1"/>
        </w:rPr>
        <w:t xml:space="preserve"> </w:t>
      </w:r>
    </w:p>
  </w:footnote>
  <w:footnote w:id="9">
    <w:p w14:paraId="154AC704" w14:textId="77777777" w:rsidR="008A2709" w:rsidRPr="000553F9" w:rsidRDefault="008A2709" w:rsidP="00400A2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8" w:history="1">
        <w:r w:rsidRPr="000553F9">
          <w:rPr>
            <w:rStyle w:val="Hipervnculo"/>
            <w:color w:val="000000" w:themeColor="text1"/>
          </w:rPr>
          <w:t>http://dle.rae.es/?id=KtnHLLd</w:t>
        </w:r>
      </w:hyperlink>
      <w:r w:rsidRPr="000553F9">
        <w:rPr>
          <w:color w:val="000000" w:themeColor="text1"/>
        </w:rPr>
        <w:t xml:space="preserve"> </w:t>
      </w:r>
    </w:p>
  </w:footnote>
  <w:footnote w:id="10">
    <w:p w14:paraId="70C1A9E9" w14:textId="77777777" w:rsidR="008A2709" w:rsidRPr="000406A4" w:rsidRDefault="008A2709" w:rsidP="00400A2B">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9" w:history="1">
        <w:r w:rsidRPr="000553F9">
          <w:rPr>
            <w:rStyle w:val="Hipervnculo"/>
            <w:color w:val="000000" w:themeColor="text1"/>
          </w:rPr>
          <w:t>http://dle.rae.es/?id=KtpfgjV</w:t>
        </w:r>
      </w:hyperlink>
      <w:r w:rsidRPr="000553F9">
        <w:rPr>
          <w:color w:val="000000" w:themeColor="text1"/>
        </w:rPr>
        <w:t xml:space="preserve"> </w:t>
      </w:r>
    </w:p>
  </w:footnote>
  <w:footnote w:id="11">
    <w:p w14:paraId="50A03818" w14:textId="77777777" w:rsidR="008A2709" w:rsidRPr="00D75A73" w:rsidRDefault="008A2709" w:rsidP="00400A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2">
    <w:p w14:paraId="2D94D2A7" w14:textId="77777777" w:rsidR="008A2709" w:rsidRPr="00D75A73" w:rsidRDefault="008A2709" w:rsidP="00400A2B">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2CCCBE68" w:rsidR="008A2709" w:rsidRDefault="008A270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A2709" w14:paraId="17981A04" w14:textId="77777777" w:rsidTr="00FB4AAD">
      <w:trPr>
        <w:trHeight w:val="227"/>
      </w:trPr>
      <w:tc>
        <w:tcPr>
          <w:tcW w:w="5529" w:type="dxa"/>
          <w:hideMark/>
        </w:tcPr>
        <w:p w14:paraId="0E414BC5" w14:textId="75B4D793" w:rsidR="008A2709" w:rsidRDefault="008A270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258F699D" w:rsidR="008A2709" w:rsidRPr="00B4142F" w:rsidRDefault="008A270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02000/INFOEM/IP/RR/2020</w:t>
          </w:r>
        </w:p>
      </w:tc>
    </w:tr>
    <w:tr w:rsidR="008A2709" w14:paraId="637042F0" w14:textId="77777777" w:rsidTr="00FB4AAD">
      <w:trPr>
        <w:trHeight w:val="242"/>
      </w:trPr>
      <w:tc>
        <w:tcPr>
          <w:tcW w:w="5529" w:type="dxa"/>
          <w:hideMark/>
        </w:tcPr>
        <w:p w14:paraId="412AD568" w14:textId="582E7AD7" w:rsidR="008A2709" w:rsidRDefault="008A270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63BDB7B" w:rsidR="008A2709" w:rsidRPr="00F06FED" w:rsidRDefault="008A2709"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Atenco</w:t>
          </w:r>
        </w:p>
      </w:tc>
    </w:tr>
    <w:tr w:rsidR="008A2709" w14:paraId="21BFE746" w14:textId="77777777" w:rsidTr="00FB4AAD">
      <w:trPr>
        <w:trHeight w:val="342"/>
      </w:trPr>
      <w:tc>
        <w:tcPr>
          <w:tcW w:w="5529" w:type="dxa"/>
          <w:hideMark/>
        </w:tcPr>
        <w:p w14:paraId="64C4E314" w14:textId="77777777" w:rsidR="008A2709" w:rsidRDefault="008A270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8A2709" w:rsidRDefault="008A270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8A2709" w:rsidRDefault="008A27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A2709" w14:paraId="385FD437" w14:textId="77777777" w:rsidTr="00FB4AAD">
      <w:trPr>
        <w:trHeight w:val="227"/>
      </w:trPr>
      <w:tc>
        <w:tcPr>
          <w:tcW w:w="5529" w:type="dxa"/>
          <w:hideMark/>
        </w:tcPr>
        <w:p w14:paraId="272860E8" w14:textId="7AB76160" w:rsidR="008A2709" w:rsidRDefault="008A27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241A1D65" w:rsidR="008A2709" w:rsidRPr="00B4142F" w:rsidRDefault="008A270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02000/INFOEM/IP/RR/2020</w:t>
          </w:r>
        </w:p>
      </w:tc>
    </w:tr>
    <w:tr w:rsidR="008A2709" w14:paraId="33FC5097" w14:textId="77777777" w:rsidTr="00FB4AAD">
      <w:trPr>
        <w:trHeight w:val="196"/>
      </w:trPr>
      <w:tc>
        <w:tcPr>
          <w:tcW w:w="5529" w:type="dxa"/>
          <w:hideMark/>
        </w:tcPr>
        <w:p w14:paraId="4F5D01E5" w14:textId="77777777" w:rsidR="008A2709" w:rsidRDefault="008A27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4882B56" w:rsidR="008A2709" w:rsidRPr="00F06FED" w:rsidRDefault="002A2F1C" w:rsidP="007A3BB5">
          <w:pPr>
            <w:spacing w:after="120" w:line="256" w:lineRule="auto"/>
            <w:ind w:left="639" w:right="214"/>
            <w:jc w:val="both"/>
            <w:rPr>
              <w:rFonts w:ascii="Palatino Linotype" w:hAnsi="Palatino Linotype" w:cs="Arial"/>
            </w:rPr>
          </w:pPr>
          <w:r>
            <w:rPr>
              <w:rFonts w:ascii="Palatino Linotype" w:hAnsi="Palatino Linotype" w:cs="Arial"/>
            </w:rPr>
            <w:t>XXXXXXXXXXXXXXXX</w:t>
          </w:r>
          <w:r w:rsidR="008A2709">
            <w:rPr>
              <w:rFonts w:ascii="Palatino Linotype" w:hAnsi="Palatino Linotype" w:cs="Arial"/>
            </w:rPr>
            <w:t xml:space="preserve">   </w:t>
          </w:r>
        </w:p>
      </w:tc>
    </w:tr>
    <w:tr w:rsidR="008A2709" w14:paraId="178280DE" w14:textId="77777777" w:rsidTr="00FB4AAD">
      <w:trPr>
        <w:trHeight w:val="242"/>
      </w:trPr>
      <w:tc>
        <w:tcPr>
          <w:tcW w:w="5529" w:type="dxa"/>
          <w:hideMark/>
        </w:tcPr>
        <w:p w14:paraId="71AC708B" w14:textId="77777777" w:rsidR="008A2709" w:rsidRDefault="008A27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E567CE7" w:rsidR="008A2709" w:rsidRDefault="008A2709"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Atenco</w:t>
          </w:r>
        </w:p>
      </w:tc>
    </w:tr>
    <w:tr w:rsidR="008A2709" w14:paraId="0518978B" w14:textId="77777777" w:rsidTr="00FB4AAD">
      <w:trPr>
        <w:trHeight w:val="342"/>
      </w:trPr>
      <w:tc>
        <w:tcPr>
          <w:tcW w:w="5529" w:type="dxa"/>
          <w:hideMark/>
        </w:tcPr>
        <w:p w14:paraId="04968A43" w14:textId="77777777" w:rsidR="008A2709" w:rsidRDefault="008A270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8A2709" w:rsidRDefault="008A270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6E823714" w:rsidR="008A2709" w:rsidRDefault="008A27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20B35"/>
    <w:multiLevelType w:val="hybridMultilevel"/>
    <w:tmpl w:val="9752B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1204"/>
    <w:multiLevelType w:val="hybridMultilevel"/>
    <w:tmpl w:val="A1D86260"/>
    <w:lvl w:ilvl="0" w:tplc="0F14BE5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AD1466"/>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691768F"/>
    <w:multiLevelType w:val="hybridMultilevel"/>
    <w:tmpl w:val="A2088C1C"/>
    <w:lvl w:ilvl="0" w:tplc="904299BE">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7" w15:restartNumberingAfterBreak="0">
    <w:nsid w:val="786E5600"/>
    <w:multiLevelType w:val="hybridMultilevel"/>
    <w:tmpl w:val="A404B2A8"/>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035"/>
    <w:rsid w:val="00063A10"/>
    <w:rsid w:val="00064EA6"/>
    <w:rsid w:val="000662F8"/>
    <w:rsid w:val="00070E99"/>
    <w:rsid w:val="00073E78"/>
    <w:rsid w:val="00073FC2"/>
    <w:rsid w:val="000740DB"/>
    <w:rsid w:val="00076AE0"/>
    <w:rsid w:val="0007756F"/>
    <w:rsid w:val="0008151E"/>
    <w:rsid w:val="000821BF"/>
    <w:rsid w:val="0008548C"/>
    <w:rsid w:val="00086AF1"/>
    <w:rsid w:val="00090174"/>
    <w:rsid w:val="00091552"/>
    <w:rsid w:val="00091C3A"/>
    <w:rsid w:val="000944B9"/>
    <w:rsid w:val="00095CD4"/>
    <w:rsid w:val="00096C6C"/>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02D7"/>
    <w:rsid w:val="00161FBE"/>
    <w:rsid w:val="0016745C"/>
    <w:rsid w:val="001710C0"/>
    <w:rsid w:val="001733A0"/>
    <w:rsid w:val="00175897"/>
    <w:rsid w:val="00180B9F"/>
    <w:rsid w:val="00181CC5"/>
    <w:rsid w:val="001829BE"/>
    <w:rsid w:val="00184E8E"/>
    <w:rsid w:val="001854E1"/>
    <w:rsid w:val="0018577F"/>
    <w:rsid w:val="00193784"/>
    <w:rsid w:val="00196DCE"/>
    <w:rsid w:val="001A02EC"/>
    <w:rsid w:val="001A1756"/>
    <w:rsid w:val="001A30F5"/>
    <w:rsid w:val="001A4643"/>
    <w:rsid w:val="001A5630"/>
    <w:rsid w:val="001A577E"/>
    <w:rsid w:val="001A7C9B"/>
    <w:rsid w:val="001B05B9"/>
    <w:rsid w:val="001B7B88"/>
    <w:rsid w:val="001B7FA2"/>
    <w:rsid w:val="001C166A"/>
    <w:rsid w:val="001C1CAF"/>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0BC9"/>
    <w:rsid w:val="0029431D"/>
    <w:rsid w:val="00295749"/>
    <w:rsid w:val="0029598B"/>
    <w:rsid w:val="002A2034"/>
    <w:rsid w:val="002A24F4"/>
    <w:rsid w:val="002A2F1C"/>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002A"/>
    <w:rsid w:val="002E2D7B"/>
    <w:rsid w:val="002E5E6A"/>
    <w:rsid w:val="002F14AA"/>
    <w:rsid w:val="002F2198"/>
    <w:rsid w:val="002F37BE"/>
    <w:rsid w:val="002F4577"/>
    <w:rsid w:val="002F642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4444"/>
    <w:rsid w:val="00376114"/>
    <w:rsid w:val="00376CEC"/>
    <w:rsid w:val="00380758"/>
    <w:rsid w:val="003827B4"/>
    <w:rsid w:val="00383C82"/>
    <w:rsid w:val="00386BBB"/>
    <w:rsid w:val="00386D84"/>
    <w:rsid w:val="0039245A"/>
    <w:rsid w:val="00394A1E"/>
    <w:rsid w:val="003A3818"/>
    <w:rsid w:val="003A60CC"/>
    <w:rsid w:val="003A61F9"/>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A2B"/>
    <w:rsid w:val="00400E16"/>
    <w:rsid w:val="004012CF"/>
    <w:rsid w:val="004012E1"/>
    <w:rsid w:val="004028F5"/>
    <w:rsid w:val="00402FF3"/>
    <w:rsid w:val="00404627"/>
    <w:rsid w:val="00405D9B"/>
    <w:rsid w:val="00405EAB"/>
    <w:rsid w:val="004069EB"/>
    <w:rsid w:val="004111DA"/>
    <w:rsid w:val="00413327"/>
    <w:rsid w:val="00413F1C"/>
    <w:rsid w:val="00423213"/>
    <w:rsid w:val="004239EE"/>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36B3"/>
    <w:rsid w:val="00485906"/>
    <w:rsid w:val="004906C8"/>
    <w:rsid w:val="0049459B"/>
    <w:rsid w:val="00495252"/>
    <w:rsid w:val="004964B5"/>
    <w:rsid w:val="0049675F"/>
    <w:rsid w:val="004967E2"/>
    <w:rsid w:val="00496CDA"/>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50182F"/>
    <w:rsid w:val="00502F50"/>
    <w:rsid w:val="00503655"/>
    <w:rsid w:val="00505759"/>
    <w:rsid w:val="0050578D"/>
    <w:rsid w:val="0051107C"/>
    <w:rsid w:val="00514187"/>
    <w:rsid w:val="00515090"/>
    <w:rsid w:val="00517889"/>
    <w:rsid w:val="00521E57"/>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5740"/>
    <w:rsid w:val="0058661B"/>
    <w:rsid w:val="00593E91"/>
    <w:rsid w:val="00595600"/>
    <w:rsid w:val="00596DC4"/>
    <w:rsid w:val="00597589"/>
    <w:rsid w:val="005A0B49"/>
    <w:rsid w:val="005A13CC"/>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68E4"/>
    <w:rsid w:val="00616943"/>
    <w:rsid w:val="006214B9"/>
    <w:rsid w:val="00621940"/>
    <w:rsid w:val="0062586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2E4"/>
    <w:rsid w:val="006B3302"/>
    <w:rsid w:val="006B37EA"/>
    <w:rsid w:val="006B7444"/>
    <w:rsid w:val="006C32EE"/>
    <w:rsid w:val="006C6A05"/>
    <w:rsid w:val="006D23FC"/>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42B5"/>
    <w:rsid w:val="00716BFE"/>
    <w:rsid w:val="007234D1"/>
    <w:rsid w:val="00731428"/>
    <w:rsid w:val="0073157A"/>
    <w:rsid w:val="00735209"/>
    <w:rsid w:val="00744E29"/>
    <w:rsid w:val="00744EEF"/>
    <w:rsid w:val="007517D1"/>
    <w:rsid w:val="0075229E"/>
    <w:rsid w:val="007524CA"/>
    <w:rsid w:val="00753476"/>
    <w:rsid w:val="00754CAE"/>
    <w:rsid w:val="007658D5"/>
    <w:rsid w:val="00772BA8"/>
    <w:rsid w:val="00774266"/>
    <w:rsid w:val="0078028A"/>
    <w:rsid w:val="007806CB"/>
    <w:rsid w:val="00781C64"/>
    <w:rsid w:val="007848FB"/>
    <w:rsid w:val="007851D5"/>
    <w:rsid w:val="00785698"/>
    <w:rsid w:val="0078693A"/>
    <w:rsid w:val="00794153"/>
    <w:rsid w:val="0079486A"/>
    <w:rsid w:val="00794E74"/>
    <w:rsid w:val="00794F80"/>
    <w:rsid w:val="0079666D"/>
    <w:rsid w:val="00797118"/>
    <w:rsid w:val="00797B4F"/>
    <w:rsid w:val="007A139A"/>
    <w:rsid w:val="007A1C9E"/>
    <w:rsid w:val="007A21C7"/>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5D23"/>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2709"/>
    <w:rsid w:val="008A322D"/>
    <w:rsid w:val="008A75BE"/>
    <w:rsid w:val="008B14D0"/>
    <w:rsid w:val="008B4658"/>
    <w:rsid w:val="008C0799"/>
    <w:rsid w:val="008C2BCF"/>
    <w:rsid w:val="008C32A8"/>
    <w:rsid w:val="008C55A3"/>
    <w:rsid w:val="008D06E0"/>
    <w:rsid w:val="008D1DFF"/>
    <w:rsid w:val="008E15BF"/>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4B89"/>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2418"/>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186"/>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40DDC"/>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C82"/>
    <w:rsid w:val="00AD1553"/>
    <w:rsid w:val="00AD1580"/>
    <w:rsid w:val="00AD25F0"/>
    <w:rsid w:val="00AD2EBD"/>
    <w:rsid w:val="00AD461A"/>
    <w:rsid w:val="00AD6EAA"/>
    <w:rsid w:val="00AE008F"/>
    <w:rsid w:val="00AE04E8"/>
    <w:rsid w:val="00AE0D01"/>
    <w:rsid w:val="00AE2056"/>
    <w:rsid w:val="00AF16C8"/>
    <w:rsid w:val="00AF74DA"/>
    <w:rsid w:val="00B00C72"/>
    <w:rsid w:val="00B01443"/>
    <w:rsid w:val="00B04CF0"/>
    <w:rsid w:val="00B070A2"/>
    <w:rsid w:val="00B10E49"/>
    <w:rsid w:val="00B11E08"/>
    <w:rsid w:val="00B145FA"/>
    <w:rsid w:val="00B160F4"/>
    <w:rsid w:val="00B163D5"/>
    <w:rsid w:val="00B2037B"/>
    <w:rsid w:val="00B23274"/>
    <w:rsid w:val="00B272A6"/>
    <w:rsid w:val="00B30856"/>
    <w:rsid w:val="00B32CD3"/>
    <w:rsid w:val="00B34CA9"/>
    <w:rsid w:val="00B35797"/>
    <w:rsid w:val="00B35A93"/>
    <w:rsid w:val="00B3672D"/>
    <w:rsid w:val="00B40656"/>
    <w:rsid w:val="00B40F8A"/>
    <w:rsid w:val="00B4745C"/>
    <w:rsid w:val="00B50AAA"/>
    <w:rsid w:val="00B537E8"/>
    <w:rsid w:val="00B544D9"/>
    <w:rsid w:val="00B658D4"/>
    <w:rsid w:val="00B75A2C"/>
    <w:rsid w:val="00B813AC"/>
    <w:rsid w:val="00B8376C"/>
    <w:rsid w:val="00B84260"/>
    <w:rsid w:val="00B8738D"/>
    <w:rsid w:val="00B91F0B"/>
    <w:rsid w:val="00B9223B"/>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1B09"/>
    <w:rsid w:val="00BD5425"/>
    <w:rsid w:val="00BD618E"/>
    <w:rsid w:val="00BD6F2F"/>
    <w:rsid w:val="00BD705F"/>
    <w:rsid w:val="00BE28ED"/>
    <w:rsid w:val="00BE55D6"/>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00F0"/>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7571"/>
    <w:rsid w:val="00D475A2"/>
    <w:rsid w:val="00D5015D"/>
    <w:rsid w:val="00D52355"/>
    <w:rsid w:val="00D52AC7"/>
    <w:rsid w:val="00D53360"/>
    <w:rsid w:val="00D54CA9"/>
    <w:rsid w:val="00D55EA9"/>
    <w:rsid w:val="00D563D9"/>
    <w:rsid w:val="00D6188C"/>
    <w:rsid w:val="00D61959"/>
    <w:rsid w:val="00D6340F"/>
    <w:rsid w:val="00D6781D"/>
    <w:rsid w:val="00D67D98"/>
    <w:rsid w:val="00D72D16"/>
    <w:rsid w:val="00D7412C"/>
    <w:rsid w:val="00D75521"/>
    <w:rsid w:val="00D75839"/>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34FF"/>
    <w:rsid w:val="00DF003C"/>
    <w:rsid w:val="00DF00D4"/>
    <w:rsid w:val="00DF4501"/>
    <w:rsid w:val="00DF7233"/>
    <w:rsid w:val="00DF78AE"/>
    <w:rsid w:val="00E033F2"/>
    <w:rsid w:val="00E0462A"/>
    <w:rsid w:val="00E07CC2"/>
    <w:rsid w:val="00E11E2E"/>
    <w:rsid w:val="00E125CA"/>
    <w:rsid w:val="00E14B17"/>
    <w:rsid w:val="00E14EAE"/>
    <w:rsid w:val="00E16394"/>
    <w:rsid w:val="00E2053B"/>
    <w:rsid w:val="00E22571"/>
    <w:rsid w:val="00E25156"/>
    <w:rsid w:val="00E25242"/>
    <w:rsid w:val="00E25AAC"/>
    <w:rsid w:val="00E2730D"/>
    <w:rsid w:val="00E279B9"/>
    <w:rsid w:val="00E30CA9"/>
    <w:rsid w:val="00E33AAA"/>
    <w:rsid w:val="00E33CB8"/>
    <w:rsid w:val="00E33F0E"/>
    <w:rsid w:val="00E36C8F"/>
    <w:rsid w:val="00E371EC"/>
    <w:rsid w:val="00E379D8"/>
    <w:rsid w:val="00E37EB7"/>
    <w:rsid w:val="00E404C5"/>
    <w:rsid w:val="00E40A10"/>
    <w:rsid w:val="00E42DA5"/>
    <w:rsid w:val="00E47558"/>
    <w:rsid w:val="00E51EF9"/>
    <w:rsid w:val="00E54816"/>
    <w:rsid w:val="00E5512E"/>
    <w:rsid w:val="00E55E60"/>
    <w:rsid w:val="00E56594"/>
    <w:rsid w:val="00E578DF"/>
    <w:rsid w:val="00E57D18"/>
    <w:rsid w:val="00E605C2"/>
    <w:rsid w:val="00E6129C"/>
    <w:rsid w:val="00E644A0"/>
    <w:rsid w:val="00E67395"/>
    <w:rsid w:val="00E67670"/>
    <w:rsid w:val="00E72707"/>
    <w:rsid w:val="00E72AE3"/>
    <w:rsid w:val="00E7349C"/>
    <w:rsid w:val="00E73B51"/>
    <w:rsid w:val="00E75790"/>
    <w:rsid w:val="00E80180"/>
    <w:rsid w:val="00E8129E"/>
    <w:rsid w:val="00E814CD"/>
    <w:rsid w:val="00E81A2B"/>
    <w:rsid w:val="00E81C84"/>
    <w:rsid w:val="00E81E42"/>
    <w:rsid w:val="00E97676"/>
    <w:rsid w:val="00EA1CE1"/>
    <w:rsid w:val="00EA1F89"/>
    <w:rsid w:val="00EA5439"/>
    <w:rsid w:val="00EB08A0"/>
    <w:rsid w:val="00EB117B"/>
    <w:rsid w:val="00EB40D6"/>
    <w:rsid w:val="00EB5F75"/>
    <w:rsid w:val="00EB7852"/>
    <w:rsid w:val="00EB79CD"/>
    <w:rsid w:val="00EC060D"/>
    <w:rsid w:val="00EC2525"/>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5FB1"/>
    <w:rsid w:val="00F16331"/>
    <w:rsid w:val="00F22566"/>
    <w:rsid w:val="00F22963"/>
    <w:rsid w:val="00F378B2"/>
    <w:rsid w:val="00F403EA"/>
    <w:rsid w:val="00F40B51"/>
    <w:rsid w:val="00F40E4D"/>
    <w:rsid w:val="00F42499"/>
    <w:rsid w:val="00F42753"/>
    <w:rsid w:val="00F46CE7"/>
    <w:rsid w:val="00F510DB"/>
    <w:rsid w:val="00F604E0"/>
    <w:rsid w:val="00F6501E"/>
    <w:rsid w:val="00F70615"/>
    <w:rsid w:val="00F72722"/>
    <w:rsid w:val="00F727B0"/>
    <w:rsid w:val="00F7598B"/>
    <w:rsid w:val="00F76CC5"/>
    <w:rsid w:val="00F87ADD"/>
    <w:rsid w:val="00F914FD"/>
    <w:rsid w:val="00F9164E"/>
    <w:rsid w:val="00F952BF"/>
    <w:rsid w:val="00F95515"/>
    <w:rsid w:val="00F974AA"/>
    <w:rsid w:val="00FA103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recursos/ipo/files_ipo3/2019/42929/7/afa496fcae20c8cd5bacf69457affe8e.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33</Pages>
  <Words>5949</Words>
  <Characters>33912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28</cp:revision>
  <cp:lastPrinted>2018-12-04T20:35:00Z</cp:lastPrinted>
  <dcterms:created xsi:type="dcterms:W3CDTF">2020-09-09T18:08:00Z</dcterms:created>
  <dcterms:modified xsi:type="dcterms:W3CDTF">2020-09-29T01:11:00Z</dcterms:modified>
</cp:coreProperties>
</file>