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3AD93B" w14:textId="77777777" w:rsidR="00535C1B" w:rsidRPr="00AF7A87" w:rsidRDefault="00535C1B" w:rsidP="00535C1B">
      <w:pPr>
        <w:spacing w:line="360" w:lineRule="auto"/>
        <w:jc w:val="both"/>
        <w:rPr>
          <w:rFonts w:ascii="Palatino Linotype" w:eastAsia="Arial Unicode MS" w:hAnsi="Palatino Linotype" w:cs="Arial"/>
          <w:lang w:val="es-ES_tradnl" w:eastAsia="es-ES"/>
        </w:rPr>
      </w:pPr>
      <w:r w:rsidRPr="00AF7A87">
        <w:rPr>
          <w:rFonts w:ascii="Palatino Linotype" w:eastAsia="Arial Unicode MS" w:hAnsi="Palatino Linotype" w:cs="Arial"/>
          <w:b/>
          <w:lang w:val="es-ES_tradnl" w:eastAsia="es-ES"/>
        </w:rPr>
        <w:t>DEBERES DE LAS AUTORIDADES.</w:t>
      </w:r>
      <w:r w:rsidRPr="00AF7A87">
        <w:rPr>
          <w:rFonts w:ascii="Palatino Linotype" w:eastAsia="Arial Unicode MS" w:hAnsi="Palatino Linotype" w:cs="Arial"/>
          <w:lang w:val="es-ES_tradnl" w:eastAsia="es-ES"/>
        </w:rPr>
        <w:t xml:space="preserve"> El derecho de acceso a la información pública es un derecho humano constitucionalmente reconocido, en </w:t>
      </w:r>
      <w:proofErr w:type="gramStart"/>
      <w:r w:rsidRPr="00AF7A87">
        <w:rPr>
          <w:rFonts w:ascii="Palatino Linotype" w:eastAsia="Arial Unicode MS" w:hAnsi="Palatino Linotype" w:cs="Arial"/>
          <w:lang w:val="es-ES_tradnl" w:eastAsia="es-ES"/>
        </w:rPr>
        <w:t>consecuencia</w:t>
      </w:r>
      <w:proofErr w:type="gramEnd"/>
      <w:r w:rsidRPr="00AF7A87">
        <w:rPr>
          <w:rFonts w:ascii="Palatino Linotype" w:eastAsia="Arial Unicode MS" w:hAnsi="Palatino Linotype" w:cs="Arial"/>
          <w:lang w:val="es-ES_tradnl" w:eastAsia="es-ES"/>
        </w:rPr>
        <w:t xml:space="preserve"> todas las autoridades en el ámbito de sus competencias, funciones y atribuciones tienen la obligación de respetarlo, protegerlo y garantizarlo. </w:t>
      </w:r>
    </w:p>
    <w:p w14:paraId="66AC8AEB" w14:textId="77777777" w:rsidR="00535C1B" w:rsidRPr="00AF7A87" w:rsidRDefault="00535C1B" w:rsidP="00535C1B">
      <w:pPr>
        <w:spacing w:line="360" w:lineRule="auto"/>
        <w:jc w:val="both"/>
        <w:rPr>
          <w:rFonts w:ascii="Palatino Linotype" w:eastAsia="Arial Unicode MS" w:hAnsi="Palatino Linotype" w:cs="Arial"/>
          <w:lang w:val="es-ES_tradnl" w:eastAsia="es-ES"/>
        </w:rPr>
      </w:pPr>
    </w:p>
    <w:p w14:paraId="045A3516" w14:textId="77777777" w:rsidR="00535C1B" w:rsidRPr="00AF7A87" w:rsidRDefault="00535C1B" w:rsidP="00535C1B">
      <w:pPr>
        <w:spacing w:line="360" w:lineRule="auto"/>
        <w:jc w:val="both"/>
        <w:rPr>
          <w:rFonts w:ascii="Palatino Linotype" w:eastAsia="Arial Unicode MS" w:hAnsi="Palatino Linotype" w:cs="Arial"/>
          <w:lang w:val="es-ES_tradnl" w:eastAsia="es-ES"/>
        </w:rPr>
      </w:pPr>
      <w:r w:rsidRPr="00AF7A87">
        <w:rPr>
          <w:rFonts w:ascii="Palatino Linotype" w:eastAsia="Arial Unicode MS" w:hAnsi="Palatino Linotype" w:cs="Arial"/>
          <w:b/>
          <w:lang w:eastAsia="es-ES"/>
        </w:rPr>
        <w:t xml:space="preserve">DE LAS RESPUESTAS INCOMPLETAS Y DEFICIENTES. </w:t>
      </w:r>
      <w:r w:rsidRPr="00AF7A87">
        <w:rPr>
          <w:rFonts w:ascii="Palatino Linotype" w:eastAsia="Arial Unicode MS" w:hAnsi="Palatino Linotype" w:cs="Arial"/>
          <w:lang w:eastAsia="es-ES"/>
        </w:rPr>
        <w:t xml:space="preserve">Las respuestas proporcionadas por los sujetos obligados que resulten incongruentes con lo solicitado, </w:t>
      </w:r>
      <w:proofErr w:type="gramStart"/>
      <w:r w:rsidRPr="00AF7A87">
        <w:rPr>
          <w:rFonts w:ascii="Palatino Linotype" w:eastAsia="Arial Unicode MS" w:hAnsi="Palatino Linotype" w:cs="Arial"/>
          <w:lang w:eastAsia="es-ES"/>
        </w:rPr>
        <w:t>trae</w:t>
      </w:r>
      <w:proofErr w:type="gramEnd"/>
      <w:r w:rsidRPr="00AF7A87">
        <w:rPr>
          <w:rFonts w:ascii="Palatino Linotype" w:eastAsia="Arial Unicode MS" w:hAnsi="Palatino Linotype" w:cs="Arial"/>
          <w:lang w:eastAsia="es-ES"/>
        </w:rPr>
        <w:t xml:space="preserve"> como consecuencia que se retrase el </w:t>
      </w:r>
      <w:r w:rsidRPr="00AF7A87">
        <w:rPr>
          <w:rFonts w:ascii="Palatino Linotype" w:eastAsia="Arial Unicode MS" w:hAnsi="Palatino Linotype" w:cs="Arial"/>
          <w:lang w:val="es-ES_tradnl" w:eastAsia="es-ES"/>
        </w:rPr>
        <w:t>acceso a la información pública vulnerando el derecho fundamental de la personas para acceder a la misma.</w:t>
      </w:r>
    </w:p>
    <w:p w14:paraId="18B505E6" w14:textId="77777777" w:rsidR="009710C1" w:rsidRPr="00AF7A87" w:rsidRDefault="009710C1" w:rsidP="009710C1">
      <w:pPr>
        <w:spacing w:line="360" w:lineRule="auto"/>
        <w:jc w:val="both"/>
        <w:rPr>
          <w:rFonts w:ascii="Palatino Linotype" w:hAnsi="Palatino Linotype" w:cs="Arial"/>
        </w:rPr>
      </w:pPr>
    </w:p>
    <w:p w14:paraId="73B00FE2" w14:textId="77777777" w:rsidR="009710C1" w:rsidRPr="00AF7A87" w:rsidRDefault="009710C1" w:rsidP="009710C1">
      <w:pPr>
        <w:spacing w:line="360" w:lineRule="auto"/>
        <w:jc w:val="both"/>
        <w:rPr>
          <w:rFonts w:ascii="Palatino Linotype" w:hAnsi="Palatino Linotype" w:cs="Arial"/>
        </w:rPr>
      </w:pPr>
    </w:p>
    <w:p w14:paraId="445E4E4F" w14:textId="77777777" w:rsidR="009710C1" w:rsidRPr="00AF7A87" w:rsidRDefault="009710C1" w:rsidP="009710C1">
      <w:pPr>
        <w:spacing w:line="360" w:lineRule="auto"/>
        <w:jc w:val="both"/>
        <w:rPr>
          <w:rFonts w:ascii="Palatino Linotype" w:hAnsi="Palatino Linotype" w:cs="Arial"/>
        </w:rPr>
      </w:pPr>
    </w:p>
    <w:p w14:paraId="70EEF441" w14:textId="77777777" w:rsidR="009710C1" w:rsidRPr="00AF7A87" w:rsidRDefault="009710C1" w:rsidP="009710C1">
      <w:pPr>
        <w:spacing w:line="360" w:lineRule="auto"/>
        <w:jc w:val="both"/>
        <w:rPr>
          <w:rFonts w:ascii="Palatino Linotype" w:hAnsi="Palatino Linotype" w:cs="Arial"/>
        </w:rPr>
      </w:pPr>
    </w:p>
    <w:p w14:paraId="1A1D4D5D" w14:textId="77777777" w:rsidR="009710C1" w:rsidRPr="00AF7A87" w:rsidRDefault="009710C1" w:rsidP="009710C1">
      <w:pPr>
        <w:spacing w:line="360" w:lineRule="auto"/>
        <w:jc w:val="both"/>
        <w:rPr>
          <w:rFonts w:ascii="Palatino Linotype" w:hAnsi="Palatino Linotype" w:cs="Arial"/>
        </w:rPr>
      </w:pPr>
    </w:p>
    <w:p w14:paraId="712DA40D" w14:textId="77777777" w:rsidR="009710C1" w:rsidRPr="00AF7A87" w:rsidRDefault="009710C1" w:rsidP="009710C1">
      <w:pPr>
        <w:spacing w:before="240" w:after="240" w:line="360" w:lineRule="auto"/>
        <w:jc w:val="both"/>
        <w:rPr>
          <w:rFonts w:ascii="Palatino Linotype" w:eastAsia="MS Mincho" w:hAnsi="Palatino Linotype" w:cs="Arial"/>
        </w:rPr>
      </w:pPr>
      <w:r w:rsidRPr="00AF7A87">
        <w:rPr>
          <w:rFonts w:ascii="Palatino Linotype" w:hAnsi="Palatino Linotype"/>
        </w:rPr>
        <w:t xml:space="preserve">  </w:t>
      </w:r>
      <w:r w:rsidRPr="00AF7A87">
        <w:rPr>
          <w:rFonts w:ascii="Palatino Linotype" w:eastAsia="MS Mincho" w:hAnsi="Palatino Linotype" w:cs="Arial"/>
        </w:rPr>
        <w:t xml:space="preserve"> </w:t>
      </w:r>
    </w:p>
    <w:p w14:paraId="7EFB7A8F" w14:textId="77777777" w:rsidR="009710C1" w:rsidRPr="00AF7A87" w:rsidRDefault="009710C1" w:rsidP="009710C1">
      <w:pPr>
        <w:spacing w:before="240" w:after="240" w:line="360" w:lineRule="auto"/>
        <w:jc w:val="both"/>
        <w:rPr>
          <w:rFonts w:ascii="Palatino Linotype" w:hAnsi="Palatino Linotype"/>
          <w:b/>
          <w:u w:val="single"/>
        </w:rPr>
      </w:pPr>
    </w:p>
    <w:p w14:paraId="1099B943" w14:textId="77777777" w:rsidR="009710C1" w:rsidRPr="00AF7A87" w:rsidRDefault="009710C1" w:rsidP="009710C1">
      <w:pPr>
        <w:spacing w:before="240" w:after="240" w:line="360" w:lineRule="auto"/>
        <w:jc w:val="both"/>
        <w:rPr>
          <w:rFonts w:ascii="Palatino Linotype" w:hAnsi="Palatino Linotype"/>
          <w:b/>
          <w:u w:val="single"/>
        </w:rPr>
      </w:pPr>
    </w:p>
    <w:p w14:paraId="7464F5CF" w14:textId="77777777" w:rsidR="009710C1" w:rsidRPr="00AF7A87" w:rsidRDefault="009710C1" w:rsidP="009710C1">
      <w:pPr>
        <w:spacing w:before="240" w:after="240" w:line="360" w:lineRule="auto"/>
        <w:jc w:val="both"/>
        <w:rPr>
          <w:rFonts w:ascii="Palatino Linotype" w:hAnsi="Palatino Linotype"/>
          <w:b/>
          <w:u w:val="single"/>
        </w:rPr>
      </w:pPr>
    </w:p>
    <w:p w14:paraId="6037086C" w14:textId="39E405DE" w:rsidR="009710C1" w:rsidRPr="00AF7A87" w:rsidRDefault="009710C1" w:rsidP="009710C1">
      <w:pPr>
        <w:spacing w:before="240" w:after="240" w:line="360" w:lineRule="auto"/>
        <w:jc w:val="both"/>
        <w:rPr>
          <w:rFonts w:ascii="Palatino Linotype" w:hAnsi="Palatino Linotype"/>
          <w:b/>
          <w:u w:val="single"/>
        </w:rPr>
      </w:pPr>
    </w:p>
    <w:p w14:paraId="3A4B0BC0" w14:textId="77777777" w:rsidR="009710C1" w:rsidRPr="00AF7A87" w:rsidRDefault="009710C1" w:rsidP="009710C1">
      <w:pPr>
        <w:spacing w:line="360" w:lineRule="auto"/>
        <w:jc w:val="center"/>
        <w:rPr>
          <w:rFonts w:ascii="Palatino Linotype" w:hAnsi="Palatino Linotype"/>
          <w:b/>
          <w:u w:val="single"/>
        </w:rPr>
      </w:pPr>
    </w:p>
    <w:p w14:paraId="6C0E8988" w14:textId="77777777" w:rsidR="009710C1" w:rsidRPr="00AF7A87" w:rsidRDefault="009710C1" w:rsidP="009710C1">
      <w:pPr>
        <w:spacing w:line="360" w:lineRule="auto"/>
        <w:jc w:val="center"/>
        <w:rPr>
          <w:rFonts w:ascii="Palatino Linotype" w:hAnsi="Palatino Linotype"/>
          <w:b/>
          <w:u w:val="single"/>
        </w:rPr>
      </w:pPr>
      <w:r w:rsidRPr="00AF7A87">
        <w:rPr>
          <w:rFonts w:ascii="Palatino Linotype" w:hAnsi="Palatino Linotype"/>
          <w:b/>
          <w:u w:val="single"/>
        </w:rPr>
        <w:t>ÍNDICE</w:t>
      </w:r>
    </w:p>
    <w:sdt>
      <w:sdtPr>
        <w:rPr>
          <w:rFonts w:ascii="Palatino Linotype" w:eastAsia="Times New Roman" w:hAnsi="Palatino Linotype" w:cs="Times New Roman"/>
          <w:lang w:val="es-ES" w:eastAsia="es-ES_tradnl"/>
        </w:rPr>
        <w:id w:val="-1245946457"/>
        <w:docPartObj>
          <w:docPartGallery w:val="Table of Contents"/>
          <w:docPartUnique/>
        </w:docPartObj>
      </w:sdtPr>
      <w:sdtEndPr>
        <w:rPr>
          <w:b/>
          <w:bCs/>
        </w:rPr>
      </w:sdtEndPr>
      <w:sdtContent>
        <w:p w14:paraId="04BF1CDF" w14:textId="77777777" w:rsidR="009710C1" w:rsidRPr="00AF7A87" w:rsidRDefault="009710C1" w:rsidP="009710C1">
          <w:pPr>
            <w:pStyle w:val="TDC1"/>
            <w:spacing w:after="0"/>
            <w:ind w:left="0"/>
            <w:rPr>
              <w:rFonts w:ascii="Palatino Linotype" w:hAnsi="Palatino Linotype"/>
              <w:noProof/>
              <w:sz w:val="22"/>
              <w:szCs w:val="22"/>
              <w:lang w:val="es-MX" w:eastAsia="es-MX"/>
            </w:rPr>
          </w:pPr>
          <w:r w:rsidRPr="00AF7A87">
            <w:rPr>
              <w:rFonts w:ascii="Palatino Linotype" w:eastAsiaTheme="majorEastAsia" w:hAnsi="Palatino Linotype" w:cstheme="majorBidi"/>
              <w:b/>
              <w:szCs w:val="32"/>
              <w:lang w:val="es-MX" w:eastAsia="es-MX"/>
            </w:rPr>
            <w:fldChar w:fldCharType="begin"/>
          </w:r>
          <w:r w:rsidRPr="00AF7A87">
            <w:rPr>
              <w:rFonts w:ascii="Palatino Linotype" w:hAnsi="Palatino Linotype"/>
              <w:b/>
            </w:rPr>
            <w:instrText xml:space="preserve"> TOC \o "1-3" \h \z \u </w:instrText>
          </w:r>
          <w:r w:rsidRPr="00AF7A87">
            <w:rPr>
              <w:rFonts w:ascii="Palatino Linotype" w:eastAsiaTheme="majorEastAsia" w:hAnsi="Palatino Linotype" w:cstheme="majorBidi"/>
              <w:b/>
              <w:szCs w:val="32"/>
              <w:lang w:val="es-MX" w:eastAsia="es-MX"/>
            </w:rPr>
            <w:fldChar w:fldCharType="separate"/>
          </w:r>
          <w:hyperlink w:anchor="_Toc34157661" w:history="1">
            <w:r w:rsidRPr="00AF7A87">
              <w:rPr>
                <w:rStyle w:val="Hipervnculo"/>
                <w:rFonts w:ascii="Palatino Linotype" w:hAnsi="Palatino Linotype"/>
                <w:b/>
                <w:noProof/>
              </w:rPr>
              <w:t>ANTECEDENTES</w:t>
            </w:r>
            <w:r w:rsidRPr="00AF7A87">
              <w:rPr>
                <w:rFonts w:ascii="Palatino Linotype" w:hAnsi="Palatino Linotype"/>
                <w:noProof/>
                <w:webHidden/>
              </w:rPr>
              <w:tab/>
            </w:r>
            <w:r w:rsidRPr="00AF7A87">
              <w:rPr>
                <w:rFonts w:ascii="Palatino Linotype" w:hAnsi="Palatino Linotype"/>
                <w:noProof/>
                <w:webHidden/>
              </w:rPr>
              <w:fldChar w:fldCharType="begin"/>
            </w:r>
            <w:r w:rsidRPr="00AF7A87">
              <w:rPr>
                <w:rFonts w:ascii="Palatino Linotype" w:hAnsi="Palatino Linotype"/>
                <w:noProof/>
                <w:webHidden/>
              </w:rPr>
              <w:instrText xml:space="preserve"> PAGEREF _Toc34157661 \h </w:instrText>
            </w:r>
            <w:r w:rsidRPr="00AF7A87">
              <w:rPr>
                <w:rFonts w:ascii="Palatino Linotype" w:hAnsi="Palatino Linotype"/>
                <w:noProof/>
                <w:webHidden/>
              </w:rPr>
            </w:r>
            <w:r w:rsidRPr="00AF7A87">
              <w:rPr>
                <w:rFonts w:ascii="Palatino Linotype" w:hAnsi="Palatino Linotype"/>
                <w:noProof/>
                <w:webHidden/>
              </w:rPr>
              <w:fldChar w:fldCharType="separate"/>
            </w:r>
            <w:r w:rsidRPr="00AF7A87">
              <w:rPr>
                <w:rFonts w:ascii="Palatino Linotype" w:hAnsi="Palatino Linotype"/>
                <w:noProof/>
                <w:webHidden/>
              </w:rPr>
              <w:t>3</w:t>
            </w:r>
            <w:r w:rsidRPr="00AF7A87">
              <w:rPr>
                <w:rFonts w:ascii="Palatino Linotype" w:hAnsi="Palatino Linotype"/>
                <w:noProof/>
                <w:webHidden/>
              </w:rPr>
              <w:fldChar w:fldCharType="end"/>
            </w:r>
          </w:hyperlink>
        </w:p>
        <w:p w14:paraId="32C3513B" w14:textId="77777777" w:rsidR="009710C1" w:rsidRPr="00AF7A87" w:rsidRDefault="00D64B3C" w:rsidP="009710C1">
          <w:pPr>
            <w:pStyle w:val="TDC1"/>
            <w:spacing w:after="0"/>
            <w:ind w:left="0"/>
            <w:rPr>
              <w:rFonts w:ascii="Palatino Linotype" w:hAnsi="Palatino Linotype"/>
              <w:noProof/>
              <w:sz w:val="22"/>
              <w:szCs w:val="22"/>
              <w:lang w:val="es-MX" w:eastAsia="es-MX"/>
            </w:rPr>
          </w:pPr>
          <w:hyperlink w:anchor="_Toc34157664" w:history="1">
            <w:r w:rsidR="009710C1" w:rsidRPr="00AF7A87">
              <w:rPr>
                <w:rStyle w:val="Hipervnculo"/>
                <w:rFonts w:ascii="Palatino Linotype" w:hAnsi="Palatino Linotype"/>
                <w:b/>
                <w:noProof/>
              </w:rPr>
              <w:t>CONSIDERANDO</w:t>
            </w:r>
            <w:r w:rsidR="009710C1" w:rsidRPr="00AF7A87">
              <w:rPr>
                <w:rFonts w:ascii="Palatino Linotype" w:hAnsi="Palatino Linotype"/>
                <w:noProof/>
                <w:webHidden/>
              </w:rPr>
              <w:tab/>
            </w:r>
            <w:r w:rsidR="009710C1" w:rsidRPr="00AF7A87">
              <w:rPr>
                <w:rFonts w:ascii="Palatino Linotype" w:hAnsi="Palatino Linotype"/>
                <w:noProof/>
                <w:webHidden/>
              </w:rPr>
              <w:fldChar w:fldCharType="begin"/>
            </w:r>
            <w:r w:rsidR="009710C1" w:rsidRPr="00AF7A87">
              <w:rPr>
                <w:rFonts w:ascii="Palatino Linotype" w:hAnsi="Palatino Linotype"/>
                <w:noProof/>
                <w:webHidden/>
              </w:rPr>
              <w:instrText xml:space="preserve"> PAGEREF _Toc34157664 \h </w:instrText>
            </w:r>
            <w:r w:rsidR="009710C1" w:rsidRPr="00AF7A87">
              <w:rPr>
                <w:rFonts w:ascii="Palatino Linotype" w:hAnsi="Palatino Linotype"/>
                <w:noProof/>
                <w:webHidden/>
              </w:rPr>
            </w:r>
            <w:r w:rsidR="009710C1" w:rsidRPr="00AF7A87">
              <w:rPr>
                <w:rFonts w:ascii="Palatino Linotype" w:hAnsi="Palatino Linotype"/>
                <w:noProof/>
                <w:webHidden/>
              </w:rPr>
              <w:fldChar w:fldCharType="separate"/>
            </w:r>
            <w:r w:rsidR="009710C1" w:rsidRPr="00AF7A87">
              <w:rPr>
                <w:rFonts w:ascii="Palatino Linotype" w:hAnsi="Palatino Linotype"/>
                <w:noProof/>
                <w:webHidden/>
              </w:rPr>
              <w:t>7</w:t>
            </w:r>
            <w:r w:rsidR="009710C1" w:rsidRPr="00AF7A87">
              <w:rPr>
                <w:rFonts w:ascii="Palatino Linotype" w:hAnsi="Palatino Linotype"/>
                <w:noProof/>
                <w:webHidden/>
              </w:rPr>
              <w:fldChar w:fldCharType="end"/>
            </w:r>
          </w:hyperlink>
        </w:p>
        <w:p w14:paraId="0A102372" w14:textId="77777777" w:rsidR="009710C1" w:rsidRPr="00AF7A87" w:rsidRDefault="00D64B3C" w:rsidP="009710C1">
          <w:pPr>
            <w:pStyle w:val="TDC2"/>
            <w:spacing w:after="0"/>
            <w:rPr>
              <w:rFonts w:ascii="Palatino Linotype" w:hAnsi="Palatino Linotype"/>
              <w:noProof/>
              <w:sz w:val="22"/>
              <w:szCs w:val="22"/>
              <w:lang w:val="es-MX" w:eastAsia="es-MX"/>
            </w:rPr>
          </w:pPr>
          <w:hyperlink w:anchor="_Toc34157665" w:history="1">
            <w:r w:rsidR="009710C1" w:rsidRPr="00AF7A87">
              <w:rPr>
                <w:rStyle w:val="Hipervnculo"/>
                <w:rFonts w:ascii="Palatino Linotype" w:hAnsi="Palatino Linotype"/>
                <w:b/>
                <w:noProof/>
              </w:rPr>
              <w:t>PRIMERO. De la competencia</w:t>
            </w:r>
            <w:r w:rsidR="009710C1" w:rsidRPr="00AF7A87">
              <w:rPr>
                <w:rFonts w:ascii="Palatino Linotype" w:hAnsi="Palatino Linotype"/>
                <w:noProof/>
                <w:webHidden/>
              </w:rPr>
              <w:tab/>
            </w:r>
            <w:r w:rsidR="009710C1" w:rsidRPr="00AF7A87">
              <w:rPr>
                <w:rFonts w:ascii="Palatino Linotype" w:hAnsi="Palatino Linotype"/>
                <w:noProof/>
                <w:webHidden/>
              </w:rPr>
              <w:fldChar w:fldCharType="begin"/>
            </w:r>
            <w:r w:rsidR="009710C1" w:rsidRPr="00AF7A87">
              <w:rPr>
                <w:rFonts w:ascii="Palatino Linotype" w:hAnsi="Palatino Linotype"/>
                <w:noProof/>
                <w:webHidden/>
              </w:rPr>
              <w:instrText xml:space="preserve"> PAGEREF _Toc34157665 \h </w:instrText>
            </w:r>
            <w:r w:rsidR="009710C1" w:rsidRPr="00AF7A87">
              <w:rPr>
                <w:rFonts w:ascii="Palatino Linotype" w:hAnsi="Palatino Linotype"/>
                <w:noProof/>
                <w:webHidden/>
              </w:rPr>
            </w:r>
            <w:r w:rsidR="009710C1" w:rsidRPr="00AF7A87">
              <w:rPr>
                <w:rFonts w:ascii="Palatino Linotype" w:hAnsi="Palatino Linotype"/>
                <w:noProof/>
                <w:webHidden/>
              </w:rPr>
              <w:fldChar w:fldCharType="separate"/>
            </w:r>
            <w:r w:rsidR="009710C1" w:rsidRPr="00AF7A87">
              <w:rPr>
                <w:rFonts w:ascii="Palatino Linotype" w:hAnsi="Palatino Linotype"/>
                <w:noProof/>
                <w:webHidden/>
              </w:rPr>
              <w:t>7</w:t>
            </w:r>
            <w:r w:rsidR="009710C1" w:rsidRPr="00AF7A87">
              <w:rPr>
                <w:rFonts w:ascii="Palatino Linotype" w:hAnsi="Palatino Linotype"/>
                <w:noProof/>
                <w:webHidden/>
              </w:rPr>
              <w:fldChar w:fldCharType="end"/>
            </w:r>
          </w:hyperlink>
        </w:p>
        <w:p w14:paraId="282C8C2E" w14:textId="77777777" w:rsidR="009710C1" w:rsidRPr="00AF7A87" w:rsidRDefault="00D64B3C" w:rsidP="009710C1">
          <w:pPr>
            <w:pStyle w:val="TDC2"/>
            <w:spacing w:after="0"/>
            <w:rPr>
              <w:rFonts w:ascii="Palatino Linotype" w:hAnsi="Palatino Linotype"/>
              <w:noProof/>
              <w:sz w:val="22"/>
              <w:szCs w:val="22"/>
              <w:lang w:val="es-MX" w:eastAsia="es-MX"/>
            </w:rPr>
          </w:pPr>
          <w:hyperlink w:anchor="_Toc34157666" w:history="1">
            <w:r w:rsidR="009710C1" w:rsidRPr="00AF7A87">
              <w:rPr>
                <w:rStyle w:val="Hipervnculo"/>
                <w:rFonts w:ascii="Palatino Linotype" w:hAnsi="Palatino Linotype"/>
                <w:b/>
                <w:noProof/>
              </w:rPr>
              <w:t>SEGUNDO. De la oportunidad y procedencia.</w:t>
            </w:r>
            <w:r w:rsidR="009710C1" w:rsidRPr="00AF7A87">
              <w:rPr>
                <w:rFonts w:ascii="Palatino Linotype" w:hAnsi="Palatino Linotype"/>
                <w:noProof/>
                <w:webHidden/>
              </w:rPr>
              <w:tab/>
            </w:r>
            <w:r w:rsidR="009710C1" w:rsidRPr="00AF7A87">
              <w:rPr>
                <w:rFonts w:ascii="Palatino Linotype" w:hAnsi="Palatino Linotype"/>
                <w:noProof/>
                <w:webHidden/>
              </w:rPr>
              <w:fldChar w:fldCharType="begin"/>
            </w:r>
            <w:r w:rsidR="009710C1" w:rsidRPr="00AF7A87">
              <w:rPr>
                <w:rFonts w:ascii="Palatino Linotype" w:hAnsi="Palatino Linotype"/>
                <w:noProof/>
                <w:webHidden/>
              </w:rPr>
              <w:instrText xml:space="preserve"> PAGEREF _Toc34157666 \h </w:instrText>
            </w:r>
            <w:r w:rsidR="009710C1" w:rsidRPr="00AF7A87">
              <w:rPr>
                <w:rFonts w:ascii="Palatino Linotype" w:hAnsi="Palatino Linotype"/>
                <w:noProof/>
                <w:webHidden/>
              </w:rPr>
            </w:r>
            <w:r w:rsidR="009710C1" w:rsidRPr="00AF7A87">
              <w:rPr>
                <w:rFonts w:ascii="Palatino Linotype" w:hAnsi="Palatino Linotype"/>
                <w:noProof/>
                <w:webHidden/>
              </w:rPr>
              <w:fldChar w:fldCharType="separate"/>
            </w:r>
            <w:r w:rsidR="009710C1" w:rsidRPr="00AF7A87">
              <w:rPr>
                <w:rFonts w:ascii="Palatino Linotype" w:hAnsi="Palatino Linotype"/>
                <w:noProof/>
                <w:webHidden/>
              </w:rPr>
              <w:t>8</w:t>
            </w:r>
            <w:r w:rsidR="009710C1" w:rsidRPr="00AF7A87">
              <w:rPr>
                <w:rFonts w:ascii="Palatino Linotype" w:hAnsi="Palatino Linotype"/>
                <w:noProof/>
                <w:webHidden/>
              </w:rPr>
              <w:fldChar w:fldCharType="end"/>
            </w:r>
          </w:hyperlink>
        </w:p>
        <w:p w14:paraId="500A8A4A" w14:textId="77777777" w:rsidR="009710C1" w:rsidRPr="00AF7A87" w:rsidRDefault="00D64B3C" w:rsidP="009710C1">
          <w:pPr>
            <w:pStyle w:val="TDC1"/>
            <w:spacing w:after="0"/>
            <w:rPr>
              <w:rFonts w:ascii="Palatino Linotype" w:hAnsi="Palatino Linotype"/>
              <w:noProof/>
              <w:sz w:val="22"/>
              <w:szCs w:val="22"/>
              <w:lang w:val="es-MX" w:eastAsia="es-MX"/>
            </w:rPr>
          </w:pPr>
          <w:hyperlink w:anchor="_Toc34157667" w:history="1">
            <w:r w:rsidR="009710C1" w:rsidRPr="00AF7A87">
              <w:rPr>
                <w:rStyle w:val="Hipervnculo"/>
                <w:rFonts w:ascii="Palatino Linotype" w:hAnsi="Palatino Linotype"/>
                <w:b/>
                <w:noProof/>
              </w:rPr>
              <w:t xml:space="preserve">TERCERO. Del planteamiento de la </w:t>
            </w:r>
            <w:r w:rsidR="009710C1" w:rsidRPr="00AF7A87">
              <w:rPr>
                <w:rStyle w:val="Hipervnculo"/>
                <w:rFonts w:ascii="Palatino Linotype" w:hAnsi="Palatino Linotype"/>
                <w:b/>
                <w:i/>
                <w:noProof/>
              </w:rPr>
              <w:t>Litis</w:t>
            </w:r>
            <w:r w:rsidR="009710C1" w:rsidRPr="00AF7A87">
              <w:rPr>
                <w:rStyle w:val="Hipervnculo"/>
                <w:rFonts w:ascii="Palatino Linotype" w:hAnsi="Palatino Linotype"/>
                <w:b/>
                <w:noProof/>
              </w:rPr>
              <w:t>.</w:t>
            </w:r>
            <w:r w:rsidR="009710C1" w:rsidRPr="00AF7A87">
              <w:rPr>
                <w:rFonts w:ascii="Palatino Linotype" w:hAnsi="Palatino Linotype"/>
                <w:noProof/>
                <w:webHidden/>
              </w:rPr>
              <w:tab/>
            </w:r>
            <w:r w:rsidR="009710C1" w:rsidRPr="00AF7A87">
              <w:rPr>
                <w:rFonts w:ascii="Palatino Linotype" w:hAnsi="Palatino Linotype"/>
                <w:noProof/>
                <w:webHidden/>
              </w:rPr>
              <w:fldChar w:fldCharType="begin"/>
            </w:r>
            <w:r w:rsidR="009710C1" w:rsidRPr="00AF7A87">
              <w:rPr>
                <w:rFonts w:ascii="Palatino Linotype" w:hAnsi="Palatino Linotype"/>
                <w:noProof/>
                <w:webHidden/>
              </w:rPr>
              <w:instrText xml:space="preserve"> PAGEREF _Toc34157667 \h </w:instrText>
            </w:r>
            <w:r w:rsidR="009710C1" w:rsidRPr="00AF7A87">
              <w:rPr>
                <w:rFonts w:ascii="Palatino Linotype" w:hAnsi="Palatino Linotype"/>
                <w:noProof/>
                <w:webHidden/>
              </w:rPr>
            </w:r>
            <w:r w:rsidR="009710C1" w:rsidRPr="00AF7A87">
              <w:rPr>
                <w:rFonts w:ascii="Palatino Linotype" w:hAnsi="Palatino Linotype"/>
                <w:noProof/>
                <w:webHidden/>
              </w:rPr>
              <w:fldChar w:fldCharType="separate"/>
            </w:r>
            <w:r w:rsidR="009710C1" w:rsidRPr="00AF7A87">
              <w:rPr>
                <w:rFonts w:ascii="Palatino Linotype" w:hAnsi="Palatino Linotype"/>
                <w:noProof/>
                <w:webHidden/>
              </w:rPr>
              <w:t>10</w:t>
            </w:r>
            <w:r w:rsidR="009710C1" w:rsidRPr="00AF7A87">
              <w:rPr>
                <w:rFonts w:ascii="Palatino Linotype" w:hAnsi="Palatino Linotype"/>
                <w:noProof/>
                <w:webHidden/>
              </w:rPr>
              <w:fldChar w:fldCharType="end"/>
            </w:r>
          </w:hyperlink>
        </w:p>
        <w:p w14:paraId="3F6820F5" w14:textId="77777777" w:rsidR="009710C1" w:rsidRPr="00AF7A87" w:rsidRDefault="00D64B3C" w:rsidP="009710C1">
          <w:pPr>
            <w:pStyle w:val="TDC1"/>
            <w:spacing w:after="0"/>
            <w:rPr>
              <w:rFonts w:ascii="Palatino Linotype" w:hAnsi="Palatino Linotype"/>
              <w:noProof/>
              <w:sz w:val="22"/>
              <w:szCs w:val="22"/>
              <w:lang w:val="es-MX" w:eastAsia="es-MX"/>
            </w:rPr>
          </w:pPr>
          <w:hyperlink w:anchor="_Toc34157668" w:history="1">
            <w:r w:rsidR="009710C1" w:rsidRPr="00AF7A87">
              <w:rPr>
                <w:rStyle w:val="Hipervnculo"/>
                <w:rFonts w:ascii="Palatino Linotype" w:hAnsi="Palatino Linotype"/>
                <w:b/>
                <w:noProof/>
              </w:rPr>
              <w:t>CUARTO. Del estudio y resolución del asunto.</w:t>
            </w:r>
            <w:r w:rsidR="009710C1" w:rsidRPr="00AF7A87">
              <w:rPr>
                <w:rFonts w:ascii="Palatino Linotype" w:hAnsi="Palatino Linotype"/>
                <w:noProof/>
                <w:webHidden/>
              </w:rPr>
              <w:tab/>
            </w:r>
            <w:r w:rsidR="009710C1" w:rsidRPr="00AF7A87">
              <w:rPr>
                <w:rFonts w:ascii="Palatino Linotype" w:hAnsi="Palatino Linotype"/>
                <w:noProof/>
                <w:webHidden/>
              </w:rPr>
              <w:fldChar w:fldCharType="begin"/>
            </w:r>
            <w:r w:rsidR="009710C1" w:rsidRPr="00AF7A87">
              <w:rPr>
                <w:rFonts w:ascii="Palatino Linotype" w:hAnsi="Palatino Linotype"/>
                <w:noProof/>
                <w:webHidden/>
              </w:rPr>
              <w:instrText xml:space="preserve"> PAGEREF _Toc34157668 \h </w:instrText>
            </w:r>
            <w:r w:rsidR="009710C1" w:rsidRPr="00AF7A87">
              <w:rPr>
                <w:rFonts w:ascii="Palatino Linotype" w:hAnsi="Palatino Linotype"/>
                <w:noProof/>
                <w:webHidden/>
              </w:rPr>
            </w:r>
            <w:r w:rsidR="009710C1" w:rsidRPr="00AF7A87">
              <w:rPr>
                <w:rFonts w:ascii="Palatino Linotype" w:hAnsi="Palatino Linotype"/>
                <w:noProof/>
                <w:webHidden/>
              </w:rPr>
              <w:fldChar w:fldCharType="separate"/>
            </w:r>
            <w:r w:rsidR="009710C1" w:rsidRPr="00AF7A87">
              <w:rPr>
                <w:rFonts w:ascii="Palatino Linotype" w:hAnsi="Palatino Linotype"/>
                <w:noProof/>
                <w:webHidden/>
              </w:rPr>
              <w:t>11</w:t>
            </w:r>
            <w:r w:rsidR="009710C1" w:rsidRPr="00AF7A87">
              <w:rPr>
                <w:rFonts w:ascii="Palatino Linotype" w:hAnsi="Palatino Linotype"/>
                <w:noProof/>
                <w:webHidden/>
              </w:rPr>
              <w:fldChar w:fldCharType="end"/>
            </w:r>
          </w:hyperlink>
        </w:p>
        <w:p w14:paraId="18C53C4F" w14:textId="77777777" w:rsidR="009710C1" w:rsidRPr="00AF7A87" w:rsidRDefault="00D64B3C" w:rsidP="009710C1">
          <w:pPr>
            <w:pStyle w:val="TDC1"/>
            <w:spacing w:after="0"/>
            <w:ind w:left="0"/>
            <w:rPr>
              <w:rFonts w:ascii="Palatino Linotype" w:hAnsi="Palatino Linotype"/>
              <w:noProof/>
              <w:sz w:val="22"/>
              <w:szCs w:val="22"/>
              <w:lang w:val="es-MX" w:eastAsia="es-MX"/>
            </w:rPr>
          </w:pPr>
          <w:hyperlink w:anchor="_Toc34157669" w:history="1">
            <w:r w:rsidR="009710C1" w:rsidRPr="00AF7A87">
              <w:rPr>
                <w:rStyle w:val="Hipervnculo"/>
                <w:rFonts w:ascii="Palatino Linotype" w:hAnsi="Palatino Linotype"/>
                <w:b/>
                <w:noProof/>
              </w:rPr>
              <w:t>R E S O L U T I V O S</w:t>
            </w:r>
            <w:r w:rsidR="009710C1" w:rsidRPr="00AF7A87">
              <w:rPr>
                <w:rFonts w:ascii="Palatino Linotype" w:hAnsi="Palatino Linotype"/>
                <w:noProof/>
                <w:webHidden/>
              </w:rPr>
              <w:tab/>
            </w:r>
            <w:r w:rsidR="009710C1" w:rsidRPr="00AF7A87">
              <w:rPr>
                <w:rFonts w:ascii="Palatino Linotype" w:hAnsi="Palatino Linotype"/>
                <w:noProof/>
                <w:webHidden/>
              </w:rPr>
              <w:fldChar w:fldCharType="begin"/>
            </w:r>
            <w:r w:rsidR="009710C1" w:rsidRPr="00AF7A87">
              <w:rPr>
                <w:rFonts w:ascii="Palatino Linotype" w:hAnsi="Palatino Linotype"/>
                <w:noProof/>
                <w:webHidden/>
              </w:rPr>
              <w:instrText xml:space="preserve"> PAGEREF _Toc34157669 \h </w:instrText>
            </w:r>
            <w:r w:rsidR="009710C1" w:rsidRPr="00AF7A87">
              <w:rPr>
                <w:rFonts w:ascii="Palatino Linotype" w:hAnsi="Palatino Linotype"/>
                <w:noProof/>
                <w:webHidden/>
              </w:rPr>
            </w:r>
            <w:r w:rsidR="009710C1" w:rsidRPr="00AF7A87">
              <w:rPr>
                <w:rFonts w:ascii="Palatino Linotype" w:hAnsi="Palatino Linotype"/>
                <w:noProof/>
                <w:webHidden/>
              </w:rPr>
              <w:fldChar w:fldCharType="separate"/>
            </w:r>
            <w:r w:rsidR="009710C1" w:rsidRPr="00AF7A87">
              <w:rPr>
                <w:rFonts w:ascii="Palatino Linotype" w:hAnsi="Palatino Linotype"/>
                <w:noProof/>
                <w:webHidden/>
              </w:rPr>
              <w:t>30</w:t>
            </w:r>
            <w:r w:rsidR="009710C1" w:rsidRPr="00AF7A87">
              <w:rPr>
                <w:rFonts w:ascii="Palatino Linotype" w:hAnsi="Palatino Linotype"/>
                <w:noProof/>
                <w:webHidden/>
              </w:rPr>
              <w:fldChar w:fldCharType="end"/>
            </w:r>
          </w:hyperlink>
        </w:p>
        <w:p w14:paraId="61A76C5A" w14:textId="77777777" w:rsidR="009710C1" w:rsidRPr="00AF7A87" w:rsidRDefault="009710C1" w:rsidP="009710C1">
          <w:pPr>
            <w:spacing w:line="480" w:lineRule="auto"/>
            <w:rPr>
              <w:rFonts w:ascii="Palatino Linotype" w:hAnsi="Palatino Linotype"/>
            </w:rPr>
          </w:pPr>
          <w:r w:rsidRPr="00AF7A87">
            <w:rPr>
              <w:rFonts w:ascii="Palatino Linotype" w:hAnsi="Palatino Linotype"/>
              <w:b/>
              <w:bCs/>
              <w:lang w:val="es-ES"/>
            </w:rPr>
            <w:fldChar w:fldCharType="end"/>
          </w:r>
        </w:p>
      </w:sdtContent>
    </w:sdt>
    <w:p w14:paraId="30A3275F" w14:textId="77777777" w:rsidR="009710C1" w:rsidRPr="00AF7A87" w:rsidRDefault="009710C1" w:rsidP="00440800">
      <w:pPr>
        <w:tabs>
          <w:tab w:val="left" w:pos="3465"/>
        </w:tabs>
        <w:spacing w:before="240" w:after="360" w:line="360" w:lineRule="auto"/>
        <w:jc w:val="both"/>
        <w:rPr>
          <w:rFonts w:ascii="Palatino Linotype" w:hAnsi="Palatino Linotype"/>
          <w:b/>
        </w:rPr>
      </w:pPr>
    </w:p>
    <w:p w14:paraId="35E364D4" w14:textId="77777777" w:rsidR="009710C1" w:rsidRPr="00AF7A87" w:rsidRDefault="009710C1" w:rsidP="00440800">
      <w:pPr>
        <w:tabs>
          <w:tab w:val="left" w:pos="3465"/>
        </w:tabs>
        <w:spacing w:before="240" w:after="360" w:line="360" w:lineRule="auto"/>
        <w:jc w:val="both"/>
        <w:rPr>
          <w:rFonts w:ascii="Palatino Linotype" w:hAnsi="Palatino Linotype"/>
        </w:rPr>
      </w:pPr>
    </w:p>
    <w:p w14:paraId="65099AAE" w14:textId="4CA98EDD" w:rsidR="009710C1" w:rsidRPr="00AF7A87" w:rsidRDefault="009710C1" w:rsidP="00440800">
      <w:pPr>
        <w:tabs>
          <w:tab w:val="left" w:pos="3465"/>
        </w:tabs>
        <w:spacing w:before="240" w:after="360" w:line="360" w:lineRule="auto"/>
        <w:jc w:val="both"/>
        <w:rPr>
          <w:rFonts w:ascii="Palatino Linotype" w:hAnsi="Palatino Linotype"/>
        </w:rPr>
      </w:pPr>
    </w:p>
    <w:p w14:paraId="1FDA80A4" w14:textId="1C85CA94" w:rsidR="009710C1" w:rsidRPr="00AF7A87" w:rsidRDefault="009710C1" w:rsidP="00440800">
      <w:pPr>
        <w:tabs>
          <w:tab w:val="left" w:pos="3465"/>
        </w:tabs>
        <w:spacing w:before="240" w:after="360" w:line="360" w:lineRule="auto"/>
        <w:jc w:val="both"/>
        <w:rPr>
          <w:rFonts w:ascii="Palatino Linotype" w:hAnsi="Palatino Linotype"/>
        </w:rPr>
      </w:pPr>
    </w:p>
    <w:p w14:paraId="3AE74869" w14:textId="1B30A256" w:rsidR="009710C1" w:rsidRPr="00AF7A87" w:rsidRDefault="009B11D6" w:rsidP="00440800">
      <w:pPr>
        <w:tabs>
          <w:tab w:val="left" w:pos="3465"/>
        </w:tabs>
        <w:spacing w:before="240" w:after="360" w:line="360" w:lineRule="auto"/>
        <w:jc w:val="both"/>
        <w:rPr>
          <w:rFonts w:ascii="Palatino Linotype" w:hAnsi="Palatino Linotype"/>
        </w:rPr>
      </w:pPr>
      <w:r w:rsidRPr="00AF7A87">
        <w:rPr>
          <w:rFonts w:ascii="Palatino Linotype" w:hAnsi="Palatino Linotype"/>
        </w:rPr>
        <w:lastRenderedPageBreak/>
        <w:t>R</w:t>
      </w:r>
      <w:r w:rsidR="00662C69" w:rsidRPr="00AF7A87">
        <w:rPr>
          <w:rFonts w:ascii="Palatino Linotype" w:hAnsi="Palatino Linotype"/>
        </w:rPr>
        <w:t>esolución del Pleno del Instituto de Transparencia, Acceso a la Información Pública y Protección de Datos Personales del Estado de México y Mun</w:t>
      </w:r>
      <w:r w:rsidR="000D5A1D" w:rsidRPr="00AF7A87">
        <w:rPr>
          <w:rFonts w:ascii="Palatino Linotype" w:hAnsi="Palatino Linotype"/>
        </w:rPr>
        <w:t>icipios, con</w:t>
      </w:r>
      <w:r w:rsidR="00662C69" w:rsidRPr="00AF7A87">
        <w:rPr>
          <w:rFonts w:ascii="Palatino Linotype" w:hAnsi="Palatino Linotype"/>
        </w:rPr>
        <w:t xml:space="preserve"> </w:t>
      </w:r>
      <w:r w:rsidR="00485DB6" w:rsidRPr="00AF7A87">
        <w:rPr>
          <w:rFonts w:ascii="Palatino Linotype" w:hAnsi="Palatino Linotype"/>
        </w:rPr>
        <w:t xml:space="preserve">domicilio </w:t>
      </w:r>
      <w:r w:rsidR="00662C69" w:rsidRPr="00AF7A87">
        <w:rPr>
          <w:rFonts w:ascii="Palatino Linotype" w:hAnsi="Palatino Linotype"/>
        </w:rPr>
        <w:t xml:space="preserve">en </w:t>
      </w:r>
      <w:r w:rsidR="00AC22B5" w:rsidRPr="00AF7A87">
        <w:rPr>
          <w:rFonts w:ascii="Palatino Linotype" w:hAnsi="Palatino Linotype"/>
        </w:rPr>
        <w:t>Metepec</w:t>
      </w:r>
      <w:r w:rsidR="00662C69" w:rsidRPr="00AF7A87">
        <w:rPr>
          <w:rFonts w:ascii="Palatino Linotype" w:hAnsi="Palatino Linotype"/>
        </w:rPr>
        <w:t xml:space="preserve">, Estado de México; de </w:t>
      </w:r>
      <w:r w:rsidR="000D5A1D" w:rsidRPr="00AF7A87">
        <w:rPr>
          <w:rFonts w:ascii="Palatino Linotype" w:hAnsi="Palatino Linotype"/>
        </w:rPr>
        <w:t>fecha</w:t>
      </w:r>
      <w:r w:rsidR="009710C1" w:rsidRPr="00AF7A87">
        <w:rPr>
          <w:rFonts w:ascii="Palatino Linotype" w:hAnsi="Palatino Linotype"/>
        </w:rPr>
        <w:t xml:space="preserve"> cuatro (04) de febrero de dos mil veintiuno.</w:t>
      </w:r>
    </w:p>
    <w:p w14:paraId="548BA910" w14:textId="568FCCC3" w:rsidR="00F854D7" w:rsidRPr="00AF7A87" w:rsidRDefault="00662C69" w:rsidP="001E74A5">
      <w:pPr>
        <w:spacing w:before="240" w:after="360" w:line="360" w:lineRule="auto"/>
        <w:jc w:val="both"/>
        <w:rPr>
          <w:rFonts w:ascii="Palatino Linotype" w:hAnsi="Palatino Linotype"/>
          <w:b/>
        </w:rPr>
      </w:pPr>
      <w:r w:rsidRPr="00AF7A87">
        <w:rPr>
          <w:rFonts w:ascii="Palatino Linotype" w:hAnsi="Palatino Linotype"/>
          <w:b/>
        </w:rPr>
        <w:t>VISTO</w:t>
      </w:r>
      <w:r w:rsidRPr="00AF7A87">
        <w:rPr>
          <w:rFonts w:ascii="Palatino Linotype" w:hAnsi="Palatino Linotype"/>
        </w:rPr>
        <w:t xml:space="preserve"> el expediente electrónico for</w:t>
      </w:r>
      <w:r w:rsidR="00D37494" w:rsidRPr="00AF7A87">
        <w:rPr>
          <w:rFonts w:ascii="Palatino Linotype" w:hAnsi="Palatino Linotype"/>
        </w:rPr>
        <w:t>mado con motivo del</w:t>
      </w:r>
      <w:r w:rsidRPr="00AF7A87">
        <w:rPr>
          <w:rFonts w:ascii="Palatino Linotype" w:hAnsi="Palatino Linotype"/>
        </w:rPr>
        <w:t xml:space="preserve"> recurso de revisión </w:t>
      </w:r>
      <w:r w:rsidR="00D7550E" w:rsidRPr="00AF7A87">
        <w:rPr>
          <w:rFonts w:ascii="Palatino Linotype" w:hAnsi="Palatino Linotype"/>
          <w:b/>
          <w:bCs/>
        </w:rPr>
        <w:t xml:space="preserve">  </w:t>
      </w:r>
      <w:r w:rsidR="00216238" w:rsidRPr="00AF7A87">
        <w:rPr>
          <w:rFonts w:ascii="Palatino Linotype" w:hAnsi="Palatino Linotype"/>
          <w:b/>
          <w:bCs/>
        </w:rPr>
        <w:t>06008/INFOEM/IP/RR/2020</w:t>
      </w:r>
      <w:r w:rsidR="004F3DEB" w:rsidRPr="00AF7A87">
        <w:rPr>
          <w:rFonts w:ascii="Palatino Linotype" w:hAnsi="Palatino Linotype"/>
          <w:b/>
        </w:rPr>
        <w:t>,</w:t>
      </w:r>
      <w:r w:rsidR="00335BFE" w:rsidRPr="00AF7A87">
        <w:rPr>
          <w:rFonts w:ascii="Palatino Linotype" w:hAnsi="Palatino Linotype" w:cs="Arial"/>
          <w:b/>
          <w:bCs/>
        </w:rPr>
        <w:t xml:space="preserve"> </w:t>
      </w:r>
      <w:r w:rsidRPr="00AF7A87">
        <w:rPr>
          <w:rFonts w:ascii="Palatino Linotype" w:hAnsi="Palatino Linotype"/>
        </w:rPr>
        <w:t>promovido por</w:t>
      </w:r>
      <w:r w:rsidR="00311C3D" w:rsidRPr="00AF7A87">
        <w:rPr>
          <w:rFonts w:ascii="Palatino Linotype" w:hAnsi="Palatino Linotype"/>
        </w:rPr>
        <w:t xml:space="preserve"> </w:t>
      </w:r>
      <w:r w:rsidR="00D64B3C" w:rsidRPr="00D64B3C">
        <w:rPr>
          <w:rFonts w:ascii="Palatino Linotype" w:hAnsi="Palatino Linotype"/>
          <w:b/>
          <w:highlight w:val="black"/>
        </w:rPr>
        <w:t>----------------------------</w:t>
      </w:r>
      <w:r w:rsidR="007521DE" w:rsidRPr="00AF7A87">
        <w:rPr>
          <w:rFonts w:ascii="Palatino Linotype" w:hAnsi="Palatino Linotype"/>
        </w:rPr>
        <w:t xml:space="preserve">, </w:t>
      </w:r>
      <w:r w:rsidR="0064508B" w:rsidRPr="00AF7A87">
        <w:rPr>
          <w:rFonts w:ascii="Palatino Linotype" w:hAnsi="Palatino Linotype"/>
        </w:rPr>
        <w:t xml:space="preserve">a quien </w:t>
      </w:r>
      <w:r w:rsidR="00A05D06" w:rsidRPr="00AF7A87">
        <w:rPr>
          <w:rFonts w:ascii="Palatino Linotype" w:hAnsi="Palatino Linotype"/>
        </w:rPr>
        <w:t xml:space="preserve">en </w:t>
      </w:r>
      <w:r w:rsidR="00E64EAF" w:rsidRPr="00AF7A87">
        <w:rPr>
          <w:rFonts w:ascii="Palatino Linotype" w:hAnsi="Palatino Linotype"/>
        </w:rPr>
        <w:t>lo sucesivo</w:t>
      </w:r>
      <w:r w:rsidR="00A05D06" w:rsidRPr="00AF7A87">
        <w:rPr>
          <w:rFonts w:ascii="Palatino Linotype" w:hAnsi="Palatino Linotype"/>
        </w:rPr>
        <w:t xml:space="preserve"> se </w:t>
      </w:r>
      <w:r w:rsidR="007521DE" w:rsidRPr="00AF7A87">
        <w:rPr>
          <w:rFonts w:ascii="Palatino Linotype" w:hAnsi="Palatino Linotype"/>
        </w:rPr>
        <w:t xml:space="preserve">le </w:t>
      </w:r>
      <w:r w:rsidR="00A05D06" w:rsidRPr="00AF7A87">
        <w:rPr>
          <w:rFonts w:ascii="Palatino Linotype" w:hAnsi="Palatino Linotype"/>
        </w:rPr>
        <w:t>identificará como</w:t>
      </w:r>
      <w:r w:rsidR="00FF0139" w:rsidRPr="00AF7A87">
        <w:rPr>
          <w:rFonts w:ascii="Palatino Linotype" w:hAnsi="Palatino Linotype"/>
        </w:rPr>
        <w:t xml:space="preserve"> </w:t>
      </w:r>
      <w:r w:rsidR="0051659D" w:rsidRPr="00AF7A87">
        <w:rPr>
          <w:rFonts w:ascii="Palatino Linotype" w:hAnsi="Palatino Linotype"/>
        </w:rPr>
        <w:t>e</w:t>
      </w:r>
      <w:r w:rsidR="0064508B" w:rsidRPr="00AF7A87">
        <w:rPr>
          <w:rFonts w:ascii="Palatino Linotype" w:hAnsi="Palatino Linotype"/>
        </w:rPr>
        <w:t>l</w:t>
      </w:r>
      <w:r w:rsidR="0004427A" w:rsidRPr="00AF7A87">
        <w:rPr>
          <w:rFonts w:ascii="Palatino Linotype" w:hAnsi="Palatino Linotype"/>
          <w:b/>
        </w:rPr>
        <w:t xml:space="preserve"> </w:t>
      </w:r>
      <w:r w:rsidRPr="00AF7A87">
        <w:rPr>
          <w:rFonts w:ascii="Palatino Linotype" w:hAnsi="Palatino Linotype" w:cs="Arial"/>
          <w:b/>
        </w:rPr>
        <w:t>RECURRENTE</w:t>
      </w:r>
      <w:r w:rsidRPr="00AF7A87">
        <w:rPr>
          <w:rFonts w:ascii="Palatino Linotype" w:hAnsi="Palatino Linotype" w:cs="Arial"/>
        </w:rPr>
        <w:t xml:space="preserve">, en contra </w:t>
      </w:r>
      <w:r w:rsidR="000D5A1D" w:rsidRPr="00AF7A87">
        <w:rPr>
          <w:rFonts w:ascii="Palatino Linotype" w:hAnsi="Palatino Linotype" w:cs="Arial"/>
        </w:rPr>
        <w:t xml:space="preserve">de </w:t>
      </w:r>
      <w:r w:rsidR="00843908" w:rsidRPr="00AF7A87">
        <w:rPr>
          <w:rFonts w:ascii="Palatino Linotype" w:hAnsi="Palatino Linotype" w:cs="Arial"/>
        </w:rPr>
        <w:t xml:space="preserve">la respuesta </w:t>
      </w:r>
      <w:proofErr w:type="spellStart"/>
      <w:r w:rsidR="00843908" w:rsidRPr="00AF7A87">
        <w:rPr>
          <w:rFonts w:ascii="Palatino Linotype" w:hAnsi="Palatino Linotype" w:cs="Arial"/>
        </w:rPr>
        <w:t>d</w:t>
      </w:r>
      <w:r w:rsidR="00F854D7" w:rsidRPr="00AF7A87">
        <w:rPr>
          <w:rFonts w:ascii="Palatino Linotype" w:hAnsi="Palatino Linotype" w:cs="Arial"/>
        </w:rPr>
        <w:t xml:space="preserve">e </w:t>
      </w:r>
      <w:r w:rsidR="008C375B">
        <w:rPr>
          <w:rFonts w:ascii="Palatino Linotype" w:hAnsi="Palatino Linotype" w:cs="Arial"/>
        </w:rPr>
        <w:t>el</w:t>
      </w:r>
      <w:proofErr w:type="spellEnd"/>
      <w:r w:rsidR="008C375B" w:rsidRPr="00AF7A87">
        <w:rPr>
          <w:rFonts w:ascii="Palatino Linotype" w:hAnsi="Palatino Linotype" w:cs="Arial"/>
        </w:rPr>
        <w:t xml:space="preserve"> Tribunal</w:t>
      </w:r>
      <w:r w:rsidR="00216238" w:rsidRPr="00AF7A87">
        <w:rPr>
          <w:rFonts w:ascii="Palatino Linotype" w:hAnsi="Palatino Linotype"/>
          <w:b/>
          <w:bCs/>
          <w:color w:val="000000"/>
        </w:rPr>
        <w:t xml:space="preserve"> de Justicia Administrativa del Estado de México</w:t>
      </w:r>
      <w:r w:rsidR="004F3DEB" w:rsidRPr="00AF7A87">
        <w:rPr>
          <w:rFonts w:ascii="Palatino Linotype" w:hAnsi="Palatino Linotype" w:cs="Arial"/>
          <w:b/>
        </w:rPr>
        <w:t>,</w:t>
      </w:r>
      <w:r w:rsidR="0036073F" w:rsidRPr="00AF7A87">
        <w:rPr>
          <w:rFonts w:ascii="Palatino Linotype" w:hAnsi="Palatino Linotype"/>
          <w:b/>
        </w:rPr>
        <w:t xml:space="preserve"> </w:t>
      </w:r>
      <w:r w:rsidR="00F378CB" w:rsidRPr="00AF7A87">
        <w:rPr>
          <w:rFonts w:ascii="Palatino Linotype" w:hAnsi="Palatino Linotype"/>
        </w:rPr>
        <w:t xml:space="preserve">en lo sucesivo </w:t>
      </w:r>
      <w:r w:rsidR="0081425E" w:rsidRPr="00AF7A87">
        <w:rPr>
          <w:rFonts w:ascii="Palatino Linotype" w:hAnsi="Palatino Linotype"/>
        </w:rPr>
        <w:t>e</w:t>
      </w:r>
      <w:r w:rsidRPr="00AF7A87">
        <w:rPr>
          <w:rFonts w:ascii="Palatino Linotype" w:hAnsi="Palatino Linotype"/>
        </w:rPr>
        <w:t>l</w:t>
      </w:r>
      <w:r w:rsidRPr="00AF7A87">
        <w:rPr>
          <w:rFonts w:ascii="Palatino Linotype" w:hAnsi="Palatino Linotype"/>
          <w:b/>
        </w:rPr>
        <w:t xml:space="preserve"> SUJETO OBLIGADO</w:t>
      </w:r>
      <w:r w:rsidR="00F854D7" w:rsidRPr="00AF7A87">
        <w:rPr>
          <w:rFonts w:ascii="Palatino Linotype" w:hAnsi="Palatino Linotype"/>
          <w:b/>
        </w:rPr>
        <w:t xml:space="preserve">; </w:t>
      </w:r>
      <w:r w:rsidR="00F854D7" w:rsidRPr="00AF7A87">
        <w:rPr>
          <w:rFonts w:ascii="Palatino Linotype" w:hAnsi="Palatino Linotype"/>
        </w:rPr>
        <w:t xml:space="preserve">se procede a dictar la presente resolución, con base en los siguientes: </w:t>
      </w:r>
    </w:p>
    <w:p w14:paraId="769E1410" w14:textId="5740327F" w:rsidR="00587366" w:rsidRPr="00AF7A87" w:rsidRDefault="00662C69" w:rsidP="001E74A5">
      <w:pPr>
        <w:pStyle w:val="Ttulo1"/>
        <w:spacing w:line="360" w:lineRule="auto"/>
        <w:jc w:val="center"/>
        <w:rPr>
          <w:b/>
          <w:szCs w:val="24"/>
        </w:rPr>
      </w:pPr>
      <w:bookmarkStart w:id="0" w:name="_Toc461555884"/>
      <w:bookmarkStart w:id="1" w:name="_Toc466371847"/>
      <w:bookmarkStart w:id="2" w:name="_Toc35535690"/>
      <w:r w:rsidRPr="00AF7A87">
        <w:rPr>
          <w:b/>
          <w:szCs w:val="24"/>
        </w:rPr>
        <w:t>ANTECEDENTES</w:t>
      </w:r>
      <w:bookmarkEnd w:id="0"/>
      <w:bookmarkEnd w:id="1"/>
      <w:bookmarkEnd w:id="2"/>
    </w:p>
    <w:p w14:paraId="056CC9CF" w14:textId="4F3C62F4" w:rsidR="004512AB" w:rsidRPr="00AF7A87" w:rsidRDefault="00D9392E" w:rsidP="000757F4">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AF7A87">
        <w:rPr>
          <w:rFonts w:ascii="Palatino Linotype" w:eastAsia="Calibri" w:hAnsi="Palatino Linotype" w:cs="Arial"/>
          <w:lang w:val="es-ES"/>
        </w:rPr>
        <w:t xml:space="preserve">El día </w:t>
      </w:r>
      <w:r w:rsidR="00216238" w:rsidRPr="00AF7A87">
        <w:rPr>
          <w:rFonts w:ascii="Palatino Linotype" w:eastAsia="Calibri" w:hAnsi="Palatino Linotype" w:cs="Arial"/>
          <w:lang w:val="es-ES"/>
        </w:rPr>
        <w:t>tres</w:t>
      </w:r>
      <w:r w:rsidR="00EB1B4D" w:rsidRPr="00AF7A87">
        <w:rPr>
          <w:rFonts w:ascii="Palatino Linotype" w:eastAsia="Calibri" w:hAnsi="Palatino Linotype" w:cs="Arial"/>
          <w:lang w:val="es-ES"/>
        </w:rPr>
        <w:t xml:space="preserve"> </w:t>
      </w:r>
      <w:r w:rsidRPr="00AF7A87">
        <w:rPr>
          <w:rFonts w:ascii="Palatino Linotype" w:eastAsia="Calibri" w:hAnsi="Palatino Linotype" w:cs="Arial"/>
          <w:lang w:val="es-ES"/>
        </w:rPr>
        <w:t>(</w:t>
      </w:r>
      <w:r w:rsidR="00216238" w:rsidRPr="00AF7A87">
        <w:rPr>
          <w:rFonts w:ascii="Palatino Linotype" w:eastAsia="Calibri" w:hAnsi="Palatino Linotype" w:cs="Arial"/>
          <w:lang w:val="es-ES"/>
        </w:rPr>
        <w:t>03</w:t>
      </w:r>
      <w:r w:rsidRPr="00AF7A87">
        <w:rPr>
          <w:rFonts w:ascii="Palatino Linotype" w:eastAsia="Calibri" w:hAnsi="Palatino Linotype" w:cs="Arial"/>
          <w:lang w:val="es-ES"/>
        </w:rPr>
        <w:t xml:space="preserve">) de </w:t>
      </w:r>
      <w:r w:rsidR="00216238" w:rsidRPr="00AF7A87">
        <w:rPr>
          <w:rFonts w:ascii="Palatino Linotype" w:eastAsia="Calibri" w:hAnsi="Palatino Linotype" w:cs="Arial"/>
          <w:lang w:val="es-ES"/>
        </w:rPr>
        <w:t>noviembre</w:t>
      </w:r>
      <w:r w:rsidR="00DA3F4B" w:rsidRPr="00AF7A87">
        <w:rPr>
          <w:rFonts w:ascii="Palatino Linotype" w:eastAsia="Calibri" w:hAnsi="Palatino Linotype" w:cs="Arial"/>
          <w:lang w:val="es-ES"/>
        </w:rPr>
        <w:t xml:space="preserve"> de dos mil veinte</w:t>
      </w:r>
      <w:r w:rsidRPr="00AF7A87">
        <w:rPr>
          <w:rFonts w:ascii="Palatino Linotype" w:hAnsi="Palatino Linotype"/>
          <w:b/>
        </w:rPr>
        <w:t xml:space="preserve">, </w:t>
      </w:r>
      <w:r w:rsidRPr="00AF7A87">
        <w:rPr>
          <w:rFonts w:ascii="Palatino Linotype" w:eastAsia="Calibri" w:hAnsi="Palatino Linotype" w:cs="Arial"/>
          <w:lang w:val="es-ES"/>
        </w:rPr>
        <w:t>se presentó</w:t>
      </w:r>
      <w:r w:rsidR="00223D1A" w:rsidRPr="00AF7A87">
        <w:rPr>
          <w:rFonts w:ascii="Palatino Linotype" w:eastAsia="Calibri" w:hAnsi="Palatino Linotype" w:cs="Arial"/>
          <w:lang w:val="es-ES"/>
        </w:rPr>
        <w:t xml:space="preserve"> ante </w:t>
      </w:r>
      <w:r w:rsidR="0081425E" w:rsidRPr="00AF7A87">
        <w:rPr>
          <w:rFonts w:ascii="Palatino Linotype" w:eastAsia="Calibri" w:hAnsi="Palatino Linotype" w:cs="Arial"/>
          <w:lang w:val="es-ES"/>
        </w:rPr>
        <w:t>e</w:t>
      </w:r>
      <w:r w:rsidRPr="00AF7A87">
        <w:rPr>
          <w:rFonts w:ascii="Palatino Linotype" w:eastAsia="Calibri" w:hAnsi="Palatino Linotype" w:cs="Arial"/>
          <w:lang w:val="es-ES"/>
        </w:rPr>
        <w:t xml:space="preserve">l </w:t>
      </w:r>
      <w:r w:rsidRPr="00AF7A87">
        <w:rPr>
          <w:rFonts w:ascii="Palatino Linotype" w:eastAsia="Calibri" w:hAnsi="Palatino Linotype" w:cs="Arial"/>
          <w:b/>
          <w:lang w:val="es-ES"/>
        </w:rPr>
        <w:t>SUJETO OBLIGADO</w:t>
      </w:r>
      <w:r w:rsidRPr="00AF7A87">
        <w:rPr>
          <w:rFonts w:ascii="Palatino Linotype" w:eastAsia="Calibri" w:hAnsi="Palatino Linotype" w:cs="Arial"/>
        </w:rPr>
        <w:t xml:space="preserve"> vía </w:t>
      </w:r>
      <w:r w:rsidR="0035551F" w:rsidRPr="00AF7A87">
        <w:rPr>
          <w:rFonts w:ascii="Palatino Linotype" w:eastAsia="Calibri" w:hAnsi="Palatino Linotype" w:cs="Arial"/>
          <w:lang w:val="es-ES"/>
        </w:rPr>
        <w:t xml:space="preserve">Sistema de Acceso a la Información Mexiquense (SAIMEX), </w:t>
      </w:r>
      <w:r w:rsidRPr="00AF7A87">
        <w:rPr>
          <w:rFonts w:ascii="Palatino Linotype" w:eastAsia="Calibri" w:hAnsi="Palatino Linotype" w:cs="Arial"/>
          <w:lang w:val="es-ES"/>
        </w:rPr>
        <w:t>la solicitud de información pública registrad</w:t>
      </w:r>
      <w:r w:rsidR="0081425E" w:rsidRPr="00AF7A87">
        <w:rPr>
          <w:rFonts w:ascii="Palatino Linotype" w:eastAsia="Calibri" w:hAnsi="Palatino Linotype" w:cs="Arial"/>
          <w:lang w:val="es-ES"/>
        </w:rPr>
        <w:t>a</w:t>
      </w:r>
      <w:r w:rsidRPr="00AF7A87">
        <w:rPr>
          <w:rFonts w:ascii="Palatino Linotype" w:eastAsia="Calibri" w:hAnsi="Palatino Linotype" w:cs="Arial"/>
          <w:lang w:val="es-ES"/>
        </w:rPr>
        <w:t xml:space="preserve"> con </w:t>
      </w:r>
      <w:r w:rsidR="0081425E" w:rsidRPr="00AF7A87">
        <w:rPr>
          <w:rFonts w:ascii="Palatino Linotype" w:eastAsia="Calibri" w:hAnsi="Palatino Linotype" w:cs="Arial"/>
          <w:lang w:val="es-ES"/>
        </w:rPr>
        <w:t>e</w:t>
      </w:r>
      <w:r w:rsidRPr="00AF7A87">
        <w:rPr>
          <w:rFonts w:ascii="Palatino Linotype" w:eastAsia="Calibri" w:hAnsi="Palatino Linotype" w:cs="Arial"/>
          <w:lang w:val="es-ES"/>
        </w:rPr>
        <w:t>l</w:t>
      </w:r>
      <w:r w:rsidR="0081425E" w:rsidRPr="00AF7A87">
        <w:rPr>
          <w:rFonts w:ascii="Palatino Linotype" w:eastAsia="Calibri" w:hAnsi="Palatino Linotype" w:cs="Arial"/>
          <w:lang w:val="es-ES"/>
        </w:rPr>
        <w:t xml:space="preserve"> número</w:t>
      </w:r>
      <w:r w:rsidR="000C5DE6" w:rsidRPr="00AF7A87">
        <w:rPr>
          <w:rFonts w:ascii="Palatino Linotype" w:hAnsi="Palatino Linotype"/>
          <w:b/>
          <w:bCs/>
          <w:color w:val="000000" w:themeColor="text1"/>
        </w:rPr>
        <w:t xml:space="preserve"> </w:t>
      </w:r>
      <w:r w:rsidR="00216238" w:rsidRPr="00AF7A87">
        <w:rPr>
          <w:rFonts w:ascii="Palatino Linotype" w:hAnsi="Palatino Linotype"/>
          <w:b/>
          <w:bCs/>
        </w:rPr>
        <w:t>00233/TRIJAEM/IP/2020</w:t>
      </w:r>
      <w:r w:rsidR="00216238" w:rsidRPr="00AF7A87">
        <w:rPr>
          <w:rFonts w:ascii="Palatino Linotype" w:eastAsia="Calibri" w:hAnsi="Palatino Linotype" w:cs="Arial"/>
          <w:lang w:val="es-ES"/>
        </w:rPr>
        <w:t xml:space="preserve"> </w:t>
      </w:r>
      <w:r w:rsidRPr="00AF7A87">
        <w:rPr>
          <w:rFonts w:ascii="Palatino Linotype" w:eastAsia="Calibri" w:hAnsi="Palatino Linotype" w:cs="Arial"/>
          <w:lang w:val="es-ES"/>
        </w:rPr>
        <w:t xml:space="preserve">mediante la cual </w:t>
      </w:r>
      <w:r w:rsidR="00A133FA" w:rsidRPr="00AF7A87">
        <w:rPr>
          <w:rFonts w:ascii="Palatino Linotype" w:eastAsia="Calibri" w:hAnsi="Palatino Linotype" w:cs="Arial"/>
          <w:lang w:val="es-ES"/>
        </w:rPr>
        <w:t xml:space="preserve">se </w:t>
      </w:r>
      <w:r w:rsidRPr="00AF7A87">
        <w:rPr>
          <w:rFonts w:ascii="Palatino Linotype" w:eastAsia="Calibri" w:hAnsi="Palatino Linotype" w:cs="Arial"/>
          <w:lang w:val="es-ES"/>
        </w:rPr>
        <w:t>solicitó</w:t>
      </w:r>
      <w:r w:rsidR="00A16B32" w:rsidRPr="00AF7A87">
        <w:rPr>
          <w:rFonts w:ascii="Palatino Linotype" w:eastAsia="Calibri" w:hAnsi="Palatino Linotype" w:cs="Arial"/>
          <w:lang w:val="es-ES"/>
        </w:rPr>
        <w:t xml:space="preserve"> </w:t>
      </w:r>
      <w:r w:rsidR="00646BEE" w:rsidRPr="00AF7A87">
        <w:rPr>
          <w:rFonts w:ascii="Palatino Linotype" w:eastAsia="Calibri" w:hAnsi="Palatino Linotype" w:cs="Arial"/>
          <w:lang w:val="es-ES"/>
        </w:rPr>
        <w:t>la</w:t>
      </w:r>
      <w:r w:rsidR="00A16B32" w:rsidRPr="00AF7A87">
        <w:rPr>
          <w:rFonts w:ascii="Palatino Linotype" w:eastAsia="Calibri" w:hAnsi="Palatino Linotype" w:cs="Arial"/>
          <w:lang w:val="es-ES"/>
        </w:rPr>
        <w:t xml:space="preserve"> siguiente</w:t>
      </w:r>
      <w:r w:rsidR="00646BEE" w:rsidRPr="00AF7A87">
        <w:rPr>
          <w:rFonts w:ascii="Palatino Linotype" w:eastAsia="Calibri" w:hAnsi="Palatino Linotype" w:cs="Arial"/>
          <w:lang w:val="es-ES"/>
        </w:rPr>
        <w:t xml:space="preserve"> información</w:t>
      </w:r>
      <w:r w:rsidRPr="00AF7A87">
        <w:rPr>
          <w:rFonts w:ascii="Palatino Linotype" w:eastAsia="Calibri" w:hAnsi="Palatino Linotype" w:cs="Arial"/>
          <w:lang w:val="es-ES"/>
        </w:rPr>
        <w:t>:</w:t>
      </w:r>
    </w:p>
    <w:p w14:paraId="27CCF7BC" w14:textId="174ABF59" w:rsidR="004512AB" w:rsidRPr="00AF7A87" w:rsidRDefault="004512AB" w:rsidP="005A6B49">
      <w:pPr>
        <w:spacing w:line="276" w:lineRule="auto"/>
        <w:ind w:left="630"/>
        <w:jc w:val="both"/>
        <w:rPr>
          <w:rFonts w:ascii="Palatino Linotype" w:hAnsi="Palatino Linotype"/>
          <w:b/>
          <w:i/>
        </w:rPr>
      </w:pPr>
      <w:r w:rsidRPr="00AF7A87">
        <w:rPr>
          <w:rFonts w:ascii="Palatino Linotype" w:eastAsia="Calibri" w:hAnsi="Palatino Linotype" w:cs="Arial"/>
          <w:i/>
          <w:lang w:val="es-ES"/>
        </w:rPr>
        <w:t>“</w:t>
      </w:r>
      <w:r w:rsidR="00216238" w:rsidRPr="00AF7A87">
        <w:rPr>
          <w:rFonts w:ascii="Palatino Linotype" w:hAnsi="Palatino Linotype"/>
          <w:i/>
          <w:color w:val="000000"/>
        </w:rPr>
        <w:t>Solicito las versiones públicas de las sentencias dictadas por la Novena Sala Regional Especializada, dentro de los procedimientos de responsabilidad administrativa relativos a faltas graves, seguidos bajos los siguientes expedientes: a) 13/2018; b) 21/2018; c) 4/2019; d) 8/2019; e) 21/2019; y f) 24/2019. Por otra parte, también solicito la versión pública de la sentencia dictada por la Octava Sala Regional Especializada, dentro del procedimiento de responsabilidad administrativa relativo a faltas graves, seguido bajo el expediente 25/2019.</w:t>
      </w:r>
      <w:r w:rsidR="005A6B49" w:rsidRPr="00AF7A87">
        <w:rPr>
          <w:rFonts w:ascii="Palatino Linotype" w:hAnsi="Palatino Linotype"/>
          <w:b/>
          <w:i/>
          <w:color w:val="000000"/>
        </w:rPr>
        <w:t>”</w:t>
      </w:r>
      <w:r w:rsidR="009D6240" w:rsidRPr="00AF7A87">
        <w:rPr>
          <w:rFonts w:ascii="Palatino Linotype" w:hAnsi="Palatino Linotype"/>
          <w:i/>
        </w:rPr>
        <w:t xml:space="preserve"> </w:t>
      </w:r>
      <w:r w:rsidR="009D6240" w:rsidRPr="00AF7A87">
        <w:rPr>
          <w:rFonts w:ascii="Palatino Linotype" w:hAnsi="Palatino Linotype"/>
        </w:rPr>
        <w:t>(SIC).</w:t>
      </w:r>
    </w:p>
    <w:p w14:paraId="3986AF97" w14:textId="77777777" w:rsidR="004512AB" w:rsidRPr="00AF7A87" w:rsidRDefault="004512AB" w:rsidP="004512AB">
      <w:pPr>
        <w:pStyle w:val="Prrafodelista"/>
        <w:spacing w:line="360" w:lineRule="auto"/>
        <w:ind w:left="851" w:right="34"/>
        <w:jc w:val="both"/>
        <w:rPr>
          <w:rFonts w:ascii="Palatino Linotype" w:hAnsi="Palatino Linotype"/>
        </w:rPr>
      </w:pPr>
    </w:p>
    <w:p w14:paraId="42A73807" w14:textId="0DBE440D" w:rsidR="00420D79" w:rsidRPr="00AF7A87" w:rsidRDefault="00BC2CF8" w:rsidP="000757F4">
      <w:pPr>
        <w:pStyle w:val="Prrafodelista"/>
        <w:numPr>
          <w:ilvl w:val="0"/>
          <w:numId w:val="2"/>
        </w:numPr>
        <w:spacing w:line="360" w:lineRule="auto"/>
        <w:ind w:left="851" w:right="34"/>
        <w:jc w:val="both"/>
        <w:rPr>
          <w:rFonts w:ascii="Palatino Linotype" w:hAnsi="Palatino Linotype"/>
        </w:rPr>
      </w:pPr>
      <w:r w:rsidRPr="00AF7A87">
        <w:rPr>
          <w:rFonts w:ascii="Palatino Linotype" w:eastAsia="Times New Roman" w:hAnsi="Palatino Linotype" w:cs="Arial"/>
          <w:lang w:val="es-ES"/>
        </w:rPr>
        <w:t>Se eligió como modalidad de entrega de la información</w:t>
      </w:r>
      <w:r w:rsidRPr="00AF7A87">
        <w:rPr>
          <w:rFonts w:ascii="Palatino Linotype" w:hAnsi="Palatino Linotype"/>
        </w:rPr>
        <w:t xml:space="preserve">: </w:t>
      </w:r>
      <w:r w:rsidR="005A6B49" w:rsidRPr="00AF7A87">
        <w:rPr>
          <w:rFonts w:ascii="Palatino Linotype" w:hAnsi="Palatino Linotype"/>
        </w:rPr>
        <w:t>A través de</w:t>
      </w:r>
      <w:r w:rsidR="00A20DCB" w:rsidRPr="00AF7A87">
        <w:rPr>
          <w:rFonts w:ascii="Palatino Linotype" w:hAnsi="Palatino Linotype"/>
        </w:rPr>
        <w:t>l SAIMEX</w:t>
      </w:r>
      <w:r w:rsidR="005A6B49" w:rsidRPr="00AF7A87">
        <w:rPr>
          <w:rFonts w:ascii="Palatino Linotype" w:hAnsi="Palatino Linotype"/>
        </w:rPr>
        <w:t>.</w:t>
      </w:r>
    </w:p>
    <w:p w14:paraId="66D521F1" w14:textId="77777777" w:rsidR="00525972" w:rsidRPr="00AF7A87" w:rsidRDefault="00525972" w:rsidP="00525972">
      <w:pPr>
        <w:pStyle w:val="Prrafodelista"/>
        <w:tabs>
          <w:tab w:val="left" w:pos="0"/>
        </w:tabs>
        <w:spacing w:line="360" w:lineRule="auto"/>
        <w:ind w:left="0" w:right="49"/>
        <w:jc w:val="both"/>
        <w:rPr>
          <w:rFonts w:ascii="Palatino Linotype" w:hAnsi="Palatino Linotype" w:cs="Arial"/>
          <w:i/>
          <w:color w:val="000000" w:themeColor="text1"/>
        </w:rPr>
      </w:pPr>
    </w:p>
    <w:p w14:paraId="6737AA64" w14:textId="00C9381C" w:rsidR="00E86BA5" w:rsidRPr="00AF7A87" w:rsidRDefault="004512AB" w:rsidP="000757F4">
      <w:pPr>
        <w:pStyle w:val="Prrafodelista"/>
        <w:numPr>
          <w:ilvl w:val="0"/>
          <w:numId w:val="1"/>
        </w:numPr>
        <w:tabs>
          <w:tab w:val="left" w:pos="0"/>
        </w:tabs>
        <w:spacing w:line="360" w:lineRule="auto"/>
        <w:ind w:left="0" w:right="49" w:firstLine="0"/>
        <w:jc w:val="both"/>
        <w:rPr>
          <w:rFonts w:ascii="Palatino Linotype" w:hAnsi="Palatino Linotype" w:cs="Arial"/>
          <w:i/>
          <w:color w:val="000000" w:themeColor="text1"/>
        </w:rPr>
      </w:pPr>
      <w:r w:rsidRPr="00AF7A87">
        <w:rPr>
          <w:rFonts w:ascii="Palatino Linotype" w:hAnsi="Palatino Linotype" w:cs="Arial"/>
          <w:color w:val="000000" w:themeColor="text1"/>
        </w:rPr>
        <w:t>El día</w:t>
      </w:r>
      <w:r w:rsidR="007F76E9" w:rsidRPr="00AF7A87">
        <w:rPr>
          <w:rFonts w:ascii="Palatino Linotype" w:hAnsi="Palatino Linotype" w:cs="Arial"/>
          <w:color w:val="000000" w:themeColor="text1"/>
        </w:rPr>
        <w:t xml:space="preserve"> </w:t>
      </w:r>
      <w:r w:rsidR="00216238" w:rsidRPr="00AF7A87">
        <w:rPr>
          <w:rFonts w:ascii="Palatino Linotype" w:hAnsi="Palatino Linotype" w:cs="Arial"/>
          <w:color w:val="000000" w:themeColor="text1"/>
        </w:rPr>
        <w:t>veinticinco</w:t>
      </w:r>
      <w:r w:rsidR="007F76E9" w:rsidRPr="00AF7A87">
        <w:rPr>
          <w:rFonts w:ascii="Palatino Linotype" w:hAnsi="Palatino Linotype" w:cs="Arial"/>
          <w:color w:val="000000" w:themeColor="text1"/>
        </w:rPr>
        <w:t xml:space="preserve"> (</w:t>
      </w:r>
      <w:r w:rsidR="00216238" w:rsidRPr="00AF7A87">
        <w:rPr>
          <w:rFonts w:ascii="Palatino Linotype" w:hAnsi="Palatino Linotype" w:cs="Arial"/>
          <w:color w:val="000000" w:themeColor="text1"/>
        </w:rPr>
        <w:t>25</w:t>
      </w:r>
      <w:r w:rsidR="007F76E9" w:rsidRPr="00AF7A87">
        <w:rPr>
          <w:rFonts w:ascii="Palatino Linotype" w:hAnsi="Palatino Linotype" w:cs="Arial"/>
          <w:color w:val="000000" w:themeColor="text1"/>
        </w:rPr>
        <w:t xml:space="preserve">) </w:t>
      </w:r>
      <w:r w:rsidR="00C90ADB" w:rsidRPr="00AF7A87">
        <w:rPr>
          <w:rFonts w:ascii="Palatino Linotype" w:hAnsi="Palatino Linotype" w:cs="Arial"/>
          <w:color w:val="000000" w:themeColor="text1"/>
        </w:rPr>
        <w:t xml:space="preserve">de </w:t>
      </w:r>
      <w:r w:rsidR="009D6240" w:rsidRPr="00AF7A87">
        <w:rPr>
          <w:rFonts w:ascii="Palatino Linotype" w:hAnsi="Palatino Linotype" w:cs="Arial"/>
          <w:color w:val="000000" w:themeColor="text1"/>
        </w:rPr>
        <w:t>noviembre</w:t>
      </w:r>
      <w:r w:rsidR="00813F71" w:rsidRPr="00AF7A87">
        <w:rPr>
          <w:rFonts w:ascii="Palatino Linotype" w:hAnsi="Palatino Linotype" w:cs="Arial"/>
          <w:color w:val="000000" w:themeColor="text1"/>
        </w:rPr>
        <w:t xml:space="preserve"> de dos mil</w:t>
      </w:r>
      <w:r w:rsidR="00C90ADB" w:rsidRPr="00AF7A87">
        <w:rPr>
          <w:rFonts w:ascii="Palatino Linotype" w:hAnsi="Palatino Linotype" w:cs="Arial"/>
          <w:color w:val="000000" w:themeColor="text1"/>
        </w:rPr>
        <w:t xml:space="preserve"> veinte, el </w:t>
      </w:r>
      <w:r w:rsidR="00C90ADB" w:rsidRPr="00AF7A87">
        <w:rPr>
          <w:rFonts w:ascii="Palatino Linotype" w:hAnsi="Palatino Linotype" w:cs="Arial"/>
          <w:b/>
          <w:color w:val="000000" w:themeColor="text1"/>
        </w:rPr>
        <w:t>SUJETO OBLIGADO,</w:t>
      </w:r>
      <w:r w:rsidR="00C90ADB" w:rsidRPr="00AF7A87">
        <w:rPr>
          <w:rFonts w:ascii="Palatino Linotype" w:hAnsi="Palatino Linotype" w:cs="Arial"/>
          <w:color w:val="000000" w:themeColor="text1"/>
        </w:rPr>
        <w:t xml:space="preserve"> dio respuesta a </w:t>
      </w:r>
      <w:r w:rsidR="007F76E9" w:rsidRPr="00AF7A87">
        <w:rPr>
          <w:rFonts w:ascii="Palatino Linotype" w:hAnsi="Palatino Linotype" w:cs="Arial"/>
          <w:color w:val="000000" w:themeColor="text1"/>
        </w:rPr>
        <w:t>la</w:t>
      </w:r>
      <w:r w:rsidRPr="00AF7A87">
        <w:rPr>
          <w:rFonts w:ascii="Palatino Linotype" w:hAnsi="Palatino Linotype" w:cs="Arial"/>
          <w:color w:val="000000" w:themeColor="text1"/>
        </w:rPr>
        <w:t xml:space="preserve"> solicitud</w:t>
      </w:r>
      <w:r w:rsidR="007F76E9" w:rsidRPr="00AF7A87">
        <w:rPr>
          <w:rFonts w:ascii="Palatino Linotype" w:hAnsi="Palatino Linotype" w:cs="Arial"/>
          <w:color w:val="000000" w:themeColor="text1"/>
        </w:rPr>
        <w:t xml:space="preserve"> de información, a </w:t>
      </w:r>
      <w:r w:rsidR="00C90ADB" w:rsidRPr="00AF7A87">
        <w:rPr>
          <w:rFonts w:ascii="Palatino Linotype" w:hAnsi="Palatino Linotype" w:cs="Arial"/>
          <w:color w:val="000000" w:themeColor="text1"/>
        </w:rPr>
        <w:t xml:space="preserve">través </w:t>
      </w:r>
      <w:r w:rsidR="007F76E9" w:rsidRPr="00AF7A87">
        <w:rPr>
          <w:rFonts w:ascii="Palatino Linotype" w:hAnsi="Palatino Linotype" w:cs="Arial"/>
          <w:color w:val="000000" w:themeColor="text1"/>
        </w:rPr>
        <w:t>de</w:t>
      </w:r>
      <w:r w:rsidR="009D6240" w:rsidRPr="00AF7A87">
        <w:rPr>
          <w:rFonts w:ascii="Palatino Linotype" w:hAnsi="Palatino Linotype" w:cs="Arial"/>
          <w:color w:val="000000" w:themeColor="text1"/>
        </w:rPr>
        <w:t>l</w:t>
      </w:r>
      <w:r w:rsidR="00A967EB" w:rsidRPr="00AF7A87">
        <w:rPr>
          <w:rFonts w:ascii="Palatino Linotype" w:hAnsi="Palatino Linotype" w:cs="Arial"/>
          <w:color w:val="000000" w:themeColor="text1"/>
        </w:rPr>
        <w:t xml:space="preserve"> </w:t>
      </w:r>
      <w:r w:rsidRPr="00AF7A87">
        <w:rPr>
          <w:rFonts w:ascii="Palatino Linotype" w:hAnsi="Palatino Linotype" w:cs="Arial"/>
          <w:color w:val="000000" w:themeColor="text1"/>
        </w:rPr>
        <w:t xml:space="preserve">siguiente </w:t>
      </w:r>
      <w:r w:rsidR="00E86BA5" w:rsidRPr="00AF7A87">
        <w:rPr>
          <w:rFonts w:ascii="Palatino Linotype" w:hAnsi="Palatino Linotype" w:cs="Arial"/>
          <w:color w:val="000000" w:themeColor="text1"/>
        </w:rPr>
        <w:t>archivo</w:t>
      </w:r>
      <w:r w:rsidR="009D6240" w:rsidRPr="00AF7A87">
        <w:rPr>
          <w:rFonts w:ascii="Palatino Linotype" w:hAnsi="Palatino Linotype" w:cs="Arial"/>
          <w:color w:val="000000" w:themeColor="text1"/>
        </w:rPr>
        <w:t xml:space="preserve"> </w:t>
      </w:r>
      <w:r w:rsidR="00FA4835" w:rsidRPr="00AF7A87">
        <w:rPr>
          <w:rFonts w:ascii="Palatino Linotype" w:hAnsi="Palatino Linotype" w:cs="Arial"/>
          <w:color w:val="000000" w:themeColor="text1"/>
        </w:rPr>
        <w:t>electrónico</w:t>
      </w:r>
      <w:r w:rsidR="00C90ADB" w:rsidRPr="00AF7A87">
        <w:rPr>
          <w:rFonts w:ascii="Palatino Linotype" w:hAnsi="Palatino Linotype" w:cs="Arial"/>
          <w:color w:val="000000" w:themeColor="text1"/>
        </w:rPr>
        <w:t>:</w:t>
      </w:r>
    </w:p>
    <w:p w14:paraId="427A4969" w14:textId="77777777" w:rsidR="009710C1" w:rsidRPr="00AF7A87" w:rsidRDefault="009710C1" w:rsidP="009710C1">
      <w:pPr>
        <w:pStyle w:val="Prrafodelista"/>
        <w:tabs>
          <w:tab w:val="left" w:pos="0"/>
        </w:tabs>
        <w:spacing w:line="360" w:lineRule="auto"/>
        <w:ind w:left="0" w:right="49"/>
        <w:jc w:val="both"/>
        <w:rPr>
          <w:rFonts w:ascii="Palatino Linotype" w:hAnsi="Palatino Linotype" w:cs="Arial"/>
          <w:i/>
          <w:color w:val="000000" w:themeColor="text1"/>
        </w:rPr>
      </w:pPr>
    </w:p>
    <w:p w14:paraId="50C74DB6" w14:textId="2567CB6D" w:rsidR="006D09A3" w:rsidRPr="00AF7A87" w:rsidRDefault="00216238" w:rsidP="000757F4">
      <w:pPr>
        <w:pStyle w:val="Prrafodelista"/>
        <w:numPr>
          <w:ilvl w:val="0"/>
          <w:numId w:val="2"/>
        </w:numPr>
        <w:tabs>
          <w:tab w:val="left" w:pos="0"/>
        </w:tabs>
        <w:spacing w:line="360" w:lineRule="auto"/>
        <w:ind w:left="630" w:right="49"/>
        <w:jc w:val="both"/>
        <w:rPr>
          <w:rFonts w:ascii="Palatino Linotype" w:hAnsi="Palatino Linotype"/>
          <w:noProof/>
          <w:lang w:val="es-MX"/>
        </w:rPr>
      </w:pPr>
      <w:r w:rsidRPr="00AF7A87">
        <w:rPr>
          <w:rFonts w:ascii="Palatino Linotype" w:hAnsi="Palatino Linotype" w:cs="Arial"/>
          <w:b/>
          <w:color w:val="000000" w:themeColor="text1"/>
          <w:lang w:val="es-MX"/>
        </w:rPr>
        <w:t>ACUERDO NO 233-2020.pdf</w:t>
      </w:r>
      <w:r w:rsidR="00E86BA5" w:rsidRPr="00AF7A87">
        <w:rPr>
          <w:rFonts w:ascii="Palatino Linotype" w:hAnsi="Palatino Linotype" w:cs="Arial"/>
          <w:b/>
          <w:color w:val="000000" w:themeColor="text1"/>
          <w:lang w:val="es-MX"/>
        </w:rPr>
        <w:t>,</w:t>
      </w:r>
      <w:r w:rsidR="00EE754B" w:rsidRPr="00AF7A87">
        <w:rPr>
          <w:rFonts w:ascii="Palatino Linotype" w:hAnsi="Palatino Linotype" w:cs="Arial"/>
          <w:b/>
          <w:color w:val="000000" w:themeColor="text1"/>
          <w:lang w:val="es-MX"/>
        </w:rPr>
        <w:t xml:space="preserve"> </w:t>
      </w:r>
      <w:r w:rsidR="006D09A3" w:rsidRPr="00AF7A87">
        <w:rPr>
          <w:rFonts w:ascii="Palatino Linotype" w:hAnsi="Palatino Linotype"/>
          <w:noProof/>
          <w:lang w:val="es-MX"/>
        </w:rPr>
        <w:t xml:space="preserve">cuyo contenido corresponde al </w:t>
      </w:r>
      <w:r w:rsidR="008A200A" w:rsidRPr="00AF7A87">
        <w:rPr>
          <w:rFonts w:ascii="Palatino Linotype" w:hAnsi="Palatino Linotype"/>
          <w:noProof/>
          <w:lang w:val="es-MX"/>
        </w:rPr>
        <w:t>N</w:t>
      </w:r>
      <w:r w:rsidR="006D09A3" w:rsidRPr="00AF7A87">
        <w:rPr>
          <w:rFonts w:ascii="Palatino Linotype" w:hAnsi="Palatino Linotype"/>
          <w:noProof/>
          <w:lang w:val="es-MX"/>
        </w:rPr>
        <w:t xml:space="preserve">o. de acuerdo TJA/00233/TRIJAEM/IP/2020, </w:t>
      </w:r>
      <w:r w:rsidR="003C2A77" w:rsidRPr="00AF7A87">
        <w:rPr>
          <w:rFonts w:ascii="Palatino Linotype" w:hAnsi="Palatino Linotype"/>
          <w:noProof/>
          <w:lang w:val="es-MX"/>
        </w:rPr>
        <w:t xml:space="preserve">de fecha </w:t>
      </w:r>
      <w:r w:rsidRPr="00AF7A87">
        <w:rPr>
          <w:rFonts w:ascii="Palatino Linotype" w:hAnsi="Palatino Linotype"/>
          <w:noProof/>
          <w:lang w:val="es-MX"/>
        </w:rPr>
        <w:t>veinticuatro (24</w:t>
      </w:r>
      <w:r w:rsidR="003C2A77" w:rsidRPr="00AF7A87">
        <w:rPr>
          <w:rFonts w:ascii="Palatino Linotype" w:hAnsi="Palatino Linotype"/>
          <w:noProof/>
          <w:lang w:val="es-MX"/>
        </w:rPr>
        <w:t>) d</w:t>
      </w:r>
      <w:r w:rsidR="006D09A3" w:rsidRPr="00AF7A87">
        <w:rPr>
          <w:rFonts w:ascii="Palatino Linotype" w:hAnsi="Palatino Linotype"/>
          <w:noProof/>
          <w:lang w:val="es-MX"/>
        </w:rPr>
        <w:t xml:space="preserve">e noviembre del dos mil viente, </w:t>
      </w:r>
      <w:r w:rsidR="003C2A77" w:rsidRPr="00AF7A87">
        <w:rPr>
          <w:rFonts w:ascii="Palatino Linotype" w:hAnsi="Palatino Linotype"/>
          <w:noProof/>
          <w:lang w:val="es-MX"/>
        </w:rPr>
        <w:t xml:space="preserve">signado por </w:t>
      </w:r>
      <w:r w:rsidR="006D09A3" w:rsidRPr="00AF7A87">
        <w:rPr>
          <w:rFonts w:ascii="Palatino Linotype" w:hAnsi="Palatino Linotype"/>
          <w:noProof/>
          <w:lang w:val="es-MX"/>
        </w:rPr>
        <w:t xml:space="preserve">la Titular de la Unidad de Infromación, Planeación y Evaluacion del Tribunal de Justicia Administrativa del Estado de México, </w:t>
      </w:r>
      <w:r w:rsidR="003C2A77" w:rsidRPr="00AF7A87">
        <w:rPr>
          <w:rFonts w:ascii="Palatino Linotype" w:hAnsi="Palatino Linotype"/>
          <w:noProof/>
          <w:lang w:val="es-MX"/>
        </w:rPr>
        <w:t>mediante el cual</w:t>
      </w:r>
      <w:r w:rsidR="00813F71" w:rsidRPr="00AF7A87">
        <w:rPr>
          <w:rFonts w:ascii="Palatino Linotype" w:hAnsi="Palatino Linotype"/>
          <w:noProof/>
          <w:lang w:val="es-MX"/>
        </w:rPr>
        <w:t xml:space="preserve"> </w:t>
      </w:r>
      <w:r w:rsidR="006D09A3" w:rsidRPr="00AF7A87">
        <w:rPr>
          <w:rFonts w:ascii="Palatino Linotype" w:hAnsi="Palatino Linotype"/>
          <w:noProof/>
          <w:lang w:val="es-MX"/>
        </w:rPr>
        <w:t>manifiesta</w:t>
      </w:r>
      <w:r w:rsidR="00813F71" w:rsidRPr="00AF7A87">
        <w:rPr>
          <w:rFonts w:ascii="Palatino Linotype" w:hAnsi="Palatino Linotype"/>
          <w:noProof/>
          <w:lang w:val="es-MX"/>
        </w:rPr>
        <w:t xml:space="preserve"> </w:t>
      </w:r>
      <w:r w:rsidR="006D09A3" w:rsidRPr="00AF7A87">
        <w:rPr>
          <w:rFonts w:ascii="Palatino Linotype" w:hAnsi="Palatino Linotype"/>
          <w:noProof/>
          <w:lang w:val="es-MX"/>
        </w:rPr>
        <w:t>en su parte medular lo siguente:</w:t>
      </w:r>
    </w:p>
    <w:p w14:paraId="255B7E83" w14:textId="77777777" w:rsidR="009710C1" w:rsidRPr="00AF7A87" w:rsidRDefault="009710C1" w:rsidP="009710C1">
      <w:pPr>
        <w:pStyle w:val="Prrafodelista"/>
        <w:tabs>
          <w:tab w:val="left" w:pos="0"/>
        </w:tabs>
        <w:spacing w:line="360" w:lineRule="auto"/>
        <w:ind w:left="1004" w:right="49"/>
        <w:jc w:val="both"/>
        <w:rPr>
          <w:rFonts w:ascii="Palatino Linotype" w:hAnsi="Palatino Linotype"/>
          <w:noProof/>
          <w:lang w:val="es-MX"/>
        </w:rPr>
      </w:pPr>
    </w:p>
    <w:p w14:paraId="11D403C2" w14:textId="364CE828" w:rsidR="006D09A3" w:rsidRPr="00AF7A87" w:rsidRDefault="0009266D" w:rsidP="004B1AD4">
      <w:pPr>
        <w:autoSpaceDE w:val="0"/>
        <w:autoSpaceDN w:val="0"/>
        <w:adjustRightInd w:val="0"/>
        <w:spacing w:line="360" w:lineRule="auto"/>
        <w:ind w:left="630"/>
        <w:jc w:val="both"/>
        <w:rPr>
          <w:rFonts w:ascii="Palatino Linotype" w:eastAsiaTheme="minorEastAsia" w:hAnsi="Palatino Linotype"/>
          <w:i/>
          <w:color w:val="000000"/>
          <w:lang w:val="es-MX" w:eastAsia="es-ES"/>
        </w:rPr>
      </w:pPr>
      <w:r w:rsidRPr="00AF7A87">
        <w:rPr>
          <w:rFonts w:ascii="Palatino Linotype" w:eastAsiaTheme="minorEastAsia" w:hAnsi="Palatino Linotype"/>
          <w:b/>
          <w:bCs/>
          <w:i/>
          <w:color w:val="000000"/>
          <w:lang w:val="es-MX" w:eastAsia="es-ES"/>
        </w:rPr>
        <w:t>“…</w:t>
      </w:r>
      <w:r w:rsidR="006D09A3" w:rsidRPr="00AF7A87">
        <w:rPr>
          <w:rFonts w:ascii="Palatino Linotype" w:eastAsiaTheme="minorEastAsia" w:hAnsi="Palatino Linotype"/>
          <w:b/>
          <w:bCs/>
          <w:i/>
          <w:color w:val="000000"/>
          <w:lang w:val="es-MX" w:eastAsia="es-ES"/>
        </w:rPr>
        <w:t xml:space="preserve">OCTAVA SALA REGIONAL: </w:t>
      </w:r>
      <w:r w:rsidR="006D09A3" w:rsidRPr="00AF7A87">
        <w:rPr>
          <w:rFonts w:ascii="Palatino Linotype" w:eastAsiaTheme="minorEastAsia" w:hAnsi="Palatino Linotype"/>
          <w:i/>
          <w:color w:val="000000"/>
          <w:lang w:val="es-MX" w:eastAsia="es-ES"/>
        </w:rPr>
        <w:t xml:space="preserve">“La versión pública de la sentencia recaída al expediente de responsabilidad administrativa ERA 25/2019, del índice de esta Sala puede ser consultada en la página electrónica de este Tribunal, bajo la siguiente dirección electrónica: </w:t>
      </w:r>
      <w:hyperlink r:id="rId8" w:history="1">
        <w:r w:rsidRPr="00AF7A87">
          <w:rPr>
            <w:rStyle w:val="Hipervnculo"/>
            <w:rFonts w:ascii="Palatino Linotype" w:eastAsiaTheme="minorEastAsia" w:hAnsi="Palatino Linotype"/>
            <w:i/>
            <w:lang w:val="es-MX" w:eastAsia="es-ES"/>
          </w:rPr>
          <w:t>https://trijaem.gob.mx/sentencias/</w:t>
        </w:r>
      </w:hyperlink>
      <w:r w:rsidRPr="00AF7A87">
        <w:rPr>
          <w:rFonts w:ascii="Palatino Linotype" w:eastAsiaTheme="minorEastAsia" w:hAnsi="Palatino Linotype"/>
          <w:i/>
          <w:color w:val="000000"/>
          <w:lang w:val="es-MX" w:eastAsia="es-ES"/>
        </w:rPr>
        <w:t xml:space="preserve"> </w:t>
      </w:r>
      <w:r w:rsidR="006D09A3" w:rsidRPr="00AF7A87">
        <w:rPr>
          <w:rFonts w:ascii="Palatino Linotype" w:eastAsiaTheme="minorEastAsia" w:hAnsi="Palatino Linotype"/>
          <w:i/>
          <w:color w:val="000000"/>
          <w:lang w:val="es-MX" w:eastAsia="es-ES"/>
        </w:rPr>
        <w:t xml:space="preserve">” (Sic.) </w:t>
      </w:r>
    </w:p>
    <w:p w14:paraId="6F40AEB3" w14:textId="77777777" w:rsidR="006D09A3" w:rsidRPr="00AF7A87" w:rsidRDefault="006D09A3" w:rsidP="004B1AD4">
      <w:pPr>
        <w:pStyle w:val="Prrafodelista"/>
        <w:tabs>
          <w:tab w:val="left" w:pos="0"/>
        </w:tabs>
        <w:spacing w:line="360" w:lineRule="auto"/>
        <w:ind w:left="630" w:right="49" w:hanging="630"/>
        <w:jc w:val="both"/>
        <w:rPr>
          <w:rFonts w:ascii="Palatino Linotype" w:hAnsi="Palatino Linotype" w:cs="Arial"/>
          <w:i/>
          <w:color w:val="000000" w:themeColor="text1"/>
          <w:lang w:val="es-MX"/>
        </w:rPr>
      </w:pPr>
    </w:p>
    <w:p w14:paraId="337056ED" w14:textId="02EFCF31" w:rsidR="006D09A3" w:rsidRPr="00AF7A87" w:rsidRDefault="006D09A3" w:rsidP="004B1AD4">
      <w:pPr>
        <w:pStyle w:val="Prrafodelista"/>
        <w:tabs>
          <w:tab w:val="left" w:pos="0"/>
        </w:tabs>
        <w:spacing w:line="360" w:lineRule="auto"/>
        <w:ind w:left="630" w:right="49"/>
        <w:jc w:val="both"/>
        <w:rPr>
          <w:rFonts w:ascii="Palatino Linotype" w:hAnsi="Palatino Linotype" w:cs="Arial"/>
          <w:i/>
          <w:color w:val="000000" w:themeColor="text1"/>
        </w:rPr>
      </w:pPr>
      <w:r w:rsidRPr="00AF7A87">
        <w:rPr>
          <w:rFonts w:ascii="Palatino Linotype" w:hAnsi="Palatino Linotype"/>
          <w:b/>
          <w:bCs/>
          <w:i/>
        </w:rPr>
        <w:t xml:space="preserve">NOVENA SALA REGIONAL: </w:t>
      </w:r>
      <w:r w:rsidRPr="00AF7A87">
        <w:rPr>
          <w:rFonts w:ascii="Palatino Linotype" w:hAnsi="Palatino Linotype" w:cs="Arial"/>
          <w:i/>
        </w:rPr>
        <w:t>“</w:t>
      </w:r>
      <w:r w:rsidRPr="00AF7A87">
        <w:rPr>
          <w:rFonts w:ascii="Palatino Linotype" w:hAnsi="Palatino Linotype"/>
          <w:i/>
        </w:rPr>
        <w:t xml:space="preserve">Al respecto se informa que las versiones públicas de las citadas sentencias pueden ser consultadas en el portal de sentencias de este </w:t>
      </w:r>
      <w:r w:rsidRPr="00AF7A87">
        <w:rPr>
          <w:rFonts w:ascii="Palatino Linotype" w:hAnsi="Palatino Linotype"/>
          <w:i/>
        </w:rPr>
        <w:lastRenderedPageBreak/>
        <w:t xml:space="preserve">Tribunal de Justicia Administrativa, al cual se podrá acceder mediante el siguiente link: </w:t>
      </w:r>
      <w:hyperlink r:id="rId9" w:history="1">
        <w:r w:rsidR="0009266D" w:rsidRPr="00AF7A87">
          <w:rPr>
            <w:rStyle w:val="Hipervnculo"/>
            <w:rFonts w:ascii="Palatino Linotype" w:hAnsi="Palatino Linotype"/>
            <w:i/>
          </w:rPr>
          <w:t>https://trijaem.gob.mx/sentencias/sentencias</w:t>
        </w:r>
      </w:hyperlink>
      <w:r w:rsidR="0009266D" w:rsidRPr="00AF7A87">
        <w:rPr>
          <w:rFonts w:ascii="Palatino Linotype" w:hAnsi="Palatino Linotype"/>
          <w:i/>
        </w:rPr>
        <w:t xml:space="preserve"> </w:t>
      </w:r>
      <w:r w:rsidRPr="00AF7A87">
        <w:rPr>
          <w:rFonts w:ascii="Palatino Linotype" w:hAnsi="Palatino Linotype"/>
          <w:i/>
        </w:rPr>
        <w:t>” (Sic.)</w:t>
      </w:r>
    </w:p>
    <w:p w14:paraId="3CF27D2A" w14:textId="77777777" w:rsidR="009710C1" w:rsidRPr="00AF7A87" w:rsidRDefault="009710C1" w:rsidP="004B1AD4">
      <w:pPr>
        <w:pStyle w:val="Prrafodelista"/>
        <w:tabs>
          <w:tab w:val="left" w:pos="0"/>
        </w:tabs>
        <w:spacing w:line="360" w:lineRule="auto"/>
        <w:ind w:left="630" w:right="49" w:hanging="630"/>
        <w:jc w:val="both"/>
        <w:rPr>
          <w:rFonts w:ascii="Palatino Linotype" w:hAnsi="Palatino Linotype"/>
          <w:i/>
        </w:rPr>
      </w:pPr>
    </w:p>
    <w:p w14:paraId="66C8ABA6" w14:textId="34B81EBB" w:rsidR="009710C1" w:rsidRPr="00AF7A87" w:rsidRDefault="006D09A3" w:rsidP="004B1AD4">
      <w:pPr>
        <w:pStyle w:val="Prrafodelista"/>
        <w:tabs>
          <w:tab w:val="left" w:pos="630"/>
        </w:tabs>
        <w:spacing w:line="360" w:lineRule="auto"/>
        <w:ind w:left="630" w:right="49"/>
        <w:jc w:val="both"/>
        <w:rPr>
          <w:rFonts w:ascii="Palatino Linotype" w:hAnsi="Palatino Linotype" w:cs="Arial"/>
          <w:i/>
          <w:color w:val="000000" w:themeColor="text1"/>
        </w:rPr>
      </w:pPr>
      <w:r w:rsidRPr="00AF7A87">
        <w:rPr>
          <w:rFonts w:ascii="Palatino Linotype" w:hAnsi="Palatino Linotype"/>
          <w:i/>
        </w:rPr>
        <w:t>Para buscar la información solicitada, deberá entrar al link en mención y filtrar la búsqueda de la siguiente manera:</w:t>
      </w:r>
      <w:r w:rsidR="009710C1" w:rsidRPr="00AF7A87">
        <w:rPr>
          <w:rFonts w:ascii="Palatino Linotype" w:hAnsi="Palatino Linotype"/>
          <w:i/>
        </w:rPr>
        <w:t>”</w:t>
      </w:r>
    </w:p>
    <w:p w14:paraId="019D41B1" w14:textId="77777777" w:rsidR="009710C1" w:rsidRPr="00AF7A87" w:rsidRDefault="009710C1" w:rsidP="006D09A3">
      <w:pPr>
        <w:pStyle w:val="Prrafodelista"/>
        <w:tabs>
          <w:tab w:val="left" w:pos="0"/>
        </w:tabs>
        <w:spacing w:line="360" w:lineRule="auto"/>
        <w:ind w:left="0" w:right="49"/>
        <w:jc w:val="both"/>
        <w:rPr>
          <w:rFonts w:ascii="Palatino Linotype" w:hAnsi="Palatino Linotype" w:cs="Arial"/>
          <w:i/>
          <w:color w:val="000000" w:themeColor="text1"/>
        </w:rPr>
      </w:pPr>
    </w:p>
    <w:p w14:paraId="29522B14" w14:textId="4AEB51E0" w:rsidR="009710C1" w:rsidRPr="00AF7A87" w:rsidRDefault="009710C1" w:rsidP="004B1AD4">
      <w:pPr>
        <w:pStyle w:val="Prrafodelista"/>
        <w:tabs>
          <w:tab w:val="left" w:pos="0"/>
        </w:tabs>
        <w:spacing w:line="360" w:lineRule="auto"/>
        <w:ind w:left="630" w:right="49"/>
        <w:jc w:val="both"/>
        <w:rPr>
          <w:rFonts w:ascii="Palatino Linotype" w:hAnsi="Palatino Linotype" w:cs="Arial"/>
          <w:i/>
          <w:color w:val="000000" w:themeColor="text1"/>
        </w:rPr>
      </w:pPr>
      <w:r w:rsidRPr="00AF7A87">
        <w:rPr>
          <w:rFonts w:ascii="Palatino Linotype" w:hAnsi="Palatino Linotype" w:cs="Arial"/>
          <w:i/>
          <w:noProof/>
          <w:color w:val="000000" w:themeColor="text1"/>
          <w:lang w:val="es-MX" w:eastAsia="es-MX"/>
        </w:rPr>
        <w:drawing>
          <wp:inline distT="0" distB="0" distL="0" distR="0" wp14:anchorId="40B0D0B9" wp14:editId="29B1EE95">
            <wp:extent cx="5225044" cy="3136327"/>
            <wp:effectExtent l="0" t="0" r="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32733" cy="3140943"/>
                    </a:xfrm>
                    <a:prstGeom prst="rect">
                      <a:avLst/>
                    </a:prstGeom>
                  </pic:spPr>
                </pic:pic>
              </a:graphicData>
            </a:graphic>
          </wp:inline>
        </w:drawing>
      </w:r>
    </w:p>
    <w:p w14:paraId="5E321789" w14:textId="77777777" w:rsidR="006D09A3" w:rsidRPr="00AF7A87" w:rsidRDefault="006D09A3" w:rsidP="006D09A3">
      <w:pPr>
        <w:pStyle w:val="Prrafodelista"/>
        <w:tabs>
          <w:tab w:val="left" w:pos="0"/>
        </w:tabs>
        <w:spacing w:line="360" w:lineRule="auto"/>
        <w:ind w:left="0" w:right="49"/>
        <w:jc w:val="both"/>
        <w:rPr>
          <w:rFonts w:ascii="Palatino Linotype" w:hAnsi="Palatino Linotype" w:cs="Arial"/>
          <w:i/>
          <w:color w:val="000000" w:themeColor="text1"/>
        </w:rPr>
      </w:pPr>
    </w:p>
    <w:p w14:paraId="2F8F44D4" w14:textId="2650375C" w:rsidR="00BF6B2E" w:rsidRPr="00AF7A87" w:rsidRDefault="00CB3448" w:rsidP="000757F4">
      <w:pPr>
        <w:pStyle w:val="Prrafodelista"/>
        <w:numPr>
          <w:ilvl w:val="0"/>
          <w:numId w:val="1"/>
        </w:numPr>
        <w:tabs>
          <w:tab w:val="left" w:pos="0"/>
        </w:tabs>
        <w:spacing w:line="360" w:lineRule="auto"/>
        <w:ind w:left="0" w:right="49" w:firstLine="0"/>
        <w:jc w:val="both"/>
        <w:rPr>
          <w:rFonts w:ascii="Palatino Linotype" w:hAnsi="Palatino Linotype" w:cs="Arial"/>
          <w:i/>
          <w:color w:val="000000" w:themeColor="text1"/>
        </w:rPr>
      </w:pPr>
      <w:r w:rsidRPr="00AF7A87">
        <w:rPr>
          <w:rFonts w:ascii="Palatino Linotype" w:eastAsia="Times New Roman" w:hAnsi="Palatino Linotype" w:cs="Arial"/>
          <w:color w:val="000000" w:themeColor="text1"/>
          <w:lang w:val="es-ES"/>
        </w:rPr>
        <w:t xml:space="preserve">En fecha </w:t>
      </w:r>
      <w:r w:rsidR="0009266D" w:rsidRPr="00AF7A87">
        <w:rPr>
          <w:rFonts w:ascii="Palatino Linotype" w:eastAsia="Times New Roman" w:hAnsi="Palatino Linotype" w:cs="Arial"/>
          <w:color w:val="000000" w:themeColor="text1"/>
          <w:lang w:val="es-ES"/>
        </w:rPr>
        <w:t>siete</w:t>
      </w:r>
      <w:r w:rsidR="00715488" w:rsidRPr="00AF7A87">
        <w:rPr>
          <w:rFonts w:ascii="Palatino Linotype" w:eastAsia="Times New Roman" w:hAnsi="Palatino Linotype" w:cs="Arial"/>
          <w:color w:val="000000" w:themeColor="text1"/>
          <w:lang w:val="es-ES"/>
        </w:rPr>
        <w:t xml:space="preserve"> </w:t>
      </w:r>
      <w:r w:rsidRPr="00AF7A87">
        <w:rPr>
          <w:rFonts w:ascii="Palatino Linotype" w:eastAsia="Times New Roman" w:hAnsi="Palatino Linotype" w:cs="Arial"/>
          <w:color w:val="000000" w:themeColor="text1"/>
          <w:lang w:val="es-ES"/>
        </w:rPr>
        <w:t>(</w:t>
      </w:r>
      <w:r w:rsidR="0009266D" w:rsidRPr="00AF7A87">
        <w:rPr>
          <w:rFonts w:ascii="Palatino Linotype" w:eastAsia="Times New Roman" w:hAnsi="Palatino Linotype" w:cs="Arial"/>
          <w:color w:val="000000" w:themeColor="text1"/>
          <w:lang w:val="es-ES"/>
        </w:rPr>
        <w:t>07</w:t>
      </w:r>
      <w:r w:rsidR="00DA3F4B" w:rsidRPr="00AF7A87">
        <w:rPr>
          <w:rFonts w:ascii="Palatino Linotype" w:eastAsia="Times New Roman" w:hAnsi="Palatino Linotype" w:cs="Arial"/>
          <w:color w:val="000000" w:themeColor="text1"/>
          <w:lang w:val="es-ES"/>
        </w:rPr>
        <w:t xml:space="preserve">) de </w:t>
      </w:r>
      <w:r w:rsidR="0009266D" w:rsidRPr="00AF7A87">
        <w:rPr>
          <w:rFonts w:ascii="Palatino Linotype" w:eastAsia="Times New Roman" w:hAnsi="Palatino Linotype" w:cs="Arial"/>
          <w:color w:val="000000" w:themeColor="text1"/>
          <w:lang w:val="es-ES"/>
        </w:rPr>
        <w:t>diciembre</w:t>
      </w:r>
      <w:r w:rsidRPr="00AF7A87">
        <w:rPr>
          <w:rFonts w:ascii="Palatino Linotype" w:eastAsia="Times New Roman" w:hAnsi="Palatino Linotype" w:cs="Arial"/>
          <w:color w:val="000000" w:themeColor="text1"/>
          <w:lang w:val="es-ES"/>
        </w:rPr>
        <w:t xml:space="preserve"> de</w:t>
      </w:r>
      <w:r w:rsidR="00C965D0" w:rsidRPr="00AF7A87">
        <w:rPr>
          <w:rFonts w:ascii="Palatino Linotype" w:eastAsia="Times New Roman" w:hAnsi="Palatino Linotype" w:cs="Arial"/>
          <w:color w:val="000000" w:themeColor="text1"/>
          <w:lang w:val="es-ES"/>
        </w:rPr>
        <w:t xml:space="preserve"> dos mil ve</w:t>
      </w:r>
      <w:r w:rsidR="00372AE1" w:rsidRPr="00AF7A87">
        <w:rPr>
          <w:rFonts w:ascii="Palatino Linotype" w:eastAsia="Times New Roman" w:hAnsi="Palatino Linotype" w:cs="Arial"/>
          <w:color w:val="000000" w:themeColor="text1"/>
          <w:lang w:val="es-ES"/>
        </w:rPr>
        <w:t>inte</w:t>
      </w:r>
      <w:r w:rsidRPr="00AF7A87">
        <w:rPr>
          <w:rFonts w:ascii="Palatino Linotype" w:eastAsia="Times New Roman" w:hAnsi="Palatino Linotype" w:cs="Arial"/>
          <w:color w:val="000000" w:themeColor="text1"/>
          <w:lang w:val="es-ES"/>
        </w:rPr>
        <w:t>, el particular interpuso el recurso de revisión en contra de la</w:t>
      </w:r>
      <w:r w:rsidR="00372AE1" w:rsidRPr="00AF7A87">
        <w:rPr>
          <w:rFonts w:ascii="Palatino Linotype" w:eastAsia="Times New Roman" w:hAnsi="Palatino Linotype" w:cs="Arial"/>
          <w:color w:val="000000" w:themeColor="text1"/>
          <w:lang w:val="es-ES"/>
        </w:rPr>
        <w:t xml:space="preserve"> </w:t>
      </w:r>
      <w:r w:rsidRPr="00AF7A87">
        <w:rPr>
          <w:rFonts w:ascii="Palatino Linotype" w:eastAsia="Times New Roman" w:hAnsi="Palatino Linotype" w:cs="Arial"/>
          <w:color w:val="000000" w:themeColor="text1"/>
          <w:lang w:val="es-ES"/>
        </w:rPr>
        <w:t>respuesta</w:t>
      </w:r>
      <w:r w:rsidR="00CD6BD3" w:rsidRPr="00AF7A87">
        <w:rPr>
          <w:rFonts w:ascii="Palatino Linotype" w:eastAsia="Times New Roman" w:hAnsi="Palatino Linotype" w:cs="Arial"/>
          <w:color w:val="000000" w:themeColor="text1"/>
          <w:lang w:val="es-ES"/>
        </w:rPr>
        <w:t xml:space="preserve">, </w:t>
      </w:r>
      <w:r w:rsidR="00646C7D" w:rsidRPr="00AF7A87">
        <w:rPr>
          <w:rFonts w:ascii="Palatino Linotype" w:eastAsia="Times New Roman" w:hAnsi="Palatino Linotype" w:cs="Arial"/>
          <w:color w:val="000000" w:themeColor="text1"/>
          <w:lang w:val="es-ES"/>
        </w:rPr>
        <w:t>señalando como</w:t>
      </w:r>
      <w:r w:rsidRPr="00AF7A87">
        <w:rPr>
          <w:rFonts w:ascii="Palatino Linotype" w:eastAsia="Times New Roman" w:hAnsi="Palatino Linotype" w:cs="Arial"/>
          <w:color w:val="000000" w:themeColor="text1"/>
          <w:lang w:val="es-ES"/>
        </w:rPr>
        <w:t>:</w:t>
      </w:r>
      <w:bookmarkStart w:id="3" w:name="_Toc466982514"/>
      <w:bookmarkStart w:id="4" w:name="_Toc27589208"/>
      <w:bookmarkStart w:id="5" w:name="_Toc29395022"/>
      <w:bookmarkStart w:id="6" w:name="_Toc29481467"/>
      <w:bookmarkStart w:id="7" w:name="_Toc33113911"/>
      <w:bookmarkStart w:id="8" w:name="_Toc33643059"/>
      <w:bookmarkStart w:id="9" w:name="_Toc33724991"/>
      <w:bookmarkStart w:id="10" w:name="_Toc33726434"/>
      <w:bookmarkStart w:id="11" w:name="_Toc34157662"/>
      <w:bookmarkStart w:id="12" w:name="_Toc35003615"/>
      <w:bookmarkStart w:id="13" w:name="_Toc35535691"/>
      <w:bookmarkStart w:id="14" w:name="_Toc471908126"/>
      <w:bookmarkStart w:id="15" w:name="_Toc491791300"/>
      <w:bookmarkStart w:id="16" w:name="_Toc496726170"/>
      <w:bookmarkStart w:id="17" w:name="_Toc497242134"/>
      <w:bookmarkStart w:id="18" w:name="_Toc497292517"/>
      <w:bookmarkStart w:id="19" w:name="_Toc498503716"/>
      <w:bookmarkStart w:id="20" w:name="_Toc499568660"/>
      <w:bookmarkStart w:id="21" w:name="_Toc499568693"/>
      <w:bookmarkStart w:id="22" w:name="_Toc499665452"/>
      <w:bookmarkStart w:id="23" w:name="_Toc499729819"/>
      <w:bookmarkStart w:id="24" w:name="_Toc499835024"/>
      <w:bookmarkStart w:id="25" w:name="_Toc499835835"/>
      <w:bookmarkStart w:id="26" w:name="_Toc499835858"/>
      <w:bookmarkStart w:id="27" w:name="_Toc500264537"/>
      <w:bookmarkStart w:id="28" w:name="_Toc503290275"/>
      <w:bookmarkStart w:id="29" w:name="_Toc524009637"/>
      <w:bookmarkStart w:id="30" w:name="_Toc524009672"/>
      <w:bookmarkStart w:id="31" w:name="_Toc524602720"/>
      <w:bookmarkStart w:id="32" w:name="_Toc526365279"/>
      <w:bookmarkStart w:id="33" w:name="_Toc526365337"/>
      <w:bookmarkStart w:id="34" w:name="_Toc530067664"/>
      <w:bookmarkStart w:id="35" w:name="_Toc530067692"/>
      <w:bookmarkStart w:id="36" w:name="_Toc530067939"/>
      <w:bookmarkStart w:id="37" w:name="_Toc530590420"/>
      <w:bookmarkStart w:id="38" w:name="_Toc530593951"/>
      <w:bookmarkStart w:id="39" w:name="_Toc531190248"/>
      <w:bookmarkStart w:id="40" w:name="_Toc531190295"/>
      <w:bookmarkStart w:id="41" w:name="_Toc534908208"/>
      <w:bookmarkStart w:id="42" w:name="_Toc534909344"/>
      <w:bookmarkStart w:id="43" w:name="_Toc535353305"/>
      <w:bookmarkStart w:id="44" w:name="_Toc535353791"/>
      <w:bookmarkStart w:id="45" w:name="_Toc18436351"/>
      <w:bookmarkStart w:id="46" w:name="_Toc18436385"/>
      <w:bookmarkStart w:id="47" w:name="_Toc18513477"/>
      <w:bookmarkStart w:id="48" w:name="_Toc18513503"/>
      <w:bookmarkStart w:id="49" w:name="_Toc18606801"/>
      <w:bookmarkStart w:id="50" w:name="_Toc19723536"/>
      <w:bookmarkStart w:id="51" w:name="_Toc20322795"/>
      <w:bookmarkStart w:id="52" w:name="_Toc20323052"/>
      <w:bookmarkStart w:id="53" w:name="_Toc20323181"/>
      <w:bookmarkStart w:id="54" w:name="_Toc20420591"/>
      <w:bookmarkStart w:id="55" w:name="_Toc20421579"/>
      <w:bookmarkStart w:id="56" w:name="_Toc21027316"/>
      <w:bookmarkStart w:id="57" w:name="_Toc22660652"/>
      <w:bookmarkStart w:id="58" w:name="_Toc22811623"/>
      <w:bookmarkStart w:id="59" w:name="_Toc26436015"/>
      <w:r w:rsidR="00BF6B2E" w:rsidRPr="00AF7A87">
        <w:rPr>
          <w:rFonts w:ascii="Palatino Linotype" w:hAnsi="Palatino Linotype" w:cs="Arial"/>
          <w:i/>
          <w:color w:val="000000" w:themeColor="text1"/>
          <w:lang w:val="es-ES"/>
        </w:rPr>
        <w:t xml:space="preserve"> </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p w14:paraId="6E687CB1" w14:textId="505E66DE" w:rsidR="00BF6B2E" w:rsidRPr="00AF7A87" w:rsidRDefault="00BF6B2E" w:rsidP="00BF6B2E">
      <w:pPr>
        <w:pStyle w:val="Prrafodelista"/>
        <w:tabs>
          <w:tab w:val="left" w:pos="0"/>
        </w:tabs>
        <w:spacing w:line="360" w:lineRule="auto"/>
        <w:ind w:left="0" w:right="49"/>
        <w:jc w:val="both"/>
        <w:rPr>
          <w:rFonts w:ascii="Palatino Linotype" w:hAnsi="Palatino Linotype" w:cs="Arial"/>
          <w:i/>
          <w:color w:val="000000" w:themeColor="text1"/>
        </w:rPr>
      </w:pPr>
    </w:p>
    <w:p w14:paraId="509D375A" w14:textId="3A615655" w:rsidR="00BF6B2E" w:rsidRPr="00AF7A87" w:rsidRDefault="00BF6B2E" w:rsidP="00BF6B2E">
      <w:pPr>
        <w:pStyle w:val="Prrafodelista"/>
        <w:tabs>
          <w:tab w:val="left" w:pos="0"/>
        </w:tabs>
        <w:spacing w:line="360" w:lineRule="auto"/>
        <w:ind w:left="0" w:right="49"/>
        <w:jc w:val="both"/>
        <w:rPr>
          <w:rFonts w:ascii="Palatino Linotype" w:hAnsi="Palatino Linotype" w:cs="Arial"/>
          <w:i/>
          <w:color w:val="000000" w:themeColor="text1"/>
        </w:rPr>
      </w:pPr>
    </w:p>
    <w:p w14:paraId="19412F72" w14:textId="2A1A8D57" w:rsidR="00BF6B2E" w:rsidRPr="00AF7A87" w:rsidRDefault="00BF6B2E" w:rsidP="000757F4">
      <w:pPr>
        <w:pStyle w:val="Prrafodelista"/>
        <w:numPr>
          <w:ilvl w:val="0"/>
          <w:numId w:val="5"/>
        </w:numPr>
        <w:tabs>
          <w:tab w:val="left" w:pos="0"/>
        </w:tabs>
        <w:spacing w:line="360" w:lineRule="auto"/>
        <w:ind w:right="49"/>
        <w:jc w:val="both"/>
        <w:rPr>
          <w:rFonts w:ascii="Palatino Linotype" w:hAnsi="Palatino Linotype"/>
          <w:i/>
          <w:color w:val="000000" w:themeColor="text1"/>
        </w:rPr>
      </w:pPr>
      <w:r w:rsidRPr="00AF7A87">
        <w:rPr>
          <w:rStyle w:val="Ttulo2Car"/>
          <w:rFonts w:ascii="Palatino Linotype" w:hAnsi="Palatino Linotype"/>
          <w:b/>
          <w:color w:val="auto"/>
          <w:sz w:val="24"/>
          <w:szCs w:val="24"/>
        </w:rPr>
        <w:lastRenderedPageBreak/>
        <w:t>Acto impugnado</w:t>
      </w:r>
      <w:r w:rsidRPr="00AF7A87">
        <w:rPr>
          <w:rStyle w:val="Ttulo2Car"/>
          <w:rFonts w:ascii="Palatino Linotype" w:hAnsi="Palatino Linotype"/>
          <w:b/>
          <w:color w:val="000000" w:themeColor="text1"/>
          <w:sz w:val="24"/>
          <w:szCs w:val="24"/>
        </w:rPr>
        <w:t xml:space="preserve">: </w:t>
      </w:r>
      <w:r w:rsidRPr="00AF7A87">
        <w:rPr>
          <w:rStyle w:val="Ttulo2Car"/>
          <w:rFonts w:ascii="Palatino Linotype" w:hAnsi="Palatino Linotype"/>
          <w:i/>
          <w:color w:val="000000" w:themeColor="text1"/>
          <w:sz w:val="24"/>
          <w:szCs w:val="24"/>
        </w:rPr>
        <w:t>“</w:t>
      </w:r>
      <w:r w:rsidRPr="00AF7A87">
        <w:rPr>
          <w:rFonts w:ascii="Palatino Linotype" w:hAnsi="Palatino Linotype"/>
          <w:i/>
          <w:color w:val="000000"/>
        </w:rPr>
        <w:t>RESPUESTA DE FECHA 25 DE NOVIEMBRE DEL 2020 RECAIDA A LA SOLICITUD CON FOLIO 00233/TRIJAEM/IP/2020”.</w:t>
      </w:r>
      <w:r w:rsidRPr="00AF7A87">
        <w:rPr>
          <w:rFonts w:ascii="Palatino Linotype" w:hAnsi="Palatino Linotype"/>
          <w:i/>
          <w:color w:val="000000" w:themeColor="text1"/>
        </w:rPr>
        <w:t xml:space="preserve"> (SIC).</w:t>
      </w:r>
      <w:bookmarkStart w:id="60" w:name="_Toc466982515"/>
      <w:bookmarkStart w:id="61" w:name="_Toc27589209"/>
      <w:bookmarkStart w:id="62" w:name="_Toc29395023"/>
      <w:bookmarkStart w:id="63" w:name="_Toc29481468"/>
      <w:bookmarkStart w:id="64" w:name="_Toc33113912"/>
      <w:bookmarkStart w:id="65" w:name="_Toc33643060"/>
      <w:bookmarkStart w:id="66" w:name="_Toc33724992"/>
      <w:bookmarkStart w:id="67" w:name="_Toc33726435"/>
      <w:bookmarkStart w:id="68" w:name="_Toc34157663"/>
      <w:bookmarkStart w:id="69" w:name="_Toc35003616"/>
      <w:bookmarkStart w:id="70" w:name="_Toc35535692"/>
      <w:bookmarkStart w:id="71" w:name="_Toc471908127"/>
      <w:bookmarkStart w:id="72" w:name="_Toc491791301"/>
      <w:bookmarkStart w:id="73" w:name="_Toc496726171"/>
      <w:bookmarkStart w:id="74" w:name="_Toc497242135"/>
      <w:bookmarkStart w:id="75" w:name="_Toc497292518"/>
      <w:bookmarkStart w:id="76" w:name="_Toc498503717"/>
      <w:bookmarkStart w:id="77" w:name="_Toc499568661"/>
      <w:bookmarkStart w:id="78" w:name="_Toc499568694"/>
      <w:bookmarkStart w:id="79" w:name="_Toc499665453"/>
      <w:bookmarkStart w:id="80" w:name="_Toc499729820"/>
      <w:bookmarkStart w:id="81" w:name="_Toc499835025"/>
      <w:bookmarkStart w:id="82" w:name="_Toc499835836"/>
      <w:bookmarkStart w:id="83" w:name="_Toc499835859"/>
      <w:bookmarkStart w:id="84" w:name="_Toc500264538"/>
      <w:bookmarkStart w:id="85" w:name="_Toc503290276"/>
      <w:bookmarkStart w:id="86" w:name="_Toc524009638"/>
      <w:bookmarkStart w:id="87" w:name="_Toc524009673"/>
      <w:bookmarkStart w:id="88" w:name="_Toc524602721"/>
      <w:bookmarkStart w:id="89" w:name="_Toc526365280"/>
      <w:bookmarkStart w:id="90" w:name="_Toc526365338"/>
      <w:bookmarkStart w:id="91" w:name="_Toc530067665"/>
      <w:bookmarkStart w:id="92" w:name="_Toc530067693"/>
      <w:bookmarkStart w:id="93" w:name="_Toc530067940"/>
      <w:bookmarkStart w:id="94" w:name="_Toc530590421"/>
      <w:bookmarkStart w:id="95" w:name="_Toc530593952"/>
      <w:bookmarkStart w:id="96" w:name="_Toc531190249"/>
      <w:bookmarkStart w:id="97" w:name="_Toc531190296"/>
      <w:bookmarkStart w:id="98" w:name="_Toc534908209"/>
      <w:bookmarkStart w:id="99" w:name="_Toc534909345"/>
      <w:bookmarkStart w:id="100" w:name="_Toc535353306"/>
      <w:bookmarkStart w:id="101" w:name="_Toc535353792"/>
      <w:bookmarkStart w:id="102" w:name="_Toc18436352"/>
      <w:bookmarkStart w:id="103" w:name="_Toc18436386"/>
      <w:bookmarkStart w:id="104" w:name="_Toc18513478"/>
      <w:bookmarkStart w:id="105" w:name="_Toc18513504"/>
      <w:bookmarkStart w:id="106" w:name="_Toc18606802"/>
      <w:bookmarkStart w:id="107" w:name="_Toc19723537"/>
      <w:bookmarkStart w:id="108" w:name="_Toc20322796"/>
      <w:bookmarkStart w:id="109" w:name="_Toc20323053"/>
      <w:bookmarkStart w:id="110" w:name="_Toc20323182"/>
      <w:bookmarkStart w:id="111" w:name="_Toc20420592"/>
      <w:bookmarkStart w:id="112" w:name="_Toc20421580"/>
      <w:bookmarkStart w:id="113" w:name="_Toc21027317"/>
      <w:bookmarkStart w:id="114" w:name="_Toc22660653"/>
      <w:bookmarkStart w:id="115" w:name="_Toc22811624"/>
      <w:bookmarkStart w:id="116" w:name="_Toc26436016"/>
    </w:p>
    <w:p w14:paraId="57AD19D2" w14:textId="77777777" w:rsidR="004B1AD4" w:rsidRPr="00AF7A87" w:rsidRDefault="004B1AD4" w:rsidP="004B1AD4">
      <w:pPr>
        <w:pStyle w:val="Prrafodelista"/>
        <w:tabs>
          <w:tab w:val="left" w:pos="0"/>
        </w:tabs>
        <w:spacing w:line="360" w:lineRule="auto"/>
        <w:ind w:left="1060" w:right="49"/>
        <w:jc w:val="both"/>
        <w:rPr>
          <w:rFonts w:ascii="Palatino Linotype" w:hAnsi="Palatino Linotype"/>
          <w:i/>
          <w:color w:val="000000" w:themeColor="text1"/>
        </w:rPr>
      </w:pPr>
    </w:p>
    <w:p w14:paraId="74C5E840" w14:textId="77777777" w:rsidR="00BF6B2E" w:rsidRPr="00AF7A87" w:rsidRDefault="00BF6B2E" w:rsidP="000757F4">
      <w:pPr>
        <w:pStyle w:val="Prrafodelista"/>
        <w:numPr>
          <w:ilvl w:val="0"/>
          <w:numId w:val="5"/>
        </w:numPr>
        <w:tabs>
          <w:tab w:val="left" w:pos="0"/>
        </w:tabs>
        <w:spacing w:line="360" w:lineRule="auto"/>
        <w:ind w:right="49"/>
        <w:jc w:val="both"/>
        <w:rPr>
          <w:rFonts w:ascii="Palatino Linotype" w:hAnsi="Palatino Linotype" w:cs="Arial"/>
          <w:i/>
          <w:color w:val="000000" w:themeColor="text1"/>
        </w:rPr>
      </w:pPr>
      <w:r w:rsidRPr="00AF7A87">
        <w:rPr>
          <w:rStyle w:val="Ttulo2Car"/>
          <w:rFonts w:ascii="Palatino Linotype" w:hAnsi="Palatino Linotype"/>
          <w:b/>
          <w:color w:val="000000" w:themeColor="text1"/>
          <w:sz w:val="24"/>
          <w:szCs w:val="24"/>
        </w:rPr>
        <w:t>Razones o Motivos de inconformidad:</w:t>
      </w:r>
      <w:bookmarkEnd w:id="60"/>
      <w:r w:rsidRPr="00AF7A87">
        <w:rPr>
          <w:rFonts w:ascii="Palatino Linotype" w:hAnsi="Palatino Linotype"/>
          <w:b/>
          <w:color w:val="000000" w:themeColor="text1"/>
        </w:rPr>
        <w:t xml:space="preserve"> </w:t>
      </w:r>
      <w:r w:rsidRPr="00AF7A87">
        <w:rPr>
          <w:rFonts w:ascii="Palatino Linotype" w:hAnsi="Palatino Linotype"/>
          <w:i/>
          <w:color w:val="000000" w:themeColor="text1"/>
        </w:rPr>
        <w:t>“</w:t>
      </w:r>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r w:rsidRPr="00AF7A87">
        <w:rPr>
          <w:rFonts w:ascii="Palatino Linotype" w:hAnsi="Palatino Linotype"/>
          <w:i/>
          <w:color w:val="000000"/>
        </w:rPr>
        <w:t xml:space="preserve">EL ARTÍCULO 179 DE LA LEY DE TRANSPARENCIA Y ACCESO A LA INFORMACIÓN PÚBLICA DEL ESTADO DE MÉXICO Y MUNICIPIOS, DISPONE QUE EL RECURSO DE REVISIÓN ES UN MEDIO DE PROTECCIÓN QUE LA LEY OTORGA A LOS PARTICULARES, PARA HACER VALER SU DERECHO DE ACCESO A LA INFORMACIÓN PÚBLICA, Y ENSEGUIDA ESTABLECE LAS CAUSALES QUE DAN LUGAR A SU PROCEDENCIA, DESTACANDO EL SUSPUESTO QUE PREVÉ LA FRACCIÓN V DEL MENCIONADO ARTÍCULO, AL REFERIR QUE EL RECURSO SERA PROCEDENTE CONTRA LA "ENTREGA DE INFORMACIÓN INCOMPLETA". AHORA BIEN, EN LA ESPECIE, EL SUSCRITO PRESENTE UNA SOLICITUD DE INFORMACION VÍA SAIMEX EN FECHA 03 DE NOVIEMBRE DEL 2020 A LA QUE FUE ASIGNADA EL FOLIO 00233/TRIJAEM/IP/2020. POR SU PARTE EN FECHA 25 DE NOVIEMBRE DEL 2020 EL SUJETO OBLIGADO POR CONDUCTO DE SU UNIDAD DE TRANSPARENCIA A TRAVES DE SAIMEX DIO CONTESTACIÓN A MI SOLICITUD EN LOS SIGUIENTES TERMNOS: “… Una vez analizada la solicitud de información y con fundamento en lo previsto en los artículos 150, 151, y 166 de la Ley de </w:t>
      </w:r>
      <w:r w:rsidRPr="00AF7A87">
        <w:rPr>
          <w:rFonts w:ascii="Palatino Linotype" w:hAnsi="Palatino Linotype"/>
          <w:i/>
          <w:color w:val="000000"/>
        </w:rPr>
        <w:lastRenderedPageBreak/>
        <w:t xml:space="preserve">Transparencia y Acceso a la Información Pública del Estado de México y Municipios, se le informa lo siguiente: (…) NOVENA SALA REGIONAL: “Al respecto se informa que las versiones públicas de las citadas sentencias pueden ser consultadas en el portal de sentencias de este Tribunal de Justicia Administrativa, al cual se podrá acceder mediante el siguiente link: https://trijaem.gob.mx/sentencias/sentencias.” [SIC] </w:t>
      </w:r>
      <w:r w:rsidRPr="00AF7A87">
        <w:rPr>
          <w:rFonts w:ascii="Palatino Linotype" w:hAnsi="Palatino Linotype"/>
          <w:b/>
          <w:i/>
          <w:color w:val="000000"/>
        </w:rPr>
        <w:t xml:space="preserve">NO OBSTANTE LO ANTERIORMENTE EXPUESTO, SE CONSIDERA QUE LA INFORMACIÓN ENTREGADA RESULTA INCOMPLETA, YA QUE SI BIEN ES CIERTO EL SUJETO OBLIGADO EN SU REPUESTA REFIERE QUE LAS VERSIONES PÚBLICAS DE LAS SENTENCIAS SOLICITADAS RESPECTO DE LA NOVENA SALA ESPECIALIZADA, PUEDEN SER CONSULTADAS EN EL PORTAL DE SENTENCIAS Y PARA ELLO PROPORCIONA UN LINK DE ACCESO; IGUAL DE CIERTO ES QUE </w:t>
      </w:r>
      <w:r w:rsidRPr="00AF7A87">
        <w:rPr>
          <w:rFonts w:ascii="Palatino Linotype" w:hAnsi="Palatino Linotype"/>
          <w:b/>
          <w:i/>
          <w:color w:val="000000"/>
          <w:u w:val="single"/>
        </w:rPr>
        <w:t>"las versiones públicas de las sentencias dictadas por la Novena Sala Regional Especializada del Tribunal de Justicia Administrativa del Estado de México, respecto a los procedimientos de responsabilidad administrativa relativos a faltas graves, seguidos bajos los expedientes números: A) 4/2019 y B) 21/2019 no se encuentran disponibles en el portal de sentencias.</w:t>
      </w:r>
      <w:r w:rsidRPr="00AF7A87">
        <w:rPr>
          <w:rFonts w:ascii="Palatino Linotype" w:hAnsi="Palatino Linotype"/>
          <w:i/>
          <w:color w:val="000000"/>
        </w:rPr>
        <w:t xml:space="preserve"> EN CONSENCUENCIA, ES EVIDENTE QUE LA INFORMACIÓN ENTREGADA RESULTA INCOMPLETA, MAXIME AL TOMAR EN CONSIDERACION QUE EL SUJETO OBLIGADO AL EMITIR SU RESPUESTA NO HIZO </w:t>
      </w:r>
      <w:r w:rsidRPr="00AF7A87">
        <w:rPr>
          <w:rFonts w:ascii="Palatino Linotype" w:hAnsi="Palatino Linotype"/>
          <w:i/>
          <w:color w:val="000000"/>
        </w:rPr>
        <w:lastRenderedPageBreak/>
        <w:t>MANIFESTACIÓN ALGUNA DEBIDAMENTE FUNDADA Y MOTIVARA QUE JUSTIFICARA LA INEXISTENCIA DE LA INFORMACION SOLICITADA, SINO QUE POR EL CONTRARIO TACITAMENTE ACEPTÓ SU EXITENCIA, AL HABER MANIFESTADO QUE LAS VERSIONES PÚBLICAS DE LAS SENTENCIAS SOLICITADAS PODÍAN CONSULTARSE EN EL PORTAL Y LINK REFERIDOS EN LINEÁS PREVIAS”. (SIC).</w:t>
      </w:r>
    </w:p>
    <w:p w14:paraId="4339BE2A" w14:textId="77777777" w:rsidR="00BF6B2E" w:rsidRPr="00AF7A87" w:rsidRDefault="00BF6B2E" w:rsidP="00BF6B2E">
      <w:pPr>
        <w:pStyle w:val="Prrafodelista"/>
        <w:tabs>
          <w:tab w:val="left" w:pos="0"/>
        </w:tabs>
        <w:spacing w:line="360" w:lineRule="auto"/>
        <w:ind w:left="0" w:right="49"/>
        <w:jc w:val="both"/>
        <w:rPr>
          <w:rFonts w:ascii="Palatino Linotype" w:hAnsi="Palatino Linotype" w:cs="Arial"/>
          <w:i/>
          <w:color w:val="000000" w:themeColor="text1"/>
        </w:rPr>
      </w:pPr>
    </w:p>
    <w:p w14:paraId="0D3B4B9D" w14:textId="36D08A5F" w:rsidR="00BF6B2E" w:rsidRPr="00AF7A87" w:rsidRDefault="009710C1" w:rsidP="000757F4">
      <w:pPr>
        <w:pStyle w:val="Prrafodelista"/>
        <w:numPr>
          <w:ilvl w:val="0"/>
          <w:numId w:val="1"/>
        </w:numPr>
        <w:tabs>
          <w:tab w:val="left" w:pos="0"/>
        </w:tabs>
        <w:spacing w:line="360" w:lineRule="auto"/>
        <w:ind w:left="0" w:right="49" w:firstLine="0"/>
        <w:jc w:val="both"/>
        <w:rPr>
          <w:rFonts w:ascii="Palatino Linotype" w:hAnsi="Palatino Linotype" w:cs="Arial"/>
          <w:i/>
          <w:color w:val="000000" w:themeColor="text1"/>
        </w:rPr>
      </w:pPr>
      <w:r w:rsidRPr="00AF7A87">
        <w:rPr>
          <w:rFonts w:ascii="Palatino Linotype" w:hAnsi="Palatino Linotype" w:cs="Arial"/>
          <w:bCs/>
        </w:rPr>
        <w:t xml:space="preserve">Con fundamento en lo dispuesto por el </w:t>
      </w:r>
      <w:r w:rsidRPr="00AF7A87">
        <w:rPr>
          <w:rFonts w:ascii="Palatino Linotype" w:eastAsia="Calibri" w:hAnsi="Palatino Linotype" w:cs="Arial"/>
          <w:lang w:val="es-ES"/>
        </w:rPr>
        <w:t xml:space="preserve">artículo 185 fracción I de la </w:t>
      </w:r>
      <w:r w:rsidRPr="00AF7A87">
        <w:rPr>
          <w:rFonts w:ascii="Palatino Linotype" w:eastAsia="Calibri" w:hAnsi="Palatino Linotype" w:cs="Arial"/>
          <w:b/>
          <w:lang w:val="es-ES"/>
        </w:rPr>
        <w:t xml:space="preserve">Ley de Transparencia y Acceso a la Información Pública del Estado de México y Municipios </w:t>
      </w:r>
      <w:r w:rsidRPr="00AF7A87">
        <w:rPr>
          <w:rFonts w:ascii="Palatino Linotype" w:hAnsi="Palatino Linotype" w:cs="Arial"/>
          <w:lang w:val="es-ES"/>
        </w:rPr>
        <w:t xml:space="preserve">se turnó al </w:t>
      </w:r>
      <w:r w:rsidRPr="00AF7A87">
        <w:rPr>
          <w:rFonts w:ascii="Palatino Linotype" w:hAnsi="Palatino Linotype" w:cs="Arial"/>
          <w:b/>
          <w:lang w:val="es-ES"/>
        </w:rPr>
        <w:t xml:space="preserve">Comisionado José Guadalupe Luna Hernández </w:t>
      </w:r>
      <w:r w:rsidRPr="00AF7A87">
        <w:rPr>
          <w:rFonts w:ascii="Palatino Linotype" w:hAnsi="Palatino Linotype" w:cs="Arial"/>
          <w:lang w:val="es-ES"/>
        </w:rPr>
        <w:t xml:space="preserve">con el objeto de </w:t>
      </w:r>
      <w:r w:rsidRPr="00AF7A87">
        <w:rPr>
          <w:rFonts w:ascii="Palatino Linotype" w:hAnsi="Palatino Linotype" w:cs="Arial"/>
        </w:rPr>
        <w:t>su análisis.</w:t>
      </w:r>
    </w:p>
    <w:p w14:paraId="79592B29" w14:textId="77777777" w:rsidR="00BF6B2E" w:rsidRPr="00AF7A87" w:rsidRDefault="00BF6B2E" w:rsidP="00BF6B2E">
      <w:pPr>
        <w:pStyle w:val="Prrafodelista"/>
        <w:tabs>
          <w:tab w:val="left" w:pos="0"/>
        </w:tabs>
        <w:spacing w:line="360" w:lineRule="auto"/>
        <w:ind w:left="0" w:right="49"/>
        <w:jc w:val="both"/>
        <w:rPr>
          <w:rFonts w:ascii="Palatino Linotype" w:hAnsi="Palatino Linotype" w:cs="Arial"/>
          <w:i/>
          <w:color w:val="000000" w:themeColor="text1"/>
        </w:rPr>
      </w:pPr>
    </w:p>
    <w:p w14:paraId="094FC332" w14:textId="3BFEC3EE" w:rsidR="00BF6B2E" w:rsidRPr="00AF7A87" w:rsidRDefault="00034A1F" w:rsidP="000757F4">
      <w:pPr>
        <w:pStyle w:val="Prrafodelista"/>
        <w:numPr>
          <w:ilvl w:val="0"/>
          <w:numId w:val="1"/>
        </w:numPr>
        <w:tabs>
          <w:tab w:val="left" w:pos="0"/>
        </w:tabs>
        <w:spacing w:line="360" w:lineRule="auto"/>
        <w:ind w:left="0" w:right="49" w:firstLine="0"/>
        <w:jc w:val="both"/>
        <w:rPr>
          <w:rFonts w:ascii="Palatino Linotype" w:hAnsi="Palatino Linotype" w:cs="Arial"/>
          <w:i/>
          <w:color w:val="000000" w:themeColor="text1"/>
        </w:rPr>
      </w:pPr>
      <w:r w:rsidRPr="00AF7A87">
        <w:rPr>
          <w:rFonts w:ascii="Palatino Linotype" w:eastAsia="Calibri" w:hAnsi="Palatino Linotype" w:cs="Arial"/>
          <w:lang w:val="es-ES"/>
        </w:rPr>
        <w:t>El Comisionado Ponente con fundamento en lo dispuesto por el artículo 185 fracción II de la</w:t>
      </w:r>
      <w:r w:rsidR="003364ED" w:rsidRPr="00AF7A87">
        <w:rPr>
          <w:rFonts w:ascii="Palatino Linotype" w:eastAsia="Calibri" w:hAnsi="Palatino Linotype" w:cs="Arial"/>
          <w:lang w:val="es-ES"/>
        </w:rPr>
        <w:t xml:space="preserve"> ley de la materia, a través de</w:t>
      </w:r>
      <w:r w:rsidRPr="00AF7A87">
        <w:rPr>
          <w:rFonts w:ascii="Palatino Linotype" w:eastAsia="Calibri" w:hAnsi="Palatino Linotype" w:cs="Arial"/>
          <w:lang w:val="es-ES"/>
        </w:rPr>
        <w:t xml:space="preserve">l acuerdo de admisión de fecha </w:t>
      </w:r>
      <w:r w:rsidR="008A200A" w:rsidRPr="00AF7A87">
        <w:rPr>
          <w:rFonts w:ascii="Palatino Linotype" w:eastAsia="Calibri" w:hAnsi="Palatino Linotype" w:cs="Arial"/>
          <w:lang w:val="es-ES"/>
        </w:rPr>
        <w:t>once</w:t>
      </w:r>
      <w:r w:rsidR="00E17910" w:rsidRPr="00AF7A87">
        <w:rPr>
          <w:rFonts w:ascii="Palatino Linotype" w:eastAsia="Calibri" w:hAnsi="Palatino Linotype" w:cs="Arial"/>
          <w:lang w:val="es-ES"/>
        </w:rPr>
        <w:t xml:space="preserve"> </w:t>
      </w:r>
      <w:r w:rsidR="008A200A" w:rsidRPr="00AF7A87">
        <w:rPr>
          <w:rFonts w:ascii="Palatino Linotype" w:eastAsia="Calibri" w:hAnsi="Palatino Linotype" w:cs="Arial"/>
          <w:lang w:val="es-ES"/>
        </w:rPr>
        <w:t>(1</w:t>
      </w:r>
      <w:r w:rsidR="002A5AB5" w:rsidRPr="00AF7A87">
        <w:rPr>
          <w:rFonts w:ascii="Palatino Linotype" w:eastAsia="Calibri" w:hAnsi="Palatino Linotype" w:cs="Arial"/>
          <w:lang w:val="es-ES"/>
        </w:rPr>
        <w:t>1</w:t>
      </w:r>
      <w:r w:rsidR="004F6AFC" w:rsidRPr="00AF7A87">
        <w:rPr>
          <w:rFonts w:ascii="Palatino Linotype" w:eastAsia="Calibri" w:hAnsi="Palatino Linotype" w:cs="Arial"/>
          <w:lang w:val="es-ES"/>
        </w:rPr>
        <w:t xml:space="preserve">) de </w:t>
      </w:r>
      <w:r w:rsidR="00DE22C9" w:rsidRPr="00AF7A87">
        <w:rPr>
          <w:rFonts w:ascii="Palatino Linotype" w:eastAsia="Calibri" w:hAnsi="Palatino Linotype" w:cs="Arial"/>
          <w:lang w:val="es-ES"/>
        </w:rPr>
        <w:t>diciembre</w:t>
      </w:r>
      <w:r w:rsidR="004F6AFC" w:rsidRPr="00AF7A87">
        <w:rPr>
          <w:rFonts w:ascii="Palatino Linotype" w:eastAsia="Calibri" w:hAnsi="Palatino Linotype" w:cs="Arial"/>
          <w:lang w:val="es-ES"/>
        </w:rPr>
        <w:t xml:space="preserve"> </w:t>
      </w:r>
      <w:r w:rsidR="00DE22C9" w:rsidRPr="00AF7A87">
        <w:rPr>
          <w:rFonts w:ascii="Palatino Linotype" w:eastAsia="Calibri" w:hAnsi="Palatino Linotype" w:cs="Arial"/>
          <w:lang w:val="es-ES"/>
        </w:rPr>
        <w:t>de dos mil veinte</w:t>
      </w:r>
      <w:r w:rsidRPr="00AF7A87">
        <w:rPr>
          <w:rFonts w:ascii="Palatino Linotype" w:eastAsia="Calibri" w:hAnsi="Palatino Linotype" w:cs="Arial"/>
          <w:lang w:val="es-ES"/>
        </w:rPr>
        <w:t xml:space="preserve">, puso a disposición de las partes </w:t>
      </w:r>
      <w:r w:rsidR="00C93405" w:rsidRPr="00AF7A87">
        <w:rPr>
          <w:rFonts w:ascii="Palatino Linotype" w:eastAsia="Calibri" w:hAnsi="Palatino Linotype" w:cs="Arial"/>
          <w:lang w:val="es-ES"/>
        </w:rPr>
        <w:t>e</w:t>
      </w:r>
      <w:r w:rsidRPr="00AF7A87">
        <w:rPr>
          <w:rFonts w:ascii="Palatino Linotype" w:eastAsia="Calibri" w:hAnsi="Palatino Linotype" w:cs="Arial"/>
          <w:lang w:val="es-ES"/>
        </w:rPr>
        <w:t xml:space="preserve">l expediente electrónico </w:t>
      </w:r>
      <w:r w:rsidRPr="00AF7A87">
        <w:rPr>
          <w:rFonts w:ascii="Palatino Linotype" w:eastAsia="Calibri" w:hAnsi="Palatino Linotype" w:cs="Arial"/>
        </w:rPr>
        <w:t xml:space="preserve">vía </w:t>
      </w:r>
      <w:r w:rsidR="0035551F" w:rsidRPr="00AF7A87">
        <w:rPr>
          <w:rFonts w:ascii="Palatino Linotype" w:eastAsia="Calibri" w:hAnsi="Palatino Linotype" w:cs="Arial"/>
          <w:lang w:val="es-ES"/>
        </w:rPr>
        <w:t xml:space="preserve">Sistema de Acceso a la Información Mexiquense (SAIMEX), </w:t>
      </w:r>
      <w:r w:rsidRPr="00AF7A87">
        <w:rPr>
          <w:rFonts w:ascii="Palatino Linotype" w:eastAsia="Calibri" w:hAnsi="Palatino Linotype" w:cs="Arial"/>
          <w:lang w:val="es-ES"/>
        </w:rPr>
        <w:t>a efecto de que en un plazo máximo de siete días manifestaran</w:t>
      </w:r>
      <w:r w:rsidR="005E77E6" w:rsidRPr="00AF7A87">
        <w:rPr>
          <w:rFonts w:ascii="Palatino Linotype" w:eastAsia="Calibri" w:hAnsi="Palatino Linotype" w:cs="Arial"/>
          <w:lang w:val="es-ES"/>
        </w:rPr>
        <w:t xml:space="preserve"> lo que a su derecho conviniera</w:t>
      </w:r>
      <w:r w:rsidRPr="00AF7A87">
        <w:rPr>
          <w:rFonts w:ascii="Palatino Linotype" w:eastAsia="Calibri" w:hAnsi="Palatino Linotype" w:cs="Arial"/>
          <w:lang w:val="es-ES"/>
        </w:rPr>
        <w:t xml:space="preserve">, ofrecieran pruebas y alegatos según corresponda a los casos concretos, </w:t>
      </w:r>
      <w:r w:rsidR="00FA448D" w:rsidRPr="00AF7A87">
        <w:rPr>
          <w:rFonts w:ascii="Palatino Linotype" w:eastAsia="Calibri" w:hAnsi="Palatino Linotype" w:cs="Arial"/>
          <w:lang w:val="es-ES"/>
        </w:rPr>
        <w:t>y</w:t>
      </w:r>
      <w:r w:rsidRPr="00AF7A87">
        <w:rPr>
          <w:rFonts w:ascii="Palatino Linotype" w:eastAsia="Calibri" w:hAnsi="Palatino Linotype" w:cs="Arial"/>
          <w:lang w:val="es-ES"/>
        </w:rPr>
        <w:t xml:space="preserve"> el </w:t>
      </w:r>
      <w:r w:rsidRPr="00AF7A87">
        <w:rPr>
          <w:rFonts w:ascii="Palatino Linotype" w:eastAsia="Calibri" w:hAnsi="Palatino Linotype" w:cs="Arial"/>
          <w:b/>
          <w:lang w:val="es-ES"/>
        </w:rPr>
        <w:t>SUJETO OBLIGADO</w:t>
      </w:r>
      <w:r w:rsidRPr="00AF7A87">
        <w:rPr>
          <w:rFonts w:ascii="Palatino Linotype" w:eastAsia="Calibri" w:hAnsi="Palatino Linotype" w:cs="Arial"/>
          <w:lang w:val="es-ES"/>
        </w:rPr>
        <w:t xml:space="preserve"> presentará el Informe Justificado procedente.</w:t>
      </w:r>
    </w:p>
    <w:p w14:paraId="540011EE" w14:textId="77777777" w:rsidR="00BF6B2E" w:rsidRPr="00AF7A87" w:rsidRDefault="00BF6B2E" w:rsidP="00BF6B2E">
      <w:pPr>
        <w:pStyle w:val="Prrafodelista"/>
        <w:rPr>
          <w:rFonts w:ascii="Palatino Linotype" w:hAnsi="Palatino Linotype"/>
          <w:color w:val="000000"/>
          <w:szCs w:val="22"/>
        </w:rPr>
      </w:pPr>
    </w:p>
    <w:p w14:paraId="1C78B237" w14:textId="018EBBE1" w:rsidR="00BF6B2E" w:rsidRPr="00AF7A87" w:rsidRDefault="009710C1" w:rsidP="000757F4">
      <w:pPr>
        <w:pStyle w:val="Prrafodelista"/>
        <w:numPr>
          <w:ilvl w:val="0"/>
          <w:numId w:val="1"/>
        </w:numPr>
        <w:tabs>
          <w:tab w:val="left" w:pos="0"/>
        </w:tabs>
        <w:spacing w:line="360" w:lineRule="auto"/>
        <w:ind w:left="0" w:right="49" w:firstLine="0"/>
        <w:jc w:val="both"/>
        <w:rPr>
          <w:rFonts w:ascii="Palatino Linotype" w:hAnsi="Palatino Linotype" w:cs="Arial"/>
          <w:i/>
          <w:color w:val="000000" w:themeColor="text1"/>
        </w:rPr>
      </w:pPr>
      <w:r w:rsidRPr="00AF7A87">
        <w:rPr>
          <w:rFonts w:ascii="Palatino Linotype" w:hAnsi="Palatino Linotype"/>
          <w:color w:val="000000"/>
          <w:szCs w:val="22"/>
        </w:rPr>
        <w:lastRenderedPageBreak/>
        <w:t xml:space="preserve">De las constancias del expediente electrónico en </w:t>
      </w:r>
      <w:r w:rsidR="0035551F" w:rsidRPr="00AF7A87">
        <w:rPr>
          <w:rFonts w:ascii="Palatino Linotype" w:hAnsi="Palatino Linotype"/>
          <w:color w:val="000000"/>
          <w:szCs w:val="22"/>
        </w:rPr>
        <w:t xml:space="preserve">el </w:t>
      </w:r>
      <w:r w:rsidR="0035551F" w:rsidRPr="00AF7A87">
        <w:rPr>
          <w:rFonts w:ascii="Palatino Linotype" w:eastAsia="Calibri" w:hAnsi="Palatino Linotype" w:cs="Arial"/>
          <w:lang w:val="es-ES"/>
        </w:rPr>
        <w:t xml:space="preserve">Sistema de Acceso a la Información Mexiquense (SAIMEX), </w:t>
      </w:r>
      <w:r w:rsidRPr="00AF7A87">
        <w:rPr>
          <w:rFonts w:ascii="Palatino Linotype" w:hAnsi="Palatino Linotype"/>
          <w:color w:val="000000"/>
          <w:szCs w:val="22"/>
        </w:rPr>
        <w:t xml:space="preserve">se advierte que el </w:t>
      </w:r>
      <w:r w:rsidRPr="00AF7A87">
        <w:rPr>
          <w:rFonts w:ascii="Palatino Linotype" w:hAnsi="Palatino Linotype"/>
          <w:b/>
          <w:color w:val="000000"/>
          <w:szCs w:val="22"/>
        </w:rPr>
        <w:t xml:space="preserve">SUJETO OBLIGADO </w:t>
      </w:r>
      <w:r w:rsidRPr="00AF7A87">
        <w:rPr>
          <w:rFonts w:ascii="Palatino Linotype" w:hAnsi="Palatino Linotype"/>
          <w:color w:val="000000"/>
          <w:szCs w:val="22"/>
        </w:rPr>
        <w:t xml:space="preserve">no rindió el informe justificado respectivo y que el hoy </w:t>
      </w:r>
      <w:r w:rsidRPr="00AF7A87">
        <w:rPr>
          <w:rFonts w:ascii="Palatino Linotype" w:hAnsi="Palatino Linotype"/>
          <w:b/>
          <w:color w:val="000000"/>
          <w:szCs w:val="22"/>
        </w:rPr>
        <w:t xml:space="preserve">RECURRENTE </w:t>
      </w:r>
      <w:r w:rsidRPr="00AF7A87">
        <w:rPr>
          <w:rFonts w:ascii="Palatino Linotype" w:hAnsi="Palatino Linotype"/>
          <w:color w:val="000000"/>
          <w:szCs w:val="22"/>
        </w:rPr>
        <w:t xml:space="preserve">no realizó </w:t>
      </w:r>
      <w:proofErr w:type="gramStart"/>
      <w:r w:rsidRPr="00AF7A87">
        <w:rPr>
          <w:rFonts w:ascii="Palatino Linotype" w:hAnsi="Palatino Linotype"/>
          <w:color w:val="000000"/>
          <w:szCs w:val="22"/>
        </w:rPr>
        <w:t>manifestaciones  que</w:t>
      </w:r>
      <w:proofErr w:type="gramEnd"/>
      <w:r w:rsidRPr="00AF7A87">
        <w:rPr>
          <w:rFonts w:ascii="Palatino Linotype" w:hAnsi="Palatino Linotype"/>
          <w:color w:val="000000"/>
          <w:szCs w:val="22"/>
        </w:rPr>
        <w:t xml:space="preserve"> a su derecho conviniera y asistiera.</w:t>
      </w:r>
    </w:p>
    <w:p w14:paraId="5D59AC77" w14:textId="77777777" w:rsidR="00BF6B2E" w:rsidRPr="00AF7A87" w:rsidRDefault="00BF6B2E" w:rsidP="00BF6B2E">
      <w:pPr>
        <w:pStyle w:val="Prrafodelista"/>
        <w:rPr>
          <w:rFonts w:ascii="Palatino Linotype" w:hAnsi="Palatino Linotype"/>
        </w:rPr>
      </w:pPr>
    </w:p>
    <w:p w14:paraId="4C6DC500" w14:textId="5CFC7F4E" w:rsidR="00BF6B2E" w:rsidRPr="00AF7A87" w:rsidRDefault="009710C1" w:rsidP="000757F4">
      <w:pPr>
        <w:pStyle w:val="Prrafodelista"/>
        <w:numPr>
          <w:ilvl w:val="0"/>
          <w:numId w:val="1"/>
        </w:numPr>
        <w:tabs>
          <w:tab w:val="left" w:pos="0"/>
        </w:tabs>
        <w:spacing w:line="360" w:lineRule="auto"/>
        <w:ind w:left="0" w:right="49" w:firstLine="0"/>
        <w:jc w:val="both"/>
        <w:rPr>
          <w:rFonts w:ascii="Palatino Linotype" w:hAnsi="Palatino Linotype" w:cs="Arial"/>
          <w:i/>
          <w:color w:val="000000" w:themeColor="text1"/>
        </w:rPr>
      </w:pPr>
      <w:r w:rsidRPr="00AF7A87">
        <w:rPr>
          <w:rFonts w:ascii="Palatino Linotype" w:hAnsi="Palatino Linotype"/>
        </w:rPr>
        <w:t>El veinte (20) de enero de dos mil veintiuno, el Comisionado Ponente acordó el cierre de instrucción, por lo que se</w:t>
      </w:r>
      <w:r w:rsidRPr="00AF7A87">
        <w:rPr>
          <w:rFonts w:ascii="Palatino Linotype" w:hAnsi="Palatino Linotype" w:cs="Arial"/>
        </w:rPr>
        <w:t xml:space="preserve"> ordenó turnar el expediente a resolución, por lo que no habiendo más que hacer constar, y </w:t>
      </w:r>
      <w:r w:rsidR="00BF6B2E" w:rsidRPr="00AF7A87">
        <w:rPr>
          <w:rFonts w:ascii="Palatino Linotype" w:hAnsi="Palatino Linotype" w:cs="Arial"/>
        </w:rPr>
        <w:t>–</w:t>
      </w:r>
      <w:r w:rsidRPr="00AF7A87">
        <w:rPr>
          <w:rFonts w:ascii="Palatino Linotype" w:hAnsi="Palatino Linotype" w:cs="Arial"/>
        </w:rPr>
        <w:t xml:space="preserve"> </w:t>
      </w:r>
    </w:p>
    <w:p w14:paraId="110BFCB2" w14:textId="77777777" w:rsidR="00BF6B2E" w:rsidRPr="00AF7A87" w:rsidRDefault="00BF6B2E" w:rsidP="00BF6B2E">
      <w:pPr>
        <w:pStyle w:val="Prrafodelista"/>
        <w:spacing w:before="240" w:after="240" w:line="360" w:lineRule="auto"/>
        <w:ind w:left="0"/>
        <w:jc w:val="both"/>
        <w:rPr>
          <w:rFonts w:ascii="Palatino Linotype" w:hAnsi="Palatino Linotype"/>
        </w:rPr>
      </w:pPr>
    </w:p>
    <w:p w14:paraId="13E9F296" w14:textId="77777777" w:rsidR="00BF6B2E" w:rsidRPr="00AF7A87" w:rsidRDefault="00BF6B2E" w:rsidP="00BF6B2E">
      <w:pPr>
        <w:pStyle w:val="Ttulo1"/>
        <w:jc w:val="center"/>
        <w:rPr>
          <w:b/>
        </w:rPr>
      </w:pPr>
      <w:bookmarkStart w:id="117" w:name="_Toc491791302"/>
      <w:bookmarkStart w:id="118" w:name="_Toc34157664"/>
      <w:r w:rsidRPr="00AF7A87">
        <w:rPr>
          <w:b/>
        </w:rPr>
        <w:t>CONSIDERANDO</w:t>
      </w:r>
      <w:bookmarkEnd w:id="117"/>
      <w:bookmarkEnd w:id="118"/>
    </w:p>
    <w:p w14:paraId="110C27A2" w14:textId="77777777" w:rsidR="00BF6B2E" w:rsidRPr="00AF7A87" w:rsidRDefault="00BF6B2E" w:rsidP="00BF6B2E">
      <w:pPr>
        <w:rPr>
          <w:rFonts w:ascii="Palatino Linotype" w:hAnsi="Palatino Linotype"/>
          <w:lang w:val="es-MX" w:eastAsia="en-US"/>
        </w:rPr>
      </w:pPr>
    </w:p>
    <w:p w14:paraId="1A591BBD" w14:textId="77777777" w:rsidR="00BF6B2E" w:rsidRPr="00AF7A87" w:rsidRDefault="00BF6B2E" w:rsidP="00BF6B2E">
      <w:pPr>
        <w:pStyle w:val="Ttulo2"/>
        <w:rPr>
          <w:rFonts w:ascii="Palatino Linotype" w:hAnsi="Palatino Linotype"/>
          <w:b/>
          <w:color w:val="auto"/>
          <w:sz w:val="24"/>
        </w:rPr>
      </w:pPr>
      <w:bookmarkStart w:id="119" w:name="_Toc491791303"/>
      <w:bookmarkStart w:id="120" w:name="_Toc34157665"/>
      <w:r w:rsidRPr="00AF7A87">
        <w:rPr>
          <w:rFonts w:ascii="Palatino Linotype" w:hAnsi="Palatino Linotype"/>
          <w:b/>
          <w:color w:val="auto"/>
          <w:sz w:val="24"/>
        </w:rPr>
        <w:t>PRIMERO. De la competencia</w:t>
      </w:r>
      <w:bookmarkEnd w:id="119"/>
      <w:bookmarkEnd w:id="120"/>
    </w:p>
    <w:p w14:paraId="46CF12AB" w14:textId="77777777" w:rsidR="00BF6B2E" w:rsidRPr="00AF7A87" w:rsidRDefault="00BF6B2E" w:rsidP="00BF6B2E">
      <w:pPr>
        <w:pStyle w:val="Prrafodelista"/>
        <w:rPr>
          <w:rFonts w:ascii="Palatino Linotype" w:eastAsia="Calibri" w:hAnsi="Palatino Linotype"/>
          <w:lang w:val="es-ES"/>
        </w:rPr>
      </w:pPr>
    </w:p>
    <w:p w14:paraId="4D52BED5" w14:textId="7A6FC2BF" w:rsidR="00BF6B2E" w:rsidRPr="00AF7A87" w:rsidRDefault="009710C1" w:rsidP="000757F4">
      <w:pPr>
        <w:pStyle w:val="Prrafodelista"/>
        <w:numPr>
          <w:ilvl w:val="0"/>
          <w:numId w:val="1"/>
        </w:numPr>
        <w:tabs>
          <w:tab w:val="left" w:pos="0"/>
        </w:tabs>
        <w:spacing w:line="360" w:lineRule="auto"/>
        <w:ind w:left="0" w:right="49" w:firstLine="0"/>
        <w:jc w:val="both"/>
        <w:rPr>
          <w:rFonts w:ascii="Palatino Linotype" w:hAnsi="Palatino Linotype" w:cs="Arial"/>
          <w:i/>
          <w:color w:val="000000" w:themeColor="text1"/>
        </w:rPr>
      </w:pPr>
      <w:r w:rsidRPr="00AF7A87">
        <w:rPr>
          <w:rFonts w:ascii="Palatino Linotype" w:eastAsia="Calibri" w:hAnsi="Palatino Linotype"/>
          <w:lang w:val="es-ES"/>
        </w:rPr>
        <w:t xml:space="preserve">Este Instituto de Transparencia, Acceso a la Información Pública y Protección de Datos Personales del Estado de México y Municipios es competente para conocer y resolver del presente recurso de conformidad con el artículo: 6, apartado A, fracción IV de la </w:t>
      </w:r>
      <w:r w:rsidRPr="00AF7A87">
        <w:rPr>
          <w:rFonts w:ascii="Palatino Linotype" w:eastAsia="Calibri" w:hAnsi="Palatino Linotype"/>
          <w:b/>
          <w:lang w:val="es-ES"/>
        </w:rPr>
        <w:t>Constitución Política de los Estados Unidos Mexicanos</w:t>
      </w:r>
      <w:r w:rsidRPr="00AF7A87">
        <w:rPr>
          <w:rFonts w:ascii="Palatino Linotype" w:eastAsia="Calibri" w:hAnsi="Palatino Linotype"/>
          <w:lang w:val="es-ES"/>
        </w:rPr>
        <w:t xml:space="preserve">; 5, párrafos vigésimo, vigésimo primero y vigésimo segundo fracciones IV y V de la </w:t>
      </w:r>
      <w:r w:rsidRPr="00AF7A87">
        <w:rPr>
          <w:rFonts w:ascii="Palatino Linotype" w:eastAsia="Calibri" w:hAnsi="Palatino Linotype"/>
          <w:b/>
          <w:lang w:val="es-ES"/>
        </w:rPr>
        <w:t>Constitución Política del Estado Libre y Soberano de México</w:t>
      </w:r>
      <w:r w:rsidRPr="00AF7A87">
        <w:rPr>
          <w:rFonts w:ascii="Palatino Linotype" w:eastAsia="Calibri" w:hAnsi="Palatino Linotype"/>
          <w:lang w:val="es-ES"/>
        </w:rPr>
        <w:t xml:space="preserve">; artículos 1, 2 fracción II, 13, 29, 36 fracciones I y II, 176, 178, 179, 181 párrafo tercero y 185 </w:t>
      </w:r>
      <w:r w:rsidRPr="00AF7A87">
        <w:rPr>
          <w:rFonts w:ascii="Palatino Linotype" w:eastAsia="Calibri" w:hAnsi="Palatino Linotype" w:cs="Arial"/>
          <w:lang w:val="es-ES"/>
        </w:rPr>
        <w:t xml:space="preserve">de la </w:t>
      </w:r>
      <w:r w:rsidRPr="00AF7A87">
        <w:rPr>
          <w:rFonts w:ascii="Palatino Linotype" w:eastAsia="Calibri" w:hAnsi="Palatino Linotype" w:cs="Arial"/>
          <w:b/>
          <w:lang w:val="es-ES"/>
        </w:rPr>
        <w:t>Ley de Transparencia y Acceso a la Información Pública del Estado de México y Municipios</w:t>
      </w:r>
      <w:r w:rsidRPr="00AF7A87">
        <w:rPr>
          <w:rFonts w:ascii="Palatino Linotype" w:eastAsia="Calibri" w:hAnsi="Palatino Linotype" w:cs="Arial"/>
          <w:lang w:val="es-ES"/>
        </w:rPr>
        <w:t xml:space="preserve">; ; y 10, 7, 9 fracciones I y XXIV, y 11 del </w:t>
      </w:r>
      <w:r w:rsidRPr="00AF7A87">
        <w:rPr>
          <w:rFonts w:ascii="Palatino Linotype" w:eastAsia="Calibri" w:hAnsi="Palatino Linotype" w:cs="Arial"/>
          <w:b/>
          <w:lang w:val="es-ES"/>
        </w:rPr>
        <w:t xml:space="preserve">Reglamento Interior del </w:t>
      </w:r>
      <w:r w:rsidRPr="00AF7A87">
        <w:rPr>
          <w:rFonts w:ascii="Palatino Linotype" w:eastAsia="Calibri" w:hAnsi="Palatino Linotype" w:cs="Arial"/>
          <w:b/>
          <w:lang w:val="es-ES"/>
        </w:rPr>
        <w:lastRenderedPageBreak/>
        <w:t>Instituto de Transparencia, Acceso a la Información Pública y Protección de Datos Personales del Estado de México y Municipios.</w:t>
      </w:r>
      <w:bookmarkStart w:id="121" w:name="_Toc521431830"/>
      <w:bookmarkStart w:id="122" w:name="_Toc27653760"/>
    </w:p>
    <w:p w14:paraId="2C8F23A2" w14:textId="2E5668E9" w:rsidR="00BF6B2E" w:rsidRPr="00AF7A87" w:rsidRDefault="00BF6B2E" w:rsidP="00BF6B2E">
      <w:pPr>
        <w:tabs>
          <w:tab w:val="left" w:pos="0"/>
        </w:tabs>
        <w:spacing w:line="360" w:lineRule="auto"/>
        <w:ind w:right="49"/>
        <w:jc w:val="both"/>
        <w:rPr>
          <w:rFonts w:ascii="Palatino Linotype" w:eastAsiaTheme="minorEastAsia" w:hAnsi="Palatino Linotype" w:cs="Arial"/>
          <w:i/>
          <w:color w:val="000000" w:themeColor="text1"/>
        </w:rPr>
      </w:pPr>
    </w:p>
    <w:p w14:paraId="55A49491" w14:textId="77777777" w:rsidR="00BF6B2E" w:rsidRPr="00AF7A87" w:rsidRDefault="00BF6B2E" w:rsidP="00BF6B2E">
      <w:pPr>
        <w:pStyle w:val="Ttulo2"/>
        <w:rPr>
          <w:rFonts w:ascii="Palatino Linotype" w:hAnsi="Palatino Linotype"/>
          <w:b/>
          <w:color w:val="auto"/>
          <w:sz w:val="24"/>
        </w:rPr>
      </w:pPr>
      <w:bookmarkStart w:id="123" w:name="_Toc491791304"/>
      <w:bookmarkStart w:id="124" w:name="_Toc34157666"/>
      <w:r w:rsidRPr="00AF7A87">
        <w:rPr>
          <w:rFonts w:ascii="Palatino Linotype" w:hAnsi="Palatino Linotype"/>
          <w:b/>
          <w:color w:val="auto"/>
          <w:sz w:val="24"/>
        </w:rPr>
        <w:t>SEGUNDO. De la oportunidad y procedencia.</w:t>
      </w:r>
      <w:bookmarkEnd w:id="123"/>
      <w:bookmarkEnd w:id="124"/>
    </w:p>
    <w:p w14:paraId="44038225" w14:textId="77777777" w:rsidR="00BF6B2E" w:rsidRPr="00AF7A87" w:rsidRDefault="00BF6B2E" w:rsidP="00BF6B2E">
      <w:pPr>
        <w:tabs>
          <w:tab w:val="left" w:pos="0"/>
        </w:tabs>
        <w:spacing w:line="360" w:lineRule="auto"/>
        <w:ind w:right="49"/>
        <w:jc w:val="both"/>
        <w:rPr>
          <w:rFonts w:ascii="Palatino Linotype" w:eastAsiaTheme="minorEastAsia" w:hAnsi="Palatino Linotype" w:cs="Arial"/>
          <w:i/>
          <w:color w:val="000000" w:themeColor="text1"/>
          <w:lang w:val="es-MX"/>
        </w:rPr>
      </w:pPr>
    </w:p>
    <w:p w14:paraId="775755C5" w14:textId="00353C9A" w:rsidR="00BF6B2E" w:rsidRPr="00AF7A87" w:rsidRDefault="00BF6B2E" w:rsidP="000757F4">
      <w:pPr>
        <w:pStyle w:val="Prrafodelista"/>
        <w:numPr>
          <w:ilvl w:val="0"/>
          <w:numId w:val="1"/>
        </w:numPr>
        <w:spacing w:before="240" w:after="240" w:line="360" w:lineRule="auto"/>
        <w:ind w:left="0" w:firstLine="0"/>
        <w:jc w:val="both"/>
      </w:pPr>
      <w:r w:rsidRPr="00AF7A87">
        <w:rPr>
          <w:rFonts w:ascii="Palatino Linotype" w:eastAsia="Calibri" w:hAnsi="Palatino Linotype" w:cs="Arial"/>
        </w:rPr>
        <w:t>El medio de impugnación fue presentado a través del Sistema de Acceso a la Información Mexiquense (SAIMEX)</w:t>
      </w:r>
      <w:r w:rsidRPr="00AF7A87">
        <w:rPr>
          <w:rFonts w:ascii="Palatino Linotype" w:eastAsia="Calibri" w:hAnsi="Palatino Linotype" w:cs="Arial"/>
          <w:b/>
        </w:rPr>
        <w:t>,</w:t>
      </w:r>
      <w:r w:rsidRPr="00AF7A87">
        <w:rPr>
          <w:rFonts w:ascii="Palatino Linotype" w:eastAsia="Calibri" w:hAnsi="Palatino Linotype" w:cs="Arial"/>
        </w:rPr>
        <w:t xml:space="preserve"> en el formato previamente aprobado y dentro del plazo legal de quince días hábiles otorgados para tal efecto; para el caso en particular es de señalar que el </w:t>
      </w:r>
      <w:r w:rsidRPr="00AF7A87">
        <w:rPr>
          <w:rFonts w:ascii="Palatino Linotype" w:eastAsia="Calibri" w:hAnsi="Palatino Linotype" w:cs="Arial"/>
          <w:b/>
        </w:rPr>
        <w:t>SUJETO OBLIGADO</w:t>
      </w:r>
      <w:r w:rsidRPr="00AF7A87">
        <w:rPr>
          <w:rFonts w:ascii="Palatino Linotype" w:eastAsia="Calibri" w:hAnsi="Palatino Linotype" w:cs="Arial"/>
        </w:rPr>
        <w:t xml:space="preserve"> entregó respuesta el día veinti</w:t>
      </w:r>
      <w:r w:rsidR="00903483" w:rsidRPr="00AF7A87">
        <w:rPr>
          <w:rFonts w:ascii="Palatino Linotype" w:eastAsia="Calibri" w:hAnsi="Palatino Linotype" w:cs="Arial"/>
        </w:rPr>
        <w:t xml:space="preserve">cinco </w:t>
      </w:r>
      <w:r w:rsidRPr="00AF7A87">
        <w:rPr>
          <w:rFonts w:ascii="Palatino Linotype" w:eastAsia="Calibri" w:hAnsi="Palatino Linotype" w:cs="Arial"/>
        </w:rPr>
        <w:t>(2</w:t>
      </w:r>
      <w:r w:rsidR="00903483" w:rsidRPr="00AF7A87">
        <w:rPr>
          <w:rFonts w:ascii="Palatino Linotype" w:eastAsia="Calibri" w:hAnsi="Palatino Linotype" w:cs="Arial"/>
        </w:rPr>
        <w:t>5</w:t>
      </w:r>
      <w:r w:rsidRPr="00AF7A87">
        <w:rPr>
          <w:rFonts w:ascii="Palatino Linotype" w:eastAsia="Calibri" w:hAnsi="Palatino Linotype" w:cs="Arial"/>
        </w:rPr>
        <w:t xml:space="preserve">) de noviembre </w:t>
      </w:r>
      <w:r w:rsidRPr="00AF7A87">
        <w:rPr>
          <w:rFonts w:ascii="Palatino Linotype" w:hAnsi="Palatino Linotype"/>
        </w:rPr>
        <w:t>de dos mil veinte</w:t>
      </w:r>
      <w:r w:rsidRPr="00AF7A87">
        <w:rPr>
          <w:rFonts w:ascii="Palatino Linotype" w:eastAsia="Calibri" w:hAnsi="Palatino Linotype" w:cs="Arial"/>
        </w:rPr>
        <w:t xml:space="preserve">, </w:t>
      </w:r>
      <w:r w:rsidRPr="00AF7A87">
        <w:rPr>
          <w:rFonts w:ascii="Palatino Linotype" w:hAnsi="Palatino Linotype" w:cs="Arial"/>
        </w:rPr>
        <w:t xml:space="preserve">de tal forma que el plazo para interponer el recurso de revisión transcurrió del día </w:t>
      </w:r>
      <w:r w:rsidR="00903483" w:rsidRPr="00AF7A87">
        <w:rPr>
          <w:rFonts w:ascii="Palatino Linotype" w:hAnsi="Palatino Linotype" w:cs="Arial"/>
        </w:rPr>
        <w:t xml:space="preserve">veintiséis (26) </w:t>
      </w:r>
      <w:r w:rsidRPr="00AF7A87">
        <w:rPr>
          <w:rFonts w:ascii="Palatino Linotype" w:hAnsi="Palatino Linotype"/>
        </w:rPr>
        <w:t xml:space="preserve">de noviembre de dos mil </w:t>
      </w:r>
      <w:r w:rsidRPr="00AF7A87">
        <w:rPr>
          <w:rFonts w:ascii="Palatino Linotype" w:hAnsi="Palatino Linotype" w:cs="Arial"/>
        </w:rPr>
        <w:t>veinte</w:t>
      </w:r>
      <w:r w:rsidR="00903483" w:rsidRPr="00AF7A87">
        <w:rPr>
          <w:rFonts w:ascii="Palatino Linotype" w:hAnsi="Palatino Linotype" w:cs="Arial"/>
        </w:rPr>
        <w:t xml:space="preserve"> al dieciséis (16) de diciembre de dos mil veinte</w:t>
      </w:r>
      <w:r w:rsidRPr="00AF7A87">
        <w:rPr>
          <w:rFonts w:ascii="Palatino Linotype" w:hAnsi="Palatino Linotype" w:cs="Arial"/>
        </w:rPr>
        <w:t>;</w:t>
      </w:r>
      <w:r w:rsidRPr="00AF7A87">
        <w:rPr>
          <w:rFonts w:ascii="Palatino Linotype" w:eastAsia="Calibri" w:hAnsi="Palatino Linotype" w:cs="Arial"/>
        </w:rPr>
        <w:t xml:space="preserve"> </w:t>
      </w:r>
      <w:r w:rsidRPr="00AF7A87">
        <w:rPr>
          <w:rFonts w:ascii="Palatino Linotype" w:hAnsi="Palatino Linotype" w:cs="Arial"/>
        </w:rPr>
        <w:t>por lo que si presentó su inconformidad el día</w:t>
      </w:r>
      <w:r w:rsidR="00903483" w:rsidRPr="00AF7A87">
        <w:rPr>
          <w:rFonts w:ascii="Palatino Linotype" w:hAnsi="Palatino Linotype" w:cs="Arial"/>
        </w:rPr>
        <w:t xml:space="preserve"> siete (07) </w:t>
      </w:r>
      <w:r w:rsidRPr="00AF7A87">
        <w:rPr>
          <w:rFonts w:ascii="Palatino Linotype" w:hAnsi="Palatino Linotype" w:cs="Arial"/>
        </w:rPr>
        <w:t xml:space="preserve">de diciembre de </w:t>
      </w:r>
      <w:r w:rsidRPr="00AF7A87">
        <w:rPr>
          <w:rFonts w:ascii="Palatino Linotype" w:hAnsi="Palatino Linotype"/>
        </w:rPr>
        <w:t>dos mil veinte</w:t>
      </w:r>
      <w:r w:rsidRPr="00AF7A87">
        <w:rPr>
          <w:rFonts w:ascii="Palatino Linotype" w:hAnsi="Palatino Linotype" w:cs="Arial"/>
        </w:rPr>
        <w:t>,</w:t>
      </w:r>
      <w:r w:rsidRPr="00AF7A87">
        <w:rPr>
          <w:rFonts w:ascii="Palatino Linotype" w:hAnsi="Palatino Linotype" w:cs="Arial"/>
          <w:color w:val="000000" w:themeColor="text1"/>
        </w:rPr>
        <w:t xml:space="preserve"> éste se encuentra dentro de los márgenes temporales previstos en el artículo 178 de la </w:t>
      </w:r>
      <w:r w:rsidRPr="00AF7A87">
        <w:rPr>
          <w:rFonts w:ascii="Palatino Linotype" w:hAnsi="Palatino Linotype" w:cs="Arial"/>
          <w:b/>
          <w:color w:val="000000" w:themeColor="text1"/>
        </w:rPr>
        <w:t>Ley de Transparencia y Acceso a la Información Pública del Estado de México y Municipios.</w:t>
      </w:r>
    </w:p>
    <w:p w14:paraId="6C826498" w14:textId="77777777" w:rsidR="00BF6B2E" w:rsidRPr="00AF7A87" w:rsidRDefault="00BF6B2E" w:rsidP="00BF6B2E">
      <w:pPr>
        <w:pStyle w:val="Prrafodelista"/>
        <w:spacing w:line="360" w:lineRule="auto"/>
        <w:ind w:left="0"/>
        <w:jc w:val="both"/>
        <w:rPr>
          <w:rFonts w:ascii="Palatino Linotype" w:hAnsi="Palatino Linotype"/>
          <w:lang w:val="es-US"/>
        </w:rPr>
      </w:pPr>
    </w:p>
    <w:p w14:paraId="6CE7DA35" w14:textId="77777777" w:rsidR="00BF6B2E" w:rsidRPr="00AF7A87" w:rsidRDefault="00BF6B2E" w:rsidP="000757F4">
      <w:pPr>
        <w:pStyle w:val="Prrafodelista"/>
        <w:numPr>
          <w:ilvl w:val="0"/>
          <w:numId w:val="1"/>
        </w:numPr>
        <w:spacing w:line="360" w:lineRule="auto"/>
        <w:ind w:left="0" w:firstLine="0"/>
        <w:jc w:val="both"/>
        <w:rPr>
          <w:rFonts w:ascii="Palatino Linotype" w:hAnsi="Palatino Linotype"/>
        </w:rPr>
      </w:pPr>
      <w:r w:rsidRPr="00AF7A87">
        <w:rPr>
          <w:rFonts w:ascii="Palatino Linotype" w:eastAsia="Calibri" w:hAnsi="Palatino Linotype" w:cs="Arial"/>
        </w:rPr>
        <w:t>Asimismo, el escrito contiene las formalidades previstas por el artículo 180 último párrafo de la Ley de la materia actual, por lo que es procedente que este Instituto de Transparencia, Acceso a la Información Pública y Protección de Datos Personales del Estado de México y Municipios, conozca y resuelva el presente recurso.</w:t>
      </w:r>
      <w:bookmarkEnd w:id="121"/>
      <w:bookmarkEnd w:id="122"/>
    </w:p>
    <w:p w14:paraId="15AB051D" w14:textId="45607FD2" w:rsidR="00BF6B2E" w:rsidRPr="00AF7A87" w:rsidRDefault="00BF6B2E" w:rsidP="00BF6B2E">
      <w:pPr>
        <w:pStyle w:val="Prrafodelista"/>
        <w:rPr>
          <w:rFonts w:ascii="Palatino Linotype" w:eastAsia="Calibri" w:hAnsi="Palatino Linotype" w:cs="Arial"/>
          <w:color w:val="000000" w:themeColor="text1"/>
          <w:lang w:val="es-MX" w:eastAsia="en-US"/>
        </w:rPr>
      </w:pPr>
    </w:p>
    <w:p w14:paraId="24D1BEA6" w14:textId="77777777" w:rsidR="00BF6B2E" w:rsidRPr="00AF7A87" w:rsidRDefault="00BF6B2E" w:rsidP="00BF6B2E">
      <w:pPr>
        <w:pStyle w:val="Ttulo1"/>
        <w:spacing w:line="360" w:lineRule="auto"/>
        <w:rPr>
          <w:b/>
          <w:color w:val="000000" w:themeColor="text1"/>
          <w:szCs w:val="24"/>
        </w:rPr>
      </w:pPr>
      <w:bookmarkStart w:id="125" w:name="_Toc34157667"/>
      <w:r w:rsidRPr="00AF7A87">
        <w:rPr>
          <w:b/>
          <w:color w:val="000000" w:themeColor="text1"/>
          <w:szCs w:val="24"/>
        </w:rPr>
        <w:t xml:space="preserve">TERCERO. </w:t>
      </w:r>
      <w:bookmarkStart w:id="126" w:name="_Toc501021589"/>
      <w:r w:rsidRPr="00AF7A87">
        <w:rPr>
          <w:b/>
          <w:color w:val="000000" w:themeColor="text1"/>
          <w:szCs w:val="24"/>
        </w:rPr>
        <w:t xml:space="preserve">Del planteamiento de la </w:t>
      </w:r>
      <w:r w:rsidRPr="00AF7A87">
        <w:rPr>
          <w:b/>
          <w:i/>
          <w:color w:val="000000" w:themeColor="text1"/>
          <w:szCs w:val="24"/>
        </w:rPr>
        <w:t>Litis</w:t>
      </w:r>
      <w:r w:rsidRPr="00AF7A87">
        <w:rPr>
          <w:b/>
          <w:color w:val="000000" w:themeColor="text1"/>
          <w:szCs w:val="24"/>
        </w:rPr>
        <w:t>.</w:t>
      </w:r>
      <w:bookmarkEnd w:id="125"/>
      <w:bookmarkEnd w:id="126"/>
    </w:p>
    <w:p w14:paraId="372F18A8" w14:textId="77777777" w:rsidR="00BF6B2E" w:rsidRPr="00AF7A87" w:rsidRDefault="00BF6B2E" w:rsidP="00BF6B2E">
      <w:pPr>
        <w:pStyle w:val="Prrafodelista"/>
        <w:rPr>
          <w:rFonts w:ascii="Palatino Linotype" w:eastAsia="Calibri" w:hAnsi="Palatino Linotype" w:cs="Arial"/>
          <w:color w:val="000000" w:themeColor="text1"/>
          <w:lang w:val="es-MX" w:eastAsia="en-US"/>
        </w:rPr>
      </w:pPr>
    </w:p>
    <w:p w14:paraId="0BC79FBA" w14:textId="6D56E89D" w:rsidR="002D71A4" w:rsidRPr="00AF7A87" w:rsidRDefault="009710C1" w:rsidP="000757F4">
      <w:pPr>
        <w:pStyle w:val="Prrafodelista"/>
        <w:numPr>
          <w:ilvl w:val="0"/>
          <w:numId w:val="1"/>
        </w:numPr>
        <w:spacing w:line="360" w:lineRule="auto"/>
        <w:ind w:left="0" w:firstLine="0"/>
        <w:jc w:val="both"/>
        <w:rPr>
          <w:rFonts w:ascii="Palatino Linotype" w:hAnsi="Palatino Linotype"/>
          <w:i/>
          <w:color w:val="000000"/>
        </w:rPr>
      </w:pPr>
      <w:r w:rsidRPr="00AF7A87">
        <w:rPr>
          <w:rFonts w:ascii="Palatino Linotype" w:eastAsia="Calibri" w:hAnsi="Palatino Linotype" w:cs="Arial"/>
          <w:color w:val="000000" w:themeColor="text1"/>
          <w:lang w:val="es-MX" w:eastAsia="en-US"/>
        </w:rPr>
        <w:t>De las constancias que obran en el expediente del recurso de revisión, es de señalar que e</w:t>
      </w:r>
      <w:r w:rsidRPr="00AF7A87">
        <w:rPr>
          <w:rFonts w:ascii="Palatino Linotype" w:hAnsi="Palatino Linotype" w:cs="Arial"/>
          <w:color w:val="000000" w:themeColor="text1"/>
        </w:rPr>
        <w:t xml:space="preserve">l ahora recurrente, solicitó del </w:t>
      </w:r>
      <w:r w:rsidRPr="00AF7A87">
        <w:rPr>
          <w:rFonts w:ascii="Palatino Linotype" w:hAnsi="Palatino Linotype" w:cs="Arial"/>
          <w:b/>
          <w:color w:val="000000" w:themeColor="text1"/>
        </w:rPr>
        <w:t>SUJETO OBLIGADO</w:t>
      </w:r>
      <w:r w:rsidRPr="00AF7A87">
        <w:rPr>
          <w:rFonts w:ascii="Palatino Linotype" w:hAnsi="Palatino Linotype" w:cs="Arial"/>
          <w:color w:val="000000" w:themeColor="text1"/>
        </w:rPr>
        <w:t xml:space="preserve"> </w:t>
      </w:r>
      <w:r w:rsidR="002D71A4" w:rsidRPr="00AF7A87">
        <w:rPr>
          <w:rFonts w:ascii="Palatino Linotype" w:hAnsi="Palatino Linotype"/>
          <w:color w:val="000000"/>
        </w:rPr>
        <w:t>las versiones públicas de las sentencias dictadas por la Novena Sala Regional Especializada, dentro de los procedimientos de responsabilidad administrativa relativos a faltas graves, seguidos bajos los siguientes expedientes: a) 13/2018; b) 21/2018; c) 4/2019; d) 8/2019; e) 21/2019; y f) 24/2019 y de la sentencia dictada por la Octava Sala Regional Especializada, dentro del procedimiento de responsabilidad administrativa relativo a faltas graves, seguido bajo el expediente 25/2019</w:t>
      </w:r>
      <w:r w:rsidR="002D71A4" w:rsidRPr="00AF7A87">
        <w:rPr>
          <w:rFonts w:ascii="Palatino Linotype" w:hAnsi="Palatino Linotype"/>
          <w:i/>
          <w:color w:val="000000"/>
        </w:rPr>
        <w:t>.</w:t>
      </w:r>
    </w:p>
    <w:p w14:paraId="3D3A9735" w14:textId="77777777" w:rsidR="002D71A4" w:rsidRPr="00AF7A87" w:rsidRDefault="002D71A4" w:rsidP="00BF6B2E">
      <w:pPr>
        <w:pStyle w:val="Prrafodelista"/>
        <w:spacing w:line="360" w:lineRule="auto"/>
        <w:ind w:left="0"/>
        <w:jc w:val="both"/>
        <w:rPr>
          <w:rFonts w:ascii="Palatino Linotype" w:hAnsi="Palatino Linotype"/>
        </w:rPr>
      </w:pPr>
    </w:p>
    <w:p w14:paraId="08675FE4" w14:textId="3A4BABA4" w:rsidR="00BF6B2E" w:rsidRPr="00AF7A87" w:rsidRDefault="009710C1" w:rsidP="000757F4">
      <w:pPr>
        <w:pStyle w:val="Prrafodelista"/>
        <w:numPr>
          <w:ilvl w:val="0"/>
          <w:numId w:val="1"/>
        </w:numPr>
        <w:spacing w:line="360" w:lineRule="auto"/>
        <w:ind w:left="0" w:firstLine="0"/>
        <w:jc w:val="both"/>
        <w:rPr>
          <w:rFonts w:ascii="Palatino Linotype" w:hAnsi="Palatino Linotype"/>
        </w:rPr>
      </w:pPr>
      <w:r w:rsidRPr="00AF7A87">
        <w:rPr>
          <w:rFonts w:ascii="Palatino Linotype" w:hAnsi="Palatino Linotype"/>
          <w:color w:val="000000"/>
        </w:rPr>
        <w:t xml:space="preserve">Derivado de dicha solicitud, el </w:t>
      </w:r>
      <w:r w:rsidRPr="00AF7A87">
        <w:rPr>
          <w:rFonts w:ascii="Palatino Linotype" w:hAnsi="Palatino Linotype"/>
          <w:b/>
          <w:color w:val="000000"/>
        </w:rPr>
        <w:t>SUJETO OBLIGADO</w:t>
      </w:r>
      <w:r w:rsidRPr="00AF7A87">
        <w:rPr>
          <w:rFonts w:ascii="Palatino Linotype" w:hAnsi="Palatino Linotype"/>
          <w:color w:val="000000"/>
        </w:rPr>
        <w:t xml:space="preserve"> hizo del conocimiento del hoy </w:t>
      </w:r>
      <w:r w:rsidRPr="00AF7A87">
        <w:rPr>
          <w:rFonts w:ascii="Palatino Linotype" w:hAnsi="Palatino Linotype"/>
          <w:b/>
          <w:color w:val="000000"/>
        </w:rPr>
        <w:t>RECURRENTE</w:t>
      </w:r>
      <w:r w:rsidRPr="00AF7A87">
        <w:rPr>
          <w:rFonts w:ascii="Palatino Linotype" w:hAnsi="Palatino Linotype" w:cs="Arial"/>
          <w:i/>
          <w:color w:val="000000" w:themeColor="text1"/>
        </w:rPr>
        <w:t xml:space="preserve"> </w:t>
      </w:r>
      <w:r w:rsidRPr="00AF7A87">
        <w:rPr>
          <w:rFonts w:ascii="Palatino Linotype" w:hAnsi="Palatino Linotype"/>
          <w:color w:val="000000"/>
        </w:rPr>
        <w:t xml:space="preserve">las respuestas de </w:t>
      </w:r>
      <w:r w:rsidRPr="00AF7A87">
        <w:rPr>
          <w:rFonts w:ascii="Palatino Linotype" w:hAnsi="Palatino Linotype" w:cs="Arial"/>
          <w:lang w:val="es-ES"/>
        </w:rPr>
        <w:t>los Servidores Públicos Habilitados</w:t>
      </w:r>
      <w:r w:rsidRPr="00AF7A87">
        <w:rPr>
          <w:rFonts w:ascii="Palatino Linotype" w:hAnsi="Palatino Linotype"/>
          <w:color w:val="000000"/>
        </w:rPr>
        <w:t xml:space="preserve"> de </w:t>
      </w:r>
      <w:r w:rsidR="002D71A4" w:rsidRPr="00AF7A87">
        <w:rPr>
          <w:rFonts w:ascii="Palatino Linotype" w:hAnsi="Palatino Linotype"/>
          <w:color w:val="000000"/>
        </w:rPr>
        <w:t xml:space="preserve">Octava y Novena </w:t>
      </w:r>
      <w:r w:rsidRPr="00AF7A87">
        <w:rPr>
          <w:rFonts w:ascii="Palatino Linotype" w:hAnsi="Palatino Linotype"/>
          <w:bCs/>
        </w:rPr>
        <w:t>Sala, ambas Especializadas en Materia de Responsabilidades Administrativas.</w:t>
      </w:r>
    </w:p>
    <w:p w14:paraId="00D666B4" w14:textId="77777777" w:rsidR="00BF6B2E" w:rsidRPr="00AF7A87" w:rsidRDefault="00BF6B2E" w:rsidP="00BF6B2E">
      <w:pPr>
        <w:pStyle w:val="Prrafodelista"/>
        <w:rPr>
          <w:rFonts w:ascii="Palatino Linotype" w:eastAsia="MS Mincho" w:hAnsi="Palatino Linotype"/>
        </w:rPr>
      </w:pPr>
    </w:p>
    <w:p w14:paraId="52073F8E" w14:textId="2E71EB1F" w:rsidR="00556260" w:rsidRPr="00AF7A87" w:rsidRDefault="009710C1" w:rsidP="000757F4">
      <w:pPr>
        <w:pStyle w:val="Prrafodelista"/>
        <w:numPr>
          <w:ilvl w:val="0"/>
          <w:numId w:val="1"/>
        </w:numPr>
        <w:tabs>
          <w:tab w:val="left" w:pos="0"/>
        </w:tabs>
        <w:spacing w:before="240" w:after="240" w:line="360" w:lineRule="auto"/>
        <w:ind w:left="0" w:firstLine="0"/>
        <w:jc w:val="both"/>
        <w:rPr>
          <w:rFonts w:ascii="Palatino Linotype" w:hAnsi="Palatino Linotype"/>
        </w:rPr>
      </w:pPr>
      <w:r w:rsidRPr="00AF7A87">
        <w:rPr>
          <w:rFonts w:ascii="Palatino Linotype" w:eastAsia="MS Mincho" w:hAnsi="Palatino Linotype"/>
        </w:rPr>
        <w:t xml:space="preserve">Derivado de la respuesta proporcionada por el </w:t>
      </w:r>
      <w:r w:rsidRPr="00AF7A87">
        <w:rPr>
          <w:rFonts w:ascii="Palatino Linotype" w:eastAsia="MS Mincho" w:hAnsi="Palatino Linotype"/>
          <w:b/>
        </w:rPr>
        <w:t>SUJETO OBLIGADO</w:t>
      </w:r>
      <w:r w:rsidRPr="00AF7A87">
        <w:rPr>
          <w:rFonts w:ascii="Palatino Linotype" w:eastAsia="MS Mincho" w:hAnsi="Palatino Linotype"/>
        </w:rPr>
        <w:t xml:space="preserve">, el hoy </w:t>
      </w:r>
      <w:r w:rsidRPr="00AF7A87">
        <w:rPr>
          <w:rFonts w:ascii="Palatino Linotype" w:eastAsia="MS Mincho" w:hAnsi="Palatino Linotype"/>
          <w:b/>
        </w:rPr>
        <w:t>RECURRENTE</w:t>
      </w:r>
      <w:r w:rsidRPr="00AF7A87">
        <w:rPr>
          <w:rFonts w:ascii="Palatino Linotype" w:eastAsia="MS Mincho" w:hAnsi="Palatino Linotype"/>
        </w:rPr>
        <w:t xml:space="preserve"> expresó como  motivo de inconformidad en términos generales que </w:t>
      </w:r>
      <w:r w:rsidR="002D71A4" w:rsidRPr="00AF7A87">
        <w:rPr>
          <w:rFonts w:ascii="Palatino Linotype" w:hAnsi="Palatino Linotype"/>
          <w:color w:val="000000"/>
        </w:rPr>
        <w:t xml:space="preserve">las versiones públicas de las sentencias dictadas por la Novena Sala Regional Especializada del Tribunal de Justicia Administrativa del Estado de México, respecto a los procedimientos de responsabilidad administrativa relativos a faltas </w:t>
      </w:r>
      <w:r w:rsidR="002D71A4" w:rsidRPr="00AF7A87">
        <w:rPr>
          <w:rFonts w:ascii="Palatino Linotype" w:hAnsi="Palatino Linotype"/>
          <w:color w:val="000000"/>
        </w:rPr>
        <w:lastRenderedPageBreak/>
        <w:t>graves, seguidos bajos los expedientes números: A) 4/2019 y B) 21/2019 no se encuentran disponibles en el portal de sentencias.</w:t>
      </w:r>
    </w:p>
    <w:p w14:paraId="7B1DFF07" w14:textId="77777777" w:rsidR="00556260" w:rsidRPr="00AF7A87" w:rsidRDefault="00556260" w:rsidP="000757F4">
      <w:pPr>
        <w:numPr>
          <w:ilvl w:val="0"/>
          <w:numId w:val="1"/>
        </w:numPr>
        <w:tabs>
          <w:tab w:val="left" w:pos="0"/>
        </w:tabs>
        <w:spacing w:before="240" w:after="240" w:line="360" w:lineRule="auto"/>
        <w:ind w:left="0" w:right="-142" w:firstLine="0"/>
        <w:contextualSpacing/>
        <w:jc w:val="both"/>
        <w:rPr>
          <w:rFonts w:ascii="Palatino Linotype" w:eastAsiaTheme="minorEastAsia" w:hAnsi="Palatino Linotype"/>
          <w:i/>
          <w:lang w:val="es-ES_tradnl" w:eastAsia="es-ES"/>
        </w:rPr>
      </w:pPr>
      <w:r w:rsidRPr="00AF7A87">
        <w:rPr>
          <w:rFonts w:ascii="Palatino Linotype" w:eastAsia="MS Mincho" w:hAnsi="Palatino Linotype"/>
          <w:lang w:val="es-ES_tradnl" w:eastAsia="es-ES"/>
        </w:rPr>
        <w:t>Es necesario también precisar que el Sujeto Obligado fue omiso en rendir su informe justificado en el término de los siete días hábiles otorgados, ante este Órgano Garante para manifestar lo que a derecho le asistiera y conviniera; asimismo dejó de justificar las razones o motivos que lo llevaron a no emitir la respuesta que ahora se impugna, generando con esta omisión el perjuicio en su contra ya que impide que esta Autoridad conozca y resuelva el presente recurso con mayor cautela si consideramos lo que al respecto ha señalado la autoridad jurisdiccional al emitir el siguiente criterio:</w:t>
      </w:r>
    </w:p>
    <w:p w14:paraId="48CDA495" w14:textId="77777777" w:rsidR="00556260" w:rsidRPr="00AF7A87" w:rsidRDefault="00556260" w:rsidP="00556260">
      <w:pPr>
        <w:tabs>
          <w:tab w:val="left" w:pos="0"/>
        </w:tabs>
        <w:spacing w:before="240" w:after="240" w:line="360" w:lineRule="auto"/>
        <w:ind w:right="49"/>
        <w:contextualSpacing/>
        <w:jc w:val="both"/>
        <w:rPr>
          <w:rFonts w:ascii="Palatino Linotype" w:eastAsia="MS Mincho" w:hAnsi="Palatino Linotype"/>
          <w:i/>
          <w:lang w:val="es-ES_tradnl" w:eastAsia="es-ES"/>
        </w:rPr>
      </w:pPr>
    </w:p>
    <w:p w14:paraId="142FB77B" w14:textId="77777777" w:rsidR="00556260" w:rsidRPr="00AF7A87" w:rsidRDefault="00556260" w:rsidP="00556260">
      <w:pPr>
        <w:tabs>
          <w:tab w:val="left" w:pos="851"/>
        </w:tabs>
        <w:spacing w:before="240" w:after="240" w:line="360" w:lineRule="auto"/>
        <w:ind w:left="567" w:right="567"/>
        <w:contextualSpacing/>
        <w:jc w:val="both"/>
        <w:rPr>
          <w:rFonts w:ascii="Palatino Linotype" w:eastAsia="MS Mincho" w:hAnsi="Palatino Linotype"/>
          <w:i/>
          <w:lang w:val="es-ES_tradnl" w:eastAsia="es-ES"/>
        </w:rPr>
      </w:pPr>
      <w:r w:rsidRPr="00AF7A87">
        <w:rPr>
          <w:rFonts w:ascii="Palatino Linotype" w:eastAsia="MS Mincho" w:hAnsi="Palatino Linotype"/>
          <w:b/>
          <w:i/>
          <w:lang w:val="es-ES_tradnl" w:eastAsia="es-ES"/>
        </w:rPr>
        <w:t>QUEJA, RECURSO DE. LA OMISION DE RENDIR EL INFORME RESPECTIVO NO IMPIDE QUE SE RESUELVA</w:t>
      </w:r>
      <w:r w:rsidRPr="00AF7A87">
        <w:rPr>
          <w:rFonts w:ascii="Palatino Linotype" w:eastAsia="MS Mincho" w:hAnsi="Palatino Linotype"/>
          <w:i/>
          <w:lang w:val="es-ES_tradnl" w:eastAsia="es-ES"/>
        </w:rPr>
        <w:t xml:space="preserve">. El artículo 98 de la Ley de Amparo prevé la posibilidad de que las autoridades responsables omitan rendir el informe con justificación respecto de los actos materia de la queja y dispone que, en tales casos, la resolución correspondiente se dicte, con informe o sin él, dentro del término de los tres días siguientes a la vista que se dé al Ministerio Público. Lo dispuesto en el citado precepto legal, obliga a concluir que la falta de informe justificado de alguna autoridad responsable durante la tramitación del recurso de queja no es obstáculo para que se resuelva, y denota, asimismo, que la rendición del informe no constituye una formalidad esencial del procedimiento; de aceptar lo contrario, la resolución del recurso quedaría subordinada </w:t>
      </w:r>
      <w:r w:rsidRPr="00AF7A87">
        <w:rPr>
          <w:rFonts w:ascii="Palatino Linotype" w:eastAsia="MS Mincho" w:hAnsi="Palatino Linotype"/>
          <w:i/>
          <w:lang w:val="es-ES_tradnl" w:eastAsia="es-ES"/>
        </w:rPr>
        <w:lastRenderedPageBreak/>
        <w:t xml:space="preserve">indefinidamente a la voluntad de las autoridades responsables en la queja, por ser claro que en tal supuesto, mientras ellas no rindieran el informe justificado, tampoco podría decidirse el recurso de queja. [TA] 2a. XXII/96. Segunda Sala. Novena Época, Semanario Judicial de la Federación y su Gaceta, Tomo III, </w:t>
      </w:r>
      <w:proofErr w:type="gramStart"/>
      <w:r w:rsidRPr="00AF7A87">
        <w:rPr>
          <w:rFonts w:ascii="Palatino Linotype" w:eastAsia="MS Mincho" w:hAnsi="Palatino Linotype"/>
          <w:i/>
          <w:lang w:val="es-ES_tradnl" w:eastAsia="es-ES"/>
        </w:rPr>
        <w:t>Abril</w:t>
      </w:r>
      <w:proofErr w:type="gramEnd"/>
      <w:r w:rsidRPr="00AF7A87">
        <w:rPr>
          <w:rFonts w:ascii="Palatino Linotype" w:eastAsia="MS Mincho" w:hAnsi="Palatino Linotype"/>
          <w:i/>
          <w:lang w:val="es-ES_tradnl" w:eastAsia="es-ES"/>
        </w:rPr>
        <w:t xml:space="preserve"> de 1996. Página: 207.  </w:t>
      </w:r>
    </w:p>
    <w:p w14:paraId="059EAAE0" w14:textId="77777777" w:rsidR="00556260" w:rsidRPr="00AF7A87" w:rsidRDefault="00556260" w:rsidP="00556260">
      <w:pPr>
        <w:tabs>
          <w:tab w:val="left" w:pos="0"/>
        </w:tabs>
        <w:spacing w:before="240" w:after="240" w:line="360" w:lineRule="auto"/>
        <w:ind w:right="49"/>
        <w:contextualSpacing/>
        <w:jc w:val="both"/>
        <w:rPr>
          <w:rFonts w:ascii="Palatino Linotype" w:eastAsia="MS Mincho" w:hAnsi="Palatino Linotype"/>
          <w:i/>
          <w:lang w:val="es-ES_tradnl" w:eastAsia="es-ES"/>
        </w:rPr>
      </w:pPr>
    </w:p>
    <w:p w14:paraId="65B1245F" w14:textId="6B49C581" w:rsidR="00BF6B2E" w:rsidRPr="00AF7A87" w:rsidRDefault="00556260" w:rsidP="000757F4">
      <w:pPr>
        <w:numPr>
          <w:ilvl w:val="0"/>
          <w:numId w:val="1"/>
        </w:numPr>
        <w:tabs>
          <w:tab w:val="left" w:pos="0"/>
        </w:tabs>
        <w:spacing w:before="240" w:after="240" w:line="360" w:lineRule="auto"/>
        <w:ind w:left="0" w:right="49" w:firstLine="0"/>
        <w:contextualSpacing/>
        <w:jc w:val="both"/>
        <w:rPr>
          <w:rFonts w:ascii="Palatino Linotype" w:eastAsia="MS Mincho" w:hAnsi="Palatino Linotype"/>
          <w:i/>
          <w:lang w:val="es-ES_tradnl" w:eastAsia="es-ES"/>
        </w:rPr>
      </w:pPr>
      <w:r w:rsidRPr="00AF7A87">
        <w:rPr>
          <w:rFonts w:ascii="Palatino Linotype" w:eastAsia="MS Mincho" w:hAnsi="Palatino Linotype"/>
          <w:lang w:val="es-ES_tradnl" w:eastAsia="es-ES"/>
        </w:rPr>
        <w:t xml:space="preserve">Por lo cual se reitera, que la falta de informe justificado no impide que este Órgano Garante conozca y resuelva el recurso de revisión, solo propicia que el </w:t>
      </w:r>
      <w:r w:rsidRPr="00AF7A87">
        <w:rPr>
          <w:rFonts w:ascii="Palatino Linotype" w:eastAsia="MS Mincho" w:hAnsi="Palatino Linotype"/>
          <w:b/>
          <w:lang w:val="es-ES_tradnl" w:eastAsia="es-ES"/>
        </w:rPr>
        <w:t>SUJETO OBLIGADO</w:t>
      </w:r>
      <w:r w:rsidRPr="00AF7A87">
        <w:rPr>
          <w:rFonts w:ascii="Palatino Linotype" w:eastAsia="MS Mincho" w:hAnsi="Palatino Linotype"/>
          <w:lang w:val="es-ES_tradnl" w:eastAsia="es-ES"/>
        </w:rPr>
        <w:t xml:space="preserve"> pierda la oportunidad de justificar su falta de respuesta y manifestar lo que a su derecho convenga.</w:t>
      </w:r>
    </w:p>
    <w:p w14:paraId="75AFEAF7" w14:textId="573551ED" w:rsidR="00BF6B2E" w:rsidRPr="00AF7A87" w:rsidRDefault="009710C1" w:rsidP="000757F4">
      <w:pPr>
        <w:pStyle w:val="Prrafodelista"/>
        <w:numPr>
          <w:ilvl w:val="0"/>
          <w:numId w:val="1"/>
        </w:numPr>
        <w:spacing w:line="360" w:lineRule="auto"/>
        <w:ind w:left="0" w:firstLine="0"/>
        <w:jc w:val="both"/>
        <w:rPr>
          <w:rFonts w:ascii="Palatino Linotype" w:hAnsi="Palatino Linotype"/>
        </w:rPr>
      </w:pPr>
      <w:r w:rsidRPr="00AF7A87">
        <w:rPr>
          <w:rFonts w:ascii="Palatino Linotype" w:eastAsia="Calibri" w:hAnsi="Palatino Linotype" w:cs="Arial"/>
        </w:rPr>
        <w:t xml:space="preserve">En </w:t>
      </w:r>
      <w:r w:rsidRPr="00AF7A87">
        <w:rPr>
          <w:rFonts w:ascii="Palatino Linotype" w:eastAsia="MS Mincho" w:hAnsi="Palatino Linotype"/>
        </w:rPr>
        <w:t xml:space="preserve">consecuencia, el estudio de la presente resolución versará respecto del contenido de la respuesta, mediante la cual </w:t>
      </w:r>
      <w:proofErr w:type="spellStart"/>
      <w:r w:rsidRPr="00AF7A87">
        <w:rPr>
          <w:rFonts w:ascii="Palatino Linotype" w:eastAsia="MS Mincho" w:hAnsi="Palatino Linotype"/>
        </w:rPr>
        <w:t>prentende</w:t>
      </w:r>
      <w:proofErr w:type="spellEnd"/>
      <w:r w:rsidRPr="00AF7A87">
        <w:rPr>
          <w:rFonts w:ascii="Palatino Linotype" w:eastAsia="MS Mincho" w:hAnsi="Palatino Linotype"/>
        </w:rPr>
        <w:t xml:space="preserve"> dar respuesta el </w:t>
      </w:r>
      <w:r w:rsidRPr="00AF7A87">
        <w:rPr>
          <w:rFonts w:ascii="Palatino Linotype" w:eastAsia="MS Mincho" w:hAnsi="Palatino Linotype"/>
          <w:b/>
        </w:rPr>
        <w:t>SUJETO OBLIGADO,</w:t>
      </w:r>
      <w:r w:rsidRPr="00AF7A87">
        <w:rPr>
          <w:rFonts w:ascii="Palatino Linotype" w:eastAsia="MS Mincho" w:hAnsi="Palatino Linotype"/>
        </w:rPr>
        <w:t xml:space="preserve"> </w:t>
      </w:r>
      <w:r w:rsidR="00414FA3" w:rsidRPr="00AF7A87">
        <w:rPr>
          <w:rFonts w:ascii="Palatino Linotype" w:hAnsi="Palatino Linotype" w:cs="Arial"/>
        </w:rPr>
        <w:t>p</w:t>
      </w:r>
      <w:r w:rsidRPr="00AF7A87">
        <w:rPr>
          <w:rFonts w:ascii="Palatino Linotype" w:hAnsi="Palatino Linotype" w:cs="Arial"/>
        </w:rPr>
        <w:t xml:space="preserve">or lo anterior, el presente recurso de revisión se circunscribe en determinar si se </w:t>
      </w:r>
      <w:r w:rsidRPr="00AF7A87">
        <w:rPr>
          <w:rFonts w:ascii="Palatino Linotype" w:hAnsi="Palatino Linotype"/>
        </w:rPr>
        <w:t xml:space="preserve">actualizan las hipótesis </w:t>
      </w:r>
      <w:r w:rsidRPr="00AF7A87">
        <w:rPr>
          <w:rFonts w:ascii="Palatino Linotype" w:hAnsi="Palatino Linotype" w:cs="Arial"/>
          <w:lang w:eastAsia="es-MX"/>
        </w:rPr>
        <w:t xml:space="preserve">contenidas en </w:t>
      </w:r>
      <w:r w:rsidRPr="00AF7A87">
        <w:rPr>
          <w:rFonts w:ascii="Palatino Linotype" w:hAnsi="Palatino Linotype" w:cs="Arial"/>
          <w:lang w:val="es-ES" w:eastAsia="es-MX"/>
        </w:rPr>
        <w:t xml:space="preserve">el artículo 179 fracción </w:t>
      </w:r>
      <w:r w:rsidRPr="00AF7A87">
        <w:rPr>
          <w:rFonts w:ascii="Palatino Linotype" w:hAnsi="Palatino Linotype" w:cs="Arial"/>
          <w:b/>
          <w:lang w:val="es-ES" w:eastAsia="es-MX"/>
        </w:rPr>
        <w:t xml:space="preserve">I y VI </w:t>
      </w:r>
      <w:r w:rsidRPr="00AF7A87">
        <w:rPr>
          <w:rFonts w:ascii="Palatino Linotype" w:hAnsi="Palatino Linotype" w:cs="Arial"/>
          <w:lang w:val="es-ES" w:eastAsia="es-MX"/>
        </w:rPr>
        <w:t xml:space="preserve">de la </w:t>
      </w:r>
      <w:r w:rsidRPr="00AF7A87">
        <w:rPr>
          <w:rFonts w:ascii="Palatino Linotype" w:eastAsia="Calibri" w:hAnsi="Palatino Linotype" w:cs="Arial"/>
          <w:b/>
          <w:lang w:val="es-ES"/>
        </w:rPr>
        <w:t>Ley de Transparencia y Acceso a la Información Pública del Estado de México y Municipios</w:t>
      </w:r>
      <w:r w:rsidRPr="00AF7A87">
        <w:rPr>
          <w:rFonts w:ascii="Palatino Linotype" w:hAnsi="Palatino Linotype" w:cs="Arial"/>
          <w:lang w:val="es-ES" w:eastAsia="es-MX"/>
        </w:rPr>
        <w:t xml:space="preserve">. </w:t>
      </w:r>
    </w:p>
    <w:p w14:paraId="78D60987" w14:textId="262EC20F" w:rsidR="00BF6B2E" w:rsidRPr="00AF7A87" w:rsidRDefault="00BF6B2E" w:rsidP="00BF6B2E">
      <w:pPr>
        <w:pStyle w:val="Prrafodelista"/>
        <w:rPr>
          <w:rFonts w:ascii="Palatino Linotype" w:eastAsia="Calibri" w:hAnsi="Palatino Linotype" w:cs="Arial"/>
          <w:color w:val="000000" w:themeColor="text1"/>
          <w:lang w:val="es-MX" w:eastAsia="en-US"/>
        </w:rPr>
      </w:pPr>
    </w:p>
    <w:p w14:paraId="5B1991CD" w14:textId="0BA9A458" w:rsidR="00BF6B2E" w:rsidRPr="00AF7A87" w:rsidRDefault="00BF6B2E" w:rsidP="00BF6B2E">
      <w:pPr>
        <w:spacing w:before="240" w:after="240" w:line="360" w:lineRule="auto"/>
        <w:contextualSpacing/>
        <w:jc w:val="both"/>
        <w:rPr>
          <w:rFonts w:ascii="Palatino Linotype" w:hAnsi="Palatino Linotype"/>
          <w:b/>
          <w:color w:val="000000" w:themeColor="text1"/>
        </w:rPr>
      </w:pPr>
      <w:r w:rsidRPr="00AF7A87">
        <w:rPr>
          <w:rFonts w:ascii="Palatino Linotype" w:hAnsi="Palatino Linotype"/>
          <w:b/>
          <w:color w:val="000000" w:themeColor="text1"/>
        </w:rPr>
        <w:t>CUARTO. Del estudio y resolución del asunto</w:t>
      </w:r>
    </w:p>
    <w:p w14:paraId="2BC2A147" w14:textId="77777777" w:rsidR="00A97E8E" w:rsidRPr="00AF7A87" w:rsidRDefault="00A97E8E" w:rsidP="00A97E8E">
      <w:pPr>
        <w:numPr>
          <w:ilvl w:val="0"/>
          <w:numId w:val="1"/>
        </w:numPr>
        <w:spacing w:after="160" w:line="360" w:lineRule="auto"/>
        <w:ind w:left="0" w:right="49" w:firstLine="0"/>
        <w:contextualSpacing/>
        <w:jc w:val="both"/>
        <w:rPr>
          <w:rFonts w:ascii="Palatino Linotype" w:hAnsi="Palatino Linotype"/>
          <w:lang w:val="es-ES_tradnl" w:eastAsia="es-ES"/>
        </w:rPr>
      </w:pPr>
      <w:r w:rsidRPr="00AF7A87">
        <w:rPr>
          <w:rFonts w:ascii="Palatino Linotype" w:eastAsia="Calibri" w:hAnsi="Palatino Linotype" w:cs="Arial"/>
          <w:lang w:val="es-ES_tradnl" w:eastAsia="es-ES"/>
        </w:rPr>
        <w:t xml:space="preserve">Desde que </w:t>
      </w:r>
      <w:r w:rsidRPr="00AF7A87">
        <w:rPr>
          <w:rFonts w:ascii="Palatino Linotype" w:eastAsia="Calibri" w:hAnsi="Palatino Linotype" w:cs="Arial"/>
          <w:lang w:val="es-ES" w:eastAsia="es-ES"/>
        </w:rPr>
        <w:t xml:space="preserve">inició, a finales de dos mil diecinueve, la crisis generada por el virus </w:t>
      </w:r>
      <w:r w:rsidRPr="00AF7A87">
        <w:rPr>
          <w:rFonts w:ascii="Palatino Linotype" w:eastAsia="Calibri" w:hAnsi="Palatino Linotype" w:cs="Arial"/>
          <w:b/>
          <w:lang w:val="es-ES" w:eastAsia="es-ES"/>
        </w:rPr>
        <w:t>SARS-Cov-2 - COVID-19</w:t>
      </w:r>
      <w:r w:rsidRPr="00AF7A87">
        <w:rPr>
          <w:rFonts w:ascii="Palatino Linotype" w:eastAsia="Calibri" w:hAnsi="Palatino Linotype" w:cs="Arial"/>
          <w:lang w:val="es-ES" w:eastAsia="es-ES"/>
        </w:rPr>
        <w:t xml:space="preserve">, las sociedades y los Estados, se han visto sometidos a una inusitada presión para tratar de adoptar las decisiones que permitan asegurar </w:t>
      </w:r>
      <w:r w:rsidRPr="00AF7A87">
        <w:rPr>
          <w:rFonts w:ascii="Palatino Linotype" w:eastAsia="Calibri" w:hAnsi="Palatino Linotype" w:cs="Arial"/>
          <w:lang w:val="es-ES" w:eastAsia="es-ES"/>
        </w:rPr>
        <w:lastRenderedPageBreak/>
        <w:t>las mejores condiciones para la protección de salud y la vida de las personas al mismo tiempo que se hacen los mayores esfuerzos posibles para garantizar el funcionamiento social y gubernamental en un contexto de una nueva realidad o normalidad.</w:t>
      </w:r>
    </w:p>
    <w:p w14:paraId="64B1EC8B" w14:textId="77777777" w:rsidR="00A97E8E" w:rsidRPr="00AF7A87" w:rsidRDefault="00A97E8E" w:rsidP="00A97E8E">
      <w:pPr>
        <w:spacing w:line="360" w:lineRule="auto"/>
        <w:ind w:right="49"/>
        <w:contextualSpacing/>
        <w:jc w:val="both"/>
        <w:rPr>
          <w:rFonts w:ascii="Palatino Linotype" w:hAnsi="Palatino Linotype"/>
          <w:lang w:val="es-ES_tradnl" w:eastAsia="es-ES"/>
        </w:rPr>
      </w:pPr>
    </w:p>
    <w:p w14:paraId="18CC82D7" w14:textId="77777777" w:rsidR="00A97E8E" w:rsidRPr="00AF7A87" w:rsidRDefault="00A97E8E" w:rsidP="00A97E8E">
      <w:pPr>
        <w:numPr>
          <w:ilvl w:val="0"/>
          <w:numId w:val="1"/>
        </w:numPr>
        <w:spacing w:after="160" w:line="360" w:lineRule="auto"/>
        <w:ind w:left="0" w:right="49" w:firstLine="0"/>
        <w:contextualSpacing/>
        <w:jc w:val="both"/>
        <w:rPr>
          <w:rFonts w:ascii="Palatino Linotype" w:hAnsi="Palatino Linotype"/>
          <w:lang w:val="es-ES_tradnl" w:eastAsia="es-ES"/>
        </w:rPr>
      </w:pPr>
      <w:r w:rsidRPr="00AF7A87">
        <w:rPr>
          <w:rFonts w:ascii="Palatino Linotype" w:eastAsia="Calibri" w:hAnsi="Palatino Linotype" w:cs="Arial"/>
          <w:lang w:val="es-ES_tradnl" w:eastAsia="es-ES"/>
        </w:rPr>
        <w:t xml:space="preserve">Las </w:t>
      </w:r>
      <w:r w:rsidRPr="00AF7A87">
        <w:rPr>
          <w:rFonts w:ascii="Palatino Linotype" w:eastAsia="Calibri" w:hAnsi="Palatino Linotype" w:cs="Arial"/>
          <w:lang w:val="es-ES" w:eastAsia="es-ES"/>
        </w:rPr>
        <w:t>acciones adoptadas al año pasado, y de mayor impacto, llegaron incluso a la suspensión de las actividades no prioritarias como una medida indispensable para disminuir la concurrencia de personas y, con ello, tratar de disminuir los contagios y sus efectos en la salud y en la vida, especialmente, de los grupos más vulnerables.</w:t>
      </w:r>
    </w:p>
    <w:p w14:paraId="78C42C9F" w14:textId="77777777" w:rsidR="00A97E8E" w:rsidRPr="00AF7A87" w:rsidRDefault="00A97E8E" w:rsidP="00A97E8E">
      <w:pPr>
        <w:spacing w:line="360" w:lineRule="auto"/>
        <w:ind w:right="49"/>
        <w:contextualSpacing/>
        <w:jc w:val="both"/>
        <w:rPr>
          <w:rFonts w:ascii="Palatino Linotype" w:hAnsi="Palatino Linotype"/>
          <w:lang w:val="es-ES_tradnl" w:eastAsia="es-ES"/>
        </w:rPr>
      </w:pPr>
    </w:p>
    <w:p w14:paraId="18F0CAA6" w14:textId="77777777" w:rsidR="00A97E8E" w:rsidRPr="00AF7A87" w:rsidRDefault="00A97E8E" w:rsidP="00A97E8E">
      <w:pPr>
        <w:numPr>
          <w:ilvl w:val="0"/>
          <w:numId w:val="1"/>
        </w:numPr>
        <w:spacing w:after="160" w:line="360" w:lineRule="auto"/>
        <w:ind w:left="0" w:right="49" w:firstLine="0"/>
        <w:contextualSpacing/>
        <w:jc w:val="both"/>
        <w:rPr>
          <w:rFonts w:ascii="Palatino Linotype" w:hAnsi="Palatino Linotype"/>
          <w:lang w:val="es-ES_tradnl" w:eastAsia="es-ES"/>
        </w:rPr>
      </w:pPr>
      <w:r w:rsidRPr="00AF7A87">
        <w:rPr>
          <w:rFonts w:ascii="Palatino Linotype" w:eastAsia="Calibri" w:hAnsi="Palatino Linotype" w:cs="Arial"/>
          <w:lang w:val="es-ES_tradnl" w:eastAsia="es-ES"/>
        </w:rPr>
        <w:t xml:space="preserve">Por </w:t>
      </w:r>
      <w:r w:rsidRPr="00AF7A87">
        <w:rPr>
          <w:rFonts w:ascii="Palatino Linotype" w:eastAsia="Calibri" w:hAnsi="Palatino Linotype"/>
          <w:lang w:val="es-ES" w:eastAsia="en-US"/>
        </w:rPr>
        <w:t>esa razón, durante los meses de marzo, abril, mayo, junio y julio del año pasado, el Órgano Garante recurrió a la suspensión de plazos para la substanciación de los procedimientos establecidos en la Ley de Transparencia y Acceso a la Información Pública del Estado de México y Municipios, así como en la Ley de Protección de Datos Personales en Posesión de los Sujetos Obligados del Estado de México y Municipios, lo que, combinado con los periodos de asueto y días inhábiles, permitieron evitar la concentración de personal de los Sujetos Obligados para atender estos procedimientos, mientras el país y el estado enfrentaban las condiciones de semáforo rojo sanitario.</w:t>
      </w:r>
    </w:p>
    <w:p w14:paraId="689AF195" w14:textId="77777777" w:rsidR="00A97E8E" w:rsidRPr="00AF7A87" w:rsidRDefault="00A97E8E" w:rsidP="00A97E8E">
      <w:pPr>
        <w:spacing w:line="360" w:lineRule="auto"/>
        <w:ind w:right="49"/>
        <w:contextualSpacing/>
        <w:jc w:val="both"/>
        <w:rPr>
          <w:rFonts w:ascii="Palatino Linotype" w:hAnsi="Palatino Linotype"/>
          <w:lang w:val="es-ES_tradnl" w:eastAsia="es-ES"/>
        </w:rPr>
      </w:pPr>
    </w:p>
    <w:p w14:paraId="1B32D293" w14:textId="77777777" w:rsidR="00A97E8E" w:rsidRPr="00AF7A87" w:rsidRDefault="00A97E8E" w:rsidP="00A97E8E">
      <w:pPr>
        <w:numPr>
          <w:ilvl w:val="0"/>
          <w:numId w:val="1"/>
        </w:numPr>
        <w:spacing w:after="160" w:line="360" w:lineRule="auto"/>
        <w:ind w:left="0" w:right="49" w:firstLine="0"/>
        <w:contextualSpacing/>
        <w:jc w:val="both"/>
        <w:rPr>
          <w:rFonts w:ascii="Palatino Linotype" w:hAnsi="Palatino Linotype"/>
          <w:lang w:val="es-ES_tradnl" w:eastAsia="es-ES"/>
        </w:rPr>
      </w:pPr>
      <w:r w:rsidRPr="00AF7A87">
        <w:rPr>
          <w:rFonts w:ascii="Palatino Linotype" w:eastAsia="Calibri" w:hAnsi="Palatino Linotype" w:cs="Arial"/>
          <w:lang w:val="es-ES_tradnl" w:eastAsia="es-ES"/>
        </w:rPr>
        <w:lastRenderedPageBreak/>
        <w:t xml:space="preserve">Luego, </w:t>
      </w:r>
      <w:r w:rsidRPr="00AF7A87">
        <w:rPr>
          <w:rFonts w:ascii="Palatino Linotype" w:eastAsia="Calibri" w:hAnsi="Palatino Linotype"/>
          <w:lang w:val="es-ES" w:eastAsia="en-US"/>
        </w:rPr>
        <w:t>del periodo de agosto a diciembre, en el que las condiciones de riesgo bajaron para situar a algunos estados en verde, amarillo y naranja en el semáforo administrado por las autoridades de salud, el cierre de dos mil veinte y, el inicio del presente año, se han caracterizado por el regreso de nuestra entidad a las condiciones de alto riesgo por el incremento de contagios y por la incidencia de casos graves que volvieron a presionar al sistema de salud, razones que han conducido a las autoridades sanitarias a emitir nuevas disposiciones para suspender las funciones presenciales de las instituciones públicas, que incluyen tanto a los Sujetos Obligados como a este Órgano.</w:t>
      </w:r>
    </w:p>
    <w:p w14:paraId="07C50508" w14:textId="77777777" w:rsidR="00A97E8E" w:rsidRPr="00AF7A87" w:rsidRDefault="00A97E8E" w:rsidP="00A97E8E">
      <w:pPr>
        <w:spacing w:line="360" w:lineRule="auto"/>
        <w:ind w:right="49"/>
        <w:contextualSpacing/>
        <w:jc w:val="both"/>
        <w:rPr>
          <w:rFonts w:ascii="Palatino Linotype" w:hAnsi="Palatino Linotype"/>
          <w:lang w:val="es-ES_tradnl" w:eastAsia="es-ES"/>
        </w:rPr>
      </w:pPr>
    </w:p>
    <w:p w14:paraId="2C5EBD27" w14:textId="77777777" w:rsidR="00A97E8E" w:rsidRPr="00AF7A87" w:rsidRDefault="00A97E8E" w:rsidP="00A97E8E">
      <w:pPr>
        <w:numPr>
          <w:ilvl w:val="0"/>
          <w:numId w:val="1"/>
        </w:numPr>
        <w:spacing w:after="160" w:line="360" w:lineRule="auto"/>
        <w:ind w:left="0" w:right="49" w:firstLine="0"/>
        <w:contextualSpacing/>
        <w:jc w:val="both"/>
        <w:rPr>
          <w:rFonts w:ascii="Palatino Linotype" w:hAnsi="Palatino Linotype"/>
          <w:lang w:val="es-ES_tradnl" w:eastAsia="es-ES"/>
        </w:rPr>
      </w:pPr>
      <w:r w:rsidRPr="00AF7A87">
        <w:rPr>
          <w:rFonts w:ascii="Palatino Linotype" w:eastAsia="Calibri" w:hAnsi="Palatino Linotype" w:cs="Arial"/>
          <w:lang w:val="es-ES_tradnl" w:eastAsia="es-ES"/>
        </w:rPr>
        <w:t xml:space="preserve">Sin </w:t>
      </w:r>
      <w:r w:rsidRPr="00AF7A87">
        <w:rPr>
          <w:rFonts w:ascii="Palatino Linotype" w:eastAsia="Calibri" w:hAnsi="Palatino Linotype"/>
          <w:lang w:val="es-ES" w:eastAsia="en-US"/>
        </w:rPr>
        <w:t>embargo, también es necesario señalar que, a pesar de las condiciones de suspensión de actividades del año anterior, es evidente y claro que los Sujetos Obligados continuaron ejerciendo determinadas facultades, competencias o funciones de carácter interno o de atención de contribuyentes, usuarios y beneficiarios de bienes y servicios públicos. Al ejercerlas, se han documentado las acciones y, en gran medida, este ejercicio y documentación de actos fue resultado de un proceso de rediseño del funcionamiento de las propias dependencias bajo la modalidad del hoy conocido como teletrabajo, trabajo en casa o trabajo a distancia, que ha priorizado el uso de las tecnologías de la información para estos fines, lo que ocurrió tanto en el sector público como en el privado, incluso, el propio Congreso de la Unión, recientemente aprobó la reforma al artículo 311 y la adición del capítulo XII Bis a la Ley del Federal del Trabajo en materia de teletrabajo.</w:t>
      </w:r>
    </w:p>
    <w:p w14:paraId="498B5251" w14:textId="77777777" w:rsidR="00A97E8E" w:rsidRPr="00AF7A87" w:rsidRDefault="00A97E8E" w:rsidP="00A97E8E">
      <w:pPr>
        <w:spacing w:line="360" w:lineRule="auto"/>
        <w:ind w:right="49"/>
        <w:contextualSpacing/>
        <w:jc w:val="both"/>
        <w:rPr>
          <w:rFonts w:ascii="Palatino Linotype" w:hAnsi="Palatino Linotype"/>
          <w:lang w:val="es-ES_tradnl" w:eastAsia="es-ES"/>
        </w:rPr>
      </w:pPr>
    </w:p>
    <w:p w14:paraId="00E1BC68" w14:textId="77777777" w:rsidR="00A97E8E" w:rsidRPr="00AF7A87" w:rsidRDefault="00A97E8E" w:rsidP="00A97E8E">
      <w:pPr>
        <w:numPr>
          <w:ilvl w:val="0"/>
          <w:numId w:val="1"/>
        </w:numPr>
        <w:spacing w:after="160" w:line="360" w:lineRule="auto"/>
        <w:ind w:left="0" w:right="49" w:firstLine="0"/>
        <w:contextualSpacing/>
        <w:jc w:val="both"/>
        <w:rPr>
          <w:rFonts w:ascii="Palatino Linotype" w:hAnsi="Palatino Linotype"/>
          <w:lang w:val="es-ES_tradnl" w:eastAsia="es-ES"/>
        </w:rPr>
      </w:pPr>
      <w:r w:rsidRPr="00AF7A87">
        <w:rPr>
          <w:rFonts w:ascii="Palatino Linotype" w:eastAsia="Calibri" w:hAnsi="Palatino Linotype" w:cs="Arial"/>
          <w:lang w:val="es-ES_tradnl" w:eastAsia="es-ES"/>
        </w:rPr>
        <w:t xml:space="preserve">El </w:t>
      </w:r>
      <w:r w:rsidRPr="00AF7A87">
        <w:rPr>
          <w:rFonts w:ascii="Palatino Linotype" w:eastAsia="Calibri" w:hAnsi="Palatino Linotype"/>
          <w:lang w:val="es-ES" w:eastAsia="en-US"/>
        </w:rPr>
        <w:t>Instituto de Transparencia, Acceso a la Información Pública y Protección de Datos Personales del Estado de México y Municipios, respetuoso de las medidas adoptadas por la autoridad sanitaria, así como la mayor parte de los Sujetos Obligados, hemos venido implementado una serie de medidas y acciones para darle continuidad a nuestro funcionamiento interno y, en la mayor medida posible, atender las demandas justas y legítimas de la población, adoptando esta modalidad de trabajo a distancia o trabajo en casa, para cumplir con el objetivo más importante de las medidas adoptadas contra el COVID-19, disminuir el tránsito de personas, evitar la concentración de las mismas y, con ello, tratar de frenar los contagios, acciones que se centran en el esfuerzo conjunto para evitar que los servidores públicos acudan a sus centros de trabajo para desempeñar sus funciones.</w:t>
      </w:r>
    </w:p>
    <w:p w14:paraId="6F058020" w14:textId="77777777" w:rsidR="00A97E8E" w:rsidRPr="00AF7A87" w:rsidRDefault="00A97E8E" w:rsidP="00A97E8E">
      <w:pPr>
        <w:spacing w:line="360" w:lineRule="auto"/>
        <w:ind w:right="49"/>
        <w:contextualSpacing/>
        <w:jc w:val="both"/>
        <w:rPr>
          <w:rFonts w:ascii="Palatino Linotype" w:hAnsi="Palatino Linotype"/>
          <w:lang w:val="es-ES_tradnl" w:eastAsia="es-ES"/>
        </w:rPr>
      </w:pPr>
    </w:p>
    <w:p w14:paraId="41113B1F" w14:textId="77777777" w:rsidR="00A97E8E" w:rsidRPr="00AF7A87" w:rsidRDefault="00A97E8E" w:rsidP="00A97E8E">
      <w:pPr>
        <w:numPr>
          <w:ilvl w:val="0"/>
          <w:numId w:val="1"/>
        </w:numPr>
        <w:spacing w:after="160" w:line="360" w:lineRule="auto"/>
        <w:ind w:left="0" w:right="49" w:firstLine="0"/>
        <w:contextualSpacing/>
        <w:jc w:val="both"/>
        <w:rPr>
          <w:rFonts w:ascii="Palatino Linotype" w:hAnsi="Palatino Linotype"/>
          <w:lang w:val="es-ES_tradnl" w:eastAsia="es-ES"/>
        </w:rPr>
      </w:pPr>
      <w:r w:rsidRPr="00AF7A87">
        <w:rPr>
          <w:rFonts w:ascii="Palatino Linotype" w:eastAsia="Calibri" w:hAnsi="Palatino Linotype" w:cs="Arial"/>
          <w:lang w:val="es-ES_tradnl" w:eastAsia="es-ES"/>
        </w:rPr>
        <w:t xml:space="preserve">El </w:t>
      </w:r>
      <w:r w:rsidRPr="00AF7A87">
        <w:rPr>
          <w:rFonts w:ascii="Palatino Linotype" w:eastAsia="Calibri" w:hAnsi="Palatino Linotype"/>
          <w:lang w:val="es-ES" w:eastAsia="en-US"/>
        </w:rPr>
        <w:t xml:space="preserve">diseño de los procedimientos para el ejercicio de los derechos de acceso a la información pública y a la protección de los datos personales ha descansado en procedimientos electrónicos a través de los sistemas implementados por el INFOEM como es el caso del de Información Pública de Oficio Mexiquense (IPOMEX), Sistema de Acceso a la Información Mexiquense (SAIMEX) y el Sistema de Acceso, Rectificación, Cancelación y oposición del Estado de México (SARCOEM). Lo que en su momento fue concebido bajo una perspectiva de asegurar la accesibilidad de los derechos, en el contexto actual de pandemia adquiere una mayor importancia ya que estas herramientas tecnológicas permiten que la atención de estos </w:t>
      </w:r>
      <w:r w:rsidRPr="00AF7A87">
        <w:rPr>
          <w:rFonts w:ascii="Palatino Linotype" w:eastAsia="Calibri" w:hAnsi="Palatino Linotype"/>
          <w:lang w:val="es-ES" w:eastAsia="en-US"/>
        </w:rPr>
        <w:lastRenderedPageBreak/>
        <w:t>procedimientos sea compatible con la modalidad de trabajo a distancia o trabajo en casa.</w:t>
      </w:r>
    </w:p>
    <w:p w14:paraId="4D15DE11" w14:textId="77777777" w:rsidR="00A97E8E" w:rsidRPr="00AF7A87" w:rsidRDefault="00A97E8E" w:rsidP="00A97E8E">
      <w:pPr>
        <w:spacing w:line="360" w:lineRule="auto"/>
        <w:ind w:right="49"/>
        <w:contextualSpacing/>
        <w:jc w:val="both"/>
        <w:rPr>
          <w:rFonts w:ascii="Palatino Linotype" w:hAnsi="Palatino Linotype"/>
          <w:lang w:val="es-ES_tradnl" w:eastAsia="es-ES"/>
        </w:rPr>
      </w:pPr>
    </w:p>
    <w:p w14:paraId="5AF508CB" w14:textId="77777777" w:rsidR="00A97E8E" w:rsidRPr="00AF7A87" w:rsidRDefault="00A97E8E" w:rsidP="00A97E8E">
      <w:pPr>
        <w:numPr>
          <w:ilvl w:val="0"/>
          <w:numId w:val="1"/>
        </w:numPr>
        <w:spacing w:after="160" w:line="360" w:lineRule="auto"/>
        <w:ind w:left="0" w:right="49" w:firstLine="0"/>
        <w:contextualSpacing/>
        <w:jc w:val="both"/>
        <w:rPr>
          <w:rFonts w:ascii="Palatino Linotype" w:hAnsi="Palatino Linotype"/>
          <w:lang w:val="es-ES_tradnl" w:eastAsia="es-ES"/>
        </w:rPr>
      </w:pPr>
      <w:r w:rsidRPr="00AF7A87">
        <w:rPr>
          <w:rFonts w:ascii="Palatino Linotype" w:eastAsia="Calibri" w:hAnsi="Palatino Linotype"/>
          <w:lang w:val="es-ES" w:eastAsia="en-US"/>
        </w:rPr>
        <w:t>En virtud de lo anterior, este Órgano Garante considera que existen condiciones que permiten que los Sujetos Obligados atiendan las solicitudes de acceso a la información pública o las solicitudes de ejercicio de los derechos ARCO, ya sea explicando las razones que justifiquen el no ejercicio de determinadas facultades, competencias o funciones, como consecuencia de la suspensión de labores o bien entregando la información que si han generado porque corresponden a facultades, competencias o funciones que, pese a la suspensión de actividades, continuaron ejerciéndose, generando información que se administra tecnológicamente a través de la modalidad del trabajo a distancia o mediante el desempeño de equipos reducidos o guardias en las instalaciones públicas.</w:t>
      </w:r>
    </w:p>
    <w:p w14:paraId="055F2CB1" w14:textId="77777777" w:rsidR="00A97E8E" w:rsidRPr="00AF7A87" w:rsidRDefault="00A97E8E" w:rsidP="00A97E8E">
      <w:pPr>
        <w:spacing w:line="360" w:lineRule="auto"/>
        <w:ind w:right="49"/>
        <w:contextualSpacing/>
        <w:jc w:val="both"/>
        <w:rPr>
          <w:rFonts w:ascii="Palatino Linotype" w:hAnsi="Palatino Linotype"/>
          <w:lang w:val="es-ES_tradnl" w:eastAsia="es-ES"/>
        </w:rPr>
      </w:pPr>
    </w:p>
    <w:p w14:paraId="2F4226B8" w14:textId="77777777" w:rsidR="00A97E8E" w:rsidRPr="00AF7A87" w:rsidRDefault="00A97E8E" w:rsidP="00A97E8E">
      <w:pPr>
        <w:numPr>
          <w:ilvl w:val="0"/>
          <w:numId w:val="1"/>
        </w:numPr>
        <w:spacing w:after="160" w:line="360" w:lineRule="auto"/>
        <w:ind w:left="0" w:right="49" w:firstLine="0"/>
        <w:contextualSpacing/>
        <w:jc w:val="both"/>
        <w:rPr>
          <w:rFonts w:ascii="Palatino Linotype" w:hAnsi="Palatino Linotype"/>
          <w:lang w:val="es-ES_tradnl" w:eastAsia="es-ES"/>
        </w:rPr>
      </w:pPr>
      <w:r w:rsidRPr="00AF7A87">
        <w:rPr>
          <w:rFonts w:ascii="Palatino Linotype" w:eastAsia="Calibri" w:hAnsi="Palatino Linotype"/>
          <w:lang w:val="es-ES" w:eastAsia="en-US"/>
        </w:rPr>
        <w:t xml:space="preserve">Si bien esto podría considerarse como una nueva presión sobre el funcionamiento de los Sujetos Obligados, es muy importante destacar el papel e importancia que el acceso a la información pública, relacionada con las acciones que actualmente se realizan, tiene para una sociedad democrática. Este reto es un llamado para mejorar los procedimientos de gestión documental y el propio diseño administrativo, para ser más eficientes, eficaces y transparentes. El acceso a la información pública de manera oportuna puede ser la diferencia para incrementar la responsabilidad en la función pública y el mejor desempeño de nuestras labores, </w:t>
      </w:r>
      <w:r w:rsidRPr="00AF7A87">
        <w:rPr>
          <w:rFonts w:ascii="Palatino Linotype" w:eastAsia="Calibri" w:hAnsi="Palatino Linotype"/>
          <w:lang w:val="es-ES" w:eastAsia="en-US"/>
        </w:rPr>
        <w:lastRenderedPageBreak/>
        <w:t>pero sobre todo para orientar a la población en el ejercicio de sus derechos y en la toma de decisiones que pueden tener enorme trascendencia en su proyecto de vida.</w:t>
      </w:r>
    </w:p>
    <w:p w14:paraId="17D41EF6" w14:textId="77777777" w:rsidR="00A97E8E" w:rsidRPr="00AF7A87" w:rsidRDefault="00A97E8E" w:rsidP="00A97E8E">
      <w:pPr>
        <w:spacing w:line="360" w:lineRule="auto"/>
        <w:ind w:right="49"/>
        <w:contextualSpacing/>
        <w:jc w:val="both"/>
        <w:rPr>
          <w:rFonts w:ascii="Palatino Linotype" w:hAnsi="Palatino Linotype"/>
          <w:lang w:val="es-ES_tradnl" w:eastAsia="es-ES"/>
        </w:rPr>
      </w:pPr>
    </w:p>
    <w:p w14:paraId="3FB48D19" w14:textId="77777777" w:rsidR="00A97E8E" w:rsidRPr="00AF7A87" w:rsidRDefault="00A97E8E" w:rsidP="00A97E8E">
      <w:pPr>
        <w:numPr>
          <w:ilvl w:val="0"/>
          <w:numId w:val="1"/>
        </w:numPr>
        <w:spacing w:after="160" w:line="360" w:lineRule="auto"/>
        <w:ind w:left="0" w:right="49" w:firstLine="0"/>
        <w:contextualSpacing/>
        <w:jc w:val="both"/>
        <w:rPr>
          <w:rFonts w:ascii="Palatino Linotype" w:hAnsi="Palatino Linotype"/>
          <w:lang w:val="es-ES_tradnl" w:eastAsia="es-ES"/>
        </w:rPr>
      </w:pPr>
      <w:r w:rsidRPr="00AF7A87">
        <w:rPr>
          <w:rFonts w:ascii="Palatino Linotype" w:eastAsia="Calibri" w:hAnsi="Palatino Linotype"/>
          <w:lang w:val="es-ES" w:eastAsia="en-US"/>
        </w:rPr>
        <w:t>Por esas razones, y alentados por los esfuerzos emprendidos por los Sujetos Obligados para difundir información relevante en los meses pasados; considerando también  el tiempo que ha transcurrido desde el inicio de la pandemia y la obligación de todas las instituciones del Estado de no desaparecer de la escena pública sino, al contrario, confirmar su vocación de servicio; considerando la experiencia desarrollada para consolidar lo que hoy se conoce como la modalidad del trabajo a distancia o en casa y la accesibilidad a múltiples plataformas tecnológicas que lo han posibilitado, pero pensando sobre todo en los titulares de los derechos humanos bajo nuestra tutela, es que este Órgano Garante reitera su compromiso de contribuir al cumplimiento definido por las autoridades de salud para evitar la movilidad de personas, la concurrencia en instalaciones gubernamentales y con ello disminuir los contagios, lo que no colisiona sino que, se trata de armonizar, con la garantía plena en el ejercicio de los derechos de acceso a la información pública y a la protección de los datos personales.</w:t>
      </w:r>
    </w:p>
    <w:p w14:paraId="0C95C7BC" w14:textId="77777777" w:rsidR="00A97E8E" w:rsidRPr="00AF7A87" w:rsidRDefault="00A97E8E" w:rsidP="00A97E8E">
      <w:pPr>
        <w:spacing w:line="360" w:lineRule="auto"/>
        <w:ind w:right="49"/>
        <w:contextualSpacing/>
        <w:jc w:val="both"/>
        <w:rPr>
          <w:rFonts w:ascii="Palatino Linotype" w:hAnsi="Palatino Linotype"/>
          <w:lang w:val="es-ES_tradnl" w:eastAsia="es-ES"/>
        </w:rPr>
      </w:pPr>
    </w:p>
    <w:p w14:paraId="691C2DFE" w14:textId="77777777" w:rsidR="00A97E8E" w:rsidRPr="00AF7A87" w:rsidRDefault="00A97E8E" w:rsidP="00A97E8E">
      <w:pPr>
        <w:numPr>
          <w:ilvl w:val="0"/>
          <w:numId w:val="1"/>
        </w:numPr>
        <w:spacing w:after="160" w:line="360" w:lineRule="auto"/>
        <w:ind w:left="0" w:right="49" w:firstLine="0"/>
        <w:contextualSpacing/>
        <w:jc w:val="both"/>
        <w:rPr>
          <w:rFonts w:ascii="Palatino Linotype" w:hAnsi="Palatino Linotype"/>
          <w:lang w:val="es-ES_tradnl" w:eastAsia="es-ES"/>
        </w:rPr>
      </w:pPr>
      <w:r w:rsidRPr="00AF7A87">
        <w:rPr>
          <w:rFonts w:ascii="Palatino Linotype" w:eastAsia="Calibri" w:hAnsi="Palatino Linotype"/>
          <w:lang w:val="es-ES" w:eastAsia="en-US"/>
        </w:rPr>
        <w:t xml:space="preserve">Desde nuestra perspectiva, ello se consigue si dentro de las medidas adoptadas por los Sujetos Obligados para mantener el ejercicio de las facultades, competencias o funciones que, durante el dos mil veinte y en lo que va del dos </w:t>
      </w:r>
      <w:proofErr w:type="gramStart"/>
      <w:r w:rsidRPr="00AF7A87">
        <w:rPr>
          <w:rFonts w:ascii="Palatino Linotype" w:eastAsia="Calibri" w:hAnsi="Palatino Linotype"/>
          <w:lang w:val="es-ES" w:eastAsia="en-US"/>
        </w:rPr>
        <w:t>mil veintiuno</w:t>
      </w:r>
      <w:proofErr w:type="gramEnd"/>
      <w:r w:rsidRPr="00AF7A87">
        <w:rPr>
          <w:rFonts w:ascii="Palatino Linotype" w:eastAsia="Calibri" w:hAnsi="Palatino Linotype"/>
          <w:lang w:val="es-ES" w:eastAsia="en-US"/>
        </w:rPr>
        <w:t xml:space="preserve">, ejercieron y siguen ejerciendo a pesar de las suspensiones de actividades, </w:t>
      </w:r>
      <w:r w:rsidRPr="00AF7A87">
        <w:rPr>
          <w:rFonts w:ascii="Palatino Linotype" w:eastAsia="Calibri" w:hAnsi="Palatino Linotype"/>
          <w:lang w:val="es-ES" w:eastAsia="en-US"/>
        </w:rPr>
        <w:lastRenderedPageBreak/>
        <w:t>se adoptan medidas para asegurar que esa información se encuentre disponible para atender los procedimientos de estos derechos. Al mismo tiempo, como se ha manifestado públicamente y se hará, de ser el caso, en esta misma resolución, si dadas las condiciones de la información que se solicita, ya sea que corresponda a información de administraciones anteriores, que los requerimientos sean extensos o que involucren a diferentes áreas y que ello implique que se tenga que desplazar personal a las instalaciones de los sujetos obligados, el Órgano garante será sensible a la adopción de medidas extraordinarias en materia de plazos para el cumplimiento de las resoluciones.</w:t>
      </w:r>
    </w:p>
    <w:p w14:paraId="6767DF88" w14:textId="77777777" w:rsidR="00A97E8E" w:rsidRPr="00AF7A87" w:rsidRDefault="00A97E8E" w:rsidP="00BF6B2E">
      <w:pPr>
        <w:spacing w:before="240" w:after="240" w:line="360" w:lineRule="auto"/>
        <w:contextualSpacing/>
        <w:jc w:val="both"/>
        <w:rPr>
          <w:rFonts w:ascii="Palatino Linotype" w:hAnsi="Palatino Linotype"/>
          <w:b/>
          <w:i/>
        </w:rPr>
      </w:pPr>
    </w:p>
    <w:p w14:paraId="6DC792F6" w14:textId="1C5DE2DA" w:rsidR="00903483" w:rsidRPr="00AF7A87" w:rsidRDefault="009710C1" w:rsidP="000757F4">
      <w:pPr>
        <w:pStyle w:val="Prrafodelista"/>
        <w:numPr>
          <w:ilvl w:val="0"/>
          <w:numId w:val="1"/>
        </w:numPr>
        <w:spacing w:line="360" w:lineRule="auto"/>
        <w:ind w:left="0" w:firstLine="0"/>
        <w:jc w:val="both"/>
        <w:rPr>
          <w:rFonts w:ascii="Palatino Linotype" w:hAnsi="Palatino Linotype"/>
          <w:i/>
          <w:color w:val="000000"/>
        </w:rPr>
      </w:pPr>
      <w:r w:rsidRPr="00AF7A87">
        <w:rPr>
          <w:rFonts w:ascii="Palatino Linotype" w:eastAsia="Calibri" w:hAnsi="Palatino Linotype" w:cs="Arial"/>
          <w:color w:val="000000" w:themeColor="text1"/>
          <w:lang w:val="es-MX" w:eastAsia="en-US"/>
        </w:rPr>
        <w:t xml:space="preserve">El </w:t>
      </w:r>
      <w:r w:rsidRPr="00AF7A87">
        <w:rPr>
          <w:rFonts w:ascii="Palatino Linotype" w:hAnsi="Palatino Linotype" w:cs="Arial"/>
          <w:color w:val="000000" w:themeColor="text1"/>
        </w:rPr>
        <w:t xml:space="preserve">ahora recurrente, solicitó del </w:t>
      </w:r>
      <w:r w:rsidRPr="00AF7A87">
        <w:rPr>
          <w:rFonts w:ascii="Palatino Linotype" w:hAnsi="Palatino Linotype" w:cs="Arial"/>
          <w:b/>
          <w:color w:val="000000" w:themeColor="text1"/>
        </w:rPr>
        <w:t>SUJETO OBLIGADO</w:t>
      </w:r>
      <w:r w:rsidRPr="00AF7A87">
        <w:rPr>
          <w:rFonts w:ascii="Palatino Linotype" w:hAnsi="Palatino Linotype" w:cs="Arial"/>
          <w:color w:val="000000" w:themeColor="text1"/>
        </w:rPr>
        <w:t xml:space="preserve"> </w:t>
      </w:r>
      <w:r w:rsidR="002D71A4" w:rsidRPr="00AF7A87">
        <w:rPr>
          <w:rFonts w:ascii="Palatino Linotype" w:hAnsi="Palatino Linotype"/>
          <w:color w:val="000000"/>
        </w:rPr>
        <w:t>las versiones públicas de las sentencias dictadas por la Novena Sala Regional Especializada, dentro de los procedimientos de responsabilidad administrativa relativos a faltas graves, seguidos bajos los siguientes expedientes: a) 13/2018; b) 21/2018; c) 4/2019; d) 8/2019; e) 21/2019; y f) 24/2019 y de la sentencia dictada por la Octava Sala Regional Especializada, dentro del procedimiento de responsabilidad administrativa relativo a faltas graves, seguido bajo el expediente 25/2019</w:t>
      </w:r>
      <w:r w:rsidR="002D71A4" w:rsidRPr="00AF7A87">
        <w:rPr>
          <w:rFonts w:ascii="Palatino Linotype" w:hAnsi="Palatino Linotype"/>
          <w:i/>
          <w:color w:val="000000"/>
        </w:rPr>
        <w:t>.</w:t>
      </w:r>
    </w:p>
    <w:p w14:paraId="58D485DB" w14:textId="77777777" w:rsidR="00903483" w:rsidRPr="00AF7A87" w:rsidRDefault="00903483" w:rsidP="00903483">
      <w:pPr>
        <w:pStyle w:val="Prrafodelista"/>
        <w:spacing w:line="360" w:lineRule="auto"/>
        <w:ind w:left="0"/>
        <w:jc w:val="both"/>
        <w:rPr>
          <w:rFonts w:ascii="Palatino Linotype" w:hAnsi="Palatino Linotype"/>
          <w:color w:val="000000" w:themeColor="text1"/>
        </w:rPr>
      </w:pPr>
    </w:p>
    <w:p w14:paraId="6FD0D70E" w14:textId="4AF232B1" w:rsidR="00414FA3" w:rsidRPr="00AF7A87" w:rsidRDefault="009710C1" w:rsidP="000757F4">
      <w:pPr>
        <w:pStyle w:val="Prrafodelista"/>
        <w:numPr>
          <w:ilvl w:val="0"/>
          <w:numId w:val="1"/>
        </w:numPr>
        <w:spacing w:line="360" w:lineRule="auto"/>
        <w:ind w:left="0" w:firstLine="0"/>
        <w:jc w:val="both"/>
        <w:rPr>
          <w:rFonts w:ascii="Palatino Linotype" w:hAnsi="Palatino Linotype"/>
          <w:color w:val="000000" w:themeColor="text1"/>
        </w:rPr>
      </w:pPr>
      <w:r w:rsidRPr="00AF7A87">
        <w:rPr>
          <w:rFonts w:ascii="Palatino Linotype" w:hAnsi="Palatino Linotype"/>
          <w:color w:val="000000" w:themeColor="text1"/>
        </w:rPr>
        <w:t xml:space="preserve">Derivado de dicha solicitud de información, el </w:t>
      </w:r>
      <w:r w:rsidRPr="00AF7A87">
        <w:rPr>
          <w:rFonts w:ascii="Palatino Linotype" w:hAnsi="Palatino Linotype"/>
          <w:b/>
          <w:color w:val="000000" w:themeColor="text1"/>
        </w:rPr>
        <w:t>SUJETO OBLIGADO</w:t>
      </w:r>
      <w:r w:rsidRPr="00AF7A87">
        <w:rPr>
          <w:rFonts w:ascii="Palatino Linotype" w:hAnsi="Palatino Linotype"/>
          <w:color w:val="000000" w:themeColor="text1"/>
        </w:rPr>
        <w:t xml:space="preserve"> en su respuesta </w:t>
      </w:r>
      <w:r w:rsidR="00903483" w:rsidRPr="00AF7A87">
        <w:rPr>
          <w:rFonts w:ascii="Palatino Linotype" w:hAnsi="Palatino Linotype"/>
          <w:color w:val="000000" w:themeColor="text1"/>
        </w:rPr>
        <w:t xml:space="preserve"> hizo de su conocimiento que </w:t>
      </w:r>
      <w:r w:rsidR="00903483" w:rsidRPr="00AF7A87">
        <w:rPr>
          <w:rFonts w:ascii="Palatino Linotype" w:hAnsi="Palatino Linotype"/>
          <w:color w:val="000000" w:themeColor="text1"/>
          <w:lang w:val="es-MX"/>
        </w:rPr>
        <w:t>la</w:t>
      </w:r>
      <w:r w:rsidR="00414FA3" w:rsidRPr="00AF7A87">
        <w:rPr>
          <w:rFonts w:ascii="Palatino Linotype" w:hAnsi="Palatino Linotype"/>
          <w:color w:val="000000" w:themeColor="text1"/>
          <w:lang w:val="es-MX"/>
        </w:rPr>
        <w:t xml:space="preserve"> versión pública de la sentencia recaída al expediente de responsabilidad administrativa 25/2019, del índice de</w:t>
      </w:r>
      <w:r w:rsidR="00903483" w:rsidRPr="00AF7A87">
        <w:rPr>
          <w:rFonts w:ascii="Palatino Linotype" w:hAnsi="Palatino Linotype"/>
          <w:color w:val="000000" w:themeColor="text1"/>
          <w:lang w:val="es-MX"/>
        </w:rPr>
        <w:t xml:space="preserve"> la Octava Sala Especializada en Materia de Responsabilidades, y que respecto de las versiones </w:t>
      </w:r>
      <w:r w:rsidR="00903483" w:rsidRPr="00AF7A87">
        <w:rPr>
          <w:rFonts w:ascii="Palatino Linotype" w:hAnsi="Palatino Linotype"/>
          <w:color w:val="000000" w:themeColor="text1"/>
          <w:lang w:val="es-MX"/>
        </w:rPr>
        <w:lastRenderedPageBreak/>
        <w:t xml:space="preserve">públicas de las sentencias emitidas por la Novena Sala Especializada en Materia de Responsabilidades solicitadas, </w:t>
      </w:r>
      <w:r w:rsidR="00414FA3" w:rsidRPr="00AF7A87">
        <w:rPr>
          <w:rFonts w:ascii="Palatino Linotype" w:hAnsi="Palatino Linotype"/>
          <w:color w:val="000000" w:themeColor="text1"/>
        </w:rPr>
        <w:t>pueden ser consultadas en el portal de sentencias de</w:t>
      </w:r>
      <w:r w:rsidR="00903483" w:rsidRPr="00AF7A87">
        <w:rPr>
          <w:rFonts w:ascii="Palatino Linotype" w:hAnsi="Palatino Linotype"/>
          <w:color w:val="000000" w:themeColor="text1"/>
        </w:rPr>
        <w:t>l</w:t>
      </w:r>
      <w:r w:rsidR="00414FA3" w:rsidRPr="00AF7A87">
        <w:rPr>
          <w:rFonts w:ascii="Palatino Linotype" w:hAnsi="Palatino Linotype"/>
          <w:color w:val="000000" w:themeColor="text1"/>
        </w:rPr>
        <w:t xml:space="preserve"> Tribunal de Justicia Administrativa, al cual se podrá acceder mediante el siguiente link: </w:t>
      </w:r>
      <w:hyperlink r:id="rId11" w:history="1">
        <w:r w:rsidR="00414FA3" w:rsidRPr="00AF7A87">
          <w:rPr>
            <w:rStyle w:val="Hipervnculo"/>
            <w:rFonts w:ascii="Palatino Linotype" w:hAnsi="Palatino Linotype"/>
            <w:color w:val="000000" w:themeColor="text1"/>
          </w:rPr>
          <w:t>https://trijaem.gob.mx/sentencias/sentencias</w:t>
        </w:r>
      </w:hyperlink>
      <w:r w:rsidR="00903483" w:rsidRPr="00AF7A87">
        <w:rPr>
          <w:rFonts w:ascii="Palatino Linotype" w:hAnsi="Palatino Linotype"/>
          <w:color w:val="000000" w:themeColor="text1"/>
        </w:rPr>
        <w:t>.</w:t>
      </w:r>
    </w:p>
    <w:p w14:paraId="7D9A2399" w14:textId="77777777" w:rsidR="00BF6B2E" w:rsidRPr="00AF7A87" w:rsidRDefault="00BF6B2E" w:rsidP="00BF6B2E">
      <w:pPr>
        <w:pStyle w:val="Prrafodelista"/>
        <w:spacing w:line="360" w:lineRule="auto"/>
        <w:ind w:left="0"/>
        <w:jc w:val="both"/>
        <w:rPr>
          <w:rFonts w:ascii="Palatino Linotype" w:hAnsi="Palatino Linotype"/>
        </w:rPr>
      </w:pPr>
    </w:p>
    <w:p w14:paraId="7C6F7537" w14:textId="77777777" w:rsidR="00414FA3" w:rsidRPr="00AF7A87" w:rsidRDefault="009710C1" w:rsidP="000757F4">
      <w:pPr>
        <w:pStyle w:val="Prrafodelista"/>
        <w:numPr>
          <w:ilvl w:val="0"/>
          <w:numId w:val="1"/>
        </w:numPr>
        <w:spacing w:line="360" w:lineRule="auto"/>
        <w:ind w:left="0" w:firstLine="0"/>
        <w:jc w:val="both"/>
        <w:rPr>
          <w:rFonts w:ascii="Palatino Linotype" w:hAnsi="Palatino Linotype"/>
        </w:rPr>
      </w:pPr>
      <w:r w:rsidRPr="00AF7A87">
        <w:rPr>
          <w:rFonts w:ascii="Palatino Linotype" w:hAnsi="Palatino Linotype"/>
        </w:rPr>
        <w:t xml:space="preserve">Derivado de la </w:t>
      </w:r>
      <w:r w:rsidRPr="00AF7A87">
        <w:rPr>
          <w:rFonts w:ascii="Palatino Linotype" w:eastAsia="MS Mincho" w:hAnsi="Palatino Linotype"/>
        </w:rPr>
        <w:t xml:space="preserve">respuesta proporcionada por el </w:t>
      </w:r>
      <w:r w:rsidRPr="00AF7A87">
        <w:rPr>
          <w:rFonts w:ascii="Palatino Linotype" w:eastAsia="MS Mincho" w:hAnsi="Palatino Linotype"/>
          <w:b/>
        </w:rPr>
        <w:t>SUJETO OBLIGADO</w:t>
      </w:r>
      <w:r w:rsidRPr="00AF7A87">
        <w:rPr>
          <w:rFonts w:ascii="Palatino Linotype" w:eastAsia="MS Mincho" w:hAnsi="Palatino Linotype"/>
        </w:rPr>
        <w:t xml:space="preserve">, el hoy </w:t>
      </w:r>
      <w:r w:rsidRPr="00AF7A87">
        <w:rPr>
          <w:rFonts w:ascii="Palatino Linotype" w:eastAsia="MS Mincho" w:hAnsi="Palatino Linotype"/>
          <w:b/>
        </w:rPr>
        <w:t>RECURRENTE</w:t>
      </w:r>
      <w:r w:rsidRPr="00AF7A87">
        <w:rPr>
          <w:rFonts w:ascii="Palatino Linotype" w:eastAsia="MS Mincho" w:hAnsi="Palatino Linotype"/>
        </w:rPr>
        <w:t xml:space="preserve"> expresó como motivos de inconformidad,</w:t>
      </w:r>
      <w:r w:rsidR="00414FA3" w:rsidRPr="00AF7A87">
        <w:rPr>
          <w:rFonts w:ascii="Palatino Linotype" w:eastAsia="MS Mincho" w:hAnsi="Palatino Linotype"/>
        </w:rPr>
        <w:t xml:space="preserve"> que </w:t>
      </w:r>
      <w:r w:rsidR="00414FA3" w:rsidRPr="00AF7A87">
        <w:rPr>
          <w:rFonts w:ascii="Palatino Linotype" w:hAnsi="Palatino Linotype"/>
          <w:color w:val="000000"/>
        </w:rPr>
        <w:t>las versiones públicas de las sentencias dictadas por la Novena Sala Regional Especializada del Tribunal de Justicia Administrativa del Estado de México, respecto a los procedimientos de responsabilidad administrativa relativos a faltas graves, seguidos bajos los expedientes números: A) 4/2019 y B) 21/2019 no se encuentran disponibles en el portal de sentencias.</w:t>
      </w:r>
      <w:r w:rsidR="00414FA3" w:rsidRPr="00AF7A87">
        <w:rPr>
          <w:rFonts w:ascii="Palatino Linotype" w:eastAsia="MS Mincho" w:hAnsi="Palatino Linotype"/>
        </w:rPr>
        <w:t xml:space="preserve"> </w:t>
      </w:r>
    </w:p>
    <w:p w14:paraId="39982A51" w14:textId="77777777" w:rsidR="002D3FBD" w:rsidRPr="00AF7A87" w:rsidRDefault="009710C1" w:rsidP="000757F4">
      <w:pPr>
        <w:pStyle w:val="Prrafodelista"/>
        <w:numPr>
          <w:ilvl w:val="0"/>
          <w:numId w:val="1"/>
        </w:numPr>
        <w:spacing w:line="360" w:lineRule="auto"/>
        <w:ind w:left="0" w:firstLine="0"/>
        <w:jc w:val="both"/>
        <w:rPr>
          <w:rFonts w:ascii="Palatino Linotype" w:hAnsi="Palatino Linotype"/>
        </w:rPr>
      </w:pPr>
      <w:r w:rsidRPr="00AF7A87">
        <w:rPr>
          <w:rFonts w:ascii="Palatino Linotype" w:eastAsia="MS Mincho" w:hAnsi="Palatino Linotype"/>
        </w:rPr>
        <w:t>En dichas condiciones</w:t>
      </w:r>
      <w:r w:rsidRPr="00AF7A87">
        <w:rPr>
          <w:rFonts w:ascii="Palatino Linotype" w:eastAsia="MS Mincho" w:hAnsi="Palatino Linotype" w:cs="Arial"/>
        </w:rPr>
        <w:t xml:space="preserve">, se procede analizar, en primer </w:t>
      </w:r>
      <w:proofErr w:type="gramStart"/>
      <w:r w:rsidRPr="00AF7A87">
        <w:rPr>
          <w:rFonts w:ascii="Palatino Linotype" w:eastAsia="MS Mincho" w:hAnsi="Palatino Linotype" w:cs="Arial"/>
        </w:rPr>
        <w:t>lugar</w:t>
      </w:r>
      <w:proofErr w:type="gramEnd"/>
      <w:r w:rsidRPr="00AF7A87">
        <w:rPr>
          <w:rFonts w:ascii="Palatino Linotype" w:eastAsia="MS Mincho" w:hAnsi="Palatino Linotype" w:cs="Arial"/>
        </w:rPr>
        <w:t xml:space="preserve"> si al atender la solicitud de acceso a la información, se satisfizo la garantía primaria del derecho según lo dispuesto por el artículo 150 de la Ley de Transparencia y Acceso a la Información Pública del Estado de México, el </w:t>
      </w:r>
      <w:r w:rsidRPr="00AF7A87">
        <w:rPr>
          <w:rFonts w:ascii="Palatino Linotype" w:eastAsia="MS Mincho" w:hAnsi="Palatino Linotype" w:cs="Arial"/>
          <w:b/>
        </w:rPr>
        <w:t>SUJETO OBLIGADO</w:t>
      </w:r>
      <w:r w:rsidRPr="00AF7A87">
        <w:rPr>
          <w:rFonts w:ascii="Palatino Linotype" w:eastAsia="MS Mincho" w:hAnsi="Palatino Linotype" w:cs="Arial"/>
        </w:rPr>
        <w:t xml:space="preserve"> cumplió con su deber de respetar y garantizar el derecho, entregando toda la información solicitada</w:t>
      </w:r>
      <w:r w:rsidRPr="00AF7A87">
        <w:rPr>
          <w:rFonts w:ascii="Palatino Linotype" w:eastAsia="MS Mincho" w:hAnsi="Palatino Linotype" w:cstheme="majorBidi"/>
        </w:rPr>
        <w:t>.</w:t>
      </w:r>
    </w:p>
    <w:p w14:paraId="6E4301E8" w14:textId="7326FBD6" w:rsidR="00BF6B2E" w:rsidRPr="00AF7A87" w:rsidRDefault="009710C1" w:rsidP="002D3FBD">
      <w:pPr>
        <w:pStyle w:val="Prrafodelista"/>
        <w:spacing w:line="360" w:lineRule="auto"/>
        <w:ind w:left="0"/>
        <w:jc w:val="both"/>
        <w:rPr>
          <w:rFonts w:ascii="Palatino Linotype" w:hAnsi="Palatino Linotype"/>
        </w:rPr>
      </w:pPr>
      <w:r w:rsidRPr="00AF7A87">
        <w:rPr>
          <w:rFonts w:ascii="Palatino Linotype" w:eastAsia="MS Mincho" w:hAnsi="Palatino Linotype" w:cstheme="majorBidi"/>
        </w:rPr>
        <w:t xml:space="preserve"> </w:t>
      </w:r>
    </w:p>
    <w:p w14:paraId="45A167F2" w14:textId="5C1D7A5E" w:rsidR="00BF6B2E" w:rsidRPr="00AF7A87" w:rsidRDefault="009710C1" w:rsidP="000757F4">
      <w:pPr>
        <w:pStyle w:val="Prrafodelista"/>
        <w:numPr>
          <w:ilvl w:val="0"/>
          <w:numId w:val="1"/>
        </w:numPr>
        <w:spacing w:line="360" w:lineRule="auto"/>
        <w:ind w:left="0" w:firstLine="0"/>
        <w:jc w:val="both"/>
        <w:rPr>
          <w:rFonts w:ascii="Palatino Linotype" w:hAnsi="Palatino Linotype"/>
        </w:rPr>
      </w:pPr>
      <w:r w:rsidRPr="00AF7A87">
        <w:rPr>
          <w:rFonts w:ascii="Palatino Linotype" w:hAnsi="Palatino Linotype" w:cs="Arial"/>
        </w:rPr>
        <w:t xml:space="preserve">Es de referir, que el Titular de la Unidad de Transparencia realizó el requerimiento correspondiente a los Servidores Públicos Habilitados, en observancia </w:t>
      </w:r>
      <w:proofErr w:type="gramStart"/>
      <w:r w:rsidRPr="00AF7A87">
        <w:rPr>
          <w:rFonts w:ascii="Palatino Linotype" w:hAnsi="Palatino Linotype" w:cs="Arial"/>
        </w:rPr>
        <w:t>a  lo</w:t>
      </w:r>
      <w:proofErr w:type="gramEnd"/>
      <w:r w:rsidRPr="00AF7A87">
        <w:rPr>
          <w:rFonts w:ascii="Palatino Linotype" w:hAnsi="Palatino Linotype" w:cs="Arial"/>
        </w:rPr>
        <w:t xml:space="preserve"> dispuesto por el artículo 162 de la </w:t>
      </w:r>
      <w:r w:rsidRPr="00AF7A87">
        <w:rPr>
          <w:rFonts w:ascii="Palatino Linotype" w:hAnsi="Palatino Linotype" w:cs="Arial"/>
          <w:b/>
        </w:rPr>
        <w:t xml:space="preserve">Ley de Transparencia y Acceso a la Información Pública del Estado de México y Municipios </w:t>
      </w:r>
      <w:r w:rsidRPr="00AF7A87">
        <w:rPr>
          <w:rFonts w:ascii="Palatino Linotype" w:hAnsi="Palatino Linotype" w:cs="Arial"/>
        </w:rPr>
        <w:t xml:space="preserve">que la letra dice: </w:t>
      </w:r>
    </w:p>
    <w:p w14:paraId="71EC3E9D" w14:textId="09EF1A86" w:rsidR="00BF6B2E" w:rsidRPr="00AF7A87" w:rsidRDefault="00BF6B2E" w:rsidP="00BF6B2E">
      <w:pPr>
        <w:spacing w:line="360" w:lineRule="auto"/>
        <w:jc w:val="both"/>
        <w:rPr>
          <w:rFonts w:ascii="Palatino Linotype" w:hAnsi="Palatino Linotype"/>
        </w:rPr>
      </w:pPr>
    </w:p>
    <w:p w14:paraId="0E8FEB93" w14:textId="77777777" w:rsidR="00BF6B2E" w:rsidRPr="00AF7A87" w:rsidRDefault="00BF6B2E" w:rsidP="00BF6B2E">
      <w:pPr>
        <w:pStyle w:val="Prrafodelista"/>
        <w:tabs>
          <w:tab w:val="left" w:pos="851"/>
        </w:tabs>
        <w:spacing w:line="360" w:lineRule="auto"/>
        <w:ind w:left="851" w:right="616"/>
        <w:jc w:val="both"/>
        <w:rPr>
          <w:rFonts w:ascii="Palatino Linotype" w:hAnsi="Palatino Linotype" w:cs="Arial"/>
          <w:i/>
        </w:rPr>
      </w:pPr>
      <w:r w:rsidRPr="00AF7A87">
        <w:rPr>
          <w:rFonts w:ascii="Palatino Linotype" w:hAnsi="Palatino Linotype" w:cs="Arial"/>
          <w:i/>
        </w:rPr>
        <w:t>“</w:t>
      </w:r>
      <w:r w:rsidRPr="00AF7A87">
        <w:rPr>
          <w:rFonts w:ascii="Palatino Linotype" w:hAnsi="Palatino Linotype" w:cs="Arial"/>
          <w:b/>
          <w:i/>
        </w:rPr>
        <w:t>Artículo 162.</w:t>
      </w:r>
      <w:r w:rsidRPr="00AF7A87">
        <w:rPr>
          <w:rFonts w:ascii="Palatino Linotype" w:hAnsi="Palatino Linotype" w:cs="Arial"/>
          <w:i/>
        </w:rPr>
        <w:t xml:space="preserve"> Las unidades de transparencia deberán garantizar </w:t>
      </w:r>
      <w:r w:rsidRPr="00AF7A87">
        <w:rPr>
          <w:rFonts w:ascii="Palatino Linotype" w:hAnsi="Palatino Linotype" w:cs="Arial"/>
          <w:b/>
          <w:i/>
          <w:u w:val="single"/>
        </w:rPr>
        <w:t>que las solicitudes se turnen a todas las Áreas competentes</w:t>
      </w:r>
      <w:r w:rsidRPr="00AF7A87">
        <w:rPr>
          <w:rFonts w:ascii="Palatino Linotype" w:hAnsi="Palatino Linotype" w:cs="Arial"/>
          <w:i/>
        </w:rPr>
        <w:t xml:space="preserve"> que cuenten con la información o deban tenerla de acuerdo a sus facultades, competencias y funciones, con el objeto de que realicen una búsqueda exhaustiva y razonable de la información solicitada.”</w:t>
      </w:r>
    </w:p>
    <w:p w14:paraId="34D94745" w14:textId="77777777" w:rsidR="00BF6B2E" w:rsidRPr="00AF7A87" w:rsidRDefault="00BF6B2E" w:rsidP="00BF6B2E">
      <w:pPr>
        <w:spacing w:line="360" w:lineRule="auto"/>
        <w:jc w:val="both"/>
        <w:rPr>
          <w:rFonts w:ascii="Palatino Linotype" w:hAnsi="Palatino Linotype"/>
          <w:lang w:val="es-ES_tradnl"/>
        </w:rPr>
      </w:pPr>
    </w:p>
    <w:p w14:paraId="589F0318" w14:textId="09D3157A" w:rsidR="00847534" w:rsidRPr="00AF7A87" w:rsidRDefault="009710C1" w:rsidP="000757F4">
      <w:pPr>
        <w:pStyle w:val="Prrafodelista"/>
        <w:numPr>
          <w:ilvl w:val="0"/>
          <w:numId w:val="1"/>
        </w:numPr>
        <w:spacing w:line="360" w:lineRule="auto"/>
        <w:ind w:left="0" w:firstLine="0"/>
        <w:jc w:val="both"/>
        <w:rPr>
          <w:rFonts w:ascii="Palatino Linotype" w:hAnsi="Palatino Linotype"/>
        </w:rPr>
      </w:pPr>
      <w:r w:rsidRPr="00AF7A87">
        <w:rPr>
          <w:rFonts w:ascii="Palatino Linotype" w:hAnsi="Palatino Linotype" w:cs="Arial"/>
        </w:rPr>
        <w:t>Es así que de acuerdo a las constancias en el expediente electrónico del Sistema de Acceso a la Información Mexiquense (SAIMEX), se advierte que en fecha</w:t>
      </w:r>
      <w:r w:rsidR="002D3FBD" w:rsidRPr="00AF7A87">
        <w:rPr>
          <w:rFonts w:ascii="Palatino Linotype" w:hAnsi="Palatino Linotype" w:cs="Arial"/>
        </w:rPr>
        <w:t xml:space="preserve"> cuatro (04) de noviembre de dos mil veinte</w:t>
      </w:r>
      <w:r w:rsidRPr="00AF7A87">
        <w:rPr>
          <w:rFonts w:ascii="Palatino Linotype" w:hAnsi="Palatino Linotype" w:cs="Arial"/>
        </w:rPr>
        <w:t xml:space="preserve">, la Titular de la Unidad de Información, Planeación, Programación y Evaluación del Tribunal de Justicia Administrativa del Estado de México, hizo los requerimientos a los Servidores Públicos </w:t>
      </w:r>
      <w:r w:rsidR="002D3FBD" w:rsidRPr="00AF7A87">
        <w:rPr>
          <w:rFonts w:ascii="Palatino Linotype" w:hAnsi="Palatino Linotype" w:cs="Arial"/>
        </w:rPr>
        <w:t>Habilitados</w:t>
      </w:r>
      <w:r w:rsidRPr="00AF7A87">
        <w:rPr>
          <w:rFonts w:ascii="Palatino Linotype" w:hAnsi="Palatino Linotype" w:cs="Arial"/>
        </w:rPr>
        <w:t xml:space="preserve"> de la </w:t>
      </w:r>
      <w:r w:rsidR="002D3FBD" w:rsidRPr="00AF7A87">
        <w:rPr>
          <w:rFonts w:ascii="Palatino Linotype" w:hAnsi="Palatino Linotype" w:cs="Arial"/>
        </w:rPr>
        <w:t xml:space="preserve">Octava y Novena Sala Especializada en Materia de Responsabilidades Administrativas, </w:t>
      </w:r>
      <w:r w:rsidRPr="00AF7A87">
        <w:rPr>
          <w:rFonts w:ascii="Palatino Linotype" w:hAnsi="Palatino Linotype" w:cs="Arial"/>
        </w:rPr>
        <w:t xml:space="preserve">respectivamente, quienes atendieron dichos requerimientos en fechas </w:t>
      </w:r>
      <w:r w:rsidR="002D3FBD" w:rsidRPr="00AF7A87">
        <w:rPr>
          <w:rFonts w:ascii="Palatino Linotype" w:hAnsi="Palatino Linotype" w:cs="Arial"/>
        </w:rPr>
        <w:t xml:space="preserve">diecisiete (17) y veintitrés (23) de noviembre de dos mil veinte </w:t>
      </w:r>
      <w:r w:rsidRPr="00AF7A87">
        <w:rPr>
          <w:rFonts w:ascii="Palatino Linotype" w:hAnsi="Palatino Linotype" w:cs="Arial"/>
        </w:rPr>
        <w:t>tal como se observa en la imagen que se inserta a continuación:</w:t>
      </w:r>
    </w:p>
    <w:p w14:paraId="187CA019" w14:textId="01EBA471" w:rsidR="00847534" w:rsidRPr="00AF7A87" w:rsidRDefault="00847534" w:rsidP="00847534">
      <w:pPr>
        <w:pStyle w:val="Prrafodelista"/>
        <w:spacing w:line="360" w:lineRule="auto"/>
        <w:ind w:left="0"/>
        <w:jc w:val="both"/>
        <w:rPr>
          <w:rFonts w:ascii="Palatino Linotype" w:hAnsi="Palatino Linotype"/>
        </w:rPr>
      </w:pPr>
    </w:p>
    <w:p w14:paraId="337BB6AB" w14:textId="5BF0ED32" w:rsidR="002D3FBD" w:rsidRPr="00AF7A87" w:rsidRDefault="002D3FBD" w:rsidP="00847534">
      <w:pPr>
        <w:pStyle w:val="Prrafodelista"/>
        <w:spacing w:line="360" w:lineRule="auto"/>
        <w:ind w:left="0"/>
        <w:jc w:val="both"/>
        <w:rPr>
          <w:rFonts w:ascii="Palatino Linotype" w:hAnsi="Palatino Linotype"/>
        </w:rPr>
      </w:pPr>
      <w:r w:rsidRPr="00AF7A87">
        <w:rPr>
          <w:rFonts w:ascii="Palatino Linotype" w:hAnsi="Palatino Linotype"/>
          <w:noProof/>
          <w:lang w:val="es-MX" w:eastAsia="es-MX"/>
        </w:rPr>
        <w:lastRenderedPageBreak/>
        <w:drawing>
          <wp:inline distT="0" distB="0" distL="0" distR="0" wp14:anchorId="0EE65B22" wp14:editId="5AA6AAF2">
            <wp:extent cx="5611903" cy="2016177"/>
            <wp:effectExtent l="0" t="0" r="1905"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30214" cy="2022756"/>
                    </a:xfrm>
                    <a:prstGeom prst="rect">
                      <a:avLst/>
                    </a:prstGeom>
                  </pic:spPr>
                </pic:pic>
              </a:graphicData>
            </a:graphic>
          </wp:inline>
        </w:drawing>
      </w:r>
    </w:p>
    <w:p w14:paraId="08235391" w14:textId="239ECD89" w:rsidR="00847534" w:rsidRPr="00AF7A87" w:rsidRDefault="009710C1" w:rsidP="000757F4">
      <w:pPr>
        <w:pStyle w:val="Prrafodelista"/>
        <w:numPr>
          <w:ilvl w:val="0"/>
          <w:numId w:val="1"/>
        </w:numPr>
        <w:spacing w:line="360" w:lineRule="auto"/>
        <w:ind w:left="0" w:firstLine="0"/>
        <w:jc w:val="both"/>
        <w:rPr>
          <w:rFonts w:ascii="Palatino Linotype" w:eastAsia="MS Mincho" w:hAnsi="Palatino Linotype" w:cs="Arial"/>
          <w:color w:val="000000" w:themeColor="text1"/>
        </w:rPr>
      </w:pPr>
      <w:r w:rsidRPr="00AF7A87">
        <w:rPr>
          <w:rFonts w:ascii="Palatino Linotype" w:hAnsi="Palatino Linotype"/>
          <w:color w:val="000000" w:themeColor="text1"/>
        </w:rPr>
        <w:t xml:space="preserve">En ese sentido, al existir un pronunciamiento directo por parte del </w:t>
      </w:r>
      <w:r w:rsidRPr="00AF7A87">
        <w:rPr>
          <w:rFonts w:ascii="Palatino Linotype" w:hAnsi="Palatino Linotype"/>
          <w:b/>
          <w:color w:val="000000" w:themeColor="text1"/>
        </w:rPr>
        <w:t>SUJETO OBLIGADO</w:t>
      </w:r>
      <w:r w:rsidRPr="00AF7A87">
        <w:rPr>
          <w:rFonts w:ascii="Palatino Linotype" w:hAnsi="Palatino Linotype"/>
          <w:color w:val="000000" w:themeColor="text1"/>
        </w:rPr>
        <w:t xml:space="preserve">, a fin de atender la solicitud planteada por el hoy </w:t>
      </w:r>
      <w:r w:rsidRPr="00AF7A87">
        <w:rPr>
          <w:rFonts w:ascii="Palatino Linotype" w:hAnsi="Palatino Linotype"/>
          <w:b/>
          <w:color w:val="000000" w:themeColor="text1"/>
        </w:rPr>
        <w:t>RECURRENTE</w:t>
      </w:r>
      <w:r w:rsidRPr="00AF7A87">
        <w:rPr>
          <w:rFonts w:ascii="Palatino Linotype" w:hAnsi="Palatino Linotype"/>
          <w:color w:val="000000" w:themeColor="text1"/>
        </w:rPr>
        <w:t xml:space="preserve">, </w:t>
      </w:r>
      <w:r w:rsidRPr="00AF7A87">
        <w:rPr>
          <w:rFonts w:ascii="Palatino Linotype" w:eastAsia="MS Mincho" w:hAnsi="Palatino Linotype"/>
        </w:rPr>
        <w:t xml:space="preserve">se advierte que </w:t>
      </w:r>
      <w:r w:rsidRPr="00AF7A87">
        <w:rPr>
          <w:rFonts w:ascii="Palatino Linotype" w:eastAsia="Calibri" w:hAnsi="Palatino Linotype" w:cs="Arial"/>
          <w:bCs/>
          <w:lang w:val="es-ES"/>
        </w:rPr>
        <w:t xml:space="preserve">el </w:t>
      </w:r>
      <w:r w:rsidRPr="00AF7A87">
        <w:rPr>
          <w:rFonts w:ascii="Palatino Linotype" w:eastAsia="Calibri" w:hAnsi="Palatino Linotype" w:cs="Arial"/>
          <w:b/>
          <w:bCs/>
          <w:lang w:val="es-ES"/>
        </w:rPr>
        <w:t>SUJETO OBLIGADO</w:t>
      </w:r>
      <w:r w:rsidRPr="00AF7A87">
        <w:rPr>
          <w:rFonts w:ascii="Palatino Linotype" w:eastAsia="Calibri" w:hAnsi="Palatino Linotype" w:cs="Arial"/>
          <w:bCs/>
          <w:lang w:val="es-ES"/>
        </w:rPr>
        <w:t xml:space="preserve"> no niega la existencia de la información solicitada, sino por el contrario, al</w:t>
      </w:r>
      <w:r w:rsidRPr="00AF7A87">
        <w:rPr>
          <w:rFonts w:ascii="Palatino Linotype" w:hAnsi="Palatino Linotype" w:cs="Arial"/>
          <w:lang w:val="es-ES" w:eastAsia="es-MX"/>
        </w:rPr>
        <w:t xml:space="preserve"> referir las través de su respuesta la dirección electrónica del portal en el cual se encuentran disponibles las versiones públicas de las sentencias solicitadas por el particular, a efecto de atender lo solicitado asevera su existencia, por lo que el estudio de la naturaleza jurídica de la información solicitada, en el caso concreto, se obvia. </w:t>
      </w:r>
    </w:p>
    <w:p w14:paraId="4E49A988" w14:textId="77777777" w:rsidR="00847534" w:rsidRPr="00AF7A87" w:rsidRDefault="00847534" w:rsidP="00847534">
      <w:pPr>
        <w:pStyle w:val="Prrafodelista"/>
        <w:rPr>
          <w:rFonts w:ascii="Palatino Linotype" w:hAnsi="Palatino Linotype" w:cs="Arial"/>
          <w:lang w:val="es-ES" w:eastAsia="es-MX"/>
        </w:rPr>
      </w:pPr>
    </w:p>
    <w:p w14:paraId="08BB0AF1" w14:textId="0AF58FEE" w:rsidR="00847534" w:rsidRPr="00AF7A87" w:rsidRDefault="009710C1" w:rsidP="000757F4">
      <w:pPr>
        <w:pStyle w:val="Prrafodelista"/>
        <w:numPr>
          <w:ilvl w:val="0"/>
          <w:numId w:val="1"/>
        </w:numPr>
        <w:spacing w:line="360" w:lineRule="auto"/>
        <w:ind w:left="0" w:firstLine="0"/>
        <w:jc w:val="both"/>
        <w:rPr>
          <w:rFonts w:ascii="Palatino Linotype" w:hAnsi="Palatino Linotype"/>
        </w:rPr>
      </w:pPr>
      <w:r w:rsidRPr="00AF7A87">
        <w:rPr>
          <w:rFonts w:ascii="Palatino Linotype" w:hAnsi="Palatino Linotype" w:cs="Arial"/>
          <w:lang w:val="es-ES" w:eastAsia="es-MX"/>
        </w:rPr>
        <w:t>Lo anterior es así, ya que el estudio enunciado tiene por objeto determinar si el</w:t>
      </w:r>
      <w:r w:rsidRPr="00AF7A87">
        <w:rPr>
          <w:rFonts w:ascii="Palatino Linotype" w:hAnsi="Palatino Linotype" w:cs="Arial"/>
          <w:b/>
          <w:lang w:val="es-ES" w:eastAsia="es-MX"/>
        </w:rPr>
        <w:t xml:space="preserve"> SUJETO OBLIGADO</w:t>
      </w:r>
      <w:r w:rsidRPr="00AF7A87">
        <w:rPr>
          <w:rFonts w:ascii="Palatino Linotype" w:hAnsi="Palatino Linotype" w:cs="Arial"/>
          <w:lang w:val="es-ES" w:eastAsia="es-MX"/>
        </w:rPr>
        <w:t xml:space="preserve"> genera, posee o </w:t>
      </w:r>
      <w:proofErr w:type="gramStart"/>
      <w:r w:rsidRPr="00AF7A87">
        <w:rPr>
          <w:rFonts w:ascii="Palatino Linotype" w:hAnsi="Palatino Linotype" w:cs="Arial"/>
          <w:lang w:val="es-ES" w:eastAsia="es-MX"/>
        </w:rPr>
        <w:t>administra  la</w:t>
      </w:r>
      <w:proofErr w:type="gramEnd"/>
      <w:r w:rsidRPr="00AF7A87">
        <w:rPr>
          <w:rFonts w:ascii="Palatino Linotype" w:hAnsi="Palatino Linotype" w:cs="Arial"/>
          <w:lang w:val="es-ES" w:eastAsia="es-MX"/>
        </w:rPr>
        <w:t xml:space="preserve"> información solicitada; sin embargo, en aquellos casos en que éste la asume, ello efectivamente está en su poder; por consiguiente, sería ocioso y a nada práctico nos conduciría su estudio, ya que, se insiste, la información pública solicitada fue asumida por el </w:t>
      </w:r>
      <w:r w:rsidRPr="00AF7A87">
        <w:rPr>
          <w:rFonts w:ascii="Palatino Linotype" w:hAnsi="Palatino Linotype" w:cs="Arial"/>
          <w:b/>
          <w:lang w:val="es-ES" w:eastAsia="es-MX"/>
        </w:rPr>
        <w:t>SUJETO OBLIGADO</w:t>
      </w:r>
      <w:r w:rsidRPr="00AF7A87">
        <w:rPr>
          <w:rFonts w:ascii="Palatino Linotype" w:hAnsi="Palatino Linotype" w:cs="Arial"/>
          <w:lang w:val="es-ES" w:eastAsia="es-MX"/>
        </w:rPr>
        <w:t xml:space="preserve">. </w:t>
      </w:r>
    </w:p>
    <w:p w14:paraId="0A9F8084" w14:textId="77777777" w:rsidR="00847534" w:rsidRPr="00AF7A87" w:rsidRDefault="00847534" w:rsidP="00903483">
      <w:pPr>
        <w:pStyle w:val="Prrafodelista"/>
        <w:spacing w:line="360" w:lineRule="auto"/>
        <w:ind w:left="0"/>
        <w:jc w:val="both"/>
        <w:rPr>
          <w:rFonts w:ascii="Palatino Linotype" w:hAnsi="Palatino Linotype"/>
        </w:rPr>
      </w:pPr>
    </w:p>
    <w:p w14:paraId="757276FB" w14:textId="77777777" w:rsidR="00847534" w:rsidRPr="00AF7A87" w:rsidRDefault="009710C1" w:rsidP="000757F4">
      <w:pPr>
        <w:pStyle w:val="Prrafodelista"/>
        <w:numPr>
          <w:ilvl w:val="0"/>
          <w:numId w:val="1"/>
        </w:numPr>
        <w:spacing w:line="360" w:lineRule="auto"/>
        <w:ind w:left="0" w:firstLine="0"/>
        <w:jc w:val="both"/>
        <w:rPr>
          <w:rFonts w:ascii="Palatino Linotype" w:hAnsi="Palatino Linotype"/>
        </w:rPr>
      </w:pPr>
      <w:r w:rsidRPr="00AF7A87">
        <w:rPr>
          <w:rFonts w:ascii="Palatino Linotype" w:hAnsi="Palatino Linotype"/>
          <w:color w:val="000000" w:themeColor="text1"/>
        </w:rPr>
        <w:lastRenderedPageBreak/>
        <w:t xml:space="preserve">Ahora bien, esta Ponencia resolutora accedió al portal referido por el </w:t>
      </w:r>
      <w:r w:rsidRPr="00AF7A87">
        <w:rPr>
          <w:rFonts w:ascii="Palatino Linotype" w:hAnsi="Palatino Linotype"/>
          <w:b/>
          <w:color w:val="000000" w:themeColor="text1"/>
        </w:rPr>
        <w:t>SUJETO OBLIGADO</w:t>
      </w:r>
      <w:r w:rsidRPr="00AF7A87">
        <w:rPr>
          <w:rFonts w:ascii="Palatino Linotype" w:hAnsi="Palatino Linotype"/>
          <w:color w:val="000000" w:themeColor="text1"/>
        </w:rPr>
        <w:t xml:space="preserve"> en su respuesta siguiente:  </w:t>
      </w:r>
      <w:hyperlink r:id="rId13" w:history="1">
        <w:r w:rsidRPr="00AF7A87">
          <w:rPr>
            <w:rStyle w:val="Hipervnculo"/>
            <w:rFonts w:ascii="Palatino Linotype" w:hAnsi="Palatino Linotype"/>
          </w:rPr>
          <w:t>http://trijaem.gob.mx/sentencias/</w:t>
        </w:r>
      </w:hyperlink>
      <w:r w:rsidRPr="00AF7A87">
        <w:rPr>
          <w:rFonts w:ascii="Palatino Linotype" w:hAnsi="Palatino Linotype"/>
        </w:rPr>
        <w:t>, en el cual se encuentra visible lo siguiente:</w:t>
      </w:r>
    </w:p>
    <w:p w14:paraId="434B7D2F" w14:textId="6339CB9A" w:rsidR="00847534" w:rsidRPr="00AF7A87" w:rsidRDefault="00847534" w:rsidP="00847534">
      <w:pPr>
        <w:pStyle w:val="Prrafodelista"/>
        <w:rPr>
          <w:rFonts w:ascii="Palatino Linotype" w:hAnsi="Palatino Linotype"/>
          <w:color w:val="000000" w:themeColor="text1"/>
        </w:rPr>
      </w:pPr>
    </w:p>
    <w:p w14:paraId="3B44AFB5" w14:textId="551587A6" w:rsidR="00847534" w:rsidRPr="00AF7A87" w:rsidRDefault="00847534" w:rsidP="00847534">
      <w:pPr>
        <w:pStyle w:val="Prrafodelista"/>
        <w:rPr>
          <w:rFonts w:ascii="Palatino Linotype" w:hAnsi="Palatino Linotype"/>
          <w:color w:val="000000" w:themeColor="text1"/>
        </w:rPr>
      </w:pPr>
    </w:p>
    <w:p w14:paraId="3601BD6D" w14:textId="584F35A3" w:rsidR="00847534" w:rsidRPr="00AF7A87" w:rsidRDefault="008C4972" w:rsidP="008C4972">
      <w:pPr>
        <w:pStyle w:val="Prrafodelista"/>
        <w:ind w:left="0"/>
        <w:jc w:val="center"/>
        <w:rPr>
          <w:rFonts w:ascii="Palatino Linotype" w:hAnsi="Palatino Linotype"/>
          <w:color w:val="000000" w:themeColor="text1"/>
        </w:rPr>
      </w:pPr>
      <w:r w:rsidRPr="00AF7A87">
        <w:rPr>
          <w:rFonts w:ascii="Palatino Linotype" w:hAnsi="Palatino Linotype"/>
          <w:noProof/>
          <w:color w:val="000000" w:themeColor="text1"/>
          <w:lang w:val="es-MX" w:eastAsia="es-MX"/>
        </w:rPr>
        <w:drawing>
          <wp:inline distT="0" distB="0" distL="0" distR="0" wp14:anchorId="701A8995" wp14:editId="61499F8A">
            <wp:extent cx="5612130" cy="3332480"/>
            <wp:effectExtent l="0" t="0" r="127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2130" cy="3332480"/>
                    </a:xfrm>
                    <a:prstGeom prst="rect">
                      <a:avLst/>
                    </a:prstGeom>
                  </pic:spPr>
                </pic:pic>
              </a:graphicData>
            </a:graphic>
          </wp:inline>
        </w:drawing>
      </w:r>
    </w:p>
    <w:p w14:paraId="71C98B46" w14:textId="77777777" w:rsidR="008C4972" w:rsidRPr="00AF7A87" w:rsidRDefault="008C4972" w:rsidP="008C4972">
      <w:pPr>
        <w:pStyle w:val="Prrafodelista"/>
        <w:ind w:left="0"/>
        <w:jc w:val="center"/>
        <w:rPr>
          <w:rFonts w:ascii="Palatino Linotype" w:hAnsi="Palatino Linotype"/>
          <w:color w:val="000000" w:themeColor="text1"/>
        </w:rPr>
      </w:pPr>
    </w:p>
    <w:p w14:paraId="536C2CA6" w14:textId="77777777" w:rsidR="008C4972" w:rsidRPr="00AF7A87" w:rsidRDefault="008C4972" w:rsidP="00847534">
      <w:pPr>
        <w:pStyle w:val="Prrafodelista"/>
        <w:rPr>
          <w:rFonts w:ascii="Palatino Linotype" w:hAnsi="Palatino Linotype"/>
          <w:color w:val="000000" w:themeColor="text1"/>
        </w:rPr>
      </w:pPr>
    </w:p>
    <w:p w14:paraId="0EF5B47C" w14:textId="0319AE66" w:rsidR="00847534" w:rsidRPr="00AF7A87" w:rsidRDefault="009710C1" w:rsidP="000757F4">
      <w:pPr>
        <w:pStyle w:val="Prrafodelista"/>
        <w:numPr>
          <w:ilvl w:val="0"/>
          <w:numId w:val="1"/>
        </w:numPr>
        <w:spacing w:line="360" w:lineRule="auto"/>
        <w:ind w:left="0" w:firstLine="0"/>
        <w:jc w:val="both"/>
        <w:rPr>
          <w:rFonts w:ascii="Palatino Linotype" w:hAnsi="Palatino Linotype"/>
        </w:rPr>
      </w:pPr>
      <w:r w:rsidRPr="00AF7A87">
        <w:rPr>
          <w:rFonts w:ascii="Palatino Linotype" w:hAnsi="Palatino Linotype"/>
          <w:color w:val="000000" w:themeColor="text1"/>
        </w:rPr>
        <w:t xml:space="preserve">De la imagen que se inserta, se advierte que la dirección electrónica referida por el </w:t>
      </w:r>
      <w:r w:rsidRPr="00AF7A87">
        <w:rPr>
          <w:rFonts w:ascii="Palatino Linotype" w:hAnsi="Palatino Linotype"/>
          <w:b/>
          <w:color w:val="000000" w:themeColor="text1"/>
        </w:rPr>
        <w:t xml:space="preserve">SUJETO OBLIGADO </w:t>
      </w:r>
      <w:r w:rsidRPr="00AF7A87">
        <w:rPr>
          <w:rFonts w:ascii="Palatino Linotype" w:hAnsi="Palatino Linotype"/>
          <w:color w:val="000000" w:themeColor="text1"/>
        </w:rPr>
        <w:t xml:space="preserve">en su respuesta, remite efectivamente al portal de sentencias del Tribunal de Justicia Administrativa del Estado de México, en el cual se pueden consultar las versiones públicas de las sentencias que se emiten desde que se </w:t>
      </w:r>
      <w:proofErr w:type="spellStart"/>
      <w:r w:rsidRPr="00AF7A87">
        <w:rPr>
          <w:rFonts w:ascii="Palatino Linotype" w:hAnsi="Palatino Linotype"/>
          <w:color w:val="000000" w:themeColor="text1"/>
        </w:rPr>
        <w:t>instruyo</w:t>
      </w:r>
      <w:proofErr w:type="spellEnd"/>
      <w:r w:rsidRPr="00AF7A87">
        <w:rPr>
          <w:rFonts w:ascii="Palatino Linotype" w:hAnsi="Palatino Linotype"/>
          <w:color w:val="000000" w:themeColor="text1"/>
        </w:rPr>
        <w:t xml:space="preserve"> el Tribunal en julio de 2017, 2018, 2019 y las que se emitan en este 2020.</w:t>
      </w:r>
    </w:p>
    <w:p w14:paraId="0B443F1F" w14:textId="77777777" w:rsidR="00847534" w:rsidRPr="00AF7A87" w:rsidRDefault="00847534" w:rsidP="00847534">
      <w:pPr>
        <w:pStyle w:val="Prrafodelista"/>
        <w:spacing w:line="360" w:lineRule="auto"/>
        <w:ind w:left="0"/>
        <w:jc w:val="both"/>
        <w:rPr>
          <w:rFonts w:ascii="Palatino Linotype" w:hAnsi="Palatino Linotype"/>
        </w:rPr>
      </w:pPr>
    </w:p>
    <w:p w14:paraId="677E9C5B" w14:textId="60DE96E1" w:rsidR="008C4972" w:rsidRPr="00AF7A87" w:rsidRDefault="009710C1" w:rsidP="000757F4">
      <w:pPr>
        <w:pStyle w:val="Prrafodelista"/>
        <w:numPr>
          <w:ilvl w:val="0"/>
          <w:numId w:val="1"/>
        </w:numPr>
        <w:spacing w:line="360" w:lineRule="auto"/>
        <w:ind w:left="0" w:firstLine="0"/>
        <w:jc w:val="both"/>
        <w:rPr>
          <w:rFonts w:ascii="Palatino Linotype" w:hAnsi="Palatino Linotype"/>
        </w:rPr>
      </w:pPr>
      <w:r w:rsidRPr="00AF7A87">
        <w:rPr>
          <w:rFonts w:ascii="Palatino Linotype" w:hAnsi="Palatino Linotype"/>
          <w:color w:val="000000" w:themeColor="text1"/>
        </w:rPr>
        <w:lastRenderedPageBreak/>
        <w:t>Ahora bien, una vez ingresando el tema de las sentencias que se buscan, la información se encuentra clasificada en los siguientes rubros para su localización: año, número de expediente, Magistrado,</w:t>
      </w:r>
      <w:r w:rsidR="008C4972" w:rsidRPr="00AF7A87">
        <w:rPr>
          <w:rFonts w:ascii="Palatino Linotype" w:hAnsi="Palatino Linotype"/>
          <w:color w:val="000000" w:themeColor="text1"/>
        </w:rPr>
        <w:t xml:space="preserve"> </w:t>
      </w:r>
      <w:r w:rsidRPr="00AF7A87">
        <w:rPr>
          <w:rFonts w:ascii="Palatino Linotype" w:hAnsi="Palatino Linotype"/>
          <w:color w:val="000000" w:themeColor="text1"/>
        </w:rPr>
        <w:t xml:space="preserve">Materia, tema y sentencia (en este último se encuentra la versión pública de la sentencia digitalizada en formato </w:t>
      </w:r>
      <w:proofErr w:type="spellStart"/>
      <w:r w:rsidRPr="00AF7A87">
        <w:rPr>
          <w:rFonts w:ascii="Palatino Linotype" w:hAnsi="Palatino Linotype"/>
          <w:color w:val="000000" w:themeColor="text1"/>
        </w:rPr>
        <w:t>pdf</w:t>
      </w:r>
      <w:proofErr w:type="spellEnd"/>
      <w:r w:rsidRPr="00AF7A87">
        <w:rPr>
          <w:rFonts w:ascii="Palatino Linotype" w:hAnsi="Palatino Linotype"/>
          <w:color w:val="000000" w:themeColor="text1"/>
        </w:rPr>
        <w:t xml:space="preserve">. </w:t>
      </w:r>
      <w:r w:rsidR="008C4972" w:rsidRPr="00AF7A87">
        <w:rPr>
          <w:rFonts w:ascii="Palatino Linotype" w:hAnsi="Palatino Linotype"/>
          <w:color w:val="000000" w:themeColor="text1"/>
        </w:rPr>
        <w:t>y</w:t>
      </w:r>
      <w:r w:rsidRPr="00AF7A87">
        <w:rPr>
          <w:rFonts w:ascii="Palatino Linotype" w:hAnsi="Palatino Linotype"/>
          <w:color w:val="000000" w:themeColor="text1"/>
        </w:rPr>
        <w:t xml:space="preserve"> descargable</w:t>
      </w:r>
      <w:proofErr w:type="gramStart"/>
      <w:r w:rsidRPr="00AF7A87">
        <w:rPr>
          <w:rFonts w:ascii="Palatino Linotype" w:hAnsi="Palatino Linotype"/>
          <w:color w:val="000000" w:themeColor="text1"/>
        </w:rPr>
        <w:t>) ,</w:t>
      </w:r>
      <w:proofErr w:type="gramEnd"/>
      <w:r w:rsidRPr="00AF7A87">
        <w:rPr>
          <w:rFonts w:ascii="Palatino Linotype" w:hAnsi="Palatino Linotype"/>
          <w:color w:val="000000" w:themeColor="text1"/>
        </w:rPr>
        <w:t xml:space="preserve"> como a </w:t>
      </w:r>
      <w:r w:rsidR="008C4972" w:rsidRPr="00AF7A87">
        <w:rPr>
          <w:rFonts w:ascii="Palatino Linotype" w:hAnsi="Palatino Linotype"/>
          <w:color w:val="000000" w:themeColor="text1"/>
        </w:rPr>
        <w:t>continuación</w:t>
      </w:r>
      <w:r w:rsidRPr="00AF7A87">
        <w:rPr>
          <w:rFonts w:ascii="Palatino Linotype" w:hAnsi="Palatino Linotype"/>
          <w:color w:val="000000" w:themeColor="text1"/>
        </w:rPr>
        <w:t xml:space="preserve"> se muestra:</w:t>
      </w:r>
    </w:p>
    <w:p w14:paraId="43F5A6F3" w14:textId="4BC35AA5" w:rsidR="00F777FF" w:rsidRPr="00AF7A87" w:rsidRDefault="00F777FF" w:rsidP="00F777FF">
      <w:pPr>
        <w:pStyle w:val="Prrafodelista"/>
        <w:spacing w:line="360" w:lineRule="auto"/>
        <w:ind w:left="0"/>
        <w:jc w:val="both"/>
        <w:rPr>
          <w:rFonts w:ascii="Palatino Linotype" w:hAnsi="Palatino Linotype"/>
        </w:rPr>
      </w:pPr>
      <w:r w:rsidRPr="00AF7A87">
        <w:rPr>
          <w:rFonts w:ascii="Palatino Linotype" w:hAnsi="Palatino Linotype"/>
          <w:noProof/>
          <w:lang w:val="es-MX" w:eastAsia="es-MX"/>
        </w:rPr>
        <mc:AlternateContent>
          <mc:Choice Requires="wps">
            <w:drawing>
              <wp:anchor distT="0" distB="0" distL="114300" distR="114300" simplePos="0" relativeHeight="251661312" behindDoc="0" locked="0" layoutInCell="1" allowOverlap="1" wp14:anchorId="312CA8BC" wp14:editId="2099DC54">
                <wp:simplePos x="0" y="0"/>
                <wp:positionH relativeFrom="column">
                  <wp:posOffset>-76616</wp:posOffset>
                </wp:positionH>
                <wp:positionV relativeFrom="paragraph">
                  <wp:posOffset>1733477</wp:posOffset>
                </wp:positionV>
                <wp:extent cx="5521960" cy="681990"/>
                <wp:effectExtent l="50800" t="25400" r="66040" b="80010"/>
                <wp:wrapNone/>
                <wp:docPr id="12" name="Marco 12"/>
                <wp:cNvGraphicFramePr/>
                <a:graphic xmlns:a="http://schemas.openxmlformats.org/drawingml/2006/main">
                  <a:graphicData uri="http://schemas.microsoft.com/office/word/2010/wordprocessingShape">
                    <wps:wsp>
                      <wps:cNvSpPr/>
                      <wps:spPr>
                        <a:xfrm>
                          <a:off x="0" y="0"/>
                          <a:ext cx="5521960" cy="681990"/>
                        </a:xfrm>
                        <a:prstGeom prst="frame">
                          <a:avLst>
                            <a:gd name="adj1" fmla="val 4807"/>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7B6F43" id="Marco 12" o:spid="_x0000_s1026" style="position:absolute;margin-left:-6.05pt;margin-top:136.5pt;width:434.8pt;height:53.7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5521960,681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" path="m,l5521960,r,681990l,681990,,xm32783,32783r,616424l5489177,649207r,-616424l32783,32783xe" fillcolor="red" strokecolor="red">
                <v:shadow on="t" color="black" opacity="22937f" origin=",.5" offset="0,.63889mm"/>
                <v:path arrowok="t" o:connecttype="custom" o:connectlocs="0,0;5521960,0;5521960,681990;0,681990;0,0;32783,32783;32783,649207;5489177,649207;5489177,32783;32783,32783" o:connectangles="0,0,0,0,0,0,0,0,0,0"/>
              </v:shape>
            </w:pict>
          </mc:Fallback>
        </mc:AlternateContent>
      </w:r>
      <w:r w:rsidRPr="00AF7A87">
        <w:rPr>
          <w:rFonts w:ascii="Palatino Linotype" w:hAnsi="Palatino Linotype"/>
          <w:noProof/>
          <w:lang w:val="es-MX" w:eastAsia="es-MX"/>
        </w:rPr>
        <mc:AlternateContent>
          <mc:Choice Requires="wps">
            <w:drawing>
              <wp:anchor distT="0" distB="0" distL="114300" distR="114300" simplePos="0" relativeHeight="251660288" behindDoc="0" locked="0" layoutInCell="1" allowOverlap="1" wp14:anchorId="039F4FA3" wp14:editId="142277E2">
                <wp:simplePos x="0" y="0"/>
                <wp:positionH relativeFrom="column">
                  <wp:posOffset>-76346</wp:posOffset>
                </wp:positionH>
                <wp:positionV relativeFrom="paragraph">
                  <wp:posOffset>616835</wp:posOffset>
                </wp:positionV>
                <wp:extent cx="2607310" cy="351790"/>
                <wp:effectExtent l="50800" t="25400" r="59690" b="80010"/>
                <wp:wrapNone/>
                <wp:docPr id="11" name="Marco 11"/>
                <wp:cNvGraphicFramePr/>
                <a:graphic xmlns:a="http://schemas.openxmlformats.org/drawingml/2006/main">
                  <a:graphicData uri="http://schemas.microsoft.com/office/word/2010/wordprocessingShape">
                    <wps:wsp>
                      <wps:cNvSpPr/>
                      <wps:spPr>
                        <a:xfrm>
                          <a:off x="0" y="0"/>
                          <a:ext cx="2607310" cy="351790"/>
                        </a:xfrm>
                        <a:prstGeom prst="frame">
                          <a:avLst>
                            <a:gd name="adj1" fmla="val 6108"/>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7202D" id="Marco 11" o:spid="_x0000_s1026" style="position:absolute;margin-left:-6pt;margin-top:48.55pt;width:205.3pt;height:27.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07310,351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" path="m,l2607310,r,351790l,351790,,xm21487,21487r,308816l2585823,330303r,-308816l21487,21487xe" fillcolor="red" strokecolor="red">
                <v:shadow on="t" color="black" opacity="22937f" origin=",.5" offset="0,.63889mm"/>
                <v:path arrowok="t" o:connecttype="custom" o:connectlocs="0,0;2607310,0;2607310,351790;0,351790;0,0;21487,21487;21487,330303;2585823,330303;2585823,21487;21487,21487" o:connectangles="0,0,0,0,0,0,0,0,0,0"/>
              </v:shape>
            </w:pict>
          </mc:Fallback>
        </mc:AlternateContent>
      </w:r>
      <w:r w:rsidR="008C4972" w:rsidRPr="00AF7A87">
        <w:rPr>
          <w:rFonts w:ascii="Palatino Linotype" w:hAnsi="Palatino Linotype"/>
          <w:noProof/>
          <w:lang w:val="es-MX" w:eastAsia="es-MX"/>
        </w:rPr>
        <w:drawing>
          <wp:inline distT="0" distB="0" distL="0" distR="0" wp14:anchorId="2FB772C2" wp14:editId="2CF8608E">
            <wp:extent cx="5157377" cy="3267856"/>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164040" cy="3272078"/>
                    </a:xfrm>
                    <a:prstGeom prst="rect">
                      <a:avLst/>
                    </a:prstGeom>
                  </pic:spPr>
                </pic:pic>
              </a:graphicData>
            </a:graphic>
          </wp:inline>
        </w:drawing>
      </w:r>
    </w:p>
    <w:p w14:paraId="42129DBB" w14:textId="77777777" w:rsidR="00F777FF" w:rsidRPr="00AF7A87" w:rsidRDefault="00F777FF" w:rsidP="000757F4">
      <w:pPr>
        <w:numPr>
          <w:ilvl w:val="0"/>
          <w:numId w:val="1"/>
        </w:numPr>
        <w:spacing w:after="160" w:line="360" w:lineRule="auto"/>
        <w:ind w:left="0" w:firstLine="0"/>
        <w:contextualSpacing/>
        <w:jc w:val="both"/>
        <w:rPr>
          <w:rFonts w:ascii="Palatino Linotype" w:eastAsia="MS Mincho" w:hAnsi="Palatino Linotype"/>
          <w:lang w:val="es-ES_tradnl" w:eastAsia="es-ES"/>
        </w:rPr>
      </w:pPr>
      <w:r w:rsidRPr="00AF7A87">
        <w:rPr>
          <w:rFonts w:ascii="Palatino Linotype" w:eastAsia="MS Mincho" w:hAnsi="Palatino Linotype"/>
          <w:lang w:val="es-ES_tradnl" w:eastAsia="es-ES"/>
        </w:rPr>
        <w:t xml:space="preserve">Ahora </w:t>
      </w:r>
      <w:proofErr w:type="gramStart"/>
      <w:r w:rsidRPr="00AF7A87">
        <w:rPr>
          <w:rFonts w:ascii="Palatino Linotype" w:eastAsia="MS Mincho" w:hAnsi="Palatino Linotype"/>
          <w:lang w:val="es-ES_tradnl" w:eastAsia="es-ES"/>
        </w:rPr>
        <w:t>bien</w:t>
      </w:r>
      <w:proofErr w:type="gramEnd"/>
      <w:r w:rsidRPr="00AF7A87">
        <w:rPr>
          <w:rFonts w:ascii="Palatino Linotype" w:eastAsia="MS Mincho" w:hAnsi="Palatino Linotype"/>
          <w:lang w:val="es-ES_tradnl" w:eastAsia="es-ES"/>
        </w:rPr>
        <w:t xml:space="preserve"> derivado de los motivos de inconformidad hechos valer por el particular se tiene a bien que estos resultan parcialmente atendibles, por lo siguientes hechos y derechos que se exponen.</w:t>
      </w:r>
    </w:p>
    <w:p w14:paraId="3CB9EE3E" w14:textId="77777777" w:rsidR="00F777FF" w:rsidRPr="00AF7A87" w:rsidRDefault="00F777FF" w:rsidP="00535C1B">
      <w:pPr>
        <w:spacing w:line="360" w:lineRule="auto"/>
        <w:contextualSpacing/>
        <w:jc w:val="both"/>
        <w:rPr>
          <w:rFonts w:ascii="Palatino Linotype" w:eastAsia="MS Mincho" w:hAnsi="Palatino Linotype"/>
          <w:lang w:val="es-ES_tradnl" w:eastAsia="es-ES"/>
        </w:rPr>
      </w:pPr>
    </w:p>
    <w:p w14:paraId="7B247704" w14:textId="59C488A2" w:rsidR="00AF574B" w:rsidRPr="00AF7A87" w:rsidRDefault="00535C1B" w:rsidP="000757F4">
      <w:pPr>
        <w:pStyle w:val="Prrafodelista"/>
        <w:numPr>
          <w:ilvl w:val="0"/>
          <w:numId w:val="1"/>
        </w:numPr>
        <w:spacing w:line="360" w:lineRule="auto"/>
        <w:ind w:left="0" w:firstLine="0"/>
        <w:jc w:val="both"/>
        <w:rPr>
          <w:rFonts w:ascii="Palatino Linotype" w:hAnsi="Palatino Linotype"/>
        </w:rPr>
      </w:pPr>
      <w:r w:rsidRPr="00AF7A87">
        <w:rPr>
          <w:rFonts w:ascii="Palatino Linotype" w:eastAsia="MS Mincho" w:hAnsi="Palatino Linotype"/>
        </w:rPr>
        <w:t xml:space="preserve">De lo anteriormente expuesto, se puede apreciar que el </w:t>
      </w:r>
      <w:r w:rsidRPr="00AF7A87">
        <w:rPr>
          <w:rFonts w:ascii="Palatino Linotype" w:eastAsia="MS Mincho" w:hAnsi="Palatino Linotype"/>
          <w:b/>
        </w:rPr>
        <w:t xml:space="preserve">SUJETO OBLIGADO </w:t>
      </w:r>
      <w:r w:rsidRPr="00AF7A87">
        <w:rPr>
          <w:rFonts w:ascii="Palatino Linotype" w:eastAsia="MS Mincho" w:hAnsi="Palatino Linotype"/>
        </w:rPr>
        <w:t xml:space="preserve">dio respuesta al requerimiento, no obstante, el particular se inconforma porque </w:t>
      </w:r>
      <w:r w:rsidRPr="00AF7A87">
        <w:rPr>
          <w:rFonts w:ascii="Palatino Linotype" w:eastAsia="MS Mincho" w:hAnsi="Palatino Linotype"/>
        </w:rPr>
        <w:lastRenderedPageBreak/>
        <w:t xml:space="preserve">alega que </w:t>
      </w:r>
      <w:proofErr w:type="spellStart"/>
      <w:r w:rsidR="00AF574B" w:rsidRPr="00AF7A87">
        <w:rPr>
          <w:rFonts w:ascii="Palatino Linotype" w:eastAsia="MS Mincho" w:hAnsi="Palatino Linotype"/>
        </w:rPr>
        <w:t>que</w:t>
      </w:r>
      <w:proofErr w:type="spellEnd"/>
      <w:r w:rsidR="00AF574B" w:rsidRPr="00AF7A87">
        <w:rPr>
          <w:rFonts w:ascii="Palatino Linotype" w:eastAsia="MS Mincho" w:hAnsi="Palatino Linotype"/>
        </w:rPr>
        <w:t xml:space="preserve"> </w:t>
      </w:r>
      <w:r w:rsidR="00AF574B" w:rsidRPr="00AF7A87">
        <w:rPr>
          <w:rFonts w:ascii="Palatino Linotype" w:hAnsi="Palatino Linotype"/>
          <w:color w:val="000000"/>
        </w:rPr>
        <w:t>las versiones públicas de las sentencias dictadas por la Novena Sala Regional Especializada del Tribunal de Justicia Administrativa del Estado de México, respecto a los procedimientos de responsabilidad administrativa relativos a faltas graves, seguidos bajos los expedientes números: A) 4/2019 y B) 21/2019 no se encuentran disponibles en el portal de sentencias.</w:t>
      </w:r>
      <w:r w:rsidR="00AF574B" w:rsidRPr="00AF7A87">
        <w:rPr>
          <w:rFonts w:ascii="Palatino Linotype" w:eastAsia="MS Mincho" w:hAnsi="Palatino Linotype"/>
        </w:rPr>
        <w:t xml:space="preserve"> </w:t>
      </w:r>
    </w:p>
    <w:p w14:paraId="63BA9EA5" w14:textId="77777777" w:rsidR="00AF574B" w:rsidRPr="00AF7A87" w:rsidRDefault="00AF574B" w:rsidP="00AF574B">
      <w:pPr>
        <w:pStyle w:val="Prrafodelista"/>
        <w:spacing w:line="360" w:lineRule="auto"/>
        <w:ind w:left="0"/>
        <w:jc w:val="both"/>
        <w:rPr>
          <w:rFonts w:ascii="Palatino Linotype" w:hAnsi="Palatino Linotype"/>
        </w:rPr>
      </w:pPr>
    </w:p>
    <w:p w14:paraId="3A820B29" w14:textId="40F6DE8C" w:rsidR="00535C1B" w:rsidRPr="00AF7A87" w:rsidRDefault="00535C1B" w:rsidP="000757F4">
      <w:pPr>
        <w:numPr>
          <w:ilvl w:val="0"/>
          <w:numId w:val="1"/>
        </w:numPr>
        <w:spacing w:after="160" w:line="360" w:lineRule="auto"/>
        <w:ind w:left="0" w:firstLine="0"/>
        <w:contextualSpacing/>
        <w:jc w:val="both"/>
        <w:rPr>
          <w:rFonts w:ascii="Palatino Linotype" w:eastAsia="MS Mincho" w:hAnsi="Palatino Linotype"/>
          <w:lang w:val="es-ES_tradnl" w:eastAsia="es-ES"/>
        </w:rPr>
      </w:pPr>
      <w:r w:rsidRPr="00AF7A87">
        <w:rPr>
          <w:rFonts w:ascii="Palatino Linotype" w:eastAsia="MS Mincho" w:hAnsi="Palatino Linotype"/>
          <w:lang w:val="es-ES_tradnl" w:eastAsia="es-ES"/>
        </w:rPr>
        <w:t xml:space="preserve">En </w:t>
      </w:r>
      <w:proofErr w:type="gramStart"/>
      <w:r w:rsidRPr="00AF7A87">
        <w:rPr>
          <w:rFonts w:ascii="Palatino Linotype" w:eastAsia="MS Mincho" w:hAnsi="Palatino Linotype"/>
          <w:lang w:val="es-ES_tradnl" w:eastAsia="es-ES"/>
        </w:rPr>
        <w:t>consecuencia</w:t>
      </w:r>
      <w:proofErr w:type="gramEnd"/>
      <w:r w:rsidRPr="00AF7A87">
        <w:rPr>
          <w:rFonts w:ascii="Palatino Linotype" w:eastAsia="MS Mincho" w:hAnsi="Palatino Linotype"/>
          <w:lang w:val="es-ES_tradnl" w:eastAsia="es-ES"/>
        </w:rPr>
        <w:t xml:space="preserve"> es de destacarse que este Órgano Garante en analogía con el criterio número 31/10 del ahora Instituto Nacional de Transparencia, Acceso a la Información Pública y Protección de Datos Personales (antes IFAI) no se encuentra facultado para manifestarse sobre la veracidad de la información proporcionada por parte de los </w:t>
      </w:r>
      <w:r w:rsidRPr="00AF7A87">
        <w:rPr>
          <w:rFonts w:ascii="Palatino Linotype" w:eastAsia="MS Mincho" w:hAnsi="Palatino Linotype"/>
          <w:b/>
          <w:lang w:val="es-ES_tradnl" w:eastAsia="es-ES"/>
        </w:rPr>
        <w:t>SUJETOS OBLIGADOS</w:t>
      </w:r>
      <w:r w:rsidRPr="00AF7A87">
        <w:rPr>
          <w:rFonts w:ascii="Palatino Linotype" w:eastAsia="MS Mincho" w:hAnsi="Palatino Linotype"/>
          <w:lang w:val="es-ES_tradnl" w:eastAsia="es-ES"/>
        </w:rPr>
        <w:t>, en ese sentido se procede a citar el siguiente Criterio:</w:t>
      </w:r>
    </w:p>
    <w:p w14:paraId="29F2E47C" w14:textId="77777777" w:rsidR="00535C1B" w:rsidRPr="00AF7A87" w:rsidRDefault="00535C1B" w:rsidP="00AF574B">
      <w:pPr>
        <w:tabs>
          <w:tab w:val="left" w:pos="8222"/>
        </w:tabs>
        <w:spacing w:before="240" w:after="360" w:line="276" w:lineRule="auto"/>
        <w:ind w:left="720" w:right="567"/>
        <w:contextualSpacing/>
        <w:jc w:val="both"/>
        <w:rPr>
          <w:rFonts w:ascii="Palatino Linotype" w:eastAsia="MS Mincho" w:hAnsi="Palatino Linotype" w:cs="Arial"/>
          <w:b/>
          <w:i/>
          <w:lang w:eastAsia="es-ES"/>
        </w:rPr>
      </w:pPr>
    </w:p>
    <w:p w14:paraId="6634328D" w14:textId="77777777" w:rsidR="00535C1B" w:rsidRPr="00AF7A87" w:rsidRDefault="00535C1B" w:rsidP="00AF574B">
      <w:pPr>
        <w:tabs>
          <w:tab w:val="left" w:pos="8222"/>
        </w:tabs>
        <w:spacing w:before="240" w:after="360" w:line="276" w:lineRule="auto"/>
        <w:ind w:left="720" w:right="567"/>
        <w:contextualSpacing/>
        <w:jc w:val="both"/>
        <w:rPr>
          <w:rFonts w:ascii="Palatino Linotype" w:eastAsia="MS Mincho" w:hAnsi="Palatino Linotype" w:cs="Arial"/>
          <w:i/>
          <w:lang w:eastAsia="es-ES"/>
        </w:rPr>
      </w:pPr>
      <w:r w:rsidRPr="00AF7A87">
        <w:rPr>
          <w:rFonts w:ascii="Palatino Linotype" w:eastAsia="MS Mincho" w:hAnsi="Palatino Linotype" w:cs="Arial"/>
          <w:b/>
          <w:i/>
          <w:lang w:eastAsia="es-ES"/>
        </w:rPr>
        <w:t>El Instituto Federal de Acceso a la Información y Protección de Datos no cuenta con facultades para pronunciarse respecto de la veracidad de los documentos proporcionados por los sujetos obligados.</w:t>
      </w:r>
      <w:r w:rsidRPr="00AF7A87">
        <w:rPr>
          <w:rFonts w:ascii="Palatino Linotype" w:eastAsia="MS Mincho" w:hAnsi="Palatino Linotype" w:cs="Arial"/>
          <w:i/>
          <w:lang w:eastAsia="es-ES"/>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w:t>
      </w:r>
      <w:r w:rsidRPr="00AF7A87">
        <w:rPr>
          <w:rFonts w:ascii="Palatino Linotype" w:eastAsia="MS Mincho" w:hAnsi="Palatino Linotype" w:cs="Arial"/>
          <w:i/>
          <w:lang w:eastAsia="es-ES"/>
        </w:rPr>
        <w:lastRenderedPageBreak/>
        <w:t>Información Pública Gubernamental no se prevé una causal que permita al Instituto Federal de Acceso a la Información y Protección de Datos conocer, vía recurso revisión, al respecto.</w:t>
      </w:r>
    </w:p>
    <w:p w14:paraId="7B842C54" w14:textId="77777777" w:rsidR="00535C1B" w:rsidRPr="00AF7A87" w:rsidRDefault="00535C1B" w:rsidP="00AF574B">
      <w:pPr>
        <w:tabs>
          <w:tab w:val="left" w:pos="8222"/>
        </w:tabs>
        <w:spacing w:before="240" w:after="360" w:line="276" w:lineRule="auto"/>
        <w:ind w:left="720"/>
        <w:contextualSpacing/>
        <w:jc w:val="both"/>
        <w:rPr>
          <w:rFonts w:ascii="Palatino Linotype" w:eastAsia="MS Mincho" w:hAnsi="Palatino Linotype" w:cs="Arial"/>
          <w:i/>
          <w:lang w:eastAsia="es-ES"/>
        </w:rPr>
      </w:pPr>
      <w:r w:rsidRPr="00AF7A87">
        <w:rPr>
          <w:rFonts w:ascii="Palatino Linotype" w:eastAsia="MS Mincho" w:hAnsi="Palatino Linotype" w:cs="Arial"/>
          <w:i/>
          <w:lang w:eastAsia="es-ES"/>
        </w:rPr>
        <w:t>Expedientes:</w:t>
      </w:r>
    </w:p>
    <w:p w14:paraId="18A57BF1" w14:textId="77777777" w:rsidR="00535C1B" w:rsidRPr="00AF7A87" w:rsidRDefault="00535C1B" w:rsidP="00AF574B">
      <w:pPr>
        <w:tabs>
          <w:tab w:val="left" w:pos="8222"/>
        </w:tabs>
        <w:spacing w:before="240" w:after="360" w:line="276" w:lineRule="auto"/>
        <w:ind w:left="720"/>
        <w:contextualSpacing/>
        <w:jc w:val="both"/>
        <w:rPr>
          <w:rFonts w:ascii="Palatino Linotype" w:eastAsia="MS Mincho" w:hAnsi="Palatino Linotype" w:cs="Arial"/>
          <w:i/>
          <w:lang w:eastAsia="es-ES"/>
        </w:rPr>
      </w:pPr>
      <w:r w:rsidRPr="00AF7A87">
        <w:rPr>
          <w:rFonts w:ascii="Palatino Linotype" w:eastAsia="MS Mincho" w:hAnsi="Palatino Linotype" w:cs="Arial"/>
          <w:i/>
          <w:lang w:eastAsia="es-ES"/>
        </w:rPr>
        <w:t>2440/07 Comisión Federal de Electricidad - Alonso Lujambio Irazábal</w:t>
      </w:r>
    </w:p>
    <w:p w14:paraId="1F9095E8" w14:textId="77777777" w:rsidR="00535C1B" w:rsidRPr="00AF7A87" w:rsidRDefault="00535C1B" w:rsidP="00AF574B">
      <w:pPr>
        <w:tabs>
          <w:tab w:val="left" w:pos="8222"/>
        </w:tabs>
        <w:spacing w:before="240" w:after="360" w:line="276" w:lineRule="auto"/>
        <w:ind w:left="720" w:right="567"/>
        <w:contextualSpacing/>
        <w:jc w:val="both"/>
        <w:rPr>
          <w:rFonts w:ascii="Palatino Linotype" w:eastAsia="MS Mincho" w:hAnsi="Palatino Linotype" w:cs="Arial"/>
          <w:i/>
          <w:lang w:eastAsia="es-ES"/>
        </w:rPr>
      </w:pPr>
      <w:r w:rsidRPr="00AF7A87">
        <w:rPr>
          <w:rFonts w:ascii="Palatino Linotype" w:eastAsia="MS Mincho" w:hAnsi="Palatino Linotype" w:cs="Arial"/>
          <w:i/>
          <w:lang w:eastAsia="es-ES"/>
        </w:rPr>
        <w:t>0113/09 Instituto de Seguridad y Servicios Sociales de los Trabajadores del</w:t>
      </w:r>
    </w:p>
    <w:p w14:paraId="08D3B875" w14:textId="77777777" w:rsidR="00535C1B" w:rsidRPr="00AF7A87" w:rsidRDefault="00535C1B" w:rsidP="00AF574B">
      <w:pPr>
        <w:tabs>
          <w:tab w:val="left" w:pos="8222"/>
        </w:tabs>
        <w:spacing w:before="240" w:after="360" w:line="276" w:lineRule="auto"/>
        <w:ind w:left="720" w:right="567"/>
        <w:contextualSpacing/>
        <w:jc w:val="both"/>
        <w:rPr>
          <w:rFonts w:ascii="Palatino Linotype" w:eastAsia="MS Mincho" w:hAnsi="Palatino Linotype" w:cs="Arial"/>
          <w:i/>
          <w:lang w:eastAsia="es-ES"/>
        </w:rPr>
      </w:pPr>
      <w:r w:rsidRPr="00AF7A87">
        <w:rPr>
          <w:rFonts w:ascii="Palatino Linotype" w:eastAsia="MS Mincho" w:hAnsi="Palatino Linotype" w:cs="Arial"/>
          <w:i/>
          <w:lang w:eastAsia="es-ES"/>
        </w:rPr>
        <w:t>Estado – Alonso Lujambio Irazábal</w:t>
      </w:r>
    </w:p>
    <w:p w14:paraId="3D580572" w14:textId="77777777" w:rsidR="00535C1B" w:rsidRPr="00AF7A87" w:rsidRDefault="00535C1B" w:rsidP="00AF574B">
      <w:pPr>
        <w:tabs>
          <w:tab w:val="left" w:pos="8222"/>
        </w:tabs>
        <w:spacing w:before="240" w:after="360" w:line="276" w:lineRule="auto"/>
        <w:ind w:left="720" w:right="567"/>
        <w:contextualSpacing/>
        <w:jc w:val="both"/>
        <w:rPr>
          <w:rFonts w:ascii="Palatino Linotype" w:eastAsia="MS Mincho" w:hAnsi="Palatino Linotype" w:cs="Arial"/>
          <w:i/>
          <w:lang w:eastAsia="es-ES"/>
        </w:rPr>
      </w:pPr>
      <w:r w:rsidRPr="00AF7A87">
        <w:rPr>
          <w:rFonts w:ascii="Palatino Linotype" w:eastAsia="MS Mincho" w:hAnsi="Palatino Linotype" w:cs="Arial"/>
          <w:i/>
          <w:lang w:eastAsia="es-ES"/>
        </w:rPr>
        <w:t xml:space="preserve">1624/09 Instituto Nacional para la Educación de los Adultos - María </w:t>
      </w:r>
      <w:proofErr w:type="spellStart"/>
      <w:r w:rsidRPr="00AF7A87">
        <w:rPr>
          <w:rFonts w:ascii="Palatino Linotype" w:eastAsia="MS Mincho" w:hAnsi="Palatino Linotype" w:cs="Arial"/>
          <w:i/>
          <w:lang w:eastAsia="es-ES"/>
        </w:rPr>
        <w:t>Marván</w:t>
      </w:r>
      <w:proofErr w:type="spellEnd"/>
      <w:r w:rsidRPr="00AF7A87">
        <w:rPr>
          <w:rFonts w:ascii="Palatino Linotype" w:eastAsia="MS Mincho" w:hAnsi="Palatino Linotype" w:cs="Arial"/>
          <w:i/>
          <w:lang w:eastAsia="es-ES"/>
        </w:rPr>
        <w:t xml:space="preserve"> Laborde</w:t>
      </w:r>
    </w:p>
    <w:p w14:paraId="74D5AEF1" w14:textId="77777777" w:rsidR="00535C1B" w:rsidRPr="00AF7A87" w:rsidRDefault="00535C1B" w:rsidP="00AF574B">
      <w:pPr>
        <w:tabs>
          <w:tab w:val="left" w:pos="8222"/>
        </w:tabs>
        <w:spacing w:before="240" w:after="360" w:line="276" w:lineRule="auto"/>
        <w:ind w:left="720" w:right="567"/>
        <w:contextualSpacing/>
        <w:jc w:val="both"/>
        <w:rPr>
          <w:rFonts w:ascii="Palatino Linotype" w:eastAsia="MS Mincho" w:hAnsi="Palatino Linotype" w:cs="Arial"/>
          <w:i/>
          <w:lang w:eastAsia="es-ES"/>
        </w:rPr>
      </w:pPr>
      <w:r w:rsidRPr="00AF7A87">
        <w:rPr>
          <w:rFonts w:ascii="Palatino Linotype" w:eastAsia="MS Mincho" w:hAnsi="Palatino Linotype" w:cs="Arial"/>
          <w:i/>
          <w:lang w:eastAsia="es-ES"/>
        </w:rPr>
        <w:t xml:space="preserve">2395/09 Secretaría de Economía - María </w:t>
      </w:r>
      <w:proofErr w:type="spellStart"/>
      <w:r w:rsidRPr="00AF7A87">
        <w:rPr>
          <w:rFonts w:ascii="Palatino Linotype" w:eastAsia="MS Mincho" w:hAnsi="Palatino Linotype" w:cs="Arial"/>
          <w:i/>
          <w:lang w:eastAsia="es-ES"/>
        </w:rPr>
        <w:t>Marván</w:t>
      </w:r>
      <w:proofErr w:type="spellEnd"/>
      <w:r w:rsidRPr="00AF7A87">
        <w:rPr>
          <w:rFonts w:ascii="Palatino Linotype" w:eastAsia="MS Mincho" w:hAnsi="Palatino Linotype" w:cs="Arial"/>
          <w:i/>
          <w:lang w:eastAsia="es-ES"/>
        </w:rPr>
        <w:t xml:space="preserve"> Laborde</w:t>
      </w:r>
    </w:p>
    <w:p w14:paraId="44A54D29" w14:textId="77777777" w:rsidR="00535C1B" w:rsidRPr="00AF7A87" w:rsidRDefault="00535C1B" w:rsidP="00AF574B">
      <w:pPr>
        <w:tabs>
          <w:tab w:val="left" w:pos="8222"/>
        </w:tabs>
        <w:spacing w:before="240" w:after="360" w:line="276" w:lineRule="auto"/>
        <w:ind w:left="720" w:right="567"/>
        <w:contextualSpacing/>
        <w:jc w:val="both"/>
        <w:rPr>
          <w:rFonts w:ascii="Palatino Linotype" w:eastAsia="MS Mincho" w:hAnsi="Palatino Linotype" w:cs="Arial"/>
          <w:i/>
          <w:lang w:eastAsia="es-ES"/>
        </w:rPr>
      </w:pPr>
      <w:r w:rsidRPr="00AF7A87">
        <w:rPr>
          <w:rFonts w:ascii="Palatino Linotype" w:eastAsia="MS Mincho" w:hAnsi="Palatino Linotype" w:cs="Arial"/>
          <w:i/>
          <w:lang w:eastAsia="es-ES"/>
        </w:rPr>
        <w:t xml:space="preserve">0837/10 Administración Portuaria Integral de Veracruz, S.A. de C.V. – María </w:t>
      </w:r>
      <w:proofErr w:type="spellStart"/>
      <w:r w:rsidRPr="00AF7A87">
        <w:rPr>
          <w:rFonts w:ascii="Palatino Linotype" w:eastAsia="MS Mincho" w:hAnsi="Palatino Linotype" w:cs="Arial"/>
          <w:i/>
          <w:lang w:eastAsia="es-ES"/>
        </w:rPr>
        <w:t>Marván</w:t>
      </w:r>
      <w:proofErr w:type="spellEnd"/>
      <w:r w:rsidRPr="00AF7A87">
        <w:rPr>
          <w:rFonts w:ascii="Palatino Linotype" w:eastAsia="MS Mincho" w:hAnsi="Palatino Linotype" w:cs="Arial"/>
          <w:i/>
          <w:lang w:eastAsia="es-ES"/>
        </w:rPr>
        <w:t xml:space="preserve"> Laborde.</w:t>
      </w:r>
    </w:p>
    <w:p w14:paraId="148DF03E" w14:textId="77777777" w:rsidR="00535C1B" w:rsidRPr="00AF7A87" w:rsidRDefault="00535C1B" w:rsidP="00535C1B">
      <w:pPr>
        <w:spacing w:line="360" w:lineRule="auto"/>
        <w:contextualSpacing/>
        <w:jc w:val="both"/>
        <w:rPr>
          <w:rFonts w:ascii="Palatino Linotype" w:hAnsi="Palatino Linotype" w:cs="Arial"/>
          <w:lang w:val="es-ES_tradnl"/>
        </w:rPr>
      </w:pPr>
    </w:p>
    <w:p w14:paraId="36F47E6B" w14:textId="21D58855" w:rsidR="00535C1B" w:rsidRPr="00AF7A87" w:rsidRDefault="00535C1B" w:rsidP="000757F4">
      <w:pPr>
        <w:numPr>
          <w:ilvl w:val="0"/>
          <w:numId w:val="1"/>
        </w:numPr>
        <w:spacing w:before="100" w:beforeAutospacing="1" w:after="100" w:afterAutospacing="1" w:line="360" w:lineRule="auto"/>
        <w:ind w:left="0" w:firstLine="0"/>
        <w:contextualSpacing/>
        <w:jc w:val="both"/>
        <w:rPr>
          <w:rFonts w:ascii="Palatino Linotype" w:eastAsia="MS Mincho" w:hAnsi="Palatino Linotype" w:cs="Arial"/>
          <w:lang w:val="es-ES_tradnl" w:eastAsia="es-ES"/>
        </w:rPr>
      </w:pPr>
      <w:r w:rsidRPr="00AF7A87">
        <w:rPr>
          <w:rFonts w:ascii="Palatino Linotype" w:eastAsia="Calibri" w:hAnsi="Palatino Linotype" w:cs="Arial"/>
        </w:rPr>
        <w:t>Lo anterior se constituirá como</w:t>
      </w:r>
      <w:r w:rsidRPr="00AF7A87">
        <w:rPr>
          <w:rFonts w:ascii="Palatino Linotype" w:hAnsi="Palatino Linotype" w:cs="Arial"/>
          <w:b/>
          <w:color w:val="263238"/>
        </w:rPr>
        <w:t xml:space="preserve"> una confesión expresa</w:t>
      </w:r>
      <w:r w:rsidRPr="00AF7A87">
        <w:rPr>
          <w:rFonts w:ascii="Palatino Linotype" w:hAnsi="Palatino Linotype" w:cs="Arial"/>
          <w:color w:val="263238"/>
        </w:rPr>
        <w:t xml:space="preserve"> en </w:t>
      </w:r>
      <w:r w:rsidRPr="00AF7A87">
        <w:rPr>
          <w:rFonts w:ascii="Palatino Linotype" w:hAnsi="Palatino Linotype" w:cs="Arial"/>
        </w:rPr>
        <w:t xml:space="preserve">virtud de que concurren las circunstancia dispuestas en el numeral 97 fracción I del Código de Procedimientos Administrativos del Estado de México de aplicación supletoria a la ley de la materia, consistentes en que fue realizada por persona capacitada para obligarse, con pleno conocimiento, sin coacción ni violencia y respecto de un hecho propio. </w:t>
      </w:r>
    </w:p>
    <w:p w14:paraId="5CA29DFE" w14:textId="23DEF32D" w:rsidR="00535C1B" w:rsidRPr="00AF7A87" w:rsidRDefault="00535C1B" w:rsidP="000757F4">
      <w:pPr>
        <w:numPr>
          <w:ilvl w:val="0"/>
          <w:numId w:val="1"/>
        </w:numPr>
        <w:spacing w:after="160" w:line="360" w:lineRule="auto"/>
        <w:ind w:left="0" w:firstLine="0"/>
        <w:contextualSpacing/>
        <w:jc w:val="both"/>
        <w:rPr>
          <w:rFonts w:ascii="Palatino Linotype" w:eastAsia="MS Mincho" w:hAnsi="Palatino Linotype"/>
          <w:lang w:val="es-ES_tradnl" w:eastAsia="es-ES"/>
        </w:rPr>
      </w:pPr>
      <w:r w:rsidRPr="00AF7A87">
        <w:rPr>
          <w:rFonts w:ascii="Palatino Linotype" w:eastAsia="MS Mincho" w:hAnsi="Palatino Linotype"/>
          <w:lang w:val="es-ES_tradnl" w:eastAsia="es-ES"/>
        </w:rPr>
        <w:t xml:space="preserve">En ese sentido, este Órgano Garante al carecer de facultades para manifestarse sobre veracidad de la información; si puede verificar que la información que se remite, sea completa, confiable y congruente; lo anterior es así </w:t>
      </w:r>
      <w:r w:rsidR="00AF574B" w:rsidRPr="00AF7A87">
        <w:rPr>
          <w:rFonts w:ascii="Palatino Linotype" w:eastAsia="MS Mincho" w:hAnsi="Palatino Linotype"/>
          <w:lang w:val="es-ES_tradnl" w:eastAsia="es-ES"/>
        </w:rPr>
        <w:t xml:space="preserve">ya que de la verificación al portal de sentencias referido por el </w:t>
      </w:r>
      <w:r w:rsidR="00AF574B" w:rsidRPr="00AF7A87">
        <w:rPr>
          <w:rFonts w:ascii="Palatino Linotype" w:eastAsia="MS Mincho" w:hAnsi="Palatino Linotype"/>
          <w:b/>
          <w:lang w:val="es-ES_tradnl" w:eastAsia="es-ES"/>
        </w:rPr>
        <w:t>SUJETO OBLIGADO</w:t>
      </w:r>
      <w:r w:rsidR="00AF574B" w:rsidRPr="00AF7A87">
        <w:rPr>
          <w:rFonts w:ascii="Palatino Linotype" w:eastAsia="MS Mincho" w:hAnsi="Palatino Linotype"/>
          <w:lang w:val="es-ES_tradnl" w:eastAsia="es-ES"/>
        </w:rPr>
        <w:t xml:space="preserve"> y realizar la búsqueda de las sentencias 4/2019 y 21/2019 emitidas por la Novena Sala Especializada en Materia de Responsabilidades, que el hoy </w:t>
      </w:r>
      <w:r w:rsidR="00AF574B" w:rsidRPr="00AF7A87">
        <w:rPr>
          <w:rFonts w:ascii="Palatino Linotype" w:eastAsia="MS Mincho" w:hAnsi="Palatino Linotype"/>
          <w:b/>
          <w:lang w:val="es-ES_tradnl" w:eastAsia="es-ES"/>
        </w:rPr>
        <w:t xml:space="preserve">RECURRENTE </w:t>
      </w:r>
      <w:r w:rsidR="00AF574B" w:rsidRPr="00AF7A87">
        <w:rPr>
          <w:rFonts w:ascii="Palatino Linotype" w:eastAsia="MS Mincho" w:hAnsi="Palatino Linotype"/>
          <w:lang w:val="es-ES_tradnl" w:eastAsia="es-ES"/>
        </w:rPr>
        <w:lastRenderedPageBreak/>
        <w:t xml:space="preserve">argumenta no se encuentran disponibles en dicho sitio web y que fueron motivo de su solicitud de información, se advierte que efectivamente no se encuentran disponibles, tal y como se muestra en las imágenes que </w:t>
      </w:r>
      <w:proofErr w:type="spellStart"/>
      <w:r w:rsidR="00AF574B" w:rsidRPr="00AF7A87">
        <w:rPr>
          <w:rFonts w:ascii="Palatino Linotype" w:eastAsia="MS Mincho" w:hAnsi="Palatino Linotype"/>
          <w:lang w:val="es-ES_tradnl" w:eastAsia="es-ES"/>
        </w:rPr>
        <w:t>mas</w:t>
      </w:r>
      <w:proofErr w:type="spellEnd"/>
      <w:r w:rsidR="00AF574B" w:rsidRPr="00AF7A87">
        <w:rPr>
          <w:rFonts w:ascii="Palatino Linotype" w:eastAsia="MS Mincho" w:hAnsi="Palatino Linotype"/>
          <w:lang w:val="es-ES_tradnl" w:eastAsia="es-ES"/>
        </w:rPr>
        <w:t xml:space="preserve"> adelante se insertan, </w:t>
      </w:r>
      <w:r w:rsidRPr="00AF7A87">
        <w:rPr>
          <w:rFonts w:ascii="Palatino Linotype" w:eastAsia="MS Mincho" w:hAnsi="Palatino Linotype"/>
          <w:lang w:val="es-ES_tradnl" w:eastAsia="es-ES"/>
        </w:rPr>
        <w:t>por lo que resulta viable modificar la respuesta u ordena la entrega de la información que resultó incompleta.</w:t>
      </w:r>
    </w:p>
    <w:p w14:paraId="6363B343" w14:textId="72C5A726" w:rsidR="00535C1B" w:rsidRPr="00AF7A87" w:rsidRDefault="00AF574B" w:rsidP="00AF574B">
      <w:pPr>
        <w:pStyle w:val="Prrafodelista"/>
        <w:ind w:left="0"/>
        <w:jc w:val="center"/>
        <w:rPr>
          <w:rFonts w:ascii="Palatino Linotype" w:eastAsia="MS Mincho" w:hAnsi="Palatino Linotype"/>
        </w:rPr>
      </w:pPr>
      <w:r w:rsidRPr="00AF7A87">
        <w:rPr>
          <w:rFonts w:ascii="Palatino Linotype" w:eastAsia="MS Mincho" w:hAnsi="Palatino Linotype"/>
          <w:noProof/>
          <w:lang w:val="es-MX" w:eastAsia="es-MX"/>
        </w:rPr>
        <mc:AlternateContent>
          <mc:Choice Requires="wps">
            <w:drawing>
              <wp:anchor distT="0" distB="0" distL="114300" distR="114300" simplePos="0" relativeHeight="251663360" behindDoc="0" locked="0" layoutInCell="1" allowOverlap="1" wp14:anchorId="23AA4A21" wp14:editId="32F56957">
                <wp:simplePos x="0" y="0"/>
                <wp:positionH relativeFrom="column">
                  <wp:posOffset>1273321</wp:posOffset>
                </wp:positionH>
                <wp:positionV relativeFrom="paragraph">
                  <wp:posOffset>1803327</wp:posOffset>
                </wp:positionV>
                <wp:extent cx="3725055" cy="299720"/>
                <wp:effectExtent l="50800" t="25400" r="59690" b="81280"/>
                <wp:wrapNone/>
                <wp:docPr id="7" name="Marco 7"/>
                <wp:cNvGraphicFramePr/>
                <a:graphic xmlns:a="http://schemas.openxmlformats.org/drawingml/2006/main">
                  <a:graphicData uri="http://schemas.microsoft.com/office/word/2010/wordprocessingShape">
                    <wps:wsp>
                      <wps:cNvSpPr/>
                      <wps:spPr>
                        <a:xfrm>
                          <a:off x="0" y="0"/>
                          <a:ext cx="3725055" cy="299720"/>
                        </a:xfrm>
                        <a:prstGeom prst="frame">
                          <a:avLst>
                            <a:gd name="adj1" fmla="val 4998"/>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3B97B17" id="Marco 7" o:spid="_x0000_s1026" style="position:absolute;margin-left:100.25pt;margin-top:142pt;width:293.3pt;height:23.6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725055,29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" path="m,l3725055,r,299720l,299720,,xm14980,14980r,269760l3710075,284740r,-269760l14980,14980xe" fillcolor="red" strokecolor="red">
                <v:shadow on="t" color="black" opacity="22937f" origin=",.5" offset="0,.63889mm"/>
                <v:path arrowok="t" o:connecttype="custom" o:connectlocs="0,0;3725055,0;3725055,299720;0,299720;0,0;14980,14980;14980,284740;3710075,284740;3710075,14980;14980,14980" o:connectangles="0,0,0,0,0,0,0,0,0,0"/>
              </v:shape>
            </w:pict>
          </mc:Fallback>
        </mc:AlternateContent>
      </w:r>
      <w:r w:rsidRPr="00AF7A87">
        <w:rPr>
          <w:rFonts w:ascii="Palatino Linotype" w:eastAsia="MS Mincho" w:hAnsi="Palatino Linotype"/>
          <w:noProof/>
          <w:lang w:val="es-MX" w:eastAsia="es-MX"/>
        </w:rPr>
        <mc:AlternateContent>
          <mc:Choice Requires="wps">
            <w:drawing>
              <wp:anchor distT="0" distB="0" distL="114300" distR="114300" simplePos="0" relativeHeight="251662336" behindDoc="0" locked="0" layoutInCell="1" allowOverlap="1" wp14:anchorId="79A29785" wp14:editId="7E72B0DD">
                <wp:simplePos x="0" y="0"/>
                <wp:positionH relativeFrom="column">
                  <wp:posOffset>1272904</wp:posOffset>
                </wp:positionH>
                <wp:positionV relativeFrom="paragraph">
                  <wp:posOffset>1203325</wp:posOffset>
                </wp:positionV>
                <wp:extent cx="1798320" cy="419100"/>
                <wp:effectExtent l="50800" t="25400" r="68580" b="76200"/>
                <wp:wrapNone/>
                <wp:docPr id="6" name="Marco 6"/>
                <wp:cNvGraphicFramePr/>
                <a:graphic xmlns:a="http://schemas.openxmlformats.org/drawingml/2006/main">
                  <a:graphicData uri="http://schemas.microsoft.com/office/word/2010/wordprocessingShape">
                    <wps:wsp>
                      <wps:cNvSpPr/>
                      <wps:spPr>
                        <a:xfrm>
                          <a:off x="0" y="0"/>
                          <a:ext cx="1798320" cy="419100"/>
                        </a:xfrm>
                        <a:prstGeom prst="frame">
                          <a:avLst>
                            <a:gd name="adj1" fmla="val 3558"/>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8E07C5" id="Marco 6" o:spid="_x0000_s1026" style="position:absolute;margin-left:100.25pt;margin-top:94.75pt;width:141.6pt;height:33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179832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" path="m,l1798320,r,419100l,419100,,xm14912,14912r,389276l1783408,404188r,-389276l14912,14912xe" fillcolor="red" strokecolor="red">
                <v:shadow on="t" color="black" opacity="22937f" origin=",.5" offset="0,.63889mm"/>
                <v:path arrowok="t" o:connecttype="custom" o:connectlocs="0,0;1798320,0;1798320,419100;0,419100;0,0;14912,14912;14912,404188;1783408,404188;1783408,14912;14912,14912" o:connectangles="0,0,0,0,0,0,0,0,0,0"/>
              </v:shape>
            </w:pict>
          </mc:Fallback>
        </mc:AlternateContent>
      </w:r>
      <w:r w:rsidRPr="00AF7A87">
        <w:rPr>
          <w:rFonts w:ascii="Palatino Linotype" w:eastAsia="MS Mincho" w:hAnsi="Palatino Linotype"/>
          <w:noProof/>
          <w:lang w:val="es-MX" w:eastAsia="es-MX"/>
        </w:rPr>
        <w:drawing>
          <wp:inline distT="0" distB="0" distL="0" distR="0" wp14:anchorId="1C5D3EAC" wp14:editId="6D92ACF0">
            <wp:extent cx="4697258" cy="3324436"/>
            <wp:effectExtent l="0" t="0" r="1905"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16992" cy="3338403"/>
                    </a:xfrm>
                    <a:prstGeom prst="rect">
                      <a:avLst/>
                    </a:prstGeom>
                  </pic:spPr>
                </pic:pic>
              </a:graphicData>
            </a:graphic>
          </wp:inline>
        </w:drawing>
      </w:r>
    </w:p>
    <w:p w14:paraId="02E1076E" w14:textId="083EEF1B" w:rsidR="00535C1B" w:rsidRPr="00AF7A87" w:rsidRDefault="00AF574B" w:rsidP="00AF574B">
      <w:pPr>
        <w:pStyle w:val="Prrafodelista"/>
        <w:spacing w:line="360" w:lineRule="auto"/>
        <w:ind w:left="0"/>
        <w:jc w:val="center"/>
        <w:rPr>
          <w:rFonts w:ascii="Palatino Linotype" w:hAnsi="Palatino Linotype"/>
        </w:rPr>
      </w:pPr>
      <w:r w:rsidRPr="00AF7A87">
        <w:rPr>
          <w:rFonts w:ascii="Palatino Linotype" w:hAnsi="Palatino Linotype"/>
          <w:noProof/>
          <w:lang w:val="es-MX" w:eastAsia="es-MX"/>
        </w:rPr>
        <w:lastRenderedPageBreak/>
        <mc:AlternateContent>
          <mc:Choice Requires="wps">
            <w:drawing>
              <wp:anchor distT="0" distB="0" distL="114300" distR="114300" simplePos="0" relativeHeight="251664384" behindDoc="0" locked="0" layoutInCell="1" allowOverlap="1" wp14:anchorId="71678937" wp14:editId="62B45D7A">
                <wp:simplePos x="0" y="0"/>
                <wp:positionH relativeFrom="column">
                  <wp:posOffset>1138409</wp:posOffset>
                </wp:positionH>
                <wp:positionV relativeFrom="paragraph">
                  <wp:posOffset>1114841</wp:posOffset>
                </wp:positionV>
                <wp:extent cx="3477260" cy="786765"/>
                <wp:effectExtent l="50800" t="25400" r="66040" b="76835"/>
                <wp:wrapNone/>
                <wp:docPr id="14" name="Marco 14"/>
                <wp:cNvGraphicFramePr/>
                <a:graphic xmlns:a="http://schemas.openxmlformats.org/drawingml/2006/main">
                  <a:graphicData uri="http://schemas.microsoft.com/office/word/2010/wordprocessingShape">
                    <wps:wsp>
                      <wps:cNvSpPr/>
                      <wps:spPr>
                        <a:xfrm>
                          <a:off x="0" y="0"/>
                          <a:ext cx="3477260" cy="786765"/>
                        </a:xfrm>
                        <a:prstGeom prst="frame">
                          <a:avLst>
                            <a:gd name="adj1" fmla="val 2974"/>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DAA920" id="Marco 14" o:spid="_x0000_s1026" style="position:absolute;margin-left:89.65pt;margin-top:87.8pt;width:273.8pt;height:61.95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3477260,786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" path="m,l3477260,r,786765l,786765,,xm23398,23398r,739969l3453862,763367r,-739969l23398,23398xe" fillcolor="red" strokecolor="red">
                <v:shadow on="t" color="black" opacity="22937f" origin=",.5" offset="0,.63889mm"/>
                <v:path arrowok="t" o:connecttype="custom" o:connectlocs="0,0;3477260,0;3477260,786765;0,786765;0,0;23398,23398;23398,763367;3453862,763367;3453862,23398;23398,23398" o:connectangles="0,0,0,0,0,0,0,0,0,0"/>
              </v:shape>
            </w:pict>
          </mc:Fallback>
        </mc:AlternateContent>
      </w:r>
      <w:r w:rsidRPr="00AF7A87">
        <w:rPr>
          <w:rFonts w:ascii="Palatino Linotype" w:hAnsi="Palatino Linotype"/>
          <w:noProof/>
          <w:lang w:val="es-MX" w:eastAsia="es-MX"/>
        </w:rPr>
        <w:drawing>
          <wp:inline distT="0" distB="0" distL="0" distR="0" wp14:anchorId="68242C1C" wp14:editId="6F32CEE6">
            <wp:extent cx="4897335" cy="3132455"/>
            <wp:effectExtent l="0" t="0" r="5080"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00249" cy="3134319"/>
                    </a:xfrm>
                    <a:prstGeom prst="rect">
                      <a:avLst/>
                    </a:prstGeom>
                  </pic:spPr>
                </pic:pic>
              </a:graphicData>
            </a:graphic>
          </wp:inline>
        </w:drawing>
      </w:r>
    </w:p>
    <w:p w14:paraId="7BA7416E" w14:textId="5A861950" w:rsidR="00AF574B" w:rsidRPr="00AF7A87" w:rsidRDefault="00AF574B" w:rsidP="00535C1B">
      <w:pPr>
        <w:pStyle w:val="Prrafodelista"/>
        <w:spacing w:line="360" w:lineRule="auto"/>
        <w:ind w:left="0"/>
        <w:jc w:val="both"/>
        <w:rPr>
          <w:rFonts w:ascii="Palatino Linotype" w:hAnsi="Palatino Linotype"/>
        </w:rPr>
      </w:pPr>
    </w:p>
    <w:p w14:paraId="6585F1BE" w14:textId="10E4A6FF" w:rsidR="00AF574B" w:rsidRPr="00AF7A87" w:rsidRDefault="00F91301" w:rsidP="00AF574B">
      <w:pPr>
        <w:pStyle w:val="Prrafodelista"/>
        <w:spacing w:line="360" w:lineRule="auto"/>
        <w:ind w:left="0"/>
        <w:jc w:val="center"/>
        <w:rPr>
          <w:rFonts w:ascii="Palatino Linotype" w:hAnsi="Palatino Linotype"/>
        </w:rPr>
      </w:pPr>
      <w:r w:rsidRPr="00AF7A87">
        <w:rPr>
          <w:rFonts w:ascii="Palatino Linotype" w:hAnsi="Palatino Linotype"/>
          <w:noProof/>
          <w:lang w:val="es-MX" w:eastAsia="es-MX"/>
        </w:rPr>
        <mc:AlternateContent>
          <mc:Choice Requires="wps">
            <w:drawing>
              <wp:anchor distT="0" distB="0" distL="114300" distR="114300" simplePos="0" relativeHeight="251665408" behindDoc="0" locked="0" layoutInCell="1" allowOverlap="1" wp14:anchorId="1F05C67B" wp14:editId="40BEFF64">
                <wp:simplePos x="0" y="0"/>
                <wp:positionH relativeFrom="column">
                  <wp:posOffset>1243340</wp:posOffset>
                </wp:positionH>
                <wp:positionV relativeFrom="paragraph">
                  <wp:posOffset>1142250</wp:posOffset>
                </wp:positionV>
                <wp:extent cx="1971040" cy="389255"/>
                <wp:effectExtent l="50800" t="25400" r="60960" b="80645"/>
                <wp:wrapNone/>
                <wp:docPr id="15" name="Marco 15"/>
                <wp:cNvGraphicFramePr/>
                <a:graphic xmlns:a="http://schemas.openxmlformats.org/drawingml/2006/main">
                  <a:graphicData uri="http://schemas.microsoft.com/office/word/2010/wordprocessingShape">
                    <wps:wsp>
                      <wps:cNvSpPr/>
                      <wps:spPr>
                        <a:xfrm>
                          <a:off x="0" y="0"/>
                          <a:ext cx="1971040" cy="389255"/>
                        </a:xfrm>
                        <a:prstGeom prst="frame">
                          <a:avLst>
                            <a:gd name="adj1" fmla="val 5893"/>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3ADC2A5" id="Marco 15" o:spid="_x0000_s1026" style="position:absolute;margin-left:97.9pt;margin-top:89.95pt;width:155.2pt;height:30.6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971040,389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" path="m,l1971040,r,389255l,389255,,xm22939,22939r,343377l1948101,366316r,-343377l22939,22939xe" fillcolor="red" strokecolor="red">
                <v:shadow on="t" color="black" opacity="22937f" origin=",.5" offset="0,.63889mm"/>
                <v:path arrowok="t" o:connecttype="custom" o:connectlocs="0,0;1971040,0;1971040,389255;0,389255;0,0;22939,22939;22939,366316;1948101,366316;1948101,22939;22939,22939" o:connectangles="0,0,0,0,0,0,0,0,0,0"/>
              </v:shape>
            </w:pict>
          </mc:Fallback>
        </mc:AlternateContent>
      </w:r>
      <w:r w:rsidR="00AF574B" w:rsidRPr="00AF7A87">
        <w:rPr>
          <w:rFonts w:ascii="Palatino Linotype" w:hAnsi="Palatino Linotype"/>
          <w:noProof/>
          <w:lang w:val="es-MX" w:eastAsia="es-MX"/>
        </w:rPr>
        <mc:AlternateContent>
          <mc:Choice Requires="wps">
            <w:drawing>
              <wp:anchor distT="0" distB="0" distL="114300" distR="114300" simplePos="0" relativeHeight="251666432" behindDoc="0" locked="0" layoutInCell="1" allowOverlap="1" wp14:anchorId="661E8556" wp14:editId="2EE73318">
                <wp:simplePos x="0" y="0"/>
                <wp:positionH relativeFrom="column">
                  <wp:posOffset>1243339</wp:posOffset>
                </wp:positionH>
                <wp:positionV relativeFrom="paragraph">
                  <wp:posOffset>1824303</wp:posOffset>
                </wp:positionV>
                <wp:extent cx="3867463" cy="322288"/>
                <wp:effectExtent l="50800" t="25400" r="69850" b="71755"/>
                <wp:wrapNone/>
                <wp:docPr id="16" name="Marco 16"/>
                <wp:cNvGraphicFramePr/>
                <a:graphic xmlns:a="http://schemas.openxmlformats.org/drawingml/2006/main">
                  <a:graphicData uri="http://schemas.microsoft.com/office/word/2010/wordprocessingShape">
                    <wps:wsp>
                      <wps:cNvSpPr/>
                      <wps:spPr>
                        <a:xfrm>
                          <a:off x="0" y="0"/>
                          <a:ext cx="3867463" cy="322288"/>
                        </a:xfrm>
                        <a:prstGeom prst="frame">
                          <a:avLst>
                            <a:gd name="adj1" fmla="val 4596"/>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8FAD0" id="Marco 16" o:spid="_x0000_s1026" style="position:absolute;margin-left:97.9pt;margin-top:143.65pt;width:304.5pt;height:25.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67463,322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" path="m,l3867463,r,322288l,322288,,xm14812,14812r,292664l3852651,307476r,-292664l14812,14812xe" fillcolor="red" strokecolor="red">
                <v:shadow on="t" color="black" opacity="22937f" origin=",.5" offset="0,.63889mm"/>
                <v:path arrowok="t" o:connecttype="custom" o:connectlocs="0,0;3867463,0;3867463,322288;0,322288;0,0;14812,14812;14812,307476;3852651,307476;3852651,14812;14812,14812" o:connectangles="0,0,0,0,0,0,0,0,0,0"/>
              </v:shape>
            </w:pict>
          </mc:Fallback>
        </mc:AlternateContent>
      </w:r>
      <w:r w:rsidR="00AF574B" w:rsidRPr="00AF7A87">
        <w:rPr>
          <w:rFonts w:ascii="Palatino Linotype" w:hAnsi="Palatino Linotype"/>
          <w:noProof/>
          <w:lang w:val="es-MX" w:eastAsia="es-MX"/>
        </w:rPr>
        <w:drawing>
          <wp:inline distT="0" distB="0" distL="0" distR="0" wp14:anchorId="3B275B3C" wp14:editId="28C3F14B">
            <wp:extent cx="4993427" cy="2782601"/>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99519" cy="2785996"/>
                    </a:xfrm>
                    <a:prstGeom prst="rect">
                      <a:avLst/>
                    </a:prstGeom>
                  </pic:spPr>
                </pic:pic>
              </a:graphicData>
            </a:graphic>
          </wp:inline>
        </w:drawing>
      </w:r>
    </w:p>
    <w:p w14:paraId="08F193B8" w14:textId="0F9E92A2" w:rsidR="00AF574B" w:rsidRPr="00AF7A87" w:rsidRDefault="00AF574B" w:rsidP="00535C1B">
      <w:pPr>
        <w:pStyle w:val="Prrafodelista"/>
        <w:spacing w:line="360" w:lineRule="auto"/>
        <w:ind w:left="0"/>
        <w:jc w:val="both"/>
        <w:rPr>
          <w:rFonts w:ascii="Palatino Linotype" w:hAnsi="Palatino Linotype"/>
        </w:rPr>
      </w:pPr>
    </w:p>
    <w:p w14:paraId="01F57613" w14:textId="53E1A9C8" w:rsidR="00AF574B" w:rsidRPr="00AF7A87" w:rsidRDefault="00F91301" w:rsidP="00F91301">
      <w:pPr>
        <w:pStyle w:val="Prrafodelista"/>
        <w:spacing w:line="360" w:lineRule="auto"/>
        <w:ind w:left="0"/>
        <w:jc w:val="center"/>
        <w:rPr>
          <w:rFonts w:ascii="Palatino Linotype" w:hAnsi="Palatino Linotype"/>
        </w:rPr>
      </w:pPr>
      <w:r w:rsidRPr="00AF7A87">
        <w:rPr>
          <w:rFonts w:ascii="Palatino Linotype" w:hAnsi="Palatino Linotype"/>
          <w:noProof/>
          <w:lang w:val="es-MX" w:eastAsia="es-MX"/>
        </w:rPr>
        <w:lastRenderedPageBreak/>
        <mc:AlternateContent>
          <mc:Choice Requires="wps">
            <w:drawing>
              <wp:anchor distT="0" distB="0" distL="114300" distR="114300" simplePos="0" relativeHeight="251667456" behindDoc="0" locked="0" layoutInCell="1" allowOverlap="1" wp14:anchorId="133B4DE7" wp14:editId="0C09A2BE">
                <wp:simplePos x="0" y="0"/>
                <wp:positionH relativeFrom="column">
                  <wp:posOffset>801131</wp:posOffset>
                </wp:positionH>
                <wp:positionV relativeFrom="paragraph">
                  <wp:posOffset>1077366</wp:posOffset>
                </wp:positionV>
                <wp:extent cx="3305175" cy="696595"/>
                <wp:effectExtent l="50800" t="25400" r="60325" b="78105"/>
                <wp:wrapNone/>
                <wp:docPr id="17" name="Marco 17"/>
                <wp:cNvGraphicFramePr/>
                <a:graphic xmlns:a="http://schemas.openxmlformats.org/drawingml/2006/main">
                  <a:graphicData uri="http://schemas.microsoft.com/office/word/2010/wordprocessingShape">
                    <wps:wsp>
                      <wps:cNvSpPr/>
                      <wps:spPr>
                        <a:xfrm>
                          <a:off x="0" y="0"/>
                          <a:ext cx="3305175" cy="696595"/>
                        </a:xfrm>
                        <a:prstGeom prst="frame">
                          <a:avLst>
                            <a:gd name="adj1" fmla="val 2816"/>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DFCA95" id="Marco 17" o:spid="_x0000_s1026" style="position:absolute;margin-left:63.1pt;margin-top:84.85pt;width:260.25pt;height:54.85pt;z-index:251667456;visibility:visible;mso-wrap-style:square;mso-wrap-distance-left:9pt;mso-wrap-distance-top:0;mso-wrap-distance-right:9pt;mso-wrap-distance-bottom:0;mso-position-horizontal:absolute;mso-position-horizontal-relative:text;mso-position-vertical:absolute;mso-position-vertical-relative:text;v-text-anchor:middle" coordsize="3305175,69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" path="m,l3305175,r,696595l,696595,,xm19616,19616r,657363l3285559,676979r,-657363l19616,19616xe" fillcolor="red" strokecolor="red">
                <v:shadow on="t" color="black" opacity="22937f" origin=",.5" offset="0,.63889mm"/>
                <v:path arrowok="t" o:connecttype="custom" o:connectlocs="0,0;3305175,0;3305175,696595;0,696595;0,0;19616,19616;19616,676979;3285559,676979;3285559,19616;19616,19616" o:connectangles="0,0,0,0,0,0,0,0,0,0"/>
              </v:shape>
            </w:pict>
          </mc:Fallback>
        </mc:AlternateContent>
      </w:r>
      <w:r w:rsidR="00AF574B" w:rsidRPr="00AF7A87">
        <w:rPr>
          <w:rFonts w:ascii="Palatino Linotype" w:hAnsi="Palatino Linotype"/>
          <w:noProof/>
          <w:lang w:val="es-MX" w:eastAsia="es-MX"/>
        </w:rPr>
        <w:drawing>
          <wp:inline distT="0" distB="0" distL="0" distR="0" wp14:anchorId="325E853B" wp14:editId="67CD5CBB">
            <wp:extent cx="4669436" cy="2840636"/>
            <wp:effectExtent l="0" t="0" r="4445"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a de pantalla 2021-01-26 a la(s) 10.54.29 PM.png"/>
                    <pic:cNvPicPr/>
                  </pic:nvPicPr>
                  <pic:blipFill rotWithShape="1">
                    <a:blip r:embed="rId19"/>
                    <a:srcRect l="6411" t="6176" r="10383" b="3792"/>
                    <a:stretch/>
                  </pic:blipFill>
                  <pic:spPr bwMode="auto">
                    <a:xfrm>
                      <a:off x="0" y="0"/>
                      <a:ext cx="4669686" cy="2840788"/>
                    </a:xfrm>
                    <a:prstGeom prst="rect">
                      <a:avLst/>
                    </a:prstGeom>
                    <a:ln>
                      <a:noFill/>
                    </a:ln>
                    <a:extLst>
                      <a:ext uri="{53640926-AAD7-44D8-BBD7-CCE9431645EC}">
                        <a14:shadowObscured xmlns:a14="http://schemas.microsoft.com/office/drawing/2010/main"/>
                      </a:ext>
                    </a:extLst>
                  </pic:spPr>
                </pic:pic>
              </a:graphicData>
            </a:graphic>
          </wp:inline>
        </w:drawing>
      </w:r>
    </w:p>
    <w:p w14:paraId="0DE6C4A1" w14:textId="77777777" w:rsidR="00535C1B" w:rsidRPr="00AF7A87" w:rsidRDefault="00535C1B" w:rsidP="00535C1B">
      <w:pPr>
        <w:pStyle w:val="Prrafodelista"/>
        <w:spacing w:line="360" w:lineRule="auto"/>
        <w:ind w:left="0"/>
        <w:jc w:val="both"/>
        <w:rPr>
          <w:rFonts w:ascii="Palatino Linotype" w:hAnsi="Palatino Linotype"/>
        </w:rPr>
      </w:pPr>
    </w:p>
    <w:p w14:paraId="69121AC5" w14:textId="77777777" w:rsidR="00535C1B" w:rsidRPr="00AF7A87" w:rsidRDefault="00535C1B" w:rsidP="000757F4">
      <w:pPr>
        <w:pStyle w:val="Prrafodelista"/>
        <w:numPr>
          <w:ilvl w:val="0"/>
          <w:numId w:val="1"/>
        </w:numPr>
        <w:spacing w:line="360" w:lineRule="auto"/>
        <w:ind w:left="0" w:firstLine="0"/>
        <w:jc w:val="both"/>
        <w:rPr>
          <w:rFonts w:ascii="Palatino Linotype" w:hAnsi="Palatino Linotype"/>
        </w:rPr>
      </w:pPr>
      <w:r w:rsidRPr="00AF7A87">
        <w:rPr>
          <w:rFonts w:ascii="Palatino Linotype" w:hAnsi="Palatino Linotype"/>
          <w:color w:val="000000"/>
        </w:rPr>
        <w:t>Así que la obligación de acceso a la información se tendrá por cumplida cuando el solicitante tenga a su disposición la información requerida, o cuando realice su consulta en el lugar que ésta se localice, conforme a los artículos 3, fracción XI, XII4, y 24 último párrafo de la Ley de Transparencia y Acceso a la Información Pública del Estado de México y Municipios:</w:t>
      </w:r>
    </w:p>
    <w:p w14:paraId="7699F6F1" w14:textId="77777777" w:rsidR="00535C1B" w:rsidRPr="00AF7A87" w:rsidRDefault="00535C1B" w:rsidP="00535C1B">
      <w:pPr>
        <w:pStyle w:val="Prrafodelista"/>
        <w:rPr>
          <w:rFonts w:ascii="Palatino Linotype" w:hAnsi="Palatino Linotype"/>
          <w:color w:val="000000"/>
        </w:rPr>
      </w:pPr>
    </w:p>
    <w:p w14:paraId="0BA373AA" w14:textId="77777777" w:rsidR="00535C1B" w:rsidRPr="00AF7A87" w:rsidRDefault="00535C1B" w:rsidP="00535C1B">
      <w:pPr>
        <w:pStyle w:val="Prrafodelista"/>
        <w:rPr>
          <w:rFonts w:ascii="Palatino Linotype" w:hAnsi="Palatino Linotype"/>
          <w:color w:val="000000"/>
        </w:rPr>
      </w:pPr>
    </w:p>
    <w:p w14:paraId="1898FAD4" w14:textId="77777777" w:rsidR="00535C1B" w:rsidRPr="00AF7A87" w:rsidRDefault="00535C1B" w:rsidP="00535C1B">
      <w:pPr>
        <w:ind w:left="851" w:right="850"/>
        <w:jc w:val="both"/>
        <w:rPr>
          <w:rFonts w:ascii="Palatino Linotype" w:hAnsi="Palatino Linotype" w:cs="Arial"/>
          <w:i/>
          <w:color w:val="000000" w:themeColor="text1"/>
        </w:rPr>
      </w:pPr>
      <w:r w:rsidRPr="00AF7A87">
        <w:rPr>
          <w:rFonts w:ascii="Palatino Linotype" w:hAnsi="Palatino Linotype" w:cs="Arial"/>
          <w:b/>
          <w:bCs/>
          <w:i/>
          <w:color w:val="000000" w:themeColor="text1"/>
        </w:rPr>
        <w:t xml:space="preserve">“Artículo 3. </w:t>
      </w:r>
      <w:r w:rsidRPr="00AF7A87">
        <w:rPr>
          <w:rFonts w:ascii="Palatino Linotype" w:hAnsi="Palatino Linotype" w:cs="Arial"/>
          <w:bCs/>
          <w:i/>
          <w:color w:val="000000" w:themeColor="text1"/>
          <w:u w:val="single"/>
        </w:rPr>
        <w:t>Para los efectos de la presente Ley se entenderá por</w:t>
      </w:r>
      <w:r w:rsidRPr="00AF7A87">
        <w:rPr>
          <w:rFonts w:ascii="Palatino Linotype" w:hAnsi="Palatino Linotype" w:cs="Arial"/>
          <w:bCs/>
          <w:i/>
          <w:color w:val="000000" w:themeColor="text1"/>
        </w:rPr>
        <w:t>:</w:t>
      </w:r>
    </w:p>
    <w:p w14:paraId="3FDB6817" w14:textId="77777777" w:rsidR="00535C1B" w:rsidRPr="00AF7A87" w:rsidRDefault="00535C1B" w:rsidP="00535C1B">
      <w:pPr>
        <w:ind w:left="851" w:right="850"/>
        <w:jc w:val="both"/>
        <w:rPr>
          <w:rFonts w:ascii="Palatino Linotype" w:hAnsi="Palatino Linotype" w:cs="Arial"/>
          <w:i/>
        </w:rPr>
      </w:pPr>
      <w:r w:rsidRPr="00AF7A87">
        <w:rPr>
          <w:rFonts w:ascii="Palatino Linotype" w:hAnsi="Palatino Linotype" w:cs="Arial"/>
          <w:i/>
        </w:rPr>
        <w:t>…</w:t>
      </w:r>
    </w:p>
    <w:p w14:paraId="5F35025C" w14:textId="77777777" w:rsidR="00535C1B" w:rsidRPr="00AF7A87" w:rsidRDefault="00535C1B" w:rsidP="00535C1B">
      <w:pPr>
        <w:ind w:left="851" w:right="850"/>
        <w:jc w:val="both"/>
        <w:rPr>
          <w:rFonts w:ascii="Palatino Linotype" w:hAnsi="Palatino Linotype" w:cs="Arial"/>
          <w:i/>
          <w:color w:val="000000" w:themeColor="text1"/>
        </w:rPr>
      </w:pPr>
      <w:r w:rsidRPr="00AF7A87">
        <w:rPr>
          <w:rFonts w:ascii="Palatino Linotype" w:hAnsi="Palatino Linotype" w:cs="Arial"/>
          <w:b/>
          <w:bCs/>
          <w:i/>
          <w:color w:val="000000" w:themeColor="text1"/>
        </w:rPr>
        <w:t xml:space="preserve">XI. </w:t>
      </w:r>
      <w:r w:rsidRPr="00AF7A87">
        <w:rPr>
          <w:rFonts w:ascii="Palatino Linotype" w:hAnsi="Palatino Linotype" w:cs="Arial"/>
          <w:b/>
          <w:bCs/>
          <w:i/>
          <w:color w:val="000000" w:themeColor="text1"/>
          <w:u w:val="single"/>
        </w:rPr>
        <w:t>Documento</w:t>
      </w:r>
      <w:r w:rsidRPr="00AF7A87">
        <w:rPr>
          <w:rFonts w:ascii="Palatino Linotype" w:hAnsi="Palatino Linotype" w:cs="Arial"/>
          <w:b/>
          <w:bCs/>
          <w:i/>
          <w:color w:val="000000" w:themeColor="text1"/>
        </w:rPr>
        <w:t xml:space="preserve">: </w:t>
      </w:r>
      <w:r w:rsidRPr="00AF7A87">
        <w:rPr>
          <w:rFonts w:ascii="Palatino Linotype" w:hAnsi="Palatino Linotype" w:cs="Arial"/>
          <w:i/>
          <w:color w:val="000000" w:themeColor="text1"/>
        </w:rPr>
        <w:t xml:space="preserve">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w:t>
      </w:r>
      <w:r w:rsidRPr="00AF7A87">
        <w:rPr>
          <w:rFonts w:ascii="Palatino Linotype" w:hAnsi="Palatino Linotype" w:cs="Arial"/>
          <w:i/>
          <w:color w:val="000000" w:themeColor="text1"/>
        </w:rPr>
        <w:lastRenderedPageBreak/>
        <w:t>documentos podrán estar en cualquier medio, sea escrito, impreso, sonoro, visual, electrónico, informático u holográfico;</w:t>
      </w:r>
    </w:p>
    <w:p w14:paraId="0FA8729E" w14:textId="77777777" w:rsidR="00535C1B" w:rsidRPr="00AF7A87" w:rsidRDefault="00535C1B" w:rsidP="00535C1B">
      <w:pPr>
        <w:ind w:left="851" w:right="850"/>
        <w:jc w:val="both"/>
        <w:rPr>
          <w:rFonts w:ascii="Palatino Linotype" w:hAnsi="Palatino Linotype" w:cs="Arial"/>
          <w:i/>
          <w:color w:val="000000" w:themeColor="text1"/>
        </w:rPr>
      </w:pPr>
    </w:p>
    <w:p w14:paraId="4C41E027" w14:textId="77777777" w:rsidR="00535C1B" w:rsidRPr="00AF7A87" w:rsidRDefault="00535C1B" w:rsidP="00535C1B">
      <w:pPr>
        <w:ind w:left="851" w:right="850"/>
        <w:jc w:val="both"/>
        <w:rPr>
          <w:rFonts w:ascii="Palatino Linotype" w:hAnsi="Palatino Linotype" w:cs="Arial"/>
          <w:bCs/>
          <w:i/>
          <w:color w:val="000000" w:themeColor="text1"/>
        </w:rPr>
      </w:pPr>
      <w:r w:rsidRPr="00AF7A87">
        <w:rPr>
          <w:rFonts w:ascii="Palatino Linotype" w:hAnsi="Palatino Linotype" w:cs="Arial"/>
          <w:b/>
          <w:bCs/>
          <w:i/>
          <w:color w:val="000000" w:themeColor="text1"/>
        </w:rPr>
        <w:t>XII. Documento electrónico:</w:t>
      </w:r>
      <w:r w:rsidRPr="00AF7A87">
        <w:rPr>
          <w:rFonts w:ascii="Palatino Linotype" w:hAnsi="Palatino Linotype" w:cs="Arial"/>
          <w:bCs/>
          <w:i/>
          <w:color w:val="000000" w:themeColor="text1"/>
        </w:rPr>
        <w:t xml:space="preserve"> Al soporte escrito con caracteres alfanuméricos, archivo de imagen, video, audio o cualquier otro formato tecnológicamente disponible, que contenga información en lenguaje natural o convencional, intercambiado por medios electrónicos, con el que sea posible dar constancia de un hecho y que esté signado con la firma electrónica avanzada y/o en el que se encuentre plasmado el sello electrónico;</w:t>
      </w:r>
    </w:p>
    <w:p w14:paraId="16412052" w14:textId="77777777" w:rsidR="00535C1B" w:rsidRPr="00AF7A87" w:rsidRDefault="00535C1B" w:rsidP="00535C1B">
      <w:pPr>
        <w:ind w:left="851" w:right="850"/>
        <w:jc w:val="both"/>
        <w:rPr>
          <w:rFonts w:ascii="Palatino Linotype" w:hAnsi="Palatino Linotype" w:cs="Arial"/>
          <w:i/>
          <w:color w:val="000000" w:themeColor="text1"/>
        </w:rPr>
      </w:pPr>
      <w:r w:rsidRPr="00AF7A87">
        <w:rPr>
          <w:rFonts w:ascii="Palatino Linotype" w:hAnsi="Palatino Linotype" w:cs="Arial"/>
          <w:i/>
          <w:color w:val="000000" w:themeColor="text1"/>
        </w:rPr>
        <w:t>…</w:t>
      </w:r>
    </w:p>
    <w:p w14:paraId="5B81AFB2" w14:textId="77777777" w:rsidR="00535C1B" w:rsidRPr="00AF7A87" w:rsidRDefault="00535C1B" w:rsidP="00535C1B">
      <w:pPr>
        <w:ind w:left="851" w:right="850"/>
        <w:jc w:val="both"/>
        <w:rPr>
          <w:rFonts w:ascii="Palatino Linotype" w:hAnsi="Palatino Linotype" w:cs="Arial"/>
          <w:bCs/>
          <w:i/>
          <w:color w:val="000000" w:themeColor="text1"/>
        </w:rPr>
      </w:pPr>
      <w:r w:rsidRPr="00AF7A87">
        <w:rPr>
          <w:rFonts w:ascii="Palatino Linotype" w:hAnsi="Palatino Linotype" w:cs="Arial"/>
          <w:b/>
          <w:bCs/>
          <w:i/>
          <w:color w:val="000000" w:themeColor="text1"/>
        </w:rPr>
        <w:t xml:space="preserve">Artículo 4. </w:t>
      </w:r>
      <w:r w:rsidRPr="00AF7A87">
        <w:rPr>
          <w:rFonts w:ascii="Palatino Linotype" w:hAnsi="Palatino Linotype" w:cs="Arial"/>
          <w:bCs/>
          <w:i/>
          <w:color w:val="000000" w:themeColor="text1"/>
          <w:u w:val="single"/>
        </w:rPr>
        <w:t>El derecho humano de acceso a la información pública es la prerrogativa de las personas para buscar, difundir, investigar, recabar, recibir y solicitar información pública</w:t>
      </w:r>
      <w:r w:rsidRPr="00AF7A87">
        <w:rPr>
          <w:rFonts w:ascii="Palatino Linotype" w:hAnsi="Palatino Linotype" w:cs="Arial"/>
          <w:bCs/>
          <w:i/>
          <w:color w:val="000000" w:themeColor="text1"/>
        </w:rPr>
        <w:t>, sin necesidad de acreditar personalidad ni interés jurídico.</w:t>
      </w:r>
    </w:p>
    <w:p w14:paraId="193E2B90" w14:textId="77777777" w:rsidR="00535C1B" w:rsidRPr="00AF7A87" w:rsidRDefault="00535C1B" w:rsidP="00535C1B">
      <w:pPr>
        <w:ind w:left="851" w:right="850"/>
        <w:jc w:val="both"/>
        <w:rPr>
          <w:rFonts w:ascii="Palatino Linotype" w:hAnsi="Palatino Linotype" w:cs="Arial"/>
          <w:i/>
          <w:color w:val="000000" w:themeColor="text1"/>
        </w:rPr>
      </w:pPr>
      <w:r w:rsidRPr="00AF7A87">
        <w:rPr>
          <w:rFonts w:ascii="Palatino Linotype" w:hAnsi="Palatino Linotype" w:cs="Arial"/>
          <w:i/>
          <w:color w:val="000000" w:themeColor="text1"/>
          <w:u w:val="single"/>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w:t>
      </w:r>
      <w:r w:rsidRPr="00AF7A87">
        <w:rPr>
          <w:rFonts w:ascii="Palatino Linotype" w:hAnsi="Palatino Linotype" w:cs="Arial"/>
          <w:i/>
          <w:color w:val="000000" w:themeColor="text1"/>
        </w:rPr>
        <w:t xml:space="preserve"> Solo podrá ser clasificada excepcionalmente como reservada temporalmente por razones de interés público, en los términos de las causas legítimas y estrictamente necesarias previstas por esta Ley.</w:t>
      </w:r>
    </w:p>
    <w:p w14:paraId="0119FC5F" w14:textId="77777777" w:rsidR="00535C1B" w:rsidRPr="00AF7A87" w:rsidRDefault="00535C1B" w:rsidP="00535C1B">
      <w:pPr>
        <w:ind w:left="851" w:right="850"/>
        <w:jc w:val="both"/>
        <w:rPr>
          <w:rFonts w:ascii="Palatino Linotype" w:hAnsi="Palatino Linotype" w:cs="Arial"/>
          <w:i/>
          <w:color w:val="000000" w:themeColor="text1"/>
        </w:rPr>
      </w:pPr>
      <w:r w:rsidRPr="00AF7A87">
        <w:rPr>
          <w:rFonts w:ascii="Palatino Linotype" w:hAnsi="Palatino Linotype" w:cs="Arial"/>
          <w:i/>
          <w:color w:val="000000" w:themeColor="text1"/>
        </w:rPr>
        <w:t>Los sujetos obligados deben poner en práctica, políticas y programas de acceso a la información que se apeguen a criterios de publicidad, veracidad, oportunidad, precisión y suficiencia en beneficio de los solicitantes.</w:t>
      </w:r>
    </w:p>
    <w:p w14:paraId="5CF37FCF" w14:textId="77777777" w:rsidR="00535C1B" w:rsidRPr="00AF7A87" w:rsidRDefault="00535C1B" w:rsidP="00535C1B">
      <w:pPr>
        <w:ind w:left="851" w:right="850"/>
        <w:jc w:val="both"/>
        <w:rPr>
          <w:rFonts w:ascii="Palatino Linotype" w:hAnsi="Palatino Linotype" w:cs="Arial"/>
          <w:b/>
          <w:bCs/>
          <w:i/>
          <w:color w:val="000000" w:themeColor="text1"/>
        </w:rPr>
      </w:pPr>
    </w:p>
    <w:p w14:paraId="047B03FE" w14:textId="77777777" w:rsidR="00535C1B" w:rsidRPr="00AF7A87" w:rsidRDefault="00535C1B" w:rsidP="00535C1B">
      <w:pPr>
        <w:ind w:left="851" w:right="850"/>
        <w:jc w:val="both"/>
        <w:rPr>
          <w:rFonts w:ascii="Palatino Linotype" w:hAnsi="Palatino Linotype" w:cs="Arial"/>
          <w:i/>
          <w:color w:val="000000" w:themeColor="text1"/>
        </w:rPr>
      </w:pPr>
      <w:r w:rsidRPr="00AF7A87">
        <w:rPr>
          <w:rFonts w:ascii="Palatino Linotype" w:hAnsi="Palatino Linotype" w:cs="Arial"/>
          <w:b/>
          <w:bCs/>
          <w:i/>
          <w:color w:val="000000" w:themeColor="text1"/>
        </w:rPr>
        <w:t xml:space="preserve">Artículo 24. </w:t>
      </w:r>
      <w:r w:rsidRPr="00AF7A87">
        <w:rPr>
          <w:rFonts w:ascii="Palatino Linotype" w:hAnsi="Palatino Linotype" w:cs="Arial"/>
          <w:i/>
          <w:color w:val="000000" w:themeColor="text1"/>
          <w:u w:val="single"/>
        </w:rPr>
        <w:t>Para el cumplimiento de los objetivos de esta Ley, los sujetos obligados deberán cumplir con las siguientes obligaciones, según corresponda, de acuerdo a su naturaleza:</w:t>
      </w:r>
    </w:p>
    <w:p w14:paraId="7E54D367" w14:textId="77777777" w:rsidR="00535C1B" w:rsidRPr="00AF7A87" w:rsidRDefault="00535C1B" w:rsidP="00535C1B">
      <w:pPr>
        <w:ind w:left="851" w:right="850"/>
        <w:jc w:val="both"/>
        <w:rPr>
          <w:rFonts w:ascii="Palatino Linotype" w:hAnsi="Palatino Linotype" w:cs="Arial"/>
          <w:i/>
          <w:color w:val="000000" w:themeColor="text1"/>
        </w:rPr>
      </w:pPr>
      <w:r w:rsidRPr="00AF7A87">
        <w:rPr>
          <w:rFonts w:ascii="Palatino Linotype" w:hAnsi="Palatino Linotype" w:cs="Arial"/>
          <w:bCs/>
          <w:i/>
          <w:color w:val="000000" w:themeColor="text1"/>
        </w:rPr>
        <w:t>..</w:t>
      </w:r>
      <w:r w:rsidRPr="00AF7A87">
        <w:rPr>
          <w:rFonts w:ascii="Palatino Linotype" w:hAnsi="Palatino Linotype" w:cs="Arial"/>
          <w:i/>
          <w:color w:val="000000" w:themeColor="text1"/>
        </w:rPr>
        <w:t>.</w:t>
      </w:r>
    </w:p>
    <w:p w14:paraId="173F1619" w14:textId="77777777" w:rsidR="00535C1B" w:rsidRPr="00AF7A87" w:rsidRDefault="00535C1B" w:rsidP="00535C1B">
      <w:pPr>
        <w:ind w:left="851" w:right="850"/>
        <w:jc w:val="both"/>
        <w:rPr>
          <w:rFonts w:ascii="Palatino Linotype" w:hAnsi="Palatino Linotype" w:cs="Arial"/>
          <w:bCs/>
          <w:i/>
          <w:color w:val="000000" w:themeColor="text1"/>
        </w:rPr>
      </w:pPr>
      <w:r w:rsidRPr="00AF7A87">
        <w:rPr>
          <w:rFonts w:ascii="Palatino Linotype" w:hAnsi="Palatino Linotype" w:cs="Arial"/>
          <w:b/>
          <w:bCs/>
          <w:i/>
          <w:color w:val="000000" w:themeColor="text1"/>
        </w:rPr>
        <w:lastRenderedPageBreak/>
        <w:t>IX.</w:t>
      </w:r>
      <w:r w:rsidRPr="00AF7A87">
        <w:rPr>
          <w:rFonts w:ascii="Palatino Linotype" w:hAnsi="Palatino Linotype" w:cs="Arial"/>
          <w:bCs/>
          <w:i/>
          <w:color w:val="000000" w:themeColor="text1"/>
        </w:rPr>
        <w:t xml:space="preserve"> Fomentar el uso de tecnologías de la información para garantizar la transparencia, el derecho de acceso a la información y la accesibilidad a éstos;</w:t>
      </w:r>
    </w:p>
    <w:p w14:paraId="6A3F8456" w14:textId="77777777" w:rsidR="00535C1B" w:rsidRPr="00AF7A87" w:rsidRDefault="00535C1B" w:rsidP="00535C1B">
      <w:pPr>
        <w:ind w:left="851" w:right="850"/>
        <w:jc w:val="both"/>
        <w:rPr>
          <w:rFonts w:ascii="Palatino Linotype" w:hAnsi="Palatino Linotype" w:cs="Arial"/>
          <w:bCs/>
          <w:i/>
          <w:color w:val="000000" w:themeColor="text1"/>
        </w:rPr>
      </w:pPr>
      <w:r w:rsidRPr="00AF7A87">
        <w:rPr>
          <w:rFonts w:ascii="Palatino Linotype" w:hAnsi="Palatino Linotype" w:cs="Arial"/>
          <w:b/>
          <w:bCs/>
          <w:i/>
          <w:color w:val="000000" w:themeColor="text1"/>
        </w:rPr>
        <w:t>…</w:t>
      </w:r>
    </w:p>
    <w:p w14:paraId="21C4CD7B" w14:textId="77777777" w:rsidR="00535C1B" w:rsidRPr="00AF7A87" w:rsidRDefault="00535C1B" w:rsidP="00535C1B">
      <w:pPr>
        <w:ind w:left="851" w:right="850"/>
        <w:jc w:val="both"/>
        <w:rPr>
          <w:rFonts w:ascii="Palatino Linotype" w:hAnsi="Palatino Linotype" w:cs="Arial"/>
          <w:bCs/>
          <w:i/>
          <w:color w:val="000000" w:themeColor="text1"/>
        </w:rPr>
      </w:pPr>
      <w:r w:rsidRPr="00AF7A87">
        <w:rPr>
          <w:rFonts w:ascii="Palatino Linotype" w:hAnsi="Palatino Linotype" w:cs="Arial"/>
          <w:b/>
          <w:bCs/>
          <w:i/>
          <w:color w:val="000000" w:themeColor="text1"/>
        </w:rPr>
        <w:t>XI.</w:t>
      </w:r>
      <w:r w:rsidRPr="00AF7A87">
        <w:rPr>
          <w:rFonts w:ascii="Palatino Linotype" w:hAnsi="Palatino Linotype" w:cs="Arial"/>
          <w:bCs/>
          <w:i/>
          <w:color w:val="000000" w:themeColor="text1"/>
        </w:rPr>
        <w:t xml:space="preserve"> </w:t>
      </w:r>
      <w:r w:rsidRPr="00AF7A87">
        <w:rPr>
          <w:rFonts w:ascii="Palatino Linotype" w:hAnsi="Palatino Linotype" w:cs="Arial"/>
          <w:bCs/>
          <w:i/>
          <w:color w:val="000000" w:themeColor="text1"/>
          <w:u w:val="single"/>
        </w:rPr>
        <w:t>Dar acceso a la información pública que le sea requerida, en los términos de la Ley General, esta Ley y demás disposiciones jurídicas aplicables;</w:t>
      </w:r>
    </w:p>
    <w:p w14:paraId="160BB34A" w14:textId="77777777" w:rsidR="00535C1B" w:rsidRPr="00AF7A87" w:rsidRDefault="00535C1B" w:rsidP="00535C1B">
      <w:pPr>
        <w:ind w:left="851" w:right="850"/>
        <w:jc w:val="both"/>
        <w:rPr>
          <w:rFonts w:ascii="Palatino Linotype" w:hAnsi="Palatino Linotype" w:cs="Arial"/>
          <w:i/>
          <w:color w:val="000000" w:themeColor="text1"/>
        </w:rPr>
      </w:pPr>
      <w:r w:rsidRPr="00AF7A87">
        <w:rPr>
          <w:rFonts w:ascii="Palatino Linotype" w:hAnsi="Palatino Linotype" w:cs="Arial"/>
          <w:bCs/>
          <w:i/>
          <w:color w:val="000000" w:themeColor="text1"/>
        </w:rPr>
        <w:t>…</w:t>
      </w:r>
    </w:p>
    <w:p w14:paraId="59E9DBEC" w14:textId="77777777" w:rsidR="00535C1B" w:rsidRPr="00AF7A87" w:rsidRDefault="00535C1B" w:rsidP="00535C1B">
      <w:pPr>
        <w:ind w:left="851" w:right="850"/>
        <w:jc w:val="both"/>
        <w:rPr>
          <w:rFonts w:ascii="Palatino Linotype" w:hAnsi="Palatino Linotype" w:cs="Arial"/>
          <w:i/>
          <w:color w:val="000000" w:themeColor="text1"/>
        </w:rPr>
      </w:pPr>
      <w:r w:rsidRPr="00AF7A87">
        <w:rPr>
          <w:rFonts w:ascii="Palatino Linotype" w:hAnsi="Palatino Linotype" w:cs="Arial"/>
          <w:i/>
          <w:color w:val="000000" w:themeColor="text1"/>
        </w:rPr>
        <w:t>En la administración, gestión y custodia de los archivos de información pública, los sujetos obligados, los servidores públicos habilitados y los servidores públicos en general, se ajustarán a lo establecido por la normatividad aplicable.</w:t>
      </w:r>
    </w:p>
    <w:p w14:paraId="7BA6D5DB" w14:textId="77777777" w:rsidR="00535C1B" w:rsidRPr="00AF7A87" w:rsidRDefault="00535C1B" w:rsidP="00535C1B">
      <w:pPr>
        <w:ind w:left="851" w:right="851"/>
        <w:jc w:val="both"/>
        <w:rPr>
          <w:rFonts w:ascii="Palatino Linotype" w:hAnsi="Palatino Linotype" w:cs="Arial"/>
          <w:i/>
          <w:color w:val="000000" w:themeColor="text1"/>
          <w:u w:val="single"/>
        </w:rPr>
      </w:pPr>
      <w:r w:rsidRPr="00AF7A87">
        <w:rPr>
          <w:rFonts w:ascii="Palatino Linotype" w:hAnsi="Palatino Linotype" w:cs="Arial"/>
          <w:i/>
          <w:color w:val="000000" w:themeColor="text1"/>
          <w:u w:val="single"/>
        </w:rPr>
        <w:t>Los sujetos obligados solo proporcionarán la información pública que generen, administren o posean en el ejercicio de sus atribuciones.</w:t>
      </w:r>
    </w:p>
    <w:p w14:paraId="4A672CB1" w14:textId="77777777" w:rsidR="00535C1B" w:rsidRPr="00AF7A87" w:rsidRDefault="00535C1B" w:rsidP="00535C1B">
      <w:pPr>
        <w:pStyle w:val="Prrafodelista"/>
        <w:rPr>
          <w:rFonts w:ascii="Palatino Linotype" w:hAnsi="Palatino Linotype"/>
          <w:color w:val="000000"/>
        </w:rPr>
      </w:pPr>
    </w:p>
    <w:p w14:paraId="732A5F22" w14:textId="77777777" w:rsidR="00535C1B" w:rsidRPr="00AF7A87" w:rsidRDefault="00535C1B" w:rsidP="00535C1B">
      <w:pPr>
        <w:pStyle w:val="Prrafodelista"/>
        <w:rPr>
          <w:rFonts w:ascii="Palatino Linotype" w:hAnsi="Palatino Linotype"/>
          <w:color w:val="000000"/>
        </w:rPr>
      </w:pPr>
    </w:p>
    <w:p w14:paraId="3B909D94" w14:textId="77777777" w:rsidR="00535C1B" w:rsidRPr="00AF7A87" w:rsidRDefault="00535C1B" w:rsidP="000757F4">
      <w:pPr>
        <w:pStyle w:val="Prrafodelista"/>
        <w:numPr>
          <w:ilvl w:val="0"/>
          <w:numId w:val="1"/>
        </w:numPr>
        <w:spacing w:line="360" w:lineRule="auto"/>
        <w:ind w:left="0" w:firstLine="0"/>
        <w:jc w:val="both"/>
        <w:rPr>
          <w:rFonts w:ascii="Palatino Linotype" w:hAnsi="Palatino Linotype"/>
        </w:rPr>
      </w:pPr>
      <w:r w:rsidRPr="00AF7A87">
        <w:rPr>
          <w:rFonts w:ascii="Palatino Linotype" w:hAnsi="Palatino Linotype"/>
          <w:color w:val="000000"/>
        </w:rPr>
        <w:t>Por lo que el ejercicio del derecho de acceso a la información pública es la prerrogativa de las personas para buscar, difundir, investigar, recabar, recibir y solicitar información pública, sin necesidad de acreditar personalidad ni interés jurídico.</w:t>
      </w:r>
    </w:p>
    <w:p w14:paraId="35FA04EB" w14:textId="77777777" w:rsidR="00535C1B" w:rsidRPr="00AF7A87" w:rsidRDefault="00535C1B" w:rsidP="00535C1B">
      <w:pPr>
        <w:pStyle w:val="Prrafodelista"/>
        <w:spacing w:line="360" w:lineRule="auto"/>
        <w:ind w:left="0"/>
        <w:jc w:val="both"/>
        <w:rPr>
          <w:rFonts w:ascii="Palatino Linotype" w:hAnsi="Palatino Linotype"/>
        </w:rPr>
      </w:pPr>
    </w:p>
    <w:p w14:paraId="539B7028" w14:textId="77777777" w:rsidR="00535C1B" w:rsidRPr="00AF7A87" w:rsidRDefault="00535C1B" w:rsidP="000757F4">
      <w:pPr>
        <w:pStyle w:val="Prrafodelista"/>
        <w:numPr>
          <w:ilvl w:val="0"/>
          <w:numId w:val="1"/>
        </w:numPr>
        <w:spacing w:line="360" w:lineRule="auto"/>
        <w:ind w:left="0" w:firstLine="0"/>
        <w:jc w:val="both"/>
        <w:rPr>
          <w:rFonts w:ascii="Palatino Linotype" w:hAnsi="Palatino Linotype"/>
        </w:rPr>
      </w:pPr>
      <w:r w:rsidRPr="00AF7A87">
        <w:rPr>
          <w:rFonts w:ascii="Palatino Linotype" w:hAnsi="Palatino Linotype"/>
          <w:color w:val="000000"/>
        </w:rPr>
        <w:t xml:space="preserve">Así como en la obligación de los sujetos obligados a permitir el acceso a su información, es decir, otorgar el acceso a la información que se haya solicitado y que obre en sus archivos tal y como fue generado el documento, por lo que no tienen la obligación de procesarla, resumirla, efectuar cálculos o practicar investigaciones, sino que </w:t>
      </w:r>
      <w:r w:rsidRPr="00AF7A87">
        <w:rPr>
          <w:rFonts w:ascii="Palatino Linotype" w:eastAsia="MS Mincho" w:hAnsi="Palatino Linotype"/>
        </w:rPr>
        <w:t xml:space="preserve">deberá ser entregada en solicitudes de información en el estado en que se encuentre, de conformidad con lo que establece el artículo 12 de la Ley de </w:t>
      </w:r>
      <w:r w:rsidRPr="00AF7A87">
        <w:rPr>
          <w:rFonts w:ascii="Palatino Linotype" w:eastAsia="MS Mincho" w:hAnsi="Palatino Linotype"/>
        </w:rPr>
        <w:lastRenderedPageBreak/>
        <w:t xml:space="preserve">Transparencia y Acceso a la Información Pública del Estado de México y </w:t>
      </w:r>
      <w:proofErr w:type="spellStart"/>
      <w:r w:rsidRPr="00AF7A87">
        <w:rPr>
          <w:rFonts w:ascii="Palatino Linotype" w:eastAsia="MS Mincho" w:hAnsi="Palatino Linotype"/>
        </w:rPr>
        <w:t>Municpios</w:t>
      </w:r>
      <w:proofErr w:type="spellEnd"/>
      <w:r w:rsidRPr="00AF7A87">
        <w:rPr>
          <w:rFonts w:ascii="Palatino Linotype" w:eastAsia="MS Mincho" w:hAnsi="Palatino Linotype"/>
        </w:rPr>
        <w:t xml:space="preserve">, que a la letra dice: </w:t>
      </w:r>
    </w:p>
    <w:p w14:paraId="0D2A7EA2" w14:textId="77777777" w:rsidR="00535C1B" w:rsidRPr="00AF7A87" w:rsidRDefault="00535C1B" w:rsidP="00535C1B">
      <w:pPr>
        <w:spacing w:before="240" w:after="240" w:line="360" w:lineRule="auto"/>
        <w:ind w:right="567"/>
        <w:contextualSpacing/>
        <w:jc w:val="both"/>
        <w:rPr>
          <w:rFonts w:ascii="Palatino Linotype" w:eastAsia="MS Mincho" w:hAnsi="Palatino Linotype" w:cs="Arial"/>
        </w:rPr>
      </w:pPr>
    </w:p>
    <w:p w14:paraId="3248C6FF" w14:textId="77777777" w:rsidR="00535C1B" w:rsidRPr="00AF7A87" w:rsidRDefault="00535C1B" w:rsidP="00535C1B">
      <w:pPr>
        <w:spacing w:before="240" w:after="240" w:line="276" w:lineRule="auto"/>
        <w:ind w:left="567" w:right="567"/>
        <w:contextualSpacing/>
        <w:jc w:val="both"/>
        <w:rPr>
          <w:rFonts w:ascii="Palatino Linotype" w:hAnsi="Palatino Linotype"/>
          <w:i/>
        </w:rPr>
      </w:pPr>
      <w:r w:rsidRPr="00AF7A87">
        <w:rPr>
          <w:rFonts w:ascii="Palatino Linotype" w:hAnsi="Palatino Linotype"/>
          <w:i/>
        </w:rPr>
        <w:t>“</w:t>
      </w:r>
      <w:r w:rsidRPr="00AF7A87">
        <w:rPr>
          <w:rFonts w:ascii="Palatino Linotype" w:hAnsi="Palatino Linotype"/>
          <w:b/>
          <w:i/>
        </w:rPr>
        <w:t>Artículo 12.</w:t>
      </w:r>
      <w:r w:rsidRPr="00AF7A87">
        <w:rPr>
          <w:rFonts w:ascii="Palatino Linotype" w:hAnsi="Palatino Linotype"/>
          <w:i/>
        </w:rPr>
        <w:t xml:space="preserve"> Quienes generen, recopilen, administren, manejen, procesen, archiven o conserven información pública serán responsables de la misma en los términos de las disposiciones jurídicas aplicables. </w:t>
      </w:r>
    </w:p>
    <w:p w14:paraId="2D06FCAE" w14:textId="77777777" w:rsidR="00535C1B" w:rsidRPr="00AF7A87" w:rsidRDefault="00535C1B" w:rsidP="00535C1B">
      <w:pPr>
        <w:spacing w:before="240" w:after="240" w:line="276" w:lineRule="auto"/>
        <w:ind w:left="567" w:right="567"/>
        <w:contextualSpacing/>
        <w:jc w:val="both"/>
        <w:rPr>
          <w:rFonts w:ascii="Palatino Linotype" w:hAnsi="Palatino Linotype"/>
          <w:i/>
        </w:rPr>
      </w:pPr>
    </w:p>
    <w:p w14:paraId="0018631A" w14:textId="77777777" w:rsidR="00535C1B" w:rsidRPr="00AF7A87" w:rsidRDefault="00535C1B" w:rsidP="00535C1B">
      <w:pPr>
        <w:spacing w:before="240" w:after="240" w:line="276" w:lineRule="auto"/>
        <w:ind w:left="567" w:right="567"/>
        <w:contextualSpacing/>
        <w:jc w:val="both"/>
        <w:rPr>
          <w:rFonts w:ascii="Palatino Linotype" w:hAnsi="Palatino Linotype"/>
          <w:i/>
        </w:rPr>
      </w:pPr>
      <w:r w:rsidRPr="00AF7A87">
        <w:rPr>
          <w:rFonts w:ascii="Palatino Linotype" w:hAnsi="Palatino Linotype"/>
          <w:b/>
          <w:i/>
        </w:rPr>
        <w:t>Los sujetos obligados sólo proporcionarán la información pública</w:t>
      </w:r>
      <w:r w:rsidRPr="00AF7A87">
        <w:rPr>
          <w:rFonts w:ascii="Palatino Linotype" w:hAnsi="Palatino Linotype"/>
          <w:i/>
        </w:rPr>
        <w:t xml:space="preserve"> que se les requiera y </w:t>
      </w:r>
      <w:r w:rsidRPr="00AF7A87">
        <w:rPr>
          <w:rFonts w:ascii="Palatino Linotype" w:hAnsi="Palatino Linotype"/>
          <w:b/>
          <w:i/>
        </w:rPr>
        <w:t>que obre en sus archivos y en el estado en que ésta se encuentre</w:t>
      </w:r>
      <w:r w:rsidRPr="00AF7A87">
        <w:rPr>
          <w:rFonts w:ascii="Palatino Linotype" w:hAnsi="Palatino Linotype"/>
          <w:i/>
        </w:rPr>
        <w:t>. La obligación de proporcionar información no comprende el procesamiento de la misma, ni el presentarla conforme al interés del solicitante; no estarán obligados a generarla, resumirla, efectuar cálculos o practicar investigaciones.”</w:t>
      </w:r>
    </w:p>
    <w:p w14:paraId="06759C04" w14:textId="77777777" w:rsidR="00F91301" w:rsidRPr="00AF7A87" w:rsidRDefault="00F91301" w:rsidP="00F91301">
      <w:pPr>
        <w:pStyle w:val="Prrafodelista"/>
        <w:tabs>
          <w:tab w:val="left" w:pos="0"/>
        </w:tabs>
        <w:spacing w:line="360" w:lineRule="auto"/>
        <w:ind w:left="0" w:right="49"/>
        <w:jc w:val="both"/>
        <w:rPr>
          <w:rFonts w:ascii="Palatino Linotype" w:hAnsi="Palatino Linotype" w:cs="Arial"/>
          <w:color w:val="000000" w:themeColor="text1"/>
        </w:rPr>
      </w:pPr>
    </w:p>
    <w:p w14:paraId="33912B78" w14:textId="5356176E"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hAnsi="Palatino Linotype" w:cs="Arial"/>
          <w:color w:val="000000" w:themeColor="text1"/>
        </w:rPr>
        <w:t xml:space="preserve">En consecuencia, los motivos de inconformidad aducidos resultan fundados y suficientes para modificar la respuesta emitida por el </w:t>
      </w:r>
      <w:r w:rsidRPr="00AF7A87">
        <w:rPr>
          <w:rFonts w:ascii="Palatino Linotype" w:hAnsi="Palatino Linotype" w:cs="Arial"/>
          <w:b/>
          <w:color w:val="000000" w:themeColor="text1"/>
        </w:rPr>
        <w:t>SUJETO OBLIGADO</w:t>
      </w:r>
      <w:r w:rsidRPr="00AF7A87">
        <w:rPr>
          <w:rFonts w:ascii="Palatino Linotype" w:hAnsi="Palatino Linotype" w:cs="Arial"/>
          <w:color w:val="000000" w:themeColor="text1"/>
        </w:rPr>
        <w:t xml:space="preserve"> y ordenar la entrega de la versión pública de las sentencias emitidas por la Novena Sala Especializada en Materia de Responsabilidades identificadas con los números 4/2019 y 21/2019 y el acuerdo de clasificación correspondiente a la versión pública.</w:t>
      </w:r>
    </w:p>
    <w:p w14:paraId="28CDCAA7" w14:textId="77777777" w:rsidR="00F91301" w:rsidRPr="00AF7A87" w:rsidRDefault="00F91301" w:rsidP="00F91301">
      <w:pPr>
        <w:pStyle w:val="Prrafodelista"/>
        <w:tabs>
          <w:tab w:val="left" w:pos="0"/>
        </w:tabs>
        <w:spacing w:line="360" w:lineRule="auto"/>
        <w:ind w:left="0" w:right="49"/>
        <w:jc w:val="both"/>
        <w:rPr>
          <w:rFonts w:ascii="Palatino Linotype" w:hAnsi="Palatino Linotype" w:cs="Arial"/>
          <w:color w:val="000000" w:themeColor="text1"/>
        </w:rPr>
      </w:pPr>
    </w:p>
    <w:p w14:paraId="633D6C6A" w14:textId="77777777" w:rsidR="00F91301" w:rsidRPr="00AF7A87" w:rsidRDefault="00F91301" w:rsidP="00F91301">
      <w:pPr>
        <w:pStyle w:val="Ttulo2"/>
        <w:rPr>
          <w:rFonts w:ascii="Palatino Linotype" w:hAnsi="Palatino Linotype"/>
          <w:b/>
          <w:color w:val="000000" w:themeColor="text1"/>
          <w:sz w:val="24"/>
          <w:szCs w:val="24"/>
        </w:rPr>
      </w:pPr>
      <w:bookmarkStart w:id="127" w:name="_Toc22130360"/>
      <w:bookmarkStart w:id="128" w:name="_Toc33809646"/>
      <w:bookmarkStart w:id="129" w:name="_Toc58504404"/>
      <w:r w:rsidRPr="00AF7A87">
        <w:rPr>
          <w:rFonts w:ascii="Palatino Linotype" w:hAnsi="Palatino Linotype"/>
          <w:b/>
          <w:color w:val="000000" w:themeColor="text1"/>
          <w:sz w:val="24"/>
          <w:szCs w:val="24"/>
        </w:rPr>
        <w:t>QUINTO. De la versión pública.</w:t>
      </w:r>
      <w:bookmarkEnd w:id="127"/>
      <w:bookmarkEnd w:id="128"/>
      <w:bookmarkEnd w:id="129"/>
    </w:p>
    <w:p w14:paraId="467505D5" w14:textId="77777777" w:rsidR="00F91301" w:rsidRPr="00AF7A87" w:rsidRDefault="00F91301" w:rsidP="00F91301">
      <w:pPr>
        <w:pStyle w:val="Prrafodelista"/>
        <w:tabs>
          <w:tab w:val="left" w:pos="0"/>
        </w:tabs>
        <w:spacing w:line="360" w:lineRule="auto"/>
        <w:ind w:left="0" w:right="49"/>
        <w:jc w:val="both"/>
        <w:rPr>
          <w:rFonts w:ascii="Palatino Linotype" w:hAnsi="Palatino Linotype" w:cs="Arial"/>
          <w:color w:val="000000" w:themeColor="text1"/>
        </w:rPr>
      </w:pPr>
    </w:p>
    <w:p w14:paraId="126DA8BA"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hAnsi="Palatino Linotype" w:cs="Arial"/>
          <w:color w:val="000000" w:themeColor="text1"/>
        </w:rPr>
        <w:t xml:space="preserve">Debe destacarse que debido a la naturaleza de </w:t>
      </w:r>
      <w:r w:rsidRPr="00AF7A87">
        <w:rPr>
          <w:rFonts w:ascii="Palatino Linotype" w:hAnsi="Palatino Linotype"/>
          <w:color w:val="000000" w:themeColor="text1"/>
        </w:rPr>
        <w:t xml:space="preserve">la información que se ordena entregar, </w:t>
      </w:r>
      <w:r w:rsidRPr="00AF7A87">
        <w:rPr>
          <w:rFonts w:ascii="Palatino Linotype" w:hAnsi="Palatino Linotype" w:cs="Arial"/>
          <w:color w:val="000000" w:themeColor="text1"/>
        </w:rPr>
        <w:t xml:space="preserve">pudieran contener datos susceptibles de ser clasificados como </w:t>
      </w:r>
      <w:r w:rsidRPr="00AF7A87">
        <w:rPr>
          <w:rFonts w:ascii="Palatino Linotype" w:hAnsi="Palatino Linotype" w:cs="Arial"/>
          <w:color w:val="000000" w:themeColor="text1"/>
        </w:rPr>
        <w:lastRenderedPageBreak/>
        <w:t xml:space="preserve">confidenciales, por ello el Instituto de Acceso a la Información Pública y Protección de Datos Personales del Estado de México tiene el deber de velar por la protección de los datos personales aun tratándose de servidores públicos, por lo </w:t>
      </w:r>
      <w:proofErr w:type="gramStart"/>
      <w:r w:rsidRPr="00AF7A87">
        <w:rPr>
          <w:rFonts w:ascii="Palatino Linotype" w:hAnsi="Palatino Linotype" w:cs="Arial"/>
          <w:color w:val="000000" w:themeColor="text1"/>
        </w:rPr>
        <w:t>tanto</w:t>
      </w:r>
      <w:proofErr w:type="gramEnd"/>
      <w:r w:rsidRPr="00AF7A87">
        <w:rPr>
          <w:rFonts w:ascii="Palatino Linotype" w:hAnsi="Palatino Linotype" w:cs="Arial"/>
          <w:color w:val="000000" w:themeColor="text1"/>
        </w:rPr>
        <w:t xml:space="preserve"> </w:t>
      </w:r>
      <w:r w:rsidRPr="00AF7A87">
        <w:rPr>
          <w:rFonts w:ascii="Palatino Linotype" w:eastAsia="Times New Roman" w:hAnsi="Palatino Linotype" w:cs="Times New Roman"/>
          <w:color w:val="000000" w:themeColor="text1"/>
          <w:lang w:val="es-ES"/>
        </w:rPr>
        <w:t>la información solicitada se deberá entregar en versión pública.</w:t>
      </w:r>
    </w:p>
    <w:p w14:paraId="13EEB413" w14:textId="77777777" w:rsidR="00F91301" w:rsidRPr="00AF7A87" w:rsidRDefault="00F91301" w:rsidP="00F91301">
      <w:pPr>
        <w:pStyle w:val="Prrafodelista"/>
        <w:tabs>
          <w:tab w:val="left" w:pos="0"/>
        </w:tabs>
        <w:spacing w:line="360" w:lineRule="auto"/>
        <w:ind w:left="0" w:right="49"/>
        <w:jc w:val="both"/>
        <w:rPr>
          <w:rFonts w:ascii="Palatino Linotype" w:hAnsi="Palatino Linotype" w:cs="Arial"/>
          <w:color w:val="000000" w:themeColor="text1"/>
        </w:rPr>
      </w:pPr>
    </w:p>
    <w:p w14:paraId="477F01D6"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eastAsia="Times New Roman" w:hAnsi="Palatino Linotype" w:cs="Arial"/>
          <w:color w:val="000000" w:themeColor="text1"/>
        </w:rPr>
        <w:t xml:space="preserve">De acuerdo a lo establecido por el artículo 122 de la Ley en materia, establece la clasificación de información, misma que puede ser por dos hipótesis, las cuales corresponden a información reservada o confidencial, por lo que los </w:t>
      </w:r>
      <w:r w:rsidRPr="00AF7A87">
        <w:rPr>
          <w:rFonts w:ascii="Palatino Linotype" w:eastAsia="Times New Roman" w:hAnsi="Palatino Linotype" w:cs="Arial"/>
          <w:b/>
          <w:color w:val="000000" w:themeColor="text1"/>
        </w:rPr>
        <w:t xml:space="preserve">SUJETOS OBLIGADOS </w:t>
      </w:r>
      <w:r w:rsidRPr="00AF7A87">
        <w:rPr>
          <w:rFonts w:ascii="Palatino Linotype" w:eastAsia="Times New Roman" w:hAnsi="Palatino Linotype" w:cs="Arial"/>
          <w:color w:val="000000" w:themeColor="text1"/>
        </w:rPr>
        <w:t>deberá de realizar el proceso de clasificación de información de acuerdo a las bases, principios y disposiciones que ley les señale.</w:t>
      </w:r>
    </w:p>
    <w:p w14:paraId="6E764CC6" w14:textId="77777777" w:rsidR="00F91301" w:rsidRPr="00AF7A87" w:rsidRDefault="00F91301" w:rsidP="00F91301">
      <w:pPr>
        <w:pStyle w:val="Prrafodelista"/>
        <w:rPr>
          <w:rFonts w:ascii="Palatino Linotype" w:hAnsi="Palatino Linotype" w:cs="Arial"/>
          <w:color w:val="000000" w:themeColor="text1"/>
        </w:rPr>
      </w:pPr>
    </w:p>
    <w:p w14:paraId="4B6C468F"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hAnsi="Palatino Linotype" w:cs="Arial"/>
          <w:color w:val="000000" w:themeColor="text1"/>
        </w:rPr>
        <w:t>Así mismo los artículos 143 y 116 de la Ley Estatal y de la Ley General, respectivamente, señalan los supuestos para que la información pueda ser clasificada como confidencial:</w:t>
      </w:r>
    </w:p>
    <w:p w14:paraId="13DBB4E4" w14:textId="77777777" w:rsidR="00F91301" w:rsidRPr="00AF7A87" w:rsidRDefault="00F91301" w:rsidP="00F91301">
      <w:pPr>
        <w:pStyle w:val="Prrafodelista"/>
        <w:rPr>
          <w:rFonts w:ascii="Palatino Linotype" w:hAnsi="Palatino Linotype" w:cs="Arial"/>
          <w:color w:val="000000" w:themeColor="text1"/>
        </w:rPr>
      </w:pPr>
    </w:p>
    <w:p w14:paraId="6EB7599B" w14:textId="77777777" w:rsidR="00F91301" w:rsidRPr="00AF7A87" w:rsidRDefault="00F91301" w:rsidP="00F91301">
      <w:pPr>
        <w:widowControl w:val="0"/>
        <w:autoSpaceDE w:val="0"/>
        <w:autoSpaceDN w:val="0"/>
        <w:adjustRightInd w:val="0"/>
        <w:spacing w:after="240" w:line="360" w:lineRule="auto"/>
        <w:ind w:left="567" w:right="616"/>
        <w:jc w:val="both"/>
        <w:rPr>
          <w:rFonts w:ascii="Palatino Linotype" w:hAnsi="Palatino Linotype" w:cs="Times"/>
          <w:color w:val="000000" w:themeColor="text1"/>
        </w:rPr>
      </w:pPr>
      <w:r w:rsidRPr="00AF7A87">
        <w:rPr>
          <w:rFonts w:ascii="Palatino Linotype" w:hAnsi="Palatino Linotype" w:cs="Bookman Old Style"/>
          <w:bCs/>
          <w:color w:val="000000" w:themeColor="text1"/>
        </w:rPr>
        <w:t xml:space="preserve">I. </w:t>
      </w:r>
      <w:r w:rsidRPr="00AF7A87">
        <w:rPr>
          <w:rFonts w:ascii="Palatino Linotype" w:hAnsi="Palatino Linotype" w:cs="Bookman Old Style"/>
          <w:color w:val="000000" w:themeColor="text1"/>
        </w:rPr>
        <w:t xml:space="preserve">Se refiera a la información privada y los datos personales concernientes a una persona física o jurídico colectiva identificada o identificable; </w:t>
      </w:r>
    </w:p>
    <w:p w14:paraId="0AF573CA" w14:textId="77777777" w:rsidR="00F91301" w:rsidRPr="00AF7A87" w:rsidRDefault="00F91301" w:rsidP="00F91301">
      <w:pPr>
        <w:widowControl w:val="0"/>
        <w:autoSpaceDE w:val="0"/>
        <w:autoSpaceDN w:val="0"/>
        <w:adjustRightInd w:val="0"/>
        <w:spacing w:after="240" w:line="360" w:lineRule="auto"/>
        <w:ind w:left="567" w:right="616"/>
        <w:jc w:val="both"/>
        <w:rPr>
          <w:rFonts w:ascii="Palatino Linotype" w:hAnsi="Palatino Linotype" w:cs="Times"/>
          <w:color w:val="000000" w:themeColor="text1"/>
        </w:rPr>
      </w:pPr>
      <w:r w:rsidRPr="00AF7A87">
        <w:rPr>
          <w:rFonts w:ascii="Palatino Linotype" w:hAnsi="Palatino Linotype" w:cs="Bookman Old Style"/>
          <w:bCs/>
          <w:color w:val="000000" w:themeColor="text1"/>
        </w:rPr>
        <w:t xml:space="preserve">II. </w:t>
      </w:r>
      <w:r w:rsidRPr="00AF7A87">
        <w:rPr>
          <w:rFonts w:ascii="Palatino Linotype" w:hAnsi="Palatino Linotype" w:cs="Bookman Old Style"/>
          <w:color w:val="000000" w:themeColor="text1"/>
        </w:rPr>
        <w:t xml:space="preserve">Los secretos bancario, fiduciario, industrial, comercial, fiscal, bursátil y postal, cuya titularidad corresponda a particulares, sujetos de derecho internacional o a sujetos obligados cuando no involucren el ejercicio de recursos públicos; y </w:t>
      </w:r>
    </w:p>
    <w:p w14:paraId="0567D631" w14:textId="77777777" w:rsidR="00F91301" w:rsidRPr="00AF7A87" w:rsidRDefault="00F91301" w:rsidP="00F91301">
      <w:pPr>
        <w:widowControl w:val="0"/>
        <w:autoSpaceDE w:val="0"/>
        <w:autoSpaceDN w:val="0"/>
        <w:adjustRightInd w:val="0"/>
        <w:spacing w:after="240" w:line="360" w:lineRule="auto"/>
        <w:ind w:left="567" w:right="616"/>
        <w:jc w:val="both"/>
        <w:rPr>
          <w:rFonts w:ascii="Palatino Linotype" w:hAnsi="Palatino Linotype" w:cs="Times"/>
          <w:color w:val="000000" w:themeColor="text1"/>
        </w:rPr>
      </w:pPr>
      <w:r w:rsidRPr="00AF7A87">
        <w:rPr>
          <w:rFonts w:ascii="Palatino Linotype" w:hAnsi="Palatino Linotype" w:cs="Bookman Old Style"/>
          <w:bCs/>
          <w:color w:val="000000" w:themeColor="text1"/>
        </w:rPr>
        <w:t xml:space="preserve">III. </w:t>
      </w:r>
      <w:r w:rsidRPr="00AF7A87">
        <w:rPr>
          <w:rFonts w:ascii="Palatino Linotype" w:hAnsi="Palatino Linotype" w:cs="Bookman Old Style"/>
          <w:color w:val="000000" w:themeColor="text1"/>
        </w:rPr>
        <w:t xml:space="preserve">La que presenten los particulares a los sujetos obligados, de </w:t>
      </w:r>
      <w:r w:rsidRPr="00AF7A87">
        <w:rPr>
          <w:rFonts w:ascii="Palatino Linotype" w:hAnsi="Palatino Linotype" w:cs="Bookman Old Style"/>
          <w:color w:val="000000" w:themeColor="text1"/>
        </w:rPr>
        <w:lastRenderedPageBreak/>
        <w:t xml:space="preserve">conformidad con lo dispuesto por las leyes o los tratados internacionales. </w:t>
      </w:r>
    </w:p>
    <w:p w14:paraId="7B90C60D" w14:textId="77777777" w:rsidR="00F91301" w:rsidRPr="00AF7A87" w:rsidRDefault="00F91301" w:rsidP="00F91301">
      <w:pPr>
        <w:widowControl w:val="0"/>
        <w:autoSpaceDE w:val="0"/>
        <w:autoSpaceDN w:val="0"/>
        <w:adjustRightInd w:val="0"/>
        <w:spacing w:after="240" w:line="360" w:lineRule="auto"/>
        <w:ind w:left="567" w:right="616"/>
        <w:jc w:val="both"/>
        <w:rPr>
          <w:rFonts w:ascii="Palatino Linotype" w:hAnsi="Palatino Linotype" w:cs="Times"/>
          <w:color w:val="000000" w:themeColor="text1"/>
        </w:rPr>
      </w:pPr>
      <w:r w:rsidRPr="00AF7A87">
        <w:rPr>
          <w:rFonts w:ascii="Palatino Linotype" w:hAnsi="Palatino Linotype" w:cs="Bookman Old Style"/>
          <w:color w:val="000000" w:themeColor="text1"/>
        </w:rPr>
        <w:t xml:space="preserve">La información confidencial no estará sujeta a temporalidad alguna y sólo podrán tener acceso a ella los titulares de la misma, sus representantes y los servidores públicos facultados para ello. </w:t>
      </w:r>
    </w:p>
    <w:p w14:paraId="7C0AE006" w14:textId="77777777" w:rsidR="00F91301" w:rsidRPr="00AF7A87" w:rsidRDefault="00F91301" w:rsidP="00F91301">
      <w:pPr>
        <w:widowControl w:val="0"/>
        <w:autoSpaceDE w:val="0"/>
        <w:autoSpaceDN w:val="0"/>
        <w:adjustRightInd w:val="0"/>
        <w:spacing w:line="360" w:lineRule="auto"/>
        <w:ind w:left="567" w:right="616"/>
        <w:jc w:val="both"/>
        <w:rPr>
          <w:rFonts w:ascii="Palatino Linotype" w:hAnsi="Palatino Linotype" w:cs="Times"/>
          <w:color w:val="000000" w:themeColor="text1"/>
        </w:rPr>
      </w:pPr>
      <w:r w:rsidRPr="00AF7A87">
        <w:rPr>
          <w:rFonts w:ascii="Palatino Linotype" w:hAnsi="Palatino Linotype" w:cs="Bookman Old Style"/>
          <w:color w:val="000000" w:themeColor="text1"/>
        </w:rPr>
        <w:t xml:space="preserve">No se considerará confidencial la información que se encuentre en los registros públicos o en fuentes de acceso público, ni tampoco la que sea considerada por la presente ley como información pública. </w:t>
      </w:r>
    </w:p>
    <w:p w14:paraId="48413765" w14:textId="77777777" w:rsidR="00F91301" w:rsidRPr="00AF7A87" w:rsidRDefault="00F91301" w:rsidP="00F91301">
      <w:pPr>
        <w:pStyle w:val="Prrafodelista"/>
        <w:rPr>
          <w:rFonts w:ascii="Palatino Linotype" w:hAnsi="Palatino Linotype" w:cs="Arial"/>
          <w:color w:val="000000" w:themeColor="text1"/>
        </w:rPr>
      </w:pPr>
    </w:p>
    <w:p w14:paraId="08F70938"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hAnsi="Palatino Linotype" w:cs="Arial"/>
          <w:color w:val="000000" w:themeColor="text1"/>
        </w:rPr>
        <w:t>Mientras que los artículos 130 y 105 de la Ley Estatal y de la Ley General, respectivamente, señalan que la aplicación de estos supuestos debe de realizarse de manera restrictiva y limitada, por lo que debe acreditarse que se cumple con esta condición y no se pueden ampliar las excepciones o supuestos de clasificación aduciendo analogía o mayoría de razón.</w:t>
      </w:r>
    </w:p>
    <w:p w14:paraId="08294F90" w14:textId="77777777" w:rsidR="00F91301" w:rsidRPr="00AF7A87" w:rsidRDefault="00F91301" w:rsidP="00F91301">
      <w:pPr>
        <w:pStyle w:val="Prrafodelista"/>
        <w:tabs>
          <w:tab w:val="left" w:pos="0"/>
        </w:tabs>
        <w:spacing w:line="360" w:lineRule="auto"/>
        <w:ind w:left="0" w:right="49"/>
        <w:jc w:val="both"/>
        <w:rPr>
          <w:rFonts w:ascii="Palatino Linotype" w:hAnsi="Palatino Linotype" w:cs="Arial"/>
          <w:color w:val="000000" w:themeColor="text1"/>
        </w:rPr>
      </w:pPr>
    </w:p>
    <w:p w14:paraId="33DDECDA"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hAnsi="Palatino Linotype" w:cs="Arial"/>
          <w:color w:val="000000" w:themeColor="text1"/>
        </w:rPr>
        <w:t xml:space="preserve">Como consecuencia de lo anterior, el </w:t>
      </w:r>
      <w:r w:rsidRPr="00AF7A87">
        <w:rPr>
          <w:rFonts w:ascii="Palatino Linotype" w:hAnsi="Palatino Linotype" w:cs="Arial"/>
          <w:b/>
          <w:color w:val="000000" w:themeColor="text1"/>
        </w:rPr>
        <w:t>SUJETO OBLIGADO</w:t>
      </w:r>
      <w:r w:rsidRPr="00AF7A87">
        <w:rPr>
          <w:rFonts w:ascii="Palatino Linotype" w:hAnsi="Palatino Linotype" w:cs="Arial"/>
          <w:color w:val="000000" w:themeColor="text1"/>
        </w:rPr>
        <w:t xml:space="preserve"> debe identificar claramente el tipo de información y hacer un juicio de subsunción o encaje</w:t>
      </w:r>
      <w:r w:rsidRPr="00AF7A87">
        <w:rPr>
          <w:rStyle w:val="Refdenotaalpie"/>
          <w:rFonts w:ascii="Palatino Linotype" w:hAnsi="Palatino Linotype" w:cs="Arial"/>
          <w:color w:val="000000" w:themeColor="text1"/>
        </w:rPr>
        <w:footnoteReference w:id="1"/>
      </w:r>
      <w:r w:rsidRPr="00AF7A87">
        <w:rPr>
          <w:rFonts w:ascii="Palatino Linotype" w:hAnsi="Palatino Linotype" w:cs="Arial"/>
          <w:color w:val="000000" w:themeColor="text1"/>
        </w:rPr>
        <w:t xml:space="preserve"> para </w:t>
      </w:r>
      <w:r w:rsidRPr="00AF7A87">
        <w:rPr>
          <w:rFonts w:ascii="Palatino Linotype" w:hAnsi="Palatino Linotype" w:cs="Arial"/>
          <w:color w:val="000000" w:themeColor="text1"/>
        </w:rPr>
        <w:lastRenderedPageBreak/>
        <w:t>acreditar que el supuesto de hecho corresponde estrictamente con la hipótesis jurídica. Esto también lo debe de realizar el servidor público habilitado y el titular del área que administra la información.</w:t>
      </w:r>
    </w:p>
    <w:p w14:paraId="63D4411B" w14:textId="77777777" w:rsidR="00F91301" w:rsidRPr="00AF7A87" w:rsidRDefault="00F91301" w:rsidP="00F91301">
      <w:pPr>
        <w:pStyle w:val="Prrafodelista"/>
        <w:rPr>
          <w:rFonts w:ascii="Palatino Linotype" w:hAnsi="Palatino Linotype" w:cs="Arial"/>
          <w:color w:val="000000" w:themeColor="text1"/>
        </w:rPr>
      </w:pPr>
    </w:p>
    <w:p w14:paraId="60D2A7CF"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hAnsi="Palatino Linotype" w:cs="Arial"/>
          <w:color w:val="000000" w:themeColor="text1"/>
        </w:rPr>
        <w:t>Una vez hecho lo anterior, se remite la información al Titular de la Unidad de Transparencia, con el acuerdo de clasificación correspondiente, para que sea sometido al conocimiento del Comité de Transparencia.</w:t>
      </w:r>
    </w:p>
    <w:p w14:paraId="0C7CABD6" w14:textId="77777777" w:rsidR="00F91301" w:rsidRPr="00AF7A87" w:rsidRDefault="00F91301" w:rsidP="00F91301">
      <w:pPr>
        <w:pStyle w:val="Prrafodelista"/>
        <w:tabs>
          <w:tab w:val="left" w:pos="0"/>
        </w:tabs>
        <w:spacing w:line="360" w:lineRule="auto"/>
        <w:ind w:left="0" w:right="49"/>
        <w:jc w:val="both"/>
        <w:rPr>
          <w:rFonts w:ascii="Palatino Linotype" w:hAnsi="Palatino Linotype" w:cs="Arial"/>
          <w:color w:val="000000" w:themeColor="text1"/>
        </w:rPr>
      </w:pPr>
    </w:p>
    <w:p w14:paraId="25D8D8FB" w14:textId="77777777" w:rsidR="00F91301" w:rsidRPr="00AF7A87" w:rsidRDefault="00F91301" w:rsidP="000757F4">
      <w:pPr>
        <w:pStyle w:val="Ttulo2"/>
        <w:numPr>
          <w:ilvl w:val="0"/>
          <w:numId w:val="6"/>
        </w:numPr>
        <w:pBdr>
          <w:top w:val="nil"/>
          <w:left w:val="nil"/>
          <w:bottom w:val="nil"/>
          <w:right w:val="nil"/>
          <w:between w:val="nil"/>
          <w:bar w:val="nil"/>
        </w:pBdr>
        <w:spacing w:before="0" w:line="240" w:lineRule="auto"/>
        <w:ind w:left="0" w:firstLine="0"/>
        <w:rPr>
          <w:rFonts w:ascii="Palatino Linotype" w:hAnsi="Palatino Linotype"/>
          <w:b/>
          <w:color w:val="000000" w:themeColor="text1"/>
          <w:sz w:val="24"/>
          <w:szCs w:val="24"/>
        </w:rPr>
      </w:pPr>
      <w:bookmarkStart w:id="130" w:name="_Toc485733666"/>
      <w:bookmarkStart w:id="131" w:name="_Toc487139037"/>
      <w:bookmarkStart w:id="132" w:name="_Toc490060412"/>
      <w:bookmarkStart w:id="133" w:name="_Toc492468081"/>
      <w:bookmarkStart w:id="134" w:name="_Toc2878596"/>
      <w:bookmarkStart w:id="135" w:name="_Toc10711864"/>
      <w:bookmarkStart w:id="136" w:name="_Toc18609014"/>
      <w:bookmarkStart w:id="137" w:name="_Toc22130361"/>
      <w:bookmarkStart w:id="138" w:name="_Toc33809647"/>
      <w:bookmarkStart w:id="139" w:name="_Toc58504405"/>
      <w:r w:rsidRPr="00AF7A87">
        <w:rPr>
          <w:rFonts w:ascii="Palatino Linotype" w:hAnsi="Palatino Linotype"/>
          <w:b/>
          <w:color w:val="000000" w:themeColor="text1"/>
          <w:sz w:val="24"/>
          <w:szCs w:val="24"/>
        </w:rPr>
        <w:t>Requisitos de fondo del acuerdo de clasificación.</w:t>
      </w:r>
      <w:bookmarkEnd w:id="130"/>
      <w:bookmarkEnd w:id="131"/>
      <w:bookmarkEnd w:id="132"/>
      <w:bookmarkEnd w:id="133"/>
      <w:bookmarkEnd w:id="134"/>
      <w:bookmarkEnd w:id="135"/>
      <w:bookmarkEnd w:id="136"/>
      <w:bookmarkEnd w:id="137"/>
      <w:bookmarkEnd w:id="138"/>
      <w:bookmarkEnd w:id="139"/>
    </w:p>
    <w:p w14:paraId="0B08DD6B" w14:textId="77777777" w:rsidR="00F91301" w:rsidRPr="00AF7A87" w:rsidRDefault="00F91301" w:rsidP="00F91301">
      <w:pPr>
        <w:pStyle w:val="Prrafodelista"/>
        <w:rPr>
          <w:rFonts w:ascii="Palatino Linotype" w:hAnsi="Palatino Linotype" w:cs="Arial"/>
          <w:color w:val="000000" w:themeColor="text1"/>
          <w:lang w:val="es-MX"/>
        </w:rPr>
      </w:pPr>
    </w:p>
    <w:p w14:paraId="6E23093E"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hAnsi="Palatino Linotype" w:cs="Arial"/>
          <w:color w:val="000000" w:themeColor="text1"/>
        </w:rPr>
        <w:t>Como se ha señalado antes, al hacer el juicio de subsunción o encaje entre el supuesto de hecho y la hipótesis jurídica, se debe acreditar la estricta correspondencia entre un elemento y otro. Ahora, en esta parte del procedimiento, que se desahoga en sede del Comité de Transparencia, la ley nos aporta mayores luces para cumplir con dicha acreditación. En los artículos 131 y 105 segundo párrafo de la Ley Estatal y de la Ley General respectivamente, y el lineamiento sexagésimo segundo de los Lineamientos Generales, al señalar que la carga de la prueba, para justificar las restricciones, corresponde a los sujetos obligados, por lo que deberán fundar y motivar debidamente la clasificación.</w:t>
      </w:r>
    </w:p>
    <w:p w14:paraId="51267247" w14:textId="77777777" w:rsidR="00F91301" w:rsidRPr="00AF7A87" w:rsidRDefault="00F91301" w:rsidP="00F91301">
      <w:pPr>
        <w:pStyle w:val="Prrafodelista"/>
        <w:tabs>
          <w:tab w:val="left" w:pos="0"/>
        </w:tabs>
        <w:spacing w:line="360" w:lineRule="auto"/>
        <w:ind w:left="0" w:right="49"/>
        <w:jc w:val="both"/>
        <w:rPr>
          <w:rFonts w:ascii="Palatino Linotype" w:hAnsi="Palatino Linotype" w:cs="Arial"/>
          <w:color w:val="000000" w:themeColor="text1"/>
        </w:rPr>
      </w:pPr>
    </w:p>
    <w:p w14:paraId="4AFAF737"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hAnsi="Palatino Linotype"/>
          <w:color w:val="000000" w:themeColor="text1"/>
        </w:rPr>
        <w:t xml:space="preserve">De lo anterior, se desprende </w:t>
      </w:r>
      <w:proofErr w:type="gramStart"/>
      <w:r w:rsidRPr="00AF7A87">
        <w:rPr>
          <w:rFonts w:ascii="Palatino Linotype" w:hAnsi="Palatino Linotype"/>
          <w:color w:val="000000" w:themeColor="text1"/>
        </w:rPr>
        <w:t>que</w:t>
      </w:r>
      <w:proofErr w:type="gramEnd"/>
      <w:r w:rsidRPr="00AF7A87">
        <w:rPr>
          <w:rFonts w:ascii="Palatino Linotype" w:hAnsi="Palatino Linotype"/>
          <w:color w:val="000000" w:themeColor="text1"/>
        </w:rPr>
        <w:t xml:space="preserve"> para una correcta clasificación total o parcial, esto es determinar los datos que se suprimen en las versiones públicas, es necesario fundar y motivar, de manera correcta, la clasificación; considerando que todo acto que la autoridad pronuncie en el ejercicio de sus atribuciones, debe expresar los fundamentos legales que le dieron origen y las razones por las que se deben aplicar al caso concreto.</w:t>
      </w:r>
    </w:p>
    <w:p w14:paraId="18EAE8A0" w14:textId="77777777" w:rsidR="00F91301" w:rsidRPr="00AF7A87" w:rsidRDefault="00F91301" w:rsidP="00F91301">
      <w:pPr>
        <w:pStyle w:val="Prrafodelista"/>
        <w:rPr>
          <w:rFonts w:ascii="Palatino Linotype" w:eastAsia="Times New Roman" w:hAnsi="Palatino Linotype" w:cs="Arial"/>
          <w:color w:val="000000" w:themeColor="text1"/>
          <w:lang w:eastAsia="es-MX"/>
        </w:rPr>
      </w:pPr>
    </w:p>
    <w:p w14:paraId="06EB0E55"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eastAsia="Times New Roman" w:hAnsi="Palatino Linotype" w:cs="Arial"/>
          <w:color w:val="000000" w:themeColor="text1"/>
          <w:lang w:eastAsia="es-MX"/>
        </w:rPr>
        <w:t xml:space="preserve">Han sido vastos los estudios doctrinarios relativos a estos derechos fundamentales y al principio de legalidad en ellos contenidos; como ejemplo, el procesalista José Ovalle Fabela, en su obra “Garantías Constitucionales del Proceso”, refiere que “...la garantía de fundamentación impone a las autoridades el deber de precisar las disposiciones jurídicas que aplican a los hechos de que se trate y que sustenten su competencia, así como de manifestar los razonamientos que demuestren la aplicabilidad de dichas disposiciones, todo lo cual se debe traducir en una argumentación o juicio de derecho. Pero de igual manera, la garantía de motivación exige que las autoridades expongan los razonamientos con base en los cuales llegaron a la conclusión de que esos hechos son ciertos, normalmente a partir del análisis de las pruebas, lo cual se debe exteriorizar en una argumentación o juicio de </w:t>
      </w:r>
      <w:proofErr w:type="gramStart"/>
      <w:r w:rsidRPr="00AF7A87">
        <w:rPr>
          <w:rFonts w:ascii="Palatino Linotype" w:eastAsia="Times New Roman" w:hAnsi="Palatino Linotype" w:cs="Arial"/>
          <w:color w:val="000000" w:themeColor="text1"/>
          <w:lang w:eastAsia="es-MX"/>
        </w:rPr>
        <w:t>hecho....</w:t>
      </w:r>
      <w:proofErr w:type="gramEnd"/>
      <w:r w:rsidRPr="00AF7A87">
        <w:rPr>
          <w:rFonts w:ascii="Palatino Linotype" w:eastAsia="Times New Roman" w:hAnsi="Palatino Linotype" w:cs="Arial"/>
          <w:color w:val="000000" w:themeColor="text1"/>
          <w:lang w:eastAsia="es-MX"/>
        </w:rPr>
        <w:t>”.</w:t>
      </w:r>
      <w:r w:rsidRPr="00AF7A87">
        <w:rPr>
          <w:rStyle w:val="Refdenotaalpie"/>
          <w:rFonts w:ascii="Palatino Linotype" w:eastAsia="Times New Roman" w:hAnsi="Palatino Linotype" w:cs="Arial"/>
          <w:color w:val="000000" w:themeColor="text1"/>
          <w:lang w:eastAsia="es-MX"/>
        </w:rPr>
        <w:footnoteReference w:id="2"/>
      </w:r>
    </w:p>
    <w:p w14:paraId="02917BF2" w14:textId="77777777" w:rsidR="00F91301" w:rsidRPr="00AF7A87" w:rsidRDefault="00F91301" w:rsidP="00F91301">
      <w:pPr>
        <w:pStyle w:val="Prrafodelista"/>
        <w:rPr>
          <w:rFonts w:ascii="Palatino Linotype" w:eastAsia="Times New Roman" w:hAnsi="Palatino Linotype" w:cs="Arial"/>
          <w:color w:val="000000" w:themeColor="text1"/>
          <w:lang w:eastAsia="es-MX"/>
        </w:rPr>
      </w:pPr>
    </w:p>
    <w:p w14:paraId="224C94B5"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eastAsia="Times New Roman" w:hAnsi="Palatino Linotype" w:cs="Arial"/>
          <w:color w:val="000000" w:themeColor="text1"/>
          <w:lang w:eastAsia="es-MX"/>
        </w:rPr>
        <w:lastRenderedPageBreak/>
        <w:t>Por su parte, el intérprete judicial del país ha establecido una jurisprudencia respecto a qué debe entenderse por fundamentación y motivación, en los siguientes términos:</w:t>
      </w:r>
    </w:p>
    <w:p w14:paraId="6EF1BA85" w14:textId="77777777" w:rsidR="00F91301" w:rsidRPr="00AF7A87" w:rsidRDefault="00F91301" w:rsidP="00F91301">
      <w:pPr>
        <w:spacing w:line="360" w:lineRule="auto"/>
        <w:ind w:right="618"/>
        <w:contextualSpacing/>
        <w:jc w:val="both"/>
        <w:rPr>
          <w:rFonts w:ascii="Palatino Linotype" w:hAnsi="Palatino Linotype" w:cs="Arial"/>
          <w:color w:val="000000" w:themeColor="text1"/>
        </w:rPr>
      </w:pPr>
    </w:p>
    <w:p w14:paraId="4A8D7E32" w14:textId="77777777" w:rsidR="00F91301" w:rsidRPr="00AF7A87" w:rsidRDefault="00F91301" w:rsidP="00F91301">
      <w:pPr>
        <w:spacing w:line="360" w:lineRule="auto"/>
        <w:ind w:left="567" w:right="618"/>
        <w:contextualSpacing/>
        <w:jc w:val="both"/>
        <w:rPr>
          <w:rFonts w:ascii="Palatino Linotype" w:hAnsi="Palatino Linotype" w:cs="Arial"/>
          <w:i/>
          <w:color w:val="000000" w:themeColor="text1"/>
          <w:sz w:val="22"/>
          <w:szCs w:val="22"/>
        </w:rPr>
      </w:pPr>
      <w:r w:rsidRPr="00AF7A87">
        <w:rPr>
          <w:rFonts w:ascii="Palatino Linotype" w:hAnsi="Palatino Linotype" w:cs="Arial"/>
          <w:b/>
          <w:i/>
          <w:color w:val="000000" w:themeColor="text1"/>
          <w:sz w:val="22"/>
          <w:szCs w:val="22"/>
        </w:rPr>
        <w:t>FUNDAMENTACIÓN Y MOTIVACIÓN.</w:t>
      </w:r>
      <w:r w:rsidRPr="00AF7A87">
        <w:rPr>
          <w:rFonts w:ascii="Palatino Linotype" w:hAnsi="Palatino Linotype" w:cs="Arial"/>
          <w:i/>
          <w:color w:val="000000" w:themeColor="text1"/>
          <w:sz w:val="22"/>
          <w:szCs w:val="22"/>
        </w:rPr>
        <w:t xml:space="preserve"> La </w:t>
      </w:r>
      <w:r w:rsidRPr="00AF7A87">
        <w:rPr>
          <w:rFonts w:ascii="Palatino Linotype" w:hAnsi="Palatino Linotype" w:cs="Arial"/>
          <w:i/>
          <w:color w:val="000000" w:themeColor="text1"/>
          <w:sz w:val="22"/>
          <w:szCs w:val="22"/>
          <w:u w:val="single"/>
        </w:rPr>
        <w:t>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r w:rsidRPr="00AF7A87">
        <w:rPr>
          <w:rFonts w:ascii="Palatino Linotype" w:hAnsi="Palatino Linotype" w:cs="Arial"/>
          <w:i/>
          <w:color w:val="000000" w:themeColor="text1"/>
          <w:sz w:val="22"/>
          <w:szCs w:val="22"/>
        </w:rPr>
        <w:t>.</w:t>
      </w:r>
    </w:p>
    <w:p w14:paraId="312F2400" w14:textId="77777777" w:rsidR="00F91301" w:rsidRPr="00AF7A87" w:rsidRDefault="00F91301" w:rsidP="00F91301">
      <w:pPr>
        <w:spacing w:line="360" w:lineRule="auto"/>
        <w:ind w:left="567" w:right="618"/>
        <w:contextualSpacing/>
        <w:jc w:val="both"/>
        <w:rPr>
          <w:rFonts w:ascii="Palatino Linotype" w:hAnsi="Palatino Linotype" w:cs="Arial"/>
          <w:i/>
          <w:color w:val="000000" w:themeColor="text1"/>
          <w:sz w:val="22"/>
          <w:szCs w:val="22"/>
        </w:rPr>
      </w:pPr>
      <w:r w:rsidRPr="00AF7A87">
        <w:rPr>
          <w:rFonts w:ascii="Palatino Linotype" w:hAnsi="Palatino Linotype" w:cs="Arial"/>
          <w:i/>
          <w:color w:val="000000" w:themeColor="text1"/>
          <w:sz w:val="22"/>
          <w:szCs w:val="22"/>
        </w:rPr>
        <w:t>SEGUNDO TRIBUNAL COLEGIADO DEL SEXTO CIRCUITO.</w:t>
      </w:r>
    </w:p>
    <w:p w14:paraId="7884D3B0" w14:textId="77777777" w:rsidR="00F91301" w:rsidRPr="00AF7A87" w:rsidRDefault="00F91301" w:rsidP="00F91301">
      <w:pPr>
        <w:spacing w:line="360" w:lineRule="auto"/>
        <w:ind w:left="567" w:right="618"/>
        <w:contextualSpacing/>
        <w:jc w:val="both"/>
        <w:rPr>
          <w:rFonts w:ascii="Palatino Linotype" w:hAnsi="Palatino Linotype" w:cs="Arial"/>
          <w:i/>
          <w:color w:val="000000" w:themeColor="text1"/>
          <w:sz w:val="22"/>
          <w:szCs w:val="22"/>
        </w:rPr>
      </w:pPr>
      <w:r w:rsidRPr="00AF7A87">
        <w:rPr>
          <w:rFonts w:ascii="Palatino Linotype" w:hAnsi="Palatino Linotype" w:cs="Arial"/>
          <w:i/>
          <w:color w:val="000000" w:themeColor="text1"/>
          <w:sz w:val="22"/>
          <w:szCs w:val="22"/>
        </w:rPr>
        <w:t>Amparo directo 194/88. Bufete Industrial Construcciones, S.A. de C.V. 28 de junio de 1988. Unanimidad de votos. Ponente: Gustavo Calvillo Rangel. Secretario: Jorge Alberto González Álvarez.</w:t>
      </w:r>
    </w:p>
    <w:p w14:paraId="1AB9EFEA" w14:textId="77777777" w:rsidR="00F91301" w:rsidRPr="00AF7A87" w:rsidRDefault="00F91301" w:rsidP="00F91301">
      <w:pPr>
        <w:spacing w:line="360" w:lineRule="auto"/>
        <w:ind w:left="567" w:right="618"/>
        <w:contextualSpacing/>
        <w:jc w:val="both"/>
        <w:rPr>
          <w:rFonts w:ascii="Palatino Linotype" w:hAnsi="Palatino Linotype" w:cs="Arial"/>
          <w:i/>
          <w:color w:val="000000" w:themeColor="text1"/>
          <w:sz w:val="22"/>
          <w:szCs w:val="22"/>
        </w:rPr>
      </w:pPr>
      <w:r w:rsidRPr="00AF7A87">
        <w:rPr>
          <w:rFonts w:ascii="Palatino Linotype" w:hAnsi="Palatino Linotype" w:cs="Arial"/>
          <w:i/>
          <w:color w:val="000000" w:themeColor="text1"/>
          <w:sz w:val="22"/>
          <w:szCs w:val="22"/>
        </w:rPr>
        <w:t>Revisión fiscal 103/88. Instituto Mexicano del Seguro Social. 18 de octubre de 1988. Unanimidad de votos. Ponente: Arnoldo Nájera Virgen. Secretario: Alejandro Esponda Rincón.</w:t>
      </w:r>
    </w:p>
    <w:p w14:paraId="6A35A9EA" w14:textId="77777777" w:rsidR="00F91301" w:rsidRPr="00AF7A87" w:rsidRDefault="00F91301" w:rsidP="00F91301">
      <w:pPr>
        <w:spacing w:line="360" w:lineRule="auto"/>
        <w:ind w:left="567" w:right="618"/>
        <w:contextualSpacing/>
        <w:jc w:val="both"/>
        <w:rPr>
          <w:rFonts w:ascii="Palatino Linotype" w:hAnsi="Palatino Linotype" w:cs="Arial"/>
          <w:i/>
          <w:color w:val="000000" w:themeColor="text1"/>
          <w:sz w:val="22"/>
          <w:szCs w:val="22"/>
        </w:rPr>
      </w:pPr>
      <w:r w:rsidRPr="00AF7A87">
        <w:rPr>
          <w:rFonts w:ascii="Palatino Linotype" w:hAnsi="Palatino Linotype" w:cs="Arial"/>
          <w:i/>
          <w:color w:val="000000" w:themeColor="text1"/>
          <w:sz w:val="22"/>
          <w:szCs w:val="22"/>
        </w:rPr>
        <w:t>Amparo en revisión 333/88. Adilia Romero. 26 de octubre de 1988. Unanimidad de votos. Ponente: Arnoldo Nájera Virgen. Secretario: Enrique Crispín Campos Ramírez.</w:t>
      </w:r>
    </w:p>
    <w:p w14:paraId="27C461E8" w14:textId="77777777" w:rsidR="00F91301" w:rsidRPr="00AF7A87" w:rsidRDefault="00F91301" w:rsidP="00F91301">
      <w:pPr>
        <w:spacing w:line="360" w:lineRule="auto"/>
        <w:ind w:left="567" w:right="618"/>
        <w:contextualSpacing/>
        <w:jc w:val="both"/>
        <w:rPr>
          <w:rFonts w:ascii="Palatino Linotype" w:hAnsi="Palatino Linotype" w:cs="Arial"/>
          <w:i/>
          <w:color w:val="000000" w:themeColor="text1"/>
          <w:sz w:val="22"/>
          <w:szCs w:val="22"/>
        </w:rPr>
      </w:pPr>
      <w:r w:rsidRPr="00AF7A87">
        <w:rPr>
          <w:rFonts w:ascii="Palatino Linotype" w:hAnsi="Palatino Linotype" w:cs="Arial"/>
          <w:i/>
          <w:color w:val="000000" w:themeColor="text1"/>
          <w:sz w:val="22"/>
          <w:szCs w:val="22"/>
        </w:rPr>
        <w:t>Amparo en revisión 597/95. Emilio Maurer Bretón. 15 de noviembre de 1995. Unanimidad de votos. Ponente: Clementina Ramírez Moguel Goyzueta. Secretario: Gonzalo Carrera Molina.</w:t>
      </w:r>
    </w:p>
    <w:p w14:paraId="33ECCA56" w14:textId="77777777" w:rsidR="00F91301" w:rsidRPr="00AF7A87" w:rsidRDefault="00F91301" w:rsidP="00F91301">
      <w:pPr>
        <w:spacing w:line="360" w:lineRule="auto"/>
        <w:ind w:left="567" w:right="618"/>
        <w:contextualSpacing/>
        <w:jc w:val="both"/>
        <w:rPr>
          <w:rFonts w:ascii="Palatino Linotype" w:hAnsi="Palatino Linotype" w:cs="Arial"/>
          <w:i/>
          <w:color w:val="000000" w:themeColor="text1"/>
          <w:sz w:val="22"/>
          <w:szCs w:val="22"/>
        </w:rPr>
      </w:pPr>
      <w:r w:rsidRPr="00AF7A87">
        <w:rPr>
          <w:rFonts w:ascii="Palatino Linotype" w:hAnsi="Palatino Linotype" w:cs="Arial"/>
          <w:i/>
          <w:color w:val="000000" w:themeColor="text1"/>
          <w:sz w:val="22"/>
          <w:szCs w:val="22"/>
        </w:rPr>
        <w:lastRenderedPageBreak/>
        <w:t xml:space="preserve">Amparo directo 7/96. Pedro Vicente López Miro. 21 de febrero de 1996. Unanimidad de votos. Ponente: María Eugenia Estela Martínez Cardiel. Secretario: Enrique </w:t>
      </w:r>
      <w:proofErr w:type="spellStart"/>
      <w:r w:rsidRPr="00AF7A87">
        <w:rPr>
          <w:rFonts w:ascii="Palatino Linotype" w:hAnsi="Palatino Linotype" w:cs="Arial"/>
          <w:i/>
          <w:color w:val="000000" w:themeColor="text1"/>
          <w:sz w:val="22"/>
          <w:szCs w:val="22"/>
        </w:rPr>
        <w:t>Baigts</w:t>
      </w:r>
      <w:proofErr w:type="spellEnd"/>
      <w:r w:rsidRPr="00AF7A87">
        <w:rPr>
          <w:rFonts w:ascii="Palatino Linotype" w:hAnsi="Palatino Linotype" w:cs="Arial"/>
          <w:i/>
          <w:color w:val="000000" w:themeColor="text1"/>
          <w:sz w:val="22"/>
          <w:szCs w:val="22"/>
        </w:rPr>
        <w:t xml:space="preserve"> Muñoz.</w:t>
      </w:r>
      <w:r w:rsidRPr="00AF7A87">
        <w:rPr>
          <w:rStyle w:val="Refdenotaalpie"/>
          <w:rFonts w:ascii="Palatino Linotype" w:hAnsi="Palatino Linotype" w:cs="Arial"/>
          <w:i/>
          <w:color w:val="000000" w:themeColor="text1"/>
          <w:sz w:val="22"/>
          <w:szCs w:val="22"/>
        </w:rPr>
        <w:footnoteReference w:id="3"/>
      </w:r>
    </w:p>
    <w:p w14:paraId="1E1B22E8" w14:textId="77777777" w:rsidR="00F91301" w:rsidRPr="00AF7A87" w:rsidRDefault="00F91301" w:rsidP="00F91301">
      <w:pPr>
        <w:pStyle w:val="Prrafodelista"/>
        <w:rPr>
          <w:rFonts w:ascii="Palatino Linotype" w:eastAsia="Times New Roman" w:hAnsi="Palatino Linotype" w:cs="Arial"/>
          <w:color w:val="000000" w:themeColor="text1"/>
          <w:lang w:eastAsia="es-MX"/>
        </w:rPr>
      </w:pPr>
    </w:p>
    <w:p w14:paraId="1216D3B5"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eastAsia="Times New Roman" w:hAnsi="Palatino Linotype" w:cs="Arial"/>
          <w:color w:val="000000" w:themeColor="text1"/>
          <w:lang w:eastAsia="es-MX"/>
        </w:rPr>
        <w:t>Así, 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w:t>
      </w:r>
    </w:p>
    <w:p w14:paraId="10C48DCA" w14:textId="77777777" w:rsidR="00F91301" w:rsidRPr="00AF7A87" w:rsidRDefault="00F91301" w:rsidP="00F91301">
      <w:pPr>
        <w:pStyle w:val="Prrafodelista"/>
        <w:tabs>
          <w:tab w:val="left" w:pos="0"/>
        </w:tabs>
        <w:spacing w:line="360" w:lineRule="auto"/>
        <w:ind w:left="0" w:right="49"/>
        <w:jc w:val="both"/>
        <w:rPr>
          <w:rFonts w:ascii="Palatino Linotype" w:hAnsi="Palatino Linotype" w:cs="Arial"/>
          <w:color w:val="000000" w:themeColor="text1"/>
        </w:rPr>
      </w:pPr>
    </w:p>
    <w:p w14:paraId="5F80395A"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eastAsia="Times New Roman" w:hAnsi="Palatino Linotype" w:cs="Arial"/>
          <w:color w:val="000000" w:themeColor="text1"/>
          <w:lang w:eastAsia="es-MX"/>
        </w:rPr>
        <w:t>En consecuencia, la fundamentación y motivación implica que, en el acto de autoridad, además de contenerse los supuestos jurídicos aplicables se expliquen claramente por qué a través de la utilización de la norma se emitió el acto. De este modo, la persona que se sienta afectada pueda impugnar la decisión, permitiéndole una real y auténtica defensa.</w:t>
      </w:r>
    </w:p>
    <w:p w14:paraId="552509A9" w14:textId="77777777" w:rsidR="00F91301" w:rsidRPr="00AF7A87" w:rsidRDefault="00F91301" w:rsidP="00F91301">
      <w:pPr>
        <w:pStyle w:val="Prrafodelista"/>
        <w:rPr>
          <w:rFonts w:ascii="Palatino Linotype" w:eastAsia="Times New Roman" w:hAnsi="Palatino Linotype" w:cs="Arial"/>
          <w:color w:val="000000" w:themeColor="text1"/>
          <w:lang w:eastAsia="es-MX"/>
        </w:rPr>
      </w:pPr>
    </w:p>
    <w:p w14:paraId="08F07BAE"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eastAsia="Times New Roman" w:hAnsi="Palatino Linotype" w:cs="Arial"/>
          <w:color w:val="000000" w:themeColor="text1"/>
          <w:lang w:eastAsia="es-MX"/>
        </w:rPr>
        <w:t>En ese mismo sentido, el lineamiento trigésimo tercero fracción V de los Lineamientos Generales, precisa que para motivar la clasificación se deben acreditar las circunstancias de tiempo, modo y lugar.</w:t>
      </w:r>
    </w:p>
    <w:p w14:paraId="0CC5692D" w14:textId="77777777" w:rsidR="00F91301" w:rsidRPr="00AF7A87" w:rsidRDefault="00F91301" w:rsidP="00F91301">
      <w:pPr>
        <w:pStyle w:val="Prrafodelista"/>
        <w:rPr>
          <w:rFonts w:ascii="Palatino Linotype" w:eastAsia="Times New Roman" w:hAnsi="Palatino Linotype" w:cs="Arial"/>
          <w:color w:val="000000" w:themeColor="text1"/>
          <w:lang w:eastAsia="es-MX"/>
        </w:rPr>
      </w:pPr>
    </w:p>
    <w:p w14:paraId="20563808" w14:textId="46DDB2E2"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eastAsia="Times New Roman" w:hAnsi="Palatino Linotype" w:cs="Arial"/>
          <w:color w:val="000000" w:themeColor="text1"/>
          <w:lang w:eastAsia="es-MX"/>
        </w:rPr>
        <w:t xml:space="preserve">Ahora bien, para cada caso además de fundar y motivar, se debe identificar con claridad que datos contenidos en las documentales que son susceptibles de </w:t>
      </w:r>
      <w:r w:rsidRPr="00AF7A87">
        <w:rPr>
          <w:rFonts w:ascii="Palatino Linotype" w:eastAsia="Times New Roman" w:hAnsi="Palatino Linotype" w:cs="Arial"/>
          <w:color w:val="000000" w:themeColor="text1"/>
          <w:lang w:eastAsia="es-MX"/>
        </w:rPr>
        <w:lastRenderedPageBreak/>
        <w:t>suprimirse, porque no todos los datos contenidos en los documentos ordenados son</w:t>
      </w:r>
      <w:r w:rsidRPr="00AF7A87">
        <w:rPr>
          <w:rFonts w:ascii="Palatino Linotype" w:hAnsi="Palatino Linotype"/>
          <w:color w:val="000000" w:themeColor="text1"/>
        </w:rPr>
        <w:t xml:space="preserve"> </w:t>
      </w:r>
      <w:r w:rsidRPr="00AF7A87">
        <w:rPr>
          <w:rFonts w:ascii="Palatino Linotype" w:eastAsia="Times New Roman" w:hAnsi="Palatino Linotype" w:cs="Arial"/>
          <w:color w:val="000000" w:themeColor="text1"/>
          <w:lang w:eastAsia="es-MX"/>
        </w:rPr>
        <w:t>datos personales</w:t>
      </w:r>
      <w:r w:rsidRPr="00AF7A87">
        <w:rPr>
          <w:rStyle w:val="Refdenotaalpie"/>
          <w:rFonts w:ascii="Palatino Linotype" w:eastAsia="Times New Roman" w:hAnsi="Palatino Linotype" w:cs="Arial"/>
          <w:color w:val="000000" w:themeColor="text1"/>
          <w:lang w:eastAsia="es-MX"/>
        </w:rPr>
        <w:footnoteReference w:id="4"/>
      </w:r>
      <w:r w:rsidRPr="00AF7A87">
        <w:rPr>
          <w:rFonts w:ascii="Palatino Linotype" w:eastAsia="Times New Roman" w:hAnsi="Palatino Linotype" w:cs="Arial"/>
          <w:color w:val="000000" w:themeColor="text1"/>
          <w:lang w:eastAsia="es-MX"/>
        </w:rPr>
        <w:t xml:space="preserve">, </w:t>
      </w:r>
      <w:r w:rsidRPr="00AF7A87">
        <w:rPr>
          <w:rFonts w:ascii="Palatino Linotype" w:eastAsia="Calibri" w:hAnsi="Palatino Linotype" w:cs="Arial"/>
          <w:color w:val="000000" w:themeColor="text1"/>
          <w:lang w:eastAsia="es-MX"/>
        </w:rPr>
        <w:t>p</w:t>
      </w:r>
      <w:proofErr w:type="spellStart"/>
      <w:r w:rsidRPr="00AF7A87">
        <w:rPr>
          <w:rFonts w:ascii="Palatino Linotype" w:eastAsia="Calibri" w:hAnsi="Palatino Linotype" w:cs="Arial"/>
          <w:color w:val="000000" w:themeColor="text1"/>
          <w:lang w:val="es-ES" w:eastAsia="es-MX"/>
        </w:rPr>
        <w:t>or</w:t>
      </w:r>
      <w:proofErr w:type="spellEnd"/>
      <w:r w:rsidRPr="00AF7A87">
        <w:rPr>
          <w:rFonts w:ascii="Palatino Linotype" w:eastAsia="Calibri" w:hAnsi="Palatino Linotype" w:cs="Arial"/>
          <w:color w:val="000000" w:themeColor="text1"/>
          <w:lang w:val="es-ES" w:eastAsia="es-MX"/>
        </w:rPr>
        <w:t xml:space="preserve"> lo que ante una solicitud de acceso a la información que resulte con información clasificada como confidencial, es viable de acuerdo a las disposiciones legales elaborar una versión pública. La versión pública debe ser autorizada por el Comité de Transparencia, se debe de emitir un acuerdo de clasificación, previo a la entrega de la información al recurrente, el cual se debe de elaborar.</w:t>
      </w:r>
    </w:p>
    <w:p w14:paraId="26B05709" w14:textId="77777777" w:rsidR="00F91301" w:rsidRPr="00AF7A87" w:rsidRDefault="00F91301" w:rsidP="00F91301">
      <w:pPr>
        <w:pStyle w:val="Prrafodelista"/>
        <w:rPr>
          <w:rFonts w:ascii="Palatino Linotype" w:eastAsia="Calibri" w:hAnsi="Palatino Linotype" w:cs="Arial"/>
          <w:color w:val="000000" w:themeColor="text1"/>
          <w:lang w:val="es-ES" w:eastAsia="es-MX"/>
        </w:rPr>
      </w:pPr>
    </w:p>
    <w:p w14:paraId="5607BCB9"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eastAsia="Calibri" w:hAnsi="Palatino Linotype" w:cs="Arial"/>
          <w:color w:val="000000" w:themeColor="text1"/>
          <w:lang w:val="es-ES" w:eastAsia="es-MX"/>
        </w:rPr>
        <w:t xml:space="preserve">Es de señalar, que por lo que hace a las versiones públicas, el </w:t>
      </w:r>
      <w:r w:rsidRPr="00AF7A87">
        <w:rPr>
          <w:rFonts w:ascii="Palatino Linotype" w:eastAsia="Calibri" w:hAnsi="Palatino Linotype" w:cs="Arial"/>
          <w:b/>
          <w:color w:val="000000" w:themeColor="text1"/>
          <w:lang w:val="es-ES" w:eastAsia="es-MX"/>
        </w:rPr>
        <w:t>SUJETO OBLIGADO</w:t>
      </w:r>
      <w:r w:rsidRPr="00AF7A87">
        <w:rPr>
          <w:rFonts w:ascii="Palatino Linotype" w:eastAsia="Calibri" w:hAnsi="Palatino Linotype" w:cs="Arial"/>
          <w:color w:val="000000" w:themeColor="text1"/>
          <w:lang w:val="es-ES" w:eastAsia="es-MX"/>
        </w:rPr>
        <w:t xml:space="preserve"> debe cumplir con las formalidades exigidas en la Ley, por lo que </w:t>
      </w:r>
      <w:r w:rsidRPr="00AF7A87">
        <w:rPr>
          <w:rFonts w:ascii="Palatino Linotype" w:eastAsia="Times New Roman" w:hAnsi="Palatino Linotype" w:cs="Arial"/>
          <w:color w:val="000000" w:themeColor="text1"/>
          <w:lang w:eastAsia="es-MX"/>
        </w:rPr>
        <w:t xml:space="preserve">para tal efecto emitirá el </w:t>
      </w:r>
      <w:r w:rsidRPr="00AF7A87">
        <w:rPr>
          <w:rFonts w:ascii="Palatino Linotype" w:eastAsia="Calibri" w:hAnsi="Palatino Linotype" w:cs="Arial"/>
          <w:color w:val="000000" w:themeColor="text1"/>
          <w:lang w:val="es-ES" w:eastAsia="es-MX"/>
        </w:rPr>
        <w:t>Acuerdo del Comité de Transparencia en términos de los artículos 49 fracción</w:t>
      </w:r>
      <w:r w:rsidRPr="00AF7A87">
        <w:rPr>
          <w:rFonts w:ascii="Palatino Linotype" w:eastAsia="Calibri" w:hAnsi="Palatino Linotype" w:cs="Arial"/>
          <w:bCs/>
          <w:color w:val="000000" w:themeColor="text1"/>
        </w:rPr>
        <w:t xml:space="preserve"> VIII,</w:t>
      </w:r>
      <w:r w:rsidRPr="00AF7A87">
        <w:rPr>
          <w:rFonts w:ascii="Palatino Linotype" w:eastAsia="Calibri" w:hAnsi="Palatino Linotype" w:cs="Arial"/>
          <w:color w:val="000000" w:themeColor="text1"/>
          <w:lang w:val="es-ES" w:eastAsia="es-MX"/>
        </w:rPr>
        <w:t xml:space="preserve"> 122</w:t>
      </w:r>
      <w:r w:rsidRPr="00AF7A87">
        <w:rPr>
          <w:rFonts w:ascii="Palatino Linotype" w:hAnsi="Palatino Linotype" w:cs="Times New Roman"/>
          <w:color w:val="000000" w:themeColor="text1"/>
          <w:vertAlign w:val="superscript"/>
          <w:lang w:val="es-ES" w:eastAsia="es-MX"/>
        </w:rPr>
        <w:footnoteReference w:id="5"/>
      </w:r>
      <w:r w:rsidRPr="00AF7A87">
        <w:rPr>
          <w:rFonts w:ascii="Palatino Linotype" w:eastAsia="Calibri" w:hAnsi="Palatino Linotype" w:cs="Arial"/>
          <w:color w:val="000000" w:themeColor="text1"/>
          <w:lang w:val="es-ES" w:eastAsia="es-MX"/>
        </w:rPr>
        <w:t>, 135</w:t>
      </w:r>
      <w:r w:rsidRPr="00AF7A87">
        <w:rPr>
          <w:rFonts w:ascii="Palatino Linotype" w:hAnsi="Palatino Linotype" w:cs="Times New Roman"/>
          <w:color w:val="000000" w:themeColor="text1"/>
          <w:vertAlign w:val="superscript"/>
          <w:lang w:val="es-ES" w:eastAsia="es-MX"/>
        </w:rPr>
        <w:footnoteReference w:id="6"/>
      </w:r>
      <w:r w:rsidRPr="00AF7A87">
        <w:rPr>
          <w:rFonts w:ascii="Palatino Linotype" w:eastAsia="Calibri" w:hAnsi="Palatino Linotype" w:cs="Arial"/>
          <w:color w:val="000000" w:themeColor="text1"/>
          <w:lang w:val="es-ES" w:eastAsia="es-MX"/>
        </w:rPr>
        <w:t xml:space="preserve"> y 149 de la Ley de Transparencia y Acceso a la Información Pública del Estado de México, con el cual </w:t>
      </w:r>
      <w:proofErr w:type="gramStart"/>
      <w:r w:rsidRPr="00AF7A87">
        <w:rPr>
          <w:rFonts w:ascii="Palatino Linotype" w:eastAsia="Calibri" w:hAnsi="Palatino Linotype" w:cs="Arial"/>
          <w:color w:val="000000" w:themeColor="text1"/>
          <w:lang w:val="es-ES" w:eastAsia="es-MX"/>
        </w:rPr>
        <w:t>sustentara</w:t>
      </w:r>
      <w:proofErr w:type="gramEnd"/>
      <w:r w:rsidRPr="00AF7A87">
        <w:rPr>
          <w:rFonts w:ascii="Palatino Linotype" w:eastAsia="Calibri" w:hAnsi="Palatino Linotype" w:cs="Arial"/>
          <w:color w:val="000000" w:themeColor="text1"/>
          <w:lang w:val="es-ES" w:eastAsia="es-MX"/>
        </w:rPr>
        <w:t xml:space="preserve"> la clasificación de datos y con ello la "versión pública" de los documentos materia de la solicitud.</w:t>
      </w:r>
    </w:p>
    <w:p w14:paraId="01DFF7DA" w14:textId="77777777" w:rsidR="00F91301" w:rsidRPr="00AF7A87" w:rsidRDefault="00F91301" w:rsidP="00F91301">
      <w:pPr>
        <w:pStyle w:val="Prrafodelista"/>
        <w:rPr>
          <w:rFonts w:ascii="Palatino Linotype" w:eastAsia="Calibri" w:hAnsi="Palatino Linotype" w:cs="Arial"/>
          <w:color w:val="000000" w:themeColor="text1"/>
          <w:lang w:val="es-ES" w:eastAsia="es-CO"/>
        </w:rPr>
      </w:pPr>
    </w:p>
    <w:p w14:paraId="0834163A"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eastAsia="Calibri" w:hAnsi="Palatino Linotype" w:cs="Arial"/>
          <w:color w:val="000000" w:themeColor="text1"/>
          <w:lang w:val="es-ES" w:eastAsia="es-CO"/>
        </w:rPr>
        <w:lastRenderedPageBreak/>
        <w:t xml:space="preserve">Por lo tanto, la entrega de documentos, en su versión pública, debe acompañarse necesariamente del Acuerdo del Comité de Transparencia que la sustente, en el que se expongan los fundamentos y razonamientos que llevaron al </w:t>
      </w:r>
      <w:r w:rsidRPr="00AF7A87">
        <w:rPr>
          <w:rFonts w:ascii="Palatino Linotype" w:eastAsia="Calibri" w:hAnsi="Palatino Linotype" w:cs="Arial"/>
          <w:b/>
          <w:color w:val="000000" w:themeColor="text1"/>
          <w:lang w:val="es-ES" w:eastAsia="es-CO"/>
        </w:rPr>
        <w:t>SUJETO OBLIGADO</w:t>
      </w:r>
      <w:r w:rsidRPr="00AF7A87">
        <w:rPr>
          <w:rFonts w:ascii="Palatino Linotype" w:eastAsia="Calibri" w:hAnsi="Palatino Linotype" w:cs="Arial"/>
          <w:color w:val="000000" w:themeColor="text1"/>
          <w:lang w:val="es-ES" w:eastAsia="es-CO"/>
        </w:rPr>
        <w:t xml:space="preserve">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14:paraId="5145731B" w14:textId="77777777" w:rsidR="00F91301" w:rsidRPr="00AF7A87" w:rsidRDefault="00F91301" w:rsidP="00F91301">
      <w:pPr>
        <w:pStyle w:val="Prrafodelista"/>
        <w:rPr>
          <w:rFonts w:ascii="Palatino Linotype" w:eastAsia="Times New Roman" w:hAnsi="Palatino Linotype" w:cs="Arial"/>
          <w:color w:val="000000" w:themeColor="text1"/>
          <w:lang w:eastAsia="es-MX"/>
        </w:rPr>
      </w:pPr>
    </w:p>
    <w:p w14:paraId="705DC0F1"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eastAsia="Times New Roman" w:hAnsi="Palatino Linotype" w:cs="Arial"/>
          <w:color w:val="000000" w:themeColor="text1"/>
          <w:lang w:eastAsia="es-MX"/>
        </w:rPr>
        <w:t xml:space="preserve">Siendo así que, </w:t>
      </w:r>
      <w:r w:rsidRPr="00AF7A87">
        <w:rPr>
          <w:rFonts w:ascii="Palatino Linotype" w:hAnsi="Palatino Linotype"/>
          <w:color w:val="000000" w:themeColor="text1"/>
        </w:rPr>
        <w:t xml:space="preserve">la clasificación de la información, en cualquiera de sus modalidades, deberá de justificarse en un Acuerdo de Clasificación de Información emitido por el Comité del Transparencia del </w:t>
      </w:r>
      <w:r w:rsidRPr="00AF7A87">
        <w:rPr>
          <w:rFonts w:ascii="Palatino Linotype" w:hAnsi="Palatino Linotype"/>
          <w:b/>
          <w:color w:val="000000" w:themeColor="text1"/>
        </w:rPr>
        <w:t>SUJETO OBLIGADO</w:t>
      </w:r>
      <w:r w:rsidRPr="00AF7A87">
        <w:rPr>
          <w:rFonts w:ascii="Palatino Linotype" w:hAnsi="Palatino Linotype"/>
          <w:color w:val="000000" w:themeColor="text1"/>
        </w:rPr>
        <w:t xml:space="preserve">. Dicho acuerdo deberá de contener los </w:t>
      </w:r>
      <w:r w:rsidRPr="00AF7A87">
        <w:rPr>
          <w:rFonts w:ascii="Palatino Linotype" w:hAnsi="Palatino Linotype"/>
          <w:b/>
          <w:color w:val="000000" w:themeColor="text1"/>
        </w:rPr>
        <w:t>razonamientos lógicos</w:t>
      </w:r>
      <w:r w:rsidRPr="00AF7A87">
        <w:rPr>
          <w:rFonts w:ascii="Palatino Linotype" w:hAnsi="Palatino Linotype"/>
          <w:color w:val="000000" w:themeColor="text1"/>
        </w:rPr>
        <w:t xml:space="preserve"> mediante los cuales se </w:t>
      </w:r>
      <w:r w:rsidRPr="00AF7A87">
        <w:rPr>
          <w:rFonts w:ascii="Palatino Linotype" w:hAnsi="Palatino Linotype"/>
          <w:b/>
          <w:color w:val="000000" w:themeColor="text1"/>
        </w:rPr>
        <w:t xml:space="preserve">demuestre </w:t>
      </w:r>
      <w:r w:rsidRPr="00AF7A87">
        <w:rPr>
          <w:rFonts w:ascii="Palatino Linotype" w:hAnsi="Palatino Linotype"/>
          <w:color w:val="000000" w:themeColor="text1"/>
        </w:rPr>
        <w:t>que la información corresponde a algunas de las hipótesis jurídicas previstas en los artículos 122 y 143 de la ley, explicando claramente las causas excepcionales que justifican la restricción al derecho.</w:t>
      </w:r>
    </w:p>
    <w:p w14:paraId="57BFCEEB" w14:textId="77777777" w:rsidR="00F91301" w:rsidRPr="00AF7A87" w:rsidRDefault="00F91301" w:rsidP="00F91301">
      <w:pPr>
        <w:pStyle w:val="Prrafodelista"/>
        <w:rPr>
          <w:rFonts w:ascii="Palatino Linotype" w:eastAsia="Times New Roman" w:hAnsi="Palatino Linotype" w:cs="Arial"/>
          <w:color w:val="000000" w:themeColor="text1"/>
          <w:lang w:eastAsia="es-MX"/>
        </w:rPr>
      </w:pPr>
    </w:p>
    <w:p w14:paraId="7471E077"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eastAsia="Times New Roman" w:hAnsi="Palatino Linotype" w:cs="Arial"/>
          <w:color w:val="000000" w:themeColor="text1"/>
          <w:lang w:eastAsia="es-MX"/>
        </w:rPr>
        <w:t xml:space="preserve">De estos dispositivos legales, se desprende que el derecho de acceso a la información pública tiene como limitante el respeto a la intimidad y a la vida privada de las personas, es por ello que este Instituto debe cuidar que los datos </w:t>
      </w:r>
      <w:r w:rsidRPr="00AF7A87">
        <w:rPr>
          <w:rFonts w:ascii="Palatino Linotype" w:eastAsia="Times New Roman" w:hAnsi="Palatino Linotype" w:cs="Arial"/>
          <w:color w:val="000000" w:themeColor="text1"/>
          <w:lang w:eastAsia="es-MX"/>
        </w:rPr>
        <w:lastRenderedPageBreak/>
        <w:t>personales que obren en poder de los sujetos obligados sean protegidos y únicamente se den a conocer aquéllos que abonen a la rendición de cuentas y a la transparencia en el ejercicio de las atribuciones que tienen conferidas. De este modo, en armonía entre los principios constitucionales de máxima publicidad y de protección de datos personales, la ley permite la elaboración de versiones públicas en las que se suprima aquella información relacionada con la vida privada de los particulares y de los servidores públicos.</w:t>
      </w:r>
    </w:p>
    <w:p w14:paraId="4FBD1FED" w14:textId="77777777" w:rsidR="00F91301" w:rsidRPr="00AF7A87" w:rsidRDefault="00F91301" w:rsidP="00F91301">
      <w:pPr>
        <w:pStyle w:val="Prrafodelista"/>
        <w:rPr>
          <w:rFonts w:ascii="Palatino Linotype" w:eastAsia="Times New Roman" w:hAnsi="Palatino Linotype" w:cs="Arial"/>
          <w:color w:val="000000" w:themeColor="text1"/>
        </w:rPr>
      </w:pPr>
    </w:p>
    <w:p w14:paraId="257EBA1D"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eastAsia="Times New Roman" w:hAnsi="Palatino Linotype" w:cs="Arial"/>
          <w:color w:val="000000" w:themeColor="text1"/>
        </w:rPr>
        <w:t>Si el servidor público incumple con estas formalidades y entrega la información sin proteger los datos personales incumple con lo que estipula las disposiciones legales establecidas, asimismo que si entrega un documento testado sin el debido acuerdo de clasificación.</w:t>
      </w:r>
    </w:p>
    <w:p w14:paraId="09B6BD69" w14:textId="77777777" w:rsidR="00F91301" w:rsidRPr="00AF7A87" w:rsidRDefault="00F91301" w:rsidP="00F91301">
      <w:pPr>
        <w:pStyle w:val="Prrafodelista"/>
        <w:rPr>
          <w:rFonts w:ascii="Palatino Linotype" w:eastAsia="Times New Roman" w:hAnsi="Palatino Linotype" w:cs="Arial"/>
          <w:color w:val="000000" w:themeColor="text1"/>
          <w:lang w:val="es-ES"/>
        </w:rPr>
      </w:pPr>
    </w:p>
    <w:p w14:paraId="428D1493" w14:textId="77777777" w:rsidR="00F91301" w:rsidRPr="00AF7A87" w:rsidRDefault="00F91301" w:rsidP="000757F4">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AF7A87">
        <w:rPr>
          <w:rFonts w:ascii="Palatino Linotype" w:eastAsia="Times New Roman" w:hAnsi="Palatino Linotype" w:cs="Arial"/>
          <w:color w:val="000000" w:themeColor="text1"/>
          <w:lang w:val="es-ES"/>
        </w:rPr>
        <w:t xml:space="preserve">Es </w:t>
      </w:r>
      <w:proofErr w:type="gramStart"/>
      <w:r w:rsidRPr="00AF7A87">
        <w:rPr>
          <w:rFonts w:ascii="Palatino Linotype" w:eastAsia="Times New Roman" w:hAnsi="Palatino Linotype" w:cs="Arial"/>
          <w:color w:val="000000" w:themeColor="text1"/>
          <w:lang w:val="es-ES"/>
        </w:rPr>
        <w:t>decir</w:t>
      </w:r>
      <w:proofErr w:type="gramEnd"/>
      <w:r w:rsidRPr="00AF7A87">
        <w:rPr>
          <w:rFonts w:ascii="Palatino Linotype" w:eastAsia="Times New Roman" w:hAnsi="Palatino Linotype" w:cs="Arial"/>
          <w:color w:val="000000" w:themeColor="text1"/>
          <w:lang w:val="es-ES"/>
        </w:rPr>
        <w:t xml:space="preserve"> un documento público testado que no se acompañe del respectivo acuerdo de clasificación no es una versión pública sino un documento alterado.</w:t>
      </w:r>
    </w:p>
    <w:p w14:paraId="429E7F4A" w14:textId="77777777" w:rsidR="00535C1B" w:rsidRPr="00AF7A87" w:rsidRDefault="00535C1B" w:rsidP="00535C1B">
      <w:pPr>
        <w:pStyle w:val="Prrafodelista"/>
        <w:rPr>
          <w:rFonts w:ascii="Palatino Linotype" w:hAnsi="Palatino Linotype" w:cs="Arial"/>
        </w:rPr>
      </w:pPr>
    </w:p>
    <w:p w14:paraId="7789EA28" w14:textId="0BED5956" w:rsidR="00535C1B" w:rsidRPr="00AF7A87" w:rsidRDefault="00535C1B" w:rsidP="000757F4">
      <w:pPr>
        <w:pStyle w:val="Prrafodelista"/>
        <w:numPr>
          <w:ilvl w:val="0"/>
          <w:numId w:val="1"/>
        </w:numPr>
        <w:spacing w:line="360" w:lineRule="auto"/>
        <w:ind w:left="0" w:firstLine="0"/>
        <w:jc w:val="both"/>
        <w:rPr>
          <w:rFonts w:ascii="Palatino Linotype" w:eastAsia="MS Mincho" w:hAnsi="Palatino Linotype" w:cstheme="majorBidi"/>
        </w:rPr>
      </w:pPr>
      <w:r w:rsidRPr="00AF7A87">
        <w:rPr>
          <w:rFonts w:ascii="Palatino Linotype" w:hAnsi="Palatino Linotype" w:cs="Arial"/>
        </w:rPr>
        <w:t xml:space="preserve">En este orden de ideas, </w:t>
      </w:r>
      <w:r w:rsidR="00F91301" w:rsidRPr="00AF7A87">
        <w:rPr>
          <w:rFonts w:ascii="Palatino Linotype" w:hAnsi="Palatino Linotype" w:cs="Arial"/>
        </w:rPr>
        <w:t xml:space="preserve">no se ha colmado </w:t>
      </w:r>
      <w:r w:rsidRPr="00AF7A87">
        <w:rPr>
          <w:rFonts w:ascii="Palatino Linotype" w:hAnsi="Palatino Linotype" w:cs="Arial"/>
        </w:rPr>
        <w:t xml:space="preserve">la solicitud de información toda vez que el </w:t>
      </w:r>
      <w:r w:rsidRPr="00AF7A87">
        <w:rPr>
          <w:rFonts w:ascii="Palatino Linotype" w:hAnsi="Palatino Linotype" w:cs="Arial"/>
          <w:b/>
        </w:rPr>
        <w:t>SUJETO OBLIGADO</w:t>
      </w:r>
      <w:r w:rsidRPr="00AF7A87">
        <w:rPr>
          <w:rFonts w:ascii="Palatino Linotype" w:hAnsi="Palatino Linotype" w:cs="Arial"/>
        </w:rPr>
        <w:t xml:space="preserve"> en respuesta atendió </w:t>
      </w:r>
      <w:r w:rsidR="00F91301" w:rsidRPr="00AF7A87">
        <w:rPr>
          <w:rFonts w:ascii="Palatino Linotype" w:hAnsi="Palatino Linotype" w:cs="Arial"/>
        </w:rPr>
        <w:t>parcialmente</w:t>
      </w:r>
      <w:r w:rsidRPr="00AF7A87">
        <w:rPr>
          <w:rFonts w:ascii="Palatino Linotype" w:hAnsi="Palatino Linotype" w:cs="Arial"/>
        </w:rPr>
        <w:t xml:space="preserve"> lo solicitado por el particular, por lo que este Órgano Garante </w:t>
      </w:r>
      <w:r w:rsidRPr="00AF7A87">
        <w:rPr>
          <w:rFonts w:ascii="Palatino Linotype" w:eastAsia="MS Mincho" w:hAnsi="Palatino Linotype" w:cstheme="majorBidi"/>
        </w:rPr>
        <w:t xml:space="preserve">en términos del artículo </w:t>
      </w:r>
      <w:r w:rsidRPr="00AF7A87">
        <w:rPr>
          <w:rFonts w:ascii="Palatino Linotype" w:eastAsia="MS Mincho" w:hAnsi="Palatino Linotype" w:cstheme="majorBidi"/>
          <w:b/>
        </w:rPr>
        <w:t>186 fracción III</w:t>
      </w:r>
      <w:r w:rsidRPr="00AF7A87">
        <w:rPr>
          <w:rFonts w:ascii="Palatino Linotype" w:eastAsia="MS Mincho" w:hAnsi="Palatino Linotype" w:cstheme="majorBidi"/>
        </w:rPr>
        <w:t xml:space="preserve"> este Pleno determina </w:t>
      </w:r>
      <w:r w:rsidRPr="00AF7A87">
        <w:rPr>
          <w:rFonts w:ascii="Palatino Linotype" w:eastAsia="MS Mincho" w:hAnsi="Palatino Linotype" w:cstheme="majorBidi"/>
          <w:b/>
        </w:rPr>
        <w:t xml:space="preserve">MODIFICAR </w:t>
      </w:r>
      <w:r w:rsidRPr="00AF7A87">
        <w:rPr>
          <w:rFonts w:ascii="Palatino Linotype" w:eastAsia="MS Mincho" w:hAnsi="Palatino Linotype" w:cstheme="majorBidi"/>
        </w:rPr>
        <w:t xml:space="preserve">la respuesta del </w:t>
      </w:r>
      <w:r w:rsidR="00F91301" w:rsidRPr="00AF7A87">
        <w:rPr>
          <w:rFonts w:ascii="Palatino Linotype" w:eastAsia="MS Mincho" w:hAnsi="Palatino Linotype" w:cstheme="majorBidi"/>
          <w:b/>
        </w:rPr>
        <w:t>SUJETO OBLIGADO</w:t>
      </w:r>
      <w:r w:rsidR="00F91301" w:rsidRPr="00AF7A87">
        <w:rPr>
          <w:rFonts w:ascii="Palatino Linotype" w:eastAsia="MS Mincho" w:hAnsi="Palatino Linotype" w:cstheme="majorBidi"/>
        </w:rPr>
        <w:t xml:space="preserve">, motivo de inconformidad del </w:t>
      </w:r>
      <w:r w:rsidRPr="00AF7A87">
        <w:rPr>
          <w:rFonts w:ascii="Palatino Linotype" w:eastAsia="MS Mincho" w:hAnsi="Palatino Linotype" w:cstheme="majorBidi"/>
        </w:rPr>
        <w:t>presente recurso de revisión, toda vez que hubo afectación al derecho de acceso a la información pública establecido constitucionalmente a favor del particular ya que la respuesta resultó incompleta, inaccesible y no confiable.</w:t>
      </w:r>
    </w:p>
    <w:p w14:paraId="00E8F799" w14:textId="77777777" w:rsidR="00535C1B" w:rsidRPr="00AF7A87" w:rsidRDefault="00535C1B" w:rsidP="000757F4">
      <w:pPr>
        <w:numPr>
          <w:ilvl w:val="0"/>
          <w:numId w:val="1"/>
        </w:numPr>
        <w:spacing w:after="120" w:line="360" w:lineRule="auto"/>
        <w:ind w:left="0" w:firstLine="0"/>
        <w:jc w:val="both"/>
        <w:rPr>
          <w:rFonts w:ascii="Palatino Linotype" w:eastAsia="MS Mincho" w:hAnsi="Palatino Linotype" w:cstheme="majorBidi"/>
          <w:lang w:val="es-ES_tradnl" w:eastAsia="es-ES"/>
        </w:rPr>
      </w:pPr>
      <w:r w:rsidRPr="00AF7A87">
        <w:rPr>
          <w:rFonts w:ascii="Palatino Linotype" w:eastAsia="MS Mincho" w:hAnsi="Palatino Linotype" w:cstheme="majorBidi"/>
          <w:lang w:val="es-ES_tradnl" w:eastAsia="es-ES"/>
        </w:rPr>
        <w:lastRenderedPageBreak/>
        <w:t xml:space="preserve">Por lo anteriormente expuesto y fundado este </w:t>
      </w:r>
      <w:r w:rsidRPr="00AF7A87">
        <w:rPr>
          <w:rFonts w:ascii="Palatino Linotype" w:eastAsia="MS Mincho" w:hAnsi="Palatino Linotype" w:cstheme="majorBidi"/>
          <w:b/>
          <w:lang w:val="es-ES_tradnl" w:eastAsia="es-ES"/>
        </w:rPr>
        <w:t>ÓRGANO GARANTE</w:t>
      </w:r>
      <w:r w:rsidRPr="00AF7A87">
        <w:rPr>
          <w:rFonts w:ascii="Palatino Linotype" w:eastAsia="MS Mincho" w:hAnsi="Palatino Linotype" w:cstheme="majorBidi"/>
          <w:lang w:val="es-ES_tradnl" w:eastAsia="es-ES"/>
        </w:rPr>
        <w:t xml:space="preserve"> emite los siguientes.</w:t>
      </w:r>
    </w:p>
    <w:p w14:paraId="3D0955B2" w14:textId="77777777" w:rsidR="00535C1B" w:rsidRPr="00AF7A87" w:rsidRDefault="00535C1B" w:rsidP="00535C1B">
      <w:pPr>
        <w:contextualSpacing/>
        <w:rPr>
          <w:rFonts w:ascii="Palatino Linotype" w:eastAsia="Calibri" w:hAnsi="Palatino Linotype" w:cs="Arial"/>
        </w:rPr>
      </w:pPr>
    </w:p>
    <w:p w14:paraId="2A295BEC" w14:textId="3A4DFD0B" w:rsidR="00535C1B" w:rsidRPr="00AF7A87" w:rsidRDefault="00535C1B" w:rsidP="00535C1B">
      <w:pPr>
        <w:keepNext/>
        <w:keepLines/>
        <w:tabs>
          <w:tab w:val="left" w:pos="3043"/>
          <w:tab w:val="center" w:pos="4490"/>
        </w:tabs>
        <w:spacing w:before="240"/>
        <w:ind w:right="-142"/>
        <w:jc w:val="center"/>
        <w:outlineLvl w:val="0"/>
        <w:rPr>
          <w:rFonts w:ascii="Palatino Linotype" w:eastAsia="Calibri" w:hAnsi="Palatino Linotype" w:cstheme="majorBidi"/>
          <w:b/>
          <w:lang w:val="es-ES" w:eastAsia="es-ES"/>
        </w:rPr>
      </w:pPr>
      <w:bookmarkStart w:id="140" w:name="_Toc31371791"/>
      <w:bookmarkStart w:id="141" w:name="_Toc54949992"/>
      <w:r w:rsidRPr="00AF7A87">
        <w:rPr>
          <w:rFonts w:ascii="Palatino Linotype" w:eastAsia="Calibri" w:hAnsi="Palatino Linotype" w:cstheme="majorBidi"/>
          <w:b/>
          <w:lang w:val="es-ES" w:eastAsia="es-ES"/>
        </w:rPr>
        <w:t>R E S O L U T I V O S</w:t>
      </w:r>
      <w:bookmarkEnd w:id="140"/>
      <w:bookmarkEnd w:id="141"/>
    </w:p>
    <w:p w14:paraId="5CF15E0B" w14:textId="77777777" w:rsidR="00F91301" w:rsidRPr="00AF7A87" w:rsidRDefault="00F91301" w:rsidP="00535C1B">
      <w:pPr>
        <w:keepNext/>
        <w:keepLines/>
        <w:tabs>
          <w:tab w:val="left" w:pos="3043"/>
          <w:tab w:val="center" w:pos="4490"/>
        </w:tabs>
        <w:spacing w:before="240"/>
        <w:ind w:right="-142"/>
        <w:jc w:val="center"/>
        <w:outlineLvl w:val="0"/>
        <w:rPr>
          <w:rFonts w:ascii="Palatino Linotype" w:eastAsia="Calibri" w:hAnsi="Palatino Linotype" w:cstheme="majorBidi"/>
          <w:b/>
          <w:lang w:val="es-ES" w:eastAsia="es-ES"/>
        </w:rPr>
      </w:pPr>
    </w:p>
    <w:p w14:paraId="515CD462" w14:textId="28160F0E" w:rsidR="00F91301" w:rsidRPr="00AF7A87" w:rsidRDefault="00F91301" w:rsidP="00F91301">
      <w:pPr>
        <w:spacing w:line="360" w:lineRule="auto"/>
        <w:jc w:val="both"/>
        <w:rPr>
          <w:rFonts w:ascii="Palatino Linotype" w:hAnsi="Palatino Linotype" w:cs="Arial"/>
          <w:bCs/>
          <w:lang w:eastAsia="es-MX"/>
        </w:rPr>
      </w:pPr>
      <w:r w:rsidRPr="00AF7A87">
        <w:rPr>
          <w:rFonts w:ascii="Palatino Linotype" w:hAnsi="Palatino Linotype" w:cs="Arial"/>
          <w:b/>
        </w:rPr>
        <w:t xml:space="preserve">PRIMERO. </w:t>
      </w:r>
      <w:r w:rsidRPr="00AF7A87">
        <w:rPr>
          <w:rFonts w:ascii="Palatino Linotype" w:hAnsi="Palatino Linotype" w:cs="Arial"/>
        </w:rPr>
        <w:t>Resultan fundadas las</w:t>
      </w:r>
      <w:r w:rsidRPr="00AF7A87">
        <w:rPr>
          <w:rFonts w:ascii="Palatino Linotype" w:hAnsi="Palatino Linotype" w:cs="Arial"/>
          <w:b/>
        </w:rPr>
        <w:t xml:space="preserve"> </w:t>
      </w:r>
      <w:r w:rsidRPr="00AF7A87">
        <w:rPr>
          <w:rFonts w:ascii="Palatino Linotype" w:hAnsi="Palatino Linotype" w:cs="Arial"/>
          <w:lang w:val="es-ES"/>
        </w:rPr>
        <w:t xml:space="preserve">razones o motivos de inconformidad hechos valer </w:t>
      </w:r>
      <w:r w:rsidRPr="00AF7A87">
        <w:rPr>
          <w:rFonts w:ascii="Palatino Linotype" w:eastAsia="Calibri" w:hAnsi="Palatino Linotype" w:cs="Arial"/>
          <w:lang w:val="es-ES"/>
        </w:rPr>
        <w:t xml:space="preserve">en el recurso de revisión </w:t>
      </w:r>
      <w:r w:rsidRPr="00AF7A87">
        <w:rPr>
          <w:rFonts w:ascii="Palatino Linotype" w:hAnsi="Palatino Linotype" w:cs="Arial"/>
          <w:b/>
          <w:bCs/>
        </w:rPr>
        <w:t xml:space="preserve">06008/INFOEM/IP/RR/2020 </w:t>
      </w:r>
      <w:r w:rsidRPr="00AF7A87">
        <w:rPr>
          <w:rFonts w:ascii="Palatino Linotype" w:hAnsi="Palatino Linotype" w:cs="Arial"/>
          <w:bCs/>
          <w:lang w:eastAsia="es-MX"/>
        </w:rPr>
        <w:t xml:space="preserve">en términos de los </w:t>
      </w:r>
      <w:r w:rsidRPr="00AF7A87">
        <w:rPr>
          <w:rFonts w:ascii="Palatino Linotype" w:hAnsi="Palatino Linotype" w:cs="Arial"/>
          <w:b/>
          <w:bCs/>
          <w:lang w:eastAsia="es-MX"/>
        </w:rPr>
        <w:t xml:space="preserve">Considerandos CUARTO y QUINTO </w:t>
      </w:r>
      <w:r w:rsidRPr="00AF7A87">
        <w:rPr>
          <w:rFonts w:ascii="Palatino Linotype" w:hAnsi="Palatino Linotype" w:cs="Arial"/>
          <w:bCs/>
          <w:lang w:eastAsia="es-MX"/>
        </w:rPr>
        <w:t>de la presente resolución.</w:t>
      </w:r>
    </w:p>
    <w:p w14:paraId="714C9CE0" w14:textId="02EACBDC" w:rsidR="00F91301" w:rsidRPr="00AF7A87" w:rsidRDefault="00F91301" w:rsidP="00F91301">
      <w:pPr>
        <w:spacing w:before="240" w:after="240" w:line="360" w:lineRule="auto"/>
        <w:jc w:val="both"/>
        <w:rPr>
          <w:rFonts w:ascii="Palatino Linotype" w:eastAsia="Calibri" w:hAnsi="Palatino Linotype" w:cs="Arial"/>
          <w:lang w:val="es-ES"/>
        </w:rPr>
      </w:pPr>
      <w:r w:rsidRPr="00AF7A87">
        <w:rPr>
          <w:rFonts w:ascii="Palatino Linotype" w:hAnsi="Palatino Linotype"/>
          <w:b/>
        </w:rPr>
        <w:t>SEGUNDO.</w:t>
      </w:r>
      <w:r w:rsidRPr="00AF7A87">
        <w:rPr>
          <w:rStyle w:val="Ttulo2Car"/>
        </w:rPr>
        <w:t xml:space="preserve"> </w:t>
      </w:r>
      <w:r w:rsidRPr="00AF7A87">
        <w:rPr>
          <w:rFonts w:ascii="Palatino Linotype" w:eastAsia="Calibri" w:hAnsi="Palatino Linotype" w:cs="Arial"/>
          <w:lang w:val="es-ES"/>
        </w:rPr>
        <w:t>Se</w:t>
      </w:r>
      <w:r w:rsidRPr="00AF7A87">
        <w:rPr>
          <w:rFonts w:ascii="Palatino Linotype" w:eastAsia="Calibri" w:hAnsi="Palatino Linotype" w:cs="Arial"/>
          <w:b/>
          <w:lang w:val="es-ES"/>
        </w:rPr>
        <w:t xml:space="preserve"> </w:t>
      </w:r>
      <w:proofErr w:type="gramStart"/>
      <w:r w:rsidRPr="00AF7A87">
        <w:rPr>
          <w:rFonts w:ascii="Palatino Linotype" w:eastAsia="Calibri" w:hAnsi="Palatino Linotype" w:cs="Arial"/>
          <w:b/>
          <w:lang w:val="es-ES"/>
        </w:rPr>
        <w:t xml:space="preserve">MODIFICA  </w:t>
      </w:r>
      <w:r w:rsidRPr="00AF7A87">
        <w:rPr>
          <w:rFonts w:ascii="Palatino Linotype" w:eastAsia="Calibri" w:hAnsi="Palatino Linotype" w:cs="Arial"/>
          <w:lang w:val="es-ES"/>
        </w:rPr>
        <w:t>la</w:t>
      </w:r>
      <w:proofErr w:type="gramEnd"/>
      <w:r w:rsidRPr="00AF7A87">
        <w:rPr>
          <w:rFonts w:ascii="Palatino Linotype" w:eastAsia="Calibri" w:hAnsi="Palatino Linotype" w:cs="Arial"/>
          <w:lang w:val="es-ES"/>
        </w:rPr>
        <w:t xml:space="preserve"> respuesta emitida por el</w:t>
      </w:r>
      <w:r w:rsidRPr="00AF7A87">
        <w:rPr>
          <w:rFonts w:ascii="Palatino Linotype" w:eastAsia="Calibri" w:hAnsi="Palatino Linotype" w:cs="Arial"/>
          <w:b/>
          <w:lang w:val="es-ES"/>
        </w:rPr>
        <w:t xml:space="preserve"> </w:t>
      </w:r>
      <w:r w:rsidRPr="00AF7A87">
        <w:rPr>
          <w:rFonts w:ascii="Palatino Linotype" w:hAnsi="Palatino Linotype" w:cs="Arial"/>
          <w:b/>
        </w:rPr>
        <w:t xml:space="preserve">Tribunal de Justicia Administrativa del Estado de México </w:t>
      </w:r>
      <w:r w:rsidRPr="00AF7A87">
        <w:rPr>
          <w:rFonts w:ascii="Palatino Linotype" w:hAnsi="Palatino Linotype"/>
          <w:bCs/>
        </w:rPr>
        <w:t>y se</w:t>
      </w:r>
      <w:r w:rsidRPr="00AF7A87">
        <w:rPr>
          <w:rFonts w:ascii="Palatino Linotype" w:hAnsi="Palatino Linotype"/>
          <w:b/>
          <w:bCs/>
        </w:rPr>
        <w:t xml:space="preserve"> ORDENA</w:t>
      </w:r>
      <w:r w:rsidRPr="00AF7A87">
        <w:rPr>
          <w:rFonts w:ascii="Palatino Linotype" w:hAnsi="Palatino Linotype" w:cs="Arial"/>
          <w:lang w:val="es-ES"/>
        </w:rPr>
        <w:t xml:space="preserve"> </w:t>
      </w:r>
      <w:r w:rsidRPr="00AF7A87">
        <w:rPr>
          <w:rFonts w:ascii="Palatino Linotype" w:eastAsia="Calibri" w:hAnsi="Palatino Linotype" w:cs="Arial"/>
          <w:lang w:val="es-ES"/>
        </w:rPr>
        <w:t xml:space="preserve">entregar vía Sistema de Acceso a la Información Mexiquense </w:t>
      </w:r>
      <w:r w:rsidRPr="00AF7A87">
        <w:rPr>
          <w:rFonts w:ascii="Palatino Linotype" w:eastAsia="Calibri" w:hAnsi="Palatino Linotype" w:cs="Arial"/>
          <w:b/>
          <w:lang w:val="es-ES"/>
        </w:rPr>
        <w:t xml:space="preserve">(SAIMEX), </w:t>
      </w:r>
      <w:r w:rsidRPr="00AF7A87">
        <w:rPr>
          <w:rFonts w:ascii="Palatino Linotype" w:hAnsi="Palatino Linotype" w:cs="Arial"/>
        </w:rPr>
        <w:t xml:space="preserve">en </w:t>
      </w:r>
      <w:r w:rsidRPr="00AF7A87">
        <w:rPr>
          <w:rFonts w:ascii="Palatino Linotype" w:hAnsi="Palatino Linotype" w:cs="Arial"/>
          <w:b/>
        </w:rPr>
        <w:t>versión pública</w:t>
      </w:r>
      <w:r w:rsidRPr="00AF7A87">
        <w:rPr>
          <w:rFonts w:ascii="Palatino Linotype" w:eastAsia="Calibri" w:hAnsi="Palatino Linotype" w:cs="Arial"/>
          <w:lang w:val="es-ES"/>
        </w:rPr>
        <w:t>, la siguiente información:</w:t>
      </w:r>
    </w:p>
    <w:p w14:paraId="66986103" w14:textId="604F66F0" w:rsidR="00F91301" w:rsidRPr="00AF7A87" w:rsidRDefault="00595395" w:rsidP="000757F4">
      <w:pPr>
        <w:pStyle w:val="Prrafodelista"/>
        <w:numPr>
          <w:ilvl w:val="3"/>
          <w:numId w:val="4"/>
        </w:numPr>
        <w:tabs>
          <w:tab w:val="left" w:pos="567"/>
        </w:tabs>
        <w:spacing w:before="240" w:after="240" w:line="360" w:lineRule="auto"/>
        <w:ind w:left="567" w:right="567" w:firstLine="0"/>
        <w:jc w:val="both"/>
        <w:rPr>
          <w:rFonts w:ascii="Palatino Linotype" w:hAnsi="Palatino Linotype" w:cs="Arial"/>
          <w:b/>
        </w:rPr>
      </w:pPr>
      <w:r w:rsidRPr="00AF7A87">
        <w:rPr>
          <w:rFonts w:ascii="Palatino Linotype" w:hAnsi="Palatino Linotype" w:cs="Arial"/>
          <w:b/>
          <w:color w:val="000000" w:themeColor="text1"/>
        </w:rPr>
        <w:t>Las</w:t>
      </w:r>
      <w:r w:rsidR="00F91301" w:rsidRPr="00AF7A87">
        <w:rPr>
          <w:rFonts w:ascii="Palatino Linotype" w:hAnsi="Palatino Linotype" w:cs="Arial"/>
          <w:b/>
          <w:color w:val="000000" w:themeColor="text1"/>
        </w:rPr>
        <w:t xml:space="preserve"> sentencias emitidas por la Novena Sala Especializada en Materia de Responsabilidades identificadas con los números 4/2019 y 21/2019.</w:t>
      </w:r>
    </w:p>
    <w:p w14:paraId="48543D13" w14:textId="7ECE8DAC" w:rsidR="00F91301" w:rsidRPr="00AF7A87" w:rsidRDefault="00F91301" w:rsidP="00595395">
      <w:pPr>
        <w:spacing w:line="360" w:lineRule="auto"/>
        <w:ind w:right="49"/>
        <w:jc w:val="both"/>
        <w:rPr>
          <w:rFonts w:ascii="Palatino Linotype" w:eastAsia="Calibri" w:hAnsi="Palatino Linotype" w:cs="Arial"/>
          <w:lang w:val="es-ES"/>
        </w:rPr>
      </w:pPr>
      <w:r w:rsidRPr="00AF7A87">
        <w:rPr>
          <w:rFonts w:ascii="Palatino Linotype" w:eastAsia="Calibri" w:hAnsi="Palatino Linotype" w:cs="Arial"/>
        </w:rPr>
        <w:t xml:space="preserve">Para efectos de lo anterior, se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w:t>
      </w:r>
      <w:r w:rsidRPr="00AF7A87">
        <w:rPr>
          <w:rFonts w:ascii="Palatino Linotype" w:eastAsia="Calibri" w:hAnsi="Palatino Linotype" w:cs="Arial"/>
        </w:rPr>
        <w:lastRenderedPageBreak/>
        <w:t>eliminen dentro del soporte documental respectivo objeto de las versiones públicas que se formulen.</w:t>
      </w:r>
    </w:p>
    <w:p w14:paraId="62B7D093" w14:textId="77777777" w:rsidR="00F91301" w:rsidRPr="00AF7A87" w:rsidRDefault="00F91301" w:rsidP="00F91301">
      <w:pPr>
        <w:shd w:val="clear" w:color="auto" w:fill="FFFFFF"/>
        <w:tabs>
          <w:tab w:val="left" w:pos="567"/>
        </w:tabs>
        <w:spacing w:line="360" w:lineRule="auto"/>
        <w:ind w:left="567" w:right="567"/>
        <w:jc w:val="both"/>
        <w:rPr>
          <w:rFonts w:ascii="Palatino Linotype" w:hAnsi="Palatino Linotype" w:cs="Arial"/>
          <w:color w:val="222222"/>
          <w:lang w:val="es-ES" w:eastAsia="es-MX"/>
        </w:rPr>
      </w:pPr>
    </w:p>
    <w:p w14:paraId="40C98CF7" w14:textId="77777777" w:rsidR="00F91301" w:rsidRPr="00AF7A87" w:rsidRDefault="00F91301" w:rsidP="00F91301">
      <w:pPr>
        <w:tabs>
          <w:tab w:val="left" w:pos="8080"/>
        </w:tabs>
        <w:spacing w:line="360" w:lineRule="auto"/>
        <w:ind w:right="49"/>
        <w:contextualSpacing/>
        <w:jc w:val="both"/>
        <w:rPr>
          <w:rFonts w:ascii="Palatino Linotype" w:eastAsia="Palatino Linotype" w:hAnsi="Palatino Linotype" w:cs="Palatino Linotype"/>
          <w:b/>
        </w:rPr>
      </w:pPr>
      <w:r w:rsidRPr="00AF7A87">
        <w:rPr>
          <w:rFonts w:ascii="Palatino Linotype" w:eastAsia="Palatino Linotype" w:hAnsi="Palatino Linotype" w:cs="Palatino Linotype"/>
          <w:b/>
        </w:rPr>
        <w:t xml:space="preserve">TERCERO. Notifíquese </w:t>
      </w:r>
      <w:r w:rsidRPr="00AF7A87">
        <w:rPr>
          <w:rFonts w:ascii="Palatino Linotype" w:eastAsia="Palatino Linotype" w:hAnsi="Palatino Linotype" w:cs="Palatino Linotype"/>
        </w:rPr>
        <w:t xml:space="preserve">al Titular de la Unidad de Transparencia del </w:t>
      </w:r>
      <w:r w:rsidRPr="00AF7A87">
        <w:rPr>
          <w:rFonts w:ascii="Palatino Linotype" w:eastAsia="Palatino Linotype" w:hAnsi="Palatino Linotype" w:cs="Palatino Linotype"/>
          <w:b/>
        </w:rPr>
        <w:t>SUJETO OBLIGADO</w:t>
      </w:r>
      <w:r w:rsidRPr="00AF7A87">
        <w:rPr>
          <w:rFonts w:ascii="Palatino Linotype" w:eastAsia="Palatino Linotype" w:hAnsi="Palatino Linotype" w:cs="Palatino Linotype"/>
        </w:rPr>
        <w:t xml:space="preserve">, para que conforme a los artículos 186 último párrafo, 189 párrafo segundo y 199 de la Ley de Transparencia y Acceso a la Información Pública del Estado de México y Municipios, </w:t>
      </w:r>
      <w:r w:rsidRPr="00AF7A87">
        <w:rPr>
          <w:rFonts w:ascii="Palatino Linotype" w:hAnsi="Palatino Linotype"/>
          <w:color w:val="222222"/>
          <w:shd w:val="clear" w:color="auto" w:fill="FFFFFF"/>
        </w:rPr>
        <w:t>vigente, dé cumplimiento a lo ordenado dentro del plazo de diez días hábiles, debiendo rendir a este Instituto el informe de cumplimiento de la resolución en un plazo de tres días hábiles posteriores.</w:t>
      </w:r>
    </w:p>
    <w:p w14:paraId="0F31B959" w14:textId="77777777" w:rsidR="00F91301" w:rsidRPr="00AF7A87" w:rsidRDefault="00F91301" w:rsidP="00F91301">
      <w:pPr>
        <w:shd w:val="clear" w:color="auto" w:fill="FFFFFF"/>
        <w:spacing w:line="360" w:lineRule="auto"/>
        <w:jc w:val="both"/>
        <w:rPr>
          <w:rFonts w:ascii="Palatino Linotype" w:hAnsi="Palatino Linotype" w:cs="Arial"/>
          <w:b/>
        </w:rPr>
      </w:pPr>
    </w:p>
    <w:p w14:paraId="01A0481A" w14:textId="267FA299" w:rsidR="00F91301" w:rsidRPr="00AF7A87" w:rsidRDefault="00F91301" w:rsidP="00F91301">
      <w:pPr>
        <w:shd w:val="clear" w:color="auto" w:fill="FFFFFF"/>
        <w:spacing w:line="360" w:lineRule="auto"/>
        <w:jc w:val="both"/>
        <w:rPr>
          <w:rFonts w:ascii="Palatino Linotype" w:hAnsi="Palatino Linotype"/>
        </w:rPr>
      </w:pPr>
      <w:r w:rsidRPr="00AF7A87">
        <w:rPr>
          <w:rFonts w:ascii="Palatino Linotype" w:hAnsi="Palatino Linotype" w:cs="Arial"/>
          <w:b/>
        </w:rPr>
        <w:t xml:space="preserve">CUARTO. </w:t>
      </w:r>
      <w:r w:rsidRPr="00AF7A87">
        <w:rPr>
          <w:rFonts w:ascii="Palatino Linotype" w:hAnsi="Palatino Linotype"/>
          <w:b/>
          <w:bCs/>
          <w:color w:val="222222"/>
          <w:lang w:val="es-ES"/>
        </w:rPr>
        <w:t xml:space="preserve">Notifíquese </w:t>
      </w:r>
      <w:r w:rsidRPr="00AF7A87">
        <w:rPr>
          <w:rFonts w:ascii="Palatino Linotype" w:hAnsi="Palatino Linotype"/>
          <w:bCs/>
          <w:color w:val="222222"/>
          <w:lang w:val="es-ES"/>
        </w:rPr>
        <w:t>a</w:t>
      </w:r>
      <w:r w:rsidRPr="00AF7A87">
        <w:rPr>
          <w:rFonts w:ascii="Palatino Linotype" w:hAnsi="Palatino Linotype"/>
        </w:rPr>
        <w:t xml:space="preserve"> </w:t>
      </w:r>
      <w:r w:rsidR="00D64B3C" w:rsidRPr="00D64B3C">
        <w:rPr>
          <w:rFonts w:ascii="Palatino Linotype" w:hAnsi="Palatino Linotype"/>
          <w:b/>
          <w:highlight w:val="black"/>
        </w:rPr>
        <w:t>---------------------------------</w:t>
      </w:r>
      <w:r w:rsidRPr="00AF7A87">
        <w:rPr>
          <w:rFonts w:ascii="Palatino Linotype" w:hAnsi="Palatino Linotype"/>
        </w:rPr>
        <w:t xml:space="preserve"> la presente resolución.</w:t>
      </w:r>
    </w:p>
    <w:p w14:paraId="7CFACCD5" w14:textId="77777777" w:rsidR="00F91301" w:rsidRPr="00AF7A87" w:rsidRDefault="00F91301" w:rsidP="00F91301">
      <w:pPr>
        <w:shd w:val="clear" w:color="auto" w:fill="FFFFFF"/>
        <w:spacing w:line="360" w:lineRule="auto"/>
        <w:jc w:val="both"/>
        <w:rPr>
          <w:rFonts w:ascii="Palatino Linotype" w:hAnsi="Palatino Linotype"/>
        </w:rPr>
      </w:pPr>
    </w:p>
    <w:p w14:paraId="3C90FAD8" w14:textId="2775D216" w:rsidR="00F91301" w:rsidRPr="00AF7A87" w:rsidRDefault="00F91301" w:rsidP="00F91301">
      <w:pPr>
        <w:shd w:val="clear" w:color="auto" w:fill="FFFFFF"/>
        <w:spacing w:line="360" w:lineRule="auto"/>
        <w:jc w:val="both"/>
        <w:rPr>
          <w:rFonts w:ascii="Palatino Linotype" w:eastAsia="MS Mincho" w:hAnsi="Palatino Linotype"/>
          <w:lang w:val="es-ES"/>
        </w:rPr>
      </w:pPr>
      <w:r w:rsidRPr="00AF7A87">
        <w:rPr>
          <w:rFonts w:ascii="Palatino Linotype" w:eastAsia="MS Mincho" w:hAnsi="Palatino Linotype"/>
          <w:b/>
          <w:lang w:val="es-MX"/>
        </w:rPr>
        <w:t>QUINTO.</w:t>
      </w:r>
      <w:r w:rsidRPr="00AF7A87">
        <w:rPr>
          <w:rFonts w:ascii="Palatino Linotype" w:eastAsia="MS Mincho" w:hAnsi="Palatino Linotype"/>
          <w:lang w:val="es-MX"/>
        </w:rPr>
        <w:t xml:space="preserve"> </w:t>
      </w:r>
      <w:r w:rsidRPr="00AF7A87">
        <w:rPr>
          <w:rFonts w:ascii="Palatino Linotype" w:eastAsia="MS Mincho" w:hAnsi="Palatino Linotype"/>
          <w:lang w:val="es-ES"/>
        </w:rPr>
        <w:t xml:space="preserve">Se hace del conocimiento de </w:t>
      </w:r>
      <w:r w:rsidR="00D64B3C" w:rsidRPr="00D64B3C">
        <w:rPr>
          <w:rFonts w:ascii="Palatino Linotype" w:hAnsi="Palatino Linotype"/>
          <w:b/>
          <w:highlight w:val="black"/>
        </w:rPr>
        <w:t>-------------------------------</w:t>
      </w:r>
      <w:bookmarkStart w:id="142" w:name="_GoBack"/>
      <w:bookmarkEnd w:id="142"/>
      <w:r w:rsidRPr="00AF7A87">
        <w:rPr>
          <w:rFonts w:ascii="Palatino Linotype" w:eastAsia="MS Mincho" w:hAnsi="Palatino Linotype"/>
          <w:b/>
          <w:lang w:val="es-ES"/>
        </w:rPr>
        <w:t xml:space="preserve"> </w:t>
      </w:r>
      <w:r w:rsidRPr="00AF7A87">
        <w:rPr>
          <w:rFonts w:ascii="Palatino Linotype" w:eastAsia="MS Mincho" w:hAnsi="Palatino Linotype"/>
          <w:lang w:val="es-ES"/>
        </w:rPr>
        <w:t xml:space="preserve">que, de conformidad con lo establecido en el artículo 196 de la Ley de Transparencia y Acceso a la Información Pública del Estado de México y Municipios, en caso de que considere que la resolución le cause algún perjuicio podrá impugnarla </w:t>
      </w:r>
      <w:r w:rsidRPr="00AF7A87">
        <w:rPr>
          <w:rFonts w:ascii="Palatino Linotype" w:eastAsia="MS Mincho" w:hAnsi="Palatino Linotype"/>
          <w:bCs/>
          <w:lang w:val="es-ES"/>
        </w:rPr>
        <w:t>vía juicio de amparo</w:t>
      </w:r>
      <w:r w:rsidRPr="00AF7A87">
        <w:rPr>
          <w:rFonts w:ascii="Palatino Linotype" w:eastAsia="MS Mincho" w:hAnsi="Palatino Linotype"/>
          <w:lang w:val="es-ES"/>
        </w:rPr>
        <w:t xml:space="preserve"> en los términos de las leyes aplicables.</w:t>
      </w:r>
    </w:p>
    <w:p w14:paraId="20F41267" w14:textId="77777777" w:rsidR="00F91301" w:rsidRPr="00AF7A87" w:rsidRDefault="00F91301" w:rsidP="00F91301">
      <w:pPr>
        <w:shd w:val="clear" w:color="auto" w:fill="FFFFFF"/>
        <w:spacing w:line="360" w:lineRule="auto"/>
        <w:jc w:val="both"/>
        <w:rPr>
          <w:rFonts w:ascii="Palatino Linotype" w:eastAsia="MS Mincho" w:hAnsi="Palatino Linotype"/>
          <w:lang w:val="es-ES"/>
        </w:rPr>
      </w:pPr>
    </w:p>
    <w:p w14:paraId="4E72BC67" w14:textId="1AE7B47C" w:rsidR="00F91301" w:rsidRPr="00AF7A87" w:rsidRDefault="00F91301" w:rsidP="00F91301">
      <w:pPr>
        <w:shd w:val="clear" w:color="auto" w:fill="FFFFFF"/>
        <w:spacing w:line="360" w:lineRule="auto"/>
        <w:jc w:val="both"/>
        <w:rPr>
          <w:rFonts w:ascii="Palatino Linotype" w:hAnsi="Palatino Linotype"/>
          <w:color w:val="000000"/>
          <w:shd w:val="clear" w:color="auto" w:fill="FFFFFF"/>
        </w:rPr>
      </w:pPr>
      <w:r w:rsidRPr="00AF7A87">
        <w:rPr>
          <w:rFonts w:ascii="Palatino Linotype" w:hAnsi="Palatino Linotype"/>
          <w:b/>
          <w:bCs/>
          <w:color w:val="000000"/>
          <w:shd w:val="clear" w:color="auto" w:fill="FFFFFF"/>
        </w:rPr>
        <w:t>SEXTO.</w:t>
      </w:r>
      <w:r w:rsidRPr="00AF7A87">
        <w:rPr>
          <w:rFonts w:ascii="Palatino Linotype" w:hAnsi="Palatino Linotype"/>
          <w:color w:val="000000"/>
          <w:shd w:val="clear" w:color="auto" w:fill="FFFFFF"/>
        </w:rPr>
        <w:t> Con fundamento en el artículo 198 de la Ley de Transparencia y Acceso a la Información Pública del Estado de México y Municipios, se apercibe al </w:t>
      </w:r>
      <w:r w:rsidRPr="00AF7A87">
        <w:rPr>
          <w:rFonts w:ascii="Palatino Linotype" w:hAnsi="Palatino Linotype"/>
          <w:b/>
          <w:bCs/>
          <w:color w:val="000000"/>
          <w:shd w:val="clear" w:color="auto" w:fill="FFFFFF"/>
        </w:rPr>
        <w:t>SUJETO OBLIGADO</w:t>
      </w:r>
      <w:r w:rsidRPr="00AF7A87">
        <w:rPr>
          <w:rFonts w:ascii="Palatino Linotype" w:hAnsi="Palatino Linotype"/>
          <w:color w:val="000000"/>
          <w:shd w:val="clear" w:color="auto" w:fill="FFFFFF"/>
        </w:rPr>
        <w:t xml:space="preserve"> de que, en caso de incumplimiento total o parcial de la presente </w:t>
      </w:r>
      <w:r w:rsidRPr="00AF7A87">
        <w:rPr>
          <w:rFonts w:ascii="Palatino Linotype" w:hAnsi="Palatino Linotype"/>
          <w:color w:val="000000"/>
          <w:shd w:val="clear" w:color="auto" w:fill="FFFFFF"/>
        </w:rPr>
        <w:lastRenderedPageBreak/>
        <w:t>resolución, se actuará de conformidad con lo dispuesto en los artículos 213, 214, 215, 216 y 217 de la ley en cita.</w:t>
      </w:r>
    </w:p>
    <w:p w14:paraId="55639817" w14:textId="77777777" w:rsidR="00236C52" w:rsidRPr="00AF7A87" w:rsidRDefault="00236C52" w:rsidP="00F91301">
      <w:pPr>
        <w:shd w:val="clear" w:color="auto" w:fill="FFFFFF"/>
        <w:spacing w:line="360" w:lineRule="auto"/>
        <w:jc w:val="both"/>
        <w:rPr>
          <w:rFonts w:ascii="Palatino Linotype" w:hAnsi="Palatino Linotype"/>
          <w:color w:val="000000"/>
          <w:shd w:val="clear" w:color="auto" w:fill="FFFFFF"/>
        </w:rPr>
      </w:pPr>
    </w:p>
    <w:p w14:paraId="7C283A2F" w14:textId="24BFB03C" w:rsidR="00A97E8E" w:rsidRPr="00AF7A87" w:rsidRDefault="00AF7A87" w:rsidP="00A97E8E">
      <w:pPr>
        <w:spacing w:line="360" w:lineRule="auto"/>
        <w:jc w:val="both"/>
        <w:rPr>
          <w:rFonts w:ascii="Palatino Linotype" w:eastAsia="MS Mincho" w:hAnsi="Palatino Linotype"/>
          <w:color w:val="000000"/>
          <w:lang w:val="es-ES_tradnl" w:eastAsia="es-ES"/>
        </w:rPr>
      </w:pPr>
      <w:r w:rsidRPr="00AF7A87">
        <w:rPr>
          <w:rFonts w:ascii="Palatino Linotype" w:eastAsia="MS Mincho" w:hAnsi="Palatino Linotype"/>
          <w:b/>
          <w:bCs/>
          <w:color w:val="000000"/>
          <w:lang w:val="es-ES_tradnl" w:eastAsia="es-ES"/>
        </w:rPr>
        <w:t>SÉPTIMO</w:t>
      </w:r>
      <w:r w:rsidR="00A97E8E" w:rsidRPr="00AF7A87">
        <w:rPr>
          <w:rFonts w:ascii="Palatino Linotype" w:eastAsia="MS Mincho" w:hAnsi="Palatino Linotype"/>
          <w:b/>
          <w:bCs/>
          <w:color w:val="000000"/>
          <w:lang w:val="es-ES_tradnl" w:eastAsia="es-ES"/>
        </w:rPr>
        <w:t>.</w:t>
      </w:r>
      <w:r w:rsidR="00A97E8E" w:rsidRPr="00AF7A87">
        <w:rPr>
          <w:rFonts w:ascii="Palatino Linotype" w:eastAsia="MS Mincho" w:hAnsi="Palatino Linotype"/>
          <w:color w:val="000000"/>
          <w:lang w:val="es-ES_tradnl" w:eastAsia="es-ES"/>
        </w:rPr>
        <w:t xml:space="preserve"> De </w:t>
      </w:r>
      <w:r w:rsidR="00A97E8E" w:rsidRPr="00AF7A87">
        <w:rPr>
          <w:rFonts w:ascii="Palatino Linotype" w:eastAsia="MS Mincho" w:hAnsi="Palatino Linotype"/>
          <w:bCs/>
          <w:color w:val="000000"/>
          <w:lang w:val="es-MX" w:eastAsia="es-ES"/>
        </w:rPr>
        <w:t xml:space="preserve">conformidad con el artículo 198 de la Ley de Transparencia y Acceso a la Información Pública del Estado de México y Municipios, de considerarlo procedente, el </w:t>
      </w:r>
      <w:r w:rsidR="00A97E8E" w:rsidRPr="00AF7A87">
        <w:rPr>
          <w:rFonts w:ascii="Palatino Linotype" w:eastAsia="MS Mincho" w:hAnsi="Palatino Linotype"/>
          <w:b/>
          <w:color w:val="000000"/>
          <w:lang w:val="es-MX" w:eastAsia="es-ES"/>
        </w:rPr>
        <w:t>SUJETO OBLIGADO,</w:t>
      </w:r>
      <w:r w:rsidR="00A97E8E" w:rsidRPr="00AF7A87">
        <w:rPr>
          <w:rFonts w:ascii="Palatino Linotype" w:eastAsia="MS Mincho" w:hAnsi="Palatino Linotype"/>
          <w:bCs/>
          <w:color w:val="000000"/>
          <w:lang w:val="es-MX" w:eastAsia="es-ES"/>
        </w:rPr>
        <w:t xml:space="preserve"> de manera fundada y motivada, podrá solicitar una ampliación de plazo para el cumplimiento de la presente resolución.</w:t>
      </w:r>
    </w:p>
    <w:p w14:paraId="761419A1" w14:textId="77777777" w:rsidR="00A97E8E" w:rsidRPr="00AF7A87" w:rsidRDefault="00A97E8E" w:rsidP="00F91301">
      <w:pPr>
        <w:shd w:val="clear" w:color="auto" w:fill="FFFFFF"/>
        <w:spacing w:line="360" w:lineRule="auto"/>
        <w:jc w:val="both"/>
        <w:rPr>
          <w:rFonts w:ascii="Palatino Linotype" w:eastAsia="MS Mincho" w:hAnsi="Palatino Linotype"/>
          <w:lang w:val="es-ES"/>
        </w:rPr>
      </w:pPr>
    </w:p>
    <w:p w14:paraId="3EEBC3E5" w14:textId="77777777" w:rsidR="00AF7A87" w:rsidRDefault="00AF7A87" w:rsidP="00AF7A87">
      <w:pPr>
        <w:spacing w:line="360" w:lineRule="auto"/>
        <w:ind w:firstLine="1"/>
        <w:jc w:val="both"/>
        <w:rPr>
          <w:rFonts w:ascii="Palatino Linotype" w:hAnsi="Palatino Linotype"/>
        </w:rPr>
      </w:pPr>
      <w:r>
        <w:rPr>
          <w:rFonts w:ascii="Palatino Linotype" w:hAnsi="Palatino Linotype"/>
        </w:rPr>
        <w:t xml:space="preserve">ASÍ LO RESUELVE, POR UNANIMIDAD DE VOTOS, EL PLENO DEL INSTITUTO DE TRANSPARENCIA, ACCESO A LA INFORMACIÓN PÚBLICA Y PROTECCIÓN DE DATOS PERSONALES DEL ESTADO DE MÉXICO Y MUNICIPIOS, CONFORMADO POR LOS COMISIONADOS ZULEMA MARTÍNEZ SÁNCHEZ, EVA ABAID YAPUR, JOSÉ GUADALUPE LUNA HERNÁNDEZ, JAVIER MARTÍNEZ CRUZ Y LUIS GUSTAVO PARRA NORIEGA, EN LA TERCERA SESIÓN ORDINARIA CELEBRADA EL CUATRO (04) DE FEBRERO DE DOS MIL VEINTIUNO, ANTE EL DIRECTOR DE CUMPLIMIENTOS, RUBÉN ORTÍZ AMARO, EN SUPLENCIA DEL SECRETARIO TÉCNICO DEL PLENO. </w:t>
      </w:r>
    </w:p>
    <w:p w14:paraId="59EAA5E7" w14:textId="77777777" w:rsidR="00AF7A87" w:rsidRDefault="00AF7A87" w:rsidP="00AF7A87">
      <w:pPr>
        <w:spacing w:line="360" w:lineRule="auto"/>
        <w:ind w:firstLine="1"/>
        <w:jc w:val="both"/>
        <w:rPr>
          <w:rFonts w:ascii="Palatino Linotype" w:hAnsi="Palatino Linotype"/>
        </w:rPr>
      </w:pPr>
    </w:p>
    <w:p w14:paraId="19EB8741" w14:textId="77777777" w:rsidR="00AF7A87" w:rsidRDefault="00AF7A87" w:rsidP="00AF7A87">
      <w:pPr>
        <w:spacing w:line="360" w:lineRule="auto"/>
        <w:ind w:firstLine="1"/>
        <w:jc w:val="both"/>
        <w:rPr>
          <w:rFonts w:ascii="Palatino Linotype" w:hAnsi="Palatino Linotype"/>
        </w:rPr>
      </w:pPr>
    </w:p>
    <w:p w14:paraId="7BB09782" w14:textId="77777777" w:rsidR="00AF7A87" w:rsidRDefault="00AF7A87" w:rsidP="00AF7A87">
      <w:pPr>
        <w:spacing w:line="360" w:lineRule="auto"/>
        <w:ind w:firstLine="1"/>
        <w:jc w:val="both"/>
        <w:rPr>
          <w:rFonts w:ascii="Palatino Linotype" w:hAnsi="Palatino Linotype"/>
        </w:rPr>
      </w:pPr>
    </w:p>
    <w:p w14:paraId="40B160B2" w14:textId="77777777" w:rsidR="00AF7A87" w:rsidRDefault="00AF7A87" w:rsidP="00AF7A87">
      <w:pPr>
        <w:spacing w:line="360" w:lineRule="auto"/>
        <w:ind w:firstLine="1"/>
        <w:jc w:val="both"/>
        <w:rPr>
          <w:rFonts w:ascii="Palatino Linotype" w:hAnsi="Palatino Linotype"/>
          <w:lang w:val="es-MX" w:eastAsia="en-US"/>
        </w:rPr>
      </w:pPr>
    </w:p>
    <w:tbl>
      <w:tblPr>
        <w:tblW w:w="5000" w:type="pct"/>
        <w:jc w:val="center"/>
        <w:tblLook w:val="04A0" w:firstRow="1" w:lastRow="0" w:firstColumn="1" w:lastColumn="0" w:noHBand="0" w:noVBand="1"/>
      </w:tblPr>
      <w:tblGrid>
        <w:gridCol w:w="4216"/>
        <w:gridCol w:w="203"/>
        <w:gridCol w:w="4419"/>
      </w:tblGrid>
      <w:tr w:rsidR="00AF7A87" w14:paraId="0AB6AC6E" w14:textId="77777777" w:rsidTr="00AF7A87">
        <w:trPr>
          <w:trHeight w:val="924"/>
          <w:jc w:val="center"/>
        </w:trPr>
        <w:tc>
          <w:tcPr>
            <w:tcW w:w="5000" w:type="pct"/>
            <w:gridSpan w:val="3"/>
          </w:tcPr>
          <w:p w14:paraId="75C706F9" w14:textId="77777777" w:rsidR="00AF7A87" w:rsidRDefault="00AF7A87">
            <w:pPr>
              <w:jc w:val="center"/>
              <w:rPr>
                <w:rFonts w:ascii="Palatino Linotype" w:hAnsi="Palatino Linotype"/>
                <w:b/>
              </w:rPr>
            </w:pPr>
          </w:p>
          <w:p w14:paraId="6F63760A" w14:textId="77777777" w:rsidR="00AF7A87" w:rsidRDefault="00AF7A87">
            <w:pPr>
              <w:jc w:val="center"/>
              <w:rPr>
                <w:rFonts w:ascii="Palatino Linotype" w:hAnsi="Palatino Linotype"/>
                <w:b/>
              </w:rPr>
            </w:pPr>
          </w:p>
          <w:p w14:paraId="55B459F0" w14:textId="77777777" w:rsidR="00AF7A87" w:rsidRDefault="00AF7A87">
            <w:pPr>
              <w:jc w:val="center"/>
              <w:rPr>
                <w:rFonts w:ascii="Palatino Linotype" w:hAnsi="Palatino Linotype"/>
                <w:b/>
              </w:rPr>
            </w:pPr>
          </w:p>
          <w:p w14:paraId="02EB3338" w14:textId="77777777" w:rsidR="00AF7A87" w:rsidRDefault="00AF7A87">
            <w:pPr>
              <w:jc w:val="center"/>
              <w:rPr>
                <w:rFonts w:ascii="Palatino Linotype" w:hAnsi="Palatino Linotype"/>
                <w:b/>
              </w:rPr>
            </w:pPr>
            <w:r>
              <w:rPr>
                <w:rFonts w:ascii="Palatino Linotype" w:hAnsi="Palatino Linotype"/>
                <w:b/>
              </w:rPr>
              <w:t xml:space="preserve">Zulema Martínez Sánchez </w:t>
            </w:r>
          </w:p>
          <w:p w14:paraId="14189575" w14:textId="77777777" w:rsidR="00AF7A87" w:rsidRDefault="00AF7A87">
            <w:pPr>
              <w:jc w:val="center"/>
              <w:rPr>
                <w:rFonts w:ascii="Palatino Linotype" w:hAnsi="Palatino Linotype"/>
              </w:rPr>
            </w:pPr>
            <w:r>
              <w:rPr>
                <w:rFonts w:ascii="Palatino Linotype" w:hAnsi="Palatino Linotype"/>
              </w:rPr>
              <w:t xml:space="preserve">Comisionada </w:t>
            </w:r>
            <w:proofErr w:type="gramStart"/>
            <w:r>
              <w:rPr>
                <w:rFonts w:ascii="Palatino Linotype" w:hAnsi="Palatino Linotype"/>
              </w:rPr>
              <w:t>Presidenta</w:t>
            </w:r>
            <w:proofErr w:type="gramEnd"/>
          </w:p>
          <w:p w14:paraId="0E2A6022" w14:textId="77777777" w:rsidR="00AF7A87" w:rsidRDefault="00AF7A87">
            <w:pPr>
              <w:tabs>
                <w:tab w:val="left" w:pos="780"/>
                <w:tab w:val="center" w:pos="4499"/>
              </w:tabs>
              <w:jc w:val="center"/>
              <w:rPr>
                <w:rFonts w:ascii="Palatino Linotype" w:hAnsi="Palatino Linotype"/>
              </w:rPr>
            </w:pPr>
            <w:r>
              <w:rPr>
                <w:rFonts w:ascii="Palatino Linotype" w:hAnsi="Palatino Linotype"/>
              </w:rPr>
              <w:t>(Rúbrica)</w:t>
            </w:r>
          </w:p>
        </w:tc>
      </w:tr>
      <w:tr w:rsidR="00AF7A87" w14:paraId="03514FA2" w14:textId="77777777" w:rsidTr="00AF7A87">
        <w:trPr>
          <w:trHeight w:val="902"/>
          <w:jc w:val="center"/>
        </w:trPr>
        <w:tc>
          <w:tcPr>
            <w:tcW w:w="2385" w:type="pct"/>
          </w:tcPr>
          <w:p w14:paraId="1D01B4A8" w14:textId="77777777" w:rsidR="00AF7A87" w:rsidRDefault="00AF7A87">
            <w:pPr>
              <w:jc w:val="center"/>
              <w:rPr>
                <w:rFonts w:ascii="Palatino Linotype" w:hAnsi="Palatino Linotype"/>
                <w:b/>
              </w:rPr>
            </w:pPr>
          </w:p>
          <w:p w14:paraId="657C4973" w14:textId="77777777" w:rsidR="00AF7A87" w:rsidRDefault="00AF7A87">
            <w:pPr>
              <w:jc w:val="center"/>
              <w:rPr>
                <w:rFonts w:ascii="Palatino Linotype" w:hAnsi="Palatino Linotype"/>
                <w:b/>
              </w:rPr>
            </w:pPr>
          </w:p>
          <w:p w14:paraId="07374E8F" w14:textId="77777777" w:rsidR="00AF7A87" w:rsidRDefault="00AF7A87">
            <w:pPr>
              <w:jc w:val="center"/>
              <w:rPr>
                <w:rFonts w:ascii="Palatino Linotype" w:hAnsi="Palatino Linotype"/>
                <w:b/>
              </w:rPr>
            </w:pPr>
          </w:p>
          <w:p w14:paraId="34683448" w14:textId="77777777" w:rsidR="00AF7A87" w:rsidRDefault="00AF7A87">
            <w:pPr>
              <w:jc w:val="center"/>
              <w:rPr>
                <w:rFonts w:ascii="Palatino Linotype" w:hAnsi="Palatino Linotype"/>
                <w:b/>
              </w:rPr>
            </w:pPr>
          </w:p>
          <w:p w14:paraId="6C1AB85C" w14:textId="77777777" w:rsidR="00AF7A87" w:rsidRDefault="00AF7A87">
            <w:pPr>
              <w:jc w:val="center"/>
              <w:rPr>
                <w:rFonts w:ascii="Palatino Linotype" w:hAnsi="Palatino Linotype"/>
                <w:b/>
              </w:rPr>
            </w:pPr>
            <w:r>
              <w:rPr>
                <w:rFonts w:ascii="Palatino Linotype" w:hAnsi="Palatino Linotype"/>
                <w:b/>
              </w:rPr>
              <w:t xml:space="preserve">Eva </w:t>
            </w:r>
            <w:proofErr w:type="spellStart"/>
            <w:r>
              <w:rPr>
                <w:rFonts w:ascii="Palatino Linotype" w:hAnsi="Palatino Linotype"/>
                <w:b/>
              </w:rPr>
              <w:t>Abaid</w:t>
            </w:r>
            <w:proofErr w:type="spellEnd"/>
            <w:r>
              <w:rPr>
                <w:rFonts w:ascii="Palatino Linotype" w:hAnsi="Palatino Linotype"/>
                <w:b/>
              </w:rPr>
              <w:t xml:space="preserve"> Yapu</w:t>
            </w:r>
            <w:r w:rsidRPr="00AF7A87">
              <w:rPr>
                <w:rFonts w:ascii="Palatino Linotype" w:hAnsi="Palatino Linotype"/>
              </w:rPr>
              <w:t>r</w:t>
            </w:r>
          </w:p>
          <w:p w14:paraId="581F9DBA" w14:textId="77777777" w:rsidR="00AF7A87" w:rsidRDefault="00AF7A87">
            <w:pPr>
              <w:jc w:val="center"/>
              <w:rPr>
                <w:rFonts w:ascii="Palatino Linotype" w:hAnsi="Palatino Linotype"/>
              </w:rPr>
            </w:pPr>
            <w:r>
              <w:rPr>
                <w:rFonts w:ascii="Palatino Linotype" w:hAnsi="Palatino Linotype"/>
              </w:rPr>
              <w:t>Comisionada</w:t>
            </w:r>
          </w:p>
          <w:p w14:paraId="4FF2CF99" w14:textId="77777777" w:rsidR="00AF7A87" w:rsidRDefault="00AF7A87">
            <w:pPr>
              <w:tabs>
                <w:tab w:val="left" w:pos="780"/>
                <w:tab w:val="center" w:pos="4499"/>
              </w:tabs>
              <w:jc w:val="center"/>
              <w:rPr>
                <w:rFonts w:ascii="Palatino Linotype" w:hAnsi="Palatino Linotype"/>
              </w:rPr>
            </w:pPr>
            <w:r>
              <w:rPr>
                <w:rFonts w:ascii="Palatino Linotype" w:hAnsi="Palatino Linotype"/>
              </w:rPr>
              <w:t>(Rúbrica)</w:t>
            </w:r>
          </w:p>
        </w:tc>
        <w:tc>
          <w:tcPr>
            <w:tcW w:w="2615" w:type="pct"/>
            <w:gridSpan w:val="2"/>
          </w:tcPr>
          <w:p w14:paraId="3112F10E" w14:textId="77777777" w:rsidR="00AF7A87" w:rsidRDefault="00AF7A87">
            <w:pPr>
              <w:jc w:val="center"/>
              <w:rPr>
                <w:rFonts w:ascii="Palatino Linotype" w:hAnsi="Palatino Linotype"/>
                <w:b/>
              </w:rPr>
            </w:pPr>
          </w:p>
          <w:p w14:paraId="3EB68313" w14:textId="77777777" w:rsidR="00AF7A87" w:rsidRDefault="00AF7A87">
            <w:pPr>
              <w:jc w:val="center"/>
              <w:rPr>
                <w:rFonts w:ascii="Palatino Linotype" w:hAnsi="Palatino Linotype"/>
                <w:b/>
              </w:rPr>
            </w:pPr>
          </w:p>
          <w:p w14:paraId="41A3650B" w14:textId="77777777" w:rsidR="00AF7A87" w:rsidRDefault="00AF7A87">
            <w:pPr>
              <w:jc w:val="center"/>
              <w:rPr>
                <w:rFonts w:ascii="Palatino Linotype" w:hAnsi="Palatino Linotype"/>
                <w:b/>
              </w:rPr>
            </w:pPr>
          </w:p>
          <w:p w14:paraId="6FCD6FA1" w14:textId="77777777" w:rsidR="00AF7A87" w:rsidRDefault="00AF7A87">
            <w:pPr>
              <w:jc w:val="center"/>
              <w:rPr>
                <w:rFonts w:ascii="Palatino Linotype" w:hAnsi="Palatino Linotype"/>
                <w:b/>
              </w:rPr>
            </w:pPr>
          </w:p>
          <w:p w14:paraId="7ACF3356" w14:textId="77777777" w:rsidR="00AF7A87" w:rsidRDefault="00AF7A87">
            <w:pPr>
              <w:jc w:val="center"/>
              <w:rPr>
                <w:rFonts w:ascii="Palatino Linotype" w:hAnsi="Palatino Linotype"/>
                <w:b/>
              </w:rPr>
            </w:pPr>
            <w:r>
              <w:rPr>
                <w:rFonts w:ascii="Palatino Linotype" w:hAnsi="Palatino Linotype"/>
                <w:b/>
              </w:rPr>
              <w:t>José Guadalupe Luna Hernández</w:t>
            </w:r>
          </w:p>
          <w:p w14:paraId="79F1565C" w14:textId="77777777" w:rsidR="00AF7A87" w:rsidRDefault="00AF7A87">
            <w:pPr>
              <w:jc w:val="center"/>
              <w:rPr>
                <w:rFonts w:ascii="Palatino Linotype" w:hAnsi="Palatino Linotype"/>
              </w:rPr>
            </w:pPr>
            <w:r>
              <w:rPr>
                <w:rFonts w:ascii="Palatino Linotype" w:hAnsi="Palatino Linotype"/>
              </w:rPr>
              <w:t>Comisionado</w:t>
            </w:r>
          </w:p>
          <w:p w14:paraId="3A8B0BD2" w14:textId="77777777" w:rsidR="00AF7A87" w:rsidRDefault="00AF7A87">
            <w:pPr>
              <w:tabs>
                <w:tab w:val="left" w:pos="780"/>
                <w:tab w:val="center" w:pos="4499"/>
              </w:tabs>
              <w:jc w:val="center"/>
              <w:rPr>
                <w:rFonts w:ascii="Palatino Linotype" w:hAnsi="Palatino Linotype"/>
              </w:rPr>
            </w:pPr>
            <w:r>
              <w:rPr>
                <w:rFonts w:ascii="Palatino Linotype" w:hAnsi="Palatino Linotype"/>
              </w:rPr>
              <w:t>(Rúbrica)</w:t>
            </w:r>
          </w:p>
        </w:tc>
      </w:tr>
      <w:tr w:rsidR="00AF7A87" w14:paraId="733929B5" w14:textId="77777777" w:rsidTr="00AF7A87">
        <w:trPr>
          <w:jc w:val="center"/>
        </w:trPr>
        <w:tc>
          <w:tcPr>
            <w:tcW w:w="2500" w:type="pct"/>
            <w:gridSpan w:val="2"/>
          </w:tcPr>
          <w:p w14:paraId="6168B33F" w14:textId="77777777" w:rsidR="00AF7A87" w:rsidRDefault="00AF7A87">
            <w:pPr>
              <w:jc w:val="center"/>
              <w:rPr>
                <w:rFonts w:ascii="Palatino Linotype" w:hAnsi="Palatino Linotype"/>
                <w:b/>
              </w:rPr>
            </w:pPr>
          </w:p>
          <w:p w14:paraId="08B156FA" w14:textId="77777777" w:rsidR="00AF7A87" w:rsidRDefault="00AF7A87">
            <w:pPr>
              <w:jc w:val="center"/>
              <w:rPr>
                <w:rFonts w:ascii="Palatino Linotype" w:hAnsi="Palatino Linotype"/>
                <w:b/>
              </w:rPr>
            </w:pPr>
          </w:p>
          <w:p w14:paraId="3E0AC5FA" w14:textId="77777777" w:rsidR="00AF7A87" w:rsidRDefault="00AF7A87">
            <w:pPr>
              <w:jc w:val="center"/>
              <w:rPr>
                <w:rFonts w:ascii="Palatino Linotype" w:hAnsi="Palatino Linotype"/>
                <w:b/>
              </w:rPr>
            </w:pPr>
          </w:p>
          <w:p w14:paraId="2B93E229" w14:textId="77777777" w:rsidR="00AF7A87" w:rsidRDefault="00AF7A87">
            <w:pPr>
              <w:jc w:val="center"/>
              <w:rPr>
                <w:rFonts w:ascii="Palatino Linotype" w:hAnsi="Palatino Linotype"/>
                <w:b/>
              </w:rPr>
            </w:pPr>
          </w:p>
          <w:p w14:paraId="3E59E362" w14:textId="77777777" w:rsidR="00AF7A87" w:rsidRDefault="00AF7A87">
            <w:pPr>
              <w:jc w:val="center"/>
              <w:rPr>
                <w:rFonts w:ascii="Palatino Linotype" w:hAnsi="Palatino Linotype"/>
                <w:b/>
              </w:rPr>
            </w:pPr>
          </w:p>
          <w:p w14:paraId="16626C32" w14:textId="77777777" w:rsidR="00AF7A87" w:rsidRDefault="00AF7A87">
            <w:pPr>
              <w:jc w:val="center"/>
              <w:rPr>
                <w:rFonts w:ascii="Palatino Linotype" w:hAnsi="Palatino Linotype"/>
                <w:b/>
              </w:rPr>
            </w:pPr>
            <w:r>
              <w:rPr>
                <w:rFonts w:ascii="Palatino Linotype" w:hAnsi="Palatino Linotype"/>
                <w:b/>
              </w:rPr>
              <w:t xml:space="preserve">Javier Martínez Cruz </w:t>
            </w:r>
          </w:p>
          <w:p w14:paraId="58DD768E" w14:textId="77777777" w:rsidR="00AF7A87" w:rsidRDefault="00AF7A87">
            <w:pPr>
              <w:jc w:val="center"/>
              <w:rPr>
                <w:rFonts w:ascii="Palatino Linotype" w:hAnsi="Palatino Linotype"/>
              </w:rPr>
            </w:pPr>
            <w:r>
              <w:rPr>
                <w:rFonts w:ascii="Palatino Linotype" w:hAnsi="Palatino Linotype"/>
              </w:rPr>
              <w:t>Comisionado</w:t>
            </w:r>
          </w:p>
          <w:p w14:paraId="431A0EDC" w14:textId="77777777" w:rsidR="00AF7A87" w:rsidRDefault="00AF7A87">
            <w:pPr>
              <w:jc w:val="center"/>
              <w:rPr>
                <w:rFonts w:ascii="Palatino Linotype" w:hAnsi="Palatino Linotype"/>
                <w:b/>
              </w:rPr>
            </w:pPr>
            <w:r>
              <w:rPr>
                <w:rFonts w:ascii="Palatino Linotype" w:hAnsi="Palatino Linotype"/>
              </w:rPr>
              <w:t>(Rúbrica)</w:t>
            </w:r>
          </w:p>
        </w:tc>
        <w:tc>
          <w:tcPr>
            <w:tcW w:w="2500" w:type="pct"/>
          </w:tcPr>
          <w:p w14:paraId="59B8EFA1" w14:textId="77777777" w:rsidR="00AF7A87" w:rsidRDefault="00AF7A87">
            <w:pPr>
              <w:tabs>
                <w:tab w:val="left" w:pos="780"/>
                <w:tab w:val="center" w:pos="4499"/>
              </w:tabs>
              <w:jc w:val="center"/>
              <w:rPr>
                <w:rFonts w:ascii="Palatino Linotype" w:hAnsi="Palatino Linotype"/>
                <w:b/>
              </w:rPr>
            </w:pPr>
          </w:p>
          <w:p w14:paraId="1974FF18" w14:textId="77777777" w:rsidR="00AF7A87" w:rsidRDefault="00AF7A87">
            <w:pPr>
              <w:tabs>
                <w:tab w:val="left" w:pos="780"/>
                <w:tab w:val="center" w:pos="4499"/>
              </w:tabs>
              <w:jc w:val="center"/>
              <w:rPr>
                <w:rFonts w:ascii="Palatino Linotype" w:hAnsi="Palatino Linotype"/>
                <w:b/>
              </w:rPr>
            </w:pPr>
          </w:p>
          <w:p w14:paraId="386B030D" w14:textId="77777777" w:rsidR="00AF7A87" w:rsidRDefault="00AF7A87">
            <w:pPr>
              <w:tabs>
                <w:tab w:val="left" w:pos="780"/>
                <w:tab w:val="center" w:pos="4499"/>
              </w:tabs>
              <w:jc w:val="center"/>
              <w:rPr>
                <w:rFonts w:ascii="Palatino Linotype" w:hAnsi="Palatino Linotype"/>
                <w:b/>
              </w:rPr>
            </w:pPr>
          </w:p>
          <w:p w14:paraId="6357FD75" w14:textId="77777777" w:rsidR="00AF7A87" w:rsidRDefault="00AF7A87">
            <w:pPr>
              <w:tabs>
                <w:tab w:val="left" w:pos="780"/>
                <w:tab w:val="center" w:pos="4499"/>
              </w:tabs>
              <w:jc w:val="center"/>
              <w:rPr>
                <w:rFonts w:ascii="Palatino Linotype" w:hAnsi="Palatino Linotype"/>
                <w:b/>
              </w:rPr>
            </w:pPr>
          </w:p>
          <w:p w14:paraId="26CDC7EF" w14:textId="77777777" w:rsidR="00AF7A87" w:rsidRDefault="00AF7A87">
            <w:pPr>
              <w:tabs>
                <w:tab w:val="left" w:pos="780"/>
                <w:tab w:val="center" w:pos="4499"/>
              </w:tabs>
              <w:jc w:val="center"/>
              <w:rPr>
                <w:rFonts w:ascii="Palatino Linotype" w:hAnsi="Palatino Linotype"/>
                <w:b/>
              </w:rPr>
            </w:pPr>
          </w:p>
          <w:p w14:paraId="3F7BEA80" w14:textId="77777777" w:rsidR="00AF7A87" w:rsidRDefault="00AF7A87">
            <w:pPr>
              <w:tabs>
                <w:tab w:val="left" w:pos="780"/>
                <w:tab w:val="center" w:pos="4499"/>
              </w:tabs>
              <w:jc w:val="center"/>
              <w:rPr>
                <w:rFonts w:ascii="Palatino Linotype" w:hAnsi="Palatino Linotype"/>
                <w:b/>
              </w:rPr>
            </w:pPr>
            <w:r>
              <w:rPr>
                <w:rFonts w:ascii="Palatino Linotype" w:hAnsi="Palatino Linotype"/>
                <w:b/>
              </w:rPr>
              <w:t>Luis Gustavo Parra Noriega</w:t>
            </w:r>
          </w:p>
          <w:p w14:paraId="0FDFFFB4" w14:textId="77777777" w:rsidR="00AF7A87" w:rsidRDefault="00AF7A87">
            <w:pPr>
              <w:tabs>
                <w:tab w:val="left" w:pos="780"/>
                <w:tab w:val="center" w:pos="4499"/>
              </w:tabs>
              <w:jc w:val="center"/>
              <w:rPr>
                <w:rFonts w:ascii="Palatino Linotype" w:hAnsi="Palatino Linotype"/>
              </w:rPr>
            </w:pPr>
            <w:r>
              <w:rPr>
                <w:rFonts w:ascii="Palatino Linotype" w:hAnsi="Palatino Linotype"/>
              </w:rPr>
              <w:t>Comisionado</w:t>
            </w:r>
          </w:p>
          <w:p w14:paraId="1F614FA5" w14:textId="77777777" w:rsidR="00AF7A87" w:rsidRDefault="00AF7A87">
            <w:pPr>
              <w:tabs>
                <w:tab w:val="left" w:pos="780"/>
                <w:tab w:val="center" w:pos="4499"/>
              </w:tabs>
              <w:jc w:val="center"/>
              <w:rPr>
                <w:rFonts w:ascii="Palatino Linotype" w:hAnsi="Palatino Linotype"/>
              </w:rPr>
            </w:pPr>
            <w:r>
              <w:rPr>
                <w:rFonts w:ascii="Palatino Linotype" w:hAnsi="Palatino Linotype"/>
              </w:rPr>
              <w:t>(Rúbrica)</w:t>
            </w:r>
          </w:p>
        </w:tc>
      </w:tr>
      <w:tr w:rsidR="00AF7A87" w14:paraId="53C6D5DF" w14:textId="77777777" w:rsidTr="00AF7A87">
        <w:trPr>
          <w:jc w:val="center"/>
        </w:trPr>
        <w:tc>
          <w:tcPr>
            <w:tcW w:w="5000" w:type="pct"/>
            <w:gridSpan w:val="3"/>
          </w:tcPr>
          <w:p w14:paraId="7301EA81" w14:textId="77777777" w:rsidR="00AF7A87" w:rsidRDefault="00AF7A87">
            <w:pPr>
              <w:jc w:val="center"/>
              <w:rPr>
                <w:rFonts w:ascii="Palatino Linotype" w:hAnsi="Palatino Linotype"/>
                <w:b/>
              </w:rPr>
            </w:pPr>
          </w:p>
          <w:p w14:paraId="2B8E4A7B" w14:textId="77777777" w:rsidR="00AF7A87" w:rsidRDefault="00AF7A87">
            <w:pPr>
              <w:jc w:val="center"/>
              <w:rPr>
                <w:rFonts w:ascii="Palatino Linotype" w:hAnsi="Palatino Linotype"/>
                <w:b/>
              </w:rPr>
            </w:pPr>
          </w:p>
          <w:p w14:paraId="0CCC0EA7" w14:textId="77777777" w:rsidR="00AF7A87" w:rsidRDefault="00AF7A87">
            <w:pPr>
              <w:jc w:val="center"/>
              <w:rPr>
                <w:rFonts w:ascii="Palatino Linotype" w:hAnsi="Palatino Linotype"/>
                <w:b/>
              </w:rPr>
            </w:pPr>
          </w:p>
          <w:p w14:paraId="7C60E090" w14:textId="77777777" w:rsidR="00AF7A87" w:rsidRDefault="00AF7A87">
            <w:pPr>
              <w:jc w:val="center"/>
              <w:rPr>
                <w:rFonts w:ascii="Palatino Linotype" w:hAnsi="Palatino Linotype"/>
                <w:b/>
              </w:rPr>
            </w:pPr>
          </w:p>
          <w:p w14:paraId="0B5AD877" w14:textId="77777777" w:rsidR="00AF7A87" w:rsidRDefault="00AF7A87">
            <w:pPr>
              <w:jc w:val="center"/>
              <w:rPr>
                <w:rFonts w:ascii="Palatino Linotype" w:hAnsi="Palatino Linotype"/>
                <w:b/>
              </w:rPr>
            </w:pPr>
            <w:r>
              <w:rPr>
                <w:rFonts w:ascii="Palatino Linotype" w:hAnsi="Palatino Linotype"/>
                <w:b/>
              </w:rPr>
              <w:t>Rubén Ortiz Amaro</w:t>
            </w:r>
          </w:p>
          <w:p w14:paraId="372EFEC2" w14:textId="77777777" w:rsidR="00AF7A87" w:rsidRDefault="00AF7A87">
            <w:pPr>
              <w:tabs>
                <w:tab w:val="left" w:pos="780"/>
                <w:tab w:val="center" w:pos="4499"/>
              </w:tabs>
              <w:jc w:val="center"/>
              <w:rPr>
                <w:rFonts w:ascii="Palatino Linotype" w:hAnsi="Palatino Linotype"/>
              </w:rPr>
            </w:pPr>
            <w:r>
              <w:rPr>
                <w:rFonts w:ascii="Palatino Linotype" w:hAnsi="Palatino Linotype"/>
              </w:rPr>
              <w:t xml:space="preserve">Director de Cumplimientos </w:t>
            </w:r>
          </w:p>
          <w:p w14:paraId="20F034CA" w14:textId="77777777" w:rsidR="00AF7A87" w:rsidRDefault="00AF7A87">
            <w:pPr>
              <w:tabs>
                <w:tab w:val="left" w:pos="780"/>
                <w:tab w:val="center" w:pos="4499"/>
              </w:tabs>
              <w:jc w:val="center"/>
              <w:rPr>
                <w:rFonts w:ascii="Palatino Linotype" w:hAnsi="Palatino Linotype"/>
              </w:rPr>
            </w:pPr>
            <w:r>
              <w:rPr>
                <w:rFonts w:ascii="Palatino Linotype" w:hAnsi="Palatino Linotype"/>
              </w:rPr>
              <w:t>En suplencia del Secretario Técnico del Pleno</w:t>
            </w:r>
          </w:p>
          <w:p w14:paraId="3A25FAD5" w14:textId="77777777" w:rsidR="00AF7A87" w:rsidRDefault="00AF7A87">
            <w:pPr>
              <w:tabs>
                <w:tab w:val="left" w:pos="780"/>
                <w:tab w:val="center" w:pos="4499"/>
              </w:tabs>
              <w:jc w:val="center"/>
              <w:rPr>
                <w:rFonts w:ascii="Palatino Linotype" w:hAnsi="Palatino Linotype"/>
              </w:rPr>
            </w:pPr>
            <w:r>
              <w:rPr>
                <w:rFonts w:ascii="Palatino Linotype" w:hAnsi="Palatino Linotype"/>
              </w:rPr>
              <w:t>(Rúbrica)</w:t>
            </w:r>
          </w:p>
          <w:p w14:paraId="5E1481DD" w14:textId="77777777" w:rsidR="00AF7A87" w:rsidRDefault="00AF7A87">
            <w:pPr>
              <w:tabs>
                <w:tab w:val="left" w:pos="780"/>
                <w:tab w:val="center" w:pos="4499"/>
              </w:tabs>
              <w:rPr>
                <w:rFonts w:ascii="Palatino Linotype" w:hAnsi="Palatino Linotype" w:cs="Arial"/>
              </w:rPr>
            </w:pPr>
          </w:p>
        </w:tc>
      </w:tr>
    </w:tbl>
    <w:p w14:paraId="143B3C05" w14:textId="2275C91C" w:rsidR="009710C1" w:rsidRPr="00AF7A87" w:rsidRDefault="00AF7A87" w:rsidP="00AF7A87">
      <w:pPr>
        <w:spacing w:line="360" w:lineRule="auto"/>
        <w:jc w:val="both"/>
        <w:rPr>
          <w:rFonts w:asciiTheme="minorHAnsi" w:hAnsiTheme="minorHAnsi" w:cstheme="minorBidi"/>
          <w:sz w:val="32"/>
          <w:szCs w:val="32"/>
          <w:lang w:eastAsia="en-US"/>
        </w:rPr>
      </w:pPr>
      <w:r>
        <w:rPr>
          <w:rFonts w:ascii="Palatino Linotype" w:hAnsi="Palatino Linotype" w:cs="Arial"/>
        </w:rPr>
        <w:t xml:space="preserve">Esta hoja corresponde a la resolución de cuatro (04) de febrero de dos mil veintiuno, emitida en el recurso de revisión </w:t>
      </w:r>
      <w:r>
        <w:rPr>
          <w:rFonts w:ascii="Palatino Linotype" w:hAnsi="Palatino Linotype" w:cs="Arial"/>
          <w:b/>
        </w:rPr>
        <w:t>06008/INFOEM/IP/RR/2020</w:t>
      </w:r>
      <w:r>
        <w:rPr>
          <w:rFonts w:ascii="Palatino Linotype" w:hAnsi="Palatino Linotype" w:cs="Arial"/>
          <w:bCs/>
        </w:rPr>
        <w:t xml:space="preserve">. </w:t>
      </w:r>
    </w:p>
    <w:sectPr w:rsidR="009710C1" w:rsidRPr="00AF7A87" w:rsidSect="00943B9C">
      <w:headerReference w:type="even" r:id="rId20"/>
      <w:headerReference w:type="default" r:id="rId21"/>
      <w:footerReference w:type="default" r:id="rId22"/>
      <w:headerReference w:type="first" r:id="rId23"/>
      <w:footerReference w:type="first" r:id="rId24"/>
      <w:pgSz w:w="12240" w:h="15840"/>
      <w:pgMar w:top="2694" w:right="1701" w:bottom="226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28CE32" w14:textId="77777777" w:rsidR="00E06176" w:rsidRDefault="00E06176" w:rsidP="00587366">
      <w:r>
        <w:separator/>
      </w:r>
    </w:p>
  </w:endnote>
  <w:endnote w:type="continuationSeparator" w:id="0">
    <w:p w14:paraId="13F99E85" w14:textId="77777777" w:rsidR="00E06176" w:rsidRDefault="00E06176" w:rsidP="00587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Palatino Linotype" w:hAnsi="Palatino Linotype"/>
        <w:sz w:val="28"/>
      </w:rPr>
      <w:id w:val="1316221887"/>
      <w:docPartObj>
        <w:docPartGallery w:val="Page Numbers (Bottom of Page)"/>
        <w:docPartUnique/>
      </w:docPartObj>
    </w:sdtPr>
    <w:sdtEndPr/>
    <w:sdtContent>
      <w:sdt>
        <w:sdtPr>
          <w:rPr>
            <w:rFonts w:ascii="Palatino Linotype" w:hAnsi="Palatino Linotype"/>
            <w:sz w:val="28"/>
          </w:rPr>
          <w:id w:val="1295024492"/>
          <w:docPartObj>
            <w:docPartGallery w:val="Page Numbers (Top of Page)"/>
            <w:docPartUnique/>
          </w:docPartObj>
        </w:sdtPr>
        <w:sdtEndPr/>
        <w:sdtContent>
          <w:p w14:paraId="187818B4" w14:textId="246A4717" w:rsidR="004512AB" w:rsidRPr="00883450" w:rsidRDefault="004512AB">
            <w:pPr>
              <w:pStyle w:val="Piedepgina"/>
              <w:jc w:val="right"/>
              <w:rPr>
                <w:rFonts w:ascii="Palatino Linotype" w:hAnsi="Palatino Linotype"/>
                <w:sz w:val="28"/>
              </w:rPr>
            </w:pPr>
            <w:r w:rsidRPr="00883450">
              <w:rPr>
                <w:rFonts w:ascii="Palatino Linotype" w:hAnsi="Palatino Linotype"/>
                <w:sz w:val="22"/>
                <w:szCs w:val="20"/>
                <w:lang w:val="es-ES"/>
              </w:rPr>
              <w:t xml:space="preserve">Página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PAGE</w:instrText>
            </w:r>
            <w:r w:rsidRPr="00883450">
              <w:rPr>
                <w:rFonts w:ascii="Palatino Linotype" w:hAnsi="Palatino Linotype"/>
                <w:b/>
                <w:bCs/>
                <w:sz w:val="22"/>
                <w:szCs w:val="20"/>
              </w:rPr>
              <w:fldChar w:fldCharType="separate"/>
            </w:r>
            <w:r w:rsidR="008C375B">
              <w:rPr>
                <w:rFonts w:ascii="Palatino Linotype" w:hAnsi="Palatino Linotype"/>
                <w:b/>
                <w:bCs/>
                <w:noProof/>
                <w:sz w:val="22"/>
                <w:szCs w:val="20"/>
              </w:rPr>
              <w:t>45</w:t>
            </w:r>
            <w:r w:rsidRPr="00883450">
              <w:rPr>
                <w:rFonts w:ascii="Palatino Linotype" w:hAnsi="Palatino Linotype"/>
                <w:b/>
                <w:bCs/>
                <w:sz w:val="22"/>
                <w:szCs w:val="20"/>
              </w:rPr>
              <w:fldChar w:fldCharType="end"/>
            </w:r>
            <w:r w:rsidRPr="00883450">
              <w:rPr>
                <w:rFonts w:ascii="Palatino Linotype" w:hAnsi="Palatino Linotype"/>
                <w:sz w:val="22"/>
                <w:szCs w:val="20"/>
                <w:lang w:val="es-ES"/>
              </w:rPr>
              <w:t xml:space="preserve"> de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NUMPAGES</w:instrText>
            </w:r>
            <w:r w:rsidRPr="00883450">
              <w:rPr>
                <w:rFonts w:ascii="Palatino Linotype" w:hAnsi="Palatino Linotype"/>
                <w:b/>
                <w:bCs/>
                <w:sz w:val="22"/>
                <w:szCs w:val="20"/>
              </w:rPr>
              <w:fldChar w:fldCharType="separate"/>
            </w:r>
            <w:r w:rsidR="008C375B">
              <w:rPr>
                <w:rFonts w:ascii="Palatino Linotype" w:hAnsi="Palatino Linotype"/>
                <w:b/>
                <w:bCs/>
                <w:noProof/>
                <w:sz w:val="22"/>
                <w:szCs w:val="20"/>
              </w:rPr>
              <w:t>45</w:t>
            </w:r>
            <w:r w:rsidRPr="00883450">
              <w:rPr>
                <w:rFonts w:ascii="Palatino Linotype" w:hAnsi="Palatino Linotype"/>
                <w:b/>
                <w:bCs/>
                <w:sz w:val="22"/>
                <w:szCs w:val="20"/>
              </w:rPr>
              <w:fldChar w:fldCharType="end"/>
            </w:r>
          </w:p>
        </w:sdtContent>
      </w:sdt>
    </w:sdtContent>
  </w:sdt>
  <w:p w14:paraId="6243EC1B" w14:textId="77777777" w:rsidR="004512AB" w:rsidRDefault="004512A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B882B7" w14:textId="77777777" w:rsidR="004512AB" w:rsidRPr="00883450" w:rsidRDefault="004512AB" w:rsidP="00883450">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8C375B">
      <w:rPr>
        <w:rFonts w:ascii="Palatino Linotype" w:hAnsi="Palatino Linotype"/>
        <w:noProof/>
        <w:sz w:val="22"/>
        <w:szCs w:val="22"/>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8C375B" w:rsidRPr="008C375B">
      <w:rPr>
        <w:rFonts w:ascii="Palatino Linotype" w:hAnsi="Palatino Linotype"/>
        <w:noProof/>
        <w:sz w:val="22"/>
        <w:szCs w:val="22"/>
        <w:lang w:val="es-ES"/>
      </w:rPr>
      <w:t>45</w:t>
    </w:r>
    <w:r w:rsidRPr="00883450">
      <w:rPr>
        <w:rFonts w:ascii="Palatino Linotype" w:hAnsi="Palatino Linotype"/>
        <w:sz w:val="22"/>
        <w:szCs w:val="22"/>
      </w:rPr>
      <w:fldChar w:fldCharType="end"/>
    </w:r>
  </w:p>
  <w:p w14:paraId="5F5C4865" w14:textId="77777777" w:rsidR="004512AB" w:rsidRPr="00883450" w:rsidRDefault="004512AB">
    <w:pPr>
      <w:pStyle w:val="Piedepgina"/>
      <w:rPr>
        <w:rFonts w:ascii="Palatino Linotype" w:hAnsi="Palatino Linotype"/>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9A0CDC" w14:textId="77777777" w:rsidR="00E06176" w:rsidRDefault="00E06176" w:rsidP="00587366">
      <w:r>
        <w:separator/>
      </w:r>
    </w:p>
  </w:footnote>
  <w:footnote w:type="continuationSeparator" w:id="0">
    <w:p w14:paraId="1A8852D9" w14:textId="77777777" w:rsidR="00E06176" w:rsidRDefault="00E06176" w:rsidP="00587366">
      <w:r>
        <w:continuationSeparator/>
      </w:r>
    </w:p>
  </w:footnote>
  <w:footnote w:id="1">
    <w:p w14:paraId="6B1F03C1" w14:textId="77777777" w:rsidR="00F91301" w:rsidRPr="009020DD" w:rsidRDefault="00F91301" w:rsidP="00F91301">
      <w:pPr>
        <w:pStyle w:val="Textonotapie"/>
        <w:jc w:val="both"/>
        <w:rPr>
          <w:lang w:val="es-ES"/>
        </w:rPr>
      </w:pPr>
      <w:r>
        <w:rPr>
          <w:rStyle w:val="Refdenotaalpie"/>
        </w:rPr>
        <w:footnoteRef/>
      </w:r>
      <w:r>
        <w:t xml:space="preserve"> </w:t>
      </w:r>
      <w:r w:rsidRPr="009020DD">
        <w:rPr>
          <w:lang w:val="es-ES"/>
        </w:rPr>
        <w:t>“De continuo hacemos un tipo de juicios que podemos llamar de encaje, y que dan lugar a enunciados del tipo ‘x es un Y’. Si sabemos o asumimos que todos los objetos o seres que reúnen las propiedades a, b y c pertenecen al conjunto de los J, cada vez que encontramos uno que tiene esas tres propiedades decimos que es un J. Y también incorporamos excepciones, como cuando asumimos que no pertenece a la categoría de los J el ser que tiene la propiedad d, aunque tenga cualesquiera otras. Entonces, de un x que tenga las propiedades  a, b, c y d diremos que no es un J. Todo esto, en verdad, son obviedades, casi perogrulladas, pero veremos que conviene aquí explicitarlas e ir paso a paso.</w:t>
      </w:r>
    </w:p>
    <w:p w14:paraId="1FDFF3BC" w14:textId="77777777" w:rsidR="00F91301" w:rsidRPr="009020DD" w:rsidRDefault="00F91301" w:rsidP="00F91301">
      <w:pPr>
        <w:pStyle w:val="Textonotapie"/>
        <w:jc w:val="both"/>
        <w:rPr>
          <w:lang w:val="es-ES"/>
        </w:rPr>
      </w:pPr>
      <w:r w:rsidRPr="009020DD">
        <w:rPr>
          <w:lang w:val="es-ES"/>
        </w:rPr>
        <w:t>“También en el campo general de lo normativo realizamos, todo el rato, juicios de encaje, sea respecto de acciones, de estados de cosas o de sujetos. Si en el sistema normativo de referencia asumimos que el homicidio es una acción consistente en matar a otro de modo intencional o imprudente, calificaremos como homicidio la acción por la que A mató a B intencional o imprudentemente…</w:t>
      </w:r>
    </w:p>
    <w:p w14:paraId="6D962712" w14:textId="77777777" w:rsidR="00F91301" w:rsidRPr="009020DD" w:rsidRDefault="00F91301" w:rsidP="00F91301">
      <w:pPr>
        <w:pStyle w:val="Textonotapie"/>
        <w:jc w:val="both"/>
        <w:rPr>
          <w:lang w:val="es-ES"/>
        </w:rPr>
      </w:pPr>
      <w:r w:rsidRPr="009020DD">
        <w:rPr>
          <w:lang w:val="es-ES"/>
        </w:rPr>
        <w:t xml:space="preserve"> “En la teoría jurídica más tradicional, a esos que he llamado juicios de encaje se les llama subsunciones o juicios de subsunción. Subsunciones o juicios de encaje de ese tipo, positivos o negativos, los hacemos sin parar en todo el ámbito de lo normativo, no sólo en el del derecho” GARCÍA AMADO, Juan Antonio. “¿Qué es ponderar? Sobre implicaciones y riesgos de la ponderación” en Revista Iberoamericana de Argumentación, No. 13, 2016. Pp 1-19. </w:t>
      </w:r>
    </w:p>
  </w:footnote>
  <w:footnote w:id="2">
    <w:p w14:paraId="3465CB16" w14:textId="77777777" w:rsidR="00F91301" w:rsidRPr="007F43A5" w:rsidRDefault="00F91301" w:rsidP="00F91301">
      <w:pPr>
        <w:pStyle w:val="Textonotapie"/>
        <w:rPr>
          <w:color w:val="000000" w:themeColor="text1"/>
        </w:rPr>
      </w:pPr>
      <w:r>
        <w:rPr>
          <w:rStyle w:val="Refdenotaalpie"/>
        </w:rPr>
        <w:footnoteRef/>
      </w:r>
      <w:r>
        <w:t xml:space="preserve"> </w:t>
      </w:r>
      <w:r w:rsidRPr="007F43A5">
        <w:rPr>
          <w:bCs/>
          <w:color w:val="000000" w:themeColor="text1"/>
          <w:bdr w:val="none" w:sz="0" w:space="0" w:color="auto" w:frame="1"/>
          <w:shd w:val="clear" w:color="auto" w:fill="FFFFFF"/>
        </w:rPr>
        <w:t>OVALLE FAVELA, José,</w:t>
      </w:r>
      <w:r w:rsidRPr="007F43A5">
        <w:rPr>
          <w:rStyle w:val="apple-converted-space"/>
          <w:bCs/>
          <w:color w:val="000000" w:themeColor="text1"/>
          <w:bdr w:val="none" w:sz="0" w:space="0" w:color="auto" w:frame="1"/>
          <w:shd w:val="clear" w:color="auto" w:fill="FFFFFF"/>
        </w:rPr>
        <w:t xml:space="preserve"> “</w:t>
      </w:r>
      <w:r w:rsidRPr="007F43A5">
        <w:rPr>
          <w:bCs/>
          <w:i/>
          <w:iCs/>
          <w:color w:val="000000" w:themeColor="text1"/>
          <w:bdr w:val="none" w:sz="0" w:space="0" w:color="auto" w:frame="1"/>
          <w:shd w:val="clear" w:color="auto" w:fill="FFFFFF"/>
        </w:rPr>
        <w:t>Garantías constitucionales del proceso”</w:t>
      </w:r>
      <w:r w:rsidRPr="007F43A5">
        <w:rPr>
          <w:bCs/>
          <w:color w:val="000000" w:themeColor="text1"/>
          <w:bdr w:val="none" w:sz="0" w:space="0" w:color="auto" w:frame="1"/>
          <w:shd w:val="clear" w:color="auto" w:fill="FFFFFF"/>
        </w:rPr>
        <w:t>, 2a. ed., México, Oxford University Press, 2002, 474 pp.</w:t>
      </w:r>
    </w:p>
  </w:footnote>
  <w:footnote w:id="3">
    <w:p w14:paraId="402CD40C" w14:textId="77777777" w:rsidR="00F91301" w:rsidRPr="0037004E" w:rsidRDefault="00F91301" w:rsidP="00F91301">
      <w:pPr>
        <w:pStyle w:val="Textonotapie"/>
        <w:jc w:val="both"/>
        <w:rPr>
          <w:lang w:val="es-ES"/>
        </w:rPr>
      </w:pPr>
      <w:r>
        <w:rPr>
          <w:rStyle w:val="Refdenotaalpie"/>
        </w:rPr>
        <w:footnoteRef/>
      </w:r>
      <w:r>
        <w:t xml:space="preserve"> </w:t>
      </w:r>
      <w:r w:rsidRPr="00C4034A">
        <w:rPr>
          <w:lang w:val="es-ES"/>
        </w:rPr>
        <w:t>Tribunales Colegiados de Circuito. Novena Época. Semanario Judicial de la Federación y su Gaceta. Tomo III, marzo de 1996. Pág. 769. Consultado en http://sjf.scjn.gob.mx/sjfsist/Documentos/Tesis/203/203143.pdf  el viernes 16 de junio de 2017.</w:t>
      </w:r>
    </w:p>
    <w:p w14:paraId="12CFAE06" w14:textId="77777777" w:rsidR="00F91301" w:rsidRDefault="00F91301" w:rsidP="00F91301">
      <w:pPr>
        <w:pStyle w:val="Textonotapie"/>
      </w:pPr>
    </w:p>
  </w:footnote>
  <w:footnote w:id="4">
    <w:p w14:paraId="4453D19B" w14:textId="77777777" w:rsidR="00F91301" w:rsidRDefault="00F91301" w:rsidP="00F91301">
      <w:pPr>
        <w:pStyle w:val="Textonotapie"/>
        <w:jc w:val="both"/>
      </w:pPr>
      <w:r>
        <w:rPr>
          <w:rStyle w:val="Refdenotaalpie"/>
        </w:rPr>
        <w:footnoteRef/>
      </w:r>
      <w:r>
        <w:t xml:space="preserve"> Artículo 3. Para los efectos de la presente Ley se entenderá por:</w:t>
      </w:r>
    </w:p>
    <w:p w14:paraId="5E9CEE57" w14:textId="77777777" w:rsidR="00F91301" w:rsidRDefault="00F91301" w:rsidP="00F91301">
      <w:pPr>
        <w:pStyle w:val="Textonotapie"/>
        <w:jc w:val="both"/>
      </w:pPr>
      <w:r>
        <w:t xml:space="preserve"> (…)</w:t>
      </w:r>
    </w:p>
    <w:p w14:paraId="457060F0" w14:textId="77777777" w:rsidR="00F91301" w:rsidRDefault="00F91301" w:rsidP="00F91301">
      <w:pPr>
        <w:pStyle w:val="Textonotapie"/>
        <w:jc w:val="both"/>
      </w:pPr>
      <w:r>
        <w:t>IX. Datos personales: La información concerniente a una persona, identificada o identificable según lo dispuesto por la Ley de Protección de Datos Personales del Estado de México;</w:t>
      </w:r>
    </w:p>
  </w:footnote>
  <w:footnote w:id="5">
    <w:p w14:paraId="0343AF28" w14:textId="77777777" w:rsidR="00F91301" w:rsidRDefault="00F91301" w:rsidP="00F91301">
      <w:pPr>
        <w:autoSpaceDE w:val="0"/>
        <w:autoSpaceDN w:val="0"/>
        <w:adjustRightInd w:val="0"/>
        <w:jc w:val="both"/>
        <w:rPr>
          <w:rFonts w:cs="Arial"/>
          <w:sz w:val="18"/>
          <w:szCs w:val="18"/>
        </w:rPr>
      </w:pPr>
      <w:r>
        <w:rPr>
          <w:rStyle w:val="Refdenotaalpie"/>
        </w:rPr>
        <w:footnoteRef/>
      </w:r>
      <w:r>
        <w:t xml:space="preserve"> </w:t>
      </w:r>
      <w:r>
        <w:rPr>
          <w:rFonts w:cs="Arial"/>
          <w:b/>
          <w:bCs/>
          <w:sz w:val="18"/>
          <w:szCs w:val="18"/>
        </w:rPr>
        <w:t xml:space="preserve">Artículo 122. </w:t>
      </w:r>
      <w:r>
        <w:rPr>
          <w:rFonts w:cs="Arial"/>
          <w:sz w:val="18"/>
          <w:szCs w:val="18"/>
        </w:rPr>
        <w:t>La clasificación es el proceso mediante el cual el sujeto obligado determina que la información en su poder actualiza alguno de los supuestos de reserva o confidencialidad, de conformidad con lo dispuesto en el presente título.</w:t>
      </w:r>
    </w:p>
    <w:p w14:paraId="56A34E72" w14:textId="77777777" w:rsidR="00F91301" w:rsidRDefault="00F91301" w:rsidP="00F91301">
      <w:pPr>
        <w:autoSpaceDE w:val="0"/>
        <w:autoSpaceDN w:val="0"/>
        <w:adjustRightInd w:val="0"/>
        <w:jc w:val="both"/>
        <w:rPr>
          <w:rFonts w:cs="Arial"/>
          <w:sz w:val="18"/>
          <w:szCs w:val="18"/>
        </w:rPr>
      </w:pPr>
      <w:r>
        <w:rPr>
          <w:rFonts w:cs="Arial"/>
          <w:sz w:val="18"/>
          <w:szCs w:val="18"/>
        </w:rPr>
        <w:t>Los supuestos de reserva o confidencialidad previstos en las leyes deberán ser acordes con las bases, principios y disposiciones establecidos en la Ley General y, en ningún caso, podrán contravenirla.</w:t>
      </w:r>
    </w:p>
    <w:p w14:paraId="52055F1B" w14:textId="77777777" w:rsidR="00F91301" w:rsidRDefault="00F91301" w:rsidP="00F91301">
      <w:pPr>
        <w:autoSpaceDE w:val="0"/>
        <w:autoSpaceDN w:val="0"/>
        <w:adjustRightInd w:val="0"/>
        <w:jc w:val="both"/>
        <w:rPr>
          <w:rFonts w:ascii="Arial" w:hAnsi="Arial" w:cs="Arial"/>
          <w:sz w:val="18"/>
          <w:szCs w:val="18"/>
        </w:rPr>
      </w:pPr>
      <w:r>
        <w:rPr>
          <w:rFonts w:cs="Arial"/>
          <w:sz w:val="18"/>
          <w:szCs w:val="18"/>
        </w:rPr>
        <w:t>Los titulares de las áreas de los sujetos obligados serán los responsables de clasificar la información, de conformidad con lo dispuesto en la presente Ley y demás disposiciones jurídicas aplicables</w:t>
      </w:r>
      <w:r>
        <w:rPr>
          <w:rFonts w:ascii="Arial" w:hAnsi="Arial" w:cs="Arial"/>
          <w:sz w:val="18"/>
          <w:szCs w:val="18"/>
        </w:rPr>
        <w:t>.</w:t>
      </w:r>
    </w:p>
    <w:p w14:paraId="331E6AAC" w14:textId="77777777" w:rsidR="00F91301" w:rsidRDefault="00F91301" w:rsidP="00F91301">
      <w:pPr>
        <w:autoSpaceDE w:val="0"/>
        <w:autoSpaceDN w:val="0"/>
        <w:adjustRightInd w:val="0"/>
        <w:jc w:val="both"/>
      </w:pPr>
    </w:p>
  </w:footnote>
  <w:footnote w:id="6">
    <w:p w14:paraId="30EF167C" w14:textId="77777777" w:rsidR="00F91301" w:rsidRDefault="00F91301" w:rsidP="00F91301">
      <w:pPr>
        <w:autoSpaceDE w:val="0"/>
        <w:autoSpaceDN w:val="0"/>
        <w:adjustRightInd w:val="0"/>
        <w:jc w:val="both"/>
        <w:rPr>
          <w:rFonts w:cs="Arial"/>
          <w:sz w:val="18"/>
          <w:szCs w:val="18"/>
        </w:rPr>
      </w:pPr>
      <w:r>
        <w:rPr>
          <w:rStyle w:val="Refdenotaalpie"/>
        </w:rPr>
        <w:footnoteRef/>
      </w:r>
      <w:r>
        <w:t xml:space="preserve"> </w:t>
      </w:r>
      <w:r>
        <w:rPr>
          <w:rFonts w:cs="Arial"/>
          <w:b/>
          <w:sz w:val="18"/>
          <w:szCs w:val="18"/>
        </w:rPr>
        <w:t>Artículo 135.</w:t>
      </w:r>
      <w:r>
        <w:rPr>
          <w:rFonts w:cs="Arial"/>
          <w:sz w:val="18"/>
          <w:szCs w:val="18"/>
        </w:rPr>
        <w:t xml:space="preserve"> Los lineamientos generales que se emitan al respecto en materia de clasificación de la información reservada y confidencial y, para la elaboración de versiones públicas, serán de observancia obligatoria para los sujetos obligados.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6B83F2" w14:textId="2133FB6E" w:rsidR="00AF7A87" w:rsidRDefault="00D64B3C">
    <w:pPr>
      <w:pStyle w:val="Encabezado"/>
    </w:pPr>
    <w:r>
      <w:rPr>
        <w:noProof/>
        <w:lang w:val="es-MX" w:eastAsia="es-MX"/>
      </w:rPr>
      <w:pict w14:anchorId="62417A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7092001" o:spid="_x0000_s2050" type="#_x0000_t75" style="position:absolute;margin-left:0;margin-top:0;width:609.4pt;height:793.75pt;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FE5A6E" w14:textId="05122F59" w:rsidR="004512AB" w:rsidRDefault="00D64B3C" w:rsidP="001C6012">
    <w:pPr>
      <w:pStyle w:val="Encabezado"/>
      <w:tabs>
        <w:tab w:val="clear" w:pos="4252"/>
        <w:tab w:val="clear" w:pos="8504"/>
        <w:tab w:val="left" w:pos="8460"/>
      </w:tabs>
    </w:pPr>
    <w:r>
      <w:rPr>
        <w:noProof/>
        <w:lang w:val="es-MX" w:eastAsia="es-MX"/>
      </w:rPr>
      <w:pict w14:anchorId="25AF2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7092002" o:spid="_x0000_s2051" type="#_x0000_t75" style="position:absolute;margin-left:0;margin-top:0;width:609.4pt;height:793.75pt;z-index:-251656192;mso-position-horizontal:center;mso-position-horizontal-relative:margin;mso-position-vertical:center;mso-position-vertical-relative:margin" o:allowincell="f">
          <v:imagedata r:id="rId1" o:title="resolución"/>
          <w10:wrap anchorx="margin" anchory="margin"/>
        </v:shape>
      </w:pict>
    </w:r>
    <w:r w:rsidR="004512AB">
      <w:tab/>
    </w:r>
  </w:p>
  <w:p w14:paraId="64F5F23E" w14:textId="390690E5" w:rsidR="004512AB" w:rsidRDefault="004512AB">
    <w:pPr>
      <w:pStyle w:val="Encabezado"/>
    </w:pPr>
  </w:p>
  <w:tbl>
    <w:tblPr>
      <w:tblStyle w:val="Tablaconcuadrcula"/>
      <w:tblW w:w="8505"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4252"/>
    </w:tblGrid>
    <w:tr w:rsidR="004512AB" w:rsidRPr="00674A46" w14:paraId="07F2896E" w14:textId="77777777" w:rsidTr="0081485A">
      <w:trPr>
        <w:trHeight w:val="138"/>
        <w:jc w:val="right"/>
      </w:trPr>
      <w:tc>
        <w:tcPr>
          <w:tcW w:w="4253" w:type="dxa"/>
          <w:vAlign w:val="center"/>
        </w:tcPr>
        <w:p w14:paraId="4A5B1974" w14:textId="3B2AB4E0" w:rsidR="004512AB" w:rsidRPr="00674A46" w:rsidRDefault="004512AB" w:rsidP="006E6B65">
          <w:pPr>
            <w:ind w:right="34"/>
            <w:jc w:val="right"/>
            <w:rPr>
              <w:rFonts w:ascii="Palatino Linotype" w:hAnsi="Palatino Linotype"/>
              <w:b/>
              <w:sz w:val="22"/>
              <w:szCs w:val="22"/>
            </w:rPr>
          </w:pPr>
          <w:r w:rsidRPr="00674A46">
            <w:rPr>
              <w:rFonts w:ascii="Palatino Linotype" w:hAnsi="Palatino Linotype"/>
              <w:b/>
              <w:sz w:val="22"/>
              <w:szCs w:val="22"/>
            </w:rPr>
            <w:t>RECURSO DE REVISIÓN:</w:t>
          </w:r>
        </w:p>
      </w:tc>
      <w:tc>
        <w:tcPr>
          <w:tcW w:w="4252" w:type="dxa"/>
          <w:vAlign w:val="center"/>
        </w:tcPr>
        <w:p w14:paraId="3A05B4B6" w14:textId="5084498A" w:rsidR="004512AB" w:rsidRPr="00674A46" w:rsidRDefault="004512AB" w:rsidP="0051659D">
          <w:pPr>
            <w:pStyle w:val="Encabezado"/>
            <w:rPr>
              <w:rFonts w:ascii="Palatino Linotype" w:hAnsi="Palatino Linotype"/>
              <w:b/>
              <w:sz w:val="22"/>
              <w:szCs w:val="22"/>
            </w:rPr>
          </w:pPr>
          <w:r>
            <w:rPr>
              <w:rFonts w:ascii="Palatino Linotype" w:hAnsi="Palatino Linotype" w:cs="Arial"/>
              <w:b/>
              <w:bCs/>
              <w:sz w:val="22"/>
              <w:szCs w:val="22"/>
              <w:lang w:eastAsia="es-MX"/>
            </w:rPr>
            <w:t>0</w:t>
          </w:r>
          <w:r w:rsidR="009710C1">
            <w:rPr>
              <w:rFonts w:ascii="Palatino Linotype" w:hAnsi="Palatino Linotype" w:cs="Arial"/>
              <w:b/>
              <w:bCs/>
              <w:sz w:val="22"/>
              <w:szCs w:val="22"/>
              <w:lang w:eastAsia="es-MX"/>
            </w:rPr>
            <w:t>6008</w:t>
          </w:r>
          <w:r>
            <w:rPr>
              <w:rFonts w:ascii="Palatino Linotype" w:hAnsi="Palatino Linotype" w:cs="Arial"/>
              <w:b/>
              <w:bCs/>
              <w:sz w:val="22"/>
              <w:szCs w:val="22"/>
              <w:lang w:eastAsia="es-MX"/>
            </w:rPr>
            <w:t>/INFOEM/IP/RR/2020</w:t>
          </w:r>
        </w:p>
      </w:tc>
    </w:tr>
    <w:tr w:rsidR="004512AB" w:rsidRPr="00674A46" w14:paraId="1B5D8690" w14:textId="77777777" w:rsidTr="0081485A">
      <w:trPr>
        <w:trHeight w:val="233"/>
        <w:jc w:val="right"/>
      </w:trPr>
      <w:tc>
        <w:tcPr>
          <w:tcW w:w="4253" w:type="dxa"/>
          <w:vAlign w:val="center"/>
        </w:tcPr>
        <w:p w14:paraId="3903F2C6" w14:textId="22D569F8" w:rsidR="004512AB" w:rsidRPr="00674A46" w:rsidRDefault="004512AB" w:rsidP="006E6B65">
          <w:pPr>
            <w:ind w:right="34"/>
            <w:jc w:val="right"/>
            <w:rPr>
              <w:rFonts w:ascii="Palatino Linotype" w:hAnsi="Palatino Linotype"/>
              <w:b/>
              <w:sz w:val="22"/>
              <w:szCs w:val="22"/>
            </w:rPr>
          </w:pPr>
          <w:r w:rsidRPr="00674A46">
            <w:rPr>
              <w:rFonts w:ascii="Palatino Linotype" w:hAnsi="Palatino Linotype"/>
              <w:b/>
              <w:sz w:val="22"/>
              <w:szCs w:val="22"/>
            </w:rPr>
            <w:t>SUJETO OBLIGADO:</w:t>
          </w:r>
        </w:p>
      </w:tc>
      <w:tc>
        <w:tcPr>
          <w:tcW w:w="4252" w:type="dxa"/>
          <w:vAlign w:val="center"/>
        </w:tcPr>
        <w:p w14:paraId="03C799A2" w14:textId="29D2BCF3" w:rsidR="004512AB" w:rsidRPr="00B75F20" w:rsidRDefault="009710C1" w:rsidP="00926F75">
          <w:pPr>
            <w:pStyle w:val="Encabezado"/>
            <w:jc w:val="both"/>
            <w:rPr>
              <w:rFonts w:ascii="Palatino Linotype" w:hAnsi="Palatino Linotype"/>
              <w:b/>
              <w:sz w:val="22"/>
              <w:szCs w:val="22"/>
            </w:rPr>
          </w:pPr>
          <w:r>
            <w:rPr>
              <w:rFonts w:ascii="Palatino Linotype" w:hAnsi="Palatino Linotype"/>
              <w:b/>
              <w:bCs/>
              <w:color w:val="000000"/>
              <w:sz w:val="22"/>
              <w:szCs w:val="22"/>
            </w:rPr>
            <w:t>Tribunal de Justicia Administrativa del Estado de México</w:t>
          </w:r>
        </w:p>
      </w:tc>
    </w:tr>
    <w:tr w:rsidR="004512AB" w:rsidRPr="00674A46" w14:paraId="095EB01B" w14:textId="77777777" w:rsidTr="0081485A">
      <w:trPr>
        <w:trHeight w:val="321"/>
        <w:jc w:val="right"/>
      </w:trPr>
      <w:tc>
        <w:tcPr>
          <w:tcW w:w="4253" w:type="dxa"/>
          <w:vAlign w:val="center"/>
        </w:tcPr>
        <w:p w14:paraId="6E000A51" w14:textId="25DCC1C7" w:rsidR="004512AB" w:rsidRPr="00674A46" w:rsidRDefault="004512AB" w:rsidP="006E6B65">
          <w:pPr>
            <w:ind w:right="34"/>
            <w:jc w:val="right"/>
            <w:rPr>
              <w:rFonts w:ascii="Palatino Linotype" w:hAnsi="Palatino Linotype"/>
              <w:b/>
              <w:sz w:val="22"/>
              <w:szCs w:val="22"/>
            </w:rPr>
          </w:pPr>
          <w:r w:rsidRPr="00674A46">
            <w:rPr>
              <w:rFonts w:ascii="Palatino Linotype" w:hAnsi="Palatino Linotype"/>
              <w:b/>
              <w:sz w:val="22"/>
              <w:szCs w:val="22"/>
            </w:rPr>
            <w:t>COMISIONADO PONENTE:</w:t>
          </w:r>
        </w:p>
      </w:tc>
      <w:tc>
        <w:tcPr>
          <w:tcW w:w="4252" w:type="dxa"/>
          <w:vAlign w:val="center"/>
        </w:tcPr>
        <w:p w14:paraId="07560085" w14:textId="05E7D8A2" w:rsidR="004512AB" w:rsidRPr="00674A46" w:rsidRDefault="004512AB" w:rsidP="00472C41">
          <w:pPr>
            <w:pStyle w:val="Encabezado"/>
            <w:rPr>
              <w:rFonts w:ascii="Palatino Linotype" w:hAnsi="Palatino Linotype"/>
              <w:b/>
              <w:sz w:val="22"/>
              <w:szCs w:val="22"/>
            </w:rPr>
          </w:pPr>
          <w:r w:rsidRPr="00674A46">
            <w:rPr>
              <w:rFonts w:ascii="Palatino Linotype" w:hAnsi="Palatino Linotype"/>
              <w:b/>
              <w:sz w:val="22"/>
              <w:szCs w:val="22"/>
            </w:rPr>
            <w:t>José Guadalupe Luna Hernández</w:t>
          </w:r>
        </w:p>
      </w:tc>
    </w:tr>
  </w:tbl>
  <w:p w14:paraId="1096C1B8" w14:textId="77777777" w:rsidR="004512AB" w:rsidRDefault="004512AB" w:rsidP="00472C41">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CD4FEF" w14:textId="4F005147" w:rsidR="004512AB" w:rsidRDefault="00D64B3C" w:rsidP="00472C41">
    <w:pPr>
      <w:pStyle w:val="Encabezado"/>
      <w:tabs>
        <w:tab w:val="clear" w:pos="4252"/>
        <w:tab w:val="clear" w:pos="8504"/>
        <w:tab w:val="left" w:pos="3103"/>
      </w:tabs>
    </w:pPr>
    <w:r>
      <w:rPr>
        <w:noProof/>
        <w:lang w:val="es-MX" w:eastAsia="es-MX"/>
      </w:rPr>
      <w:pict w14:anchorId="5A3AEA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7092000" o:spid="_x0000_s2049" type="#_x0000_t75" style="position:absolute;margin-left:0;margin-top:0;width:609.4pt;height:793.75pt;z-index:-251658240;mso-position-horizontal:center;mso-position-horizontal-relative:margin;mso-position-vertical:center;mso-position-vertical-relative:margin" o:allowincell="f">
          <v:imagedata r:id="rId1" o:title="resolución"/>
          <w10:wrap anchorx="margin" anchory="margin"/>
        </v:shape>
      </w:pict>
    </w:r>
    <w:r w:rsidR="004512AB">
      <w:tab/>
    </w:r>
  </w:p>
  <w:tbl>
    <w:tblPr>
      <w:tblStyle w:val="Tablaconcuadrcula"/>
      <w:tblW w:w="7372"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4111"/>
    </w:tblGrid>
    <w:tr w:rsidR="004512AB" w:rsidRPr="00674A46" w14:paraId="0A3256F2" w14:textId="77777777" w:rsidTr="006E6B65">
      <w:trPr>
        <w:trHeight w:val="138"/>
        <w:jc w:val="right"/>
      </w:trPr>
      <w:tc>
        <w:tcPr>
          <w:tcW w:w="3261" w:type="dxa"/>
          <w:vAlign w:val="center"/>
        </w:tcPr>
        <w:p w14:paraId="3D80769D" w14:textId="316F11F8" w:rsidR="004512AB" w:rsidRPr="00674A46" w:rsidRDefault="004512AB" w:rsidP="00472C41">
          <w:pPr>
            <w:jc w:val="right"/>
            <w:rPr>
              <w:rFonts w:ascii="Palatino Linotype" w:hAnsi="Palatino Linotype"/>
              <w:b/>
              <w:sz w:val="22"/>
              <w:szCs w:val="22"/>
            </w:rPr>
          </w:pPr>
          <w:r w:rsidRPr="00674A46">
            <w:rPr>
              <w:rFonts w:ascii="Palatino Linotype" w:hAnsi="Palatino Linotype"/>
              <w:b/>
              <w:sz w:val="22"/>
              <w:szCs w:val="22"/>
            </w:rPr>
            <w:t>RECURSO DE REVISIÓN:</w:t>
          </w:r>
        </w:p>
      </w:tc>
      <w:tc>
        <w:tcPr>
          <w:tcW w:w="4111" w:type="dxa"/>
          <w:vAlign w:val="center"/>
        </w:tcPr>
        <w:p w14:paraId="0453495E" w14:textId="36C276B5" w:rsidR="004512AB" w:rsidRPr="00674A46" w:rsidRDefault="009710C1" w:rsidP="006D7F3D">
          <w:pPr>
            <w:pStyle w:val="Encabezado"/>
            <w:rPr>
              <w:rFonts w:ascii="Palatino Linotype" w:hAnsi="Palatino Linotype"/>
              <w:b/>
              <w:sz w:val="22"/>
              <w:szCs w:val="22"/>
            </w:rPr>
          </w:pPr>
          <w:r>
            <w:rPr>
              <w:rFonts w:ascii="Palatino Linotype" w:hAnsi="Palatino Linotype" w:cs="Arial"/>
              <w:b/>
              <w:bCs/>
              <w:sz w:val="22"/>
              <w:szCs w:val="22"/>
              <w:lang w:eastAsia="es-MX"/>
            </w:rPr>
            <w:t>06008</w:t>
          </w:r>
          <w:r w:rsidR="004512AB">
            <w:rPr>
              <w:rFonts w:ascii="Palatino Linotype" w:hAnsi="Palatino Linotype" w:cs="Arial"/>
              <w:b/>
              <w:bCs/>
              <w:sz w:val="22"/>
              <w:szCs w:val="22"/>
              <w:lang w:eastAsia="es-MX"/>
            </w:rPr>
            <w:t>/INFOEM/IP/RR/2020</w:t>
          </w:r>
        </w:p>
      </w:tc>
    </w:tr>
    <w:tr w:rsidR="004512AB" w:rsidRPr="00B75F20" w14:paraId="128C8B3C" w14:textId="77777777" w:rsidTr="006E6B65">
      <w:trPr>
        <w:trHeight w:val="233"/>
        <w:jc w:val="right"/>
      </w:trPr>
      <w:tc>
        <w:tcPr>
          <w:tcW w:w="3261" w:type="dxa"/>
          <w:vAlign w:val="center"/>
        </w:tcPr>
        <w:p w14:paraId="483E3371" w14:textId="66B1BC74" w:rsidR="004512AB" w:rsidRPr="00674A46" w:rsidRDefault="004512AB" w:rsidP="00472C41">
          <w:pPr>
            <w:jc w:val="right"/>
            <w:rPr>
              <w:rFonts w:ascii="Palatino Linotype" w:hAnsi="Palatino Linotype"/>
              <w:b/>
              <w:sz w:val="22"/>
              <w:szCs w:val="22"/>
            </w:rPr>
          </w:pPr>
          <w:r w:rsidRPr="00674A46">
            <w:rPr>
              <w:rFonts w:ascii="Palatino Linotype" w:hAnsi="Palatino Linotype"/>
              <w:b/>
              <w:sz w:val="22"/>
              <w:szCs w:val="22"/>
            </w:rPr>
            <w:t>RECURRENTE:</w:t>
          </w:r>
        </w:p>
      </w:tc>
      <w:tc>
        <w:tcPr>
          <w:tcW w:w="4111" w:type="dxa"/>
        </w:tcPr>
        <w:p w14:paraId="1548525E" w14:textId="28FC8E80" w:rsidR="004512AB" w:rsidRPr="00D64B3C" w:rsidRDefault="00D64B3C" w:rsidP="009B42A1">
          <w:pPr>
            <w:pStyle w:val="Encabezado"/>
            <w:tabs>
              <w:tab w:val="clear" w:pos="4252"/>
              <w:tab w:val="clear" w:pos="8504"/>
              <w:tab w:val="left" w:pos="521"/>
            </w:tabs>
            <w:rPr>
              <w:rFonts w:ascii="Palatino Linotype" w:hAnsi="Palatino Linotype"/>
              <w:b/>
              <w:sz w:val="22"/>
              <w:szCs w:val="22"/>
              <w:highlight w:val="black"/>
            </w:rPr>
          </w:pPr>
          <w:r w:rsidRPr="00D64B3C">
            <w:rPr>
              <w:rFonts w:ascii="Palatino Linotype" w:hAnsi="Palatino Linotype"/>
              <w:b/>
              <w:sz w:val="22"/>
              <w:szCs w:val="22"/>
              <w:highlight w:val="black"/>
            </w:rPr>
            <w:t>-----------------------------</w:t>
          </w:r>
          <w:r w:rsidR="009710C1" w:rsidRPr="00D64B3C">
            <w:rPr>
              <w:rFonts w:ascii="Palatino Linotype" w:hAnsi="Palatino Linotype"/>
              <w:b/>
              <w:sz w:val="22"/>
              <w:szCs w:val="22"/>
              <w:highlight w:val="black"/>
            </w:rPr>
            <w:t xml:space="preserve"> </w:t>
          </w:r>
        </w:p>
      </w:tc>
    </w:tr>
    <w:tr w:rsidR="004512AB" w:rsidRPr="00674A46" w14:paraId="41BE0704" w14:textId="77777777" w:rsidTr="006E6B65">
      <w:trPr>
        <w:trHeight w:val="321"/>
        <w:jc w:val="right"/>
      </w:trPr>
      <w:tc>
        <w:tcPr>
          <w:tcW w:w="3261" w:type="dxa"/>
          <w:vAlign w:val="center"/>
        </w:tcPr>
        <w:p w14:paraId="34C64148" w14:textId="10C6C8A9" w:rsidR="004512AB" w:rsidRPr="00674A46" w:rsidRDefault="004512AB" w:rsidP="00472C41">
          <w:pPr>
            <w:jc w:val="right"/>
            <w:rPr>
              <w:rFonts w:ascii="Palatino Linotype" w:hAnsi="Palatino Linotype"/>
              <w:b/>
              <w:sz w:val="22"/>
              <w:szCs w:val="22"/>
            </w:rPr>
          </w:pPr>
          <w:r w:rsidRPr="00674A46">
            <w:rPr>
              <w:rFonts w:ascii="Palatino Linotype" w:hAnsi="Palatino Linotype"/>
              <w:b/>
              <w:sz w:val="22"/>
              <w:szCs w:val="22"/>
            </w:rPr>
            <w:t>SUJETO OBLIGADO:</w:t>
          </w:r>
        </w:p>
      </w:tc>
      <w:tc>
        <w:tcPr>
          <w:tcW w:w="4111" w:type="dxa"/>
          <w:vAlign w:val="center"/>
        </w:tcPr>
        <w:p w14:paraId="34C341BF" w14:textId="5D50CE9A" w:rsidR="004512AB" w:rsidRPr="00674A46" w:rsidRDefault="009710C1" w:rsidP="005C3414">
          <w:pPr>
            <w:pStyle w:val="Encabezado"/>
            <w:jc w:val="both"/>
            <w:rPr>
              <w:rFonts w:ascii="Palatino Linotype" w:hAnsi="Palatino Linotype"/>
              <w:b/>
              <w:sz w:val="22"/>
              <w:szCs w:val="22"/>
            </w:rPr>
          </w:pPr>
          <w:r>
            <w:rPr>
              <w:rFonts w:ascii="Palatino Linotype" w:hAnsi="Palatino Linotype"/>
              <w:b/>
              <w:bCs/>
              <w:color w:val="000000"/>
              <w:sz w:val="22"/>
              <w:szCs w:val="22"/>
            </w:rPr>
            <w:t xml:space="preserve">Tribunal de Justicia Administrativa del Estado de México </w:t>
          </w:r>
        </w:p>
      </w:tc>
    </w:tr>
    <w:tr w:rsidR="004512AB" w:rsidRPr="00674A46" w14:paraId="0C8B6193" w14:textId="77777777" w:rsidTr="006E6B65">
      <w:trPr>
        <w:trHeight w:val="321"/>
        <w:jc w:val="right"/>
      </w:trPr>
      <w:tc>
        <w:tcPr>
          <w:tcW w:w="3261" w:type="dxa"/>
          <w:vAlign w:val="center"/>
        </w:tcPr>
        <w:p w14:paraId="321FFAFF" w14:textId="40E5A678" w:rsidR="004512AB" w:rsidRPr="00674A46" w:rsidRDefault="004512AB" w:rsidP="00472C41">
          <w:pPr>
            <w:jc w:val="right"/>
            <w:rPr>
              <w:rFonts w:ascii="Palatino Linotype" w:hAnsi="Palatino Linotype"/>
              <w:b/>
              <w:sz w:val="22"/>
              <w:szCs w:val="22"/>
            </w:rPr>
          </w:pPr>
          <w:r w:rsidRPr="00674A46">
            <w:rPr>
              <w:rFonts w:ascii="Palatino Linotype" w:hAnsi="Palatino Linotype"/>
              <w:b/>
              <w:sz w:val="22"/>
              <w:szCs w:val="22"/>
            </w:rPr>
            <w:t>COMISIONADO PONENTE:</w:t>
          </w:r>
        </w:p>
      </w:tc>
      <w:tc>
        <w:tcPr>
          <w:tcW w:w="4111" w:type="dxa"/>
          <w:vAlign w:val="center"/>
        </w:tcPr>
        <w:p w14:paraId="0FECDA9D" w14:textId="77777777" w:rsidR="004512AB" w:rsidRPr="00674A46" w:rsidRDefault="004512AB" w:rsidP="00472C41">
          <w:pPr>
            <w:pStyle w:val="Encabezado"/>
            <w:rPr>
              <w:rFonts w:ascii="Palatino Linotype" w:hAnsi="Palatino Linotype"/>
              <w:b/>
              <w:sz w:val="22"/>
              <w:szCs w:val="22"/>
            </w:rPr>
          </w:pPr>
          <w:r w:rsidRPr="00674A46">
            <w:rPr>
              <w:rFonts w:ascii="Palatino Linotype" w:hAnsi="Palatino Linotype"/>
              <w:b/>
              <w:sz w:val="22"/>
              <w:szCs w:val="22"/>
            </w:rPr>
            <w:t>José Guadalupe Luna Hernández</w:t>
          </w:r>
        </w:p>
      </w:tc>
    </w:tr>
  </w:tbl>
  <w:p w14:paraId="156B5574" w14:textId="3EA5B995" w:rsidR="004512AB" w:rsidRDefault="004512AB" w:rsidP="00472C41">
    <w:pPr>
      <w:pStyle w:val="Encabezado"/>
      <w:tabs>
        <w:tab w:val="clear" w:pos="4252"/>
        <w:tab w:val="clear" w:pos="8504"/>
        <w:tab w:val="left" w:pos="3103"/>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E58419E">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FC8539E">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C74AAF4">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C7C3BF0">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A44872C">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73C5808">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816EAB0">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4F412EE">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34317490"/>
    <w:multiLevelType w:val="hybridMultilevel"/>
    <w:tmpl w:val="828254CC"/>
    <w:lvl w:ilvl="0" w:tplc="1C8A5F06">
      <w:start w:val="1"/>
      <w:numFmt w:val="decimal"/>
      <w:lvlText w:val="%1."/>
      <w:lvlJc w:val="left"/>
      <w:pPr>
        <w:ind w:left="6570" w:hanging="360"/>
      </w:pPr>
      <w:rPr>
        <w:rFonts w:ascii="Palatino Linotype" w:hAnsi="Palatino Linotype" w:hint="default"/>
        <w:b/>
        <w:i w:val="0"/>
        <w:color w:val="000000" w:themeColor="text1"/>
        <w:sz w:val="24"/>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690826BC"/>
    <w:multiLevelType w:val="hybridMultilevel"/>
    <w:tmpl w:val="3F76FD2E"/>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770136A0"/>
    <w:multiLevelType w:val="hybridMultilevel"/>
    <w:tmpl w:val="577CAA94"/>
    <w:lvl w:ilvl="0" w:tplc="080A000F">
      <w:start w:val="1"/>
      <w:numFmt w:val="decimal"/>
      <w:lvlText w:val="%1."/>
      <w:lvlJc w:val="left"/>
      <w:pPr>
        <w:ind w:left="2912" w:hanging="360"/>
      </w:pPr>
      <w:rPr>
        <w:rFonts w:hint="default"/>
        <w:i w:val="0"/>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7BAF3DB4"/>
    <w:multiLevelType w:val="hybridMultilevel"/>
    <w:tmpl w:val="911C54D0"/>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5" w15:restartNumberingAfterBreak="0">
    <w:nsid w:val="7C994697"/>
    <w:multiLevelType w:val="hybridMultilevel"/>
    <w:tmpl w:val="07EC54D8"/>
    <w:lvl w:ilvl="0" w:tplc="A7502EA0">
      <w:start w:val="1"/>
      <w:numFmt w:val="lowerLetter"/>
      <w:lvlText w:val="%1)"/>
      <w:lvlJc w:val="left"/>
      <w:pPr>
        <w:ind w:left="1060" w:hanging="360"/>
      </w:pPr>
      <w:rPr>
        <w:rFonts w:eastAsiaTheme="majorEastAsia" w:cstheme="majorBidi" w:hint="default"/>
        <w:b/>
        <w:i w:val="0"/>
        <w:color w:val="auto"/>
      </w:rPr>
    </w:lvl>
    <w:lvl w:ilvl="1" w:tplc="040A0019" w:tentative="1">
      <w:start w:val="1"/>
      <w:numFmt w:val="lowerLetter"/>
      <w:lvlText w:val="%2."/>
      <w:lvlJc w:val="left"/>
      <w:pPr>
        <w:ind w:left="1780" w:hanging="360"/>
      </w:pPr>
    </w:lvl>
    <w:lvl w:ilvl="2" w:tplc="040A001B" w:tentative="1">
      <w:start w:val="1"/>
      <w:numFmt w:val="lowerRoman"/>
      <w:lvlText w:val="%3."/>
      <w:lvlJc w:val="right"/>
      <w:pPr>
        <w:ind w:left="2500" w:hanging="180"/>
      </w:pPr>
    </w:lvl>
    <w:lvl w:ilvl="3" w:tplc="040A000F" w:tentative="1">
      <w:start w:val="1"/>
      <w:numFmt w:val="decimal"/>
      <w:lvlText w:val="%4."/>
      <w:lvlJc w:val="left"/>
      <w:pPr>
        <w:ind w:left="3220" w:hanging="360"/>
      </w:pPr>
    </w:lvl>
    <w:lvl w:ilvl="4" w:tplc="040A0019" w:tentative="1">
      <w:start w:val="1"/>
      <w:numFmt w:val="lowerLetter"/>
      <w:lvlText w:val="%5."/>
      <w:lvlJc w:val="left"/>
      <w:pPr>
        <w:ind w:left="3940" w:hanging="360"/>
      </w:pPr>
    </w:lvl>
    <w:lvl w:ilvl="5" w:tplc="040A001B" w:tentative="1">
      <w:start w:val="1"/>
      <w:numFmt w:val="lowerRoman"/>
      <w:lvlText w:val="%6."/>
      <w:lvlJc w:val="right"/>
      <w:pPr>
        <w:ind w:left="4660" w:hanging="180"/>
      </w:pPr>
    </w:lvl>
    <w:lvl w:ilvl="6" w:tplc="040A000F" w:tentative="1">
      <w:start w:val="1"/>
      <w:numFmt w:val="decimal"/>
      <w:lvlText w:val="%7."/>
      <w:lvlJc w:val="left"/>
      <w:pPr>
        <w:ind w:left="5380" w:hanging="360"/>
      </w:pPr>
    </w:lvl>
    <w:lvl w:ilvl="7" w:tplc="040A0019" w:tentative="1">
      <w:start w:val="1"/>
      <w:numFmt w:val="lowerLetter"/>
      <w:lvlText w:val="%8."/>
      <w:lvlJc w:val="left"/>
      <w:pPr>
        <w:ind w:left="6100" w:hanging="360"/>
      </w:pPr>
    </w:lvl>
    <w:lvl w:ilvl="8" w:tplc="040A001B" w:tentative="1">
      <w:start w:val="1"/>
      <w:numFmt w:val="lowerRoman"/>
      <w:lvlText w:val="%9."/>
      <w:lvlJc w:val="right"/>
      <w:pPr>
        <w:ind w:left="6820" w:hanging="180"/>
      </w:pPr>
    </w:lvl>
  </w:abstractNum>
  <w:num w:numId="1">
    <w:abstractNumId w:val="1"/>
  </w:num>
  <w:num w:numId="2">
    <w:abstractNumId w:val="4"/>
  </w:num>
  <w:num w:numId="3">
    <w:abstractNumId w:val="0"/>
  </w:num>
  <w:num w:numId="4">
    <w:abstractNumId w:val="3"/>
  </w:num>
  <w:num w:numId="5">
    <w:abstractNumId w:val="5"/>
  </w:num>
  <w:num w:numId="6">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2"/>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7366"/>
    <w:rsid w:val="000001DB"/>
    <w:rsid w:val="000024F2"/>
    <w:rsid w:val="0000310F"/>
    <w:rsid w:val="00003A05"/>
    <w:rsid w:val="0000407F"/>
    <w:rsid w:val="00004906"/>
    <w:rsid w:val="000058E3"/>
    <w:rsid w:val="000065FD"/>
    <w:rsid w:val="00007E8A"/>
    <w:rsid w:val="0001106B"/>
    <w:rsid w:val="00011166"/>
    <w:rsid w:val="00011199"/>
    <w:rsid w:val="000120C5"/>
    <w:rsid w:val="00012472"/>
    <w:rsid w:val="0001398B"/>
    <w:rsid w:val="00016C7F"/>
    <w:rsid w:val="000203D3"/>
    <w:rsid w:val="000211F8"/>
    <w:rsid w:val="00023B29"/>
    <w:rsid w:val="0002415E"/>
    <w:rsid w:val="000246C2"/>
    <w:rsid w:val="00024F35"/>
    <w:rsid w:val="00025B10"/>
    <w:rsid w:val="000303BB"/>
    <w:rsid w:val="0003063D"/>
    <w:rsid w:val="00030F2B"/>
    <w:rsid w:val="000319FD"/>
    <w:rsid w:val="00031F10"/>
    <w:rsid w:val="00032493"/>
    <w:rsid w:val="0003432C"/>
    <w:rsid w:val="00034A1F"/>
    <w:rsid w:val="00034B29"/>
    <w:rsid w:val="0004072A"/>
    <w:rsid w:val="0004193F"/>
    <w:rsid w:val="00041C24"/>
    <w:rsid w:val="00042380"/>
    <w:rsid w:val="000431F7"/>
    <w:rsid w:val="000439C9"/>
    <w:rsid w:val="000440C5"/>
    <w:rsid w:val="0004427A"/>
    <w:rsid w:val="000444FF"/>
    <w:rsid w:val="00045C97"/>
    <w:rsid w:val="00046557"/>
    <w:rsid w:val="0004686A"/>
    <w:rsid w:val="000468E2"/>
    <w:rsid w:val="0004743E"/>
    <w:rsid w:val="00047AE0"/>
    <w:rsid w:val="0005237C"/>
    <w:rsid w:val="00052A3C"/>
    <w:rsid w:val="00053927"/>
    <w:rsid w:val="00053ABC"/>
    <w:rsid w:val="0005437C"/>
    <w:rsid w:val="00054A03"/>
    <w:rsid w:val="00056A79"/>
    <w:rsid w:val="0006006D"/>
    <w:rsid w:val="00061344"/>
    <w:rsid w:val="00061742"/>
    <w:rsid w:val="00062229"/>
    <w:rsid w:val="00062648"/>
    <w:rsid w:val="000631D9"/>
    <w:rsid w:val="0006407E"/>
    <w:rsid w:val="00064A37"/>
    <w:rsid w:val="00064B95"/>
    <w:rsid w:val="00065318"/>
    <w:rsid w:val="0006594F"/>
    <w:rsid w:val="00066013"/>
    <w:rsid w:val="0007192E"/>
    <w:rsid w:val="00072930"/>
    <w:rsid w:val="000732C3"/>
    <w:rsid w:val="00073CA2"/>
    <w:rsid w:val="000757F4"/>
    <w:rsid w:val="000800AC"/>
    <w:rsid w:val="00080F9E"/>
    <w:rsid w:val="0008230A"/>
    <w:rsid w:val="00082D11"/>
    <w:rsid w:val="00082F81"/>
    <w:rsid w:val="0008542A"/>
    <w:rsid w:val="00086D80"/>
    <w:rsid w:val="000878AA"/>
    <w:rsid w:val="00090D6F"/>
    <w:rsid w:val="0009266D"/>
    <w:rsid w:val="00093A9A"/>
    <w:rsid w:val="00093E38"/>
    <w:rsid w:val="000950AA"/>
    <w:rsid w:val="00095114"/>
    <w:rsid w:val="000A1BDD"/>
    <w:rsid w:val="000A24C0"/>
    <w:rsid w:val="000A3216"/>
    <w:rsid w:val="000A3F90"/>
    <w:rsid w:val="000A4E44"/>
    <w:rsid w:val="000A65A0"/>
    <w:rsid w:val="000A77ED"/>
    <w:rsid w:val="000B01B9"/>
    <w:rsid w:val="000B0370"/>
    <w:rsid w:val="000B0A5E"/>
    <w:rsid w:val="000B296D"/>
    <w:rsid w:val="000B4850"/>
    <w:rsid w:val="000B5057"/>
    <w:rsid w:val="000B5A12"/>
    <w:rsid w:val="000B5AB1"/>
    <w:rsid w:val="000B5D79"/>
    <w:rsid w:val="000B6D31"/>
    <w:rsid w:val="000C0061"/>
    <w:rsid w:val="000C0663"/>
    <w:rsid w:val="000C10B9"/>
    <w:rsid w:val="000C1509"/>
    <w:rsid w:val="000C1D19"/>
    <w:rsid w:val="000C2DF8"/>
    <w:rsid w:val="000C2DFA"/>
    <w:rsid w:val="000C2E5F"/>
    <w:rsid w:val="000C3423"/>
    <w:rsid w:val="000C3861"/>
    <w:rsid w:val="000C4A8E"/>
    <w:rsid w:val="000C5A04"/>
    <w:rsid w:val="000C5AF7"/>
    <w:rsid w:val="000C5DE6"/>
    <w:rsid w:val="000C637F"/>
    <w:rsid w:val="000D009C"/>
    <w:rsid w:val="000D0855"/>
    <w:rsid w:val="000D1AD8"/>
    <w:rsid w:val="000D1E0F"/>
    <w:rsid w:val="000D2FD3"/>
    <w:rsid w:val="000D3275"/>
    <w:rsid w:val="000D3339"/>
    <w:rsid w:val="000D5A1D"/>
    <w:rsid w:val="000D7369"/>
    <w:rsid w:val="000E07DC"/>
    <w:rsid w:val="000E2665"/>
    <w:rsid w:val="000E35BE"/>
    <w:rsid w:val="000E46E5"/>
    <w:rsid w:val="000E5326"/>
    <w:rsid w:val="000E62A0"/>
    <w:rsid w:val="000E6436"/>
    <w:rsid w:val="000E77B8"/>
    <w:rsid w:val="000F01E4"/>
    <w:rsid w:val="000F17AC"/>
    <w:rsid w:val="000F191E"/>
    <w:rsid w:val="000F2EDD"/>
    <w:rsid w:val="000F2F58"/>
    <w:rsid w:val="000F34CB"/>
    <w:rsid w:val="000F36DB"/>
    <w:rsid w:val="000F37A8"/>
    <w:rsid w:val="000F3B67"/>
    <w:rsid w:val="000F523F"/>
    <w:rsid w:val="000F5D21"/>
    <w:rsid w:val="000F6D7E"/>
    <w:rsid w:val="000F76AD"/>
    <w:rsid w:val="000F7786"/>
    <w:rsid w:val="00100187"/>
    <w:rsid w:val="00100B8B"/>
    <w:rsid w:val="00100DDD"/>
    <w:rsid w:val="00101FA5"/>
    <w:rsid w:val="0010268C"/>
    <w:rsid w:val="00102A39"/>
    <w:rsid w:val="00102D65"/>
    <w:rsid w:val="00103888"/>
    <w:rsid w:val="00104C12"/>
    <w:rsid w:val="00105B1D"/>
    <w:rsid w:val="00107499"/>
    <w:rsid w:val="00107557"/>
    <w:rsid w:val="0011001E"/>
    <w:rsid w:val="0011167C"/>
    <w:rsid w:val="00112B02"/>
    <w:rsid w:val="001133C1"/>
    <w:rsid w:val="001139A2"/>
    <w:rsid w:val="00113B08"/>
    <w:rsid w:val="00113BD3"/>
    <w:rsid w:val="001140A4"/>
    <w:rsid w:val="00114A21"/>
    <w:rsid w:val="00115071"/>
    <w:rsid w:val="0012006D"/>
    <w:rsid w:val="00120243"/>
    <w:rsid w:val="00123F05"/>
    <w:rsid w:val="00124A13"/>
    <w:rsid w:val="001250B4"/>
    <w:rsid w:val="001253D1"/>
    <w:rsid w:val="001253FB"/>
    <w:rsid w:val="00130E92"/>
    <w:rsid w:val="001318D2"/>
    <w:rsid w:val="00132C06"/>
    <w:rsid w:val="00133B79"/>
    <w:rsid w:val="00133CE5"/>
    <w:rsid w:val="0013431F"/>
    <w:rsid w:val="001352E5"/>
    <w:rsid w:val="00136668"/>
    <w:rsid w:val="0013673A"/>
    <w:rsid w:val="00137846"/>
    <w:rsid w:val="00140D44"/>
    <w:rsid w:val="00141114"/>
    <w:rsid w:val="00141BF0"/>
    <w:rsid w:val="001436BB"/>
    <w:rsid w:val="00143BF3"/>
    <w:rsid w:val="0014481A"/>
    <w:rsid w:val="001459C8"/>
    <w:rsid w:val="001468A5"/>
    <w:rsid w:val="001475E7"/>
    <w:rsid w:val="00147864"/>
    <w:rsid w:val="00150BDE"/>
    <w:rsid w:val="00152ADF"/>
    <w:rsid w:val="00153833"/>
    <w:rsid w:val="00154304"/>
    <w:rsid w:val="0015466E"/>
    <w:rsid w:val="00154765"/>
    <w:rsid w:val="00154EF0"/>
    <w:rsid w:val="00155E0F"/>
    <w:rsid w:val="00156A23"/>
    <w:rsid w:val="00156CC6"/>
    <w:rsid w:val="00163780"/>
    <w:rsid w:val="00163B1F"/>
    <w:rsid w:val="001648EE"/>
    <w:rsid w:val="00164B65"/>
    <w:rsid w:val="00166794"/>
    <w:rsid w:val="00166BFB"/>
    <w:rsid w:val="00166FDA"/>
    <w:rsid w:val="00167D10"/>
    <w:rsid w:val="00170D28"/>
    <w:rsid w:val="0017107B"/>
    <w:rsid w:val="00171E0A"/>
    <w:rsid w:val="001729DF"/>
    <w:rsid w:val="00173DDB"/>
    <w:rsid w:val="00173F22"/>
    <w:rsid w:val="00175DB6"/>
    <w:rsid w:val="0017653A"/>
    <w:rsid w:val="001770B7"/>
    <w:rsid w:val="001775DF"/>
    <w:rsid w:val="0018435D"/>
    <w:rsid w:val="001854E7"/>
    <w:rsid w:val="001863AF"/>
    <w:rsid w:val="001901A1"/>
    <w:rsid w:val="00190999"/>
    <w:rsid w:val="0019160F"/>
    <w:rsid w:val="00192B71"/>
    <w:rsid w:val="00192D8E"/>
    <w:rsid w:val="00192E4B"/>
    <w:rsid w:val="00193EC9"/>
    <w:rsid w:val="00195C4D"/>
    <w:rsid w:val="001972CC"/>
    <w:rsid w:val="001A1188"/>
    <w:rsid w:val="001A138D"/>
    <w:rsid w:val="001A18F8"/>
    <w:rsid w:val="001A1A1F"/>
    <w:rsid w:val="001A1CA8"/>
    <w:rsid w:val="001A2857"/>
    <w:rsid w:val="001A2A89"/>
    <w:rsid w:val="001A3634"/>
    <w:rsid w:val="001A4A80"/>
    <w:rsid w:val="001A4D5D"/>
    <w:rsid w:val="001A61E1"/>
    <w:rsid w:val="001A62B7"/>
    <w:rsid w:val="001A683E"/>
    <w:rsid w:val="001A6C1E"/>
    <w:rsid w:val="001A7367"/>
    <w:rsid w:val="001B2129"/>
    <w:rsid w:val="001B2751"/>
    <w:rsid w:val="001B34DA"/>
    <w:rsid w:val="001B3659"/>
    <w:rsid w:val="001B3AC9"/>
    <w:rsid w:val="001B3B55"/>
    <w:rsid w:val="001B40F3"/>
    <w:rsid w:val="001B4BFB"/>
    <w:rsid w:val="001B53A0"/>
    <w:rsid w:val="001B5F70"/>
    <w:rsid w:val="001B6845"/>
    <w:rsid w:val="001B770B"/>
    <w:rsid w:val="001C0AED"/>
    <w:rsid w:val="001C13B1"/>
    <w:rsid w:val="001C1BB6"/>
    <w:rsid w:val="001C1C2A"/>
    <w:rsid w:val="001C1CDE"/>
    <w:rsid w:val="001C2713"/>
    <w:rsid w:val="001C2EF3"/>
    <w:rsid w:val="001C34D6"/>
    <w:rsid w:val="001C3898"/>
    <w:rsid w:val="001C3DB4"/>
    <w:rsid w:val="001C4179"/>
    <w:rsid w:val="001C54A9"/>
    <w:rsid w:val="001C6012"/>
    <w:rsid w:val="001C640B"/>
    <w:rsid w:val="001C67B0"/>
    <w:rsid w:val="001C6DF1"/>
    <w:rsid w:val="001C79FA"/>
    <w:rsid w:val="001D07C9"/>
    <w:rsid w:val="001D0F3B"/>
    <w:rsid w:val="001D162B"/>
    <w:rsid w:val="001D2194"/>
    <w:rsid w:val="001D393C"/>
    <w:rsid w:val="001D3AB5"/>
    <w:rsid w:val="001D53A2"/>
    <w:rsid w:val="001D7E82"/>
    <w:rsid w:val="001E0228"/>
    <w:rsid w:val="001E0AD2"/>
    <w:rsid w:val="001E2824"/>
    <w:rsid w:val="001E3F91"/>
    <w:rsid w:val="001E4777"/>
    <w:rsid w:val="001E48DA"/>
    <w:rsid w:val="001E6822"/>
    <w:rsid w:val="001E74A5"/>
    <w:rsid w:val="001E7617"/>
    <w:rsid w:val="001E7832"/>
    <w:rsid w:val="001E7B9E"/>
    <w:rsid w:val="001E7E27"/>
    <w:rsid w:val="001F025B"/>
    <w:rsid w:val="001F053F"/>
    <w:rsid w:val="001F0E92"/>
    <w:rsid w:val="001F1169"/>
    <w:rsid w:val="001F2BDF"/>
    <w:rsid w:val="001F4299"/>
    <w:rsid w:val="001F5AF8"/>
    <w:rsid w:val="001F6E45"/>
    <w:rsid w:val="001F783F"/>
    <w:rsid w:val="001F7DE2"/>
    <w:rsid w:val="001F7FDA"/>
    <w:rsid w:val="002031F3"/>
    <w:rsid w:val="00207415"/>
    <w:rsid w:val="00207915"/>
    <w:rsid w:val="002111FF"/>
    <w:rsid w:val="00211229"/>
    <w:rsid w:val="00212873"/>
    <w:rsid w:val="00212C9C"/>
    <w:rsid w:val="00213108"/>
    <w:rsid w:val="0021331A"/>
    <w:rsid w:val="0021453E"/>
    <w:rsid w:val="0021475E"/>
    <w:rsid w:val="00216238"/>
    <w:rsid w:val="00216653"/>
    <w:rsid w:val="002179AC"/>
    <w:rsid w:val="00220794"/>
    <w:rsid w:val="00220ADB"/>
    <w:rsid w:val="002217BA"/>
    <w:rsid w:val="00221E74"/>
    <w:rsid w:val="00222AAA"/>
    <w:rsid w:val="00223507"/>
    <w:rsid w:val="0022353C"/>
    <w:rsid w:val="00223D1A"/>
    <w:rsid w:val="00225ECB"/>
    <w:rsid w:val="00227831"/>
    <w:rsid w:val="00230170"/>
    <w:rsid w:val="002305CF"/>
    <w:rsid w:val="00231760"/>
    <w:rsid w:val="00233092"/>
    <w:rsid w:val="002345FF"/>
    <w:rsid w:val="00234A2F"/>
    <w:rsid w:val="0023555B"/>
    <w:rsid w:val="00236C52"/>
    <w:rsid w:val="00237026"/>
    <w:rsid w:val="00237611"/>
    <w:rsid w:val="00241FD2"/>
    <w:rsid w:val="00244476"/>
    <w:rsid w:val="0024659E"/>
    <w:rsid w:val="00247768"/>
    <w:rsid w:val="002509BA"/>
    <w:rsid w:val="0025224A"/>
    <w:rsid w:val="00252A20"/>
    <w:rsid w:val="00252B41"/>
    <w:rsid w:val="0025331E"/>
    <w:rsid w:val="002539DD"/>
    <w:rsid w:val="00254FE5"/>
    <w:rsid w:val="0025524F"/>
    <w:rsid w:val="0025717D"/>
    <w:rsid w:val="00260C1D"/>
    <w:rsid w:val="00261001"/>
    <w:rsid w:val="002614BE"/>
    <w:rsid w:val="00261D84"/>
    <w:rsid w:val="00262E4F"/>
    <w:rsid w:val="00263F5A"/>
    <w:rsid w:val="002644CB"/>
    <w:rsid w:val="00264D02"/>
    <w:rsid w:val="0026500D"/>
    <w:rsid w:val="00265CD7"/>
    <w:rsid w:val="002665BD"/>
    <w:rsid w:val="00266985"/>
    <w:rsid w:val="0027187C"/>
    <w:rsid w:val="00271B06"/>
    <w:rsid w:val="002725E2"/>
    <w:rsid w:val="00273013"/>
    <w:rsid w:val="00273786"/>
    <w:rsid w:val="00273C37"/>
    <w:rsid w:val="0027430D"/>
    <w:rsid w:val="00274D35"/>
    <w:rsid w:val="00274F7F"/>
    <w:rsid w:val="00277A35"/>
    <w:rsid w:val="00280994"/>
    <w:rsid w:val="00280E67"/>
    <w:rsid w:val="002820F3"/>
    <w:rsid w:val="00283749"/>
    <w:rsid w:val="002860E1"/>
    <w:rsid w:val="002871EB"/>
    <w:rsid w:val="002879B1"/>
    <w:rsid w:val="00290631"/>
    <w:rsid w:val="00290721"/>
    <w:rsid w:val="00292C6A"/>
    <w:rsid w:val="00293AAD"/>
    <w:rsid w:val="002940E2"/>
    <w:rsid w:val="002A07F4"/>
    <w:rsid w:val="002A229B"/>
    <w:rsid w:val="002A2974"/>
    <w:rsid w:val="002A35B6"/>
    <w:rsid w:val="002A5AB5"/>
    <w:rsid w:val="002A61A7"/>
    <w:rsid w:val="002A7537"/>
    <w:rsid w:val="002A7FC1"/>
    <w:rsid w:val="002B085C"/>
    <w:rsid w:val="002B0CAD"/>
    <w:rsid w:val="002B284F"/>
    <w:rsid w:val="002B2A2E"/>
    <w:rsid w:val="002B2F4D"/>
    <w:rsid w:val="002B2F59"/>
    <w:rsid w:val="002B4D21"/>
    <w:rsid w:val="002C0074"/>
    <w:rsid w:val="002C0804"/>
    <w:rsid w:val="002C1882"/>
    <w:rsid w:val="002C1ED0"/>
    <w:rsid w:val="002C2D44"/>
    <w:rsid w:val="002C34C3"/>
    <w:rsid w:val="002C4715"/>
    <w:rsid w:val="002C4780"/>
    <w:rsid w:val="002C47ED"/>
    <w:rsid w:val="002C481B"/>
    <w:rsid w:val="002C484A"/>
    <w:rsid w:val="002C570D"/>
    <w:rsid w:val="002C5D25"/>
    <w:rsid w:val="002C6DB3"/>
    <w:rsid w:val="002D050A"/>
    <w:rsid w:val="002D0E3D"/>
    <w:rsid w:val="002D10C8"/>
    <w:rsid w:val="002D1A38"/>
    <w:rsid w:val="002D2E16"/>
    <w:rsid w:val="002D373C"/>
    <w:rsid w:val="002D3C71"/>
    <w:rsid w:val="002D3F95"/>
    <w:rsid w:val="002D3FBD"/>
    <w:rsid w:val="002D4467"/>
    <w:rsid w:val="002D58BE"/>
    <w:rsid w:val="002D59F1"/>
    <w:rsid w:val="002D71A4"/>
    <w:rsid w:val="002E0CDD"/>
    <w:rsid w:val="002E1FA2"/>
    <w:rsid w:val="002E1FD4"/>
    <w:rsid w:val="002E3DD5"/>
    <w:rsid w:val="002E482C"/>
    <w:rsid w:val="002E4A6D"/>
    <w:rsid w:val="002E5399"/>
    <w:rsid w:val="002E6531"/>
    <w:rsid w:val="002E689B"/>
    <w:rsid w:val="002E6CFE"/>
    <w:rsid w:val="002E74CE"/>
    <w:rsid w:val="002E7AD0"/>
    <w:rsid w:val="002F1871"/>
    <w:rsid w:val="002F24ED"/>
    <w:rsid w:val="002F287A"/>
    <w:rsid w:val="002F2DCB"/>
    <w:rsid w:val="002F3672"/>
    <w:rsid w:val="002F42ED"/>
    <w:rsid w:val="002F4FCE"/>
    <w:rsid w:val="002F72FA"/>
    <w:rsid w:val="002F7480"/>
    <w:rsid w:val="0030028B"/>
    <w:rsid w:val="003007E0"/>
    <w:rsid w:val="0030150B"/>
    <w:rsid w:val="00301B41"/>
    <w:rsid w:val="00301D47"/>
    <w:rsid w:val="003030B1"/>
    <w:rsid w:val="00303717"/>
    <w:rsid w:val="00304013"/>
    <w:rsid w:val="00304137"/>
    <w:rsid w:val="003046AA"/>
    <w:rsid w:val="003049F3"/>
    <w:rsid w:val="00305F6D"/>
    <w:rsid w:val="00306493"/>
    <w:rsid w:val="003064B8"/>
    <w:rsid w:val="00307227"/>
    <w:rsid w:val="003072EE"/>
    <w:rsid w:val="003105D0"/>
    <w:rsid w:val="003105D6"/>
    <w:rsid w:val="00310D66"/>
    <w:rsid w:val="00311517"/>
    <w:rsid w:val="003116A6"/>
    <w:rsid w:val="00311C3D"/>
    <w:rsid w:val="00311E54"/>
    <w:rsid w:val="00312733"/>
    <w:rsid w:val="00313AF4"/>
    <w:rsid w:val="0031434A"/>
    <w:rsid w:val="00314825"/>
    <w:rsid w:val="00314975"/>
    <w:rsid w:val="00316065"/>
    <w:rsid w:val="00317883"/>
    <w:rsid w:val="00317EFF"/>
    <w:rsid w:val="003208D6"/>
    <w:rsid w:val="00321AA3"/>
    <w:rsid w:val="00322863"/>
    <w:rsid w:val="00323895"/>
    <w:rsid w:val="00323B4A"/>
    <w:rsid w:val="0032464F"/>
    <w:rsid w:val="00325208"/>
    <w:rsid w:val="00326038"/>
    <w:rsid w:val="00326A93"/>
    <w:rsid w:val="00327D79"/>
    <w:rsid w:val="00330C1C"/>
    <w:rsid w:val="00332E6B"/>
    <w:rsid w:val="003331D8"/>
    <w:rsid w:val="00333331"/>
    <w:rsid w:val="00333BE8"/>
    <w:rsid w:val="00335BFE"/>
    <w:rsid w:val="0033608B"/>
    <w:rsid w:val="00336419"/>
    <w:rsid w:val="00336428"/>
    <w:rsid w:val="003364ED"/>
    <w:rsid w:val="00336D64"/>
    <w:rsid w:val="003374D7"/>
    <w:rsid w:val="00337941"/>
    <w:rsid w:val="003407D0"/>
    <w:rsid w:val="00343BE0"/>
    <w:rsid w:val="00345B79"/>
    <w:rsid w:val="00345D0F"/>
    <w:rsid w:val="003462E1"/>
    <w:rsid w:val="00346885"/>
    <w:rsid w:val="003472B3"/>
    <w:rsid w:val="0035023D"/>
    <w:rsid w:val="00350A12"/>
    <w:rsid w:val="0035104F"/>
    <w:rsid w:val="00353201"/>
    <w:rsid w:val="0035335B"/>
    <w:rsid w:val="0035551F"/>
    <w:rsid w:val="00355AEE"/>
    <w:rsid w:val="00355D3B"/>
    <w:rsid w:val="003606B9"/>
    <w:rsid w:val="0036073F"/>
    <w:rsid w:val="003612FA"/>
    <w:rsid w:val="003614C5"/>
    <w:rsid w:val="00361595"/>
    <w:rsid w:val="003621DC"/>
    <w:rsid w:val="003629EE"/>
    <w:rsid w:val="003635B0"/>
    <w:rsid w:val="003641F0"/>
    <w:rsid w:val="003643B3"/>
    <w:rsid w:val="003656E5"/>
    <w:rsid w:val="00370BB1"/>
    <w:rsid w:val="003721B2"/>
    <w:rsid w:val="00372328"/>
    <w:rsid w:val="00372AE1"/>
    <w:rsid w:val="00373EFE"/>
    <w:rsid w:val="0037428A"/>
    <w:rsid w:val="00375BD3"/>
    <w:rsid w:val="003762FD"/>
    <w:rsid w:val="00377CC8"/>
    <w:rsid w:val="0038145C"/>
    <w:rsid w:val="00383E66"/>
    <w:rsid w:val="0038490F"/>
    <w:rsid w:val="003849F7"/>
    <w:rsid w:val="00386CD4"/>
    <w:rsid w:val="00387DC9"/>
    <w:rsid w:val="0039193E"/>
    <w:rsid w:val="00391ADA"/>
    <w:rsid w:val="00391F80"/>
    <w:rsid w:val="00392CDB"/>
    <w:rsid w:val="0039380F"/>
    <w:rsid w:val="00393B71"/>
    <w:rsid w:val="00394095"/>
    <w:rsid w:val="003940F6"/>
    <w:rsid w:val="0039555F"/>
    <w:rsid w:val="00396545"/>
    <w:rsid w:val="00396F71"/>
    <w:rsid w:val="003A04FF"/>
    <w:rsid w:val="003A0AA2"/>
    <w:rsid w:val="003A1B01"/>
    <w:rsid w:val="003A1B7A"/>
    <w:rsid w:val="003A2029"/>
    <w:rsid w:val="003A6417"/>
    <w:rsid w:val="003A65FE"/>
    <w:rsid w:val="003A6A5A"/>
    <w:rsid w:val="003A7221"/>
    <w:rsid w:val="003A730E"/>
    <w:rsid w:val="003A7AED"/>
    <w:rsid w:val="003B2856"/>
    <w:rsid w:val="003B2A0D"/>
    <w:rsid w:val="003B39E2"/>
    <w:rsid w:val="003B45B6"/>
    <w:rsid w:val="003B50CD"/>
    <w:rsid w:val="003B55AD"/>
    <w:rsid w:val="003B565C"/>
    <w:rsid w:val="003B6EB4"/>
    <w:rsid w:val="003B7421"/>
    <w:rsid w:val="003B7EC4"/>
    <w:rsid w:val="003C2A77"/>
    <w:rsid w:val="003C3086"/>
    <w:rsid w:val="003C462F"/>
    <w:rsid w:val="003C7282"/>
    <w:rsid w:val="003D00D5"/>
    <w:rsid w:val="003D01B4"/>
    <w:rsid w:val="003D16A8"/>
    <w:rsid w:val="003D181D"/>
    <w:rsid w:val="003D18D8"/>
    <w:rsid w:val="003D20C4"/>
    <w:rsid w:val="003D3043"/>
    <w:rsid w:val="003D3C1A"/>
    <w:rsid w:val="003D4188"/>
    <w:rsid w:val="003D46D0"/>
    <w:rsid w:val="003D5E95"/>
    <w:rsid w:val="003D6CE0"/>
    <w:rsid w:val="003E05CB"/>
    <w:rsid w:val="003E2663"/>
    <w:rsid w:val="003E5E39"/>
    <w:rsid w:val="003E6679"/>
    <w:rsid w:val="003E6D0F"/>
    <w:rsid w:val="003E712E"/>
    <w:rsid w:val="003F140F"/>
    <w:rsid w:val="003F15DB"/>
    <w:rsid w:val="003F227C"/>
    <w:rsid w:val="003F2702"/>
    <w:rsid w:val="003F2778"/>
    <w:rsid w:val="003F36A4"/>
    <w:rsid w:val="003F70CA"/>
    <w:rsid w:val="0040137F"/>
    <w:rsid w:val="00402179"/>
    <w:rsid w:val="0040278D"/>
    <w:rsid w:val="00403520"/>
    <w:rsid w:val="00405A19"/>
    <w:rsid w:val="00406EED"/>
    <w:rsid w:val="00410219"/>
    <w:rsid w:val="00412DB3"/>
    <w:rsid w:val="00412E24"/>
    <w:rsid w:val="00413469"/>
    <w:rsid w:val="00413903"/>
    <w:rsid w:val="00413DAD"/>
    <w:rsid w:val="00414836"/>
    <w:rsid w:val="00414FA3"/>
    <w:rsid w:val="00416727"/>
    <w:rsid w:val="00417555"/>
    <w:rsid w:val="0042068A"/>
    <w:rsid w:val="00420D79"/>
    <w:rsid w:val="00421EDE"/>
    <w:rsid w:val="004229F4"/>
    <w:rsid w:val="004242BB"/>
    <w:rsid w:val="0042437A"/>
    <w:rsid w:val="00424CBA"/>
    <w:rsid w:val="00424E72"/>
    <w:rsid w:val="00426D7C"/>
    <w:rsid w:val="004300ED"/>
    <w:rsid w:val="00431687"/>
    <w:rsid w:val="00432B72"/>
    <w:rsid w:val="00433016"/>
    <w:rsid w:val="00433415"/>
    <w:rsid w:val="00433EF8"/>
    <w:rsid w:val="004342F1"/>
    <w:rsid w:val="004349C0"/>
    <w:rsid w:val="00434B23"/>
    <w:rsid w:val="00434FD0"/>
    <w:rsid w:val="00435917"/>
    <w:rsid w:val="0043626D"/>
    <w:rsid w:val="004362AD"/>
    <w:rsid w:val="00437611"/>
    <w:rsid w:val="00437702"/>
    <w:rsid w:val="004401B5"/>
    <w:rsid w:val="00440800"/>
    <w:rsid w:val="00441847"/>
    <w:rsid w:val="00441D55"/>
    <w:rsid w:val="00442393"/>
    <w:rsid w:val="004436D7"/>
    <w:rsid w:val="00443DCB"/>
    <w:rsid w:val="00443DEB"/>
    <w:rsid w:val="00444891"/>
    <w:rsid w:val="0044535B"/>
    <w:rsid w:val="00445DB4"/>
    <w:rsid w:val="00445FDA"/>
    <w:rsid w:val="00447F0D"/>
    <w:rsid w:val="00450A5F"/>
    <w:rsid w:val="004512AB"/>
    <w:rsid w:val="00451514"/>
    <w:rsid w:val="0045209F"/>
    <w:rsid w:val="00453BB4"/>
    <w:rsid w:val="00454ABA"/>
    <w:rsid w:val="00454E45"/>
    <w:rsid w:val="00456317"/>
    <w:rsid w:val="00456348"/>
    <w:rsid w:val="004613B1"/>
    <w:rsid w:val="00461513"/>
    <w:rsid w:val="0046231E"/>
    <w:rsid w:val="004635E2"/>
    <w:rsid w:val="00464735"/>
    <w:rsid w:val="00464CB6"/>
    <w:rsid w:val="0046566E"/>
    <w:rsid w:val="004662E0"/>
    <w:rsid w:val="0047025A"/>
    <w:rsid w:val="00470558"/>
    <w:rsid w:val="0047081C"/>
    <w:rsid w:val="00472C41"/>
    <w:rsid w:val="00473115"/>
    <w:rsid w:val="004731E1"/>
    <w:rsid w:val="00473772"/>
    <w:rsid w:val="00474477"/>
    <w:rsid w:val="00474630"/>
    <w:rsid w:val="004764CB"/>
    <w:rsid w:val="004766CF"/>
    <w:rsid w:val="00476730"/>
    <w:rsid w:val="004769A5"/>
    <w:rsid w:val="004803A2"/>
    <w:rsid w:val="00481A7B"/>
    <w:rsid w:val="004827D5"/>
    <w:rsid w:val="0048386B"/>
    <w:rsid w:val="00483C14"/>
    <w:rsid w:val="00485BA5"/>
    <w:rsid w:val="00485D48"/>
    <w:rsid w:val="00485DB6"/>
    <w:rsid w:val="0048624A"/>
    <w:rsid w:val="0048658E"/>
    <w:rsid w:val="00486674"/>
    <w:rsid w:val="0048771D"/>
    <w:rsid w:val="004905ED"/>
    <w:rsid w:val="00491C96"/>
    <w:rsid w:val="004923B6"/>
    <w:rsid w:val="00493175"/>
    <w:rsid w:val="00494294"/>
    <w:rsid w:val="00495611"/>
    <w:rsid w:val="00496359"/>
    <w:rsid w:val="00496B38"/>
    <w:rsid w:val="00496C48"/>
    <w:rsid w:val="00497897"/>
    <w:rsid w:val="004A14BE"/>
    <w:rsid w:val="004A1600"/>
    <w:rsid w:val="004A1821"/>
    <w:rsid w:val="004A22C0"/>
    <w:rsid w:val="004A2BF5"/>
    <w:rsid w:val="004A3085"/>
    <w:rsid w:val="004A4BD5"/>
    <w:rsid w:val="004A4CFD"/>
    <w:rsid w:val="004A677C"/>
    <w:rsid w:val="004A6A7B"/>
    <w:rsid w:val="004A6E25"/>
    <w:rsid w:val="004A7557"/>
    <w:rsid w:val="004B176B"/>
    <w:rsid w:val="004B1AD4"/>
    <w:rsid w:val="004B293C"/>
    <w:rsid w:val="004B3D59"/>
    <w:rsid w:val="004B56EB"/>
    <w:rsid w:val="004B58EA"/>
    <w:rsid w:val="004B5B76"/>
    <w:rsid w:val="004B73EF"/>
    <w:rsid w:val="004C0A9B"/>
    <w:rsid w:val="004C0B60"/>
    <w:rsid w:val="004C20F2"/>
    <w:rsid w:val="004C251E"/>
    <w:rsid w:val="004C33A5"/>
    <w:rsid w:val="004C3F25"/>
    <w:rsid w:val="004C4A6E"/>
    <w:rsid w:val="004C525E"/>
    <w:rsid w:val="004C67E2"/>
    <w:rsid w:val="004C7301"/>
    <w:rsid w:val="004C7A27"/>
    <w:rsid w:val="004D0490"/>
    <w:rsid w:val="004D12F1"/>
    <w:rsid w:val="004D14B2"/>
    <w:rsid w:val="004D1805"/>
    <w:rsid w:val="004D1C90"/>
    <w:rsid w:val="004D1CB6"/>
    <w:rsid w:val="004D257A"/>
    <w:rsid w:val="004D2875"/>
    <w:rsid w:val="004D2CFC"/>
    <w:rsid w:val="004D3142"/>
    <w:rsid w:val="004D52DD"/>
    <w:rsid w:val="004D68F8"/>
    <w:rsid w:val="004D6D19"/>
    <w:rsid w:val="004D71C0"/>
    <w:rsid w:val="004D7866"/>
    <w:rsid w:val="004D7E51"/>
    <w:rsid w:val="004D7F8A"/>
    <w:rsid w:val="004E11D8"/>
    <w:rsid w:val="004E1878"/>
    <w:rsid w:val="004E3378"/>
    <w:rsid w:val="004E3C72"/>
    <w:rsid w:val="004E3C8B"/>
    <w:rsid w:val="004E4879"/>
    <w:rsid w:val="004E4AF8"/>
    <w:rsid w:val="004E5988"/>
    <w:rsid w:val="004E62B6"/>
    <w:rsid w:val="004E6E3A"/>
    <w:rsid w:val="004F0C96"/>
    <w:rsid w:val="004F197B"/>
    <w:rsid w:val="004F28A0"/>
    <w:rsid w:val="004F2AC8"/>
    <w:rsid w:val="004F3DEB"/>
    <w:rsid w:val="004F44C7"/>
    <w:rsid w:val="004F489F"/>
    <w:rsid w:val="004F4958"/>
    <w:rsid w:val="004F6AFC"/>
    <w:rsid w:val="004F74D4"/>
    <w:rsid w:val="004F766F"/>
    <w:rsid w:val="004F78B7"/>
    <w:rsid w:val="004F7944"/>
    <w:rsid w:val="00500224"/>
    <w:rsid w:val="00502BB2"/>
    <w:rsid w:val="00503166"/>
    <w:rsid w:val="00503F93"/>
    <w:rsid w:val="005041C2"/>
    <w:rsid w:val="00504CDE"/>
    <w:rsid w:val="00504CEC"/>
    <w:rsid w:val="00504E8F"/>
    <w:rsid w:val="00505CA0"/>
    <w:rsid w:val="00506DDD"/>
    <w:rsid w:val="00507C08"/>
    <w:rsid w:val="00507D18"/>
    <w:rsid w:val="0051016E"/>
    <w:rsid w:val="00511536"/>
    <w:rsid w:val="00511612"/>
    <w:rsid w:val="00511A30"/>
    <w:rsid w:val="005126AD"/>
    <w:rsid w:val="00512F22"/>
    <w:rsid w:val="0051659D"/>
    <w:rsid w:val="00516603"/>
    <w:rsid w:val="005167B1"/>
    <w:rsid w:val="00517A46"/>
    <w:rsid w:val="00517D20"/>
    <w:rsid w:val="005215EE"/>
    <w:rsid w:val="00521C67"/>
    <w:rsid w:val="00521F15"/>
    <w:rsid w:val="00522599"/>
    <w:rsid w:val="00522F5F"/>
    <w:rsid w:val="00523B46"/>
    <w:rsid w:val="0052451F"/>
    <w:rsid w:val="005248B9"/>
    <w:rsid w:val="005255D3"/>
    <w:rsid w:val="005257BD"/>
    <w:rsid w:val="00525972"/>
    <w:rsid w:val="00526446"/>
    <w:rsid w:val="00527495"/>
    <w:rsid w:val="00527E7A"/>
    <w:rsid w:val="0053021B"/>
    <w:rsid w:val="00530E68"/>
    <w:rsid w:val="00531594"/>
    <w:rsid w:val="005317E3"/>
    <w:rsid w:val="00532AD0"/>
    <w:rsid w:val="00533E69"/>
    <w:rsid w:val="00535C1B"/>
    <w:rsid w:val="0053683D"/>
    <w:rsid w:val="00537E2C"/>
    <w:rsid w:val="005407F0"/>
    <w:rsid w:val="00541625"/>
    <w:rsid w:val="00542797"/>
    <w:rsid w:val="00542B3A"/>
    <w:rsid w:val="005434E0"/>
    <w:rsid w:val="00543FF4"/>
    <w:rsid w:val="00544AB9"/>
    <w:rsid w:val="00544EC9"/>
    <w:rsid w:val="00546FBD"/>
    <w:rsid w:val="00550EF7"/>
    <w:rsid w:val="00551A9B"/>
    <w:rsid w:val="005520BF"/>
    <w:rsid w:val="00552213"/>
    <w:rsid w:val="0055327F"/>
    <w:rsid w:val="005534B3"/>
    <w:rsid w:val="0055544F"/>
    <w:rsid w:val="00556260"/>
    <w:rsid w:val="00556B04"/>
    <w:rsid w:val="00556FD5"/>
    <w:rsid w:val="00562B0A"/>
    <w:rsid w:val="00562CCE"/>
    <w:rsid w:val="0056305B"/>
    <w:rsid w:val="0056397F"/>
    <w:rsid w:val="005669D6"/>
    <w:rsid w:val="00566C3D"/>
    <w:rsid w:val="00567045"/>
    <w:rsid w:val="005678C8"/>
    <w:rsid w:val="00567998"/>
    <w:rsid w:val="00567AF8"/>
    <w:rsid w:val="00570308"/>
    <w:rsid w:val="005713E3"/>
    <w:rsid w:val="00571419"/>
    <w:rsid w:val="0057374F"/>
    <w:rsid w:val="005759CD"/>
    <w:rsid w:val="00577884"/>
    <w:rsid w:val="00577C09"/>
    <w:rsid w:val="00580873"/>
    <w:rsid w:val="00581C0F"/>
    <w:rsid w:val="00582919"/>
    <w:rsid w:val="005832C3"/>
    <w:rsid w:val="00583F65"/>
    <w:rsid w:val="005844F1"/>
    <w:rsid w:val="005849B2"/>
    <w:rsid w:val="00585F00"/>
    <w:rsid w:val="00587366"/>
    <w:rsid w:val="0058757A"/>
    <w:rsid w:val="00590037"/>
    <w:rsid w:val="00590516"/>
    <w:rsid w:val="005908F1"/>
    <w:rsid w:val="00592318"/>
    <w:rsid w:val="00593476"/>
    <w:rsid w:val="00594A43"/>
    <w:rsid w:val="00594E32"/>
    <w:rsid w:val="00595395"/>
    <w:rsid w:val="00595511"/>
    <w:rsid w:val="00595601"/>
    <w:rsid w:val="00595BC4"/>
    <w:rsid w:val="00596B4D"/>
    <w:rsid w:val="00596F7B"/>
    <w:rsid w:val="005A228F"/>
    <w:rsid w:val="005A2A65"/>
    <w:rsid w:val="005A2F65"/>
    <w:rsid w:val="005A3068"/>
    <w:rsid w:val="005A3415"/>
    <w:rsid w:val="005A3513"/>
    <w:rsid w:val="005A3BD7"/>
    <w:rsid w:val="005A4255"/>
    <w:rsid w:val="005A4418"/>
    <w:rsid w:val="005A4AF2"/>
    <w:rsid w:val="005A5828"/>
    <w:rsid w:val="005A60E1"/>
    <w:rsid w:val="005A6B49"/>
    <w:rsid w:val="005A76FE"/>
    <w:rsid w:val="005A786F"/>
    <w:rsid w:val="005B01D9"/>
    <w:rsid w:val="005B1351"/>
    <w:rsid w:val="005B169C"/>
    <w:rsid w:val="005B2DD1"/>
    <w:rsid w:val="005B39B9"/>
    <w:rsid w:val="005B3A49"/>
    <w:rsid w:val="005B5C9F"/>
    <w:rsid w:val="005B6ADF"/>
    <w:rsid w:val="005B773D"/>
    <w:rsid w:val="005B79EA"/>
    <w:rsid w:val="005B7C5D"/>
    <w:rsid w:val="005C178C"/>
    <w:rsid w:val="005C1A74"/>
    <w:rsid w:val="005C3294"/>
    <w:rsid w:val="005C3414"/>
    <w:rsid w:val="005C347F"/>
    <w:rsid w:val="005C3C00"/>
    <w:rsid w:val="005C3CF9"/>
    <w:rsid w:val="005C5E44"/>
    <w:rsid w:val="005C60A3"/>
    <w:rsid w:val="005C6F55"/>
    <w:rsid w:val="005C7AB3"/>
    <w:rsid w:val="005D2079"/>
    <w:rsid w:val="005D27DD"/>
    <w:rsid w:val="005D3493"/>
    <w:rsid w:val="005D3DD3"/>
    <w:rsid w:val="005D4601"/>
    <w:rsid w:val="005D622E"/>
    <w:rsid w:val="005D7A17"/>
    <w:rsid w:val="005E11D5"/>
    <w:rsid w:val="005E1E12"/>
    <w:rsid w:val="005E1EBD"/>
    <w:rsid w:val="005E2296"/>
    <w:rsid w:val="005E34D4"/>
    <w:rsid w:val="005E3AE2"/>
    <w:rsid w:val="005E3FDE"/>
    <w:rsid w:val="005E4DF1"/>
    <w:rsid w:val="005E55F2"/>
    <w:rsid w:val="005E5F08"/>
    <w:rsid w:val="005E68FC"/>
    <w:rsid w:val="005E77E6"/>
    <w:rsid w:val="005E7A1F"/>
    <w:rsid w:val="005F05F1"/>
    <w:rsid w:val="005F20B2"/>
    <w:rsid w:val="005F372B"/>
    <w:rsid w:val="005F3A30"/>
    <w:rsid w:val="005F487C"/>
    <w:rsid w:val="005F53A4"/>
    <w:rsid w:val="005F5FE1"/>
    <w:rsid w:val="005F62B2"/>
    <w:rsid w:val="005F715E"/>
    <w:rsid w:val="005F777C"/>
    <w:rsid w:val="00600589"/>
    <w:rsid w:val="00600B4B"/>
    <w:rsid w:val="006010DA"/>
    <w:rsid w:val="006017AB"/>
    <w:rsid w:val="00602031"/>
    <w:rsid w:val="00604AC3"/>
    <w:rsid w:val="00605865"/>
    <w:rsid w:val="0060611A"/>
    <w:rsid w:val="006112F2"/>
    <w:rsid w:val="00614798"/>
    <w:rsid w:val="00614995"/>
    <w:rsid w:val="00614DFF"/>
    <w:rsid w:val="00617125"/>
    <w:rsid w:val="00617813"/>
    <w:rsid w:val="00620176"/>
    <w:rsid w:val="006206CC"/>
    <w:rsid w:val="006214EC"/>
    <w:rsid w:val="00621501"/>
    <w:rsid w:val="00622B06"/>
    <w:rsid w:val="0062306D"/>
    <w:rsid w:val="00623D7D"/>
    <w:rsid w:val="006245C1"/>
    <w:rsid w:val="00625797"/>
    <w:rsid w:val="00627163"/>
    <w:rsid w:val="0062768A"/>
    <w:rsid w:val="0063147E"/>
    <w:rsid w:val="0063265C"/>
    <w:rsid w:val="0063278F"/>
    <w:rsid w:val="00634476"/>
    <w:rsid w:val="006349FE"/>
    <w:rsid w:val="00635EBF"/>
    <w:rsid w:val="0063650E"/>
    <w:rsid w:val="00637580"/>
    <w:rsid w:val="00637624"/>
    <w:rsid w:val="0064275F"/>
    <w:rsid w:val="00643903"/>
    <w:rsid w:val="0064393B"/>
    <w:rsid w:val="00644375"/>
    <w:rsid w:val="00644A5C"/>
    <w:rsid w:val="0064508B"/>
    <w:rsid w:val="00646A08"/>
    <w:rsid w:val="00646BEE"/>
    <w:rsid w:val="00646C7D"/>
    <w:rsid w:val="00647721"/>
    <w:rsid w:val="00647A44"/>
    <w:rsid w:val="00650392"/>
    <w:rsid w:val="0065061D"/>
    <w:rsid w:val="00652EAE"/>
    <w:rsid w:val="00653004"/>
    <w:rsid w:val="00653E8D"/>
    <w:rsid w:val="00656621"/>
    <w:rsid w:val="0065715E"/>
    <w:rsid w:val="00657670"/>
    <w:rsid w:val="00657DBF"/>
    <w:rsid w:val="00657DE0"/>
    <w:rsid w:val="006613EB"/>
    <w:rsid w:val="0066155F"/>
    <w:rsid w:val="00662BD0"/>
    <w:rsid w:val="00662C69"/>
    <w:rsid w:val="006631E8"/>
    <w:rsid w:val="00663CC7"/>
    <w:rsid w:val="00664035"/>
    <w:rsid w:val="0066458B"/>
    <w:rsid w:val="006645B4"/>
    <w:rsid w:val="00664805"/>
    <w:rsid w:val="006718FB"/>
    <w:rsid w:val="006720F3"/>
    <w:rsid w:val="00673695"/>
    <w:rsid w:val="00674701"/>
    <w:rsid w:val="00674A46"/>
    <w:rsid w:val="006752B0"/>
    <w:rsid w:val="00675A28"/>
    <w:rsid w:val="00676959"/>
    <w:rsid w:val="00676C6B"/>
    <w:rsid w:val="00680F25"/>
    <w:rsid w:val="00682504"/>
    <w:rsid w:val="006831AE"/>
    <w:rsid w:val="00685689"/>
    <w:rsid w:val="0068594B"/>
    <w:rsid w:val="00686206"/>
    <w:rsid w:val="0068628C"/>
    <w:rsid w:val="00686B04"/>
    <w:rsid w:val="00686CF0"/>
    <w:rsid w:val="00687D53"/>
    <w:rsid w:val="00687DDB"/>
    <w:rsid w:val="006901FA"/>
    <w:rsid w:val="00690ED0"/>
    <w:rsid w:val="00691384"/>
    <w:rsid w:val="00693427"/>
    <w:rsid w:val="00694C00"/>
    <w:rsid w:val="00695083"/>
    <w:rsid w:val="006958A7"/>
    <w:rsid w:val="00695F94"/>
    <w:rsid w:val="006964F5"/>
    <w:rsid w:val="00696EF8"/>
    <w:rsid w:val="006973C4"/>
    <w:rsid w:val="0069770D"/>
    <w:rsid w:val="006A0836"/>
    <w:rsid w:val="006A1047"/>
    <w:rsid w:val="006A2A2F"/>
    <w:rsid w:val="006A2CF3"/>
    <w:rsid w:val="006A2D34"/>
    <w:rsid w:val="006A2EDE"/>
    <w:rsid w:val="006A3BB6"/>
    <w:rsid w:val="006A3D7A"/>
    <w:rsid w:val="006A3E8C"/>
    <w:rsid w:val="006A438E"/>
    <w:rsid w:val="006A53A9"/>
    <w:rsid w:val="006A727B"/>
    <w:rsid w:val="006A7AA4"/>
    <w:rsid w:val="006A7DCA"/>
    <w:rsid w:val="006B004E"/>
    <w:rsid w:val="006B0198"/>
    <w:rsid w:val="006B12E8"/>
    <w:rsid w:val="006B13FB"/>
    <w:rsid w:val="006B1C19"/>
    <w:rsid w:val="006B1EBF"/>
    <w:rsid w:val="006B4A27"/>
    <w:rsid w:val="006B59A4"/>
    <w:rsid w:val="006B5FE4"/>
    <w:rsid w:val="006B7A58"/>
    <w:rsid w:val="006C075F"/>
    <w:rsid w:val="006C08A0"/>
    <w:rsid w:val="006C23A5"/>
    <w:rsid w:val="006C26B3"/>
    <w:rsid w:val="006C2FEE"/>
    <w:rsid w:val="006C48BC"/>
    <w:rsid w:val="006C50C2"/>
    <w:rsid w:val="006C53EB"/>
    <w:rsid w:val="006C55C6"/>
    <w:rsid w:val="006C563A"/>
    <w:rsid w:val="006C5F6F"/>
    <w:rsid w:val="006C6E1A"/>
    <w:rsid w:val="006D09A3"/>
    <w:rsid w:val="006D27EF"/>
    <w:rsid w:val="006D2CB1"/>
    <w:rsid w:val="006D52D1"/>
    <w:rsid w:val="006D5E1E"/>
    <w:rsid w:val="006D7293"/>
    <w:rsid w:val="006D7529"/>
    <w:rsid w:val="006D7F3D"/>
    <w:rsid w:val="006E013D"/>
    <w:rsid w:val="006E1056"/>
    <w:rsid w:val="006E1668"/>
    <w:rsid w:val="006E2FF4"/>
    <w:rsid w:val="006E3985"/>
    <w:rsid w:val="006E3A2A"/>
    <w:rsid w:val="006E3C4C"/>
    <w:rsid w:val="006E4BD4"/>
    <w:rsid w:val="006E4E2A"/>
    <w:rsid w:val="006E582D"/>
    <w:rsid w:val="006E5950"/>
    <w:rsid w:val="006E6B65"/>
    <w:rsid w:val="006E6C14"/>
    <w:rsid w:val="006E7CC5"/>
    <w:rsid w:val="006F02CA"/>
    <w:rsid w:val="006F1784"/>
    <w:rsid w:val="006F1E31"/>
    <w:rsid w:val="006F21C6"/>
    <w:rsid w:val="006F2C12"/>
    <w:rsid w:val="006F2F92"/>
    <w:rsid w:val="006F7D53"/>
    <w:rsid w:val="00701B72"/>
    <w:rsid w:val="00702A43"/>
    <w:rsid w:val="007049C8"/>
    <w:rsid w:val="00704DE0"/>
    <w:rsid w:val="007050B1"/>
    <w:rsid w:val="007069D1"/>
    <w:rsid w:val="00707096"/>
    <w:rsid w:val="00712144"/>
    <w:rsid w:val="007136BC"/>
    <w:rsid w:val="00714576"/>
    <w:rsid w:val="00715488"/>
    <w:rsid w:val="0071562E"/>
    <w:rsid w:val="00715A04"/>
    <w:rsid w:val="00721335"/>
    <w:rsid w:val="007213FB"/>
    <w:rsid w:val="00721924"/>
    <w:rsid w:val="00721F66"/>
    <w:rsid w:val="00722988"/>
    <w:rsid w:val="00722B93"/>
    <w:rsid w:val="00731F1F"/>
    <w:rsid w:val="00735234"/>
    <w:rsid w:val="007365AD"/>
    <w:rsid w:val="00740705"/>
    <w:rsid w:val="00741DC7"/>
    <w:rsid w:val="00742486"/>
    <w:rsid w:val="0074433B"/>
    <w:rsid w:val="0074628D"/>
    <w:rsid w:val="007473D2"/>
    <w:rsid w:val="007479C2"/>
    <w:rsid w:val="00750A80"/>
    <w:rsid w:val="0075151E"/>
    <w:rsid w:val="007521DE"/>
    <w:rsid w:val="007524A1"/>
    <w:rsid w:val="0075265E"/>
    <w:rsid w:val="007532DC"/>
    <w:rsid w:val="00753655"/>
    <w:rsid w:val="0075440D"/>
    <w:rsid w:val="00754EF8"/>
    <w:rsid w:val="007550CE"/>
    <w:rsid w:val="0075604A"/>
    <w:rsid w:val="0075650E"/>
    <w:rsid w:val="007575D9"/>
    <w:rsid w:val="00757995"/>
    <w:rsid w:val="007612B3"/>
    <w:rsid w:val="00763EE9"/>
    <w:rsid w:val="007644E6"/>
    <w:rsid w:val="007652EA"/>
    <w:rsid w:val="00765A4A"/>
    <w:rsid w:val="00765B0B"/>
    <w:rsid w:val="007665D7"/>
    <w:rsid w:val="007671AD"/>
    <w:rsid w:val="007674F3"/>
    <w:rsid w:val="00767CD2"/>
    <w:rsid w:val="00770859"/>
    <w:rsid w:val="007721A1"/>
    <w:rsid w:val="00772B6F"/>
    <w:rsid w:val="00774A5F"/>
    <w:rsid w:val="00774DFD"/>
    <w:rsid w:val="007753FA"/>
    <w:rsid w:val="0077544D"/>
    <w:rsid w:val="007764C8"/>
    <w:rsid w:val="00777D10"/>
    <w:rsid w:val="0078079A"/>
    <w:rsid w:val="007809C0"/>
    <w:rsid w:val="00782F63"/>
    <w:rsid w:val="00784662"/>
    <w:rsid w:val="00785F11"/>
    <w:rsid w:val="007860B9"/>
    <w:rsid w:val="00786B00"/>
    <w:rsid w:val="00787BB0"/>
    <w:rsid w:val="0079034C"/>
    <w:rsid w:val="007910C6"/>
    <w:rsid w:val="007914E4"/>
    <w:rsid w:val="00791CE4"/>
    <w:rsid w:val="00791E58"/>
    <w:rsid w:val="00792D17"/>
    <w:rsid w:val="007933AB"/>
    <w:rsid w:val="00793404"/>
    <w:rsid w:val="00793D40"/>
    <w:rsid w:val="007A0692"/>
    <w:rsid w:val="007A082B"/>
    <w:rsid w:val="007A1303"/>
    <w:rsid w:val="007A22E2"/>
    <w:rsid w:val="007A2C90"/>
    <w:rsid w:val="007A5E6C"/>
    <w:rsid w:val="007A65E0"/>
    <w:rsid w:val="007A70B9"/>
    <w:rsid w:val="007A7602"/>
    <w:rsid w:val="007B002D"/>
    <w:rsid w:val="007B02B9"/>
    <w:rsid w:val="007B1AED"/>
    <w:rsid w:val="007B26B2"/>
    <w:rsid w:val="007B2B63"/>
    <w:rsid w:val="007B30F3"/>
    <w:rsid w:val="007B4605"/>
    <w:rsid w:val="007B48E3"/>
    <w:rsid w:val="007B5C9D"/>
    <w:rsid w:val="007B694D"/>
    <w:rsid w:val="007B78DF"/>
    <w:rsid w:val="007C0013"/>
    <w:rsid w:val="007C0C8C"/>
    <w:rsid w:val="007C0CBC"/>
    <w:rsid w:val="007C0EA4"/>
    <w:rsid w:val="007C255D"/>
    <w:rsid w:val="007C2706"/>
    <w:rsid w:val="007C37D2"/>
    <w:rsid w:val="007C3985"/>
    <w:rsid w:val="007C3C28"/>
    <w:rsid w:val="007C6110"/>
    <w:rsid w:val="007C675C"/>
    <w:rsid w:val="007D0C01"/>
    <w:rsid w:val="007D3933"/>
    <w:rsid w:val="007D3FBD"/>
    <w:rsid w:val="007D4892"/>
    <w:rsid w:val="007D49A0"/>
    <w:rsid w:val="007D739C"/>
    <w:rsid w:val="007D7B38"/>
    <w:rsid w:val="007D7EF3"/>
    <w:rsid w:val="007E004C"/>
    <w:rsid w:val="007E0CCA"/>
    <w:rsid w:val="007E3772"/>
    <w:rsid w:val="007E4E68"/>
    <w:rsid w:val="007E5125"/>
    <w:rsid w:val="007E5DB4"/>
    <w:rsid w:val="007E5F2C"/>
    <w:rsid w:val="007F0617"/>
    <w:rsid w:val="007F3AC9"/>
    <w:rsid w:val="007F3CB7"/>
    <w:rsid w:val="007F5589"/>
    <w:rsid w:val="007F729E"/>
    <w:rsid w:val="007F75F2"/>
    <w:rsid w:val="007F76E9"/>
    <w:rsid w:val="00800E69"/>
    <w:rsid w:val="008039C2"/>
    <w:rsid w:val="008046E4"/>
    <w:rsid w:val="00804AD7"/>
    <w:rsid w:val="008055FF"/>
    <w:rsid w:val="0080583B"/>
    <w:rsid w:val="008058EB"/>
    <w:rsid w:val="00810F94"/>
    <w:rsid w:val="00813166"/>
    <w:rsid w:val="00813F71"/>
    <w:rsid w:val="0081425E"/>
    <w:rsid w:val="0081485A"/>
    <w:rsid w:val="008167F5"/>
    <w:rsid w:val="00817541"/>
    <w:rsid w:val="0081794B"/>
    <w:rsid w:val="00817D8E"/>
    <w:rsid w:val="008200A3"/>
    <w:rsid w:val="00820BF2"/>
    <w:rsid w:val="00821AED"/>
    <w:rsid w:val="00824C4E"/>
    <w:rsid w:val="00824E9E"/>
    <w:rsid w:val="00824F1A"/>
    <w:rsid w:val="008250DE"/>
    <w:rsid w:val="008264EE"/>
    <w:rsid w:val="00826530"/>
    <w:rsid w:val="00826B2E"/>
    <w:rsid w:val="00827DC8"/>
    <w:rsid w:val="00833E4C"/>
    <w:rsid w:val="008340DC"/>
    <w:rsid w:val="00836224"/>
    <w:rsid w:val="00837BE4"/>
    <w:rsid w:val="00840559"/>
    <w:rsid w:val="00840788"/>
    <w:rsid w:val="008421F7"/>
    <w:rsid w:val="00842B93"/>
    <w:rsid w:val="00843153"/>
    <w:rsid w:val="008438B1"/>
    <w:rsid w:val="00843908"/>
    <w:rsid w:val="00845BF5"/>
    <w:rsid w:val="00845D12"/>
    <w:rsid w:val="00846713"/>
    <w:rsid w:val="00846A1C"/>
    <w:rsid w:val="008473FA"/>
    <w:rsid w:val="00847470"/>
    <w:rsid w:val="00847534"/>
    <w:rsid w:val="00847830"/>
    <w:rsid w:val="008478E8"/>
    <w:rsid w:val="0085000D"/>
    <w:rsid w:val="00851A81"/>
    <w:rsid w:val="00851F4C"/>
    <w:rsid w:val="008523BA"/>
    <w:rsid w:val="00852B26"/>
    <w:rsid w:val="0085480B"/>
    <w:rsid w:val="008560F4"/>
    <w:rsid w:val="00856B0A"/>
    <w:rsid w:val="00857D29"/>
    <w:rsid w:val="00860A1E"/>
    <w:rsid w:val="00860FE6"/>
    <w:rsid w:val="00861622"/>
    <w:rsid w:val="0086256E"/>
    <w:rsid w:val="008628FF"/>
    <w:rsid w:val="008632C8"/>
    <w:rsid w:val="0086513D"/>
    <w:rsid w:val="008662C0"/>
    <w:rsid w:val="00866DAF"/>
    <w:rsid w:val="00870EAB"/>
    <w:rsid w:val="0087153F"/>
    <w:rsid w:val="0087459A"/>
    <w:rsid w:val="00875167"/>
    <w:rsid w:val="00877086"/>
    <w:rsid w:val="00877764"/>
    <w:rsid w:val="008807C9"/>
    <w:rsid w:val="00881572"/>
    <w:rsid w:val="00882DF4"/>
    <w:rsid w:val="00882FEA"/>
    <w:rsid w:val="00883450"/>
    <w:rsid w:val="0088398C"/>
    <w:rsid w:val="00885C6E"/>
    <w:rsid w:val="008861EA"/>
    <w:rsid w:val="0089031E"/>
    <w:rsid w:val="0089067B"/>
    <w:rsid w:val="00890FAD"/>
    <w:rsid w:val="00891381"/>
    <w:rsid w:val="008915C0"/>
    <w:rsid w:val="00891C3B"/>
    <w:rsid w:val="00892680"/>
    <w:rsid w:val="008926BD"/>
    <w:rsid w:val="0089412A"/>
    <w:rsid w:val="0089488C"/>
    <w:rsid w:val="00896AD4"/>
    <w:rsid w:val="008A0071"/>
    <w:rsid w:val="008A02D3"/>
    <w:rsid w:val="008A11D9"/>
    <w:rsid w:val="008A200A"/>
    <w:rsid w:val="008A2F60"/>
    <w:rsid w:val="008A2F75"/>
    <w:rsid w:val="008A460C"/>
    <w:rsid w:val="008A4966"/>
    <w:rsid w:val="008A52F3"/>
    <w:rsid w:val="008A5456"/>
    <w:rsid w:val="008A59AC"/>
    <w:rsid w:val="008A6BC1"/>
    <w:rsid w:val="008A7F7D"/>
    <w:rsid w:val="008B0551"/>
    <w:rsid w:val="008B1A5A"/>
    <w:rsid w:val="008B300E"/>
    <w:rsid w:val="008B382F"/>
    <w:rsid w:val="008B4590"/>
    <w:rsid w:val="008B49B9"/>
    <w:rsid w:val="008B5AB4"/>
    <w:rsid w:val="008B7FFE"/>
    <w:rsid w:val="008C0446"/>
    <w:rsid w:val="008C10D7"/>
    <w:rsid w:val="008C1DF4"/>
    <w:rsid w:val="008C22E9"/>
    <w:rsid w:val="008C2B3C"/>
    <w:rsid w:val="008C375B"/>
    <w:rsid w:val="008C41A7"/>
    <w:rsid w:val="008C4972"/>
    <w:rsid w:val="008C5BB8"/>
    <w:rsid w:val="008C6BCD"/>
    <w:rsid w:val="008C6F34"/>
    <w:rsid w:val="008C7108"/>
    <w:rsid w:val="008D02A3"/>
    <w:rsid w:val="008D087C"/>
    <w:rsid w:val="008D0AA1"/>
    <w:rsid w:val="008D1D54"/>
    <w:rsid w:val="008D22D8"/>
    <w:rsid w:val="008D2BCD"/>
    <w:rsid w:val="008D2E1C"/>
    <w:rsid w:val="008D406E"/>
    <w:rsid w:val="008D4E99"/>
    <w:rsid w:val="008D5066"/>
    <w:rsid w:val="008D52BD"/>
    <w:rsid w:val="008D5A97"/>
    <w:rsid w:val="008D6697"/>
    <w:rsid w:val="008D728C"/>
    <w:rsid w:val="008D78B6"/>
    <w:rsid w:val="008D7A72"/>
    <w:rsid w:val="008E0674"/>
    <w:rsid w:val="008E0B38"/>
    <w:rsid w:val="008E11CC"/>
    <w:rsid w:val="008E1B8F"/>
    <w:rsid w:val="008E1BD5"/>
    <w:rsid w:val="008E4CDB"/>
    <w:rsid w:val="008E549B"/>
    <w:rsid w:val="008E5797"/>
    <w:rsid w:val="008E5E89"/>
    <w:rsid w:val="008E625D"/>
    <w:rsid w:val="008F12E6"/>
    <w:rsid w:val="008F1558"/>
    <w:rsid w:val="008F4768"/>
    <w:rsid w:val="008F5927"/>
    <w:rsid w:val="009001DD"/>
    <w:rsid w:val="0090174A"/>
    <w:rsid w:val="00903483"/>
    <w:rsid w:val="009036B3"/>
    <w:rsid w:val="00903870"/>
    <w:rsid w:val="009039BC"/>
    <w:rsid w:val="00903D32"/>
    <w:rsid w:val="0090434E"/>
    <w:rsid w:val="00905B9A"/>
    <w:rsid w:val="009071FE"/>
    <w:rsid w:val="00907761"/>
    <w:rsid w:val="00910E40"/>
    <w:rsid w:val="00911940"/>
    <w:rsid w:val="0091242A"/>
    <w:rsid w:val="00913AA4"/>
    <w:rsid w:val="00915778"/>
    <w:rsid w:val="009164DD"/>
    <w:rsid w:val="00917A9D"/>
    <w:rsid w:val="009210C9"/>
    <w:rsid w:val="00924F14"/>
    <w:rsid w:val="00925C68"/>
    <w:rsid w:val="00926F75"/>
    <w:rsid w:val="00927A80"/>
    <w:rsid w:val="0093005B"/>
    <w:rsid w:val="009306B8"/>
    <w:rsid w:val="009315B0"/>
    <w:rsid w:val="009316E9"/>
    <w:rsid w:val="00931924"/>
    <w:rsid w:val="0093416D"/>
    <w:rsid w:val="0093533F"/>
    <w:rsid w:val="00935346"/>
    <w:rsid w:val="00936F3C"/>
    <w:rsid w:val="009412A0"/>
    <w:rsid w:val="009417AD"/>
    <w:rsid w:val="00941D44"/>
    <w:rsid w:val="00943531"/>
    <w:rsid w:val="00943B9C"/>
    <w:rsid w:val="00943EB4"/>
    <w:rsid w:val="009459D5"/>
    <w:rsid w:val="00945A61"/>
    <w:rsid w:val="00950154"/>
    <w:rsid w:val="00950C7B"/>
    <w:rsid w:val="00953054"/>
    <w:rsid w:val="00953338"/>
    <w:rsid w:val="009548C1"/>
    <w:rsid w:val="009549D7"/>
    <w:rsid w:val="009563A5"/>
    <w:rsid w:val="00956868"/>
    <w:rsid w:val="00956B3E"/>
    <w:rsid w:val="0095765F"/>
    <w:rsid w:val="009606E6"/>
    <w:rsid w:val="00961B83"/>
    <w:rsid w:val="00962F40"/>
    <w:rsid w:val="00963968"/>
    <w:rsid w:val="00965141"/>
    <w:rsid w:val="00967690"/>
    <w:rsid w:val="00967C66"/>
    <w:rsid w:val="00970DBE"/>
    <w:rsid w:val="00970F70"/>
    <w:rsid w:val="00971056"/>
    <w:rsid w:val="009710C1"/>
    <w:rsid w:val="009714B2"/>
    <w:rsid w:val="0097252B"/>
    <w:rsid w:val="00972668"/>
    <w:rsid w:val="009727B4"/>
    <w:rsid w:val="00972C36"/>
    <w:rsid w:val="00975E26"/>
    <w:rsid w:val="00977C8B"/>
    <w:rsid w:val="00980EE4"/>
    <w:rsid w:val="009830D3"/>
    <w:rsid w:val="00983212"/>
    <w:rsid w:val="00983B8F"/>
    <w:rsid w:val="009849F0"/>
    <w:rsid w:val="0098595E"/>
    <w:rsid w:val="00986073"/>
    <w:rsid w:val="00986F84"/>
    <w:rsid w:val="0098770F"/>
    <w:rsid w:val="009909DD"/>
    <w:rsid w:val="00990DC0"/>
    <w:rsid w:val="00990EE2"/>
    <w:rsid w:val="009916D2"/>
    <w:rsid w:val="0099229C"/>
    <w:rsid w:val="00992655"/>
    <w:rsid w:val="00992BF0"/>
    <w:rsid w:val="00993D9D"/>
    <w:rsid w:val="009943C4"/>
    <w:rsid w:val="009945EB"/>
    <w:rsid w:val="00995C9F"/>
    <w:rsid w:val="00996436"/>
    <w:rsid w:val="0099752D"/>
    <w:rsid w:val="009A0461"/>
    <w:rsid w:val="009A12A7"/>
    <w:rsid w:val="009A28A2"/>
    <w:rsid w:val="009A5191"/>
    <w:rsid w:val="009A6119"/>
    <w:rsid w:val="009A7489"/>
    <w:rsid w:val="009B03ED"/>
    <w:rsid w:val="009B063C"/>
    <w:rsid w:val="009B0F5C"/>
    <w:rsid w:val="009B11D6"/>
    <w:rsid w:val="009B2EE9"/>
    <w:rsid w:val="009B42A1"/>
    <w:rsid w:val="009B4864"/>
    <w:rsid w:val="009B4D4E"/>
    <w:rsid w:val="009B5504"/>
    <w:rsid w:val="009B6280"/>
    <w:rsid w:val="009B649B"/>
    <w:rsid w:val="009B6F16"/>
    <w:rsid w:val="009B7156"/>
    <w:rsid w:val="009B7934"/>
    <w:rsid w:val="009C0940"/>
    <w:rsid w:val="009C0DB9"/>
    <w:rsid w:val="009C1D99"/>
    <w:rsid w:val="009C1F8B"/>
    <w:rsid w:val="009C2099"/>
    <w:rsid w:val="009C20A8"/>
    <w:rsid w:val="009C2582"/>
    <w:rsid w:val="009C3701"/>
    <w:rsid w:val="009C6373"/>
    <w:rsid w:val="009D2384"/>
    <w:rsid w:val="009D3240"/>
    <w:rsid w:val="009D3A6E"/>
    <w:rsid w:val="009D4C7C"/>
    <w:rsid w:val="009D61D9"/>
    <w:rsid w:val="009D6240"/>
    <w:rsid w:val="009D624D"/>
    <w:rsid w:val="009D7380"/>
    <w:rsid w:val="009D79D8"/>
    <w:rsid w:val="009E0AB4"/>
    <w:rsid w:val="009E21FE"/>
    <w:rsid w:val="009E255E"/>
    <w:rsid w:val="009E4814"/>
    <w:rsid w:val="009E4942"/>
    <w:rsid w:val="009E5A10"/>
    <w:rsid w:val="009F0B67"/>
    <w:rsid w:val="009F1846"/>
    <w:rsid w:val="009F1E4B"/>
    <w:rsid w:val="009F249C"/>
    <w:rsid w:val="009F307E"/>
    <w:rsid w:val="009F50DE"/>
    <w:rsid w:val="009F54F9"/>
    <w:rsid w:val="009F6D34"/>
    <w:rsid w:val="009F7BB0"/>
    <w:rsid w:val="00A00D50"/>
    <w:rsid w:val="00A023AE"/>
    <w:rsid w:val="00A02B5C"/>
    <w:rsid w:val="00A036C5"/>
    <w:rsid w:val="00A03AD2"/>
    <w:rsid w:val="00A05005"/>
    <w:rsid w:val="00A05D06"/>
    <w:rsid w:val="00A064D5"/>
    <w:rsid w:val="00A07D84"/>
    <w:rsid w:val="00A10336"/>
    <w:rsid w:val="00A10CE2"/>
    <w:rsid w:val="00A1181A"/>
    <w:rsid w:val="00A1244E"/>
    <w:rsid w:val="00A12870"/>
    <w:rsid w:val="00A12CA2"/>
    <w:rsid w:val="00A133FA"/>
    <w:rsid w:val="00A13811"/>
    <w:rsid w:val="00A16B32"/>
    <w:rsid w:val="00A16DF1"/>
    <w:rsid w:val="00A16F1A"/>
    <w:rsid w:val="00A17A17"/>
    <w:rsid w:val="00A206F7"/>
    <w:rsid w:val="00A20B1F"/>
    <w:rsid w:val="00A20CFD"/>
    <w:rsid w:val="00A20DCB"/>
    <w:rsid w:val="00A232CA"/>
    <w:rsid w:val="00A235D0"/>
    <w:rsid w:val="00A26D02"/>
    <w:rsid w:val="00A27A7F"/>
    <w:rsid w:val="00A3276A"/>
    <w:rsid w:val="00A32D56"/>
    <w:rsid w:val="00A33D3A"/>
    <w:rsid w:val="00A341C7"/>
    <w:rsid w:val="00A349D2"/>
    <w:rsid w:val="00A34D65"/>
    <w:rsid w:val="00A35492"/>
    <w:rsid w:val="00A37C47"/>
    <w:rsid w:val="00A4044E"/>
    <w:rsid w:val="00A414CC"/>
    <w:rsid w:val="00A415D9"/>
    <w:rsid w:val="00A41A00"/>
    <w:rsid w:val="00A42869"/>
    <w:rsid w:val="00A4379F"/>
    <w:rsid w:val="00A4434D"/>
    <w:rsid w:val="00A45039"/>
    <w:rsid w:val="00A454E0"/>
    <w:rsid w:val="00A45546"/>
    <w:rsid w:val="00A4585A"/>
    <w:rsid w:val="00A459D6"/>
    <w:rsid w:val="00A45B12"/>
    <w:rsid w:val="00A462D5"/>
    <w:rsid w:val="00A46F7C"/>
    <w:rsid w:val="00A471A7"/>
    <w:rsid w:val="00A474A1"/>
    <w:rsid w:val="00A50B8A"/>
    <w:rsid w:val="00A51F40"/>
    <w:rsid w:val="00A5231C"/>
    <w:rsid w:val="00A53A29"/>
    <w:rsid w:val="00A54B26"/>
    <w:rsid w:val="00A55726"/>
    <w:rsid w:val="00A572BC"/>
    <w:rsid w:val="00A574DE"/>
    <w:rsid w:val="00A61049"/>
    <w:rsid w:val="00A62540"/>
    <w:rsid w:val="00A6287C"/>
    <w:rsid w:val="00A62C87"/>
    <w:rsid w:val="00A633DD"/>
    <w:rsid w:val="00A6517F"/>
    <w:rsid w:val="00A65C4D"/>
    <w:rsid w:val="00A670C9"/>
    <w:rsid w:val="00A67428"/>
    <w:rsid w:val="00A70260"/>
    <w:rsid w:val="00A70CF3"/>
    <w:rsid w:val="00A7155E"/>
    <w:rsid w:val="00A71E76"/>
    <w:rsid w:val="00A746FD"/>
    <w:rsid w:val="00A74EDE"/>
    <w:rsid w:val="00A75396"/>
    <w:rsid w:val="00A763AE"/>
    <w:rsid w:val="00A76B0D"/>
    <w:rsid w:val="00A80073"/>
    <w:rsid w:val="00A81AB5"/>
    <w:rsid w:val="00A81D2B"/>
    <w:rsid w:val="00A82510"/>
    <w:rsid w:val="00A82724"/>
    <w:rsid w:val="00A82C5A"/>
    <w:rsid w:val="00A83FF6"/>
    <w:rsid w:val="00A8561B"/>
    <w:rsid w:val="00A8620F"/>
    <w:rsid w:val="00A86AAB"/>
    <w:rsid w:val="00A87674"/>
    <w:rsid w:val="00A8769A"/>
    <w:rsid w:val="00A90D00"/>
    <w:rsid w:val="00A92EC0"/>
    <w:rsid w:val="00A92EED"/>
    <w:rsid w:val="00A94E41"/>
    <w:rsid w:val="00A95A15"/>
    <w:rsid w:val="00A967EB"/>
    <w:rsid w:val="00A9772B"/>
    <w:rsid w:val="00A97E8E"/>
    <w:rsid w:val="00AA0660"/>
    <w:rsid w:val="00AA1F5F"/>
    <w:rsid w:val="00AA2EAA"/>
    <w:rsid w:val="00AA3875"/>
    <w:rsid w:val="00AA404A"/>
    <w:rsid w:val="00AA40DC"/>
    <w:rsid w:val="00AA6228"/>
    <w:rsid w:val="00AA69A4"/>
    <w:rsid w:val="00AA7AA1"/>
    <w:rsid w:val="00AB2744"/>
    <w:rsid w:val="00AB274F"/>
    <w:rsid w:val="00AB3B51"/>
    <w:rsid w:val="00AB5C44"/>
    <w:rsid w:val="00AB5F30"/>
    <w:rsid w:val="00AB6BE3"/>
    <w:rsid w:val="00AB76E8"/>
    <w:rsid w:val="00AC00BE"/>
    <w:rsid w:val="00AC22B5"/>
    <w:rsid w:val="00AC37C3"/>
    <w:rsid w:val="00AC535B"/>
    <w:rsid w:val="00AC5D1D"/>
    <w:rsid w:val="00AC5EC6"/>
    <w:rsid w:val="00AC5F6A"/>
    <w:rsid w:val="00AC7600"/>
    <w:rsid w:val="00AC7784"/>
    <w:rsid w:val="00AD0B3C"/>
    <w:rsid w:val="00AD1AD3"/>
    <w:rsid w:val="00AD1CC0"/>
    <w:rsid w:val="00AD22B5"/>
    <w:rsid w:val="00AD3DB4"/>
    <w:rsid w:val="00AD5125"/>
    <w:rsid w:val="00AD55B2"/>
    <w:rsid w:val="00AD6F04"/>
    <w:rsid w:val="00AD747C"/>
    <w:rsid w:val="00AD785F"/>
    <w:rsid w:val="00AE0445"/>
    <w:rsid w:val="00AE119F"/>
    <w:rsid w:val="00AE1942"/>
    <w:rsid w:val="00AE3053"/>
    <w:rsid w:val="00AE32F9"/>
    <w:rsid w:val="00AE3985"/>
    <w:rsid w:val="00AE3ABA"/>
    <w:rsid w:val="00AE5E2D"/>
    <w:rsid w:val="00AE64FB"/>
    <w:rsid w:val="00AF012D"/>
    <w:rsid w:val="00AF1F04"/>
    <w:rsid w:val="00AF3D59"/>
    <w:rsid w:val="00AF574B"/>
    <w:rsid w:val="00AF6794"/>
    <w:rsid w:val="00AF6B14"/>
    <w:rsid w:val="00AF6C18"/>
    <w:rsid w:val="00AF7A87"/>
    <w:rsid w:val="00B0144D"/>
    <w:rsid w:val="00B016F7"/>
    <w:rsid w:val="00B02288"/>
    <w:rsid w:val="00B026CE"/>
    <w:rsid w:val="00B02BDD"/>
    <w:rsid w:val="00B055B9"/>
    <w:rsid w:val="00B078C2"/>
    <w:rsid w:val="00B12503"/>
    <w:rsid w:val="00B1288E"/>
    <w:rsid w:val="00B13977"/>
    <w:rsid w:val="00B13D85"/>
    <w:rsid w:val="00B14CBD"/>
    <w:rsid w:val="00B159C2"/>
    <w:rsid w:val="00B16296"/>
    <w:rsid w:val="00B1786A"/>
    <w:rsid w:val="00B203DA"/>
    <w:rsid w:val="00B206D8"/>
    <w:rsid w:val="00B24E55"/>
    <w:rsid w:val="00B26BC4"/>
    <w:rsid w:val="00B312C7"/>
    <w:rsid w:val="00B315D9"/>
    <w:rsid w:val="00B316B9"/>
    <w:rsid w:val="00B32E58"/>
    <w:rsid w:val="00B335A2"/>
    <w:rsid w:val="00B34371"/>
    <w:rsid w:val="00B37104"/>
    <w:rsid w:val="00B3748A"/>
    <w:rsid w:val="00B40045"/>
    <w:rsid w:val="00B411D7"/>
    <w:rsid w:val="00B42B0B"/>
    <w:rsid w:val="00B447D7"/>
    <w:rsid w:val="00B44DF1"/>
    <w:rsid w:val="00B4604F"/>
    <w:rsid w:val="00B47D0D"/>
    <w:rsid w:val="00B51D0F"/>
    <w:rsid w:val="00B52B7D"/>
    <w:rsid w:val="00B52F0F"/>
    <w:rsid w:val="00B531D2"/>
    <w:rsid w:val="00B53616"/>
    <w:rsid w:val="00B53CCA"/>
    <w:rsid w:val="00B54441"/>
    <w:rsid w:val="00B54A5F"/>
    <w:rsid w:val="00B5512D"/>
    <w:rsid w:val="00B560C2"/>
    <w:rsid w:val="00B56409"/>
    <w:rsid w:val="00B569E3"/>
    <w:rsid w:val="00B56F9B"/>
    <w:rsid w:val="00B60FB7"/>
    <w:rsid w:val="00B61CC3"/>
    <w:rsid w:val="00B6211E"/>
    <w:rsid w:val="00B627BE"/>
    <w:rsid w:val="00B62944"/>
    <w:rsid w:val="00B633A4"/>
    <w:rsid w:val="00B6420A"/>
    <w:rsid w:val="00B64919"/>
    <w:rsid w:val="00B6497F"/>
    <w:rsid w:val="00B65C34"/>
    <w:rsid w:val="00B65FA5"/>
    <w:rsid w:val="00B667C6"/>
    <w:rsid w:val="00B67EB8"/>
    <w:rsid w:val="00B711C1"/>
    <w:rsid w:val="00B719C2"/>
    <w:rsid w:val="00B733F9"/>
    <w:rsid w:val="00B7372C"/>
    <w:rsid w:val="00B73838"/>
    <w:rsid w:val="00B7421A"/>
    <w:rsid w:val="00B75267"/>
    <w:rsid w:val="00B75473"/>
    <w:rsid w:val="00B75F20"/>
    <w:rsid w:val="00B762FD"/>
    <w:rsid w:val="00B808A4"/>
    <w:rsid w:val="00B81371"/>
    <w:rsid w:val="00B8296B"/>
    <w:rsid w:val="00B83E2E"/>
    <w:rsid w:val="00B849B5"/>
    <w:rsid w:val="00B84B6C"/>
    <w:rsid w:val="00B866B8"/>
    <w:rsid w:val="00B86EAB"/>
    <w:rsid w:val="00B902E7"/>
    <w:rsid w:val="00B922D9"/>
    <w:rsid w:val="00B926D6"/>
    <w:rsid w:val="00B94C17"/>
    <w:rsid w:val="00B966BF"/>
    <w:rsid w:val="00B974B4"/>
    <w:rsid w:val="00B9772A"/>
    <w:rsid w:val="00BA0012"/>
    <w:rsid w:val="00BA0081"/>
    <w:rsid w:val="00BA2666"/>
    <w:rsid w:val="00BA3DCE"/>
    <w:rsid w:val="00BA4EEA"/>
    <w:rsid w:val="00BA4F66"/>
    <w:rsid w:val="00BA7987"/>
    <w:rsid w:val="00BA7CFA"/>
    <w:rsid w:val="00BB03D0"/>
    <w:rsid w:val="00BB1309"/>
    <w:rsid w:val="00BB2592"/>
    <w:rsid w:val="00BB3156"/>
    <w:rsid w:val="00BB32F4"/>
    <w:rsid w:val="00BB3C9C"/>
    <w:rsid w:val="00BB5CA9"/>
    <w:rsid w:val="00BB6001"/>
    <w:rsid w:val="00BB6662"/>
    <w:rsid w:val="00BB6B13"/>
    <w:rsid w:val="00BC0CE4"/>
    <w:rsid w:val="00BC260A"/>
    <w:rsid w:val="00BC2CF8"/>
    <w:rsid w:val="00BC30BF"/>
    <w:rsid w:val="00BC3150"/>
    <w:rsid w:val="00BC573E"/>
    <w:rsid w:val="00BC61B2"/>
    <w:rsid w:val="00BD010F"/>
    <w:rsid w:val="00BD02D5"/>
    <w:rsid w:val="00BD1076"/>
    <w:rsid w:val="00BD1B67"/>
    <w:rsid w:val="00BD335B"/>
    <w:rsid w:val="00BD33B6"/>
    <w:rsid w:val="00BD39BA"/>
    <w:rsid w:val="00BD3D7F"/>
    <w:rsid w:val="00BD4097"/>
    <w:rsid w:val="00BD4E41"/>
    <w:rsid w:val="00BD4F5D"/>
    <w:rsid w:val="00BD58D8"/>
    <w:rsid w:val="00BD6560"/>
    <w:rsid w:val="00BD680C"/>
    <w:rsid w:val="00BE00FA"/>
    <w:rsid w:val="00BE0C95"/>
    <w:rsid w:val="00BE0D6A"/>
    <w:rsid w:val="00BE108C"/>
    <w:rsid w:val="00BE268F"/>
    <w:rsid w:val="00BE46C5"/>
    <w:rsid w:val="00BE4FCA"/>
    <w:rsid w:val="00BE545A"/>
    <w:rsid w:val="00BE5E11"/>
    <w:rsid w:val="00BE67AB"/>
    <w:rsid w:val="00BE6C95"/>
    <w:rsid w:val="00BE74FA"/>
    <w:rsid w:val="00BE7E44"/>
    <w:rsid w:val="00BF0680"/>
    <w:rsid w:val="00BF0A54"/>
    <w:rsid w:val="00BF0F1C"/>
    <w:rsid w:val="00BF1B7F"/>
    <w:rsid w:val="00BF1C09"/>
    <w:rsid w:val="00BF49F2"/>
    <w:rsid w:val="00BF5657"/>
    <w:rsid w:val="00BF5FEC"/>
    <w:rsid w:val="00BF6747"/>
    <w:rsid w:val="00BF6B2E"/>
    <w:rsid w:val="00BF6B5B"/>
    <w:rsid w:val="00BF6D83"/>
    <w:rsid w:val="00BF704D"/>
    <w:rsid w:val="00BF7824"/>
    <w:rsid w:val="00C020F8"/>
    <w:rsid w:val="00C02535"/>
    <w:rsid w:val="00C02903"/>
    <w:rsid w:val="00C03581"/>
    <w:rsid w:val="00C04666"/>
    <w:rsid w:val="00C04D22"/>
    <w:rsid w:val="00C05995"/>
    <w:rsid w:val="00C07A48"/>
    <w:rsid w:val="00C11482"/>
    <w:rsid w:val="00C13C55"/>
    <w:rsid w:val="00C149E0"/>
    <w:rsid w:val="00C14AFD"/>
    <w:rsid w:val="00C14CDF"/>
    <w:rsid w:val="00C150E0"/>
    <w:rsid w:val="00C150F6"/>
    <w:rsid w:val="00C15419"/>
    <w:rsid w:val="00C16762"/>
    <w:rsid w:val="00C17637"/>
    <w:rsid w:val="00C17842"/>
    <w:rsid w:val="00C179FC"/>
    <w:rsid w:val="00C200E3"/>
    <w:rsid w:val="00C2038C"/>
    <w:rsid w:val="00C2054F"/>
    <w:rsid w:val="00C20EB1"/>
    <w:rsid w:val="00C210CD"/>
    <w:rsid w:val="00C2139F"/>
    <w:rsid w:val="00C2169E"/>
    <w:rsid w:val="00C218B6"/>
    <w:rsid w:val="00C21B00"/>
    <w:rsid w:val="00C2210C"/>
    <w:rsid w:val="00C230A3"/>
    <w:rsid w:val="00C24619"/>
    <w:rsid w:val="00C252F4"/>
    <w:rsid w:val="00C27ABF"/>
    <w:rsid w:val="00C3157F"/>
    <w:rsid w:val="00C315FB"/>
    <w:rsid w:val="00C317BD"/>
    <w:rsid w:val="00C31A00"/>
    <w:rsid w:val="00C32AF2"/>
    <w:rsid w:val="00C32E86"/>
    <w:rsid w:val="00C33279"/>
    <w:rsid w:val="00C336B9"/>
    <w:rsid w:val="00C37DED"/>
    <w:rsid w:val="00C41015"/>
    <w:rsid w:val="00C41EE1"/>
    <w:rsid w:val="00C43EDF"/>
    <w:rsid w:val="00C44029"/>
    <w:rsid w:val="00C45BF0"/>
    <w:rsid w:val="00C47468"/>
    <w:rsid w:val="00C54BEF"/>
    <w:rsid w:val="00C55F12"/>
    <w:rsid w:val="00C55FE8"/>
    <w:rsid w:val="00C609CB"/>
    <w:rsid w:val="00C60F5C"/>
    <w:rsid w:val="00C6138C"/>
    <w:rsid w:val="00C6220B"/>
    <w:rsid w:val="00C63CF2"/>
    <w:rsid w:val="00C648FC"/>
    <w:rsid w:val="00C661D1"/>
    <w:rsid w:val="00C663BE"/>
    <w:rsid w:val="00C71858"/>
    <w:rsid w:val="00C71B19"/>
    <w:rsid w:val="00C722C5"/>
    <w:rsid w:val="00C72EEB"/>
    <w:rsid w:val="00C73C34"/>
    <w:rsid w:val="00C744AE"/>
    <w:rsid w:val="00C74781"/>
    <w:rsid w:val="00C74850"/>
    <w:rsid w:val="00C75A73"/>
    <w:rsid w:val="00C75D27"/>
    <w:rsid w:val="00C7703D"/>
    <w:rsid w:val="00C77598"/>
    <w:rsid w:val="00C77C19"/>
    <w:rsid w:val="00C80034"/>
    <w:rsid w:val="00C80BCE"/>
    <w:rsid w:val="00C82032"/>
    <w:rsid w:val="00C83EA7"/>
    <w:rsid w:val="00C84559"/>
    <w:rsid w:val="00C8486C"/>
    <w:rsid w:val="00C85C39"/>
    <w:rsid w:val="00C85EC8"/>
    <w:rsid w:val="00C862C4"/>
    <w:rsid w:val="00C869B2"/>
    <w:rsid w:val="00C86B34"/>
    <w:rsid w:val="00C870F6"/>
    <w:rsid w:val="00C90AAF"/>
    <w:rsid w:val="00C90ADB"/>
    <w:rsid w:val="00C90FB4"/>
    <w:rsid w:val="00C90FC9"/>
    <w:rsid w:val="00C91E6F"/>
    <w:rsid w:val="00C92394"/>
    <w:rsid w:val="00C93405"/>
    <w:rsid w:val="00C9362D"/>
    <w:rsid w:val="00C936E7"/>
    <w:rsid w:val="00C94989"/>
    <w:rsid w:val="00C94C06"/>
    <w:rsid w:val="00C952CF"/>
    <w:rsid w:val="00C95593"/>
    <w:rsid w:val="00C965D0"/>
    <w:rsid w:val="00C96A63"/>
    <w:rsid w:val="00C97602"/>
    <w:rsid w:val="00CA1F79"/>
    <w:rsid w:val="00CA2022"/>
    <w:rsid w:val="00CA2A4E"/>
    <w:rsid w:val="00CA407B"/>
    <w:rsid w:val="00CA4422"/>
    <w:rsid w:val="00CA6AAE"/>
    <w:rsid w:val="00CA709B"/>
    <w:rsid w:val="00CB0101"/>
    <w:rsid w:val="00CB12C8"/>
    <w:rsid w:val="00CB1684"/>
    <w:rsid w:val="00CB3393"/>
    <w:rsid w:val="00CB3448"/>
    <w:rsid w:val="00CB371D"/>
    <w:rsid w:val="00CB3C69"/>
    <w:rsid w:val="00CB3C89"/>
    <w:rsid w:val="00CB3E21"/>
    <w:rsid w:val="00CB57BF"/>
    <w:rsid w:val="00CC0224"/>
    <w:rsid w:val="00CC053E"/>
    <w:rsid w:val="00CC2D8B"/>
    <w:rsid w:val="00CC2DE4"/>
    <w:rsid w:val="00CC360E"/>
    <w:rsid w:val="00CC399C"/>
    <w:rsid w:val="00CC48D6"/>
    <w:rsid w:val="00CC73D6"/>
    <w:rsid w:val="00CD0A20"/>
    <w:rsid w:val="00CD1D73"/>
    <w:rsid w:val="00CD2C1A"/>
    <w:rsid w:val="00CD6866"/>
    <w:rsid w:val="00CD6BD3"/>
    <w:rsid w:val="00CD6F46"/>
    <w:rsid w:val="00CD75EE"/>
    <w:rsid w:val="00CD76D4"/>
    <w:rsid w:val="00CD7893"/>
    <w:rsid w:val="00CE03CC"/>
    <w:rsid w:val="00CE0DB1"/>
    <w:rsid w:val="00CE2991"/>
    <w:rsid w:val="00CE5BD0"/>
    <w:rsid w:val="00CE670C"/>
    <w:rsid w:val="00CE7E6A"/>
    <w:rsid w:val="00CF030B"/>
    <w:rsid w:val="00CF23A2"/>
    <w:rsid w:val="00CF2F97"/>
    <w:rsid w:val="00CF335B"/>
    <w:rsid w:val="00CF3F0A"/>
    <w:rsid w:val="00CF523E"/>
    <w:rsid w:val="00CF5F6B"/>
    <w:rsid w:val="00CF6EB2"/>
    <w:rsid w:val="00D02D0F"/>
    <w:rsid w:val="00D03556"/>
    <w:rsid w:val="00D03A00"/>
    <w:rsid w:val="00D03B80"/>
    <w:rsid w:val="00D06181"/>
    <w:rsid w:val="00D11056"/>
    <w:rsid w:val="00D11F56"/>
    <w:rsid w:val="00D12D70"/>
    <w:rsid w:val="00D12EE7"/>
    <w:rsid w:val="00D1373C"/>
    <w:rsid w:val="00D14B06"/>
    <w:rsid w:val="00D160DB"/>
    <w:rsid w:val="00D17702"/>
    <w:rsid w:val="00D17C3D"/>
    <w:rsid w:val="00D225CB"/>
    <w:rsid w:val="00D240B5"/>
    <w:rsid w:val="00D25A9F"/>
    <w:rsid w:val="00D26101"/>
    <w:rsid w:val="00D2734A"/>
    <w:rsid w:val="00D276CF"/>
    <w:rsid w:val="00D30003"/>
    <w:rsid w:val="00D300EA"/>
    <w:rsid w:val="00D30114"/>
    <w:rsid w:val="00D306AB"/>
    <w:rsid w:val="00D30F33"/>
    <w:rsid w:val="00D31B93"/>
    <w:rsid w:val="00D33323"/>
    <w:rsid w:val="00D3469A"/>
    <w:rsid w:val="00D3478C"/>
    <w:rsid w:val="00D34A5C"/>
    <w:rsid w:val="00D35986"/>
    <w:rsid w:val="00D36799"/>
    <w:rsid w:val="00D37494"/>
    <w:rsid w:val="00D3789A"/>
    <w:rsid w:val="00D407B7"/>
    <w:rsid w:val="00D408E9"/>
    <w:rsid w:val="00D409B3"/>
    <w:rsid w:val="00D41E2D"/>
    <w:rsid w:val="00D4287D"/>
    <w:rsid w:val="00D42957"/>
    <w:rsid w:val="00D46BB5"/>
    <w:rsid w:val="00D47265"/>
    <w:rsid w:val="00D4793C"/>
    <w:rsid w:val="00D506E8"/>
    <w:rsid w:val="00D509E4"/>
    <w:rsid w:val="00D54BAA"/>
    <w:rsid w:val="00D55F9D"/>
    <w:rsid w:val="00D605FB"/>
    <w:rsid w:val="00D613AB"/>
    <w:rsid w:val="00D63990"/>
    <w:rsid w:val="00D63E87"/>
    <w:rsid w:val="00D64B3C"/>
    <w:rsid w:val="00D65068"/>
    <w:rsid w:val="00D6518B"/>
    <w:rsid w:val="00D65243"/>
    <w:rsid w:val="00D658A1"/>
    <w:rsid w:val="00D704E6"/>
    <w:rsid w:val="00D707F7"/>
    <w:rsid w:val="00D71699"/>
    <w:rsid w:val="00D738F0"/>
    <w:rsid w:val="00D74FD3"/>
    <w:rsid w:val="00D7550E"/>
    <w:rsid w:val="00D76195"/>
    <w:rsid w:val="00D77436"/>
    <w:rsid w:val="00D81191"/>
    <w:rsid w:val="00D81AB1"/>
    <w:rsid w:val="00D82CB3"/>
    <w:rsid w:val="00D82FC0"/>
    <w:rsid w:val="00D8322A"/>
    <w:rsid w:val="00D83746"/>
    <w:rsid w:val="00D83C17"/>
    <w:rsid w:val="00D845E3"/>
    <w:rsid w:val="00D84FFF"/>
    <w:rsid w:val="00D852AC"/>
    <w:rsid w:val="00D85885"/>
    <w:rsid w:val="00D85A93"/>
    <w:rsid w:val="00D8720F"/>
    <w:rsid w:val="00D87527"/>
    <w:rsid w:val="00D87652"/>
    <w:rsid w:val="00D9060C"/>
    <w:rsid w:val="00D92D08"/>
    <w:rsid w:val="00D9372E"/>
    <w:rsid w:val="00D9392E"/>
    <w:rsid w:val="00D93EE0"/>
    <w:rsid w:val="00D947F0"/>
    <w:rsid w:val="00D963CC"/>
    <w:rsid w:val="00D9640E"/>
    <w:rsid w:val="00D97F59"/>
    <w:rsid w:val="00DA0EAA"/>
    <w:rsid w:val="00DA39FF"/>
    <w:rsid w:val="00DA3A4F"/>
    <w:rsid w:val="00DA3A77"/>
    <w:rsid w:val="00DA3F4B"/>
    <w:rsid w:val="00DA42C0"/>
    <w:rsid w:val="00DA52A2"/>
    <w:rsid w:val="00DA77AE"/>
    <w:rsid w:val="00DA7DC1"/>
    <w:rsid w:val="00DA7E2F"/>
    <w:rsid w:val="00DB0C0B"/>
    <w:rsid w:val="00DB1C9B"/>
    <w:rsid w:val="00DB27F7"/>
    <w:rsid w:val="00DB31E7"/>
    <w:rsid w:val="00DB3A66"/>
    <w:rsid w:val="00DB4037"/>
    <w:rsid w:val="00DB4AC0"/>
    <w:rsid w:val="00DB4BEF"/>
    <w:rsid w:val="00DB78B2"/>
    <w:rsid w:val="00DB7AE9"/>
    <w:rsid w:val="00DC230C"/>
    <w:rsid w:val="00DC2CE7"/>
    <w:rsid w:val="00DC301A"/>
    <w:rsid w:val="00DC30B5"/>
    <w:rsid w:val="00DC6AEA"/>
    <w:rsid w:val="00DC7377"/>
    <w:rsid w:val="00DD3C18"/>
    <w:rsid w:val="00DD4849"/>
    <w:rsid w:val="00DE0FC0"/>
    <w:rsid w:val="00DE22C9"/>
    <w:rsid w:val="00DE251A"/>
    <w:rsid w:val="00DE347A"/>
    <w:rsid w:val="00DE3A31"/>
    <w:rsid w:val="00DE7DDA"/>
    <w:rsid w:val="00DE7E44"/>
    <w:rsid w:val="00DF0DD2"/>
    <w:rsid w:val="00DF13A5"/>
    <w:rsid w:val="00DF1C93"/>
    <w:rsid w:val="00DF1E5D"/>
    <w:rsid w:val="00DF2ABA"/>
    <w:rsid w:val="00DF419C"/>
    <w:rsid w:val="00DF51C5"/>
    <w:rsid w:val="00DF6844"/>
    <w:rsid w:val="00DF7149"/>
    <w:rsid w:val="00DF72C7"/>
    <w:rsid w:val="00E01188"/>
    <w:rsid w:val="00E01E64"/>
    <w:rsid w:val="00E02679"/>
    <w:rsid w:val="00E03246"/>
    <w:rsid w:val="00E03508"/>
    <w:rsid w:val="00E03941"/>
    <w:rsid w:val="00E03C0E"/>
    <w:rsid w:val="00E041D1"/>
    <w:rsid w:val="00E06176"/>
    <w:rsid w:val="00E065F2"/>
    <w:rsid w:val="00E06AFA"/>
    <w:rsid w:val="00E073C2"/>
    <w:rsid w:val="00E07E4D"/>
    <w:rsid w:val="00E10C25"/>
    <w:rsid w:val="00E1123F"/>
    <w:rsid w:val="00E12CF5"/>
    <w:rsid w:val="00E12D1C"/>
    <w:rsid w:val="00E1327D"/>
    <w:rsid w:val="00E14317"/>
    <w:rsid w:val="00E14EF0"/>
    <w:rsid w:val="00E14F41"/>
    <w:rsid w:val="00E16412"/>
    <w:rsid w:val="00E165DD"/>
    <w:rsid w:val="00E17463"/>
    <w:rsid w:val="00E17910"/>
    <w:rsid w:val="00E17BD3"/>
    <w:rsid w:val="00E17F3A"/>
    <w:rsid w:val="00E21392"/>
    <w:rsid w:val="00E21F52"/>
    <w:rsid w:val="00E227C3"/>
    <w:rsid w:val="00E22843"/>
    <w:rsid w:val="00E22E88"/>
    <w:rsid w:val="00E244F5"/>
    <w:rsid w:val="00E24C79"/>
    <w:rsid w:val="00E2578C"/>
    <w:rsid w:val="00E25C98"/>
    <w:rsid w:val="00E26881"/>
    <w:rsid w:val="00E26C1E"/>
    <w:rsid w:val="00E26DFE"/>
    <w:rsid w:val="00E2713B"/>
    <w:rsid w:val="00E27D5D"/>
    <w:rsid w:val="00E31B31"/>
    <w:rsid w:val="00E32DDF"/>
    <w:rsid w:val="00E32E34"/>
    <w:rsid w:val="00E33108"/>
    <w:rsid w:val="00E33EB2"/>
    <w:rsid w:val="00E34706"/>
    <w:rsid w:val="00E37290"/>
    <w:rsid w:val="00E42F84"/>
    <w:rsid w:val="00E43ABE"/>
    <w:rsid w:val="00E43DA5"/>
    <w:rsid w:val="00E445BD"/>
    <w:rsid w:val="00E45726"/>
    <w:rsid w:val="00E457C2"/>
    <w:rsid w:val="00E47A5F"/>
    <w:rsid w:val="00E507A5"/>
    <w:rsid w:val="00E50F87"/>
    <w:rsid w:val="00E51DFC"/>
    <w:rsid w:val="00E51E1E"/>
    <w:rsid w:val="00E528D2"/>
    <w:rsid w:val="00E54E89"/>
    <w:rsid w:val="00E6002A"/>
    <w:rsid w:val="00E601CE"/>
    <w:rsid w:val="00E602CF"/>
    <w:rsid w:val="00E61EE8"/>
    <w:rsid w:val="00E62441"/>
    <w:rsid w:val="00E63879"/>
    <w:rsid w:val="00E64EAF"/>
    <w:rsid w:val="00E66EE6"/>
    <w:rsid w:val="00E701D0"/>
    <w:rsid w:val="00E71633"/>
    <w:rsid w:val="00E71A61"/>
    <w:rsid w:val="00E71C2E"/>
    <w:rsid w:val="00E72689"/>
    <w:rsid w:val="00E730AA"/>
    <w:rsid w:val="00E76F52"/>
    <w:rsid w:val="00E772AB"/>
    <w:rsid w:val="00E803E8"/>
    <w:rsid w:val="00E82084"/>
    <w:rsid w:val="00E82B54"/>
    <w:rsid w:val="00E838B2"/>
    <w:rsid w:val="00E83C86"/>
    <w:rsid w:val="00E83DF6"/>
    <w:rsid w:val="00E84521"/>
    <w:rsid w:val="00E85048"/>
    <w:rsid w:val="00E856B0"/>
    <w:rsid w:val="00E858B4"/>
    <w:rsid w:val="00E8681B"/>
    <w:rsid w:val="00E86AE6"/>
    <w:rsid w:val="00E86BA5"/>
    <w:rsid w:val="00E86C2A"/>
    <w:rsid w:val="00E86CA1"/>
    <w:rsid w:val="00E9033F"/>
    <w:rsid w:val="00E906C3"/>
    <w:rsid w:val="00E90A65"/>
    <w:rsid w:val="00E91E35"/>
    <w:rsid w:val="00E92819"/>
    <w:rsid w:val="00E937B5"/>
    <w:rsid w:val="00E93C6B"/>
    <w:rsid w:val="00E9442F"/>
    <w:rsid w:val="00E95AFF"/>
    <w:rsid w:val="00E969D2"/>
    <w:rsid w:val="00EA0CA1"/>
    <w:rsid w:val="00EA3249"/>
    <w:rsid w:val="00EA3C59"/>
    <w:rsid w:val="00EA4BEE"/>
    <w:rsid w:val="00EA5118"/>
    <w:rsid w:val="00EA600C"/>
    <w:rsid w:val="00EA6DD2"/>
    <w:rsid w:val="00EA7A8D"/>
    <w:rsid w:val="00EB0DF0"/>
    <w:rsid w:val="00EB1A2C"/>
    <w:rsid w:val="00EB1B4D"/>
    <w:rsid w:val="00EB385D"/>
    <w:rsid w:val="00EB40DC"/>
    <w:rsid w:val="00EB743F"/>
    <w:rsid w:val="00EB781A"/>
    <w:rsid w:val="00EC064C"/>
    <w:rsid w:val="00EC0BFA"/>
    <w:rsid w:val="00EC115D"/>
    <w:rsid w:val="00EC3328"/>
    <w:rsid w:val="00EC34A9"/>
    <w:rsid w:val="00EC3934"/>
    <w:rsid w:val="00EC3BEB"/>
    <w:rsid w:val="00EC66E6"/>
    <w:rsid w:val="00EC6DB6"/>
    <w:rsid w:val="00EC6FAC"/>
    <w:rsid w:val="00EC7352"/>
    <w:rsid w:val="00ED2270"/>
    <w:rsid w:val="00ED29ED"/>
    <w:rsid w:val="00ED4587"/>
    <w:rsid w:val="00ED512E"/>
    <w:rsid w:val="00ED5477"/>
    <w:rsid w:val="00ED5AF4"/>
    <w:rsid w:val="00ED687C"/>
    <w:rsid w:val="00EE0293"/>
    <w:rsid w:val="00EE048D"/>
    <w:rsid w:val="00EE0A95"/>
    <w:rsid w:val="00EE0ACB"/>
    <w:rsid w:val="00EE0F2F"/>
    <w:rsid w:val="00EE107C"/>
    <w:rsid w:val="00EE1531"/>
    <w:rsid w:val="00EE280E"/>
    <w:rsid w:val="00EE3E9C"/>
    <w:rsid w:val="00EE4D4C"/>
    <w:rsid w:val="00EE4FBE"/>
    <w:rsid w:val="00EE706E"/>
    <w:rsid w:val="00EE754B"/>
    <w:rsid w:val="00EF1AD7"/>
    <w:rsid w:val="00EF2E2B"/>
    <w:rsid w:val="00EF34D2"/>
    <w:rsid w:val="00EF42F4"/>
    <w:rsid w:val="00EF4C26"/>
    <w:rsid w:val="00EF5CC0"/>
    <w:rsid w:val="00EF5E4C"/>
    <w:rsid w:val="00EF7162"/>
    <w:rsid w:val="00F01360"/>
    <w:rsid w:val="00F02E9D"/>
    <w:rsid w:val="00F04044"/>
    <w:rsid w:val="00F046C8"/>
    <w:rsid w:val="00F047AB"/>
    <w:rsid w:val="00F05DE1"/>
    <w:rsid w:val="00F068E2"/>
    <w:rsid w:val="00F06E21"/>
    <w:rsid w:val="00F07200"/>
    <w:rsid w:val="00F07353"/>
    <w:rsid w:val="00F07748"/>
    <w:rsid w:val="00F10319"/>
    <w:rsid w:val="00F10D6B"/>
    <w:rsid w:val="00F126D9"/>
    <w:rsid w:val="00F12CDC"/>
    <w:rsid w:val="00F13E45"/>
    <w:rsid w:val="00F147C6"/>
    <w:rsid w:val="00F15162"/>
    <w:rsid w:val="00F15D5F"/>
    <w:rsid w:val="00F160E5"/>
    <w:rsid w:val="00F16381"/>
    <w:rsid w:val="00F21705"/>
    <w:rsid w:val="00F231FC"/>
    <w:rsid w:val="00F23AEF"/>
    <w:rsid w:val="00F25E84"/>
    <w:rsid w:val="00F2706D"/>
    <w:rsid w:val="00F27818"/>
    <w:rsid w:val="00F27ADB"/>
    <w:rsid w:val="00F31039"/>
    <w:rsid w:val="00F31178"/>
    <w:rsid w:val="00F31D0B"/>
    <w:rsid w:val="00F32971"/>
    <w:rsid w:val="00F3349F"/>
    <w:rsid w:val="00F33670"/>
    <w:rsid w:val="00F3400B"/>
    <w:rsid w:val="00F3458B"/>
    <w:rsid w:val="00F34889"/>
    <w:rsid w:val="00F35C44"/>
    <w:rsid w:val="00F35CC5"/>
    <w:rsid w:val="00F36C7A"/>
    <w:rsid w:val="00F373B4"/>
    <w:rsid w:val="00F378CB"/>
    <w:rsid w:val="00F40C05"/>
    <w:rsid w:val="00F40E86"/>
    <w:rsid w:val="00F40F5B"/>
    <w:rsid w:val="00F42168"/>
    <w:rsid w:val="00F425B3"/>
    <w:rsid w:val="00F43821"/>
    <w:rsid w:val="00F4414A"/>
    <w:rsid w:val="00F44C78"/>
    <w:rsid w:val="00F4520C"/>
    <w:rsid w:val="00F45287"/>
    <w:rsid w:val="00F452C0"/>
    <w:rsid w:val="00F459E6"/>
    <w:rsid w:val="00F46070"/>
    <w:rsid w:val="00F471CC"/>
    <w:rsid w:val="00F50E9E"/>
    <w:rsid w:val="00F51CBB"/>
    <w:rsid w:val="00F51DD3"/>
    <w:rsid w:val="00F53AC2"/>
    <w:rsid w:val="00F53C08"/>
    <w:rsid w:val="00F53C70"/>
    <w:rsid w:val="00F550C2"/>
    <w:rsid w:val="00F55D7B"/>
    <w:rsid w:val="00F575AC"/>
    <w:rsid w:val="00F602FE"/>
    <w:rsid w:val="00F60C62"/>
    <w:rsid w:val="00F61B52"/>
    <w:rsid w:val="00F6299D"/>
    <w:rsid w:val="00F63F1D"/>
    <w:rsid w:val="00F645AF"/>
    <w:rsid w:val="00F6577C"/>
    <w:rsid w:val="00F66BC9"/>
    <w:rsid w:val="00F67946"/>
    <w:rsid w:val="00F70BC9"/>
    <w:rsid w:val="00F70DCA"/>
    <w:rsid w:val="00F72B99"/>
    <w:rsid w:val="00F72CCD"/>
    <w:rsid w:val="00F72E9F"/>
    <w:rsid w:val="00F73160"/>
    <w:rsid w:val="00F732B1"/>
    <w:rsid w:val="00F739E9"/>
    <w:rsid w:val="00F777FF"/>
    <w:rsid w:val="00F77F62"/>
    <w:rsid w:val="00F81620"/>
    <w:rsid w:val="00F82323"/>
    <w:rsid w:val="00F84240"/>
    <w:rsid w:val="00F85237"/>
    <w:rsid w:val="00F854D7"/>
    <w:rsid w:val="00F8564F"/>
    <w:rsid w:val="00F87844"/>
    <w:rsid w:val="00F87DAE"/>
    <w:rsid w:val="00F9000A"/>
    <w:rsid w:val="00F9002A"/>
    <w:rsid w:val="00F90CC8"/>
    <w:rsid w:val="00F911B2"/>
    <w:rsid w:val="00F91301"/>
    <w:rsid w:val="00F91EEE"/>
    <w:rsid w:val="00F94E43"/>
    <w:rsid w:val="00F95929"/>
    <w:rsid w:val="00F95E1D"/>
    <w:rsid w:val="00F95F7E"/>
    <w:rsid w:val="00F97AFE"/>
    <w:rsid w:val="00F97F3F"/>
    <w:rsid w:val="00FA0128"/>
    <w:rsid w:val="00FA0214"/>
    <w:rsid w:val="00FA1786"/>
    <w:rsid w:val="00FA215F"/>
    <w:rsid w:val="00FA2160"/>
    <w:rsid w:val="00FA2E55"/>
    <w:rsid w:val="00FA3191"/>
    <w:rsid w:val="00FA3981"/>
    <w:rsid w:val="00FA448D"/>
    <w:rsid w:val="00FA4835"/>
    <w:rsid w:val="00FA5AE3"/>
    <w:rsid w:val="00FA73DD"/>
    <w:rsid w:val="00FB0E32"/>
    <w:rsid w:val="00FB13C2"/>
    <w:rsid w:val="00FB1677"/>
    <w:rsid w:val="00FB1953"/>
    <w:rsid w:val="00FB380D"/>
    <w:rsid w:val="00FB76C5"/>
    <w:rsid w:val="00FC026A"/>
    <w:rsid w:val="00FC214C"/>
    <w:rsid w:val="00FC2414"/>
    <w:rsid w:val="00FC2479"/>
    <w:rsid w:val="00FC2C4D"/>
    <w:rsid w:val="00FC3245"/>
    <w:rsid w:val="00FC44A1"/>
    <w:rsid w:val="00FC4DEB"/>
    <w:rsid w:val="00FC54AA"/>
    <w:rsid w:val="00FC6D86"/>
    <w:rsid w:val="00FC77FF"/>
    <w:rsid w:val="00FC7E40"/>
    <w:rsid w:val="00FD1351"/>
    <w:rsid w:val="00FD22AA"/>
    <w:rsid w:val="00FD38A5"/>
    <w:rsid w:val="00FD4B65"/>
    <w:rsid w:val="00FD670E"/>
    <w:rsid w:val="00FD6729"/>
    <w:rsid w:val="00FD776B"/>
    <w:rsid w:val="00FD7EFE"/>
    <w:rsid w:val="00FE2025"/>
    <w:rsid w:val="00FE2D41"/>
    <w:rsid w:val="00FE2D9D"/>
    <w:rsid w:val="00FE3280"/>
    <w:rsid w:val="00FE3AFE"/>
    <w:rsid w:val="00FE4790"/>
    <w:rsid w:val="00FE49E3"/>
    <w:rsid w:val="00FE4E1B"/>
    <w:rsid w:val="00FE6019"/>
    <w:rsid w:val="00FE7904"/>
    <w:rsid w:val="00FE79C6"/>
    <w:rsid w:val="00FF0139"/>
    <w:rsid w:val="00FF0AD1"/>
    <w:rsid w:val="00FF1A04"/>
    <w:rsid w:val="00FF2F56"/>
    <w:rsid w:val="00FF3373"/>
    <w:rsid w:val="00FF3B7B"/>
    <w:rsid w:val="00FF3D45"/>
    <w:rsid w:val="00FF4646"/>
    <w:rsid w:val="00FF55AA"/>
    <w:rsid w:val="00FF6073"/>
    <w:rsid w:val="00FF75DF"/>
    <w:rsid w:val="00FF7A5B"/>
    <w:rsid w:val="00FF7B16"/>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7A4418CD"/>
  <w14:defaultImageDpi w14:val="300"/>
  <w15:docId w15:val="{FFFE8A14-BDCF-7746-AB62-CA1D4F1867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35EBF"/>
    <w:rPr>
      <w:rFonts w:ascii="Times New Roman" w:eastAsia="Times New Roman" w:hAnsi="Times New Roman" w:cs="Times New Roman"/>
      <w:lang w:val="es-US" w:eastAsia="es-ES_tradnl"/>
    </w:rPr>
  </w:style>
  <w:style w:type="paragraph" w:styleId="Ttulo1">
    <w:name w:val="heading 1"/>
    <w:basedOn w:val="Normal"/>
    <w:next w:val="Normal"/>
    <w:link w:val="Ttulo1Car"/>
    <w:uiPriority w:val="9"/>
    <w:qFormat/>
    <w:rsid w:val="005E55F2"/>
    <w:pPr>
      <w:keepNext/>
      <w:keepLines/>
      <w:spacing w:before="240" w:line="259" w:lineRule="auto"/>
      <w:outlineLvl w:val="0"/>
    </w:pPr>
    <w:rPr>
      <w:rFonts w:ascii="Palatino Linotype" w:eastAsiaTheme="majorEastAsia" w:hAnsi="Palatino Linotype" w:cstheme="majorBidi"/>
      <w:szCs w:val="32"/>
      <w:lang w:val="es-MX" w:eastAsia="en-US"/>
    </w:rPr>
  </w:style>
  <w:style w:type="paragraph" w:styleId="Ttulo2">
    <w:name w:val="heading 2"/>
    <w:basedOn w:val="Normal"/>
    <w:next w:val="Normal"/>
    <w:link w:val="Ttulo2Car"/>
    <w:uiPriority w:val="9"/>
    <w:unhideWhenUsed/>
    <w:qFormat/>
    <w:rsid w:val="00A349D2"/>
    <w:pPr>
      <w:keepNext/>
      <w:keepLines/>
      <w:spacing w:before="40" w:line="259"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styleId="Ttulo3">
    <w:name w:val="heading 3"/>
    <w:basedOn w:val="Normal"/>
    <w:next w:val="Normal"/>
    <w:link w:val="Ttulo3Car"/>
    <w:uiPriority w:val="9"/>
    <w:semiHidden/>
    <w:unhideWhenUsed/>
    <w:qFormat/>
    <w:rsid w:val="00113B08"/>
    <w:pPr>
      <w:keepNext/>
      <w:keepLines/>
      <w:spacing w:before="40"/>
      <w:outlineLvl w:val="2"/>
    </w:pPr>
    <w:rPr>
      <w:rFonts w:asciiTheme="majorHAnsi" w:eastAsiaTheme="majorEastAsia" w:hAnsiTheme="majorHAnsi" w:cstheme="majorBidi"/>
      <w:color w:val="243F60" w:themeColor="accent1" w:themeShade="7F"/>
      <w:lang w:val="es-ES_tradnl" w:eastAsia="es-ES"/>
    </w:rPr>
  </w:style>
  <w:style w:type="paragraph" w:styleId="Ttulo4">
    <w:name w:val="heading 4"/>
    <w:basedOn w:val="Normal"/>
    <w:next w:val="Normal"/>
    <w:link w:val="Ttulo4Car"/>
    <w:uiPriority w:val="9"/>
    <w:unhideWhenUsed/>
    <w:qFormat/>
    <w:rsid w:val="00E772AB"/>
    <w:pPr>
      <w:keepNext/>
      <w:keepLines/>
      <w:spacing w:before="40"/>
      <w:outlineLvl w:val="3"/>
    </w:pPr>
    <w:rPr>
      <w:rFonts w:asciiTheme="majorHAnsi" w:eastAsiaTheme="majorEastAsia" w:hAnsiTheme="majorHAnsi" w:cstheme="majorBidi"/>
      <w:i/>
      <w:iCs/>
      <w:color w:val="365F91" w:themeColor="accent1" w:themeShade="BF"/>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87366"/>
    <w:pPr>
      <w:tabs>
        <w:tab w:val="center" w:pos="4252"/>
        <w:tab w:val="right" w:pos="8504"/>
      </w:tabs>
    </w:pPr>
    <w:rPr>
      <w:rFonts w:asciiTheme="minorHAnsi" w:eastAsiaTheme="minorEastAsia" w:hAnsiTheme="minorHAnsi" w:cstheme="minorBidi"/>
      <w:lang w:val="es-ES_tradnl" w:eastAsia="es-ES"/>
    </w:rPr>
  </w:style>
  <w:style w:type="character" w:customStyle="1" w:styleId="EncabezadoCar">
    <w:name w:val="Encabezado Car"/>
    <w:basedOn w:val="Fuentedeprrafopredeter"/>
    <w:link w:val="Encabezado"/>
    <w:uiPriority w:val="99"/>
    <w:rsid w:val="00587366"/>
  </w:style>
  <w:style w:type="paragraph" w:styleId="Piedepgina">
    <w:name w:val="footer"/>
    <w:basedOn w:val="Normal"/>
    <w:link w:val="PiedepginaCar"/>
    <w:uiPriority w:val="99"/>
    <w:unhideWhenUsed/>
    <w:rsid w:val="00587366"/>
    <w:pPr>
      <w:tabs>
        <w:tab w:val="center" w:pos="4252"/>
        <w:tab w:val="right" w:pos="8504"/>
      </w:tabs>
    </w:pPr>
    <w:rPr>
      <w:rFonts w:asciiTheme="minorHAnsi" w:eastAsiaTheme="minorEastAsia" w:hAnsiTheme="minorHAnsi" w:cstheme="minorBidi"/>
      <w:lang w:val="es-ES_tradnl" w:eastAsia="es-ES"/>
    </w:rPr>
  </w:style>
  <w:style w:type="character" w:customStyle="1" w:styleId="PiedepginaCar">
    <w:name w:val="Pie de página Car"/>
    <w:basedOn w:val="Fuentedeprrafopredeter"/>
    <w:link w:val="Piedepgina"/>
    <w:uiPriority w:val="99"/>
    <w:rsid w:val="00587366"/>
  </w:style>
  <w:style w:type="table" w:styleId="Tablaconcuadrcula">
    <w:name w:val="Table Grid"/>
    <w:basedOn w:val="Tablanormal"/>
    <w:uiPriority w:val="39"/>
    <w:rsid w:val="00587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8736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87366"/>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62C69"/>
    <w:pPr>
      <w:ind w:left="720"/>
      <w:contextualSpacing/>
    </w:pPr>
    <w:rPr>
      <w:rFonts w:asciiTheme="minorHAnsi" w:eastAsiaTheme="minorEastAsia" w:hAnsiTheme="minorHAnsi" w:cstheme="minorBidi"/>
      <w:lang w:val="es-ES_tradnl" w:eastAsia="es-ES"/>
    </w:rPr>
  </w:style>
  <w:style w:type="paragraph" w:styleId="Sinespaciado">
    <w:name w:val="No Spacing"/>
    <w:aliases w:val="Francesa"/>
    <w:link w:val="SinespaciadoCar"/>
    <w:uiPriority w:val="1"/>
    <w:qFormat/>
    <w:rsid w:val="00166794"/>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A3513"/>
  </w:style>
  <w:style w:type="character" w:styleId="Hipervnculo">
    <w:name w:val="Hyperlink"/>
    <w:aliases w:val="Hipervínculo1,Hipervínculo11,Hipervínculo12,Hipervínculo13,Hipervínculo14,Hipervínculo15"/>
    <w:basedOn w:val="Fuentedeprrafopredeter"/>
    <w:uiPriority w:val="99"/>
    <w:unhideWhenUsed/>
    <w:rsid w:val="008167F5"/>
    <w:rPr>
      <w:color w:val="0000FF" w:themeColor="hyperlink"/>
      <w:u w:val="single"/>
    </w:rPr>
  </w:style>
  <w:style w:type="paragraph" w:styleId="TDC1">
    <w:name w:val="toc 1"/>
    <w:basedOn w:val="Normal"/>
    <w:next w:val="Normal"/>
    <w:autoRedefine/>
    <w:uiPriority w:val="39"/>
    <w:unhideWhenUsed/>
    <w:rsid w:val="00313AF4"/>
    <w:pPr>
      <w:tabs>
        <w:tab w:val="left" w:pos="440"/>
        <w:tab w:val="right" w:leader="dot" w:pos="8828"/>
      </w:tabs>
      <w:spacing w:after="100" w:line="480" w:lineRule="auto"/>
      <w:ind w:left="708"/>
      <w:jc w:val="both"/>
    </w:pPr>
    <w:rPr>
      <w:rFonts w:asciiTheme="minorHAnsi" w:eastAsiaTheme="minorEastAsia" w:hAnsiTheme="minorHAnsi" w:cstheme="minorBidi"/>
      <w:lang w:val="es-ES_tradnl" w:eastAsia="es-ES"/>
    </w:rPr>
  </w:style>
  <w:style w:type="paragraph" w:styleId="TDC2">
    <w:name w:val="toc 2"/>
    <w:basedOn w:val="Normal"/>
    <w:next w:val="Normal"/>
    <w:autoRedefine/>
    <w:uiPriority w:val="39"/>
    <w:unhideWhenUsed/>
    <w:rsid w:val="00313AF4"/>
    <w:pPr>
      <w:tabs>
        <w:tab w:val="right" w:leader="dot" w:pos="9676"/>
      </w:tabs>
      <w:spacing w:after="100" w:line="480" w:lineRule="auto"/>
      <w:ind w:left="948" w:hanging="240"/>
    </w:pPr>
    <w:rPr>
      <w:rFonts w:asciiTheme="minorHAnsi" w:eastAsiaTheme="minorEastAsia" w:hAnsiTheme="minorHAnsi" w:cstheme="minorBidi"/>
      <w:lang w:val="es-ES_tradnl" w:eastAsia="es-ES"/>
    </w:rPr>
  </w:style>
  <w:style w:type="character" w:styleId="Refdecomentario">
    <w:name w:val="annotation reference"/>
    <w:basedOn w:val="Fuentedeprrafopredeter"/>
    <w:uiPriority w:val="99"/>
    <w:semiHidden/>
    <w:unhideWhenUsed/>
    <w:rsid w:val="00750A80"/>
    <w:rPr>
      <w:sz w:val="16"/>
      <w:szCs w:val="16"/>
    </w:rPr>
  </w:style>
  <w:style w:type="paragraph" w:styleId="Textocomentario">
    <w:name w:val="annotation text"/>
    <w:basedOn w:val="Normal"/>
    <w:link w:val="TextocomentarioCar"/>
    <w:uiPriority w:val="99"/>
    <w:semiHidden/>
    <w:unhideWhenUsed/>
    <w:rsid w:val="00750A80"/>
    <w:rPr>
      <w:sz w:val="20"/>
      <w:szCs w:val="20"/>
    </w:rPr>
  </w:style>
  <w:style w:type="character" w:customStyle="1" w:styleId="TextocomentarioCar">
    <w:name w:val="Texto comentario Car"/>
    <w:basedOn w:val="Fuentedeprrafopredeter"/>
    <w:link w:val="Textocomentario"/>
    <w:uiPriority w:val="99"/>
    <w:semiHidden/>
    <w:rsid w:val="00750A80"/>
    <w:rPr>
      <w:sz w:val="20"/>
      <w:szCs w:val="20"/>
    </w:rPr>
  </w:style>
  <w:style w:type="paragraph" w:styleId="Asuntodelcomentario">
    <w:name w:val="annotation subject"/>
    <w:basedOn w:val="Textocomentario"/>
    <w:next w:val="Textocomentario"/>
    <w:link w:val="AsuntodelcomentarioCar"/>
    <w:uiPriority w:val="99"/>
    <w:semiHidden/>
    <w:unhideWhenUsed/>
    <w:rsid w:val="00750A80"/>
    <w:rPr>
      <w:b/>
      <w:bCs/>
    </w:rPr>
  </w:style>
  <w:style w:type="character" w:customStyle="1" w:styleId="AsuntodelcomentarioCar">
    <w:name w:val="Asunto del comentario Car"/>
    <w:basedOn w:val="TextocomentarioCar"/>
    <w:link w:val="Asuntodelcomentario"/>
    <w:uiPriority w:val="99"/>
    <w:semiHidden/>
    <w:rsid w:val="00750A80"/>
    <w:rPr>
      <w:b/>
      <w:bCs/>
      <w:sz w:val="20"/>
      <w:szCs w:val="20"/>
    </w:rPr>
  </w:style>
  <w:style w:type="character" w:customStyle="1" w:styleId="Ttulo1Car">
    <w:name w:val="Título 1 Car"/>
    <w:basedOn w:val="Fuentedeprrafopredeter"/>
    <w:link w:val="Ttulo1"/>
    <w:uiPriority w:val="9"/>
    <w:rsid w:val="005E55F2"/>
    <w:rPr>
      <w:rFonts w:ascii="Palatino Linotype" w:eastAsiaTheme="majorEastAsia" w:hAnsi="Palatino Linotype" w:cstheme="majorBidi"/>
      <w:szCs w:val="32"/>
      <w:lang w:val="es-MX" w:eastAsia="en-US"/>
    </w:rPr>
  </w:style>
  <w:style w:type="character" w:customStyle="1" w:styleId="Ttulo2Car">
    <w:name w:val="Título 2 Car"/>
    <w:basedOn w:val="Fuentedeprrafopredeter"/>
    <w:link w:val="Ttulo2"/>
    <w:uiPriority w:val="9"/>
    <w:rsid w:val="00A349D2"/>
    <w:rPr>
      <w:rFonts w:asciiTheme="majorHAnsi" w:eastAsiaTheme="majorEastAsia" w:hAnsiTheme="majorHAnsi" w:cstheme="majorBidi"/>
      <w:color w:val="365F91" w:themeColor="accent1" w:themeShade="BF"/>
      <w:sz w:val="26"/>
      <w:szCs w:val="26"/>
      <w:lang w:val="es-MX" w:eastAsia="en-US"/>
    </w:rPr>
  </w:style>
  <w:style w:type="character" w:customStyle="1" w:styleId="apple-converted-space">
    <w:name w:val="apple-converted-space"/>
    <w:basedOn w:val="Fuentedeprrafopredeter"/>
    <w:rsid w:val="00E43ABE"/>
  </w:style>
  <w:style w:type="paragraph" w:styleId="Textoindependiente">
    <w:name w:val="Body Text"/>
    <w:basedOn w:val="Normal"/>
    <w:link w:val="TextoindependienteCar"/>
    <w:rsid w:val="00A8769A"/>
    <w:pPr>
      <w:jc w:val="both"/>
    </w:pPr>
    <w:rPr>
      <w:rFonts w:ascii="Arial" w:hAnsi="Arial"/>
      <w:szCs w:val="20"/>
      <w:lang w:val="es-ES_tradnl" w:eastAsia="es-ES"/>
    </w:rPr>
  </w:style>
  <w:style w:type="character" w:customStyle="1" w:styleId="TextoindependienteCar">
    <w:name w:val="Texto independiente Car"/>
    <w:basedOn w:val="Fuentedeprrafopredeter"/>
    <w:link w:val="Textoindependiente"/>
    <w:rsid w:val="00A8769A"/>
    <w:rPr>
      <w:rFonts w:ascii="Arial" w:eastAsia="Times New Roman" w:hAnsi="Arial" w:cs="Times New Roman"/>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C563A"/>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6C563A"/>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6C563A"/>
    <w:rPr>
      <w:vertAlign w:val="superscript"/>
    </w:rPr>
  </w:style>
  <w:style w:type="paragraph" w:customStyle="1" w:styleId="p">
    <w:name w:val="p"/>
    <w:basedOn w:val="Normal"/>
    <w:rsid w:val="006C563A"/>
    <w:pPr>
      <w:spacing w:before="100" w:beforeAutospacing="1" w:after="100" w:afterAutospacing="1"/>
    </w:pPr>
    <w:rPr>
      <w:lang w:val="es-MX" w:eastAsia="es-MX"/>
    </w:rPr>
  </w:style>
  <w:style w:type="character" w:customStyle="1" w:styleId="f">
    <w:name w:val="f"/>
    <w:basedOn w:val="Fuentedeprrafopredeter"/>
    <w:rsid w:val="006C563A"/>
  </w:style>
  <w:style w:type="character" w:customStyle="1" w:styleId="a">
    <w:name w:val="a"/>
    <w:basedOn w:val="Fuentedeprrafopredeter"/>
    <w:rsid w:val="006C563A"/>
  </w:style>
  <w:style w:type="character" w:customStyle="1" w:styleId="d">
    <w:name w:val="d"/>
    <w:basedOn w:val="Fuentedeprrafopredeter"/>
    <w:rsid w:val="006C563A"/>
  </w:style>
  <w:style w:type="character" w:customStyle="1" w:styleId="b">
    <w:name w:val="b"/>
    <w:basedOn w:val="Fuentedeprrafopredeter"/>
    <w:rsid w:val="006C563A"/>
  </w:style>
  <w:style w:type="character" w:customStyle="1" w:styleId="g">
    <w:name w:val="g"/>
    <w:basedOn w:val="Fuentedeprrafopredeter"/>
    <w:rsid w:val="006C563A"/>
  </w:style>
  <w:style w:type="table" w:customStyle="1" w:styleId="Tablaconcuadrcula1">
    <w:name w:val="Tabla con cuadrícula1"/>
    <w:basedOn w:val="Tablanormal"/>
    <w:next w:val="Tablaconcuadrcula"/>
    <w:uiPriority w:val="59"/>
    <w:rsid w:val="00E0324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CD7893"/>
    <w:pPr>
      <w:outlineLvl w:val="9"/>
    </w:pPr>
    <w:rPr>
      <w:lang w:eastAsia="es-MX"/>
    </w:rPr>
  </w:style>
  <w:style w:type="character" w:customStyle="1" w:styleId="normaltextrun">
    <w:name w:val="normaltextrun"/>
    <w:basedOn w:val="Fuentedeprrafopredeter"/>
    <w:rsid w:val="00E22843"/>
  </w:style>
  <w:style w:type="paragraph" w:styleId="NormalWeb">
    <w:name w:val="Normal (Web)"/>
    <w:basedOn w:val="Normal"/>
    <w:uiPriority w:val="99"/>
    <w:rsid w:val="00810F94"/>
    <w:pPr>
      <w:spacing w:before="100" w:beforeAutospacing="1" w:after="100" w:afterAutospacing="1"/>
    </w:pPr>
    <w:rPr>
      <w:lang w:val="es-ES" w:eastAsia="es-ES"/>
    </w:rPr>
  </w:style>
  <w:style w:type="character" w:styleId="Textoennegrita">
    <w:name w:val="Strong"/>
    <w:uiPriority w:val="22"/>
    <w:qFormat/>
    <w:rsid w:val="00007E8A"/>
    <w:rPr>
      <w:b/>
      <w:bCs/>
    </w:rPr>
  </w:style>
  <w:style w:type="paragraph" w:customStyle="1" w:styleId="Default">
    <w:name w:val="Default"/>
    <w:rsid w:val="00007E8A"/>
    <w:pPr>
      <w:autoSpaceDE w:val="0"/>
      <w:autoSpaceDN w:val="0"/>
      <w:adjustRightInd w:val="0"/>
    </w:pPr>
    <w:rPr>
      <w:rFonts w:ascii="Arial" w:eastAsiaTheme="minorHAnsi" w:hAnsi="Arial" w:cs="Arial"/>
      <w:color w:val="000000"/>
      <w:lang w:val="es-MX" w:eastAsia="en-US"/>
    </w:rPr>
  </w:style>
  <w:style w:type="character" w:customStyle="1" w:styleId="SinespaciadoCar">
    <w:name w:val="Sin espaciado Car"/>
    <w:aliases w:val="Francesa Car"/>
    <w:link w:val="Sinespaciado"/>
    <w:uiPriority w:val="1"/>
    <w:locked/>
    <w:rsid w:val="009C0940"/>
  </w:style>
  <w:style w:type="table" w:customStyle="1" w:styleId="Tablanormal11">
    <w:name w:val="Tabla normal 11"/>
    <w:basedOn w:val="Tablanormal"/>
    <w:uiPriority w:val="41"/>
    <w:rsid w:val="00BD02D5"/>
    <w:rPr>
      <w:rFonts w:eastAsiaTheme="minorHAnsi"/>
      <w:sz w:val="22"/>
      <w:szCs w:val="22"/>
      <w:lang w:val="es-MX"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j">
    <w:name w:val="j"/>
    <w:basedOn w:val="Normal"/>
    <w:rsid w:val="00BD02D5"/>
    <w:pPr>
      <w:spacing w:before="100" w:beforeAutospacing="1" w:after="100" w:afterAutospacing="1"/>
    </w:pPr>
    <w:rPr>
      <w:rFonts w:eastAsiaTheme="minorHAnsi"/>
      <w:lang w:val="es-ES_tradnl"/>
    </w:rPr>
  </w:style>
  <w:style w:type="character" w:customStyle="1" w:styleId="apple-style-span">
    <w:name w:val="apple-style-span"/>
    <w:rsid w:val="00847830"/>
  </w:style>
  <w:style w:type="table" w:customStyle="1" w:styleId="Tablaconcuadrcula1clara1">
    <w:name w:val="Tabla con cuadrícula 1 clara1"/>
    <w:basedOn w:val="Tablanormal"/>
    <w:uiPriority w:val="99"/>
    <w:rsid w:val="00856B0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concuadrcula4-nfasis11">
    <w:name w:val="Tabla con cuadrícula 4 - Énfasis 11"/>
    <w:basedOn w:val="Tablanormal"/>
    <w:uiPriority w:val="49"/>
    <w:rsid w:val="00967690"/>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tulo3Car">
    <w:name w:val="Título 3 Car"/>
    <w:basedOn w:val="Fuentedeprrafopredeter"/>
    <w:link w:val="Ttulo3"/>
    <w:uiPriority w:val="9"/>
    <w:semiHidden/>
    <w:rsid w:val="00113B08"/>
    <w:rPr>
      <w:rFonts w:asciiTheme="majorHAnsi" w:eastAsiaTheme="majorEastAsia" w:hAnsiTheme="majorHAnsi" w:cstheme="majorBidi"/>
      <w:color w:val="243F60" w:themeColor="accent1" w:themeShade="7F"/>
    </w:rPr>
  </w:style>
  <w:style w:type="paragraph" w:customStyle="1" w:styleId="m-698976158124685028gmail-msolistparagraph">
    <w:name w:val="m_-698976158124685028gmail-msolistparagraph"/>
    <w:basedOn w:val="Normal"/>
    <w:rsid w:val="00113B08"/>
    <w:pPr>
      <w:spacing w:before="100" w:beforeAutospacing="1" w:after="100" w:afterAutospacing="1"/>
    </w:pPr>
    <w:rPr>
      <w:lang w:val="es-MX" w:eastAsia="es-MX"/>
    </w:rPr>
  </w:style>
  <w:style w:type="paragraph" w:styleId="TDC3">
    <w:name w:val="toc 3"/>
    <w:basedOn w:val="Normal"/>
    <w:next w:val="Normal"/>
    <w:autoRedefine/>
    <w:uiPriority w:val="39"/>
    <w:unhideWhenUsed/>
    <w:rsid w:val="00E858B4"/>
    <w:pPr>
      <w:tabs>
        <w:tab w:val="right" w:leader="dot" w:pos="8828"/>
      </w:tabs>
      <w:spacing w:after="100"/>
      <w:ind w:left="709"/>
    </w:pPr>
    <w:rPr>
      <w:rFonts w:asciiTheme="minorHAnsi" w:eastAsiaTheme="minorEastAsia" w:hAnsiTheme="minorHAnsi" w:cstheme="minorBidi"/>
      <w:lang w:val="es-ES_tradnl" w:eastAsia="es-ES"/>
    </w:rPr>
  </w:style>
  <w:style w:type="character" w:customStyle="1" w:styleId="Ttulo4Car">
    <w:name w:val="Título 4 Car"/>
    <w:basedOn w:val="Fuentedeprrafopredeter"/>
    <w:link w:val="Ttulo4"/>
    <w:uiPriority w:val="9"/>
    <w:rsid w:val="00E772AB"/>
    <w:rPr>
      <w:rFonts w:asciiTheme="majorHAnsi" w:eastAsiaTheme="majorEastAsia" w:hAnsiTheme="majorHAnsi" w:cstheme="majorBidi"/>
      <w:i/>
      <w:iCs/>
      <w:color w:val="365F91" w:themeColor="accent1" w:themeShade="BF"/>
    </w:rPr>
  </w:style>
  <w:style w:type="numbering" w:customStyle="1" w:styleId="Estiloimportado1">
    <w:name w:val="Estilo importado 1"/>
    <w:rsid w:val="006B4A27"/>
    <w:pPr>
      <w:numPr>
        <w:numId w:val="3"/>
      </w:numPr>
    </w:pPr>
  </w:style>
  <w:style w:type="paragraph" w:customStyle="1" w:styleId="FootnoteTextCharCharChar1">
    <w:name w:val="Footnote Text Char Char Char1"/>
    <w:basedOn w:val="Normal"/>
    <w:next w:val="Textonotapie"/>
    <w:unhideWhenUsed/>
    <w:rsid w:val="00D6518B"/>
    <w:rPr>
      <w:rFonts w:asciiTheme="minorHAnsi" w:eastAsia="Cambria" w:hAnsiTheme="minorHAnsi" w:cstheme="minorBidi"/>
      <w:sz w:val="20"/>
      <w:szCs w:val="20"/>
      <w:lang w:val="es-MX" w:eastAsia="en-US"/>
    </w:rPr>
  </w:style>
  <w:style w:type="paragraph" w:styleId="Textoindependiente2">
    <w:name w:val="Body Text 2"/>
    <w:basedOn w:val="Normal"/>
    <w:link w:val="Textoindependiente2Car"/>
    <w:uiPriority w:val="99"/>
    <w:semiHidden/>
    <w:unhideWhenUsed/>
    <w:rsid w:val="00D6518B"/>
    <w:pPr>
      <w:spacing w:after="120" w:line="480" w:lineRule="auto"/>
    </w:pPr>
  </w:style>
  <w:style w:type="character" w:customStyle="1" w:styleId="Textoindependiente2Car">
    <w:name w:val="Texto independiente 2 Car"/>
    <w:basedOn w:val="Fuentedeprrafopredeter"/>
    <w:link w:val="Textoindependiente2"/>
    <w:uiPriority w:val="99"/>
    <w:semiHidden/>
    <w:rsid w:val="00D6518B"/>
  </w:style>
  <w:style w:type="paragraph" w:customStyle="1" w:styleId="ADB1">
    <w:name w:val="ADB1"/>
    <w:basedOn w:val="Normal"/>
    <w:next w:val="Textonotapie"/>
    <w:uiPriority w:val="99"/>
    <w:unhideWhenUsed/>
    <w:qFormat/>
    <w:rsid w:val="007E3772"/>
    <w:rPr>
      <w:rFonts w:asciiTheme="minorHAnsi" w:eastAsia="Cambria" w:hAnsiTheme="minorHAnsi" w:cstheme="minorBidi"/>
      <w:sz w:val="20"/>
      <w:szCs w:val="20"/>
      <w:lang w:val="es-MX" w:eastAsia="en-US"/>
    </w:rPr>
  </w:style>
  <w:style w:type="character" w:styleId="Hipervnculovisitado">
    <w:name w:val="FollowedHyperlink"/>
    <w:basedOn w:val="Fuentedeprrafopredeter"/>
    <w:uiPriority w:val="99"/>
    <w:semiHidden/>
    <w:unhideWhenUsed/>
    <w:rsid w:val="00F4520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4981965">
      <w:bodyDiv w:val="1"/>
      <w:marLeft w:val="0"/>
      <w:marRight w:val="0"/>
      <w:marTop w:val="0"/>
      <w:marBottom w:val="0"/>
      <w:divBdr>
        <w:top w:val="none" w:sz="0" w:space="0" w:color="auto"/>
        <w:left w:val="none" w:sz="0" w:space="0" w:color="auto"/>
        <w:bottom w:val="none" w:sz="0" w:space="0" w:color="auto"/>
        <w:right w:val="none" w:sz="0" w:space="0" w:color="auto"/>
      </w:divBdr>
    </w:div>
    <w:div w:id="159007640">
      <w:bodyDiv w:val="1"/>
      <w:marLeft w:val="0"/>
      <w:marRight w:val="0"/>
      <w:marTop w:val="0"/>
      <w:marBottom w:val="0"/>
      <w:divBdr>
        <w:top w:val="none" w:sz="0" w:space="0" w:color="auto"/>
        <w:left w:val="none" w:sz="0" w:space="0" w:color="auto"/>
        <w:bottom w:val="none" w:sz="0" w:space="0" w:color="auto"/>
        <w:right w:val="none" w:sz="0" w:space="0" w:color="auto"/>
      </w:divBdr>
    </w:div>
    <w:div w:id="248734167">
      <w:bodyDiv w:val="1"/>
      <w:marLeft w:val="0"/>
      <w:marRight w:val="0"/>
      <w:marTop w:val="0"/>
      <w:marBottom w:val="0"/>
      <w:divBdr>
        <w:top w:val="none" w:sz="0" w:space="0" w:color="auto"/>
        <w:left w:val="none" w:sz="0" w:space="0" w:color="auto"/>
        <w:bottom w:val="none" w:sz="0" w:space="0" w:color="auto"/>
        <w:right w:val="none" w:sz="0" w:space="0" w:color="auto"/>
      </w:divBdr>
    </w:div>
    <w:div w:id="463810161">
      <w:bodyDiv w:val="1"/>
      <w:marLeft w:val="0"/>
      <w:marRight w:val="0"/>
      <w:marTop w:val="0"/>
      <w:marBottom w:val="0"/>
      <w:divBdr>
        <w:top w:val="none" w:sz="0" w:space="0" w:color="auto"/>
        <w:left w:val="none" w:sz="0" w:space="0" w:color="auto"/>
        <w:bottom w:val="none" w:sz="0" w:space="0" w:color="auto"/>
        <w:right w:val="none" w:sz="0" w:space="0" w:color="auto"/>
      </w:divBdr>
    </w:div>
    <w:div w:id="490289471">
      <w:bodyDiv w:val="1"/>
      <w:marLeft w:val="0"/>
      <w:marRight w:val="0"/>
      <w:marTop w:val="0"/>
      <w:marBottom w:val="0"/>
      <w:divBdr>
        <w:top w:val="none" w:sz="0" w:space="0" w:color="auto"/>
        <w:left w:val="none" w:sz="0" w:space="0" w:color="auto"/>
        <w:bottom w:val="none" w:sz="0" w:space="0" w:color="auto"/>
        <w:right w:val="none" w:sz="0" w:space="0" w:color="auto"/>
      </w:divBdr>
    </w:div>
    <w:div w:id="535050367">
      <w:bodyDiv w:val="1"/>
      <w:marLeft w:val="0"/>
      <w:marRight w:val="0"/>
      <w:marTop w:val="0"/>
      <w:marBottom w:val="0"/>
      <w:divBdr>
        <w:top w:val="none" w:sz="0" w:space="0" w:color="auto"/>
        <w:left w:val="none" w:sz="0" w:space="0" w:color="auto"/>
        <w:bottom w:val="none" w:sz="0" w:space="0" w:color="auto"/>
        <w:right w:val="none" w:sz="0" w:space="0" w:color="auto"/>
      </w:divBdr>
    </w:div>
    <w:div w:id="559708724">
      <w:bodyDiv w:val="1"/>
      <w:marLeft w:val="0"/>
      <w:marRight w:val="0"/>
      <w:marTop w:val="0"/>
      <w:marBottom w:val="0"/>
      <w:divBdr>
        <w:top w:val="none" w:sz="0" w:space="0" w:color="auto"/>
        <w:left w:val="none" w:sz="0" w:space="0" w:color="auto"/>
        <w:bottom w:val="none" w:sz="0" w:space="0" w:color="auto"/>
        <w:right w:val="none" w:sz="0" w:space="0" w:color="auto"/>
      </w:divBdr>
    </w:div>
    <w:div w:id="746807247">
      <w:bodyDiv w:val="1"/>
      <w:marLeft w:val="0"/>
      <w:marRight w:val="0"/>
      <w:marTop w:val="0"/>
      <w:marBottom w:val="0"/>
      <w:divBdr>
        <w:top w:val="none" w:sz="0" w:space="0" w:color="auto"/>
        <w:left w:val="none" w:sz="0" w:space="0" w:color="auto"/>
        <w:bottom w:val="none" w:sz="0" w:space="0" w:color="auto"/>
        <w:right w:val="none" w:sz="0" w:space="0" w:color="auto"/>
      </w:divBdr>
    </w:div>
    <w:div w:id="759913845">
      <w:bodyDiv w:val="1"/>
      <w:marLeft w:val="0"/>
      <w:marRight w:val="0"/>
      <w:marTop w:val="0"/>
      <w:marBottom w:val="0"/>
      <w:divBdr>
        <w:top w:val="none" w:sz="0" w:space="0" w:color="auto"/>
        <w:left w:val="none" w:sz="0" w:space="0" w:color="auto"/>
        <w:bottom w:val="none" w:sz="0" w:space="0" w:color="auto"/>
        <w:right w:val="none" w:sz="0" w:space="0" w:color="auto"/>
      </w:divBdr>
    </w:div>
    <w:div w:id="825440502">
      <w:bodyDiv w:val="1"/>
      <w:marLeft w:val="0"/>
      <w:marRight w:val="0"/>
      <w:marTop w:val="0"/>
      <w:marBottom w:val="0"/>
      <w:divBdr>
        <w:top w:val="none" w:sz="0" w:space="0" w:color="auto"/>
        <w:left w:val="none" w:sz="0" w:space="0" w:color="auto"/>
        <w:bottom w:val="none" w:sz="0" w:space="0" w:color="auto"/>
        <w:right w:val="none" w:sz="0" w:space="0" w:color="auto"/>
      </w:divBdr>
      <w:divsChild>
        <w:div w:id="431822537">
          <w:marLeft w:val="0"/>
          <w:marRight w:val="0"/>
          <w:marTop w:val="0"/>
          <w:marBottom w:val="0"/>
          <w:divBdr>
            <w:top w:val="none" w:sz="0" w:space="0" w:color="auto"/>
            <w:left w:val="none" w:sz="0" w:space="0" w:color="auto"/>
            <w:bottom w:val="none" w:sz="0" w:space="0" w:color="auto"/>
            <w:right w:val="none" w:sz="0" w:space="0" w:color="auto"/>
          </w:divBdr>
          <w:divsChild>
            <w:div w:id="1490945959">
              <w:marLeft w:val="0"/>
              <w:marRight w:val="0"/>
              <w:marTop w:val="0"/>
              <w:marBottom w:val="0"/>
              <w:divBdr>
                <w:top w:val="none" w:sz="0" w:space="0" w:color="auto"/>
                <w:left w:val="none" w:sz="0" w:space="0" w:color="auto"/>
                <w:bottom w:val="none" w:sz="0" w:space="0" w:color="auto"/>
                <w:right w:val="none" w:sz="0" w:space="0" w:color="auto"/>
              </w:divBdr>
              <w:divsChild>
                <w:div w:id="1129862155">
                  <w:marLeft w:val="0"/>
                  <w:marRight w:val="0"/>
                  <w:marTop w:val="0"/>
                  <w:marBottom w:val="0"/>
                  <w:divBdr>
                    <w:top w:val="none" w:sz="0" w:space="0" w:color="auto"/>
                    <w:left w:val="none" w:sz="0" w:space="0" w:color="auto"/>
                    <w:bottom w:val="none" w:sz="0" w:space="0" w:color="auto"/>
                    <w:right w:val="none" w:sz="0" w:space="0" w:color="auto"/>
                  </w:divBdr>
                  <w:divsChild>
                    <w:div w:id="1361979587">
                      <w:marLeft w:val="0"/>
                      <w:marRight w:val="0"/>
                      <w:marTop w:val="0"/>
                      <w:marBottom w:val="0"/>
                      <w:divBdr>
                        <w:top w:val="none" w:sz="0" w:space="0" w:color="auto"/>
                        <w:left w:val="none" w:sz="0" w:space="0" w:color="auto"/>
                        <w:bottom w:val="none" w:sz="0" w:space="0" w:color="auto"/>
                        <w:right w:val="none" w:sz="0" w:space="0" w:color="auto"/>
                      </w:divBdr>
                      <w:divsChild>
                        <w:div w:id="820656658">
                          <w:marLeft w:val="0"/>
                          <w:marRight w:val="0"/>
                          <w:marTop w:val="0"/>
                          <w:marBottom w:val="0"/>
                          <w:divBdr>
                            <w:top w:val="none" w:sz="0" w:space="0" w:color="auto"/>
                            <w:left w:val="none" w:sz="0" w:space="0" w:color="auto"/>
                            <w:bottom w:val="none" w:sz="0" w:space="0" w:color="auto"/>
                            <w:right w:val="none" w:sz="0" w:space="0" w:color="auto"/>
                          </w:divBdr>
                          <w:divsChild>
                            <w:div w:id="1541090839">
                              <w:marLeft w:val="0"/>
                              <w:marRight w:val="0"/>
                              <w:marTop w:val="0"/>
                              <w:marBottom w:val="0"/>
                              <w:divBdr>
                                <w:top w:val="none" w:sz="0" w:space="0" w:color="auto"/>
                                <w:left w:val="none" w:sz="0" w:space="0" w:color="auto"/>
                                <w:bottom w:val="none" w:sz="0" w:space="0" w:color="auto"/>
                                <w:right w:val="none" w:sz="0" w:space="0" w:color="auto"/>
                              </w:divBdr>
                              <w:divsChild>
                                <w:div w:id="651564776">
                                  <w:marLeft w:val="0"/>
                                  <w:marRight w:val="0"/>
                                  <w:marTop w:val="0"/>
                                  <w:marBottom w:val="0"/>
                                  <w:divBdr>
                                    <w:top w:val="none" w:sz="0" w:space="0" w:color="auto"/>
                                    <w:left w:val="none" w:sz="0" w:space="0" w:color="auto"/>
                                    <w:bottom w:val="none" w:sz="0" w:space="0" w:color="auto"/>
                                    <w:right w:val="none" w:sz="0" w:space="0" w:color="auto"/>
                                  </w:divBdr>
                                  <w:divsChild>
                                    <w:div w:id="1808088803">
                                      <w:marLeft w:val="0"/>
                                      <w:marRight w:val="0"/>
                                      <w:marTop w:val="0"/>
                                      <w:marBottom w:val="0"/>
                                      <w:divBdr>
                                        <w:top w:val="none" w:sz="0" w:space="0" w:color="auto"/>
                                        <w:left w:val="none" w:sz="0" w:space="0" w:color="auto"/>
                                        <w:bottom w:val="none" w:sz="0" w:space="0" w:color="auto"/>
                                        <w:right w:val="none" w:sz="0" w:space="0" w:color="auto"/>
                                      </w:divBdr>
                                      <w:divsChild>
                                        <w:div w:id="1280141866">
                                          <w:marLeft w:val="0"/>
                                          <w:marRight w:val="0"/>
                                          <w:marTop w:val="0"/>
                                          <w:marBottom w:val="0"/>
                                          <w:divBdr>
                                            <w:top w:val="none" w:sz="0" w:space="0" w:color="auto"/>
                                            <w:left w:val="none" w:sz="0" w:space="0" w:color="auto"/>
                                            <w:bottom w:val="none" w:sz="0" w:space="0" w:color="auto"/>
                                            <w:right w:val="none" w:sz="0" w:space="0" w:color="auto"/>
                                          </w:divBdr>
                                          <w:divsChild>
                                            <w:div w:id="1943880410">
                                              <w:marLeft w:val="0"/>
                                              <w:marRight w:val="0"/>
                                              <w:marTop w:val="0"/>
                                              <w:marBottom w:val="0"/>
                                              <w:divBdr>
                                                <w:top w:val="single" w:sz="12" w:space="2" w:color="FFFFCC"/>
                                                <w:left w:val="single" w:sz="12" w:space="2" w:color="FFFFCC"/>
                                                <w:bottom w:val="single" w:sz="12" w:space="2" w:color="FFFFCC"/>
                                                <w:right w:val="single" w:sz="12" w:space="0" w:color="FFFFCC"/>
                                              </w:divBdr>
                                              <w:divsChild>
                                                <w:div w:id="1037853559">
                                                  <w:marLeft w:val="0"/>
                                                  <w:marRight w:val="0"/>
                                                  <w:marTop w:val="0"/>
                                                  <w:marBottom w:val="0"/>
                                                  <w:divBdr>
                                                    <w:top w:val="none" w:sz="0" w:space="0" w:color="auto"/>
                                                    <w:left w:val="none" w:sz="0" w:space="0" w:color="auto"/>
                                                    <w:bottom w:val="none" w:sz="0" w:space="0" w:color="auto"/>
                                                    <w:right w:val="none" w:sz="0" w:space="0" w:color="auto"/>
                                                  </w:divBdr>
                                                  <w:divsChild>
                                                    <w:div w:id="237793042">
                                                      <w:marLeft w:val="0"/>
                                                      <w:marRight w:val="0"/>
                                                      <w:marTop w:val="0"/>
                                                      <w:marBottom w:val="0"/>
                                                      <w:divBdr>
                                                        <w:top w:val="none" w:sz="0" w:space="0" w:color="auto"/>
                                                        <w:left w:val="none" w:sz="0" w:space="0" w:color="auto"/>
                                                        <w:bottom w:val="none" w:sz="0" w:space="0" w:color="auto"/>
                                                        <w:right w:val="none" w:sz="0" w:space="0" w:color="auto"/>
                                                      </w:divBdr>
                                                      <w:divsChild>
                                                        <w:div w:id="526220023">
                                                          <w:marLeft w:val="0"/>
                                                          <w:marRight w:val="0"/>
                                                          <w:marTop w:val="0"/>
                                                          <w:marBottom w:val="0"/>
                                                          <w:divBdr>
                                                            <w:top w:val="none" w:sz="0" w:space="0" w:color="auto"/>
                                                            <w:left w:val="none" w:sz="0" w:space="0" w:color="auto"/>
                                                            <w:bottom w:val="none" w:sz="0" w:space="0" w:color="auto"/>
                                                            <w:right w:val="none" w:sz="0" w:space="0" w:color="auto"/>
                                                          </w:divBdr>
                                                          <w:divsChild>
                                                            <w:div w:id="1194615489">
                                                              <w:marLeft w:val="0"/>
                                                              <w:marRight w:val="0"/>
                                                              <w:marTop w:val="0"/>
                                                              <w:marBottom w:val="0"/>
                                                              <w:divBdr>
                                                                <w:top w:val="none" w:sz="0" w:space="0" w:color="auto"/>
                                                                <w:left w:val="none" w:sz="0" w:space="0" w:color="auto"/>
                                                                <w:bottom w:val="none" w:sz="0" w:space="0" w:color="auto"/>
                                                                <w:right w:val="none" w:sz="0" w:space="0" w:color="auto"/>
                                                              </w:divBdr>
                                                              <w:divsChild>
                                                                <w:div w:id="887297614">
                                                                  <w:marLeft w:val="0"/>
                                                                  <w:marRight w:val="0"/>
                                                                  <w:marTop w:val="0"/>
                                                                  <w:marBottom w:val="0"/>
                                                                  <w:divBdr>
                                                                    <w:top w:val="none" w:sz="0" w:space="0" w:color="auto"/>
                                                                    <w:left w:val="none" w:sz="0" w:space="0" w:color="auto"/>
                                                                    <w:bottom w:val="none" w:sz="0" w:space="0" w:color="auto"/>
                                                                    <w:right w:val="none" w:sz="0" w:space="0" w:color="auto"/>
                                                                  </w:divBdr>
                                                                  <w:divsChild>
                                                                    <w:div w:id="199243316">
                                                                      <w:marLeft w:val="0"/>
                                                                      <w:marRight w:val="0"/>
                                                                      <w:marTop w:val="0"/>
                                                                      <w:marBottom w:val="0"/>
                                                                      <w:divBdr>
                                                                        <w:top w:val="none" w:sz="0" w:space="0" w:color="auto"/>
                                                                        <w:left w:val="none" w:sz="0" w:space="0" w:color="auto"/>
                                                                        <w:bottom w:val="none" w:sz="0" w:space="0" w:color="auto"/>
                                                                        <w:right w:val="none" w:sz="0" w:space="0" w:color="auto"/>
                                                                      </w:divBdr>
                                                                      <w:divsChild>
                                                                        <w:div w:id="996499089">
                                                                          <w:marLeft w:val="0"/>
                                                                          <w:marRight w:val="0"/>
                                                                          <w:marTop w:val="0"/>
                                                                          <w:marBottom w:val="0"/>
                                                                          <w:divBdr>
                                                                            <w:top w:val="none" w:sz="0" w:space="0" w:color="auto"/>
                                                                            <w:left w:val="none" w:sz="0" w:space="0" w:color="auto"/>
                                                                            <w:bottom w:val="none" w:sz="0" w:space="0" w:color="auto"/>
                                                                            <w:right w:val="none" w:sz="0" w:space="0" w:color="auto"/>
                                                                          </w:divBdr>
                                                                          <w:divsChild>
                                                                            <w:div w:id="192349002">
                                                                              <w:marLeft w:val="0"/>
                                                                              <w:marRight w:val="0"/>
                                                                              <w:marTop w:val="0"/>
                                                                              <w:marBottom w:val="0"/>
                                                                              <w:divBdr>
                                                                                <w:top w:val="none" w:sz="0" w:space="0" w:color="auto"/>
                                                                                <w:left w:val="none" w:sz="0" w:space="0" w:color="auto"/>
                                                                                <w:bottom w:val="none" w:sz="0" w:space="0" w:color="auto"/>
                                                                                <w:right w:val="none" w:sz="0" w:space="0" w:color="auto"/>
                                                                              </w:divBdr>
                                                                              <w:divsChild>
                                                                                <w:div w:id="268781470">
                                                                                  <w:marLeft w:val="0"/>
                                                                                  <w:marRight w:val="0"/>
                                                                                  <w:marTop w:val="0"/>
                                                                                  <w:marBottom w:val="0"/>
                                                                                  <w:divBdr>
                                                                                    <w:top w:val="none" w:sz="0" w:space="0" w:color="auto"/>
                                                                                    <w:left w:val="none" w:sz="0" w:space="0" w:color="auto"/>
                                                                                    <w:bottom w:val="none" w:sz="0" w:space="0" w:color="auto"/>
                                                                                    <w:right w:val="none" w:sz="0" w:space="0" w:color="auto"/>
                                                                                  </w:divBdr>
                                                                                  <w:divsChild>
                                                                                    <w:div w:id="1675376180">
                                                                                      <w:marLeft w:val="0"/>
                                                                                      <w:marRight w:val="0"/>
                                                                                      <w:marTop w:val="0"/>
                                                                                      <w:marBottom w:val="0"/>
                                                                                      <w:divBdr>
                                                                                        <w:top w:val="none" w:sz="0" w:space="0" w:color="auto"/>
                                                                                        <w:left w:val="none" w:sz="0" w:space="0" w:color="auto"/>
                                                                                        <w:bottom w:val="none" w:sz="0" w:space="0" w:color="auto"/>
                                                                                        <w:right w:val="none" w:sz="0" w:space="0" w:color="auto"/>
                                                                                      </w:divBdr>
                                                                                      <w:divsChild>
                                                                                        <w:div w:id="818958351">
                                                                                          <w:marLeft w:val="0"/>
                                                                                          <w:marRight w:val="120"/>
                                                                                          <w:marTop w:val="0"/>
                                                                                          <w:marBottom w:val="150"/>
                                                                                          <w:divBdr>
                                                                                            <w:top w:val="single" w:sz="2" w:space="0" w:color="EFEFEF"/>
                                                                                            <w:left w:val="single" w:sz="6" w:space="0" w:color="EFEFEF"/>
                                                                                            <w:bottom w:val="single" w:sz="6" w:space="0" w:color="E2E2E2"/>
                                                                                            <w:right w:val="single" w:sz="6" w:space="0" w:color="EFEFEF"/>
                                                                                          </w:divBdr>
                                                                                          <w:divsChild>
                                                                                            <w:div w:id="443884077">
                                                                                              <w:marLeft w:val="0"/>
                                                                                              <w:marRight w:val="0"/>
                                                                                              <w:marTop w:val="0"/>
                                                                                              <w:marBottom w:val="0"/>
                                                                                              <w:divBdr>
                                                                                                <w:top w:val="none" w:sz="0" w:space="0" w:color="auto"/>
                                                                                                <w:left w:val="none" w:sz="0" w:space="0" w:color="auto"/>
                                                                                                <w:bottom w:val="none" w:sz="0" w:space="0" w:color="auto"/>
                                                                                                <w:right w:val="none" w:sz="0" w:space="0" w:color="auto"/>
                                                                                              </w:divBdr>
                                                                                              <w:divsChild>
                                                                                                <w:div w:id="49883887">
                                                                                                  <w:marLeft w:val="0"/>
                                                                                                  <w:marRight w:val="0"/>
                                                                                                  <w:marTop w:val="0"/>
                                                                                                  <w:marBottom w:val="0"/>
                                                                                                  <w:divBdr>
                                                                                                    <w:top w:val="none" w:sz="0" w:space="0" w:color="auto"/>
                                                                                                    <w:left w:val="none" w:sz="0" w:space="0" w:color="auto"/>
                                                                                                    <w:bottom w:val="none" w:sz="0" w:space="0" w:color="auto"/>
                                                                                                    <w:right w:val="none" w:sz="0" w:space="0" w:color="auto"/>
                                                                                                  </w:divBdr>
                                                                                                  <w:divsChild>
                                                                                                    <w:div w:id="1645088632">
                                                                                                      <w:marLeft w:val="0"/>
                                                                                                      <w:marRight w:val="0"/>
                                                                                                      <w:marTop w:val="0"/>
                                                                                                      <w:marBottom w:val="0"/>
                                                                                                      <w:divBdr>
                                                                                                        <w:top w:val="none" w:sz="0" w:space="0" w:color="auto"/>
                                                                                                        <w:left w:val="none" w:sz="0" w:space="0" w:color="auto"/>
                                                                                                        <w:bottom w:val="none" w:sz="0" w:space="0" w:color="auto"/>
                                                                                                        <w:right w:val="none" w:sz="0" w:space="0" w:color="auto"/>
                                                                                                      </w:divBdr>
                                                                                                      <w:divsChild>
                                                                                                        <w:div w:id="888154538">
                                                                                                          <w:marLeft w:val="0"/>
                                                                                                          <w:marRight w:val="0"/>
                                                                                                          <w:marTop w:val="0"/>
                                                                                                          <w:marBottom w:val="0"/>
                                                                                                          <w:divBdr>
                                                                                                            <w:top w:val="none" w:sz="0" w:space="0" w:color="auto"/>
                                                                                                            <w:left w:val="none" w:sz="0" w:space="0" w:color="auto"/>
                                                                                                            <w:bottom w:val="none" w:sz="0" w:space="0" w:color="auto"/>
                                                                                                            <w:right w:val="none" w:sz="0" w:space="0" w:color="auto"/>
                                                                                                          </w:divBdr>
                                                                                                          <w:divsChild>
                                                                                                            <w:div w:id="438187754">
                                                                                                              <w:marLeft w:val="0"/>
                                                                                                              <w:marRight w:val="0"/>
                                                                                                              <w:marTop w:val="0"/>
                                                                                                              <w:marBottom w:val="0"/>
                                                                                                              <w:divBdr>
                                                                                                                <w:top w:val="single" w:sz="2" w:space="4" w:color="D8D8D8"/>
                                                                                                                <w:left w:val="single" w:sz="2" w:space="0" w:color="D8D8D8"/>
                                                                                                                <w:bottom w:val="single" w:sz="2" w:space="4" w:color="D8D8D8"/>
                                                                                                                <w:right w:val="single" w:sz="2" w:space="0" w:color="D8D8D8"/>
                                                                                                              </w:divBdr>
                                                                                                              <w:divsChild>
                                                                                                                <w:div w:id="964654766">
                                                                                                                  <w:marLeft w:val="225"/>
                                                                                                                  <w:marRight w:val="225"/>
                                                                                                                  <w:marTop w:val="75"/>
                                                                                                                  <w:marBottom w:val="75"/>
                                                                                                                  <w:divBdr>
                                                                                                                    <w:top w:val="none" w:sz="0" w:space="0" w:color="auto"/>
                                                                                                                    <w:left w:val="none" w:sz="0" w:space="0" w:color="auto"/>
                                                                                                                    <w:bottom w:val="none" w:sz="0" w:space="0" w:color="auto"/>
                                                                                                                    <w:right w:val="none" w:sz="0" w:space="0" w:color="auto"/>
                                                                                                                  </w:divBdr>
                                                                                                                  <w:divsChild>
                                                                                                                    <w:div w:id="531114085">
                                                                                                                      <w:marLeft w:val="0"/>
                                                                                                                      <w:marRight w:val="0"/>
                                                                                                                      <w:marTop w:val="0"/>
                                                                                                                      <w:marBottom w:val="0"/>
                                                                                                                      <w:divBdr>
                                                                                                                        <w:top w:val="single" w:sz="6" w:space="0" w:color="auto"/>
                                                                                                                        <w:left w:val="single" w:sz="6" w:space="0" w:color="auto"/>
                                                                                                                        <w:bottom w:val="single" w:sz="6" w:space="0" w:color="auto"/>
                                                                                                                        <w:right w:val="single" w:sz="6" w:space="0" w:color="auto"/>
                                                                                                                      </w:divBdr>
                                                                                                                      <w:divsChild>
                                                                                                                        <w:div w:id="154779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82789582">
      <w:bodyDiv w:val="1"/>
      <w:marLeft w:val="0"/>
      <w:marRight w:val="0"/>
      <w:marTop w:val="0"/>
      <w:marBottom w:val="0"/>
      <w:divBdr>
        <w:top w:val="none" w:sz="0" w:space="0" w:color="auto"/>
        <w:left w:val="none" w:sz="0" w:space="0" w:color="auto"/>
        <w:bottom w:val="none" w:sz="0" w:space="0" w:color="auto"/>
        <w:right w:val="none" w:sz="0" w:space="0" w:color="auto"/>
      </w:divBdr>
    </w:div>
    <w:div w:id="892035962">
      <w:bodyDiv w:val="1"/>
      <w:marLeft w:val="0"/>
      <w:marRight w:val="0"/>
      <w:marTop w:val="0"/>
      <w:marBottom w:val="0"/>
      <w:divBdr>
        <w:top w:val="none" w:sz="0" w:space="0" w:color="auto"/>
        <w:left w:val="none" w:sz="0" w:space="0" w:color="auto"/>
        <w:bottom w:val="none" w:sz="0" w:space="0" w:color="auto"/>
        <w:right w:val="none" w:sz="0" w:space="0" w:color="auto"/>
      </w:divBdr>
    </w:div>
    <w:div w:id="912467891">
      <w:bodyDiv w:val="1"/>
      <w:marLeft w:val="0"/>
      <w:marRight w:val="0"/>
      <w:marTop w:val="0"/>
      <w:marBottom w:val="0"/>
      <w:divBdr>
        <w:top w:val="none" w:sz="0" w:space="0" w:color="auto"/>
        <w:left w:val="none" w:sz="0" w:space="0" w:color="auto"/>
        <w:bottom w:val="none" w:sz="0" w:space="0" w:color="auto"/>
        <w:right w:val="none" w:sz="0" w:space="0" w:color="auto"/>
      </w:divBdr>
      <w:divsChild>
        <w:div w:id="1806240640">
          <w:marLeft w:val="0"/>
          <w:marRight w:val="0"/>
          <w:marTop w:val="0"/>
          <w:marBottom w:val="0"/>
          <w:divBdr>
            <w:top w:val="none" w:sz="0" w:space="0" w:color="auto"/>
            <w:left w:val="none" w:sz="0" w:space="0" w:color="auto"/>
            <w:bottom w:val="none" w:sz="0" w:space="0" w:color="auto"/>
            <w:right w:val="none" w:sz="0" w:space="0" w:color="auto"/>
          </w:divBdr>
        </w:div>
      </w:divsChild>
    </w:div>
    <w:div w:id="1037582567">
      <w:bodyDiv w:val="1"/>
      <w:marLeft w:val="0"/>
      <w:marRight w:val="0"/>
      <w:marTop w:val="0"/>
      <w:marBottom w:val="0"/>
      <w:divBdr>
        <w:top w:val="none" w:sz="0" w:space="0" w:color="auto"/>
        <w:left w:val="none" w:sz="0" w:space="0" w:color="auto"/>
        <w:bottom w:val="none" w:sz="0" w:space="0" w:color="auto"/>
        <w:right w:val="none" w:sz="0" w:space="0" w:color="auto"/>
      </w:divBdr>
    </w:div>
    <w:div w:id="1071196504">
      <w:bodyDiv w:val="1"/>
      <w:marLeft w:val="0"/>
      <w:marRight w:val="0"/>
      <w:marTop w:val="0"/>
      <w:marBottom w:val="0"/>
      <w:divBdr>
        <w:top w:val="none" w:sz="0" w:space="0" w:color="auto"/>
        <w:left w:val="none" w:sz="0" w:space="0" w:color="auto"/>
        <w:bottom w:val="none" w:sz="0" w:space="0" w:color="auto"/>
        <w:right w:val="none" w:sz="0" w:space="0" w:color="auto"/>
      </w:divBdr>
    </w:div>
    <w:div w:id="1073040504">
      <w:bodyDiv w:val="1"/>
      <w:marLeft w:val="0"/>
      <w:marRight w:val="0"/>
      <w:marTop w:val="0"/>
      <w:marBottom w:val="0"/>
      <w:divBdr>
        <w:top w:val="none" w:sz="0" w:space="0" w:color="auto"/>
        <w:left w:val="none" w:sz="0" w:space="0" w:color="auto"/>
        <w:bottom w:val="none" w:sz="0" w:space="0" w:color="auto"/>
        <w:right w:val="none" w:sz="0" w:space="0" w:color="auto"/>
      </w:divBdr>
    </w:div>
    <w:div w:id="1083792492">
      <w:bodyDiv w:val="1"/>
      <w:marLeft w:val="0"/>
      <w:marRight w:val="0"/>
      <w:marTop w:val="0"/>
      <w:marBottom w:val="0"/>
      <w:divBdr>
        <w:top w:val="none" w:sz="0" w:space="0" w:color="auto"/>
        <w:left w:val="none" w:sz="0" w:space="0" w:color="auto"/>
        <w:bottom w:val="none" w:sz="0" w:space="0" w:color="auto"/>
        <w:right w:val="none" w:sz="0" w:space="0" w:color="auto"/>
      </w:divBdr>
    </w:div>
    <w:div w:id="1179655457">
      <w:bodyDiv w:val="1"/>
      <w:marLeft w:val="0"/>
      <w:marRight w:val="0"/>
      <w:marTop w:val="0"/>
      <w:marBottom w:val="0"/>
      <w:divBdr>
        <w:top w:val="none" w:sz="0" w:space="0" w:color="auto"/>
        <w:left w:val="none" w:sz="0" w:space="0" w:color="auto"/>
        <w:bottom w:val="none" w:sz="0" w:space="0" w:color="auto"/>
        <w:right w:val="none" w:sz="0" w:space="0" w:color="auto"/>
      </w:divBdr>
    </w:div>
    <w:div w:id="1217550754">
      <w:bodyDiv w:val="1"/>
      <w:marLeft w:val="0"/>
      <w:marRight w:val="0"/>
      <w:marTop w:val="0"/>
      <w:marBottom w:val="0"/>
      <w:divBdr>
        <w:top w:val="none" w:sz="0" w:space="0" w:color="auto"/>
        <w:left w:val="none" w:sz="0" w:space="0" w:color="auto"/>
        <w:bottom w:val="none" w:sz="0" w:space="0" w:color="auto"/>
        <w:right w:val="none" w:sz="0" w:space="0" w:color="auto"/>
      </w:divBdr>
    </w:div>
    <w:div w:id="1252474564">
      <w:bodyDiv w:val="1"/>
      <w:marLeft w:val="0"/>
      <w:marRight w:val="0"/>
      <w:marTop w:val="0"/>
      <w:marBottom w:val="0"/>
      <w:divBdr>
        <w:top w:val="none" w:sz="0" w:space="0" w:color="auto"/>
        <w:left w:val="none" w:sz="0" w:space="0" w:color="auto"/>
        <w:bottom w:val="none" w:sz="0" w:space="0" w:color="auto"/>
        <w:right w:val="none" w:sz="0" w:space="0" w:color="auto"/>
      </w:divBdr>
    </w:div>
    <w:div w:id="1313486866">
      <w:bodyDiv w:val="1"/>
      <w:marLeft w:val="0"/>
      <w:marRight w:val="0"/>
      <w:marTop w:val="0"/>
      <w:marBottom w:val="0"/>
      <w:divBdr>
        <w:top w:val="none" w:sz="0" w:space="0" w:color="auto"/>
        <w:left w:val="none" w:sz="0" w:space="0" w:color="auto"/>
        <w:bottom w:val="none" w:sz="0" w:space="0" w:color="auto"/>
        <w:right w:val="none" w:sz="0" w:space="0" w:color="auto"/>
      </w:divBdr>
    </w:div>
    <w:div w:id="1389766614">
      <w:bodyDiv w:val="1"/>
      <w:marLeft w:val="0"/>
      <w:marRight w:val="0"/>
      <w:marTop w:val="0"/>
      <w:marBottom w:val="0"/>
      <w:divBdr>
        <w:top w:val="none" w:sz="0" w:space="0" w:color="auto"/>
        <w:left w:val="none" w:sz="0" w:space="0" w:color="auto"/>
        <w:bottom w:val="none" w:sz="0" w:space="0" w:color="auto"/>
        <w:right w:val="none" w:sz="0" w:space="0" w:color="auto"/>
      </w:divBdr>
    </w:div>
    <w:div w:id="1498882456">
      <w:bodyDiv w:val="1"/>
      <w:marLeft w:val="0"/>
      <w:marRight w:val="0"/>
      <w:marTop w:val="0"/>
      <w:marBottom w:val="0"/>
      <w:divBdr>
        <w:top w:val="none" w:sz="0" w:space="0" w:color="auto"/>
        <w:left w:val="none" w:sz="0" w:space="0" w:color="auto"/>
        <w:bottom w:val="none" w:sz="0" w:space="0" w:color="auto"/>
        <w:right w:val="none" w:sz="0" w:space="0" w:color="auto"/>
      </w:divBdr>
    </w:div>
    <w:div w:id="1588689171">
      <w:bodyDiv w:val="1"/>
      <w:marLeft w:val="0"/>
      <w:marRight w:val="0"/>
      <w:marTop w:val="0"/>
      <w:marBottom w:val="0"/>
      <w:divBdr>
        <w:top w:val="none" w:sz="0" w:space="0" w:color="auto"/>
        <w:left w:val="none" w:sz="0" w:space="0" w:color="auto"/>
        <w:bottom w:val="none" w:sz="0" w:space="0" w:color="auto"/>
        <w:right w:val="none" w:sz="0" w:space="0" w:color="auto"/>
      </w:divBdr>
    </w:div>
    <w:div w:id="1643776418">
      <w:bodyDiv w:val="1"/>
      <w:marLeft w:val="0"/>
      <w:marRight w:val="0"/>
      <w:marTop w:val="0"/>
      <w:marBottom w:val="0"/>
      <w:divBdr>
        <w:top w:val="none" w:sz="0" w:space="0" w:color="auto"/>
        <w:left w:val="none" w:sz="0" w:space="0" w:color="auto"/>
        <w:bottom w:val="none" w:sz="0" w:space="0" w:color="auto"/>
        <w:right w:val="none" w:sz="0" w:space="0" w:color="auto"/>
      </w:divBdr>
    </w:div>
    <w:div w:id="1651399356">
      <w:bodyDiv w:val="1"/>
      <w:marLeft w:val="0"/>
      <w:marRight w:val="0"/>
      <w:marTop w:val="0"/>
      <w:marBottom w:val="0"/>
      <w:divBdr>
        <w:top w:val="none" w:sz="0" w:space="0" w:color="auto"/>
        <w:left w:val="none" w:sz="0" w:space="0" w:color="auto"/>
        <w:bottom w:val="none" w:sz="0" w:space="0" w:color="auto"/>
        <w:right w:val="none" w:sz="0" w:space="0" w:color="auto"/>
      </w:divBdr>
    </w:div>
    <w:div w:id="1723482536">
      <w:bodyDiv w:val="1"/>
      <w:marLeft w:val="0"/>
      <w:marRight w:val="0"/>
      <w:marTop w:val="0"/>
      <w:marBottom w:val="0"/>
      <w:divBdr>
        <w:top w:val="none" w:sz="0" w:space="0" w:color="auto"/>
        <w:left w:val="none" w:sz="0" w:space="0" w:color="auto"/>
        <w:bottom w:val="none" w:sz="0" w:space="0" w:color="auto"/>
        <w:right w:val="none" w:sz="0" w:space="0" w:color="auto"/>
      </w:divBdr>
      <w:divsChild>
        <w:div w:id="1819616865">
          <w:marLeft w:val="0"/>
          <w:marRight w:val="0"/>
          <w:marTop w:val="0"/>
          <w:marBottom w:val="0"/>
          <w:divBdr>
            <w:top w:val="none" w:sz="0" w:space="0" w:color="auto"/>
            <w:left w:val="none" w:sz="0" w:space="0" w:color="auto"/>
            <w:bottom w:val="none" w:sz="0" w:space="0" w:color="auto"/>
            <w:right w:val="none" w:sz="0" w:space="0" w:color="auto"/>
          </w:divBdr>
        </w:div>
      </w:divsChild>
    </w:div>
    <w:div w:id="1827624197">
      <w:bodyDiv w:val="1"/>
      <w:marLeft w:val="0"/>
      <w:marRight w:val="0"/>
      <w:marTop w:val="0"/>
      <w:marBottom w:val="0"/>
      <w:divBdr>
        <w:top w:val="none" w:sz="0" w:space="0" w:color="auto"/>
        <w:left w:val="none" w:sz="0" w:space="0" w:color="auto"/>
        <w:bottom w:val="none" w:sz="0" w:space="0" w:color="auto"/>
        <w:right w:val="none" w:sz="0" w:space="0" w:color="auto"/>
      </w:divBdr>
    </w:div>
    <w:div w:id="1864393297">
      <w:bodyDiv w:val="1"/>
      <w:marLeft w:val="0"/>
      <w:marRight w:val="0"/>
      <w:marTop w:val="0"/>
      <w:marBottom w:val="0"/>
      <w:divBdr>
        <w:top w:val="none" w:sz="0" w:space="0" w:color="auto"/>
        <w:left w:val="none" w:sz="0" w:space="0" w:color="auto"/>
        <w:bottom w:val="none" w:sz="0" w:space="0" w:color="auto"/>
        <w:right w:val="none" w:sz="0" w:space="0" w:color="auto"/>
      </w:divBdr>
    </w:div>
    <w:div w:id="1927954726">
      <w:bodyDiv w:val="1"/>
      <w:marLeft w:val="0"/>
      <w:marRight w:val="0"/>
      <w:marTop w:val="0"/>
      <w:marBottom w:val="0"/>
      <w:divBdr>
        <w:top w:val="none" w:sz="0" w:space="0" w:color="auto"/>
        <w:left w:val="none" w:sz="0" w:space="0" w:color="auto"/>
        <w:bottom w:val="none" w:sz="0" w:space="0" w:color="auto"/>
        <w:right w:val="none" w:sz="0" w:space="0" w:color="auto"/>
      </w:divBdr>
    </w:div>
    <w:div w:id="1944919132">
      <w:bodyDiv w:val="1"/>
      <w:marLeft w:val="0"/>
      <w:marRight w:val="0"/>
      <w:marTop w:val="0"/>
      <w:marBottom w:val="0"/>
      <w:divBdr>
        <w:top w:val="none" w:sz="0" w:space="0" w:color="auto"/>
        <w:left w:val="none" w:sz="0" w:space="0" w:color="auto"/>
        <w:bottom w:val="none" w:sz="0" w:space="0" w:color="auto"/>
        <w:right w:val="none" w:sz="0" w:space="0" w:color="auto"/>
      </w:divBdr>
    </w:div>
    <w:div w:id="2026665184">
      <w:bodyDiv w:val="1"/>
      <w:marLeft w:val="0"/>
      <w:marRight w:val="0"/>
      <w:marTop w:val="0"/>
      <w:marBottom w:val="0"/>
      <w:divBdr>
        <w:top w:val="none" w:sz="0" w:space="0" w:color="auto"/>
        <w:left w:val="none" w:sz="0" w:space="0" w:color="auto"/>
        <w:bottom w:val="none" w:sz="0" w:space="0" w:color="auto"/>
        <w:right w:val="none" w:sz="0" w:space="0" w:color="auto"/>
      </w:divBdr>
    </w:div>
    <w:div w:id="2055228282">
      <w:bodyDiv w:val="1"/>
      <w:marLeft w:val="0"/>
      <w:marRight w:val="0"/>
      <w:marTop w:val="0"/>
      <w:marBottom w:val="0"/>
      <w:divBdr>
        <w:top w:val="none" w:sz="0" w:space="0" w:color="auto"/>
        <w:left w:val="none" w:sz="0" w:space="0" w:color="auto"/>
        <w:bottom w:val="none" w:sz="0" w:space="0" w:color="auto"/>
        <w:right w:val="none" w:sz="0" w:space="0" w:color="auto"/>
      </w:divBdr>
    </w:div>
    <w:div w:id="21331353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trijaem.gob.mx/sentencias/" TargetMode="External"/><Relationship Id="rId13" Type="http://schemas.openxmlformats.org/officeDocument/2006/relationships/hyperlink" Target="http://trijaem.gob.mx/sentencias/" TargetMode="External"/><Relationship Id="rId18" Type="http://schemas.openxmlformats.org/officeDocument/2006/relationships/image" Target="media/image7.tif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image" Target="media/image6.tif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rijaem.gob.mx/sentencias/sentencias" TargetMode="External"/><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header" Target="header3.xml"/><Relationship Id="rId10" Type="http://schemas.openxmlformats.org/officeDocument/2006/relationships/image" Target="media/image1.tiff"/><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s://trijaem.gob.mx/sentencias/sentencias" TargetMode="External"/><Relationship Id="rId14" Type="http://schemas.openxmlformats.org/officeDocument/2006/relationships/image" Target="media/image3.tiff"/><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CBFDFB-4BB3-4FAC-9FC9-EF3C399A61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45</Pages>
  <Words>8126</Words>
  <Characters>44698</Characters>
  <Application>Microsoft Office Word</Application>
  <DocSecurity>0</DocSecurity>
  <Lines>372</Lines>
  <Paragraphs>105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C.P. Verónica Mtz</cp:lastModifiedBy>
  <cp:revision>4</cp:revision>
  <cp:lastPrinted>2019-01-16T02:59:00Z</cp:lastPrinted>
  <dcterms:created xsi:type="dcterms:W3CDTF">2021-02-08T22:14:00Z</dcterms:created>
  <dcterms:modified xsi:type="dcterms:W3CDTF">2021-03-08T18:41:00Z</dcterms:modified>
</cp:coreProperties>
</file>